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7ECCAB" w14:textId="77777777" w:rsidR="002510A5" w:rsidRPr="00D024EA" w:rsidRDefault="002510A5" w:rsidP="00B7348D">
      <w:pPr>
        <w:jc w:val="center"/>
        <w:rPr>
          <w:b/>
          <w:bCs/>
          <w:iCs/>
          <w:sz w:val="22"/>
          <w:szCs w:val="22"/>
          <w:u w:val="single"/>
          <w:lang w:val="sr-Latn-ME"/>
        </w:rPr>
      </w:pPr>
      <w:r w:rsidRPr="00D024EA">
        <w:rPr>
          <w:b/>
          <w:bCs/>
          <w:iCs/>
          <w:sz w:val="22"/>
          <w:szCs w:val="22"/>
          <w:u w:val="single"/>
          <w:lang w:val="sr-Latn-ME"/>
        </w:rPr>
        <w:t>SAŽETAK KARAKTERISTIKA LIJEKA</w:t>
      </w:r>
    </w:p>
    <w:p w14:paraId="047EBE93" w14:textId="77777777" w:rsidR="002510A5" w:rsidRPr="00D024EA" w:rsidRDefault="002510A5" w:rsidP="00B7348D">
      <w:pPr>
        <w:rPr>
          <w:b/>
          <w:bCs/>
          <w:i/>
          <w:iCs/>
          <w:sz w:val="22"/>
          <w:szCs w:val="22"/>
          <w:u w:val="single"/>
          <w:lang w:val="sr-Latn-ME"/>
        </w:rPr>
      </w:pPr>
    </w:p>
    <w:p w14:paraId="0F9700CF" w14:textId="77777777" w:rsidR="00C37FD7" w:rsidRPr="00D024EA" w:rsidRDefault="00C37FD7" w:rsidP="00B7348D">
      <w:pPr>
        <w:tabs>
          <w:tab w:val="left" w:pos="540"/>
          <w:tab w:val="left" w:pos="569"/>
        </w:tabs>
        <w:rPr>
          <w:bCs/>
          <w:sz w:val="22"/>
          <w:szCs w:val="22"/>
          <w:lang w:val="sr-Latn-ME"/>
        </w:rPr>
      </w:pPr>
    </w:p>
    <w:p w14:paraId="2F06D047" w14:textId="77777777" w:rsidR="00411B4B" w:rsidRPr="00D024EA" w:rsidRDefault="00411B4B" w:rsidP="00EA5D97">
      <w:pPr>
        <w:tabs>
          <w:tab w:val="left" w:pos="540"/>
          <w:tab w:val="left" w:pos="569"/>
        </w:tabs>
        <w:jc w:val="both"/>
        <w:rPr>
          <w:b/>
          <w:bCs/>
          <w:sz w:val="22"/>
          <w:szCs w:val="22"/>
          <w:lang w:val="sr-Latn-ME"/>
        </w:rPr>
      </w:pPr>
      <w:r w:rsidRPr="00D024EA">
        <w:rPr>
          <w:b/>
          <w:bCs/>
          <w:sz w:val="22"/>
          <w:szCs w:val="22"/>
          <w:lang w:val="sr-Latn-ME"/>
        </w:rPr>
        <w:t>1.</w:t>
      </w:r>
      <w:r w:rsidR="00F5167F" w:rsidRPr="00D024EA">
        <w:rPr>
          <w:b/>
          <w:bCs/>
          <w:sz w:val="22"/>
          <w:szCs w:val="22"/>
          <w:lang w:val="sr-Latn-ME"/>
        </w:rPr>
        <w:tab/>
      </w:r>
      <w:r w:rsidR="002846DB" w:rsidRPr="00D024EA">
        <w:rPr>
          <w:b/>
          <w:bCs/>
          <w:sz w:val="22"/>
          <w:szCs w:val="22"/>
          <w:lang w:val="sr-Latn-ME"/>
        </w:rPr>
        <w:t xml:space="preserve">NAZIV </w:t>
      </w:r>
      <w:r w:rsidRPr="00D024EA">
        <w:rPr>
          <w:b/>
          <w:bCs/>
          <w:sz w:val="22"/>
          <w:szCs w:val="22"/>
          <w:lang w:val="sr-Latn-ME"/>
        </w:rPr>
        <w:t>LIJEKA</w:t>
      </w:r>
    </w:p>
    <w:p w14:paraId="33710DC8" w14:textId="77777777" w:rsidR="00EC2532" w:rsidRPr="00D024EA" w:rsidRDefault="00EC2532" w:rsidP="00EA5D97">
      <w:pPr>
        <w:jc w:val="both"/>
        <w:rPr>
          <w:sz w:val="22"/>
          <w:szCs w:val="22"/>
          <w:lang w:val="sr-Latn-ME"/>
        </w:rPr>
      </w:pPr>
    </w:p>
    <w:p w14:paraId="339D13A7" w14:textId="2D970F58" w:rsidR="006E22E7" w:rsidRPr="00D024EA" w:rsidRDefault="006E22E7" w:rsidP="00EA5D97">
      <w:pPr>
        <w:tabs>
          <w:tab w:val="left" w:pos="284"/>
        </w:tabs>
        <w:jc w:val="both"/>
        <w:rPr>
          <w:rFonts w:eastAsia="MS Mincho"/>
          <w:bCs/>
          <w:sz w:val="22"/>
          <w:szCs w:val="22"/>
          <w:lang w:val="sr-Latn-ME" w:eastAsia="ja-JP" w:bidi="ne-NP"/>
        </w:rPr>
      </w:pPr>
      <w:r w:rsidRPr="00D024EA">
        <w:rPr>
          <w:rFonts w:eastAsia="MS Mincho"/>
          <w:bCs/>
          <w:sz w:val="22"/>
          <w:szCs w:val="22"/>
          <w:lang w:val="sr-Latn-ME" w:eastAsia="ja-JP" w:bidi="ne-NP"/>
        </w:rPr>
        <w:t>Actilyse, 50 mg/50 m</w:t>
      </w:r>
      <w:r w:rsidR="00B7348D" w:rsidRPr="00D024EA">
        <w:rPr>
          <w:rFonts w:eastAsia="MS Mincho"/>
          <w:bCs/>
          <w:sz w:val="22"/>
          <w:szCs w:val="22"/>
          <w:lang w:val="sr-Latn-ME" w:eastAsia="ja-JP" w:bidi="ne-NP"/>
        </w:rPr>
        <w:t>l</w:t>
      </w:r>
      <w:r w:rsidRPr="00D024EA">
        <w:rPr>
          <w:rFonts w:eastAsia="MS Mincho"/>
          <w:bCs/>
          <w:sz w:val="22"/>
          <w:szCs w:val="22"/>
          <w:lang w:val="sr-Latn-ME" w:eastAsia="ja-JP" w:bidi="ne-NP"/>
        </w:rPr>
        <w:t>, prašak i rastvarač za rastvor za injekciju/infuziju</w:t>
      </w:r>
    </w:p>
    <w:p w14:paraId="1F529F89" w14:textId="77777777" w:rsidR="006E22E7" w:rsidRPr="00D024EA" w:rsidRDefault="006E22E7" w:rsidP="00EA5D97">
      <w:pPr>
        <w:tabs>
          <w:tab w:val="left" w:pos="284"/>
        </w:tabs>
        <w:jc w:val="both"/>
        <w:rPr>
          <w:sz w:val="22"/>
          <w:szCs w:val="22"/>
          <w:lang w:val="sr-Latn-ME"/>
        </w:rPr>
      </w:pPr>
    </w:p>
    <w:p w14:paraId="2C07CDBA" w14:textId="64D37594" w:rsidR="006E22E7" w:rsidRPr="00D024EA" w:rsidRDefault="006E22E7" w:rsidP="00EA5D97">
      <w:pPr>
        <w:tabs>
          <w:tab w:val="left" w:pos="284"/>
        </w:tabs>
        <w:jc w:val="both"/>
        <w:rPr>
          <w:rFonts w:eastAsia="MS Mincho"/>
          <w:b/>
          <w:bCs/>
          <w:sz w:val="22"/>
          <w:szCs w:val="22"/>
          <w:lang w:val="sr-Latn-ME" w:eastAsia="ja-JP" w:bidi="ne-NP"/>
        </w:rPr>
      </w:pPr>
      <w:r w:rsidRPr="00D024EA">
        <w:rPr>
          <w:sz w:val="22"/>
          <w:szCs w:val="22"/>
          <w:lang w:val="sr-Latn-ME"/>
        </w:rPr>
        <w:t>INN:</w:t>
      </w:r>
      <w:r w:rsidRPr="00D024EA">
        <w:rPr>
          <w:rFonts w:eastAsia="MS Mincho"/>
          <w:bCs/>
          <w:sz w:val="22"/>
          <w:szCs w:val="22"/>
          <w:lang w:val="sr-Latn-ME" w:eastAsia="ja-JP" w:bidi="ne-NP"/>
        </w:rPr>
        <w:t xml:space="preserve"> alteplaza</w:t>
      </w:r>
    </w:p>
    <w:p w14:paraId="426C2D2A" w14:textId="77777777" w:rsidR="006E22E7" w:rsidRPr="00D024EA" w:rsidRDefault="006E22E7" w:rsidP="00EA5D97">
      <w:pPr>
        <w:tabs>
          <w:tab w:val="left" w:pos="284"/>
        </w:tabs>
        <w:jc w:val="both"/>
        <w:rPr>
          <w:b/>
          <w:bCs/>
          <w:sz w:val="22"/>
          <w:szCs w:val="22"/>
          <w:lang w:val="sr-Latn-ME"/>
        </w:rPr>
      </w:pPr>
    </w:p>
    <w:p w14:paraId="79F111CA" w14:textId="77777777" w:rsidR="00530BD7" w:rsidRPr="00D024EA" w:rsidRDefault="00530BD7" w:rsidP="00EA5D97">
      <w:pPr>
        <w:jc w:val="both"/>
        <w:rPr>
          <w:bCs/>
          <w:sz w:val="22"/>
          <w:szCs w:val="22"/>
          <w:lang w:val="sr-Latn-ME"/>
        </w:rPr>
      </w:pPr>
    </w:p>
    <w:p w14:paraId="30447D60" w14:textId="77777777" w:rsidR="00411B4B" w:rsidRPr="00D024EA" w:rsidRDefault="00411B4B" w:rsidP="00EA5D97">
      <w:pPr>
        <w:tabs>
          <w:tab w:val="left" w:pos="540"/>
          <w:tab w:val="left" w:pos="569"/>
        </w:tabs>
        <w:jc w:val="both"/>
        <w:rPr>
          <w:b/>
          <w:bCs/>
          <w:sz w:val="22"/>
          <w:szCs w:val="22"/>
          <w:lang w:val="sr-Latn-ME"/>
        </w:rPr>
      </w:pPr>
      <w:r w:rsidRPr="00D024EA">
        <w:rPr>
          <w:b/>
          <w:bCs/>
          <w:sz w:val="22"/>
          <w:szCs w:val="22"/>
          <w:lang w:val="sr-Latn-ME"/>
        </w:rPr>
        <w:t xml:space="preserve">2. </w:t>
      </w:r>
      <w:r w:rsidR="00F5167F" w:rsidRPr="00D024EA">
        <w:rPr>
          <w:b/>
          <w:bCs/>
          <w:sz w:val="22"/>
          <w:szCs w:val="22"/>
          <w:lang w:val="sr-Latn-ME"/>
        </w:rPr>
        <w:tab/>
      </w:r>
      <w:r w:rsidRPr="00D024EA">
        <w:rPr>
          <w:b/>
          <w:bCs/>
          <w:sz w:val="22"/>
          <w:szCs w:val="22"/>
          <w:lang w:val="sr-Latn-ME"/>
        </w:rPr>
        <w:t>KVALITATIVNI I KVANTITATIVNI SASTAV</w:t>
      </w:r>
    </w:p>
    <w:p w14:paraId="4E8AA39E" w14:textId="77777777" w:rsidR="005A0B2E" w:rsidRPr="00D024EA" w:rsidRDefault="005A0B2E" w:rsidP="00EA5D97">
      <w:pPr>
        <w:jc w:val="both"/>
        <w:rPr>
          <w:sz w:val="22"/>
          <w:szCs w:val="22"/>
          <w:lang w:val="sr-Latn-ME"/>
        </w:rPr>
      </w:pPr>
    </w:p>
    <w:p w14:paraId="212F4997" w14:textId="3EFEA0CC" w:rsidR="006E22E7" w:rsidRPr="00D024EA" w:rsidRDefault="006E22E7"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Jedna bočica sa praškom sadrži</w:t>
      </w:r>
      <w:r w:rsidR="00B9091D" w:rsidRPr="00D024EA">
        <w:rPr>
          <w:rFonts w:eastAsia="MS Mincho"/>
          <w:sz w:val="22"/>
          <w:szCs w:val="22"/>
          <w:lang w:val="sr-Latn-ME" w:eastAsia="ja-JP" w:bidi="ne-NP"/>
        </w:rPr>
        <w:t xml:space="preserve"> </w:t>
      </w:r>
      <w:r w:rsidRPr="00D024EA">
        <w:rPr>
          <w:rFonts w:eastAsia="MS Mincho"/>
          <w:sz w:val="22"/>
          <w:szCs w:val="22"/>
          <w:lang w:val="sr-Latn-ME" w:eastAsia="ja-JP" w:bidi="ne-NP"/>
        </w:rPr>
        <w:t>50 mg alteplaze (što odgovara 29</w:t>
      </w:r>
      <w:r w:rsidR="00B9091D" w:rsidRPr="00D024EA">
        <w:rPr>
          <w:rFonts w:eastAsia="MS Mincho"/>
          <w:sz w:val="22"/>
          <w:szCs w:val="22"/>
          <w:lang w:val="sr-Latn-ME" w:eastAsia="ja-JP" w:bidi="ne-NP"/>
        </w:rPr>
        <w:t xml:space="preserve"> </w:t>
      </w:r>
      <w:r w:rsidRPr="00D024EA">
        <w:rPr>
          <w:rFonts w:eastAsia="MS Mincho"/>
          <w:sz w:val="22"/>
          <w:szCs w:val="22"/>
          <w:lang w:val="sr-Latn-ME" w:eastAsia="ja-JP" w:bidi="ne-NP"/>
        </w:rPr>
        <w:t>000</w:t>
      </w:r>
      <w:r w:rsidR="00B9091D" w:rsidRPr="00D024EA">
        <w:rPr>
          <w:rFonts w:eastAsia="MS Mincho"/>
          <w:sz w:val="22"/>
          <w:szCs w:val="22"/>
          <w:lang w:val="sr-Latn-ME" w:eastAsia="ja-JP" w:bidi="ne-NP"/>
        </w:rPr>
        <w:t xml:space="preserve"> </w:t>
      </w:r>
      <w:r w:rsidRPr="00D024EA">
        <w:rPr>
          <w:rFonts w:eastAsia="MS Mincho"/>
          <w:sz w:val="22"/>
          <w:szCs w:val="22"/>
          <w:lang w:val="sr-Latn-ME" w:eastAsia="ja-JP" w:bidi="ne-NP"/>
        </w:rPr>
        <w:t>000 i.j.)</w:t>
      </w:r>
    </w:p>
    <w:p w14:paraId="2E26E28C" w14:textId="77777777" w:rsidR="006E22E7" w:rsidRPr="00D024EA" w:rsidRDefault="006E22E7" w:rsidP="00EA5D97">
      <w:pPr>
        <w:autoSpaceDE w:val="0"/>
        <w:autoSpaceDN w:val="0"/>
        <w:adjustRightInd w:val="0"/>
        <w:jc w:val="both"/>
        <w:rPr>
          <w:rFonts w:eastAsia="MS Mincho"/>
          <w:sz w:val="22"/>
          <w:szCs w:val="22"/>
          <w:lang w:val="sr-Latn-ME" w:eastAsia="ja-JP" w:bidi="ne-NP"/>
        </w:rPr>
      </w:pPr>
    </w:p>
    <w:p w14:paraId="24CDF3A5" w14:textId="36B6E826" w:rsidR="006E22E7" w:rsidRPr="00D024EA" w:rsidRDefault="006E22E7" w:rsidP="00EA5D97">
      <w:pPr>
        <w:tabs>
          <w:tab w:val="left" w:pos="34"/>
          <w:tab w:val="left" w:pos="394"/>
        </w:tabs>
        <w:jc w:val="both"/>
        <w:rPr>
          <w:sz w:val="22"/>
          <w:szCs w:val="22"/>
          <w:lang w:val="sr-Latn-ME"/>
        </w:rPr>
      </w:pPr>
      <w:r w:rsidRPr="00D024EA">
        <w:rPr>
          <w:rFonts w:eastAsia="MS Mincho"/>
          <w:sz w:val="22"/>
          <w:szCs w:val="22"/>
          <w:lang w:val="sr-Latn-ME" w:eastAsia="ja-JP" w:bidi="ne-NP"/>
        </w:rPr>
        <w:t xml:space="preserve">Alteplaza je proizvedena rekombinantnom DNK tehnikom </w:t>
      </w:r>
      <w:r w:rsidRPr="00D024EA">
        <w:rPr>
          <w:sz w:val="22"/>
          <w:szCs w:val="22"/>
          <w:lang w:val="sr-Latn-ME"/>
        </w:rPr>
        <w:t>kori</w:t>
      </w:r>
      <w:r w:rsidR="00E245C7" w:rsidRPr="00D024EA">
        <w:rPr>
          <w:sz w:val="22"/>
          <w:szCs w:val="22"/>
          <w:lang w:val="sr-Latn-ME"/>
        </w:rPr>
        <w:t>šćenjem</w:t>
      </w:r>
      <w:r w:rsidRPr="00D024EA">
        <w:rPr>
          <w:sz w:val="22"/>
          <w:szCs w:val="22"/>
          <w:lang w:val="sr-Latn-ME"/>
        </w:rPr>
        <w:t xml:space="preserve"> ćelijsk</w:t>
      </w:r>
      <w:r w:rsidR="00E245C7" w:rsidRPr="00D024EA">
        <w:rPr>
          <w:sz w:val="22"/>
          <w:szCs w:val="22"/>
          <w:lang w:val="sr-Latn-ME"/>
        </w:rPr>
        <w:t>e</w:t>
      </w:r>
      <w:r w:rsidRPr="00D024EA">
        <w:rPr>
          <w:sz w:val="22"/>
          <w:szCs w:val="22"/>
          <w:lang w:val="sr-Latn-ME"/>
        </w:rPr>
        <w:t xml:space="preserve"> linij</w:t>
      </w:r>
      <w:r w:rsidR="00E245C7" w:rsidRPr="00D024EA">
        <w:rPr>
          <w:sz w:val="22"/>
          <w:szCs w:val="22"/>
          <w:lang w:val="sr-Latn-ME"/>
        </w:rPr>
        <w:t>e</w:t>
      </w:r>
      <w:r w:rsidRPr="00D024EA">
        <w:rPr>
          <w:sz w:val="22"/>
          <w:szCs w:val="22"/>
          <w:lang w:val="sr-Latn-ME"/>
        </w:rPr>
        <w:t xml:space="preserve"> ovarijuma kinesk</w:t>
      </w:r>
      <w:r w:rsidR="00B9091D" w:rsidRPr="00D024EA">
        <w:rPr>
          <w:sz w:val="22"/>
          <w:szCs w:val="22"/>
          <w:lang w:val="sr-Latn-ME"/>
        </w:rPr>
        <w:t>og</w:t>
      </w:r>
      <w:r w:rsidRPr="00D024EA">
        <w:rPr>
          <w:sz w:val="22"/>
          <w:szCs w:val="22"/>
          <w:lang w:val="sr-Latn-ME"/>
        </w:rPr>
        <w:t xml:space="preserve"> hrčka. </w:t>
      </w:r>
      <w:r w:rsidRPr="00D024EA">
        <w:rPr>
          <w:rFonts w:eastAsia="MS Mincho"/>
          <w:sz w:val="22"/>
          <w:szCs w:val="22"/>
          <w:lang w:val="sr-Latn-ME" w:eastAsia="ja-JP" w:bidi="ne-NP"/>
        </w:rPr>
        <w:t>Specifična aktivnost alteplaza</w:t>
      </w:r>
      <w:r w:rsidRPr="00D024EA">
        <w:rPr>
          <w:sz w:val="22"/>
          <w:szCs w:val="22"/>
          <w:lang w:val="sr-Latn-ME"/>
        </w:rPr>
        <w:t xml:space="preserve"> sopstvenog referentnog materijala </w:t>
      </w:r>
      <w:r w:rsidRPr="00D024EA">
        <w:rPr>
          <w:rFonts w:eastAsia="MS Mincho"/>
          <w:sz w:val="22"/>
          <w:szCs w:val="22"/>
          <w:lang w:val="sr-Latn-ME" w:eastAsia="ja-JP" w:bidi="ne-NP"/>
        </w:rPr>
        <w:t>je 580</w:t>
      </w:r>
      <w:r w:rsidR="00B9091D" w:rsidRPr="00D024EA">
        <w:rPr>
          <w:rFonts w:eastAsia="MS Mincho"/>
          <w:sz w:val="22"/>
          <w:szCs w:val="22"/>
          <w:lang w:val="sr-Latn-ME" w:eastAsia="ja-JP" w:bidi="ne-NP"/>
        </w:rPr>
        <w:t xml:space="preserve"> </w:t>
      </w:r>
      <w:r w:rsidRPr="00D024EA">
        <w:rPr>
          <w:rFonts w:eastAsia="MS Mincho"/>
          <w:sz w:val="22"/>
          <w:szCs w:val="22"/>
          <w:lang w:val="sr-Latn-ME" w:eastAsia="ja-JP" w:bidi="ne-NP"/>
        </w:rPr>
        <w:t xml:space="preserve">000 i.j./mg, što je potvrđeno poređenjem sa drugim internacionalnim standardom </w:t>
      </w:r>
      <w:r w:rsidRPr="00D024EA">
        <w:rPr>
          <w:sz w:val="22"/>
          <w:szCs w:val="22"/>
          <w:lang w:val="sr-Latn-ME"/>
        </w:rPr>
        <w:t xml:space="preserve">Svjetske zdravstvene organizacije </w:t>
      </w:r>
      <w:r w:rsidRPr="00D024EA">
        <w:rPr>
          <w:rFonts w:eastAsia="MS Mincho"/>
          <w:sz w:val="22"/>
          <w:szCs w:val="22"/>
          <w:lang w:val="sr-Latn-ME" w:eastAsia="ja-JP" w:bidi="ne-NP"/>
        </w:rPr>
        <w:t xml:space="preserve">za t-PA. </w:t>
      </w:r>
      <w:r w:rsidRPr="00D024EA">
        <w:rPr>
          <w:sz w:val="22"/>
          <w:szCs w:val="22"/>
          <w:lang w:val="sr-Latn-ME"/>
        </w:rPr>
        <w:t>Specifikacija za specifičnu aktivnost alteplaze je 522</w:t>
      </w:r>
      <w:r w:rsidR="00B9091D" w:rsidRPr="00D024EA">
        <w:rPr>
          <w:sz w:val="22"/>
          <w:szCs w:val="22"/>
          <w:lang w:val="sr-Latn-ME"/>
        </w:rPr>
        <w:t xml:space="preserve"> </w:t>
      </w:r>
      <w:r w:rsidRPr="00D024EA">
        <w:rPr>
          <w:sz w:val="22"/>
          <w:szCs w:val="22"/>
          <w:lang w:val="sr-Latn-ME"/>
        </w:rPr>
        <w:t>000 do 696</w:t>
      </w:r>
      <w:r w:rsidR="00B9091D" w:rsidRPr="00D024EA">
        <w:rPr>
          <w:sz w:val="22"/>
          <w:szCs w:val="22"/>
          <w:lang w:val="sr-Latn-ME"/>
        </w:rPr>
        <w:t xml:space="preserve"> </w:t>
      </w:r>
      <w:r w:rsidRPr="00D024EA">
        <w:rPr>
          <w:sz w:val="22"/>
          <w:szCs w:val="22"/>
          <w:lang w:val="sr-Latn-ME"/>
        </w:rPr>
        <w:t>000 i.j./mg.</w:t>
      </w:r>
    </w:p>
    <w:p w14:paraId="2623240B" w14:textId="77777777" w:rsidR="006E22E7" w:rsidRPr="00D024EA" w:rsidRDefault="006E22E7" w:rsidP="00EA5D97">
      <w:pPr>
        <w:jc w:val="both"/>
        <w:rPr>
          <w:sz w:val="22"/>
          <w:szCs w:val="22"/>
          <w:lang w:val="sr-Latn-ME"/>
        </w:rPr>
      </w:pPr>
    </w:p>
    <w:p w14:paraId="03DE2F9F" w14:textId="4E6E96CE" w:rsidR="0003793F" w:rsidRPr="00D024EA" w:rsidRDefault="0003793F" w:rsidP="00EA5D97">
      <w:pPr>
        <w:jc w:val="both"/>
        <w:rPr>
          <w:sz w:val="22"/>
          <w:szCs w:val="22"/>
          <w:lang w:val="sr-Latn-ME"/>
        </w:rPr>
      </w:pPr>
      <w:r w:rsidRPr="00D024EA">
        <w:rPr>
          <w:sz w:val="22"/>
          <w:szCs w:val="22"/>
          <w:lang w:val="sr-Latn-ME"/>
        </w:rPr>
        <w:t>Za spisak svih ekscipijenasa, pogledati dio 6.1.</w:t>
      </w:r>
    </w:p>
    <w:p w14:paraId="7DD5AA7E" w14:textId="6124740E" w:rsidR="00C37FD7" w:rsidRPr="00D024EA" w:rsidRDefault="00C37FD7" w:rsidP="00EA5D97">
      <w:pPr>
        <w:jc w:val="both"/>
        <w:rPr>
          <w:sz w:val="22"/>
          <w:szCs w:val="22"/>
          <w:lang w:val="sr-Latn-ME"/>
        </w:rPr>
      </w:pPr>
    </w:p>
    <w:p w14:paraId="4E85210A" w14:textId="77777777" w:rsidR="00B7348D" w:rsidRPr="00D024EA" w:rsidRDefault="00B7348D" w:rsidP="00EA5D97">
      <w:pPr>
        <w:jc w:val="both"/>
        <w:rPr>
          <w:sz w:val="22"/>
          <w:szCs w:val="22"/>
          <w:lang w:val="sr-Latn-ME"/>
        </w:rPr>
      </w:pPr>
    </w:p>
    <w:p w14:paraId="08FAABC6" w14:textId="77777777" w:rsidR="00411B4B" w:rsidRPr="00D024EA" w:rsidRDefault="00411B4B" w:rsidP="00EA5D97">
      <w:pPr>
        <w:tabs>
          <w:tab w:val="left" w:pos="540"/>
          <w:tab w:val="left" w:pos="569"/>
        </w:tabs>
        <w:jc w:val="both"/>
        <w:rPr>
          <w:b/>
          <w:bCs/>
          <w:sz w:val="22"/>
          <w:szCs w:val="22"/>
          <w:lang w:val="sr-Latn-ME"/>
        </w:rPr>
      </w:pPr>
      <w:r w:rsidRPr="00D024EA">
        <w:rPr>
          <w:b/>
          <w:bCs/>
          <w:sz w:val="22"/>
          <w:szCs w:val="22"/>
          <w:lang w:val="sr-Latn-ME"/>
        </w:rPr>
        <w:t xml:space="preserve">3. </w:t>
      </w:r>
      <w:r w:rsidR="00F5167F" w:rsidRPr="00D024EA">
        <w:rPr>
          <w:b/>
          <w:bCs/>
          <w:sz w:val="22"/>
          <w:szCs w:val="22"/>
          <w:lang w:val="sr-Latn-ME"/>
        </w:rPr>
        <w:tab/>
      </w:r>
      <w:r w:rsidRPr="00D024EA">
        <w:rPr>
          <w:b/>
          <w:bCs/>
          <w:sz w:val="22"/>
          <w:szCs w:val="22"/>
          <w:lang w:val="sr-Latn-ME"/>
        </w:rPr>
        <w:t>FARMACEUTSKI OBLIK</w:t>
      </w:r>
      <w:r w:rsidR="009F2D23" w:rsidRPr="00D024EA">
        <w:rPr>
          <w:b/>
          <w:bCs/>
          <w:sz w:val="22"/>
          <w:szCs w:val="22"/>
          <w:lang w:val="sr-Latn-ME"/>
        </w:rPr>
        <w:t xml:space="preserve"> </w:t>
      </w:r>
    </w:p>
    <w:p w14:paraId="139C721F" w14:textId="77777777" w:rsidR="00411B4B" w:rsidRPr="00D024EA" w:rsidRDefault="00411B4B" w:rsidP="00EA5D97">
      <w:pPr>
        <w:jc w:val="both"/>
        <w:rPr>
          <w:bCs/>
          <w:sz w:val="22"/>
          <w:szCs w:val="22"/>
          <w:lang w:val="sr-Latn-ME"/>
        </w:rPr>
      </w:pPr>
    </w:p>
    <w:p w14:paraId="5B7D9025" w14:textId="77777777" w:rsidR="006E22E7" w:rsidRPr="00D024EA" w:rsidRDefault="006E22E7"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Prašak i rastvarač za rastvor za injekciju/infuziju.</w:t>
      </w:r>
    </w:p>
    <w:p w14:paraId="7B0FC756" w14:textId="21F4B872" w:rsidR="006E22E7" w:rsidRPr="00D024EA" w:rsidRDefault="006E22E7" w:rsidP="00EA5D97">
      <w:pPr>
        <w:tabs>
          <w:tab w:val="left" w:pos="284"/>
        </w:tabs>
        <w:jc w:val="both"/>
        <w:rPr>
          <w:sz w:val="22"/>
          <w:szCs w:val="22"/>
          <w:lang w:val="sr-Latn-ME"/>
        </w:rPr>
      </w:pPr>
      <w:r w:rsidRPr="00D024EA">
        <w:rPr>
          <w:sz w:val="22"/>
          <w:szCs w:val="22"/>
          <w:lang w:val="sr-Latn-ME"/>
        </w:rPr>
        <w:t>Prašak predstavlja bijeli do blijedožut liofilizovani kolač. Rekonstituisani rastvor je bistra tečnost bezbojne do blijedožute boje.</w:t>
      </w:r>
    </w:p>
    <w:p w14:paraId="73D2C2A9" w14:textId="3248C680" w:rsidR="00EC2532" w:rsidRPr="00D024EA" w:rsidRDefault="00EC2532" w:rsidP="00EA5D97">
      <w:pPr>
        <w:jc w:val="both"/>
        <w:rPr>
          <w:bCs/>
          <w:sz w:val="22"/>
          <w:szCs w:val="22"/>
          <w:lang w:val="sr-Latn-ME"/>
        </w:rPr>
      </w:pPr>
    </w:p>
    <w:p w14:paraId="2CF3E5C8" w14:textId="77777777" w:rsidR="00B7348D" w:rsidRPr="00D024EA" w:rsidRDefault="00B7348D" w:rsidP="00EA5D97">
      <w:pPr>
        <w:jc w:val="both"/>
        <w:rPr>
          <w:bCs/>
          <w:sz w:val="22"/>
          <w:szCs w:val="22"/>
          <w:lang w:val="sr-Latn-ME"/>
        </w:rPr>
      </w:pPr>
    </w:p>
    <w:p w14:paraId="7782BE75" w14:textId="77777777" w:rsidR="00411B4B" w:rsidRPr="00D024EA" w:rsidRDefault="00411B4B" w:rsidP="00EA5D97">
      <w:pPr>
        <w:tabs>
          <w:tab w:val="left" w:pos="540"/>
          <w:tab w:val="left" w:pos="569"/>
        </w:tabs>
        <w:jc w:val="both"/>
        <w:rPr>
          <w:b/>
          <w:bCs/>
          <w:sz w:val="22"/>
          <w:szCs w:val="22"/>
          <w:lang w:val="sr-Latn-ME"/>
        </w:rPr>
      </w:pPr>
      <w:r w:rsidRPr="00D024EA">
        <w:rPr>
          <w:b/>
          <w:bCs/>
          <w:sz w:val="22"/>
          <w:szCs w:val="22"/>
          <w:lang w:val="sr-Latn-ME"/>
        </w:rPr>
        <w:t xml:space="preserve">4. </w:t>
      </w:r>
      <w:r w:rsidR="00480FB1" w:rsidRPr="00D024EA">
        <w:rPr>
          <w:b/>
          <w:bCs/>
          <w:sz w:val="22"/>
          <w:szCs w:val="22"/>
          <w:lang w:val="sr-Latn-ME"/>
        </w:rPr>
        <w:tab/>
      </w:r>
      <w:r w:rsidRPr="00D024EA">
        <w:rPr>
          <w:b/>
          <w:bCs/>
          <w:sz w:val="22"/>
          <w:szCs w:val="22"/>
          <w:lang w:val="sr-Latn-ME"/>
        </w:rPr>
        <w:t>KLINIČKI PODACI</w:t>
      </w:r>
    </w:p>
    <w:p w14:paraId="6DD19273" w14:textId="77777777" w:rsidR="00CD6F02" w:rsidRPr="00D024EA" w:rsidRDefault="00CD6F02" w:rsidP="00EA5D97">
      <w:pPr>
        <w:tabs>
          <w:tab w:val="left" w:pos="540"/>
          <w:tab w:val="left" w:pos="569"/>
        </w:tabs>
        <w:jc w:val="both"/>
        <w:rPr>
          <w:bCs/>
          <w:sz w:val="22"/>
          <w:szCs w:val="22"/>
          <w:lang w:val="sr-Latn-ME"/>
        </w:rPr>
      </w:pPr>
    </w:p>
    <w:p w14:paraId="1BEC4109" w14:textId="41FE223C" w:rsidR="00411B4B" w:rsidRPr="00D024EA" w:rsidRDefault="00411B4B" w:rsidP="00EA5D97">
      <w:pPr>
        <w:tabs>
          <w:tab w:val="left" w:pos="540"/>
          <w:tab w:val="left" w:pos="569"/>
        </w:tabs>
        <w:jc w:val="both"/>
        <w:rPr>
          <w:b/>
          <w:bCs/>
          <w:sz w:val="22"/>
          <w:szCs w:val="22"/>
          <w:lang w:val="sr-Latn-ME"/>
        </w:rPr>
      </w:pPr>
      <w:r w:rsidRPr="00D024EA">
        <w:rPr>
          <w:b/>
          <w:bCs/>
          <w:sz w:val="22"/>
          <w:szCs w:val="22"/>
          <w:lang w:val="sr-Latn-ME"/>
        </w:rPr>
        <w:t xml:space="preserve">4.1. </w:t>
      </w:r>
      <w:r w:rsidR="00480FB1" w:rsidRPr="00D024EA">
        <w:rPr>
          <w:b/>
          <w:bCs/>
          <w:sz w:val="22"/>
          <w:szCs w:val="22"/>
          <w:lang w:val="sr-Latn-ME"/>
        </w:rPr>
        <w:tab/>
      </w:r>
      <w:r w:rsidRPr="00D024EA">
        <w:rPr>
          <w:b/>
          <w:bCs/>
          <w:sz w:val="22"/>
          <w:szCs w:val="22"/>
          <w:lang w:val="sr-Latn-ME"/>
        </w:rPr>
        <w:t>Terapijske indikacije</w:t>
      </w:r>
    </w:p>
    <w:p w14:paraId="4D7420C7" w14:textId="77777777" w:rsidR="006E22E7" w:rsidRPr="00D024EA" w:rsidRDefault="006E22E7" w:rsidP="00EA5D97">
      <w:pPr>
        <w:tabs>
          <w:tab w:val="left" w:pos="540"/>
          <w:tab w:val="left" w:pos="569"/>
        </w:tabs>
        <w:jc w:val="both"/>
        <w:rPr>
          <w:b/>
          <w:bCs/>
          <w:sz w:val="22"/>
          <w:szCs w:val="22"/>
          <w:lang w:val="sr-Latn-ME"/>
        </w:rPr>
      </w:pPr>
    </w:p>
    <w:p w14:paraId="45E7B01B" w14:textId="77777777" w:rsidR="006E22E7" w:rsidRPr="00D024EA" w:rsidRDefault="006E22E7" w:rsidP="00EA5D97">
      <w:pPr>
        <w:autoSpaceDE w:val="0"/>
        <w:autoSpaceDN w:val="0"/>
        <w:adjustRightInd w:val="0"/>
        <w:jc w:val="both"/>
        <w:rPr>
          <w:rFonts w:eastAsia="MS Mincho"/>
          <w:sz w:val="22"/>
          <w:szCs w:val="22"/>
          <w:u w:val="single"/>
          <w:lang w:val="sr-Latn-ME" w:eastAsia="ja-JP" w:bidi="ne-NP"/>
        </w:rPr>
      </w:pPr>
      <w:r w:rsidRPr="00D024EA">
        <w:rPr>
          <w:rFonts w:eastAsia="MS Mincho"/>
          <w:sz w:val="22"/>
          <w:szCs w:val="22"/>
          <w:u w:val="single"/>
          <w:lang w:val="sr-Latn-ME" w:eastAsia="ja-JP" w:bidi="ne-NP"/>
        </w:rPr>
        <w:t>Trombolitička terapija akutnog infarkta miokarda</w:t>
      </w:r>
    </w:p>
    <w:p w14:paraId="645BDB0A" w14:textId="77777777" w:rsidR="006E22E7" w:rsidRPr="00D024EA" w:rsidRDefault="006E22E7" w:rsidP="00EA5D97">
      <w:pPr>
        <w:autoSpaceDE w:val="0"/>
        <w:autoSpaceDN w:val="0"/>
        <w:adjustRightInd w:val="0"/>
        <w:jc w:val="both"/>
        <w:rPr>
          <w:rFonts w:eastAsia="MS Mincho"/>
          <w:sz w:val="22"/>
          <w:szCs w:val="22"/>
          <w:u w:val="single"/>
          <w:lang w:val="sr-Latn-ME" w:eastAsia="ja-JP" w:bidi="ne-NP"/>
        </w:rPr>
      </w:pPr>
    </w:p>
    <w:p w14:paraId="32EF09AB" w14:textId="173469EE" w:rsidR="006E22E7" w:rsidRPr="00D024EA" w:rsidRDefault="006E22E7" w:rsidP="009F2789">
      <w:pPr>
        <w:numPr>
          <w:ilvl w:val="0"/>
          <w:numId w:val="12"/>
        </w:numPr>
        <w:tabs>
          <w:tab w:val="left" w:pos="284"/>
        </w:tabs>
        <w:autoSpaceDE w:val="0"/>
        <w:autoSpaceDN w:val="0"/>
        <w:adjustRightInd w:val="0"/>
        <w:contextualSpacing/>
        <w:jc w:val="both"/>
        <w:rPr>
          <w:rFonts w:eastAsia="MS Mincho"/>
          <w:b/>
          <w:bCs/>
          <w:sz w:val="22"/>
          <w:szCs w:val="22"/>
          <w:lang w:val="sr-Latn-ME" w:eastAsia="ja-JP" w:bidi="ne-NP"/>
        </w:rPr>
      </w:pPr>
      <w:r w:rsidRPr="00D024EA">
        <w:rPr>
          <w:rFonts w:eastAsia="MS Mincho"/>
          <w:sz w:val="22"/>
          <w:szCs w:val="22"/>
          <w:lang w:val="sr-Latn-ME" w:eastAsia="ja-JP" w:bidi="ne-NP"/>
        </w:rPr>
        <w:t xml:space="preserve">90-minutni (ubrzani) režim doziranja (vidjeti </w:t>
      </w:r>
      <w:r w:rsidR="00374804" w:rsidRPr="00D024EA">
        <w:rPr>
          <w:rFonts w:eastAsia="MS Mincho"/>
          <w:sz w:val="22"/>
          <w:szCs w:val="22"/>
          <w:lang w:val="sr-Latn-ME" w:eastAsia="ja-JP" w:bidi="ne-NP"/>
        </w:rPr>
        <w:t>dio</w:t>
      </w:r>
      <w:r w:rsidRPr="00D024EA">
        <w:rPr>
          <w:rFonts w:eastAsia="MS Mincho"/>
          <w:sz w:val="22"/>
          <w:szCs w:val="22"/>
          <w:lang w:val="sr-Latn-ME" w:eastAsia="ja-JP" w:bidi="ne-NP"/>
        </w:rPr>
        <w:t xml:space="preserve"> 4.2):</w:t>
      </w:r>
    </w:p>
    <w:p w14:paraId="1752A257" w14:textId="77777777" w:rsidR="006E22E7" w:rsidRPr="00D024EA" w:rsidRDefault="006E22E7" w:rsidP="00EA5D97">
      <w:pPr>
        <w:autoSpaceDE w:val="0"/>
        <w:autoSpaceDN w:val="0"/>
        <w:adjustRightInd w:val="0"/>
        <w:ind w:left="709"/>
        <w:jc w:val="both"/>
        <w:rPr>
          <w:rFonts w:eastAsia="MS Mincho"/>
          <w:sz w:val="22"/>
          <w:szCs w:val="22"/>
          <w:lang w:val="sr-Latn-ME" w:eastAsia="ja-JP" w:bidi="ne-NP"/>
        </w:rPr>
      </w:pPr>
      <w:r w:rsidRPr="00D024EA">
        <w:rPr>
          <w:rFonts w:eastAsia="MS Mincho"/>
          <w:sz w:val="22"/>
          <w:szCs w:val="22"/>
          <w:lang w:val="sr-Latn-ME" w:eastAsia="ja-JP" w:bidi="ne-NP"/>
        </w:rPr>
        <w:t xml:space="preserve">za pacijente kod kojih je moguće započeti terapiju u roku od 6 časova od </w:t>
      </w:r>
      <w:r w:rsidRPr="00D024EA">
        <w:rPr>
          <w:sz w:val="22"/>
          <w:szCs w:val="22"/>
          <w:lang w:val="sr-Latn-ME"/>
        </w:rPr>
        <w:t>početka</w:t>
      </w:r>
      <w:r w:rsidRPr="00D024EA">
        <w:rPr>
          <w:rFonts w:eastAsia="MS Mincho"/>
          <w:sz w:val="22"/>
          <w:szCs w:val="22"/>
          <w:lang w:val="sr-Latn-ME" w:eastAsia="ja-JP" w:bidi="ne-NP"/>
        </w:rPr>
        <w:t xml:space="preserve"> simptoma</w:t>
      </w:r>
    </w:p>
    <w:p w14:paraId="582AA671" w14:textId="77777777" w:rsidR="006E22E7" w:rsidRPr="00D024EA" w:rsidRDefault="006E22E7" w:rsidP="00EA5D97">
      <w:pPr>
        <w:autoSpaceDE w:val="0"/>
        <w:autoSpaceDN w:val="0"/>
        <w:adjustRightInd w:val="0"/>
        <w:ind w:left="180"/>
        <w:jc w:val="both"/>
        <w:rPr>
          <w:rFonts w:eastAsia="MS Mincho"/>
          <w:sz w:val="22"/>
          <w:szCs w:val="22"/>
          <w:lang w:val="sr-Latn-ME" w:eastAsia="ja-JP" w:bidi="ne-NP"/>
        </w:rPr>
      </w:pPr>
    </w:p>
    <w:p w14:paraId="774017C9" w14:textId="50D08376" w:rsidR="006E22E7" w:rsidRPr="00D024EA" w:rsidRDefault="006E22E7" w:rsidP="009F2789">
      <w:pPr>
        <w:numPr>
          <w:ilvl w:val="0"/>
          <w:numId w:val="12"/>
        </w:numPr>
        <w:tabs>
          <w:tab w:val="left" w:pos="284"/>
        </w:tabs>
        <w:autoSpaceDE w:val="0"/>
        <w:autoSpaceDN w:val="0"/>
        <w:adjustRightInd w:val="0"/>
        <w:contextualSpacing/>
        <w:jc w:val="both"/>
        <w:rPr>
          <w:rFonts w:eastAsia="MS Mincho"/>
          <w:sz w:val="22"/>
          <w:szCs w:val="22"/>
          <w:lang w:val="sr-Latn-ME" w:eastAsia="ja-JP" w:bidi="ne-NP"/>
        </w:rPr>
      </w:pPr>
      <w:r w:rsidRPr="00D024EA">
        <w:rPr>
          <w:rFonts w:eastAsia="MS Mincho"/>
          <w:sz w:val="22"/>
          <w:szCs w:val="22"/>
          <w:lang w:val="sr-Latn-ME" w:eastAsia="ja-JP" w:bidi="ne-NP"/>
        </w:rPr>
        <w:t xml:space="preserve">3-časovni režim doziranja (vidjeti </w:t>
      </w:r>
      <w:r w:rsidR="00374804" w:rsidRPr="00D024EA">
        <w:rPr>
          <w:rFonts w:eastAsia="MS Mincho"/>
          <w:sz w:val="22"/>
          <w:szCs w:val="22"/>
          <w:lang w:val="sr-Latn-ME" w:eastAsia="ja-JP" w:bidi="ne-NP"/>
        </w:rPr>
        <w:t>dio</w:t>
      </w:r>
      <w:r w:rsidRPr="00D024EA">
        <w:rPr>
          <w:rFonts w:eastAsia="MS Mincho"/>
          <w:sz w:val="22"/>
          <w:szCs w:val="22"/>
          <w:lang w:val="sr-Latn-ME" w:eastAsia="ja-JP" w:bidi="ne-NP"/>
        </w:rPr>
        <w:t xml:space="preserve"> 4.2):</w:t>
      </w:r>
    </w:p>
    <w:p w14:paraId="70DD78F2" w14:textId="77777777" w:rsidR="006E22E7" w:rsidRPr="00D024EA" w:rsidRDefault="006E22E7" w:rsidP="00EA5D97">
      <w:pPr>
        <w:autoSpaceDE w:val="0"/>
        <w:autoSpaceDN w:val="0"/>
        <w:adjustRightInd w:val="0"/>
        <w:ind w:left="709"/>
        <w:jc w:val="both"/>
        <w:rPr>
          <w:rFonts w:eastAsia="MS Mincho"/>
          <w:sz w:val="22"/>
          <w:szCs w:val="22"/>
          <w:lang w:val="sr-Latn-ME" w:eastAsia="ja-JP" w:bidi="ne-NP"/>
        </w:rPr>
      </w:pPr>
      <w:r w:rsidRPr="00D024EA">
        <w:rPr>
          <w:rFonts w:eastAsia="MS Mincho"/>
          <w:sz w:val="22"/>
          <w:szCs w:val="22"/>
          <w:lang w:val="sr-Latn-ME" w:eastAsia="ja-JP" w:bidi="ne-NP"/>
        </w:rPr>
        <w:t xml:space="preserve">za pacijente kod kojih je moguće započeti terapiju između 6-12 časova poslije </w:t>
      </w:r>
      <w:r w:rsidRPr="00D024EA">
        <w:rPr>
          <w:sz w:val="22"/>
          <w:szCs w:val="22"/>
          <w:lang w:val="sr-Latn-ME"/>
        </w:rPr>
        <w:t>početka</w:t>
      </w:r>
      <w:r w:rsidRPr="00D024EA">
        <w:rPr>
          <w:rFonts w:eastAsia="MS Mincho"/>
          <w:sz w:val="22"/>
          <w:szCs w:val="22"/>
          <w:lang w:val="sr-Latn-ME" w:eastAsia="ja-JP" w:bidi="ne-NP"/>
        </w:rPr>
        <w:t xml:space="preserve"> simptoma, </w:t>
      </w:r>
      <w:r w:rsidRPr="00D024EA">
        <w:rPr>
          <w:sz w:val="22"/>
          <w:szCs w:val="22"/>
          <w:lang w:val="sr-Latn-ME"/>
        </w:rPr>
        <w:t>pri čemu je dijagnoza jasno potvrđena</w:t>
      </w:r>
      <w:r w:rsidRPr="00D024EA">
        <w:rPr>
          <w:rFonts w:eastAsia="MS Mincho"/>
          <w:sz w:val="22"/>
          <w:szCs w:val="22"/>
          <w:lang w:val="sr-Latn-ME" w:eastAsia="ja-JP" w:bidi="ne-NP"/>
        </w:rPr>
        <w:t>.</w:t>
      </w:r>
    </w:p>
    <w:p w14:paraId="7B75D0B9" w14:textId="77777777" w:rsidR="006E22E7" w:rsidRPr="00D024EA" w:rsidRDefault="006E22E7" w:rsidP="00EA5D97">
      <w:pPr>
        <w:autoSpaceDE w:val="0"/>
        <w:autoSpaceDN w:val="0"/>
        <w:adjustRightInd w:val="0"/>
        <w:jc w:val="both"/>
        <w:rPr>
          <w:rFonts w:eastAsia="MS Mincho"/>
          <w:sz w:val="22"/>
          <w:szCs w:val="22"/>
          <w:lang w:val="sr-Latn-ME" w:eastAsia="ja-JP" w:bidi="ne-NP"/>
        </w:rPr>
      </w:pPr>
    </w:p>
    <w:p w14:paraId="71D5504D" w14:textId="77777777" w:rsidR="006E22E7" w:rsidRPr="00D024EA" w:rsidRDefault="006E22E7"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Dokazano je da Actilyse smanjuje 30-dnevni mortalitet kod pacijenata sa akutnim infarktom miokarda.</w:t>
      </w:r>
    </w:p>
    <w:p w14:paraId="1F7686FF" w14:textId="77777777" w:rsidR="006E22E7" w:rsidRPr="00D024EA" w:rsidRDefault="006E22E7" w:rsidP="00EA5D97">
      <w:pPr>
        <w:autoSpaceDE w:val="0"/>
        <w:autoSpaceDN w:val="0"/>
        <w:adjustRightInd w:val="0"/>
        <w:jc w:val="both"/>
        <w:rPr>
          <w:rFonts w:eastAsia="MS Mincho"/>
          <w:sz w:val="22"/>
          <w:szCs w:val="22"/>
          <w:lang w:val="sr-Latn-ME" w:eastAsia="ja-JP" w:bidi="ne-NP"/>
        </w:rPr>
      </w:pPr>
    </w:p>
    <w:p w14:paraId="2125A334" w14:textId="77777777" w:rsidR="006E22E7" w:rsidRPr="00D024EA" w:rsidRDefault="006E22E7" w:rsidP="00EA5D97">
      <w:pPr>
        <w:autoSpaceDE w:val="0"/>
        <w:autoSpaceDN w:val="0"/>
        <w:adjustRightInd w:val="0"/>
        <w:jc w:val="both"/>
        <w:rPr>
          <w:rFonts w:eastAsia="MS Mincho"/>
          <w:sz w:val="22"/>
          <w:szCs w:val="22"/>
          <w:u w:val="single"/>
          <w:lang w:val="sr-Latn-ME" w:eastAsia="ja-JP" w:bidi="ne-NP"/>
        </w:rPr>
      </w:pPr>
      <w:r w:rsidRPr="00D024EA">
        <w:rPr>
          <w:rFonts w:eastAsia="MS Mincho"/>
          <w:sz w:val="22"/>
          <w:szCs w:val="22"/>
          <w:u w:val="single"/>
          <w:lang w:val="sr-Latn-ME" w:eastAsia="ja-JP" w:bidi="ne-NP"/>
        </w:rPr>
        <w:t>Trombolitička terapija kod akutne masivne plućne embolije sa hemodinamskom nestabilnošću</w:t>
      </w:r>
    </w:p>
    <w:p w14:paraId="6CFE9C76" w14:textId="0292641E" w:rsidR="006E22E7" w:rsidRPr="00D024EA" w:rsidRDefault="006E22E7" w:rsidP="00EA5D97">
      <w:pPr>
        <w:tabs>
          <w:tab w:val="left" w:pos="284"/>
        </w:tabs>
        <w:jc w:val="both"/>
        <w:rPr>
          <w:sz w:val="22"/>
          <w:szCs w:val="22"/>
          <w:lang w:val="sr-Latn-ME"/>
        </w:rPr>
      </w:pPr>
      <w:r w:rsidRPr="00D024EA">
        <w:rPr>
          <w:rFonts w:eastAsia="MS Mincho"/>
          <w:sz w:val="22"/>
          <w:szCs w:val="22"/>
          <w:lang w:val="sr-Latn-ME" w:eastAsia="ja-JP" w:bidi="ne-NP"/>
        </w:rPr>
        <w:t>Dijagnoza treba da se potvrdi kad god je moguće objektivnim dijagnostičkim metodama kao što je</w:t>
      </w:r>
      <w:r w:rsidR="00B7348D" w:rsidRPr="00D024EA">
        <w:rPr>
          <w:rFonts w:eastAsia="MS Mincho"/>
          <w:sz w:val="22"/>
          <w:szCs w:val="22"/>
          <w:lang w:val="sr-Latn-ME" w:eastAsia="ja-JP" w:bidi="ne-NP"/>
        </w:rPr>
        <w:t xml:space="preserve"> </w:t>
      </w:r>
      <w:r w:rsidRPr="00D024EA">
        <w:rPr>
          <w:rFonts w:eastAsia="MS Mincho"/>
          <w:sz w:val="22"/>
          <w:szCs w:val="22"/>
          <w:lang w:val="sr-Latn-ME" w:eastAsia="ja-JP" w:bidi="ne-NP"/>
        </w:rPr>
        <w:t xml:space="preserve">pulmonalna angiografija ili neinvazivnim metodama kao što je CT pluća. </w:t>
      </w:r>
      <w:r w:rsidRPr="00D024EA">
        <w:rPr>
          <w:sz w:val="22"/>
          <w:szCs w:val="22"/>
          <w:lang w:val="sr-Latn-ME"/>
        </w:rPr>
        <w:t>Pozitivni efekti na mortal</w:t>
      </w:r>
      <w:r w:rsidR="00B9091D" w:rsidRPr="00D024EA">
        <w:rPr>
          <w:sz w:val="22"/>
          <w:szCs w:val="22"/>
          <w:lang w:val="sr-Latn-ME"/>
        </w:rPr>
        <w:t>i</w:t>
      </w:r>
      <w:r w:rsidRPr="00D024EA">
        <w:rPr>
          <w:sz w:val="22"/>
          <w:szCs w:val="22"/>
          <w:lang w:val="sr-Latn-ME"/>
        </w:rPr>
        <w:t>tet i kasni morbiditet kod plućne embol</w:t>
      </w:r>
      <w:r w:rsidR="00B9091D" w:rsidRPr="00D024EA">
        <w:rPr>
          <w:sz w:val="22"/>
          <w:szCs w:val="22"/>
          <w:lang w:val="sr-Latn-ME"/>
        </w:rPr>
        <w:t>i</w:t>
      </w:r>
      <w:r w:rsidRPr="00D024EA">
        <w:rPr>
          <w:sz w:val="22"/>
          <w:szCs w:val="22"/>
          <w:lang w:val="sr-Latn-ME"/>
        </w:rPr>
        <w:t>je nijesu dokazani.</w:t>
      </w:r>
    </w:p>
    <w:p w14:paraId="7EC53A2C" w14:textId="77777777" w:rsidR="006E22E7" w:rsidRPr="00D024EA" w:rsidRDefault="006E22E7" w:rsidP="00EA5D97">
      <w:pPr>
        <w:autoSpaceDE w:val="0"/>
        <w:autoSpaceDN w:val="0"/>
        <w:adjustRightInd w:val="0"/>
        <w:jc w:val="both"/>
        <w:rPr>
          <w:rFonts w:eastAsia="MS Mincho"/>
          <w:sz w:val="22"/>
          <w:szCs w:val="22"/>
          <w:lang w:val="sr-Latn-ME" w:eastAsia="ja-JP" w:bidi="ne-NP"/>
        </w:rPr>
      </w:pPr>
    </w:p>
    <w:p w14:paraId="6F55ABFB" w14:textId="77777777" w:rsidR="006E22E7" w:rsidRPr="00D024EA" w:rsidRDefault="006E22E7" w:rsidP="00EA5D97">
      <w:pPr>
        <w:autoSpaceDE w:val="0"/>
        <w:autoSpaceDN w:val="0"/>
        <w:adjustRightInd w:val="0"/>
        <w:jc w:val="both"/>
        <w:rPr>
          <w:rFonts w:eastAsia="MS Mincho"/>
          <w:sz w:val="22"/>
          <w:szCs w:val="22"/>
          <w:u w:val="single"/>
          <w:lang w:val="sr-Latn-ME" w:eastAsia="ja-JP" w:bidi="ne-NP"/>
        </w:rPr>
      </w:pPr>
      <w:r w:rsidRPr="00D024EA">
        <w:rPr>
          <w:rFonts w:eastAsia="MS Mincho"/>
          <w:sz w:val="22"/>
          <w:szCs w:val="22"/>
          <w:u w:val="single"/>
          <w:lang w:val="sr-Latn-ME" w:eastAsia="ja-JP" w:bidi="ne-NP"/>
        </w:rPr>
        <w:t>Fibrinolitička terapija akutnog ishemijskog moždanog udara</w:t>
      </w:r>
    </w:p>
    <w:p w14:paraId="3F2969E2" w14:textId="03A3A839" w:rsidR="006E22E7" w:rsidRPr="00D024EA" w:rsidRDefault="006E22E7" w:rsidP="00EA5D97">
      <w:pPr>
        <w:tabs>
          <w:tab w:val="left" w:pos="284"/>
        </w:tabs>
        <w:jc w:val="both"/>
        <w:rPr>
          <w:sz w:val="22"/>
          <w:szCs w:val="22"/>
          <w:lang w:val="sr-Latn-ME"/>
        </w:rPr>
      </w:pPr>
      <w:r w:rsidRPr="00D024EA">
        <w:rPr>
          <w:sz w:val="22"/>
          <w:szCs w:val="22"/>
          <w:lang w:val="sr-Latn-ME"/>
        </w:rPr>
        <w:t>Terapija se mora započeti što je ranije moguće u roku od 4,5 sata poslije početka simptoma moždanog udara i nakon što se isključi intrakranijalno krvarenje pomoću odgovarajućih ”</w:t>
      </w:r>
      <w:r w:rsidRPr="00D024EA">
        <w:rPr>
          <w:i/>
          <w:sz w:val="22"/>
          <w:szCs w:val="22"/>
          <w:lang w:val="sr-Latn-ME"/>
        </w:rPr>
        <w:t>imaging</w:t>
      </w:r>
      <w:r w:rsidRPr="00D024EA">
        <w:rPr>
          <w:sz w:val="22"/>
          <w:szCs w:val="22"/>
          <w:lang w:val="sr-Latn-ME"/>
        </w:rPr>
        <w:t>” tehnika (tehnika vizuelizacije) kao što je kranijalna kompjuterizovana tomografija ili druge dijagnostičke ”</w:t>
      </w:r>
      <w:r w:rsidRPr="00D024EA">
        <w:rPr>
          <w:i/>
          <w:sz w:val="22"/>
          <w:szCs w:val="22"/>
          <w:lang w:val="sr-Latn-ME"/>
        </w:rPr>
        <w:t>imaging</w:t>
      </w:r>
      <w:r w:rsidRPr="00D024EA">
        <w:rPr>
          <w:sz w:val="22"/>
          <w:szCs w:val="22"/>
          <w:lang w:val="sr-Latn-ME"/>
        </w:rPr>
        <w:t>” metode senzitivne da prikažu prisustvo hemoragije). Terapijski efekat je vremenski zavisan; zbog toga ranija terapija povećava mogućnost povoljnog ishoda.</w:t>
      </w:r>
    </w:p>
    <w:p w14:paraId="5187C877" w14:textId="77777777" w:rsidR="00411B4B" w:rsidRPr="00D024EA" w:rsidRDefault="00411B4B" w:rsidP="00EA5D97">
      <w:pPr>
        <w:tabs>
          <w:tab w:val="left" w:pos="540"/>
          <w:tab w:val="left" w:pos="569"/>
        </w:tabs>
        <w:jc w:val="both"/>
        <w:rPr>
          <w:bCs/>
          <w:sz w:val="22"/>
          <w:szCs w:val="22"/>
          <w:lang w:val="sr-Latn-ME"/>
        </w:rPr>
      </w:pPr>
    </w:p>
    <w:p w14:paraId="61226109" w14:textId="77777777" w:rsidR="00411B4B" w:rsidRPr="00D024EA" w:rsidRDefault="00411B4B" w:rsidP="00EA5D97">
      <w:pPr>
        <w:tabs>
          <w:tab w:val="left" w:pos="540"/>
          <w:tab w:val="left" w:pos="569"/>
        </w:tabs>
        <w:jc w:val="both"/>
        <w:rPr>
          <w:b/>
          <w:bCs/>
          <w:sz w:val="22"/>
          <w:szCs w:val="22"/>
          <w:lang w:val="sr-Latn-ME"/>
        </w:rPr>
      </w:pPr>
      <w:r w:rsidRPr="00D024EA">
        <w:rPr>
          <w:b/>
          <w:bCs/>
          <w:sz w:val="22"/>
          <w:szCs w:val="22"/>
          <w:lang w:val="sr-Latn-ME"/>
        </w:rPr>
        <w:t xml:space="preserve">4.2. </w:t>
      </w:r>
      <w:r w:rsidR="00480FB1" w:rsidRPr="00D024EA">
        <w:rPr>
          <w:b/>
          <w:bCs/>
          <w:sz w:val="22"/>
          <w:szCs w:val="22"/>
          <w:lang w:val="sr-Latn-ME"/>
        </w:rPr>
        <w:tab/>
      </w:r>
      <w:r w:rsidRPr="00D024EA">
        <w:rPr>
          <w:b/>
          <w:bCs/>
          <w:sz w:val="22"/>
          <w:szCs w:val="22"/>
          <w:lang w:val="sr-Latn-ME"/>
        </w:rPr>
        <w:t>Doziranje i način primjene</w:t>
      </w:r>
    </w:p>
    <w:p w14:paraId="7EF16E02" w14:textId="77777777" w:rsidR="0072020E" w:rsidRPr="00D024EA" w:rsidRDefault="0072020E" w:rsidP="00EA5D97">
      <w:pPr>
        <w:tabs>
          <w:tab w:val="left" w:pos="540"/>
          <w:tab w:val="left" w:pos="569"/>
        </w:tabs>
        <w:jc w:val="both"/>
        <w:rPr>
          <w:bCs/>
          <w:sz w:val="22"/>
          <w:szCs w:val="22"/>
          <w:lang w:val="sr-Latn-ME"/>
        </w:rPr>
      </w:pPr>
    </w:p>
    <w:p w14:paraId="697245CA" w14:textId="2950BD07" w:rsidR="006E22E7" w:rsidRPr="00D024EA" w:rsidRDefault="006E22E7"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 xml:space="preserve">Actilyse treba da se primijeni </w:t>
      </w:r>
      <w:r w:rsidR="00A2465B" w:rsidRPr="00D024EA">
        <w:rPr>
          <w:rFonts w:eastAsia="MS Mincho"/>
          <w:sz w:val="22"/>
          <w:szCs w:val="22"/>
          <w:lang w:val="sr-Latn-ME" w:eastAsia="ja-JP" w:bidi="ne-NP"/>
        </w:rPr>
        <w:t>što je prije moguće</w:t>
      </w:r>
      <w:r w:rsidRPr="00D024EA">
        <w:rPr>
          <w:rFonts w:eastAsia="MS Mincho"/>
          <w:sz w:val="22"/>
          <w:szCs w:val="22"/>
          <w:lang w:val="sr-Latn-ME" w:eastAsia="ja-JP" w:bidi="ne-NP"/>
        </w:rPr>
        <w:t xml:space="preserve"> nakon pojave simptoma. Primjenjuju se sljedeće smjernice za doziranje.</w:t>
      </w:r>
    </w:p>
    <w:p w14:paraId="5FEC3444" w14:textId="77777777" w:rsidR="006E22E7" w:rsidRPr="00D024EA" w:rsidRDefault="006E22E7" w:rsidP="00EA5D97">
      <w:pPr>
        <w:autoSpaceDE w:val="0"/>
        <w:autoSpaceDN w:val="0"/>
        <w:adjustRightInd w:val="0"/>
        <w:jc w:val="both"/>
        <w:rPr>
          <w:rFonts w:eastAsia="MS Mincho"/>
          <w:sz w:val="22"/>
          <w:szCs w:val="22"/>
          <w:lang w:val="sr-Latn-ME" w:eastAsia="ja-JP" w:bidi="ne-NP"/>
        </w:rPr>
      </w:pPr>
    </w:p>
    <w:p w14:paraId="039E0566" w14:textId="77777777" w:rsidR="006E22E7" w:rsidRPr="00D024EA" w:rsidRDefault="006E22E7" w:rsidP="00EA5D97">
      <w:pPr>
        <w:autoSpaceDE w:val="0"/>
        <w:autoSpaceDN w:val="0"/>
        <w:adjustRightInd w:val="0"/>
        <w:jc w:val="both"/>
        <w:rPr>
          <w:rFonts w:eastAsia="MS Mincho"/>
          <w:sz w:val="22"/>
          <w:szCs w:val="22"/>
          <w:u w:val="single"/>
          <w:lang w:val="sr-Latn-ME" w:eastAsia="ja-JP" w:bidi="ne-NP"/>
        </w:rPr>
      </w:pPr>
      <w:r w:rsidRPr="00D024EA">
        <w:rPr>
          <w:rFonts w:eastAsia="MS Mincho"/>
          <w:sz w:val="22"/>
          <w:szCs w:val="22"/>
          <w:u w:val="single"/>
          <w:lang w:val="sr-Latn-ME" w:eastAsia="ja-JP" w:bidi="ne-NP"/>
        </w:rPr>
        <w:t>Akutni infarkt miokarda</w:t>
      </w:r>
    </w:p>
    <w:p w14:paraId="6041D4B9" w14:textId="77777777" w:rsidR="006E22E7" w:rsidRPr="00D024EA" w:rsidRDefault="006E22E7" w:rsidP="00EA5D97">
      <w:pPr>
        <w:autoSpaceDE w:val="0"/>
        <w:autoSpaceDN w:val="0"/>
        <w:adjustRightInd w:val="0"/>
        <w:jc w:val="both"/>
        <w:rPr>
          <w:b/>
          <w:bCs/>
          <w:sz w:val="22"/>
          <w:szCs w:val="22"/>
          <w:lang w:val="sr-Latn-ME"/>
        </w:rPr>
      </w:pPr>
    </w:p>
    <w:p w14:paraId="588A9FA9" w14:textId="77777777" w:rsidR="006E22E7" w:rsidRPr="00D024EA" w:rsidRDefault="006E22E7" w:rsidP="00EA5D97">
      <w:pPr>
        <w:autoSpaceDE w:val="0"/>
        <w:autoSpaceDN w:val="0"/>
        <w:adjustRightInd w:val="0"/>
        <w:jc w:val="both"/>
        <w:rPr>
          <w:rFonts w:eastAsia="MS Mincho"/>
          <w:sz w:val="22"/>
          <w:szCs w:val="22"/>
          <w:u w:val="single"/>
          <w:lang w:val="sr-Latn-ME" w:eastAsia="ja-JP" w:bidi="ne-NP"/>
        </w:rPr>
      </w:pPr>
      <w:r w:rsidRPr="00D024EA">
        <w:rPr>
          <w:sz w:val="22"/>
          <w:szCs w:val="22"/>
          <w:lang w:val="sr-Latn-ME"/>
        </w:rPr>
        <w:t>Doziranje</w:t>
      </w:r>
    </w:p>
    <w:p w14:paraId="4AD0689E" w14:textId="402E58A3" w:rsidR="00A2465B" w:rsidRPr="00D024EA" w:rsidRDefault="006E22E7" w:rsidP="009F2789">
      <w:pPr>
        <w:numPr>
          <w:ilvl w:val="0"/>
          <w:numId w:val="13"/>
        </w:numPr>
        <w:tabs>
          <w:tab w:val="left" w:pos="284"/>
        </w:tabs>
        <w:autoSpaceDE w:val="0"/>
        <w:autoSpaceDN w:val="0"/>
        <w:adjustRightInd w:val="0"/>
        <w:ind w:left="714" w:hanging="357"/>
        <w:contextualSpacing/>
        <w:jc w:val="both"/>
        <w:rPr>
          <w:b/>
          <w:bCs/>
          <w:sz w:val="22"/>
          <w:szCs w:val="22"/>
          <w:lang w:val="sr-Latn-ME"/>
        </w:rPr>
      </w:pPr>
      <w:r w:rsidRPr="00D024EA">
        <w:rPr>
          <w:rFonts w:eastAsia="MS Mincho"/>
          <w:sz w:val="22"/>
          <w:szCs w:val="22"/>
          <w:lang w:val="sr-Latn-ME" w:eastAsia="ja-JP" w:bidi="ne-NP"/>
        </w:rPr>
        <w:t>90-minutni (ubrzani) režim doziranja za pacijente sa akutnim infarktom miokarda, kod kojih liječenje može da počne u roku od 6 sati od pojave simptoma:</w:t>
      </w:r>
    </w:p>
    <w:p w14:paraId="0497D811" w14:textId="5D926DFE" w:rsidR="00A2465B" w:rsidRPr="00D024EA" w:rsidRDefault="00A2465B" w:rsidP="009F2789">
      <w:pPr>
        <w:tabs>
          <w:tab w:val="left" w:pos="284"/>
        </w:tabs>
        <w:autoSpaceDE w:val="0"/>
        <w:autoSpaceDN w:val="0"/>
        <w:adjustRightInd w:val="0"/>
        <w:ind w:left="714"/>
        <w:contextualSpacing/>
        <w:jc w:val="both"/>
        <w:rPr>
          <w:sz w:val="22"/>
          <w:szCs w:val="22"/>
          <w:lang w:val="sr-Latn-ME"/>
        </w:rPr>
      </w:pPr>
      <w:r w:rsidRPr="00D024EA">
        <w:rPr>
          <w:sz w:val="22"/>
          <w:szCs w:val="22"/>
          <w:lang w:val="sr-Latn-ME"/>
        </w:rPr>
        <w:t>Kod pacijenata sa t</w:t>
      </w:r>
      <w:r w:rsidR="009F2789" w:rsidRPr="00D024EA">
        <w:rPr>
          <w:sz w:val="22"/>
          <w:szCs w:val="22"/>
          <w:lang w:val="sr-Latn-ME"/>
        </w:rPr>
        <w:t>j</w:t>
      </w:r>
      <w:r w:rsidRPr="00D024EA">
        <w:rPr>
          <w:sz w:val="22"/>
          <w:szCs w:val="22"/>
          <w:lang w:val="sr-Latn-ME"/>
        </w:rPr>
        <w:t>elesnom masom ≥ 65 kg:</w:t>
      </w:r>
    </w:p>
    <w:p w14:paraId="17D5EBBD" w14:textId="77777777" w:rsidR="00C65313" w:rsidRPr="00D024EA" w:rsidRDefault="00C65313" w:rsidP="0068078E">
      <w:pPr>
        <w:tabs>
          <w:tab w:val="left" w:pos="284"/>
        </w:tabs>
        <w:autoSpaceDE w:val="0"/>
        <w:autoSpaceDN w:val="0"/>
        <w:adjustRightInd w:val="0"/>
        <w:ind w:left="714"/>
        <w:contextualSpacing/>
        <w:jc w:val="both"/>
        <w:rPr>
          <w:sz w:val="22"/>
          <w:szCs w:val="22"/>
          <w:lang w:val="sr-Latn-ME"/>
        </w:rPr>
      </w:pPr>
    </w:p>
    <w:tbl>
      <w:tblPr>
        <w:tblStyle w:val="TableGrid"/>
        <w:tblW w:w="5000" w:type="pct"/>
        <w:jc w:val="center"/>
        <w:tblLook w:val="01E0" w:firstRow="1" w:lastRow="1" w:firstColumn="1" w:lastColumn="1" w:noHBand="0" w:noVBand="0"/>
      </w:tblPr>
      <w:tblGrid>
        <w:gridCol w:w="5379"/>
        <w:gridCol w:w="1842"/>
        <w:gridCol w:w="1842"/>
      </w:tblGrid>
      <w:tr w:rsidR="006E22E7" w:rsidRPr="00D024EA" w14:paraId="2E0032EE" w14:textId="77777777" w:rsidTr="00B7348D">
        <w:trPr>
          <w:jc w:val="center"/>
        </w:trPr>
        <w:tc>
          <w:tcPr>
            <w:tcW w:w="2968" w:type="pct"/>
            <w:vMerge w:val="restart"/>
          </w:tcPr>
          <w:p w14:paraId="23BE92B9" w14:textId="77777777" w:rsidR="006E22E7" w:rsidRPr="00D024EA" w:rsidRDefault="006E22E7" w:rsidP="00EF218C">
            <w:pPr>
              <w:autoSpaceDE w:val="0"/>
              <w:autoSpaceDN w:val="0"/>
              <w:adjustRightInd w:val="0"/>
              <w:rPr>
                <w:rFonts w:eastAsia="MS Mincho"/>
                <w:sz w:val="22"/>
                <w:szCs w:val="22"/>
                <w:lang w:val="sr-Latn-ME" w:eastAsia="ja-JP" w:bidi="ne-NP"/>
              </w:rPr>
            </w:pPr>
          </w:p>
        </w:tc>
        <w:tc>
          <w:tcPr>
            <w:tcW w:w="2032" w:type="pct"/>
            <w:gridSpan w:val="2"/>
            <w:vAlign w:val="center"/>
          </w:tcPr>
          <w:p w14:paraId="247EF058" w14:textId="77777777" w:rsidR="00A2465B" w:rsidRPr="00D024EA" w:rsidRDefault="00A2465B" w:rsidP="00EA5D97">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Zapremina koja se daje prema</w:t>
            </w:r>
          </w:p>
          <w:p w14:paraId="610F9627" w14:textId="095FAC25" w:rsidR="006E22E7" w:rsidRPr="00D024EA" w:rsidRDefault="00A2465B" w:rsidP="00EA5D97">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k</w:t>
            </w:r>
            <w:r w:rsidR="006E22E7" w:rsidRPr="00D024EA">
              <w:rPr>
                <w:rFonts w:eastAsia="MS Mincho"/>
                <w:sz w:val="22"/>
                <w:szCs w:val="22"/>
                <w:lang w:val="sr-Latn-ME" w:eastAsia="ja-JP" w:bidi="ne-NP"/>
              </w:rPr>
              <w:t>oncentracij</w:t>
            </w:r>
            <w:r w:rsidRPr="00D024EA">
              <w:rPr>
                <w:rFonts w:eastAsia="MS Mincho"/>
                <w:sz w:val="22"/>
                <w:szCs w:val="22"/>
                <w:lang w:val="sr-Latn-ME" w:eastAsia="ja-JP" w:bidi="ne-NP"/>
              </w:rPr>
              <w:t>i</w:t>
            </w:r>
            <w:r w:rsidR="006E22E7" w:rsidRPr="00D024EA">
              <w:rPr>
                <w:rFonts w:eastAsia="MS Mincho"/>
                <w:sz w:val="22"/>
                <w:szCs w:val="22"/>
                <w:lang w:val="sr-Latn-ME" w:eastAsia="ja-JP" w:bidi="ne-NP"/>
              </w:rPr>
              <w:t xml:space="preserve"> alteplaze</w:t>
            </w:r>
          </w:p>
        </w:tc>
      </w:tr>
      <w:tr w:rsidR="004B1BE0" w:rsidRPr="00D024EA" w14:paraId="758D1DB8" w14:textId="77777777" w:rsidTr="00B7348D">
        <w:trPr>
          <w:trHeight w:val="516"/>
          <w:jc w:val="center"/>
        </w:trPr>
        <w:tc>
          <w:tcPr>
            <w:tcW w:w="2968" w:type="pct"/>
            <w:vMerge/>
          </w:tcPr>
          <w:p w14:paraId="58AEA95A" w14:textId="77777777" w:rsidR="004B1BE0" w:rsidRPr="00D024EA" w:rsidRDefault="004B1BE0">
            <w:pPr>
              <w:autoSpaceDE w:val="0"/>
              <w:autoSpaceDN w:val="0"/>
              <w:adjustRightInd w:val="0"/>
              <w:rPr>
                <w:rFonts w:eastAsia="MS Mincho"/>
                <w:sz w:val="22"/>
                <w:szCs w:val="22"/>
                <w:lang w:val="sr-Latn-ME" w:eastAsia="ja-JP" w:bidi="ne-NP"/>
              </w:rPr>
            </w:pPr>
          </w:p>
        </w:tc>
        <w:tc>
          <w:tcPr>
            <w:tcW w:w="1016" w:type="pct"/>
            <w:vAlign w:val="center"/>
          </w:tcPr>
          <w:p w14:paraId="3FA3DA2E" w14:textId="3879418A" w:rsidR="004B1BE0" w:rsidRPr="00D024EA" w:rsidRDefault="004B1BE0">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1 mg/</w:t>
            </w:r>
            <w:r w:rsidR="00B7348D" w:rsidRPr="00D024EA">
              <w:rPr>
                <w:rFonts w:eastAsia="MS Mincho"/>
                <w:sz w:val="22"/>
                <w:szCs w:val="22"/>
                <w:lang w:val="sr-Latn-ME" w:eastAsia="ja-JP" w:bidi="ne-NP"/>
              </w:rPr>
              <w:t>ml</w:t>
            </w:r>
          </w:p>
        </w:tc>
        <w:tc>
          <w:tcPr>
            <w:tcW w:w="1016" w:type="pct"/>
            <w:vAlign w:val="center"/>
          </w:tcPr>
          <w:p w14:paraId="0BF5F38D" w14:textId="1ED412C4" w:rsidR="004B1BE0" w:rsidRPr="00D024EA" w:rsidRDefault="004B1BE0">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2 mg/</w:t>
            </w:r>
            <w:r w:rsidR="00B7348D" w:rsidRPr="00D024EA">
              <w:rPr>
                <w:rFonts w:eastAsia="MS Mincho"/>
                <w:sz w:val="22"/>
                <w:szCs w:val="22"/>
                <w:lang w:val="sr-Latn-ME" w:eastAsia="ja-JP" w:bidi="ne-NP"/>
              </w:rPr>
              <w:t>ml</w:t>
            </w:r>
          </w:p>
        </w:tc>
      </w:tr>
      <w:tr w:rsidR="006E22E7" w:rsidRPr="00D024EA" w14:paraId="499084E6" w14:textId="77777777" w:rsidTr="00B7348D">
        <w:trPr>
          <w:trHeight w:val="70"/>
          <w:jc w:val="center"/>
        </w:trPr>
        <w:tc>
          <w:tcPr>
            <w:tcW w:w="2968" w:type="pct"/>
          </w:tcPr>
          <w:p w14:paraId="3E156C79" w14:textId="7597F3A8" w:rsidR="006E22E7" w:rsidRPr="00D024EA" w:rsidRDefault="006E22E7" w:rsidP="009F2789">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15 mg kao intravenski bolus</w:t>
            </w:r>
            <w:r w:rsidR="00A2465B" w:rsidRPr="00D024EA">
              <w:rPr>
                <w:rFonts w:eastAsia="MS Mincho"/>
                <w:sz w:val="22"/>
                <w:szCs w:val="22"/>
                <w:lang w:val="sr-Latn-ME" w:eastAsia="ja-JP" w:bidi="ne-NP"/>
              </w:rPr>
              <w:t>, iza čega odmah slijedi</w:t>
            </w:r>
          </w:p>
        </w:tc>
        <w:tc>
          <w:tcPr>
            <w:tcW w:w="1016" w:type="pct"/>
            <w:vAlign w:val="center"/>
          </w:tcPr>
          <w:p w14:paraId="56EF2823" w14:textId="54F3B924" w:rsidR="006E22E7" w:rsidRPr="00D024EA" w:rsidRDefault="006E22E7" w:rsidP="0068078E">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15</w:t>
            </w:r>
            <w:r w:rsidR="00A2465B" w:rsidRPr="00D024EA">
              <w:rPr>
                <w:rFonts w:eastAsia="MS Mincho"/>
                <w:sz w:val="22"/>
                <w:szCs w:val="22"/>
                <w:lang w:val="sr-Latn-ME" w:eastAsia="ja-JP" w:bidi="ne-NP"/>
              </w:rPr>
              <w:t xml:space="preserve"> </w:t>
            </w:r>
            <w:r w:rsidR="00B7348D" w:rsidRPr="00D024EA">
              <w:rPr>
                <w:rFonts w:eastAsia="MS Mincho"/>
                <w:sz w:val="22"/>
                <w:szCs w:val="22"/>
                <w:lang w:val="sr-Latn-ME" w:eastAsia="ja-JP" w:bidi="ne-NP"/>
              </w:rPr>
              <w:t>ml</w:t>
            </w:r>
          </w:p>
        </w:tc>
        <w:tc>
          <w:tcPr>
            <w:tcW w:w="1016" w:type="pct"/>
          </w:tcPr>
          <w:p w14:paraId="2FE399D0" w14:textId="11DA8177" w:rsidR="006E22E7" w:rsidRPr="00D024EA" w:rsidRDefault="006E22E7" w:rsidP="00EF218C">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7,5</w:t>
            </w:r>
            <w:r w:rsidR="00A2465B" w:rsidRPr="00D024EA">
              <w:rPr>
                <w:rFonts w:eastAsia="MS Mincho"/>
                <w:sz w:val="22"/>
                <w:szCs w:val="22"/>
                <w:lang w:val="sr-Latn-ME" w:eastAsia="ja-JP" w:bidi="ne-NP"/>
              </w:rPr>
              <w:t xml:space="preserve"> </w:t>
            </w:r>
            <w:r w:rsidR="00B7348D" w:rsidRPr="00D024EA">
              <w:rPr>
                <w:rFonts w:eastAsia="MS Mincho"/>
                <w:sz w:val="22"/>
                <w:szCs w:val="22"/>
                <w:lang w:val="sr-Latn-ME" w:eastAsia="ja-JP" w:bidi="ne-NP"/>
              </w:rPr>
              <w:t>ml</w:t>
            </w:r>
          </w:p>
        </w:tc>
      </w:tr>
      <w:tr w:rsidR="006E22E7" w:rsidRPr="00D024EA" w14:paraId="17905AF7" w14:textId="77777777" w:rsidTr="00B7348D">
        <w:trPr>
          <w:trHeight w:val="70"/>
          <w:jc w:val="center"/>
        </w:trPr>
        <w:tc>
          <w:tcPr>
            <w:tcW w:w="2968" w:type="pct"/>
          </w:tcPr>
          <w:p w14:paraId="48473835" w14:textId="737EA769" w:rsidR="006E22E7" w:rsidRPr="00D024EA" w:rsidRDefault="006E22E7" w:rsidP="009F2789">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 xml:space="preserve">50 mg kao </w:t>
            </w:r>
            <w:r w:rsidR="00A2465B" w:rsidRPr="00D024EA">
              <w:rPr>
                <w:rFonts w:eastAsia="MS Mincho"/>
                <w:sz w:val="22"/>
                <w:szCs w:val="22"/>
                <w:lang w:val="sr-Latn-ME" w:eastAsia="ja-JP" w:bidi="ne-NP"/>
              </w:rPr>
              <w:t xml:space="preserve">intravenska </w:t>
            </w:r>
            <w:r w:rsidRPr="00D024EA">
              <w:rPr>
                <w:rFonts w:eastAsia="MS Mincho"/>
                <w:sz w:val="22"/>
                <w:szCs w:val="22"/>
                <w:lang w:val="sr-Latn-ME" w:eastAsia="ja-JP" w:bidi="ne-NP"/>
              </w:rPr>
              <w:t xml:space="preserve">infuzija </w:t>
            </w:r>
            <w:r w:rsidR="00A2465B" w:rsidRPr="00D024EA">
              <w:rPr>
                <w:rFonts w:eastAsia="MS Mincho"/>
                <w:sz w:val="22"/>
                <w:szCs w:val="22"/>
                <w:lang w:val="sr-Latn-ME" w:eastAsia="ja-JP" w:bidi="ne-NP"/>
              </w:rPr>
              <w:t xml:space="preserve">konstantne brzine </w:t>
            </w:r>
            <w:r w:rsidRPr="00D024EA">
              <w:rPr>
                <w:rFonts w:eastAsia="MS Mincho"/>
                <w:sz w:val="22"/>
                <w:szCs w:val="22"/>
                <w:lang w:val="sr-Latn-ME" w:eastAsia="ja-JP" w:bidi="ne-NP"/>
              </w:rPr>
              <w:t>u toku prvih 30 minuta</w:t>
            </w:r>
            <w:r w:rsidR="00A2465B" w:rsidRPr="00D024EA">
              <w:rPr>
                <w:rFonts w:eastAsia="MS Mincho"/>
                <w:sz w:val="22"/>
                <w:szCs w:val="22"/>
                <w:lang w:val="sr-Latn-ME" w:eastAsia="ja-JP" w:bidi="ne-NP"/>
              </w:rPr>
              <w:t>, iza čega odmah slijedi</w:t>
            </w:r>
          </w:p>
        </w:tc>
        <w:tc>
          <w:tcPr>
            <w:tcW w:w="1016" w:type="pct"/>
            <w:vAlign w:val="center"/>
          </w:tcPr>
          <w:p w14:paraId="6F441C1F" w14:textId="7474A968" w:rsidR="006E22E7" w:rsidRPr="00D024EA" w:rsidRDefault="006E22E7" w:rsidP="0068078E">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50</w:t>
            </w:r>
            <w:r w:rsidR="00A2465B" w:rsidRPr="00D024EA">
              <w:rPr>
                <w:rFonts w:eastAsia="MS Mincho"/>
                <w:sz w:val="22"/>
                <w:szCs w:val="22"/>
                <w:lang w:val="sr-Latn-ME" w:eastAsia="ja-JP" w:bidi="ne-NP"/>
              </w:rPr>
              <w:t xml:space="preserve"> </w:t>
            </w:r>
            <w:r w:rsidR="00B7348D" w:rsidRPr="00D024EA">
              <w:rPr>
                <w:rFonts w:eastAsia="MS Mincho"/>
                <w:sz w:val="22"/>
                <w:szCs w:val="22"/>
                <w:lang w:val="sr-Latn-ME" w:eastAsia="ja-JP" w:bidi="ne-NP"/>
              </w:rPr>
              <w:t>ml</w:t>
            </w:r>
          </w:p>
        </w:tc>
        <w:tc>
          <w:tcPr>
            <w:tcW w:w="1016" w:type="pct"/>
          </w:tcPr>
          <w:p w14:paraId="22F7CD6C" w14:textId="5F3ABDA9" w:rsidR="006E22E7" w:rsidRPr="00D024EA" w:rsidRDefault="006E22E7" w:rsidP="00EF218C">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25</w:t>
            </w:r>
            <w:r w:rsidR="00A2465B" w:rsidRPr="00D024EA">
              <w:rPr>
                <w:rFonts w:eastAsia="MS Mincho"/>
                <w:sz w:val="22"/>
                <w:szCs w:val="22"/>
                <w:lang w:val="sr-Latn-ME" w:eastAsia="ja-JP" w:bidi="ne-NP"/>
              </w:rPr>
              <w:t xml:space="preserve"> </w:t>
            </w:r>
            <w:r w:rsidR="00B7348D" w:rsidRPr="00D024EA">
              <w:rPr>
                <w:rFonts w:eastAsia="MS Mincho"/>
                <w:sz w:val="22"/>
                <w:szCs w:val="22"/>
                <w:lang w:val="sr-Latn-ME" w:eastAsia="ja-JP" w:bidi="ne-NP"/>
              </w:rPr>
              <w:t>ml</w:t>
            </w:r>
          </w:p>
        </w:tc>
      </w:tr>
      <w:tr w:rsidR="006E22E7" w:rsidRPr="00D024EA" w14:paraId="118CFE99" w14:textId="77777777" w:rsidTr="00B7348D">
        <w:trPr>
          <w:trHeight w:val="70"/>
          <w:jc w:val="center"/>
        </w:trPr>
        <w:tc>
          <w:tcPr>
            <w:tcW w:w="2968" w:type="pct"/>
          </w:tcPr>
          <w:p w14:paraId="17FE6816" w14:textId="7F3945F5" w:rsidR="006E22E7" w:rsidRPr="00D024EA" w:rsidRDefault="006E22E7" w:rsidP="009F2789">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35 mg</w:t>
            </w:r>
            <w:r w:rsidR="00A2465B" w:rsidRPr="00D024EA">
              <w:rPr>
                <w:rFonts w:eastAsia="MS Mincho"/>
                <w:sz w:val="22"/>
                <w:szCs w:val="22"/>
                <w:lang w:val="sr-Latn-ME" w:eastAsia="ja-JP" w:bidi="ne-NP"/>
              </w:rPr>
              <w:t xml:space="preserve"> kao intravenska infuzija </w:t>
            </w:r>
            <w:r w:rsidR="00192BBB" w:rsidRPr="00D024EA">
              <w:rPr>
                <w:rFonts w:eastAsia="MS Mincho"/>
                <w:sz w:val="22"/>
                <w:szCs w:val="22"/>
                <w:lang w:val="sr-Latn-ME" w:eastAsia="ja-JP" w:bidi="ne-NP"/>
              </w:rPr>
              <w:t>konstantne brzine</w:t>
            </w:r>
            <w:r w:rsidRPr="00D024EA">
              <w:rPr>
                <w:rFonts w:eastAsia="MS Mincho"/>
                <w:sz w:val="22"/>
                <w:szCs w:val="22"/>
                <w:lang w:val="sr-Latn-ME" w:eastAsia="ja-JP" w:bidi="ne-NP"/>
              </w:rPr>
              <w:t xml:space="preserve"> u toku 60 minuta do maksimalne </w:t>
            </w:r>
            <w:r w:rsidR="00192BBB" w:rsidRPr="00D024EA">
              <w:rPr>
                <w:rFonts w:eastAsia="MS Mincho"/>
                <w:sz w:val="22"/>
                <w:szCs w:val="22"/>
                <w:lang w:val="sr-Latn-ME" w:eastAsia="ja-JP" w:bidi="ne-NP"/>
              </w:rPr>
              <w:t xml:space="preserve">ukupne </w:t>
            </w:r>
            <w:r w:rsidRPr="00D024EA">
              <w:rPr>
                <w:rFonts w:eastAsia="MS Mincho"/>
                <w:sz w:val="22"/>
                <w:szCs w:val="22"/>
                <w:lang w:val="sr-Latn-ME" w:eastAsia="ja-JP" w:bidi="ne-NP"/>
              </w:rPr>
              <w:t>doze od 100 mg</w:t>
            </w:r>
          </w:p>
        </w:tc>
        <w:tc>
          <w:tcPr>
            <w:tcW w:w="1016" w:type="pct"/>
            <w:vAlign w:val="center"/>
          </w:tcPr>
          <w:p w14:paraId="15EBC9DE" w14:textId="6F201C35" w:rsidR="006E22E7" w:rsidRPr="00D024EA" w:rsidRDefault="006E22E7" w:rsidP="0068078E">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35</w:t>
            </w:r>
            <w:r w:rsidR="00A2465B" w:rsidRPr="00D024EA">
              <w:rPr>
                <w:rFonts w:eastAsia="MS Mincho"/>
                <w:sz w:val="22"/>
                <w:szCs w:val="22"/>
                <w:lang w:val="sr-Latn-ME" w:eastAsia="ja-JP" w:bidi="ne-NP"/>
              </w:rPr>
              <w:t xml:space="preserve"> </w:t>
            </w:r>
            <w:r w:rsidR="00B7348D" w:rsidRPr="00D024EA">
              <w:rPr>
                <w:rFonts w:eastAsia="MS Mincho"/>
                <w:sz w:val="22"/>
                <w:szCs w:val="22"/>
                <w:lang w:val="sr-Latn-ME" w:eastAsia="ja-JP" w:bidi="ne-NP"/>
              </w:rPr>
              <w:t>ml</w:t>
            </w:r>
          </w:p>
        </w:tc>
        <w:tc>
          <w:tcPr>
            <w:tcW w:w="1016" w:type="pct"/>
            <w:vAlign w:val="center"/>
          </w:tcPr>
          <w:p w14:paraId="11AC1421" w14:textId="3AB18D68" w:rsidR="006E22E7" w:rsidRPr="00D024EA" w:rsidRDefault="006E22E7" w:rsidP="00EF218C">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17,5</w:t>
            </w:r>
            <w:r w:rsidR="00A2465B" w:rsidRPr="00D024EA">
              <w:rPr>
                <w:rFonts w:eastAsia="MS Mincho"/>
                <w:sz w:val="22"/>
                <w:szCs w:val="22"/>
                <w:lang w:val="sr-Latn-ME" w:eastAsia="ja-JP" w:bidi="ne-NP"/>
              </w:rPr>
              <w:t xml:space="preserve"> </w:t>
            </w:r>
            <w:r w:rsidR="00B7348D" w:rsidRPr="00D024EA">
              <w:rPr>
                <w:rFonts w:eastAsia="MS Mincho"/>
                <w:sz w:val="22"/>
                <w:szCs w:val="22"/>
                <w:lang w:val="sr-Latn-ME" w:eastAsia="ja-JP" w:bidi="ne-NP"/>
              </w:rPr>
              <w:t>ml</w:t>
            </w:r>
          </w:p>
        </w:tc>
      </w:tr>
    </w:tbl>
    <w:p w14:paraId="690FE76E" w14:textId="77777777" w:rsidR="006E22E7" w:rsidRPr="00D024EA" w:rsidRDefault="006E22E7" w:rsidP="00EA5D97">
      <w:pPr>
        <w:tabs>
          <w:tab w:val="left" w:pos="284"/>
        </w:tabs>
        <w:jc w:val="both"/>
        <w:rPr>
          <w:b/>
          <w:bCs/>
          <w:sz w:val="22"/>
          <w:szCs w:val="22"/>
          <w:lang w:val="sr-Latn-ME"/>
        </w:rPr>
      </w:pPr>
    </w:p>
    <w:p w14:paraId="222E5B7A" w14:textId="69FB7914" w:rsidR="006E22E7" w:rsidRPr="00D024EA" w:rsidRDefault="006E22E7"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 xml:space="preserve">Kod pacijenata čija je tjelesna masa </w:t>
      </w:r>
      <w:r w:rsidR="00192BBB" w:rsidRPr="00D024EA">
        <w:rPr>
          <w:rFonts w:eastAsia="MS Mincho"/>
          <w:sz w:val="22"/>
          <w:szCs w:val="22"/>
          <w:lang w:val="sr-Latn-ME" w:eastAsia="ja-JP" w:bidi="ne-NP"/>
        </w:rPr>
        <w:t>&lt;</w:t>
      </w:r>
      <w:r w:rsidRPr="00D024EA">
        <w:rPr>
          <w:rFonts w:eastAsia="MS Mincho"/>
          <w:sz w:val="22"/>
          <w:szCs w:val="22"/>
          <w:lang w:val="sr-Latn-ME" w:eastAsia="ja-JP" w:bidi="ne-NP"/>
        </w:rPr>
        <w:t xml:space="preserve"> 65 kg, ukupna doza treba da se uskladi prema težini kao što stoji u sljedećoj tabeli:</w:t>
      </w:r>
    </w:p>
    <w:p w14:paraId="6F60E914" w14:textId="77777777" w:rsidR="00B7348D" w:rsidRPr="00D024EA" w:rsidRDefault="00B7348D" w:rsidP="00EA5D97">
      <w:pPr>
        <w:autoSpaceDE w:val="0"/>
        <w:autoSpaceDN w:val="0"/>
        <w:adjustRightInd w:val="0"/>
        <w:jc w:val="both"/>
        <w:rPr>
          <w:rFonts w:eastAsia="MS Mincho"/>
          <w:sz w:val="22"/>
          <w:szCs w:val="22"/>
          <w:lang w:val="sr-Latn-ME" w:eastAsia="ja-JP" w:bidi="ne-NP"/>
        </w:rPr>
      </w:pPr>
    </w:p>
    <w:tbl>
      <w:tblPr>
        <w:tblStyle w:val="TableGrid"/>
        <w:tblW w:w="5000" w:type="pct"/>
        <w:jc w:val="center"/>
        <w:tblLayout w:type="fixed"/>
        <w:tblLook w:val="01E0" w:firstRow="1" w:lastRow="1" w:firstColumn="1" w:lastColumn="1" w:noHBand="0" w:noVBand="0"/>
      </w:tblPr>
      <w:tblGrid>
        <w:gridCol w:w="5039"/>
        <w:gridCol w:w="2012"/>
        <w:gridCol w:w="2012"/>
      </w:tblGrid>
      <w:tr w:rsidR="006E22E7" w:rsidRPr="00D024EA" w14:paraId="3ECB2FCA" w14:textId="77777777" w:rsidTr="00EA5D97">
        <w:trPr>
          <w:jc w:val="center"/>
        </w:trPr>
        <w:tc>
          <w:tcPr>
            <w:tcW w:w="2780" w:type="pct"/>
            <w:vMerge w:val="restart"/>
          </w:tcPr>
          <w:p w14:paraId="67781C1A" w14:textId="77777777" w:rsidR="006E22E7" w:rsidRPr="00D024EA" w:rsidRDefault="006E22E7" w:rsidP="009F2789">
            <w:pPr>
              <w:autoSpaceDE w:val="0"/>
              <w:autoSpaceDN w:val="0"/>
              <w:adjustRightInd w:val="0"/>
              <w:rPr>
                <w:rFonts w:eastAsia="MS Mincho"/>
                <w:sz w:val="22"/>
                <w:szCs w:val="22"/>
                <w:lang w:val="sr-Latn-ME" w:eastAsia="ja-JP" w:bidi="ne-NP"/>
              </w:rPr>
            </w:pPr>
          </w:p>
        </w:tc>
        <w:tc>
          <w:tcPr>
            <w:tcW w:w="2220" w:type="pct"/>
            <w:gridSpan w:val="2"/>
            <w:vAlign w:val="center"/>
          </w:tcPr>
          <w:p w14:paraId="4A81DA41" w14:textId="5BAAA86D" w:rsidR="00192BBB" w:rsidRPr="00D024EA" w:rsidRDefault="00192BBB" w:rsidP="00EA5D97">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Zapremina koja se daje prema</w:t>
            </w:r>
          </w:p>
          <w:p w14:paraId="05DB07E9" w14:textId="77A73163" w:rsidR="006E22E7" w:rsidRPr="00D024EA" w:rsidRDefault="00192BBB" w:rsidP="00EA5D97">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k</w:t>
            </w:r>
            <w:r w:rsidR="006E22E7" w:rsidRPr="00D024EA">
              <w:rPr>
                <w:rFonts w:eastAsia="MS Mincho"/>
                <w:sz w:val="22"/>
                <w:szCs w:val="22"/>
                <w:lang w:val="sr-Latn-ME" w:eastAsia="ja-JP" w:bidi="ne-NP"/>
              </w:rPr>
              <w:t>oncentracij</w:t>
            </w:r>
            <w:r w:rsidRPr="00D024EA">
              <w:rPr>
                <w:rFonts w:eastAsia="MS Mincho"/>
                <w:sz w:val="22"/>
                <w:szCs w:val="22"/>
                <w:lang w:val="sr-Latn-ME" w:eastAsia="ja-JP" w:bidi="ne-NP"/>
              </w:rPr>
              <w:t>i</w:t>
            </w:r>
            <w:r w:rsidR="006E22E7" w:rsidRPr="00D024EA">
              <w:rPr>
                <w:rFonts w:eastAsia="MS Mincho"/>
                <w:sz w:val="22"/>
                <w:szCs w:val="22"/>
                <w:lang w:val="sr-Latn-ME" w:eastAsia="ja-JP" w:bidi="ne-NP"/>
              </w:rPr>
              <w:t xml:space="preserve"> alteplaze</w:t>
            </w:r>
          </w:p>
        </w:tc>
      </w:tr>
      <w:tr w:rsidR="004B1BE0" w:rsidRPr="00D024EA" w14:paraId="0B0739DA" w14:textId="77777777" w:rsidTr="00EA5D97">
        <w:trPr>
          <w:trHeight w:val="516"/>
          <w:jc w:val="center"/>
        </w:trPr>
        <w:tc>
          <w:tcPr>
            <w:tcW w:w="2780" w:type="pct"/>
            <w:vMerge/>
          </w:tcPr>
          <w:p w14:paraId="13F5306D" w14:textId="77777777" w:rsidR="004B1BE0" w:rsidRPr="00D024EA" w:rsidRDefault="004B1BE0">
            <w:pPr>
              <w:autoSpaceDE w:val="0"/>
              <w:autoSpaceDN w:val="0"/>
              <w:adjustRightInd w:val="0"/>
              <w:rPr>
                <w:rFonts w:eastAsia="MS Mincho"/>
                <w:sz w:val="22"/>
                <w:szCs w:val="22"/>
                <w:lang w:val="sr-Latn-ME" w:eastAsia="ja-JP" w:bidi="ne-NP"/>
              </w:rPr>
            </w:pPr>
          </w:p>
        </w:tc>
        <w:tc>
          <w:tcPr>
            <w:tcW w:w="1110" w:type="pct"/>
            <w:vAlign w:val="center"/>
          </w:tcPr>
          <w:p w14:paraId="404F897C" w14:textId="48E0B58E" w:rsidR="004B1BE0" w:rsidRPr="00D024EA" w:rsidRDefault="004B1BE0">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1 mg/</w:t>
            </w:r>
            <w:r w:rsidR="00B7348D" w:rsidRPr="00D024EA">
              <w:rPr>
                <w:rFonts w:eastAsia="MS Mincho"/>
                <w:sz w:val="22"/>
                <w:szCs w:val="22"/>
                <w:lang w:val="sr-Latn-ME" w:eastAsia="ja-JP" w:bidi="ne-NP"/>
              </w:rPr>
              <w:t>ml</w:t>
            </w:r>
          </w:p>
        </w:tc>
        <w:tc>
          <w:tcPr>
            <w:tcW w:w="1110" w:type="pct"/>
            <w:vAlign w:val="center"/>
          </w:tcPr>
          <w:p w14:paraId="465A2340" w14:textId="6FA1E5F2" w:rsidR="004B1BE0" w:rsidRPr="00D024EA" w:rsidRDefault="004B1BE0">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2 mg/</w:t>
            </w:r>
            <w:r w:rsidR="00B7348D" w:rsidRPr="00D024EA">
              <w:rPr>
                <w:rFonts w:eastAsia="MS Mincho"/>
                <w:sz w:val="22"/>
                <w:szCs w:val="22"/>
                <w:lang w:val="sr-Latn-ME" w:eastAsia="ja-JP" w:bidi="ne-NP"/>
              </w:rPr>
              <w:t>ml</w:t>
            </w:r>
          </w:p>
        </w:tc>
      </w:tr>
      <w:tr w:rsidR="006E22E7" w:rsidRPr="00D024EA" w14:paraId="2E63E0B8" w14:textId="77777777" w:rsidTr="00EA5D97">
        <w:trPr>
          <w:trHeight w:val="70"/>
          <w:jc w:val="center"/>
        </w:trPr>
        <w:tc>
          <w:tcPr>
            <w:tcW w:w="2780" w:type="pct"/>
            <w:vAlign w:val="center"/>
          </w:tcPr>
          <w:p w14:paraId="71BAE71F" w14:textId="334F4B5E" w:rsidR="006E22E7" w:rsidRPr="00D024EA" w:rsidRDefault="006E22E7" w:rsidP="009F2789">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15 mg kao intravenski bolus</w:t>
            </w:r>
            <w:r w:rsidR="00192BBB" w:rsidRPr="00D024EA">
              <w:rPr>
                <w:rFonts w:eastAsia="MS Mincho"/>
                <w:sz w:val="22"/>
                <w:szCs w:val="22"/>
                <w:lang w:val="sr-Latn-ME" w:eastAsia="ja-JP" w:bidi="ne-NP"/>
              </w:rPr>
              <w:t>, iza čega odmah slijedi</w:t>
            </w:r>
          </w:p>
        </w:tc>
        <w:tc>
          <w:tcPr>
            <w:tcW w:w="1110" w:type="pct"/>
            <w:vAlign w:val="center"/>
          </w:tcPr>
          <w:p w14:paraId="2A41871A" w14:textId="100C82F5" w:rsidR="006E22E7" w:rsidRPr="00D024EA" w:rsidRDefault="006E22E7" w:rsidP="009F2789">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15</w:t>
            </w:r>
            <w:r w:rsidR="00192BBB" w:rsidRPr="00D024EA">
              <w:rPr>
                <w:rFonts w:eastAsia="MS Mincho"/>
                <w:sz w:val="22"/>
                <w:szCs w:val="22"/>
                <w:lang w:val="sr-Latn-ME" w:eastAsia="ja-JP" w:bidi="ne-NP"/>
              </w:rPr>
              <w:t xml:space="preserve"> </w:t>
            </w:r>
            <w:r w:rsidR="00B7348D" w:rsidRPr="00D024EA">
              <w:rPr>
                <w:rFonts w:eastAsia="MS Mincho"/>
                <w:sz w:val="22"/>
                <w:szCs w:val="22"/>
                <w:lang w:val="sr-Latn-ME" w:eastAsia="ja-JP" w:bidi="ne-NP"/>
              </w:rPr>
              <w:t>ml</w:t>
            </w:r>
          </w:p>
        </w:tc>
        <w:tc>
          <w:tcPr>
            <w:tcW w:w="1110" w:type="pct"/>
            <w:vAlign w:val="center"/>
          </w:tcPr>
          <w:p w14:paraId="2EE8A738" w14:textId="039C104B" w:rsidR="006E22E7" w:rsidRPr="00D024EA" w:rsidRDefault="006E22E7" w:rsidP="0068078E">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7,5</w:t>
            </w:r>
            <w:r w:rsidR="00192BBB" w:rsidRPr="00D024EA">
              <w:rPr>
                <w:rFonts w:eastAsia="MS Mincho"/>
                <w:sz w:val="22"/>
                <w:szCs w:val="22"/>
                <w:lang w:val="sr-Latn-ME" w:eastAsia="ja-JP" w:bidi="ne-NP"/>
              </w:rPr>
              <w:t xml:space="preserve"> </w:t>
            </w:r>
            <w:r w:rsidR="00B7348D" w:rsidRPr="00D024EA">
              <w:rPr>
                <w:rFonts w:eastAsia="MS Mincho"/>
                <w:sz w:val="22"/>
                <w:szCs w:val="22"/>
                <w:lang w:val="sr-Latn-ME" w:eastAsia="ja-JP" w:bidi="ne-NP"/>
              </w:rPr>
              <w:t>ml</w:t>
            </w:r>
          </w:p>
        </w:tc>
      </w:tr>
      <w:tr w:rsidR="006E22E7" w:rsidRPr="00D024EA" w14:paraId="573C0DB8" w14:textId="77777777" w:rsidTr="00EA5D97">
        <w:trPr>
          <w:trHeight w:val="70"/>
          <w:jc w:val="center"/>
        </w:trPr>
        <w:tc>
          <w:tcPr>
            <w:tcW w:w="2780" w:type="pct"/>
            <w:vAlign w:val="center"/>
          </w:tcPr>
          <w:p w14:paraId="26E7D117" w14:textId="4C55D698" w:rsidR="006E22E7" w:rsidRPr="00D024EA" w:rsidRDefault="006E22E7" w:rsidP="009F2789">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 xml:space="preserve">0,75 mg/kg tjelesne mase (TM) </w:t>
            </w:r>
            <w:r w:rsidR="00192BBB" w:rsidRPr="00D024EA">
              <w:rPr>
                <w:rFonts w:eastAsia="MS Mincho"/>
                <w:sz w:val="22"/>
                <w:szCs w:val="22"/>
                <w:lang w:val="sr-Latn-ME" w:eastAsia="ja-JP" w:bidi="ne-NP"/>
              </w:rPr>
              <w:t xml:space="preserve">kao intravenska infuzija konstantne brzine </w:t>
            </w:r>
            <w:r w:rsidRPr="00D024EA">
              <w:rPr>
                <w:rFonts w:eastAsia="MS Mincho"/>
                <w:sz w:val="22"/>
                <w:szCs w:val="22"/>
                <w:lang w:val="sr-Latn-ME" w:eastAsia="ja-JP" w:bidi="ne-NP"/>
              </w:rPr>
              <w:t>tokom</w:t>
            </w:r>
            <w:r w:rsidR="00192BBB" w:rsidRPr="00D024EA">
              <w:rPr>
                <w:rFonts w:eastAsia="MS Mincho"/>
                <w:sz w:val="22"/>
                <w:szCs w:val="22"/>
                <w:lang w:val="sr-Latn-ME" w:eastAsia="ja-JP" w:bidi="ne-NP"/>
              </w:rPr>
              <w:t xml:space="preserve"> prvih</w:t>
            </w:r>
            <w:r w:rsidRPr="00D024EA">
              <w:rPr>
                <w:rFonts w:eastAsia="MS Mincho"/>
                <w:sz w:val="22"/>
                <w:szCs w:val="22"/>
                <w:lang w:val="sr-Latn-ME" w:eastAsia="ja-JP" w:bidi="ne-NP"/>
              </w:rPr>
              <w:t xml:space="preserve"> 30 minuta</w:t>
            </w:r>
            <w:r w:rsidR="00192BBB" w:rsidRPr="00D024EA">
              <w:rPr>
                <w:rFonts w:eastAsia="MS Mincho"/>
                <w:sz w:val="22"/>
                <w:szCs w:val="22"/>
                <w:lang w:val="sr-Latn-ME" w:eastAsia="ja-JP" w:bidi="ne-NP"/>
              </w:rPr>
              <w:t>, iza čega odmah slijedi</w:t>
            </w:r>
          </w:p>
        </w:tc>
        <w:tc>
          <w:tcPr>
            <w:tcW w:w="1110" w:type="pct"/>
            <w:vAlign w:val="center"/>
          </w:tcPr>
          <w:p w14:paraId="264D2C75" w14:textId="74DADCE8" w:rsidR="006E22E7" w:rsidRPr="00D024EA" w:rsidRDefault="006E22E7" w:rsidP="009F2789">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0,75</w:t>
            </w:r>
            <w:r w:rsidR="00192BBB" w:rsidRPr="00D024EA">
              <w:rPr>
                <w:rFonts w:eastAsia="MS Mincho"/>
                <w:sz w:val="22"/>
                <w:szCs w:val="22"/>
                <w:lang w:val="sr-Latn-ME" w:eastAsia="ja-JP" w:bidi="ne-NP"/>
              </w:rPr>
              <w:t xml:space="preserve"> </w:t>
            </w:r>
            <w:r w:rsidR="00B7348D" w:rsidRPr="00D024EA">
              <w:rPr>
                <w:rFonts w:eastAsia="MS Mincho"/>
                <w:sz w:val="22"/>
                <w:szCs w:val="22"/>
                <w:lang w:val="sr-Latn-ME" w:eastAsia="ja-JP" w:bidi="ne-NP"/>
              </w:rPr>
              <w:t>ml</w:t>
            </w:r>
            <w:r w:rsidR="00192BBB" w:rsidRPr="00D024EA">
              <w:rPr>
                <w:rFonts w:eastAsia="MS Mincho"/>
                <w:sz w:val="22"/>
                <w:szCs w:val="22"/>
                <w:lang w:val="sr-Latn-ME" w:eastAsia="ja-JP" w:bidi="ne-NP"/>
              </w:rPr>
              <w:t>/kg TM</w:t>
            </w:r>
          </w:p>
        </w:tc>
        <w:tc>
          <w:tcPr>
            <w:tcW w:w="1110" w:type="pct"/>
            <w:vAlign w:val="center"/>
          </w:tcPr>
          <w:p w14:paraId="79AF5AD1" w14:textId="5D81E9B0" w:rsidR="006E22E7" w:rsidRPr="00D024EA" w:rsidRDefault="006E22E7" w:rsidP="0068078E">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0,375</w:t>
            </w:r>
            <w:r w:rsidR="00192BBB" w:rsidRPr="00D024EA">
              <w:rPr>
                <w:rFonts w:eastAsia="MS Mincho"/>
                <w:sz w:val="22"/>
                <w:szCs w:val="22"/>
                <w:lang w:val="sr-Latn-ME" w:eastAsia="ja-JP" w:bidi="ne-NP"/>
              </w:rPr>
              <w:t xml:space="preserve"> </w:t>
            </w:r>
            <w:r w:rsidR="00B7348D" w:rsidRPr="00D024EA">
              <w:rPr>
                <w:rFonts w:eastAsia="MS Mincho"/>
                <w:sz w:val="22"/>
                <w:szCs w:val="22"/>
                <w:lang w:val="sr-Latn-ME" w:eastAsia="ja-JP" w:bidi="ne-NP"/>
              </w:rPr>
              <w:t>ml</w:t>
            </w:r>
            <w:r w:rsidR="00192BBB" w:rsidRPr="00D024EA">
              <w:rPr>
                <w:rFonts w:eastAsia="MS Mincho"/>
                <w:sz w:val="22"/>
                <w:szCs w:val="22"/>
                <w:lang w:val="sr-Latn-ME" w:eastAsia="ja-JP" w:bidi="ne-NP"/>
              </w:rPr>
              <w:t>/kg TM</w:t>
            </w:r>
          </w:p>
        </w:tc>
      </w:tr>
      <w:tr w:rsidR="006E22E7" w:rsidRPr="00D024EA" w14:paraId="7E54F425" w14:textId="77777777" w:rsidTr="00EA5D97">
        <w:trPr>
          <w:trHeight w:val="70"/>
          <w:jc w:val="center"/>
        </w:trPr>
        <w:tc>
          <w:tcPr>
            <w:tcW w:w="2780" w:type="pct"/>
            <w:vAlign w:val="center"/>
          </w:tcPr>
          <w:p w14:paraId="35E7272F" w14:textId="38104238" w:rsidR="006E22E7" w:rsidRPr="00D024EA" w:rsidRDefault="006E22E7" w:rsidP="009F2789">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0,5 mg/kg (TM)</w:t>
            </w:r>
            <w:r w:rsidR="00192BBB" w:rsidRPr="00D024EA">
              <w:rPr>
                <w:rFonts w:eastAsia="MS Mincho"/>
                <w:sz w:val="22"/>
                <w:szCs w:val="22"/>
                <w:lang w:val="sr-Latn-ME" w:eastAsia="ja-JP" w:bidi="ne-NP"/>
              </w:rPr>
              <w:t xml:space="preserve"> kao intravenska infuzija konstantne brzine</w:t>
            </w:r>
            <w:r w:rsidRPr="00D024EA">
              <w:rPr>
                <w:rFonts w:eastAsia="MS Mincho"/>
                <w:sz w:val="22"/>
                <w:szCs w:val="22"/>
                <w:lang w:val="sr-Latn-ME" w:eastAsia="ja-JP" w:bidi="ne-NP"/>
              </w:rPr>
              <w:t xml:space="preserve"> tokom 60 minuta </w:t>
            </w:r>
          </w:p>
        </w:tc>
        <w:tc>
          <w:tcPr>
            <w:tcW w:w="1110" w:type="pct"/>
            <w:vAlign w:val="center"/>
          </w:tcPr>
          <w:p w14:paraId="7FD6F9A8" w14:textId="1799EA66" w:rsidR="006E22E7" w:rsidRPr="00D024EA" w:rsidRDefault="006E22E7" w:rsidP="009F2789">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0,5</w:t>
            </w:r>
            <w:r w:rsidR="00192BBB" w:rsidRPr="00D024EA">
              <w:rPr>
                <w:rFonts w:eastAsia="MS Mincho"/>
                <w:sz w:val="22"/>
                <w:szCs w:val="22"/>
                <w:lang w:val="sr-Latn-ME" w:eastAsia="ja-JP" w:bidi="ne-NP"/>
              </w:rPr>
              <w:t xml:space="preserve"> </w:t>
            </w:r>
            <w:r w:rsidR="00B7348D" w:rsidRPr="00D024EA">
              <w:rPr>
                <w:rFonts w:eastAsia="MS Mincho"/>
                <w:sz w:val="22"/>
                <w:szCs w:val="22"/>
                <w:lang w:val="sr-Latn-ME" w:eastAsia="ja-JP" w:bidi="ne-NP"/>
              </w:rPr>
              <w:t>ml</w:t>
            </w:r>
            <w:r w:rsidR="00192BBB" w:rsidRPr="00D024EA">
              <w:rPr>
                <w:rFonts w:eastAsia="MS Mincho"/>
                <w:sz w:val="22"/>
                <w:szCs w:val="22"/>
                <w:lang w:val="sr-Latn-ME" w:eastAsia="ja-JP" w:bidi="ne-NP"/>
              </w:rPr>
              <w:t>/kg TM</w:t>
            </w:r>
          </w:p>
        </w:tc>
        <w:tc>
          <w:tcPr>
            <w:tcW w:w="1110" w:type="pct"/>
            <w:vAlign w:val="center"/>
          </w:tcPr>
          <w:p w14:paraId="75349C16" w14:textId="73DC69EB" w:rsidR="006E22E7" w:rsidRPr="00D024EA" w:rsidRDefault="006E22E7" w:rsidP="0068078E">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0,25</w:t>
            </w:r>
            <w:r w:rsidR="00192BBB" w:rsidRPr="00D024EA">
              <w:rPr>
                <w:rFonts w:eastAsia="MS Mincho"/>
                <w:sz w:val="22"/>
                <w:szCs w:val="22"/>
                <w:lang w:val="sr-Latn-ME" w:eastAsia="ja-JP" w:bidi="ne-NP"/>
              </w:rPr>
              <w:t xml:space="preserve"> </w:t>
            </w:r>
            <w:r w:rsidR="00B7348D" w:rsidRPr="00D024EA">
              <w:rPr>
                <w:rFonts w:eastAsia="MS Mincho"/>
                <w:sz w:val="22"/>
                <w:szCs w:val="22"/>
                <w:lang w:val="sr-Latn-ME" w:eastAsia="ja-JP" w:bidi="ne-NP"/>
              </w:rPr>
              <w:t>ml</w:t>
            </w:r>
            <w:r w:rsidR="00192BBB" w:rsidRPr="00D024EA">
              <w:rPr>
                <w:rFonts w:eastAsia="MS Mincho"/>
                <w:sz w:val="22"/>
                <w:szCs w:val="22"/>
                <w:lang w:val="sr-Latn-ME" w:eastAsia="ja-JP" w:bidi="ne-NP"/>
              </w:rPr>
              <w:t>/kg TM</w:t>
            </w:r>
          </w:p>
        </w:tc>
      </w:tr>
    </w:tbl>
    <w:p w14:paraId="1C272EE6" w14:textId="77777777" w:rsidR="006E22E7" w:rsidRPr="00D024EA" w:rsidRDefault="006E22E7" w:rsidP="00EA5D97">
      <w:pPr>
        <w:tabs>
          <w:tab w:val="left" w:pos="284"/>
        </w:tabs>
        <w:jc w:val="both"/>
        <w:rPr>
          <w:b/>
          <w:bCs/>
          <w:sz w:val="22"/>
          <w:szCs w:val="22"/>
          <w:lang w:val="sr-Latn-ME"/>
        </w:rPr>
      </w:pPr>
    </w:p>
    <w:p w14:paraId="263EDFFC" w14:textId="7C9889DD" w:rsidR="006E22E7" w:rsidRPr="00D024EA" w:rsidRDefault="006E22E7" w:rsidP="009F2789">
      <w:pPr>
        <w:numPr>
          <w:ilvl w:val="0"/>
          <w:numId w:val="13"/>
        </w:numPr>
        <w:tabs>
          <w:tab w:val="left" w:pos="284"/>
        </w:tabs>
        <w:autoSpaceDE w:val="0"/>
        <w:autoSpaceDN w:val="0"/>
        <w:adjustRightInd w:val="0"/>
        <w:ind w:left="714" w:hanging="357"/>
        <w:contextualSpacing/>
        <w:jc w:val="both"/>
        <w:rPr>
          <w:rFonts w:eastAsia="MS Mincho"/>
          <w:sz w:val="22"/>
          <w:szCs w:val="22"/>
          <w:lang w:val="sr-Latn-ME" w:eastAsia="ja-JP" w:bidi="ne-NP"/>
        </w:rPr>
      </w:pPr>
      <w:r w:rsidRPr="00D024EA">
        <w:rPr>
          <w:rFonts w:eastAsia="MS Mincho"/>
          <w:sz w:val="22"/>
          <w:szCs w:val="22"/>
          <w:lang w:val="sr-Latn-ME" w:eastAsia="ja-JP" w:bidi="ne-NP"/>
        </w:rPr>
        <w:t>3-satni režim doziranja za pacijente</w:t>
      </w:r>
      <w:r w:rsidR="00192BBB" w:rsidRPr="00D024EA">
        <w:rPr>
          <w:rFonts w:eastAsia="MS Mincho"/>
          <w:sz w:val="22"/>
          <w:szCs w:val="22"/>
          <w:lang w:val="sr-Latn-ME" w:eastAsia="ja-JP" w:bidi="ne-NP"/>
        </w:rPr>
        <w:t xml:space="preserve"> sa akutnim infarktom miokarda</w:t>
      </w:r>
      <w:r w:rsidRPr="00D024EA">
        <w:rPr>
          <w:rFonts w:eastAsia="MS Mincho"/>
          <w:sz w:val="22"/>
          <w:szCs w:val="22"/>
          <w:lang w:val="sr-Latn-ME" w:eastAsia="ja-JP" w:bidi="ne-NP"/>
        </w:rPr>
        <w:t xml:space="preserve"> kod kojih liječenje može da počne u roku od 6 do</w:t>
      </w:r>
      <w:r w:rsidR="00A15CEE" w:rsidRPr="00D024EA">
        <w:rPr>
          <w:rFonts w:eastAsia="MS Mincho"/>
          <w:sz w:val="22"/>
          <w:szCs w:val="22"/>
          <w:lang w:val="sr-Latn-ME" w:eastAsia="ja-JP" w:bidi="ne-NP"/>
        </w:rPr>
        <w:t xml:space="preserve"> </w:t>
      </w:r>
      <w:r w:rsidRPr="00D024EA">
        <w:rPr>
          <w:rFonts w:eastAsia="MS Mincho"/>
          <w:sz w:val="22"/>
          <w:szCs w:val="22"/>
          <w:lang w:val="sr-Latn-ME" w:eastAsia="ja-JP" w:bidi="ne-NP"/>
        </w:rPr>
        <w:t>12 sati nakon pojave prvih simptoma:</w:t>
      </w:r>
    </w:p>
    <w:p w14:paraId="7761F2DA" w14:textId="30FF5B31" w:rsidR="00192BBB" w:rsidRPr="00D024EA" w:rsidRDefault="00192BBB" w:rsidP="009F2789">
      <w:pPr>
        <w:autoSpaceDE w:val="0"/>
        <w:autoSpaceDN w:val="0"/>
        <w:adjustRightInd w:val="0"/>
        <w:contextualSpacing/>
        <w:jc w:val="both"/>
        <w:rPr>
          <w:rFonts w:eastAsia="MS Mincho"/>
          <w:bCs/>
          <w:sz w:val="22"/>
          <w:szCs w:val="22"/>
          <w:lang w:val="sr-Latn-ME" w:eastAsia="ja-JP" w:bidi="ne-NP"/>
        </w:rPr>
      </w:pPr>
      <w:r w:rsidRPr="00D024EA">
        <w:rPr>
          <w:rFonts w:eastAsia="MS Mincho"/>
          <w:sz w:val="22"/>
          <w:szCs w:val="22"/>
          <w:lang w:val="sr-Latn-ME" w:eastAsia="ja-JP" w:bidi="ne-NP"/>
        </w:rPr>
        <w:t xml:space="preserve">Kod pacijenata sa tjelesnom masom </w:t>
      </w:r>
      <w:r w:rsidRPr="00D024EA">
        <w:rPr>
          <w:rFonts w:eastAsia="MS Mincho"/>
          <w:bCs/>
          <w:sz w:val="22"/>
          <w:szCs w:val="22"/>
          <w:lang w:val="sr-Latn-ME" w:eastAsia="ja-JP" w:bidi="ne-NP"/>
        </w:rPr>
        <w:t>≥ 65 kg:</w:t>
      </w:r>
    </w:p>
    <w:p w14:paraId="48027E0B" w14:textId="77777777" w:rsidR="00192BBB" w:rsidRPr="00D024EA" w:rsidRDefault="00192BBB" w:rsidP="009F2789">
      <w:pPr>
        <w:tabs>
          <w:tab w:val="left" w:pos="284"/>
        </w:tabs>
        <w:autoSpaceDE w:val="0"/>
        <w:autoSpaceDN w:val="0"/>
        <w:adjustRightInd w:val="0"/>
        <w:contextualSpacing/>
        <w:jc w:val="both"/>
        <w:rPr>
          <w:rFonts w:eastAsia="MS Mincho"/>
          <w:sz w:val="22"/>
          <w:szCs w:val="22"/>
          <w:lang w:val="sr-Latn-ME" w:eastAsia="ja-JP" w:bidi="ne-NP"/>
        </w:rPr>
      </w:pPr>
    </w:p>
    <w:tbl>
      <w:tblPr>
        <w:tblStyle w:val="TableGrid"/>
        <w:tblW w:w="5000" w:type="pct"/>
        <w:jc w:val="center"/>
        <w:tblLayout w:type="fixed"/>
        <w:tblLook w:val="01E0" w:firstRow="1" w:lastRow="1" w:firstColumn="1" w:lastColumn="1" w:noHBand="0" w:noVBand="0"/>
      </w:tblPr>
      <w:tblGrid>
        <w:gridCol w:w="5349"/>
        <w:gridCol w:w="1856"/>
        <w:gridCol w:w="1858"/>
      </w:tblGrid>
      <w:tr w:rsidR="006E22E7" w:rsidRPr="00D024EA" w14:paraId="60A17DEA" w14:textId="77777777" w:rsidTr="00EA5D97">
        <w:trPr>
          <w:trHeight w:val="70"/>
          <w:jc w:val="center"/>
        </w:trPr>
        <w:tc>
          <w:tcPr>
            <w:tcW w:w="2951" w:type="pct"/>
            <w:vAlign w:val="center"/>
          </w:tcPr>
          <w:p w14:paraId="55238363" w14:textId="77777777" w:rsidR="006E22E7" w:rsidRPr="00D024EA" w:rsidRDefault="006E22E7" w:rsidP="009F2789">
            <w:pPr>
              <w:autoSpaceDE w:val="0"/>
              <w:autoSpaceDN w:val="0"/>
              <w:adjustRightInd w:val="0"/>
              <w:rPr>
                <w:rFonts w:eastAsia="MS Mincho"/>
                <w:sz w:val="22"/>
                <w:szCs w:val="22"/>
                <w:lang w:val="sr-Latn-ME" w:eastAsia="ja-JP" w:bidi="ne-NP"/>
              </w:rPr>
            </w:pPr>
          </w:p>
        </w:tc>
        <w:tc>
          <w:tcPr>
            <w:tcW w:w="2049" w:type="pct"/>
            <w:gridSpan w:val="2"/>
            <w:vAlign w:val="center"/>
          </w:tcPr>
          <w:p w14:paraId="36A18C2D" w14:textId="77777777" w:rsidR="00192BBB" w:rsidRPr="00D024EA" w:rsidRDefault="00192BBB" w:rsidP="00EA5D97">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Zapremina koja se daje prema</w:t>
            </w:r>
          </w:p>
          <w:p w14:paraId="4E7459AF" w14:textId="5ABFA8CA" w:rsidR="006E22E7" w:rsidRPr="00D024EA" w:rsidRDefault="00192BBB" w:rsidP="00EA5D97">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k</w:t>
            </w:r>
            <w:r w:rsidR="006E22E7" w:rsidRPr="00D024EA">
              <w:rPr>
                <w:rFonts w:eastAsia="MS Mincho"/>
                <w:sz w:val="22"/>
                <w:szCs w:val="22"/>
                <w:lang w:val="sr-Latn-ME" w:eastAsia="ja-JP" w:bidi="ne-NP"/>
              </w:rPr>
              <w:t>oncentracij</w:t>
            </w:r>
            <w:r w:rsidRPr="00D024EA">
              <w:rPr>
                <w:rFonts w:eastAsia="MS Mincho"/>
                <w:sz w:val="22"/>
                <w:szCs w:val="22"/>
                <w:lang w:val="sr-Latn-ME" w:eastAsia="ja-JP" w:bidi="ne-NP"/>
              </w:rPr>
              <w:t>i</w:t>
            </w:r>
            <w:r w:rsidR="006E22E7" w:rsidRPr="00D024EA">
              <w:rPr>
                <w:rFonts w:eastAsia="MS Mincho"/>
                <w:sz w:val="22"/>
                <w:szCs w:val="22"/>
                <w:lang w:val="sr-Latn-ME" w:eastAsia="ja-JP" w:bidi="ne-NP"/>
              </w:rPr>
              <w:t xml:space="preserve"> alteplaze</w:t>
            </w:r>
          </w:p>
        </w:tc>
      </w:tr>
      <w:tr w:rsidR="009F2789" w:rsidRPr="00D024EA" w14:paraId="15AEA637" w14:textId="77777777" w:rsidTr="009F2789">
        <w:trPr>
          <w:trHeight w:val="516"/>
          <w:jc w:val="center"/>
        </w:trPr>
        <w:tc>
          <w:tcPr>
            <w:tcW w:w="2951" w:type="pct"/>
            <w:vAlign w:val="center"/>
          </w:tcPr>
          <w:p w14:paraId="2E687711" w14:textId="77777777" w:rsidR="009F2789" w:rsidRPr="00D024EA" w:rsidRDefault="009F2789" w:rsidP="009F2789">
            <w:pPr>
              <w:autoSpaceDE w:val="0"/>
              <w:autoSpaceDN w:val="0"/>
              <w:adjustRightInd w:val="0"/>
              <w:rPr>
                <w:rFonts w:eastAsia="MS Mincho"/>
                <w:sz w:val="22"/>
                <w:szCs w:val="22"/>
                <w:lang w:val="sr-Latn-ME" w:eastAsia="ja-JP" w:bidi="ne-NP"/>
              </w:rPr>
            </w:pPr>
          </w:p>
        </w:tc>
        <w:tc>
          <w:tcPr>
            <w:tcW w:w="1024" w:type="pct"/>
            <w:vAlign w:val="center"/>
          </w:tcPr>
          <w:p w14:paraId="78AC80B8" w14:textId="4F5A3E64" w:rsidR="009F2789" w:rsidRPr="00D024EA" w:rsidRDefault="009F2789" w:rsidP="009F2789">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1 mg/ml</w:t>
            </w:r>
          </w:p>
        </w:tc>
        <w:tc>
          <w:tcPr>
            <w:tcW w:w="1025" w:type="pct"/>
            <w:vAlign w:val="center"/>
          </w:tcPr>
          <w:p w14:paraId="0CD2FFDE" w14:textId="54186921" w:rsidR="009F2789" w:rsidRPr="00D024EA" w:rsidRDefault="009F2789" w:rsidP="009F2789">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2 mg/ml</w:t>
            </w:r>
          </w:p>
        </w:tc>
      </w:tr>
      <w:tr w:rsidR="006E22E7" w:rsidRPr="00D024EA" w14:paraId="4ADE7DD5" w14:textId="77777777" w:rsidTr="00EA5D97">
        <w:trPr>
          <w:trHeight w:val="70"/>
          <w:jc w:val="center"/>
        </w:trPr>
        <w:tc>
          <w:tcPr>
            <w:tcW w:w="2951" w:type="pct"/>
            <w:vAlign w:val="center"/>
          </w:tcPr>
          <w:p w14:paraId="14CBBFDC" w14:textId="79C5EC67" w:rsidR="006E22E7" w:rsidRPr="00D024EA" w:rsidRDefault="006E22E7" w:rsidP="009F2789">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10 mg kao intravenski bolus</w:t>
            </w:r>
            <w:r w:rsidR="00192BBB" w:rsidRPr="00D024EA">
              <w:rPr>
                <w:rFonts w:eastAsia="MS Mincho"/>
                <w:sz w:val="22"/>
                <w:szCs w:val="22"/>
                <w:lang w:val="sr-Latn-ME" w:eastAsia="ja-JP" w:bidi="ne-NP"/>
              </w:rPr>
              <w:t>, iza čega odmah slijedi</w:t>
            </w:r>
          </w:p>
        </w:tc>
        <w:tc>
          <w:tcPr>
            <w:tcW w:w="1024" w:type="pct"/>
            <w:vAlign w:val="center"/>
          </w:tcPr>
          <w:p w14:paraId="678C2519" w14:textId="14492EBD" w:rsidR="006E22E7" w:rsidRPr="00D024EA" w:rsidRDefault="006E22E7" w:rsidP="009F2789">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10</w:t>
            </w:r>
            <w:r w:rsidR="00192BBB" w:rsidRPr="00D024EA">
              <w:rPr>
                <w:rFonts w:eastAsia="MS Mincho"/>
                <w:sz w:val="22"/>
                <w:szCs w:val="22"/>
                <w:lang w:val="sr-Latn-ME" w:eastAsia="ja-JP" w:bidi="ne-NP"/>
              </w:rPr>
              <w:t xml:space="preserve"> </w:t>
            </w:r>
            <w:r w:rsidR="00B7348D" w:rsidRPr="00D024EA">
              <w:rPr>
                <w:rFonts w:eastAsia="MS Mincho"/>
                <w:sz w:val="22"/>
                <w:szCs w:val="22"/>
                <w:lang w:val="sr-Latn-ME" w:eastAsia="ja-JP" w:bidi="ne-NP"/>
              </w:rPr>
              <w:t>ml</w:t>
            </w:r>
          </w:p>
        </w:tc>
        <w:tc>
          <w:tcPr>
            <w:tcW w:w="1025" w:type="pct"/>
            <w:vAlign w:val="center"/>
          </w:tcPr>
          <w:p w14:paraId="0678298B" w14:textId="3ACD88FA" w:rsidR="006E22E7" w:rsidRPr="00D024EA" w:rsidRDefault="006E22E7" w:rsidP="009F2789">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5</w:t>
            </w:r>
            <w:r w:rsidR="00192BBB" w:rsidRPr="00D024EA">
              <w:rPr>
                <w:rFonts w:eastAsia="MS Mincho"/>
                <w:sz w:val="22"/>
                <w:szCs w:val="22"/>
                <w:lang w:val="sr-Latn-ME" w:eastAsia="ja-JP" w:bidi="ne-NP"/>
              </w:rPr>
              <w:t xml:space="preserve"> </w:t>
            </w:r>
            <w:r w:rsidR="00B7348D" w:rsidRPr="00D024EA">
              <w:rPr>
                <w:rFonts w:eastAsia="MS Mincho"/>
                <w:sz w:val="22"/>
                <w:szCs w:val="22"/>
                <w:lang w:val="sr-Latn-ME" w:eastAsia="ja-JP" w:bidi="ne-NP"/>
              </w:rPr>
              <w:t>ml</w:t>
            </w:r>
          </w:p>
        </w:tc>
      </w:tr>
      <w:tr w:rsidR="006E22E7" w:rsidRPr="00D024EA" w14:paraId="04C0BF16" w14:textId="77777777" w:rsidTr="00EA5D97">
        <w:trPr>
          <w:trHeight w:val="70"/>
          <w:jc w:val="center"/>
        </w:trPr>
        <w:tc>
          <w:tcPr>
            <w:tcW w:w="2951" w:type="pct"/>
            <w:vAlign w:val="center"/>
          </w:tcPr>
          <w:p w14:paraId="548E2108" w14:textId="1973DC3E" w:rsidR="006E22E7" w:rsidRPr="00D024EA" w:rsidRDefault="006E22E7" w:rsidP="009F2789">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 xml:space="preserve">50 mg kao </w:t>
            </w:r>
            <w:r w:rsidR="00192BBB" w:rsidRPr="00D024EA">
              <w:rPr>
                <w:rFonts w:eastAsia="MS Mincho"/>
                <w:sz w:val="22"/>
                <w:szCs w:val="22"/>
                <w:lang w:val="sr-Latn-ME" w:eastAsia="ja-JP" w:bidi="ne-NP"/>
              </w:rPr>
              <w:t xml:space="preserve">intravenska </w:t>
            </w:r>
            <w:r w:rsidRPr="00D024EA">
              <w:rPr>
                <w:rFonts w:eastAsia="MS Mincho"/>
                <w:sz w:val="22"/>
                <w:szCs w:val="22"/>
                <w:lang w:val="sr-Latn-ME" w:eastAsia="ja-JP" w:bidi="ne-NP"/>
              </w:rPr>
              <w:t>infuzija</w:t>
            </w:r>
            <w:r w:rsidR="00192BBB" w:rsidRPr="00D024EA">
              <w:rPr>
                <w:rFonts w:eastAsia="MS Mincho"/>
                <w:sz w:val="22"/>
                <w:szCs w:val="22"/>
                <w:lang w:val="sr-Latn-ME" w:eastAsia="ja-JP" w:bidi="ne-NP"/>
              </w:rPr>
              <w:t xml:space="preserve"> konstantne brzine</w:t>
            </w:r>
            <w:r w:rsidRPr="00D024EA">
              <w:rPr>
                <w:rFonts w:eastAsia="MS Mincho"/>
                <w:sz w:val="22"/>
                <w:szCs w:val="22"/>
                <w:lang w:val="sr-Latn-ME" w:eastAsia="ja-JP" w:bidi="ne-NP"/>
              </w:rPr>
              <w:t xml:space="preserve"> u toku prvog sata</w:t>
            </w:r>
            <w:r w:rsidR="00192BBB" w:rsidRPr="00D024EA">
              <w:rPr>
                <w:rFonts w:eastAsia="MS Mincho"/>
                <w:sz w:val="22"/>
                <w:szCs w:val="22"/>
                <w:lang w:val="sr-Latn-ME" w:eastAsia="ja-JP" w:bidi="ne-NP"/>
              </w:rPr>
              <w:t>, iza čega odmah slijedi</w:t>
            </w:r>
          </w:p>
        </w:tc>
        <w:tc>
          <w:tcPr>
            <w:tcW w:w="1024" w:type="pct"/>
            <w:vAlign w:val="center"/>
          </w:tcPr>
          <w:p w14:paraId="6B9602C6" w14:textId="6AB3B4E4" w:rsidR="006E22E7" w:rsidRPr="00D024EA" w:rsidRDefault="006E22E7" w:rsidP="009F2789">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50</w:t>
            </w:r>
            <w:r w:rsidR="00192BBB" w:rsidRPr="00D024EA">
              <w:rPr>
                <w:rFonts w:eastAsia="MS Mincho"/>
                <w:sz w:val="22"/>
                <w:szCs w:val="22"/>
                <w:lang w:val="sr-Latn-ME" w:eastAsia="ja-JP" w:bidi="ne-NP"/>
              </w:rPr>
              <w:t xml:space="preserve"> </w:t>
            </w:r>
            <w:r w:rsidR="00B7348D" w:rsidRPr="00D024EA">
              <w:rPr>
                <w:rFonts w:eastAsia="MS Mincho"/>
                <w:sz w:val="22"/>
                <w:szCs w:val="22"/>
                <w:lang w:val="sr-Latn-ME" w:eastAsia="ja-JP" w:bidi="ne-NP"/>
              </w:rPr>
              <w:t>ml</w:t>
            </w:r>
          </w:p>
        </w:tc>
        <w:tc>
          <w:tcPr>
            <w:tcW w:w="1025" w:type="pct"/>
            <w:vAlign w:val="center"/>
          </w:tcPr>
          <w:p w14:paraId="74F56215" w14:textId="256196C4" w:rsidR="006E22E7" w:rsidRPr="00D024EA" w:rsidRDefault="006E22E7" w:rsidP="009F2789">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25</w:t>
            </w:r>
            <w:r w:rsidR="00192BBB" w:rsidRPr="00D024EA">
              <w:rPr>
                <w:rFonts w:eastAsia="MS Mincho"/>
                <w:sz w:val="22"/>
                <w:szCs w:val="22"/>
                <w:lang w:val="sr-Latn-ME" w:eastAsia="ja-JP" w:bidi="ne-NP"/>
              </w:rPr>
              <w:t xml:space="preserve"> </w:t>
            </w:r>
            <w:r w:rsidR="00B7348D" w:rsidRPr="00D024EA">
              <w:rPr>
                <w:rFonts w:eastAsia="MS Mincho"/>
                <w:sz w:val="22"/>
                <w:szCs w:val="22"/>
                <w:lang w:val="sr-Latn-ME" w:eastAsia="ja-JP" w:bidi="ne-NP"/>
              </w:rPr>
              <w:t>ml</w:t>
            </w:r>
          </w:p>
        </w:tc>
      </w:tr>
      <w:tr w:rsidR="006E22E7" w:rsidRPr="00D024EA" w14:paraId="609AD453" w14:textId="77777777" w:rsidTr="00EA5D97">
        <w:trPr>
          <w:trHeight w:val="70"/>
          <w:jc w:val="center"/>
        </w:trPr>
        <w:tc>
          <w:tcPr>
            <w:tcW w:w="2951" w:type="pct"/>
            <w:vAlign w:val="center"/>
          </w:tcPr>
          <w:p w14:paraId="7B16337F" w14:textId="4F169F65" w:rsidR="006E22E7" w:rsidRPr="00D024EA" w:rsidRDefault="00192BBB" w:rsidP="009F2789">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40</w:t>
            </w:r>
            <w:r w:rsidR="006E22E7" w:rsidRPr="00D024EA">
              <w:rPr>
                <w:rFonts w:eastAsia="MS Mincho"/>
                <w:sz w:val="22"/>
                <w:szCs w:val="22"/>
                <w:lang w:val="sr-Latn-ME" w:eastAsia="ja-JP" w:bidi="ne-NP"/>
              </w:rPr>
              <w:t xml:space="preserve"> mg </w:t>
            </w:r>
            <w:r w:rsidRPr="00D024EA">
              <w:rPr>
                <w:rFonts w:eastAsia="MS Mincho"/>
                <w:sz w:val="22"/>
                <w:szCs w:val="22"/>
                <w:lang w:val="sr-Latn-ME" w:eastAsia="ja-JP" w:bidi="ne-NP"/>
              </w:rPr>
              <w:t xml:space="preserve">kao intravenska infuzija konstantne brzine </w:t>
            </w:r>
            <w:r w:rsidR="006E22E7" w:rsidRPr="00D024EA">
              <w:rPr>
                <w:rFonts w:eastAsia="MS Mincho"/>
                <w:sz w:val="22"/>
                <w:szCs w:val="22"/>
                <w:lang w:val="sr-Latn-ME" w:eastAsia="ja-JP" w:bidi="ne-NP"/>
              </w:rPr>
              <w:t xml:space="preserve">u trajanju od </w:t>
            </w:r>
            <w:r w:rsidRPr="00D024EA">
              <w:rPr>
                <w:rFonts w:eastAsia="MS Mincho"/>
                <w:sz w:val="22"/>
                <w:szCs w:val="22"/>
                <w:lang w:val="sr-Latn-ME" w:eastAsia="ja-JP" w:bidi="ne-NP"/>
              </w:rPr>
              <w:t>2 sata</w:t>
            </w:r>
            <w:r w:rsidR="006E22E7" w:rsidRPr="00D024EA">
              <w:rPr>
                <w:rFonts w:eastAsia="MS Mincho"/>
                <w:sz w:val="22"/>
                <w:szCs w:val="22"/>
                <w:lang w:val="sr-Latn-ME" w:eastAsia="ja-JP" w:bidi="ne-NP"/>
              </w:rPr>
              <w:t xml:space="preserve"> do maksimalne </w:t>
            </w:r>
            <w:r w:rsidRPr="00D024EA">
              <w:rPr>
                <w:rFonts w:eastAsia="MS Mincho"/>
                <w:sz w:val="22"/>
                <w:szCs w:val="22"/>
                <w:lang w:val="sr-Latn-ME" w:eastAsia="ja-JP" w:bidi="ne-NP"/>
              </w:rPr>
              <w:t xml:space="preserve">ukupne </w:t>
            </w:r>
            <w:r w:rsidR="006E22E7" w:rsidRPr="00D024EA">
              <w:rPr>
                <w:rFonts w:eastAsia="MS Mincho"/>
                <w:sz w:val="22"/>
                <w:szCs w:val="22"/>
                <w:lang w:val="sr-Latn-ME" w:eastAsia="ja-JP" w:bidi="ne-NP"/>
              </w:rPr>
              <w:t>doze od 100 mg</w:t>
            </w:r>
          </w:p>
        </w:tc>
        <w:tc>
          <w:tcPr>
            <w:tcW w:w="1024" w:type="pct"/>
            <w:vAlign w:val="center"/>
          </w:tcPr>
          <w:p w14:paraId="1DC29569" w14:textId="08F9BCB1" w:rsidR="006E22E7" w:rsidRPr="00D024EA" w:rsidRDefault="00192BBB" w:rsidP="009F2789">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4</w:t>
            </w:r>
            <w:r w:rsidR="006E22E7" w:rsidRPr="00D024EA">
              <w:rPr>
                <w:rFonts w:eastAsia="MS Mincho"/>
                <w:sz w:val="22"/>
                <w:szCs w:val="22"/>
                <w:lang w:val="sr-Latn-ME" w:eastAsia="ja-JP" w:bidi="ne-NP"/>
              </w:rPr>
              <w:t>0</w:t>
            </w:r>
            <w:r w:rsidRPr="00D024EA">
              <w:rPr>
                <w:rFonts w:eastAsia="MS Mincho"/>
                <w:sz w:val="22"/>
                <w:szCs w:val="22"/>
                <w:lang w:val="sr-Latn-ME" w:eastAsia="ja-JP" w:bidi="ne-NP"/>
              </w:rPr>
              <w:t xml:space="preserve"> </w:t>
            </w:r>
            <w:r w:rsidR="00B7348D" w:rsidRPr="00D024EA">
              <w:rPr>
                <w:rFonts w:eastAsia="MS Mincho"/>
                <w:sz w:val="22"/>
                <w:szCs w:val="22"/>
                <w:lang w:val="sr-Latn-ME" w:eastAsia="ja-JP" w:bidi="ne-NP"/>
              </w:rPr>
              <w:t>ml</w:t>
            </w:r>
          </w:p>
        </w:tc>
        <w:tc>
          <w:tcPr>
            <w:tcW w:w="1025" w:type="pct"/>
            <w:vAlign w:val="center"/>
          </w:tcPr>
          <w:p w14:paraId="4CEAA3CD" w14:textId="38977A16" w:rsidR="006E22E7" w:rsidRPr="00D024EA" w:rsidRDefault="00192BBB" w:rsidP="009F2789">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 xml:space="preserve">20 </w:t>
            </w:r>
            <w:r w:rsidR="00B7348D" w:rsidRPr="00D024EA">
              <w:rPr>
                <w:rFonts w:eastAsia="MS Mincho"/>
                <w:sz w:val="22"/>
                <w:szCs w:val="22"/>
                <w:lang w:val="sr-Latn-ME" w:eastAsia="ja-JP" w:bidi="ne-NP"/>
              </w:rPr>
              <w:t>ml</w:t>
            </w:r>
          </w:p>
        </w:tc>
      </w:tr>
    </w:tbl>
    <w:p w14:paraId="2ED060BA" w14:textId="77777777" w:rsidR="006E22E7" w:rsidRPr="00D024EA" w:rsidRDefault="006E22E7" w:rsidP="00EA5D97">
      <w:pPr>
        <w:autoSpaceDE w:val="0"/>
        <w:autoSpaceDN w:val="0"/>
        <w:adjustRightInd w:val="0"/>
        <w:jc w:val="both"/>
        <w:rPr>
          <w:rFonts w:eastAsia="MS Mincho"/>
          <w:sz w:val="22"/>
          <w:szCs w:val="22"/>
          <w:lang w:val="sr-Latn-ME" w:eastAsia="ja-JP" w:bidi="ne-NP"/>
        </w:rPr>
      </w:pPr>
    </w:p>
    <w:p w14:paraId="0B1B7A9E" w14:textId="7EB10497" w:rsidR="006E22E7" w:rsidRPr="00D024EA" w:rsidRDefault="006E22E7"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 xml:space="preserve">Kod pacijenata čija je tjelesna masa </w:t>
      </w:r>
      <w:r w:rsidR="00192BBB" w:rsidRPr="00D024EA">
        <w:rPr>
          <w:rFonts w:eastAsia="MS Mincho"/>
          <w:sz w:val="22"/>
          <w:szCs w:val="22"/>
          <w:lang w:val="sr-Latn-ME" w:eastAsia="ja-JP" w:bidi="ne-NP"/>
        </w:rPr>
        <w:t>&lt;</w:t>
      </w:r>
      <w:r w:rsidRPr="00D024EA">
        <w:rPr>
          <w:rFonts w:eastAsia="MS Mincho"/>
          <w:sz w:val="22"/>
          <w:szCs w:val="22"/>
          <w:lang w:val="sr-Latn-ME" w:eastAsia="ja-JP" w:bidi="ne-NP"/>
        </w:rPr>
        <w:t xml:space="preserve"> 65 kg</w:t>
      </w:r>
      <w:r w:rsidR="00192BBB" w:rsidRPr="00D024EA">
        <w:rPr>
          <w:rFonts w:eastAsia="MS Mincho"/>
          <w:sz w:val="22"/>
          <w:szCs w:val="22"/>
          <w:lang w:val="sr-Latn-ME" w:eastAsia="ja-JP" w:bidi="ne-NP"/>
        </w:rPr>
        <w:t>:</w:t>
      </w:r>
    </w:p>
    <w:p w14:paraId="6CD82FA1" w14:textId="77777777" w:rsidR="00192BBB" w:rsidRPr="00D024EA" w:rsidRDefault="00192BBB" w:rsidP="00EA5D97">
      <w:pPr>
        <w:autoSpaceDE w:val="0"/>
        <w:autoSpaceDN w:val="0"/>
        <w:adjustRightInd w:val="0"/>
        <w:jc w:val="both"/>
        <w:rPr>
          <w:rFonts w:eastAsia="MS Mincho"/>
          <w:sz w:val="22"/>
          <w:szCs w:val="22"/>
          <w:lang w:val="sr-Latn-ME" w:eastAsia="ja-JP" w:bidi="ne-NP"/>
        </w:rPr>
      </w:pPr>
    </w:p>
    <w:tbl>
      <w:tblPr>
        <w:tblStyle w:val="TableGrid"/>
        <w:tblW w:w="5000" w:type="pct"/>
        <w:jc w:val="center"/>
        <w:tblLayout w:type="fixed"/>
        <w:tblLook w:val="01E0" w:firstRow="1" w:lastRow="1" w:firstColumn="1" w:lastColumn="1" w:noHBand="0" w:noVBand="0"/>
      </w:tblPr>
      <w:tblGrid>
        <w:gridCol w:w="5039"/>
        <w:gridCol w:w="2012"/>
        <w:gridCol w:w="2012"/>
      </w:tblGrid>
      <w:tr w:rsidR="00192BBB" w:rsidRPr="00D024EA" w14:paraId="55182D1C" w14:textId="77777777" w:rsidTr="00EA5D97">
        <w:trPr>
          <w:jc w:val="center"/>
        </w:trPr>
        <w:tc>
          <w:tcPr>
            <w:tcW w:w="2780" w:type="pct"/>
            <w:vMerge w:val="restart"/>
          </w:tcPr>
          <w:p w14:paraId="262970C3" w14:textId="77777777" w:rsidR="00192BBB" w:rsidRPr="00D024EA" w:rsidRDefault="00192BBB" w:rsidP="009F2789">
            <w:pPr>
              <w:autoSpaceDE w:val="0"/>
              <w:autoSpaceDN w:val="0"/>
              <w:adjustRightInd w:val="0"/>
              <w:rPr>
                <w:rFonts w:eastAsia="MS Mincho"/>
                <w:sz w:val="22"/>
                <w:szCs w:val="22"/>
                <w:lang w:val="sr-Latn-ME" w:eastAsia="ja-JP" w:bidi="ne-NP"/>
              </w:rPr>
            </w:pPr>
          </w:p>
        </w:tc>
        <w:tc>
          <w:tcPr>
            <w:tcW w:w="2220" w:type="pct"/>
            <w:gridSpan w:val="2"/>
            <w:vAlign w:val="center"/>
          </w:tcPr>
          <w:p w14:paraId="1ED7BA70" w14:textId="0C6A98F4" w:rsidR="00192BBB" w:rsidRPr="00D024EA" w:rsidRDefault="00192BBB" w:rsidP="00EA5D97">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Zapremina koja se daje prema koncentraciji alteplaze</w:t>
            </w:r>
          </w:p>
        </w:tc>
      </w:tr>
      <w:tr w:rsidR="00192BBB" w:rsidRPr="00D024EA" w14:paraId="42663862" w14:textId="77777777" w:rsidTr="00EA5D97">
        <w:trPr>
          <w:trHeight w:val="516"/>
          <w:jc w:val="center"/>
        </w:trPr>
        <w:tc>
          <w:tcPr>
            <w:tcW w:w="2780" w:type="pct"/>
            <w:vMerge/>
          </w:tcPr>
          <w:p w14:paraId="1B875D85" w14:textId="77777777" w:rsidR="00192BBB" w:rsidRPr="00D024EA" w:rsidRDefault="00192BBB">
            <w:pPr>
              <w:autoSpaceDE w:val="0"/>
              <w:autoSpaceDN w:val="0"/>
              <w:adjustRightInd w:val="0"/>
              <w:rPr>
                <w:rFonts w:eastAsia="MS Mincho"/>
                <w:sz w:val="22"/>
                <w:szCs w:val="22"/>
                <w:lang w:val="sr-Latn-ME" w:eastAsia="ja-JP" w:bidi="ne-NP"/>
              </w:rPr>
            </w:pPr>
          </w:p>
        </w:tc>
        <w:tc>
          <w:tcPr>
            <w:tcW w:w="1110" w:type="pct"/>
            <w:vAlign w:val="center"/>
          </w:tcPr>
          <w:p w14:paraId="331B82B2" w14:textId="7A34FCD6" w:rsidR="00192BBB" w:rsidRPr="00D024EA" w:rsidRDefault="00192BBB">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1 mg/</w:t>
            </w:r>
            <w:r w:rsidR="00B7348D" w:rsidRPr="00D024EA">
              <w:rPr>
                <w:rFonts w:eastAsia="MS Mincho"/>
                <w:sz w:val="22"/>
                <w:szCs w:val="22"/>
                <w:lang w:val="sr-Latn-ME" w:eastAsia="ja-JP" w:bidi="ne-NP"/>
              </w:rPr>
              <w:t>ml</w:t>
            </w:r>
          </w:p>
        </w:tc>
        <w:tc>
          <w:tcPr>
            <w:tcW w:w="1110" w:type="pct"/>
            <w:vAlign w:val="center"/>
          </w:tcPr>
          <w:p w14:paraId="4171B62A" w14:textId="201855E4" w:rsidR="00192BBB" w:rsidRPr="00D024EA" w:rsidRDefault="00192BBB">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2 mg/</w:t>
            </w:r>
            <w:r w:rsidR="00B7348D" w:rsidRPr="00D024EA">
              <w:rPr>
                <w:rFonts w:eastAsia="MS Mincho"/>
                <w:sz w:val="22"/>
                <w:szCs w:val="22"/>
                <w:lang w:val="sr-Latn-ME" w:eastAsia="ja-JP" w:bidi="ne-NP"/>
              </w:rPr>
              <w:t>ml</w:t>
            </w:r>
          </w:p>
        </w:tc>
      </w:tr>
      <w:tr w:rsidR="00192BBB" w:rsidRPr="00D024EA" w14:paraId="0E97D76B" w14:textId="77777777" w:rsidTr="00EA5D97">
        <w:trPr>
          <w:trHeight w:val="70"/>
          <w:jc w:val="center"/>
        </w:trPr>
        <w:tc>
          <w:tcPr>
            <w:tcW w:w="2780" w:type="pct"/>
            <w:vAlign w:val="center"/>
          </w:tcPr>
          <w:p w14:paraId="668DDA3F" w14:textId="352135AA" w:rsidR="00192BBB" w:rsidRPr="00D024EA" w:rsidRDefault="00192BBB" w:rsidP="009F2789">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10 mg kao intravenski bolus, iza čega odmah slijedi</w:t>
            </w:r>
          </w:p>
        </w:tc>
        <w:tc>
          <w:tcPr>
            <w:tcW w:w="1110" w:type="pct"/>
            <w:vAlign w:val="center"/>
          </w:tcPr>
          <w:p w14:paraId="6AFA8A23" w14:textId="1D0B0F29" w:rsidR="00192BBB" w:rsidRPr="00D024EA" w:rsidRDefault="00192BBB" w:rsidP="0068078E">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 xml:space="preserve">10 </w:t>
            </w:r>
            <w:r w:rsidR="00B7348D" w:rsidRPr="00D024EA">
              <w:rPr>
                <w:rFonts w:eastAsia="MS Mincho"/>
                <w:sz w:val="22"/>
                <w:szCs w:val="22"/>
                <w:lang w:val="sr-Latn-ME" w:eastAsia="ja-JP" w:bidi="ne-NP"/>
              </w:rPr>
              <w:t>ml</w:t>
            </w:r>
          </w:p>
        </w:tc>
        <w:tc>
          <w:tcPr>
            <w:tcW w:w="1110" w:type="pct"/>
            <w:vAlign w:val="center"/>
          </w:tcPr>
          <w:p w14:paraId="28924618" w14:textId="0B42F3D5" w:rsidR="00192BBB" w:rsidRPr="00D024EA" w:rsidRDefault="00192BBB" w:rsidP="00EF218C">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 xml:space="preserve">5 </w:t>
            </w:r>
            <w:r w:rsidR="00B7348D" w:rsidRPr="00D024EA">
              <w:rPr>
                <w:rFonts w:eastAsia="MS Mincho"/>
                <w:sz w:val="22"/>
                <w:szCs w:val="22"/>
                <w:lang w:val="sr-Latn-ME" w:eastAsia="ja-JP" w:bidi="ne-NP"/>
              </w:rPr>
              <w:t>ml</w:t>
            </w:r>
          </w:p>
        </w:tc>
      </w:tr>
      <w:tr w:rsidR="00192BBB" w:rsidRPr="00D024EA" w14:paraId="3E68694C" w14:textId="77777777" w:rsidTr="00EA5D97">
        <w:trPr>
          <w:trHeight w:val="70"/>
          <w:jc w:val="center"/>
        </w:trPr>
        <w:tc>
          <w:tcPr>
            <w:tcW w:w="2780" w:type="pct"/>
            <w:vAlign w:val="center"/>
          </w:tcPr>
          <w:p w14:paraId="722FEF65" w14:textId="77777777" w:rsidR="00192BBB" w:rsidRPr="00D024EA" w:rsidRDefault="00192BBB" w:rsidP="009F2789">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lastRenderedPageBreak/>
              <w:t>intravenska infuzija konstantne brzine tokom 3 sata do maksimalne ukupne doze od 1,5 mg/kg (TM)</w:t>
            </w:r>
          </w:p>
        </w:tc>
        <w:tc>
          <w:tcPr>
            <w:tcW w:w="1110" w:type="pct"/>
            <w:vAlign w:val="center"/>
          </w:tcPr>
          <w:p w14:paraId="33FFF97E" w14:textId="4DBBDDB5" w:rsidR="00192BBB" w:rsidRPr="00D024EA" w:rsidRDefault="00192BBB" w:rsidP="0068078E">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 xml:space="preserve">1,5 </w:t>
            </w:r>
            <w:r w:rsidR="00B7348D" w:rsidRPr="00D024EA">
              <w:rPr>
                <w:rFonts w:eastAsia="MS Mincho"/>
                <w:sz w:val="22"/>
                <w:szCs w:val="22"/>
                <w:lang w:val="sr-Latn-ME" w:eastAsia="ja-JP" w:bidi="ne-NP"/>
              </w:rPr>
              <w:t>ml</w:t>
            </w:r>
            <w:r w:rsidRPr="00D024EA">
              <w:rPr>
                <w:rFonts w:eastAsia="MS Mincho"/>
                <w:sz w:val="22"/>
                <w:szCs w:val="22"/>
                <w:lang w:val="sr-Latn-ME" w:eastAsia="ja-JP" w:bidi="ne-NP"/>
              </w:rPr>
              <w:t>/kg TM</w:t>
            </w:r>
          </w:p>
        </w:tc>
        <w:tc>
          <w:tcPr>
            <w:tcW w:w="1110" w:type="pct"/>
            <w:vAlign w:val="center"/>
          </w:tcPr>
          <w:p w14:paraId="7E131DBA" w14:textId="1BF27E2C" w:rsidR="00192BBB" w:rsidRPr="00D024EA" w:rsidRDefault="00192BBB" w:rsidP="00EF218C">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 xml:space="preserve">0,75 </w:t>
            </w:r>
            <w:r w:rsidR="00B7348D" w:rsidRPr="00D024EA">
              <w:rPr>
                <w:rFonts w:eastAsia="MS Mincho"/>
                <w:sz w:val="22"/>
                <w:szCs w:val="22"/>
                <w:lang w:val="sr-Latn-ME" w:eastAsia="ja-JP" w:bidi="ne-NP"/>
              </w:rPr>
              <w:t>ml</w:t>
            </w:r>
            <w:r w:rsidRPr="00D024EA">
              <w:rPr>
                <w:rFonts w:eastAsia="MS Mincho"/>
                <w:sz w:val="22"/>
                <w:szCs w:val="22"/>
                <w:lang w:val="sr-Latn-ME" w:eastAsia="ja-JP" w:bidi="ne-NP"/>
              </w:rPr>
              <w:t>/kg TM</w:t>
            </w:r>
          </w:p>
        </w:tc>
      </w:tr>
    </w:tbl>
    <w:p w14:paraId="660D8440" w14:textId="645E2310" w:rsidR="006E22E7" w:rsidRPr="00D024EA" w:rsidRDefault="006E22E7" w:rsidP="00EA5D97">
      <w:pPr>
        <w:autoSpaceDE w:val="0"/>
        <w:autoSpaceDN w:val="0"/>
        <w:adjustRightInd w:val="0"/>
        <w:jc w:val="both"/>
        <w:rPr>
          <w:rFonts w:eastAsia="MS Mincho"/>
          <w:sz w:val="22"/>
          <w:szCs w:val="22"/>
          <w:lang w:val="sr-Latn-ME" w:eastAsia="ja-JP" w:bidi="ne-NP"/>
        </w:rPr>
      </w:pPr>
    </w:p>
    <w:p w14:paraId="2F977F51" w14:textId="77777777" w:rsidR="006E22E7" w:rsidRPr="00D024EA" w:rsidRDefault="006E22E7" w:rsidP="00EA5D97">
      <w:pPr>
        <w:autoSpaceDE w:val="0"/>
        <w:autoSpaceDN w:val="0"/>
        <w:adjustRightInd w:val="0"/>
        <w:jc w:val="both"/>
        <w:rPr>
          <w:rFonts w:eastAsia="MS Mincho"/>
          <w:i/>
          <w:iCs/>
          <w:sz w:val="22"/>
          <w:szCs w:val="22"/>
          <w:lang w:val="sr-Latn-ME" w:eastAsia="ja-JP" w:bidi="ne-NP"/>
        </w:rPr>
      </w:pPr>
      <w:r w:rsidRPr="00D024EA">
        <w:rPr>
          <w:rFonts w:eastAsia="MS Mincho"/>
          <w:i/>
          <w:iCs/>
          <w:sz w:val="22"/>
          <w:szCs w:val="22"/>
          <w:lang w:val="sr-Latn-ME" w:eastAsia="ja-JP" w:bidi="ne-NP"/>
        </w:rPr>
        <w:t>Dodatna terapija:</w:t>
      </w:r>
    </w:p>
    <w:p w14:paraId="61FC07C3" w14:textId="77777777" w:rsidR="006E22E7" w:rsidRPr="00D024EA" w:rsidRDefault="006E22E7"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Preporučuje se dodatna trombolitička terapija u skladu sa postojećim međunarodnim smjernicama za terapiju pacijenata sa infarktom miokarda sa ST-elevacijom.</w:t>
      </w:r>
    </w:p>
    <w:p w14:paraId="1CC2ACAB" w14:textId="77777777" w:rsidR="006E22E7" w:rsidRPr="00D024EA" w:rsidRDefault="006E22E7" w:rsidP="00EA5D97">
      <w:pPr>
        <w:autoSpaceDE w:val="0"/>
        <w:autoSpaceDN w:val="0"/>
        <w:adjustRightInd w:val="0"/>
        <w:jc w:val="both"/>
        <w:rPr>
          <w:rFonts w:eastAsia="MS Mincho"/>
          <w:sz w:val="22"/>
          <w:szCs w:val="22"/>
          <w:lang w:val="sr-Latn-ME" w:eastAsia="ja-JP" w:bidi="ne-NP"/>
        </w:rPr>
      </w:pPr>
    </w:p>
    <w:p w14:paraId="7366D404" w14:textId="77777777" w:rsidR="006E22E7" w:rsidRPr="00D024EA" w:rsidRDefault="006E22E7"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Način primjene</w:t>
      </w:r>
    </w:p>
    <w:p w14:paraId="4AE08AA0" w14:textId="4EC03347" w:rsidR="006E22E7" w:rsidRPr="00D024EA" w:rsidRDefault="006E22E7" w:rsidP="00EA5D97">
      <w:pPr>
        <w:tabs>
          <w:tab w:val="left" w:pos="567"/>
        </w:tabs>
        <w:autoSpaceDE w:val="0"/>
        <w:autoSpaceDN w:val="0"/>
        <w:adjustRightInd w:val="0"/>
        <w:jc w:val="both"/>
        <w:rPr>
          <w:sz w:val="22"/>
          <w:szCs w:val="22"/>
          <w:lang w:val="sr-Latn-ME"/>
        </w:rPr>
      </w:pPr>
      <w:r w:rsidRPr="00D024EA">
        <w:rPr>
          <w:sz w:val="22"/>
          <w:szCs w:val="22"/>
          <w:lang w:val="sr-Latn-ME"/>
        </w:rPr>
        <w:t>Rekonstituisani rastvor treba primijeniti intravenski</w:t>
      </w:r>
      <w:r w:rsidR="00192BBB" w:rsidRPr="00D024EA">
        <w:rPr>
          <w:sz w:val="22"/>
          <w:szCs w:val="22"/>
          <w:lang w:val="sr-Latn-ME"/>
        </w:rPr>
        <w:t xml:space="preserve"> i on je za trenutnu upotrebu</w:t>
      </w:r>
      <w:r w:rsidRPr="00D024EA">
        <w:rPr>
          <w:sz w:val="22"/>
          <w:szCs w:val="22"/>
          <w:lang w:val="sr-Latn-ME"/>
        </w:rPr>
        <w:t>.</w:t>
      </w:r>
    </w:p>
    <w:p w14:paraId="2332E8A1" w14:textId="4785F8EB" w:rsidR="006E22E7" w:rsidRPr="00D024EA" w:rsidRDefault="006E22E7" w:rsidP="00EA5D97">
      <w:pPr>
        <w:tabs>
          <w:tab w:val="left" w:pos="567"/>
        </w:tabs>
        <w:autoSpaceDE w:val="0"/>
        <w:autoSpaceDN w:val="0"/>
        <w:adjustRightInd w:val="0"/>
        <w:jc w:val="both"/>
        <w:rPr>
          <w:sz w:val="22"/>
          <w:szCs w:val="22"/>
          <w:lang w:val="sr-Latn-ME"/>
        </w:rPr>
      </w:pPr>
      <w:r w:rsidRPr="00D024EA">
        <w:rPr>
          <w:sz w:val="22"/>
          <w:szCs w:val="22"/>
          <w:lang w:val="sr-Latn-ME"/>
        </w:rPr>
        <w:t xml:space="preserve">Za uputstvo prije rekonstitucije /administracije, vidjeti </w:t>
      </w:r>
      <w:r w:rsidR="00374804" w:rsidRPr="00D024EA">
        <w:rPr>
          <w:sz w:val="22"/>
          <w:szCs w:val="22"/>
          <w:lang w:val="sr-Latn-ME"/>
        </w:rPr>
        <w:t>dio</w:t>
      </w:r>
      <w:r w:rsidRPr="00D024EA">
        <w:rPr>
          <w:sz w:val="22"/>
          <w:szCs w:val="22"/>
          <w:lang w:val="sr-Latn-ME"/>
        </w:rPr>
        <w:t xml:space="preserve"> 6.6.</w:t>
      </w:r>
    </w:p>
    <w:p w14:paraId="73132D6B" w14:textId="77777777" w:rsidR="006E22E7" w:rsidRPr="00D024EA" w:rsidRDefault="006E22E7" w:rsidP="00EA5D97">
      <w:pPr>
        <w:tabs>
          <w:tab w:val="left" w:pos="567"/>
        </w:tabs>
        <w:autoSpaceDE w:val="0"/>
        <w:autoSpaceDN w:val="0"/>
        <w:adjustRightInd w:val="0"/>
        <w:jc w:val="both"/>
        <w:rPr>
          <w:sz w:val="22"/>
          <w:szCs w:val="22"/>
          <w:lang w:val="sr-Latn-ME"/>
        </w:rPr>
      </w:pPr>
    </w:p>
    <w:p w14:paraId="41C26645" w14:textId="77777777" w:rsidR="006E22E7" w:rsidRPr="00D024EA" w:rsidRDefault="006E22E7" w:rsidP="00EA5D97">
      <w:pPr>
        <w:jc w:val="both"/>
        <w:rPr>
          <w:sz w:val="22"/>
          <w:szCs w:val="22"/>
          <w:lang w:val="sr-Latn-ME" w:bidi="en-US"/>
        </w:rPr>
      </w:pPr>
      <w:r w:rsidRPr="00D024EA">
        <w:rPr>
          <w:sz w:val="22"/>
          <w:szCs w:val="22"/>
          <w:u w:val="single"/>
          <w:lang w:val="sr-Latn-ME" w:bidi="en-US"/>
        </w:rPr>
        <w:t>Akutna masivna plućna embolija</w:t>
      </w:r>
    </w:p>
    <w:p w14:paraId="56CD9610" w14:textId="77777777" w:rsidR="00C33C19" w:rsidRPr="00D024EA" w:rsidRDefault="00C33C19">
      <w:pPr>
        <w:autoSpaceDE w:val="0"/>
        <w:autoSpaceDN w:val="0"/>
        <w:adjustRightInd w:val="0"/>
        <w:jc w:val="both"/>
        <w:rPr>
          <w:rFonts w:eastAsia="MS Mincho"/>
          <w:sz w:val="22"/>
          <w:szCs w:val="22"/>
          <w:lang w:val="sr-Latn-ME" w:eastAsia="ja-JP" w:bidi="ne-NP"/>
        </w:rPr>
      </w:pPr>
    </w:p>
    <w:p w14:paraId="59DA3D68" w14:textId="77777777" w:rsidR="006E22E7" w:rsidRPr="00D024EA" w:rsidRDefault="006E22E7"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Doziranje</w:t>
      </w:r>
    </w:p>
    <w:p w14:paraId="0197ACE1" w14:textId="77777777" w:rsidR="00192BBB" w:rsidRPr="00D024EA" w:rsidRDefault="00192BBB" w:rsidP="00EA5D97">
      <w:pPr>
        <w:autoSpaceDE w:val="0"/>
        <w:autoSpaceDN w:val="0"/>
        <w:adjustRightInd w:val="0"/>
        <w:jc w:val="both"/>
        <w:rPr>
          <w:rFonts w:eastAsia="MS Mincho"/>
          <w:sz w:val="22"/>
          <w:szCs w:val="22"/>
          <w:lang w:val="sr-Latn-ME" w:eastAsia="ja-JP" w:bidi="ne-NP"/>
        </w:rPr>
      </w:pPr>
    </w:p>
    <w:p w14:paraId="4B56DF74" w14:textId="288E5F20" w:rsidR="00192BBB" w:rsidRPr="00D024EA" w:rsidRDefault="00192BBB"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 xml:space="preserve">Kod pacijenata sa tjelesnom masom </w:t>
      </w:r>
      <w:r w:rsidRPr="00D024EA">
        <w:rPr>
          <w:rFonts w:eastAsia="MS Mincho"/>
          <w:bCs/>
          <w:sz w:val="22"/>
          <w:szCs w:val="22"/>
          <w:lang w:val="sr-Latn-ME" w:eastAsia="ja-JP" w:bidi="ne-NP"/>
        </w:rPr>
        <w:t>≥ 65 kg:</w:t>
      </w:r>
    </w:p>
    <w:p w14:paraId="7278DE94" w14:textId="77777777" w:rsidR="00192BBB" w:rsidRPr="00D024EA" w:rsidRDefault="00192BBB" w:rsidP="00EA5D97">
      <w:pPr>
        <w:autoSpaceDE w:val="0"/>
        <w:autoSpaceDN w:val="0"/>
        <w:adjustRightInd w:val="0"/>
        <w:jc w:val="both"/>
        <w:rPr>
          <w:rFonts w:eastAsia="MS Mincho"/>
          <w:sz w:val="22"/>
          <w:szCs w:val="22"/>
          <w:lang w:val="sr-Latn-ME" w:eastAsia="ja-JP" w:bidi="ne-NP"/>
        </w:rPr>
      </w:pPr>
    </w:p>
    <w:p w14:paraId="24729E8B" w14:textId="357C8248" w:rsidR="006E22E7" w:rsidRPr="00D024EA" w:rsidRDefault="006E22E7"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Ukupna doza od 100 mg treba da se primijeni u toku 2 sata. Najviše iskustva postoji sa sljedećim režimom doziranja:</w:t>
      </w:r>
    </w:p>
    <w:p w14:paraId="049ED83B" w14:textId="77777777" w:rsidR="00B7348D" w:rsidRPr="00D024EA" w:rsidRDefault="00B7348D" w:rsidP="00EA5D97">
      <w:pPr>
        <w:autoSpaceDE w:val="0"/>
        <w:autoSpaceDN w:val="0"/>
        <w:adjustRightInd w:val="0"/>
        <w:jc w:val="both"/>
        <w:rPr>
          <w:sz w:val="22"/>
          <w:szCs w:val="22"/>
          <w:lang w:val="sr-Latn-ME"/>
        </w:rPr>
      </w:pPr>
    </w:p>
    <w:tbl>
      <w:tblPr>
        <w:tblStyle w:val="TableGrid"/>
        <w:tblW w:w="5000" w:type="pct"/>
        <w:jc w:val="center"/>
        <w:tblLayout w:type="fixed"/>
        <w:tblLook w:val="01E0" w:firstRow="1" w:lastRow="1" w:firstColumn="1" w:lastColumn="1" w:noHBand="0" w:noVBand="0"/>
      </w:tblPr>
      <w:tblGrid>
        <w:gridCol w:w="4421"/>
        <w:gridCol w:w="2322"/>
        <w:gridCol w:w="2320"/>
      </w:tblGrid>
      <w:tr w:rsidR="006E22E7" w:rsidRPr="00D024EA" w14:paraId="57402EB9" w14:textId="77777777" w:rsidTr="00EA5D97">
        <w:trPr>
          <w:jc w:val="center"/>
        </w:trPr>
        <w:tc>
          <w:tcPr>
            <w:tcW w:w="2439" w:type="pct"/>
            <w:vMerge w:val="restart"/>
          </w:tcPr>
          <w:p w14:paraId="5C38F337" w14:textId="77777777" w:rsidR="006E22E7" w:rsidRPr="00D024EA" w:rsidRDefault="006E22E7" w:rsidP="009F2789">
            <w:pPr>
              <w:autoSpaceDE w:val="0"/>
              <w:autoSpaceDN w:val="0"/>
              <w:adjustRightInd w:val="0"/>
              <w:rPr>
                <w:rFonts w:eastAsia="MS Mincho"/>
                <w:sz w:val="22"/>
                <w:szCs w:val="22"/>
                <w:lang w:val="sr-Latn-ME" w:eastAsia="ja-JP" w:bidi="ne-NP"/>
              </w:rPr>
            </w:pPr>
          </w:p>
        </w:tc>
        <w:tc>
          <w:tcPr>
            <w:tcW w:w="2561" w:type="pct"/>
            <w:gridSpan w:val="2"/>
            <w:vAlign w:val="center"/>
          </w:tcPr>
          <w:p w14:paraId="31CAA642" w14:textId="77777777" w:rsidR="00192BBB" w:rsidRPr="00D024EA" w:rsidRDefault="00192BBB" w:rsidP="0068078E">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Zapremina koja se daje prema</w:t>
            </w:r>
          </w:p>
          <w:p w14:paraId="0FD77214" w14:textId="1E235255" w:rsidR="006E22E7" w:rsidRPr="00D024EA" w:rsidRDefault="00192BBB" w:rsidP="00EF218C">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k</w:t>
            </w:r>
            <w:r w:rsidR="006E22E7" w:rsidRPr="00D024EA">
              <w:rPr>
                <w:rFonts w:eastAsia="MS Mincho"/>
                <w:sz w:val="22"/>
                <w:szCs w:val="22"/>
                <w:lang w:val="sr-Latn-ME" w:eastAsia="ja-JP" w:bidi="ne-NP"/>
              </w:rPr>
              <w:t>oncentracij</w:t>
            </w:r>
            <w:r w:rsidRPr="00D024EA">
              <w:rPr>
                <w:rFonts w:eastAsia="MS Mincho"/>
                <w:sz w:val="22"/>
                <w:szCs w:val="22"/>
                <w:lang w:val="sr-Latn-ME" w:eastAsia="ja-JP" w:bidi="ne-NP"/>
              </w:rPr>
              <w:t>i</w:t>
            </w:r>
            <w:r w:rsidR="006E22E7" w:rsidRPr="00D024EA">
              <w:rPr>
                <w:rFonts w:eastAsia="MS Mincho"/>
                <w:sz w:val="22"/>
                <w:szCs w:val="22"/>
                <w:lang w:val="sr-Latn-ME" w:eastAsia="ja-JP" w:bidi="ne-NP"/>
              </w:rPr>
              <w:t xml:space="preserve"> alteplaze</w:t>
            </w:r>
          </w:p>
        </w:tc>
      </w:tr>
      <w:tr w:rsidR="006E22E7" w:rsidRPr="00D024EA" w14:paraId="24C62060" w14:textId="77777777" w:rsidTr="00EA5D97">
        <w:trPr>
          <w:jc w:val="center"/>
        </w:trPr>
        <w:tc>
          <w:tcPr>
            <w:tcW w:w="2439" w:type="pct"/>
            <w:vMerge/>
          </w:tcPr>
          <w:p w14:paraId="544D57A8" w14:textId="77777777" w:rsidR="006E22E7" w:rsidRPr="00D024EA" w:rsidRDefault="006E22E7">
            <w:pPr>
              <w:autoSpaceDE w:val="0"/>
              <w:autoSpaceDN w:val="0"/>
              <w:adjustRightInd w:val="0"/>
              <w:rPr>
                <w:rFonts w:eastAsia="MS Mincho"/>
                <w:sz w:val="22"/>
                <w:szCs w:val="22"/>
                <w:lang w:val="sr-Latn-ME" w:eastAsia="ja-JP" w:bidi="ne-NP"/>
              </w:rPr>
            </w:pPr>
          </w:p>
        </w:tc>
        <w:tc>
          <w:tcPr>
            <w:tcW w:w="1281" w:type="pct"/>
            <w:vAlign w:val="center"/>
          </w:tcPr>
          <w:p w14:paraId="3628A9D0" w14:textId="79AB38B8" w:rsidR="006E22E7" w:rsidRPr="00D024EA" w:rsidRDefault="006E22E7">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1 mg/</w:t>
            </w:r>
            <w:r w:rsidR="00B7348D" w:rsidRPr="00D024EA">
              <w:rPr>
                <w:rFonts w:eastAsia="MS Mincho"/>
                <w:sz w:val="22"/>
                <w:szCs w:val="22"/>
                <w:lang w:val="sr-Latn-ME" w:eastAsia="ja-JP" w:bidi="ne-NP"/>
              </w:rPr>
              <w:t>ml</w:t>
            </w:r>
          </w:p>
        </w:tc>
        <w:tc>
          <w:tcPr>
            <w:tcW w:w="1280" w:type="pct"/>
            <w:vAlign w:val="center"/>
          </w:tcPr>
          <w:p w14:paraId="51076BF9" w14:textId="38ABD385" w:rsidR="006E22E7" w:rsidRPr="00D024EA" w:rsidRDefault="006E22E7">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2 mg/</w:t>
            </w:r>
            <w:r w:rsidR="00B7348D" w:rsidRPr="00D024EA">
              <w:rPr>
                <w:rFonts w:eastAsia="MS Mincho"/>
                <w:sz w:val="22"/>
                <w:szCs w:val="22"/>
                <w:lang w:val="sr-Latn-ME" w:eastAsia="ja-JP" w:bidi="ne-NP"/>
              </w:rPr>
              <w:t>ml</w:t>
            </w:r>
          </w:p>
        </w:tc>
      </w:tr>
      <w:tr w:rsidR="006E22E7" w:rsidRPr="00D024EA" w14:paraId="3CC29766" w14:textId="77777777" w:rsidTr="00EA5D97">
        <w:trPr>
          <w:jc w:val="center"/>
        </w:trPr>
        <w:tc>
          <w:tcPr>
            <w:tcW w:w="2439" w:type="pct"/>
            <w:vMerge/>
          </w:tcPr>
          <w:p w14:paraId="5FD4D272" w14:textId="77777777" w:rsidR="006E22E7" w:rsidRPr="00D024EA" w:rsidRDefault="006E22E7">
            <w:pPr>
              <w:autoSpaceDE w:val="0"/>
              <w:autoSpaceDN w:val="0"/>
              <w:adjustRightInd w:val="0"/>
              <w:rPr>
                <w:rFonts w:eastAsia="MS Mincho"/>
                <w:sz w:val="22"/>
                <w:szCs w:val="22"/>
                <w:lang w:val="sr-Latn-ME" w:eastAsia="ja-JP" w:bidi="ne-NP"/>
              </w:rPr>
            </w:pPr>
          </w:p>
        </w:tc>
        <w:tc>
          <w:tcPr>
            <w:tcW w:w="1281" w:type="pct"/>
            <w:vAlign w:val="center"/>
          </w:tcPr>
          <w:p w14:paraId="029A5BE0" w14:textId="4C1A539B" w:rsidR="006E22E7" w:rsidRPr="00D024EA" w:rsidRDefault="006E22E7">
            <w:pPr>
              <w:autoSpaceDE w:val="0"/>
              <w:autoSpaceDN w:val="0"/>
              <w:adjustRightInd w:val="0"/>
              <w:rPr>
                <w:rFonts w:eastAsia="MS Mincho"/>
                <w:bCs/>
                <w:sz w:val="22"/>
                <w:szCs w:val="22"/>
                <w:lang w:val="sr-Latn-ME" w:eastAsia="ja-JP" w:bidi="ne-NP"/>
              </w:rPr>
            </w:pPr>
          </w:p>
        </w:tc>
        <w:tc>
          <w:tcPr>
            <w:tcW w:w="1280" w:type="pct"/>
            <w:vAlign w:val="center"/>
          </w:tcPr>
          <w:p w14:paraId="76C34889" w14:textId="29063B26" w:rsidR="006E22E7" w:rsidRPr="00D024EA" w:rsidRDefault="006E22E7">
            <w:pPr>
              <w:autoSpaceDE w:val="0"/>
              <w:autoSpaceDN w:val="0"/>
              <w:adjustRightInd w:val="0"/>
              <w:rPr>
                <w:rFonts w:eastAsia="MS Mincho"/>
                <w:bCs/>
                <w:sz w:val="22"/>
                <w:szCs w:val="22"/>
                <w:lang w:val="sr-Latn-ME" w:eastAsia="ja-JP" w:bidi="ne-NP"/>
              </w:rPr>
            </w:pPr>
          </w:p>
        </w:tc>
      </w:tr>
      <w:tr w:rsidR="006E22E7" w:rsidRPr="00D024EA" w14:paraId="5A236533" w14:textId="77777777" w:rsidTr="00EA5D97">
        <w:trPr>
          <w:trHeight w:val="259"/>
          <w:jc w:val="center"/>
        </w:trPr>
        <w:tc>
          <w:tcPr>
            <w:tcW w:w="2439" w:type="pct"/>
            <w:vAlign w:val="center"/>
          </w:tcPr>
          <w:p w14:paraId="1036F68E" w14:textId="4ABF7730" w:rsidR="006E22E7" w:rsidRPr="00D024EA" w:rsidRDefault="006E22E7" w:rsidP="009F2789">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10 mg kao intravenski bolus u toku 1- 2 minuta</w:t>
            </w:r>
            <w:r w:rsidR="004B199B" w:rsidRPr="00D024EA">
              <w:rPr>
                <w:rFonts w:eastAsia="MS Mincho"/>
                <w:sz w:val="22"/>
                <w:szCs w:val="22"/>
                <w:lang w:val="sr-Latn-ME" w:eastAsia="ja-JP" w:bidi="ne-NP"/>
              </w:rPr>
              <w:t>, iza čega odmah slijedi</w:t>
            </w:r>
          </w:p>
        </w:tc>
        <w:tc>
          <w:tcPr>
            <w:tcW w:w="1281" w:type="pct"/>
            <w:vAlign w:val="center"/>
          </w:tcPr>
          <w:p w14:paraId="279D588A" w14:textId="7BF2F5DF" w:rsidR="006E22E7" w:rsidRPr="00D024EA" w:rsidRDefault="006E22E7" w:rsidP="0068078E">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10</w:t>
            </w:r>
            <w:r w:rsidR="004B199B" w:rsidRPr="00D024EA">
              <w:rPr>
                <w:rFonts w:eastAsia="MS Mincho"/>
                <w:sz w:val="22"/>
                <w:szCs w:val="22"/>
                <w:lang w:val="sr-Latn-ME" w:eastAsia="ja-JP" w:bidi="ne-NP"/>
              </w:rPr>
              <w:t xml:space="preserve"> </w:t>
            </w:r>
            <w:r w:rsidR="00B7348D" w:rsidRPr="00D024EA">
              <w:rPr>
                <w:rFonts w:eastAsia="MS Mincho"/>
                <w:sz w:val="22"/>
                <w:szCs w:val="22"/>
                <w:lang w:val="sr-Latn-ME" w:eastAsia="ja-JP" w:bidi="ne-NP"/>
              </w:rPr>
              <w:t>ml</w:t>
            </w:r>
          </w:p>
        </w:tc>
        <w:tc>
          <w:tcPr>
            <w:tcW w:w="1280" w:type="pct"/>
            <w:vAlign w:val="center"/>
          </w:tcPr>
          <w:p w14:paraId="5A5A6D63" w14:textId="0284C392" w:rsidR="006E22E7" w:rsidRPr="00D024EA" w:rsidRDefault="006E22E7" w:rsidP="00EF218C">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5</w:t>
            </w:r>
            <w:r w:rsidR="004B199B" w:rsidRPr="00D024EA">
              <w:rPr>
                <w:rFonts w:eastAsia="MS Mincho"/>
                <w:sz w:val="22"/>
                <w:szCs w:val="22"/>
                <w:lang w:val="sr-Latn-ME" w:eastAsia="ja-JP" w:bidi="ne-NP"/>
              </w:rPr>
              <w:t xml:space="preserve"> </w:t>
            </w:r>
            <w:r w:rsidR="00B7348D" w:rsidRPr="00D024EA">
              <w:rPr>
                <w:rFonts w:eastAsia="MS Mincho"/>
                <w:sz w:val="22"/>
                <w:szCs w:val="22"/>
                <w:lang w:val="sr-Latn-ME" w:eastAsia="ja-JP" w:bidi="ne-NP"/>
              </w:rPr>
              <w:t>ml</w:t>
            </w:r>
          </w:p>
        </w:tc>
      </w:tr>
      <w:tr w:rsidR="006E22E7" w:rsidRPr="00D024EA" w14:paraId="0A4C79BB" w14:textId="77777777" w:rsidTr="00EA5D97">
        <w:trPr>
          <w:trHeight w:val="163"/>
          <w:jc w:val="center"/>
        </w:trPr>
        <w:tc>
          <w:tcPr>
            <w:tcW w:w="2439" w:type="pct"/>
          </w:tcPr>
          <w:p w14:paraId="1AEE477F" w14:textId="6F17F279" w:rsidR="006E22E7" w:rsidRPr="00D024EA" w:rsidRDefault="006E22E7" w:rsidP="009F2789">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 xml:space="preserve">90 mg </w:t>
            </w:r>
            <w:r w:rsidR="004B199B" w:rsidRPr="00D024EA">
              <w:rPr>
                <w:rFonts w:eastAsia="MS Mincho"/>
                <w:sz w:val="22"/>
                <w:szCs w:val="22"/>
                <w:lang w:val="sr-Latn-ME" w:eastAsia="ja-JP" w:bidi="ne-NP"/>
              </w:rPr>
              <w:t xml:space="preserve">kao intravenska infuzija konstantne brzine </w:t>
            </w:r>
            <w:r w:rsidRPr="00D024EA">
              <w:rPr>
                <w:rFonts w:eastAsia="MS Mincho"/>
                <w:sz w:val="22"/>
                <w:szCs w:val="22"/>
                <w:lang w:val="sr-Latn-ME" w:eastAsia="ja-JP" w:bidi="ne-NP"/>
              </w:rPr>
              <w:t>u toku 2 sata</w:t>
            </w:r>
            <w:r w:rsidR="004B199B" w:rsidRPr="00D024EA">
              <w:rPr>
                <w:rFonts w:eastAsia="MS Mincho"/>
                <w:sz w:val="22"/>
                <w:szCs w:val="22"/>
                <w:lang w:val="sr-Latn-ME" w:eastAsia="ja-JP" w:bidi="ne-NP"/>
              </w:rPr>
              <w:t xml:space="preserve"> do maksimalne ukupne doze od 100 mg</w:t>
            </w:r>
          </w:p>
        </w:tc>
        <w:tc>
          <w:tcPr>
            <w:tcW w:w="1281" w:type="pct"/>
            <w:vAlign w:val="center"/>
          </w:tcPr>
          <w:p w14:paraId="4239912D" w14:textId="6CD706D1" w:rsidR="006E22E7" w:rsidRPr="00D024EA" w:rsidRDefault="006E22E7" w:rsidP="0068078E">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90</w:t>
            </w:r>
            <w:r w:rsidR="004B199B" w:rsidRPr="00D024EA">
              <w:rPr>
                <w:rFonts w:eastAsia="MS Mincho"/>
                <w:sz w:val="22"/>
                <w:szCs w:val="22"/>
                <w:lang w:val="sr-Latn-ME" w:eastAsia="ja-JP" w:bidi="ne-NP"/>
              </w:rPr>
              <w:t xml:space="preserve"> </w:t>
            </w:r>
            <w:r w:rsidR="00B7348D" w:rsidRPr="00D024EA">
              <w:rPr>
                <w:rFonts w:eastAsia="MS Mincho"/>
                <w:sz w:val="22"/>
                <w:szCs w:val="22"/>
                <w:lang w:val="sr-Latn-ME" w:eastAsia="ja-JP" w:bidi="ne-NP"/>
              </w:rPr>
              <w:t>ml</w:t>
            </w:r>
          </w:p>
        </w:tc>
        <w:tc>
          <w:tcPr>
            <w:tcW w:w="1280" w:type="pct"/>
            <w:vAlign w:val="center"/>
          </w:tcPr>
          <w:p w14:paraId="35835479" w14:textId="6432047D" w:rsidR="006E22E7" w:rsidRPr="00D024EA" w:rsidRDefault="006E22E7" w:rsidP="00EF218C">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45</w:t>
            </w:r>
            <w:r w:rsidR="004B199B" w:rsidRPr="00D024EA">
              <w:rPr>
                <w:rFonts w:eastAsia="MS Mincho"/>
                <w:sz w:val="22"/>
                <w:szCs w:val="22"/>
                <w:lang w:val="sr-Latn-ME" w:eastAsia="ja-JP" w:bidi="ne-NP"/>
              </w:rPr>
              <w:t xml:space="preserve"> </w:t>
            </w:r>
            <w:r w:rsidR="00B7348D" w:rsidRPr="00D024EA">
              <w:rPr>
                <w:rFonts w:eastAsia="MS Mincho"/>
                <w:sz w:val="22"/>
                <w:szCs w:val="22"/>
                <w:lang w:val="sr-Latn-ME" w:eastAsia="ja-JP" w:bidi="ne-NP"/>
              </w:rPr>
              <w:t>ml</w:t>
            </w:r>
          </w:p>
        </w:tc>
      </w:tr>
    </w:tbl>
    <w:p w14:paraId="32E6B142" w14:textId="77777777" w:rsidR="006E22E7" w:rsidRPr="00D024EA" w:rsidRDefault="006E22E7" w:rsidP="00EA5D97">
      <w:pPr>
        <w:tabs>
          <w:tab w:val="left" w:pos="284"/>
        </w:tabs>
        <w:jc w:val="both"/>
        <w:rPr>
          <w:b/>
          <w:bCs/>
          <w:sz w:val="22"/>
          <w:szCs w:val="22"/>
          <w:lang w:val="sr-Latn-ME"/>
        </w:rPr>
      </w:pPr>
    </w:p>
    <w:p w14:paraId="524B0FBC" w14:textId="0B8369FC" w:rsidR="004B199B" w:rsidRPr="00D024EA" w:rsidRDefault="004B199B" w:rsidP="00EA5D97">
      <w:pPr>
        <w:autoSpaceDE w:val="0"/>
        <w:autoSpaceDN w:val="0"/>
        <w:adjustRightInd w:val="0"/>
        <w:jc w:val="both"/>
        <w:rPr>
          <w:rFonts w:eastAsia="MS Mincho"/>
          <w:bCs/>
          <w:sz w:val="22"/>
          <w:szCs w:val="22"/>
          <w:lang w:val="sr-Latn-ME" w:eastAsia="ja-JP" w:bidi="ne-NP"/>
        </w:rPr>
      </w:pPr>
      <w:r w:rsidRPr="00D024EA">
        <w:rPr>
          <w:rFonts w:eastAsia="MS Mincho"/>
          <w:bCs/>
          <w:sz w:val="22"/>
          <w:szCs w:val="22"/>
          <w:lang w:val="sr-Latn-ME" w:eastAsia="ja-JP" w:bidi="ne-NP"/>
        </w:rPr>
        <w:t>Kod pacijenata sa t</w:t>
      </w:r>
      <w:r w:rsidR="0068078E" w:rsidRPr="00D024EA">
        <w:rPr>
          <w:rFonts w:eastAsia="MS Mincho"/>
          <w:bCs/>
          <w:sz w:val="22"/>
          <w:szCs w:val="22"/>
          <w:lang w:val="sr-Latn-ME" w:eastAsia="ja-JP" w:bidi="ne-NP"/>
        </w:rPr>
        <w:t>j</w:t>
      </w:r>
      <w:r w:rsidRPr="00D024EA">
        <w:rPr>
          <w:rFonts w:eastAsia="MS Mincho"/>
          <w:bCs/>
          <w:sz w:val="22"/>
          <w:szCs w:val="22"/>
          <w:lang w:val="sr-Latn-ME" w:eastAsia="ja-JP" w:bidi="ne-NP"/>
        </w:rPr>
        <w:t xml:space="preserve">elesnom masom </w:t>
      </w:r>
      <w:r w:rsidRPr="00D024EA">
        <w:rPr>
          <w:rFonts w:eastAsia="MS Mincho"/>
          <w:sz w:val="22"/>
          <w:szCs w:val="22"/>
          <w:lang w:val="sr-Latn-ME" w:eastAsia="ja-JP" w:bidi="ne-NP"/>
        </w:rPr>
        <w:t xml:space="preserve">&lt; </w:t>
      </w:r>
      <w:r w:rsidRPr="00D024EA">
        <w:rPr>
          <w:rFonts w:eastAsia="MS Mincho"/>
          <w:bCs/>
          <w:sz w:val="22"/>
          <w:szCs w:val="22"/>
          <w:lang w:val="sr-Latn-ME" w:eastAsia="ja-JP" w:bidi="ne-NP"/>
        </w:rPr>
        <w:t>65 kg:</w:t>
      </w:r>
    </w:p>
    <w:p w14:paraId="55152887" w14:textId="77777777" w:rsidR="004B199B" w:rsidRPr="00D024EA" w:rsidRDefault="004B199B" w:rsidP="00EA5D97">
      <w:pPr>
        <w:autoSpaceDE w:val="0"/>
        <w:autoSpaceDN w:val="0"/>
        <w:adjustRightInd w:val="0"/>
        <w:jc w:val="both"/>
        <w:rPr>
          <w:rFonts w:eastAsia="MS Mincho"/>
          <w:b/>
          <w:bCs/>
          <w:sz w:val="22"/>
          <w:szCs w:val="22"/>
          <w:lang w:val="sr-Latn-ME" w:eastAsia="ja-JP" w:bidi="ne-NP"/>
        </w:rPr>
      </w:pPr>
    </w:p>
    <w:tbl>
      <w:tblPr>
        <w:tblStyle w:val="TableGrid"/>
        <w:tblW w:w="5000" w:type="pct"/>
        <w:jc w:val="center"/>
        <w:tblLayout w:type="fixed"/>
        <w:tblLook w:val="01E0" w:firstRow="1" w:lastRow="1" w:firstColumn="1" w:lastColumn="1" w:noHBand="0" w:noVBand="0"/>
      </w:tblPr>
      <w:tblGrid>
        <w:gridCol w:w="4421"/>
        <w:gridCol w:w="2322"/>
        <w:gridCol w:w="2320"/>
      </w:tblGrid>
      <w:tr w:rsidR="004B199B" w:rsidRPr="00D024EA" w14:paraId="69C1DF96" w14:textId="77777777" w:rsidTr="00EA5D97">
        <w:trPr>
          <w:jc w:val="center"/>
        </w:trPr>
        <w:tc>
          <w:tcPr>
            <w:tcW w:w="2439" w:type="pct"/>
            <w:vMerge w:val="restart"/>
          </w:tcPr>
          <w:p w14:paraId="18BB664C" w14:textId="77777777" w:rsidR="004B199B" w:rsidRPr="00D024EA" w:rsidRDefault="004B199B" w:rsidP="009F2789">
            <w:pPr>
              <w:autoSpaceDE w:val="0"/>
              <w:autoSpaceDN w:val="0"/>
              <w:adjustRightInd w:val="0"/>
              <w:rPr>
                <w:rFonts w:eastAsia="MS Mincho"/>
                <w:color w:val="FF0000"/>
                <w:sz w:val="22"/>
                <w:szCs w:val="22"/>
                <w:lang w:val="sr-Latn-ME" w:eastAsia="ja-JP" w:bidi="ne-NP"/>
              </w:rPr>
            </w:pPr>
          </w:p>
        </w:tc>
        <w:tc>
          <w:tcPr>
            <w:tcW w:w="2561" w:type="pct"/>
            <w:gridSpan w:val="2"/>
            <w:vAlign w:val="center"/>
          </w:tcPr>
          <w:p w14:paraId="32A1B197" w14:textId="77777777" w:rsidR="004B199B" w:rsidRPr="00D024EA" w:rsidRDefault="004B199B" w:rsidP="00EA5D97">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 xml:space="preserve">Zapremina koja se daje prema </w:t>
            </w:r>
          </w:p>
          <w:p w14:paraId="6850405B" w14:textId="68A73D62" w:rsidR="004B199B" w:rsidRPr="00D024EA" w:rsidRDefault="004B199B" w:rsidP="00EA5D97">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koncentracij</w:t>
            </w:r>
            <w:r w:rsidRPr="00D024EA">
              <w:rPr>
                <w:rFonts w:eastAsia="MS Mincho"/>
                <w:strike/>
                <w:sz w:val="22"/>
                <w:szCs w:val="22"/>
                <w:lang w:val="sr-Latn-ME" w:eastAsia="ja-JP" w:bidi="ne-NP"/>
              </w:rPr>
              <w:t>i</w:t>
            </w:r>
            <w:r w:rsidRPr="00D024EA">
              <w:rPr>
                <w:rFonts w:eastAsia="MS Mincho"/>
                <w:sz w:val="22"/>
                <w:szCs w:val="22"/>
                <w:lang w:val="sr-Latn-ME" w:eastAsia="ja-JP" w:bidi="ne-NP"/>
              </w:rPr>
              <w:t xml:space="preserve"> alteplaze</w:t>
            </w:r>
          </w:p>
        </w:tc>
      </w:tr>
      <w:tr w:rsidR="004B199B" w:rsidRPr="00D024EA" w14:paraId="07259452" w14:textId="77777777" w:rsidTr="00EA5D97">
        <w:trPr>
          <w:jc w:val="center"/>
        </w:trPr>
        <w:tc>
          <w:tcPr>
            <w:tcW w:w="2439" w:type="pct"/>
            <w:vMerge/>
          </w:tcPr>
          <w:p w14:paraId="4DAB7959" w14:textId="77777777" w:rsidR="004B199B" w:rsidRPr="00D024EA" w:rsidRDefault="004B199B">
            <w:pPr>
              <w:autoSpaceDE w:val="0"/>
              <w:autoSpaceDN w:val="0"/>
              <w:adjustRightInd w:val="0"/>
              <w:rPr>
                <w:rFonts w:eastAsia="MS Mincho"/>
                <w:color w:val="FF0000"/>
                <w:sz w:val="22"/>
                <w:szCs w:val="22"/>
                <w:lang w:val="sr-Latn-ME" w:eastAsia="ja-JP" w:bidi="ne-NP"/>
              </w:rPr>
            </w:pPr>
          </w:p>
        </w:tc>
        <w:tc>
          <w:tcPr>
            <w:tcW w:w="1281" w:type="pct"/>
            <w:vAlign w:val="center"/>
          </w:tcPr>
          <w:p w14:paraId="465B2ED6" w14:textId="7E464EBF" w:rsidR="004B199B" w:rsidRPr="00D024EA" w:rsidRDefault="004B199B">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1 mg/</w:t>
            </w:r>
            <w:r w:rsidR="00B7348D" w:rsidRPr="00D024EA">
              <w:rPr>
                <w:rFonts w:eastAsia="MS Mincho"/>
                <w:sz w:val="22"/>
                <w:szCs w:val="22"/>
                <w:lang w:val="sr-Latn-ME" w:eastAsia="ja-JP" w:bidi="ne-NP"/>
              </w:rPr>
              <w:t>ml</w:t>
            </w:r>
          </w:p>
        </w:tc>
        <w:tc>
          <w:tcPr>
            <w:tcW w:w="1281" w:type="pct"/>
            <w:vAlign w:val="center"/>
          </w:tcPr>
          <w:p w14:paraId="3320A9F9" w14:textId="438937E6" w:rsidR="004B199B" w:rsidRPr="00D024EA" w:rsidRDefault="004B199B">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2 mg/</w:t>
            </w:r>
            <w:r w:rsidR="00B7348D" w:rsidRPr="00D024EA">
              <w:rPr>
                <w:rFonts w:eastAsia="MS Mincho"/>
                <w:sz w:val="22"/>
                <w:szCs w:val="22"/>
                <w:lang w:val="sr-Latn-ME" w:eastAsia="ja-JP" w:bidi="ne-NP"/>
              </w:rPr>
              <w:t>ml</w:t>
            </w:r>
          </w:p>
        </w:tc>
      </w:tr>
      <w:tr w:rsidR="004B199B" w:rsidRPr="00D024EA" w14:paraId="7E3E3D8A" w14:textId="77777777" w:rsidTr="00EA5D97">
        <w:trPr>
          <w:trHeight w:val="259"/>
          <w:jc w:val="center"/>
        </w:trPr>
        <w:tc>
          <w:tcPr>
            <w:tcW w:w="2439" w:type="pct"/>
            <w:vAlign w:val="center"/>
          </w:tcPr>
          <w:p w14:paraId="47B7BF9E" w14:textId="7E783A67" w:rsidR="004B199B" w:rsidRPr="00D024EA" w:rsidRDefault="004B199B" w:rsidP="009F2789">
            <w:pPr>
              <w:autoSpaceDE w:val="0"/>
              <w:autoSpaceDN w:val="0"/>
              <w:adjustRightInd w:val="0"/>
              <w:rPr>
                <w:rFonts w:eastAsia="MS Mincho"/>
                <w:color w:val="FF0000"/>
                <w:sz w:val="22"/>
                <w:szCs w:val="22"/>
                <w:lang w:val="sr-Latn-ME" w:eastAsia="ja-JP" w:bidi="ne-NP"/>
              </w:rPr>
            </w:pPr>
            <w:r w:rsidRPr="00D024EA">
              <w:rPr>
                <w:rFonts w:eastAsia="MS Mincho"/>
                <w:sz w:val="22"/>
                <w:szCs w:val="22"/>
                <w:lang w:val="sr-Latn-ME" w:eastAsia="ja-JP" w:bidi="ne-NP"/>
              </w:rPr>
              <w:t>10 mg kao intravenski bolus u toku 1- 2 minuta, iza čega odmah slijedi</w:t>
            </w:r>
          </w:p>
        </w:tc>
        <w:tc>
          <w:tcPr>
            <w:tcW w:w="1281" w:type="pct"/>
            <w:vAlign w:val="center"/>
          </w:tcPr>
          <w:p w14:paraId="6F3EE238" w14:textId="5CCDEDA9" w:rsidR="004B199B" w:rsidRPr="00D024EA" w:rsidRDefault="004B199B" w:rsidP="0068078E">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 xml:space="preserve">10 </w:t>
            </w:r>
            <w:r w:rsidR="00B7348D" w:rsidRPr="00D024EA">
              <w:rPr>
                <w:rFonts w:eastAsia="MS Mincho"/>
                <w:sz w:val="22"/>
                <w:szCs w:val="22"/>
                <w:lang w:val="sr-Latn-ME" w:eastAsia="ja-JP" w:bidi="ne-NP"/>
              </w:rPr>
              <w:t>ml</w:t>
            </w:r>
          </w:p>
        </w:tc>
        <w:tc>
          <w:tcPr>
            <w:tcW w:w="1281" w:type="pct"/>
            <w:vAlign w:val="center"/>
          </w:tcPr>
          <w:p w14:paraId="5A7965AB" w14:textId="28F87EF8" w:rsidR="004B199B" w:rsidRPr="00D024EA" w:rsidRDefault="004B199B" w:rsidP="00EF218C">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 xml:space="preserve">5 </w:t>
            </w:r>
            <w:r w:rsidR="00B7348D" w:rsidRPr="00D024EA">
              <w:rPr>
                <w:rFonts w:eastAsia="MS Mincho"/>
                <w:sz w:val="22"/>
                <w:szCs w:val="22"/>
                <w:lang w:val="sr-Latn-ME" w:eastAsia="ja-JP" w:bidi="ne-NP"/>
              </w:rPr>
              <w:t>ml</w:t>
            </w:r>
          </w:p>
        </w:tc>
      </w:tr>
      <w:tr w:rsidR="004B199B" w:rsidRPr="00D024EA" w14:paraId="667BD2D3" w14:textId="77777777" w:rsidTr="00EA5D97">
        <w:trPr>
          <w:trHeight w:val="163"/>
          <w:jc w:val="center"/>
        </w:trPr>
        <w:tc>
          <w:tcPr>
            <w:tcW w:w="2439" w:type="pct"/>
          </w:tcPr>
          <w:p w14:paraId="34CBD0F8" w14:textId="32DE65B7" w:rsidR="004B199B" w:rsidRPr="00D024EA" w:rsidRDefault="0068078E" w:rsidP="009F2789">
            <w:pPr>
              <w:autoSpaceDE w:val="0"/>
              <w:autoSpaceDN w:val="0"/>
              <w:adjustRightInd w:val="0"/>
              <w:rPr>
                <w:rFonts w:eastAsia="MS Mincho"/>
                <w:color w:val="FF0000"/>
                <w:sz w:val="22"/>
                <w:szCs w:val="22"/>
                <w:lang w:val="sr-Latn-ME" w:eastAsia="ja-JP" w:bidi="ne-NP"/>
              </w:rPr>
            </w:pPr>
            <w:r w:rsidRPr="00D024EA">
              <w:rPr>
                <w:rFonts w:eastAsia="MS Mincho"/>
                <w:sz w:val="22"/>
                <w:szCs w:val="22"/>
                <w:lang w:val="sr-Latn-ME" w:eastAsia="ja-JP" w:bidi="ne-NP"/>
              </w:rPr>
              <w:t>I</w:t>
            </w:r>
            <w:r w:rsidR="004B199B" w:rsidRPr="00D024EA">
              <w:rPr>
                <w:rFonts w:eastAsia="MS Mincho"/>
                <w:sz w:val="22"/>
                <w:szCs w:val="22"/>
                <w:lang w:val="sr-Latn-ME" w:eastAsia="ja-JP" w:bidi="ne-NP"/>
              </w:rPr>
              <w:t>ntravenska infuzija konstantne brzine u toku 2 sata do maksimalne ukupne doze od 1,5 mg /kg TM</w:t>
            </w:r>
          </w:p>
        </w:tc>
        <w:tc>
          <w:tcPr>
            <w:tcW w:w="1281" w:type="pct"/>
          </w:tcPr>
          <w:p w14:paraId="0A1C7B0F" w14:textId="7C781E15" w:rsidR="004B199B" w:rsidRPr="00D024EA" w:rsidRDefault="004B199B" w:rsidP="0068078E">
            <w:pPr>
              <w:autoSpaceDE w:val="0"/>
              <w:autoSpaceDN w:val="0"/>
              <w:adjustRightInd w:val="0"/>
              <w:rPr>
                <w:rFonts w:eastAsia="MS Mincho"/>
                <w:color w:val="FF0000"/>
                <w:sz w:val="22"/>
                <w:szCs w:val="22"/>
                <w:lang w:val="sr-Latn-ME" w:eastAsia="ja-JP" w:bidi="ne-NP"/>
              </w:rPr>
            </w:pPr>
            <w:r w:rsidRPr="00D024EA">
              <w:rPr>
                <w:sz w:val="22"/>
                <w:szCs w:val="22"/>
                <w:lang w:val="sr-Latn-ME"/>
              </w:rPr>
              <w:t xml:space="preserve">1,5 </w:t>
            </w:r>
            <w:r w:rsidR="00B7348D" w:rsidRPr="00D024EA">
              <w:rPr>
                <w:sz w:val="22"/>
                <w:szCs w:val="22"/>
                <w:lang w:val="sr-Latn-ME"/>
              </w:rPr>
              <w:t>ml</w:t>
            </w:r>
            <w:r w:rsidRPr="00D024EA">
              <w:rPr>
                <w:sz w:val="22"/>
                <w:szCs w:val="22"/>
                <w:lang w:val="sr-Latn-ME"/>
              </w:rPr>
              <w:t>/kg TM</w:t>
            </w:r>
          </w:p>
        </w:tc>
        <w:tc>
          <w:tcPr>
            <w:tcW w:w="1281" w:type="pct"/>
          </w:tcPr>
          <w:p w14:paraId="01A9B470" w14:textId="5B0CE024" w:rsidR="004B199B" w:rsidRPr="00D024EA" w:rsidRDefault="004B199B" w:rsidP="00EF218C">
            <w:pPr>
              <w:autoSpaceDE w:val="0"/>
              <w:autoSpaceDN w:val="0"/>
              <w:adjustRightInd w:val="0"/>
              <w:rPr>
                <w:rFonts w:eastAsia="MS Mincho"/>
                <w:color w:val="FF0000"/>
                <w:sz w:val="22"/>
                <w:szCs w:val="22"/>
                <w:lang w:val="sr-Latn-ME" w:eastAsia="ja-JP" w:bidi="ne-NP"/>
              </w:rPr>
            </w:pPr>
            <w:r w:rsidRPr="00D024EA">
              <w:rPr>
                <w:sz w:val="22"/>
                <w:szCs w:val="22"/>
                <w:lang w:val="sr-Latn-ME"/>
              </w:rPr>
              <w:t xml:space="preserve">0,75 </w:t>
            </w:r>
            <w:r w:rsidR="00B7348D" w:rsidRPr="00D024EA">
              <w:rPr>
                <w:sz w:val="22"/>
                <w:szCs w:val="22"/>
                <w:lang w:val="sr-Latn-ME"/>
              </w:rPr>
              <w:t>ml</w:t>
            </w:r>
            <w:r w:rsidRPr="00D024EA">
              <w:rPr>
                <w:sz w:val="22"/>
                <w:szCs w:val="22"/>
                <w:lang w:val="sr-Latn-ME"/>
              </w:rPr>
              <w:t>/kg TM</w:t>
            </w:r>
          </w:p>
        </w:tc>
      </w:tr>
    </w:tbl>
    <w:p w14:paraId="2781BA2A" w14:textId="09D4136C" w:rsidR="006E22E7" w:rsidRPr="00D024EA" w:rsidRDefault="006E22E7" w:rsidP="00EA5D97">
      <w:pPr>
        <w:autoSpaceDE w:val="0"/>
        <w:autoSpaceDN w:val="0"/>
        <w:adjustRightInd w:val="0"/>
        <w:jc w:val="both"/>
        <w:rPr>
          <w:rFonts w:eastAsia="MS Mincho"/>
          <w:sz w:val="22"/>
          <w:szCs w:val="22"/>
          <w:lang w:val="sr-Latn-ME" w:eastAsia="ja-JP" w:bidi="ne-NP"/>
        </w:rPr>
      </w:pPr>
    </w:p>
    <w:p w14:paraId="36CF935B" w14:textId="77777777" w:rsidR="006E22E7" w:rsidRPr="00D024EA" w:rsidRDefault="006E22E7" w:rsidP="00EA5D97">
      <w:pPr>
        <w:autoSpaceDE w:val="0"/>
        <w:autoSpaceDN w:val="0"/>
        <w:adjustRightInd w:val="0"/>
        <w:jc w:val="both"/>
        <w:rPr>
          <w:rFonts w:eastAsia="MS Mincho"/>
          <w:i/>
          <w:iCs/>
          <w:sz w:val="22"/>
          <w:szCs w:val="22"/>
          <w:lang w:val="sr-Latn-ME" w:eastAsia="ja-JP" w:bidi="ne-NP"/>
        </w:rPr>
      </w:pPr>
      <w:r w:rsidRPr="00D024EA">
        <w:rPr>
          <w:rFonts w:eastAsia="MS Mincho"/>
          <w:i/>
          <w:iCs/>
          <w:sz w:val="22"/>
          <w:szCs w:val="22"/>
          <w:lang w:val="sr-Latn-ME" w:eastAsia="ja-JP" w:bidi="ne-NP"/>
        </w:rPr>
        <w:t>Dodatna terapija:</w:t>
      </w:r>
    </w:p>
    <w:p w14:paraId="5454E971" w14:textId="77777777" w:rsidR="006E22E7" w:rsidRPr="00D024EA" w:rsidRDefault="006E22E7" w:rsidP="00EA5D97">
      <w:pPr>
        <w:tabs>
          <w:tab w:val="left" w:pos="284"/>
        </w:tabs>
        <w:jc w:val="both"/>
        <w:rPr>
          <w:b/>
          <w:bCs/>
          <w:sz w:val="22"/>
          <w:szCs w:val="22"/>
          <w:lang w:val="sr-Latn-ME"/>
        </w:rPr>
      </w:pPr>
      <w:r w:rsidRPr="00D024EA">
        <w:rPr>
          <w:rFonts w:eastAsia="MS Mincho"/>
          <w:sz w:val="22"/>
          <w:szCs w:val="22"/>
          <w:lang w:val="sr-Latn-ME" w:eastAsia="ja-JP" w:bidi="ne-NP"/>
        </w:rPr>
        <w:t>Nakon terapije lijekom Actilyse treba početi (ili nastaviti) sa heparinskom terapijom kada su aPTT vrijednosti manje od dvostruke gornje normalne vrijednosti. Infuziju treba prilagoditi tako da se održava aPTT između 50-70 sekundi (1,5 do 2,5 puta u odnosu na kontrolnu vrijednost).</w:t>
      </w:r>
    </w:p>
    <w:p w14:paraId="588C76A8" w14:textId="77777777" w:rsidR="006E22E7" w:rsidRPr="00D024EA" w:rsidRDefault="006E22E7" w:rsidP="00EA5D97">
      <w:pPr>
        <w:autoSpaceDE w:val="0"/>
        <w:autoSpaceDN w:val="0"/>
        <w:adjustRightInd w:val="0"/>
        <w:jc w:val="both"/>
        <w:rPr>
          <w:rFonts w:eastAsia="MS Mincho"/>
          <w:sz w:val="22"/>
          <w:szCs w:val="22"/>
          <w:lang w:val="sr-Latn-ME" w:eastAsia="ja-JP" w:bidi="ne-NP"/>
        </w:rPr>
      </w:pPr>
    </w:p>
    <w:p w14:paraId="1FB0E65F" w14:textId="77777777" w:rsidR="006E22E7" w:rsidRPr="00D024EA" w:rsidRDefault="006E22E7"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Način primjene</w:t>
      </w:r>
    </w:p>
    <w:p w14:paraId="60828E18" w14:textId="5C5F6DDA" w:rsidR="006E22E7" w:rsidRPr="00D024EA" w:rsidRDefault="006E22E7" w:rsidP="00EA5D97">
      <w:pPr>
        <w:tabs>
          <w:tab w:val="left" w:pos="567"/>
        </w:tabs>
        <w:autoSpaceDE w:val="0"/>
        <w:autoSpaceDN w:val="0"/>
        <w:adjustRightInd w:val="0"/>
        <w:jc w:val="both"/>
        <w:rPr>
          <w:sz w:val="22"/>
          <w:szCs w:val="22"/>
          <w:lang w:val="sr-Latn-ME"/>
        </w:rPr>
      </w:pPr>
      <w:r w:rsidRPr="00D024EA">
        <w:rPr>
          <w:sz w:val="22"/>
          <w:szCs w:val="22"/>
          <w:lang w:val="sr-Latn-ME"/>
        </w:rPr>
        <w:t>Rekonstituisani rastvor treba primijeniti intravenski</w:t>
      </w:r>
      <w:r w:rsidR="004B199B" w:rsidRPr="00D024EA">
        <w:rPr>
          <w:sz w:val="22"/>
          <w:szCs w:val="22"/>
          <w:lang w:val="sr-Latn-ME"/>
        </w:rPr>
        <w:t xml:space="preserve"> i on je za trenutnu upotrebu</w:t>
      </w:r>
      <w:r w:rsidRPr="00D024EA">
        <w:rPr>
          <w:sz w:val="22"/>
          <w:szCs w:val="22"/>
          <w:lang w:val="sr-Latn-ME"/>
        </w:rPr>
        <w:t>.</w:t>
      </w:r>
    </w:p>
    <w:p w14:paraId="0B9228C8" w14:textId="18F0F380" w:rsidR="006E22E7" w:rsidRPr="00D024EA" w:rsidRDefault="006E22E7" w:rsidP="00EA5D97">
      <w:pPr>
        <w:tabs>
          <w:tab w:val="left" w:pos="567"/>
        </w:tabs>
        <w:autoSpaceDE w:val="0"/>
        <w:autoSpaceDN w:val="0"/>
        <w:adjustRightInd w:val="0"/>
        <w:jc w:val="both"/>
        <w:rPr>
          <w:sz w:val="22"/>
          <w:szCs w:val="22"/>
          <w:lang w:val="sr-Latn-ME"/>
        </w:rPr>
      </w:pPr>
      <w:r w:rsidRPr="00D024EA">
        <w:rPr>
          <w:sz w:val="22"/>
          <w:szCs w:val="22"/>
          <w:lang w:val="sr-Latn-ME"/>
        </w:rPr>
        <w:t xml:space="preserve">Za uputstvo prije rekonstitucije /administracije, vidjeti </w:t>
      </w:r>
      <w:r w:rsidR="00374804" w:rsidRPr="00D024EA">
        <w:rPr>
          <w:sz w:val="22"/>
          <w:szCs w:val="22"/>
          <w:lang w:val="sr-Latn-ME"/>
        </w:rPr>
        <w:t>dio</w:t>
      </w:r>
      <w:r w:rsidRPr="00D024EA">
        <w:rPr>
          <w:sz w:val="22"/>
          <w:szCs w:val="22"/>
          <w:lang w:val="sr-Latn-ME"/>
        </w:rPr>
        <w:t xml:space="preserve"> 6.6.</w:t>
      </w:r>
    </w:p>
    <w:p w14:paraId="01333004" w14:textId="77777777" w:rsidR="006E22E7" w:rsidRPr="00D024EA" w:rsidRDefault="006E22E7" w:rsidP="00EA5D97">
      <w:pPr>
        <w:autoSpaceDE w:val="0"/>
        <w:autoSpaceDN w:val="0"/>
        <w:adjustRightInd w:val="0"/>
        <w:jc w:val="both"/>
        <w:rPr>
          <w:rFonts w:eastAsia="MS Mincho"/>
          <w:sz w:val="22"/>
          <w:szCs w:val="22"/>
          <w:lang w:val="sr-Latn-ME" w:eastAsia="ja-JP" w:bidi="ne-NP"/>
        </w:rPr>
      </w:pPr>
    </w:p>
    <w:p w14:paraId="23C5B523" w14:textId="77777777" w:rsidR="006E22E7" w:rsidRPr="00D024EA" w:rsidRDefault="006E22E7" w:rsidP="00EA5D97">
      <w:pPr>
        <w:autoSpaceDE w:val="0"/>
        <w:autoSpaceDN w:val="0"/>
        <w:adjustRightInd w:val="0"/>
        <w:jc w:val="both"/>
        <w:rPr>
          <w:rFonts w:eastAsia="MS Mincho"/>
          <w:sz w:val="22"/>
          <w:szCs w:val="22"/>
          <w:u w:val="single"/>
          <w:lang w:val="sr-Latn-ME" w:eastAsia="ja-JP" w:bidi="ne-NP"/>
        </w:rPr>
      </w:pPr>
      <w:r w:rsidRPr="00D024EA">
        <w:rPr>
          <w:rFonts w:eastAsia="MS Mincho"/>
          <w:sz w:val="22"/>
          <w:szCs w:val="22"/>
          <w:u w:val="single"/>
          <w:lang w:val="sr-Latn-ME" w:eastAsia="ja-JP" w:bidi="ne-NP"/>
        </w:rPr>
        <w:t>Akutni ishemijski moždani udar</w:t>
      </w:r>
    </w:p>
    <w:p w14:paraId="72C2D595" w14:textId="6EBA3D0E" w:rsidR="006E22E7" w:rsidRPr="00D024EA" w:rsidRDefault="006E22E7"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 xml:space="preserve">Terapiju mora da primjenjuje samo ljekar specijalista za neurološko liječenje, vidjeti </w:t>
      </w:r>
      <w:r w:rsidR="000146FB" w:rsidRPr="00D024EA">
        <w:rPr>
          <w:rFonts w:eastAsia="MS Mincho"/>
          <w:sz w:val="22"/>
          <w:szCs w:val="22"/>
          <w:lang w:val="sr-Latn-ME" w:eastAsia="ja-JP" w:bidi="ne-NP"/>
        </w:rPr>
        <w:t>djelove</w:t>
      </w:r>
      <w:r w:rsidRPr="00D024EA">
        <w:rPr>
          <w:rFonts w:eastAsia="MS Mincho"/>
          <w:sz w:val="22"/>
          <w:szCs w:val="22"/>
          <w:lang w:val="sr-Latn-ME" w:eastAsia="ja-JP" w:bidi="ne-NP"/>
        </w:rPr>
        <w:t xml:space="preserve"> 4.3 i 4.4.</w:t>
      </w:r>
    </w:p>
    <w:p w14:paraId="53189F14" w14:textId="77777777" w:rsidR="004B199B" w:rsidRPr="00D024EA" w:rsidRDefault="004B199B" w:rsidP="009F2789">
      <w:pPr>
        <w:autoSpaceDE w:val="0"/>
        <w:autoSpaceDN w:val="0"/>
        <w:adjustRightInd w:val="0"/>
        <w:jc w:val="both"/>
        <w:rPr>
          <w:rFonts w:eastAsia="MS Mincho"/>
          <w:sz w:val="22"/>
          <w:szCs w:val="22"/>
          <w:lang w:val="sr-Latn-ME" w:eastAsia="ja-JP" w:bidi="ne-NP"/>
        </w:rPr>
      </w:pPr>
    </w:p>
    <w:tbl>
      <w:tblPr>
        <w:tblStyle w:val="TableGrid"/>
        <w:tblpPr w:leftFromText="180" w:rightFromText="180" w:vertAnchor="text" w:horzAnchor="margin" w:tblpY="22"/>
        <w:tblW w:w="5000" w:type="pct"/>
        <w:tblLayout w:type="fixed"/>
        <w:tblLook w:val="04A0" w:firstRow="1" w:lastRow="0" w:firstColumn="1" w:lastColumn="0" w:noHBand="0" w:noVBand="1"/>
      </w:tblPr>
      <w:tblGrid>
        <w:gridCol w:w="9063"/>
      </w:tblGrid>
      <w:tr w:rsidR="004B199B" w:rsidRPr="00D024EA" w14:paraId="1345348F" w14:textId="77777777" w:rsidTr="00EA5D97">
        <w:tc>
          <w:tcPr>
            <w:tcW w:w="5000" w:type="pct"/>
            <w:vAlign w:val="center"/>
          </w:tcPr>
          <w:p w14:paraId="729BB521" w14:textId="6ECBE5C4" w:rsidR="004B199B" w:rsidRPr="00D024EA" w:rsidRDefault="004B199B" w:rsidP="009F2789">
            <w:pPr>
              <w:autoSpaceDE w:val="0"/>
              <w:autoSpaceDN w:val="0"/>
              <w:adjustRightInd w:val="0"/>
              <w:rPr>
                <w:rFonts w:eastAsia="MS Mincho"/>
                <w:sz w:val="22"/>
                <w:szCs w:val="22"/>
                <w:lang w:val="sr-Latn-ME" w:eastAsia="ja-JP" w:bidi="ne-NP"/>
              </w:rPr>
            </w:pPr>
            <w:r w:rsidRPr="00D024EA">
              <w:rPr>
                <w:rFonts w:eastAsia="MS Mincho"/>
                <w:sz w:val="22"/>
                <w:szCs w:val="22"/>
                <w:lang w:val="sr-Latn-ME" w:eastAsia="ja-JP" w:bidi="ne-NP"/>
              </w:rPr>
              <w:t xml:space="preserve">Terapija lijekom Actilyse se mora započeti što je ranije moguće, u roku od 4,5 sata poslije pojave simptoma (vidjeti dio 4.4)   Ukoliko prođe više od 4,5 sata od pojave simptoma moždanog udara, </w:t>
            </w:r>
            <w:r w:rsidRPr="00D024EA">
              <w:rPr>
                <w:rFonts w:eastAsia="MS Mincho"/>
                <w:sz w:val="22"/>
                <w:szCs w:val="22"/>
                <w:lang w:val="sr-Latn-ME" w:eastAsia="ja-JP" w:bidi="ne-NP"/>
              </w:rPr>
              <w:lastRenderedPageBreak/>
              <w:t>nastaje negativan odnos koristi i rizika koji se dovodi u vezu sa davanjem lijeka Actilyse, tako da lijek ne treba primijeniti (vidjeti dio 5.1).</w:t>
            </w:r>
          </w:p>
          <w:p w14:paraId="5A809E49" w14:textId="77777777" w:rsidR="004B199B" w:rsidRPr="00D024EA" w:rsidRDefault="004B199B" w:rsidP="0068078E">
            <w:pPr>
              <w:autoSpaceDE w:val="0"/>
              <w:autoSpaceDN w:val="0"/>
              <w:adjustRightInd w:val="0"/>
              <w:rPr>
                <w:rFonts w:eastAsia="MS Mincho"/>
                <w:sz w:val="22"/>
                <w:szCs w:val="22"/>
                <w:lang w:val="sr-Latn-ME" w:eastAsia="ja-JP" w:bidi="ne-NP"/>
              </w:rPr>
            </w:pPr>
          </w:p>
        </w:tc>
      </w:tr>
    </w:tbl>
    <w:p w14:paraId="04FC2E3F" w14:textId="77777777" w:rsidR="004B199B" w:rsidRPr="00D024EA" w:rsidRDefault="004B199B" w:rsidP="00EA5D97">
      <w:pPr>
        <w:autoSpaceDE w:val="0"/>
        <w:autoSpaceDN w:val="0"/>
        <w:adjustRightInd w:val="0"/>
        <w:jc w:val="both"/>
        <w:rPr>
          <w:rFonts w:eastAsia="MS Mincho"/>
          <w:sz w:val="22"/>
          <w:szCs w:val="22"/>
          <w:lang w:val="sr-Latn-ME" w:eastAsia="ja-JP" w:bidi="ne-NP"/>
        </w:rPr>
      </w:pPr>
    </w:p>
    <w:p w14:paraId="0F86836D" w14:textId="77777777" w:rsidR="006E22E7" w:rsidRPr="00D024EA" w:rsidRDefault="006E22E7"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Doziranje</w:t>
      </w:r>
    </w:p>
    <w:p w14:paraId="0056B01E" w14:textId="22214930" w:rsidR="004B199B" w:rsidRPr="00D024EA" w:rsidRDefault="006E22E7" w:rsidP="00EA5D97">
      <w:pPr>
        <w:tabs>
          <w:tab w:val="left" w:pos="284"/>
        </w:tabs>
        <w:jc w:val="both"/>
        <w:rPr>
          <w:b/>
          <w:bCs/>
          <w:sz w:val="22"/>
          <w:szCs w:val="22"/>
          <w:lang w:val="sr-Latn-ME"/>
        </w:rPr>
      </w:pPr>
      <w:r w:rsidRPr="00D024EA">
        <w:rPr>
          <w:rFonts w:eastAsia="MS Mincho"/>
          <w:sz w:val="22"/>
          <w:szCs w:val="22"/>
          <w:lang w:val="sr-Latn-ME" w:eastAsia="ja-JP" w:bidi="ne-NP"/>
        </w:rPr>
        <w:t xml:space="preserve">Preporučena </w:t>
      </w:r>
      <w:r w:rsidR="004B199B" w:rsidRPr="00D024EA">
        <w:rPr>
          <w:rFonts w:eastAsia="MS Mincho"/>
          <w:sz w:val="22"/>
          <w:szCs w:val="22"/>
          <w:lang w:val="sr-Latn-ME" w:eastAsia="ja-JP" w:bidi="ne-NP"/>
        </w:rPr>
        <w:t xml:space="preserve">ukupna </w:t>
      </w:r>
      <w:r w:rsidRPr="00D024EA">
        <w:rPr>
          <w:rFonts w:eastAsia="MS Mincho"/>
          <w:sz w:val="22"/>
          <w:szCs w:val="22"/>
          <w:lang w:val="sr-Latn-ME" w:eastAsia="ja-JP" w:bidi="ne-NP"/>
        </w:rPr>
        <w:t xml:space="preserve">doza je 0,9 mg alteplaze/kg tjelesne mase (maksimum 90 mg) </w:t>
      </w:r>
      <w:r w:rsidR="00B876D6" w:rsidRPr="00D024EA">
        <w:rPr>
          <w:rFonts w:eastAsia="MS Mincho"/>
          <w:sz w:val="22"/>
          <w:szCs w:val="22"/>
          <w:lang w:val="sr-Latn-ME" w:eastAsia="ja-JP" w:bidi="ne-NP"/>
        </w:rPr>
        <w:t>pri čemu se 10% ukupne doze primjenjuje na početku kao intravenski bolus,</w:t>
      </w:r>
      <w:r w:rsidR="00CA616D" w:rsidRPr="00D024EA">
        <w:rPr>
          <w:rFonts w:eastAsia="MS Mincho"/>
          <w:sz w:val="22"/>
          <w:szCs w:val="22"/>
          <w:lang w:val="sr-Latn-ME" w:eastAsia="ja-JP" w:bidi="ne-NP"/>
        </w:rPr>
        <w:t xml:space="preserve"> nakon čega </w:t>
      </w:r>
      <w:r w:rsidR="00334879" w:rsidRPr="00D024EA">
        <w:rPr>
          <w:rFonts w:eastAsia="MS Mincho"/>
          <w:sz w:val="22"/>
          <w:szCs w:val="22"/>
          <w:lang w:val="sr-Latn-ME" w:eastAsia="ja-JP" w:bidi="ne-NP"/>
        </w:rPr>
        <w:t xml:space="preserve">odmah </w:t>
      </w:r>
      <w:r w:rsidR="00CA616D" w:rsidRPr="00D024EA">
        <w:rPr>
          <w:rFonts w:eastAsia="MS Mincho"/>
          <w:sz w:val="22"/>
          <w:szCs w:val="22"/>
          <w:lang w:val="sr-Latn-ME" w:eastAsia="ja-JP" w:bidi="ne-NP"/>
        </w:rPr>
        <w:t>slijedi ostatak ukupne doze</w:t>
      </w:r>
      <w:r w:rsidR="00B876D6" w:rsidRPr="00D024EA">
        <w:rPr>
          <w:rFonts w:eastAsia="MS Mincho"/>
          <w:sz w:val="22"/>
          <w:szCs w:val="22"/>
          <w:lang w:val="sr-Latn-ME" w:eastAsia="ja-JP" w:bidi="ne-NP"/>
        </w:rPr>
        <w:t xml:space="preserve"> </w:t>
      </w:r>
      <w:r w:rsidRPr="00D024EA">
        <w:rPr>
          <w:rFonts w:eastAsia="MS Mincho"/>
          <w:sz w:val="22"/>
          <w:szCs w:val="22"/>
          <w:lang w:val="sr-Latn-ME" w:eastAsia="ja-JP" w:bidi="ne-NP"/>
        </w:rPr>
        <w:t>koja se unosi intravenskom infuzijom u toku 60 minuta.</w:t>
      </w:r>
    </w:p>
    <w:p w14:paraId="4F0A6C0E" w14:textId="77777777" w:rsidR="004B199B" w:rsidRPr="00D024EA" w:rsidRDefault="004B199B" w:rsidP="00EA5D97">
      <w:pPr>
        <w:tabs>
          <w:tab w:val="left" w:pos="284"/>
        </w:tabs>
        <w:jc w:val="both"/>
        <w:rPr>
          <w:b/>
          <w:bCs/>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2266"/>
        <w:gridCol w:w="2266"/>
        <w:gridCol w:w="2266"/>
      </w:tblGrid>
      <w:tr w:rsidR="004B199B" w:rsidRPr="00D024EA" w14:paraId="7C750BC4" w14:textId="77777777" w:rsidTr="00EA5D97">
        <w:trPr>
          <w:trHeight w:val="48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14:paraId="5DE02EEC"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TABELA DOZIRANJA ZA AKUTNI ISHEMIJSKI MOŽDANI UDAR</w:t>
            </w:r>
          </w:p>
        </w:tc>
      </w:tr>
      <w:tr w:rsidR="004B199B" w:rsidRPr="00D024EA" w14:paraId="198E4E4F" w14:textId="77777777" w:rsidTr="00EA5D97">
        <w:trPr>
          <w:trHeight w:val="48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14:paraId="31515DF5" w14:textId="34911D8C"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Upotrebom preporučene standardne koncentracije od 1 mg/</w:t>
            </w:r>
            <w:r w:rsidR="00B7348D" w:rsidRPr="00D024EA">
              <w:rPr>
                <w:sz w:val="22"/>
                <w:szCs w:val="22"/>
                <w:lang w:val="sr-Latn-ME"/>
              </w:rPr>
              <w:t>ml</w:t>
            </w:r>
            <w:r w:rsidRPr="00D024EA">
              <w:rPr>
                <w:sz w:val="22"/>
                <w:szCs w:val="22"/>
                <w:lang w:val="sr-Latn-ME"/>
              </w:rPr>
              <w:t xml:space="preserve"> zapremina (</w:t>
            </w:r>
            <w:r w:rsidR="00B7348D" w:rsidRPr="00D024EA">
              <w:rPr>
                <w:sz w:val="22"/>
                <w:szCs w:val="22"/>
                <w:lang w:val="sr-Latn-ME"/>
              </w:rPr>
              <w:t>ml</w:t>
            </w:r>
            <w:r w:rsidRPr="00D024EA">
              <w:rPr>
                <w:sz w:val="22"/>
                <w:szCs w:val="22"/>
                <w:lang w:val="sr-Latn-ME"/>
              </w:rPr>
              <w:t>) koja se daje jednaka je preporučenoj doznoj vr</w:t>
            </w:r>
            <w:r w:rsidR="004511EB" w:rsidRPr="00D024EA">
              <w:rPr>
                <w:sz w:val="22"/>
                <w:szCs w:val="22"/>
                <w:lang w:val="sr-Latn-ME"/>
              </w:rPr>
              <w:t>ij</w:t>
            </w:r>
            <w:r w:rsidRPr="00D024EA">
              <w:rPr>
                <w:sz w:val="22"/>
                <w:szCs w:val="22"/>
                <w:lang w:val="sr-Latn-ME"/>
              </w:rPr>
              <w:t>ednosti (mg)</w:t>
            </w:r>
          </w:p>
        </w:tc>
      </w:tr>
      <w:tr w:rsidR="004B199B" w:rsidRPr="00D024EA" w14:paraId="604DDBD2" w14:textId="77777777" w:rsidTr="00EA5D97">
        <w:trPr>
          <w:trHeight w:val="990"/>
        </w:trPr>
        <w:tc>
          <w:tcPr>
            <w:tcW w:w="1250" w:type="pct"/>
            <w:tcBorders>
              <w:top w:val="single" w:sz="4" w:space="0" w:color="auto"/>
              <w:left w:val="single" w:sz="4" w:space="0" w:color="auto"/>
              <w:bottom w:val="single" w:sz="4" w:space="0" w:color="auto"/>
              <w:right w:val="single" w:sz="4" w:space="0" w:color="auto"/>
            </w:tcBorders>
            <w:shd w:val="clear" w:color="auto" w:fill="FFFFFF"/>
          </w:tcPr>
          <w:p w14:paraId="035ED910" w14:textId="74766C81"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Tjelesna masa</w:t>
            </w:r>
          </w:p>
          <w:p w14:paraId="68B9DC4E"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(kg)</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3D457D98"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Ukupna doza</w:t>
            </w:r>
          </w:p>
          <w:p w14:paraId="2DF00138"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(mg)</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6B6B8261"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 xml:space="preserve">Bolus doza </w:t>
            </w:r>
          </w:p>
          <w:p w14:paraId="1675B68E"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(mg)</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3CE92E0B"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 xml:space="preserve">Infuziona doza* </w:t>
            </w:r>
          </w:p>
          <w:p w14:paraId="58982846"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(mg)</w:t>
            </w:r>
          </w:p>
        </w:tc>
      </w:tr>
      <w:tr w:rsidR="004B199B" w:rsidRPr="00D024EA" w14:paraId="78F04E2F" w14:textId="77777777" w:rsidTr="00EA5D97">
        <w:tc>
          <w:tcPr>
            <w:tcW w:w="1250" w:type="pct"/>
            <w:tcBorders>
              <w:top w:val="single" w:sz="4" w:space="0" w:color="auto"/>
            </w:tcBorders>
            <w:shd w:val="clear" w:color="auto" w:fill="FFFFFF"/>
          </w:tcPr>
          <w:p w14:paraId="25F6F1B0"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40</w:t>
            </w:r>
          </w:p>
        </w:tc>
        <w:tc>
          <w:tcPr>
            <w:tcW w:w="1250" w:type="pct"/>
            <w:tcBorders>
              <w:top w:val="single" w:sz="4" w:space="0" w:color="auto"/>
            </w:tcBorders>
            <w:shd w:val="clear" w:color="auto" w:fill="FFFFFF"/>
          </w:tcPr>
          <w:p w14:paraId="0DA2C415"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36.0</w:t>
            </w:r>
          </w:p>
        </w:tc>
        <w:tc>
          <w:tcPr>
            <w:tcW w:w="1250" w:type="pct"/>
            <w:tcBorders>
              <w:top w:val="single" w:sz="4" w:space="0" w:color="auto"/>
            </w:tcBorders>
            <w:shd w:val="clear" w:color="auto" w:fill="FFFFFF"/>
          </w:tcPr>
          <w:p w14:paraId="3849169F"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3.6</w:t>
            </w:r>
          </w:p>
        </w:tc>
        <w:tc>
          <w:tcPr>
            <w:tcW w:w="1250" w:type="pct"/>
            <w:tcBorders>
              <w:top w:val="single" w:sz="4" w:space="0" w:color="auto"/>
              <w:right w:val="single" w:sz="4" w:space="0" w:color="auto"/>
            </w:tcBorders>
            <w:shd w:val="clear" w:color="auto" w:fill="FFFFFF"/>
          </w:tcPr>
          <w:p w14:paraId="66F5A60E"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32.4</w:t>
            </w:r>
          </w:p>
        </w:tc>
      </w:tr>
      <w:tr w:rsidR="004B199B" w:rsidRPr="00D024EA" w14:paraId="23926ECD" w14:textId="77777777" w:rsidTr="00EA5D97">
        <w:tc>
          <w:tcPr>
            <w:tcW w:w="1250" w:type="pct"/>
            <w:shd w:val="clear" w:color="auto" w:fill="FFFFFF"/>
          </w:tcPr>
          <w:p w14:paraId="35F45EE1"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42</w:t>
            </w:r>
          </w:p>
        </w:tc>
        <w:tc>
          <w:tcPr>
            <w:tcW w:w="1250" w:type="pct"/>
            <w:shd w:val="clear" w:color="auto" w:fill="FFFFFF"/>
          </w:tcPr>
          <w:p w14:paraId="7AE8B6AD"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37.8</w:t>
            </w:r>
          </w:p>
        </w:tc>
        <w:tc>
          <w:tcPr>
            <w:tcW w:w="1250" w:type="pct"/>
            <w:shd w:val="clear" w:color="auto" w:fill="FFFFFF"/>
          </w:tcPr>
          <w:p w14:paraId="4CB4FBFD"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3.8</w:t>
            </w:r>
          </w:p>
        </w:tc>
        <w:tc>
          <w:tcPr>
            <w:tcW w:w="1250" w:type="pct"/>
            <w:tcBorders>
              <w:right w:val="single" w:sz="4" w:space="0" w:color="auto"/>
            </w:tcBorders>
            <w:shd w:val="clear" w:color="auto" w:fill="FFFFFF"/>
          </w:tcPr>
          <w:p w14:paraId="5633FD8A"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34.0</w:t>
            </w:r>
          </w:p>
        </w:tc>
      </w:tr>
      <w:tr w:rsidR="004B199B" w:rsidRPr="00D024EA" w14:paraId="258DD33D" w14:textId="77777777" w:rsidTr="00EA5D97">
        <w:tc>
          <w:tcPr>
            <w:tcW w:w="1250" w:type="pct"/>
            <w:shd w:val="clear" w:color="auto" w:fill="FFFFFF"/>
          </w:tcPr>
          <w:p w14:paraId="43B175E1"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44</w:t>
            </w:r>
          </w:p>
        </w:tc>
        <w:tc>
          <w:tcPr>
            <w:tcW w:w="1250" w:type="pct"/>
            <w:shd w:val="clear" w:color="auto" w:fill="FFFFFF"/>
          </w:tcPr>
          <w:p w14:paraId="0A04168D"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39.6</w:t>
            </w:r>
          </w:p>
        </w:tc>
        <w:tc>
          <w:tcPr>
            <w:tcW w:w="1250" w:type="pct"/>
            <w:shd w:val="clear" w:color="auto" w:fill="FFFFFF"/>
          </w:tcPr>
          <w:p w14:paraId="59E1E295"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4.0</w:t>
            </w:r>
          </w:p>
        </w:tc>
        <w:tc>
          <w:tcPr>
            <w:tcW w:w="1250" w:type="pct"/>
            <w:tcBorders>
              <w:right w:val="single" w:sz="4" w:space="0" w:color="auto"/>
            </w:tcBorders>
            <w:shd w:val="clear" w:color="auto" w:fill="FFFFFF"/>
          </w:tcPr>
          <w:p w14:paraId="49BE5348"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35.6</w:t>
            </w:r>
          </w:p>
        </w:tc>
      </w:tr>
      <w:tr w:rsidR="004B199B" w:rsidRPr="00D024EA" w14:paraId="16F6E6CA" w14:textId="77777777" w:rsidTr="00EA5D97">
        <w:tc>
          <w:tcPr>
            <w:tcW w:w="1250" w:type="pct"/>
            <w:shd w:val="clear" w:color="auto" w:fill="FFFFFF"/>
          </w:tcPr>
          <w:p w14:paraId="4CED9C15"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46</w:t>
            </w:r>
          </w:p>
        </w:tc>
        <w:tc>
          <w:tcPr>
            <w:tcW w:w="1250" w:type="pct"/>
            <w:shd w:val="clear" w:color="auto" w:fill="FFFFFF"/>
          </w:tcPr>
          <w:p w14:paraId="5289B210"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41.4</w:t>
            </w:r>
          </w:p>
        </w:tc>
        <w:tc>
          <w:tcPr>
            <w:tcW w:w="1250" w:type="pct"/>
            <w:shd w:val="clear" w:color="auto" w:fill="FFFFFF"/>
          </w:tcPr>
          <w:p w14:paraId="0780E0E4"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4.1</w:t>
            </w:r>
          </w:p>
        </w:tc>
        <w:tc>
          <w:tcPr>
            <w:tcW w:w="1250" w:type="pct"/>
            <w:tcBorders>
              <w:right w:val="single" w:sz="4" w:space="0" w:color="auto"/>
            </w:tcBorders>
            <w:shd w:val="clear" w:color="auto" w:fill="FFFFFF"/>
          </w:tcPr>
          <w:p w14:paraId="76402C78"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37.3</w:t>
            </w:r>
          </w:p>
        </w:tc>
      </w:tr>
      <w:tr w:rsidR="004B199B" w:rsidRPr="00D024EA" w14:paraId="03F3D91B" w14:textId="77777777" w:rsidTr="00EA5D97">
        <w:tc>
          <w:tcPr>
            <w:tcW w:w="1250" w:type="pct"/>
            <w:shd w:val="clear" w:color="auto" w:fill="FFFFFF"/>
          </w:tcPr>
          <w:p w14:paraId="19009C24"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48</w:t>
            </w:r>
          </w:p>
        </w:tc>
        <w:tc>
          <w:tcPr>
            <w:tcW w:w="1250" w:type="pct"/>
            <w:shd w:val="clear" w:color="auto" w:fill="FFFFFF"/>
          </w:tcPr>
          <w:p w14:paraId="4772D2DD"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43.2</w:t>
            </w:r>
          </w:p>
        </w:tc>
        <w:tc>
          <w:tcPr>
            <w:tcW w:w="1250" w:type="pct"/>
            <w:shd w:val="clear" w:color="auto" w:fill="FFFFFF"/>
          </w:tcPr>
          <w:p w14:paraId="1B10548F"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4.3</w:t>
            </w:r>
          </w:p>
        </w:tc>
        <w:tc>
          <w:tcPr>
            <w:tcW w:w="1250" w:type="pct"/>
            <w:tcBorders>
              <w:right w:val="single" w:sz="4" w:space="0" w:color="auto"/>
            </w:tcBorders>
            <w:shd w:val="clear" w:color="auto" w:fill="FFFFFF"/>
          </w:tcPr>
          <w:p w14:paraId="5C88B77B"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38.9</w:t>
            </w:r>
          </w:p>
        </w:tc>
      </w:tr>
      <w:tr w:rsidR="004B199B" w:rsidRPr="00D024EA" w14:paraId="67BDA530" w14:textId="77777777" w:rsidTr="00EA5D97">
        <w:tc>
          <w:tcPr>
            <w:tcW w:w="1250" w:type="pct"/>
            <w:shd w:val="clear" w:color="auto" w:fill="FFFFFF"/>
          </w:tcPr>
          <w:p w14:paraId="3CDC981B"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50</w:t>
            </w:r>
          </w:p>
        </w:tc>
        <w:tc>
          <w:tcPr>
            <w:tcW w:w="1250" w:type="pct"/>
            <w:shd w:val="clear" w:color="auto" w:fill="FFFFFF"/>
          </w:tcPr>
          <w:p w14:paraId="75C41F98"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45.0</w:t>
            </w:r>
          </w:p>
        </w:tc>
        <w:tc>
          <w:tcPr>
            <w:tcW w:w="1250" w:type="pct"/>
            <w:shd w:val="clear" w:color="auto" w:fill="FFFFFF"/>
          </w:tcPr>
          <w:p w14:paraId="7FFCF79C"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4.5</w:t>
            </w:r>
          </w:p>
        </w:tc>
        <w:tc>
          <w:tcPr>
            <w:tcW w:w="1250" w:type="pct"/>
            <w:tcBorders>
              <w:right w:val="single" w:sz="4" w:space="0" w:color="auto"/>
            </w:tcBorders>
            <w:shd w:val="clear" w:color="auto" w:fill="FFFFFF"/>
          </w:tcPr>
          <w:p w14:paraId="26B4235E"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40.5</w:t>
            </w:r>
          </w:p>
        </w:tc>
      </w:tr>
      <w:tr w:rsidR="004B199B" w:rsidRPr="00D024EA" w14:paraId="103A5D3D" w14:textId="77777777" w:rsidTr="00EA5D97">
        <w:tc>
          <w:tcPr>
            <w:tcW w:w="1250" w:type="pct"/>
            <w:shd w:val="clear" w:color="auto" w:fill="FFFFFF"/>
          </w:tcPr>
          <w:p w14:paraId="71770CAF"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52</w:t>
            </w:r>
          </w:p>
        </w:tc>
        <w:tc>
          <w:tcPr>
            <w:tcW w:w="1250" w:type="pct"/>
            <w:shd w:val="clear" w:color="auto" w:fill="FFFFFF"/>
          </w:tcPr>
          <w:p w14:paraId="7F2E8524"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46.8</w:t>
            </w:r>
          </w:p>
        </w:tc>
        <w:tc>
          <w:tcPr>
            <w:tcW w:w="1250" w:type="pct"/>
            <w:shd w:val="clear" w:color="auto" w:fill="FFFFFF"/>
          </w:tcPr>
          <w:p w14:paraId="36B6A1C0"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4.7</w:t>
            </w:r>
          </w:p>
        </w:tc>
        <w:tc>
          <w:tcPr>
            <w:tcW w:w="1250" w:type="pct"/>
            <w:tcBorders>
              <w:right w:val="single" w:sz="4" w:space="0" w:color="auto"/>
            </w:tcBorders>
            <w:shd w:val="clear" w:color="auto" w:fill="FFFFFF"/>
          </w:tcPr>
          <w:p w14:paraId="17681D57"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42.1</w:t>
            </w:r>
          </w:p>
        </w:tc>
      </w:tr>
      <w:tr w:rsidR="004B199B" w:rsidRPr="00D024EA" w14:paraId="097B048A" w14:textId="77777777" w:rsidTr="00EA5D97">
        <w:tc>
          <w:tcPr>
            <w:tcW w:w="1250" w:type="pct"/>
            <w:shd w:val="clear" w:color="auto" w:fill="FFFFFF"/>
          </w:tcPr>
          <w:p w14:paraId="2A179D57"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54</w:t>
            </w:r>
          </w:p>
        </w:tc>
        <w:tc>
          <w:tcPr>
            <w:tcW w:w="1250" w:type="pct"/>
            <w:shd w:val="clear" w:color="auto" w:fill="FFFFFF"/>
          </w:tcPr>
          <w:p w14:paraId="66FBE493"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48.6</w:t>
            </w:r>
          </w:p>
        </w:tc>
        <w:tc>
          <w:tcPr>
            <w:tcW w:w="1250" w:type="pct"/>
            <w:shd w:val="clear" w:color="auto" w:fill="FFFFFF"/>
          </w:tcPr>
          <w:p w14:paraId="687CD0AA"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4.9</w:t>
            </w:r>
          </w:p>
        </w:tc>
        <w:tc>
          <w:tcPr>
            <w:tcW w:w="1250" w:type="pct"/>
            <w:tcBorders>
              <w:right w:val="single" w:sz="4" w:space="0" w:color="auto"/>
            </w:tcBorders>
            <w:shd w:val="clear" w:color="auto" w:fill="FFFFFF"/>
          </w:tcPr>
          <w:p w14:paraId="175DEDDD"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43.7</w:t>
            </w:r>
          </w:p>
        </w:tc>
      </w:tr>
      <w:tr w:rsidR="004B199B" w:rsidRPr="00D024EA" w14:paraId="45826759" w14:textId="77777777" w:rsidTr="00EA5D97">
        <w:tc>
          <w:tcPr>
            <w:tcW w:w="1250" w:type="pct"/>
            <w:shd w:val="clear" w:color="auto" w:fill="FFFFFF"/>
          </w:tcPr>
          <w:p w14:paraId="4F69E006"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56</w:t>
            </w:r>
          </w:p>
        </w:tc>
        <w:tc>
          <w:tcPr>
            <w:tcW w:w="1250" w:type="pct"/>
            <w:shd w:val="clear" w:color="auto" w:fill="FFFFFF"/>
          </w:tcPr>
          <w:p w14:paraId="2BC4215E"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50.4</w:t>
            </w:r>
          </w:p>
        </w:tc>
        <w:tc>
          <w:tcPr>
            <w:tcW w:w="1250" w:type="pct"/>
            <w:shd w:val="clear" w:color="auto" w:fill="FFFFFF"/>
          </w:tcPr>
          <w:p w14:paraId="1E40EF2A"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5.0</w:t>
            </w:r>
          </w:p>
        </w:tc>
        <w:tc>
          <w:tcPr>
            <w:tcW w:w="1250" w:type="pct"/>
            <w:tcBorders>
              <w:right w:val="single" w:sz="4" w:space="0" w:color="auto"/>
            </w:tcBorders>
            <w:shd w:val="clear" w:color="auto" w:fill="FFFFFF"/>
          </w:tcPr>
          <w:p w14:paraId="3C23D3D5"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45.4</w:t>
            </w:r>
          </w:p>
        </w:tc>
      </w:tr>
      <w:tr w:rsidR="004B199B" w:rsidRPr="00D024EA" w14:paraId="62AC47EE" w14:textId="77777777" w:rsidTr="00EA5D97">
        <w:tc>
          <w:tcPr>
            <w:tcW w:w="1250" w:type="pct"/>
            <w:shd w:val="clear" w:color="auto" w:fill="FFFFFF"/>
          </w:tcPr>
          <w:p w14:paraId="36C39A6C"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58</w:t>
            </w:r>
          </w:p>
        </w:tc>
        <w:tc>
          <w:tcPr>
            <w:tcW w:w="1250" w:type="pct"/>
            <w:shd w:val="clear" w:color="auto" w:fill="FFFFFF"/>
          </w:tcPr>
          <w:p w14:paraId="0907F9F4"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52.2</w:t>
            </w:r>
          </w:p>
        </w:tc>
        <w:tc>
          <w:tcPr>
            <w:tcW w:w="1250" w:type="pct"/>
            <w:shd w:val="clear" w:color="auto" w:fill="FFFFFF"/>
          </w:tcPr>
          <w:p w14:paraId="120CBB84"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5.2</w:t>
            </w:r>
          </w:p>
        </w:tc>
        <w:tc>
          <w:tcPr>
            <w:tcW w:w="1250" w:type="pct"/>
            <w:tcBorders>
              <w:right w:val="single" w:sz="4" w:space="0" w:color="auto"/>
            </w:tcBorders>
            <w:shd w:val="clear" w:color="auto" w:fill="FFFFFF"/>
          </w:tcPr>
          <w:p w14:paraId="0D82816F"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47.0</w:t>
            </w:r>
          </w:p>
        </w:tc>
      </w:tr>
      <w:tr w:rsidR="004B199B" w:rsidRPr="00D024EA" w14:paraId="01113C69" w14:textId="77777777" w:rsidTr="00EA5D97">
        <w:tc>
          <w:tcPr>
            <w:tcW w:w="1250" w:type="pct"/>
            <w:shd w:val="clear" w:color="auto" w:fill="FFFFFF"/>
          </w:tcPr>
          <w:p w14:paraId="06504FAE"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60</w:t>
            </w:r>
          </w:p>
        </w:tc>
        <w:tc>
          <w:tcPr>
            <w:tcW w:w="1250" w:type="pct"/>
            <w:shd w:val="clear" w:color="auto" w:fill="FFFFFF"/>
          </w:tcPr>
          <w:p w14:paraId="520D6DFF"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54.0</w:t>
            </w:r>
          </w:p>
        </w:tc>
        <w:tc>
          <w:tcPr>
            <w:tcW w:w="1250" w:type="pct"/>
            <w:shd w:val="clear" w:color="auto" w:fill="FFFFFF"/>
          </w:tcPr>
          <w:p w14:paraId="6841BAC8"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5.4</w:t>
            </w:r>
          </w:p>
        </w:tc>
        <w:tc>
          <w:tcPr>
            <w:tcW w:w="1250" w:type="pct"/>
            <w:tcBorders>
              <w:right w:val="single" w:sz="4" w:space="0" w:color="auto"/>
            </w:tcBorders>
            <w:shd w:val="clear" w:color="auto" w:fill="FFFFFF"/>
          </w:tcPr>
          <w:p w14:paraId="3CA7811E"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48.6</w:t>
            </w:r>
          </w:p>
        </w:tc>
      </w:tr>
      <w:tr w:rsidR="004B199B" w:rsidRPr="00D024EA" w14:paraId="4BFD4D5E" w14:textId="77777777" w:rsidTr="00EA5D97">
        <w:tc>
          <w:tcPr>
            <w:tcW w:w="1250" w:type="pct"/>
            <w:shd w:val="clear" w:color="auto" w:fill="FFFFFF"/>
          </w:tcPr>
          <w:p w14:paraId="0D4739D3"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62</w:t>
            </w:r>
          </w:p>
        </w:tc>
        <w:tc>
          <w:tcPr>
            <w:tcW w:w="1250" w:type="pct"/>
            <w:shd w:val="clear" w:color="auto" w:fill="FFFFFF"/>
          </w:tcPr>
          <w:p w14:paraId="0082178B"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55.8</w:t>
            </w:r>
          </w:p>
        </w:tc>
        <w:tc>
          <w:tcPr>
            <w:tcW w:w="1250" w:type="pct"/>
            <w:shd w:val="clear" w:color="auto" w:fill="FFFFFF"/>
          </w:tcPr>
          <w:p w14:paraId="19CDDDD8"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5.6</w:t>
            </w:r>
          </w:p>
        </w:tc>
        <w:tc>
          <w:tcPr>
            <w:tcW w:w="1250" w:type="pct"/>
            <w:tcBorders>
              <w:right w:val="single" w:sz="4" w:space="0" w:color="auto"/>
            </w:tcBorders>
            <w:shd w:val="clear" w:color="auto" w:fill="FFFFFF"/>
          </w:tcPr>
          <w:p w14:paraId="09C454FE"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50.2</w:t>
            </w:r>
          </w:p>
        </w:tc>
      </w:tr>
      <w:tr w:rsidR="004B199B" w:rsidRPr="00D024EA" w14:paraId="71FDFBBC" w14:textId="77777777" w:rsidTr="00EA5D97">
        <w:tc>
          <w:tcPr>
            <w:tcW w:w="1250" w:type="pct"/>
            <w:shd w:val="clear" w:color="auto" w:fill="FFFFFF"/>
          </w:tcPr>
          <w:p w14:paraId="4F8DF8B9"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64</w:t>
            </w:r>
          </w:p>
        </w:tc>
        <w:tc>
          <w:tcPr>
            <w:tcW w:w="1250" w:type="pct"/>
            <w:shd w:val="clear" w:color="auto" w:fill="FFFFFF"/>
          </w:tcPr>
          <w:p w14:paraId="148BA86D"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57.6</w:t>
            </w:r>
          </w:p>
        </w:tc>
        <w:tc>
          <w:tcPr>
            <w:tcW w:w="1250" w:type="pct"/>
            <w:shd w:val="clear" w:color="auto" w:fill="FFFFFF"/>
          </w:tcPr>
          <w:p w14:paraId="4CC9218F"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5.8</w:t>
            </w:r>
          </w:p>
        </w:tc>
        <w:tc>
          <w:tcPr>
            <w:tcW w:w="1250" w:type="pct"/>
            <w:tcBorders>
              <w:right w:val="single" w:sz="4" w:space="0" w:color="auto"/>
            </w:tcBorders>
            <w:shd w:val="clear" w:color="auto" w:fill="FFFFFF"/>
          </w:tcPr>
          <w:p w14:paraId="5B193B1F"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51.8</w:t>
            </w:r>
          </w:p>
        </w:tc>
      </w:tr>
      <w:tr w:rsidR="004B199B" w:rsidRPr="00D024EA" w14:paraId="48AC0C0C" w14:textId="77777777" w:rsidTr="00EA5D97">
        <w:tc>
          <w:tcPr>
            <w:tcW w:w="1250" w:type="pct"/>
            <w:shd w:val="clear" w:color="auto" w:fill="FFFFFF"/>
          </w:tcPr>
          <w:p w14:paraId="37AF5595"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66</w:t>
            </w:r>
          </w:p>
        </w:tc>
        <w:tc>
          <w:tcPr>
            <w:tcW w:w="1250" w:type="pct"/>
            <w:shd w:val="clear" w:color="auto" w:fill="FFFFFF"/>
          </w:tcPr>
          <w:p w14:paraId="5C72F963"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59.4</w:t>
            </w:r>
          </w:p>
        </w:tc>
        <w:tc>
          <w:tcPr>
            <w:tcW w:w="1250" w:type="pct"/>
            <w:shd w:val="clear" w:color="auto" w:fill="FFFFFF"/>
          </w:tcPr>
          <w:p w14:paraId="41D63703"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5.9</w:t>
            </w:r>
          </w:p>
        </w:tc>
        <w:tc>
          <w:tcPr>
            <w:tcW w:w="1250" w:type="pct"/>
            <w:tcBorders>
              <w:right w:val="single" w:sz="4" w:space="0" w:color="auto"/>
            </w:tcBorders>
            <w:shd w:val="clear" w:color="auto" w:fill="FFFFFF"/>
          </w:tcPr>
          <w:p w14:paraId="52094515"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53.5</w:t>
            </w:r>
          </w:p>
        </w:tc>
      </w:tr>
      <w:tr w:rsidR="004B199B" w:rsidRPr="00D024EA" w14:paraId="7ABDE89D" w14:textId="77777777" w:rsidTr="00EA5D97">
        <w:tc>
          <w:tcPr>
            <w:tcW w:w="1250" w:type="pct"/>
            <w:shd w:val="clear" w:color="auto" w:fill="FFFFFF"/>
          </w:tcPr>
          <w:p w14:paraId="0B5704E6"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68</w:t>
            </w:r>
          </w:p>
        </w:tc>
        <w:tc>
          <w:tcPr>
            <w:tcW w:w="1250" w:type="pct"/>
            <w:shd w:val="clear" w:color="auto" w:fill="FFFFFF"/>
          </w:tcPr>
          <w:p w14:paraId="2463AB8C"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61.2</w:t>
            </w:r>
          </w:p>
        </w:tc>
        <w:tc>
          <w:tcPr>
            <w:tcW w:w="1250" w:type="pct"/>
            <w:shd w:val="clear" w:color="auto" w:fill="FFFFFF"/>
          </w:tcPr>
          <w:p w14:paraId="1EB8D1FC"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6.1</w:t>
            </w:r>
          </w:p>
        </w:tc>
        <w:tc>
          <w:tcPr>
            <w:tcW w:w="1250" w:type="pct"/>
            <w:tcBorders>
              <w:right w:val="single" w:sz="4" w:space="0" w:color="auto"/>
            </w:tcBorders>
            <w:shd w:val="clear" w:color="auto" w:fill="FFFFFF"/>
          </w:tcPr>
          <w:p w14:paraId="335C65E6"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55.1</w:t>
            </w:r>
          </w:p>
        </w:tc>
      </w:tr>
      <w:tr w:rsidR="004B199B" w:rsidRPr="00D024EA" w14:paraId="0BDB112D" w14:textId="77777777" w:rsidTr="00EA5D97">
        <w:tc>
          <w:tcPr>
            <w:tcW w:w="1250" w:type="pct"/>
            <w:shd w:val="clear" w:color="auto" w:fill="FFFFFF"/>
          </w:tcPr>
          <w:p w14:paraId="6291DAD9"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70</w:t>
            </w:r>
          </w:p>
        </w:tc>
        <w:tc>
          <w:tcPr>
            <w:tcW w:w="1250" w:type="pct"/>
            <w:shd w:val="clear" w:color="auto" w:fill="FFFFFF"/>
          </w:tcPr>
          <w:p w14:paraId="1085B4F1"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63.0</w:t>
            </w:r>
          </w:p>
        </w:tc>
        <w:tc>
          <w:tcPr>
            <w:tcW w:w="1250" w:type="pct"/>
            <w:shd w:val="clear" w:color="auto" w:fill="FFFFFF"/>
          </w:tcPr>
          <w:p w14:paraId="747B298F"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6.3</w:t>
            </w:r>
          </w:p>
        </w:tc>
        <w:tc>
          <w:tcPr>
            <w:tcW w:w="1250" w:type="pct"/>
            <w:tcBorders>
              <w:right w:val="single" w:sz="4" w:space="0" w:color="auto"/>
            </w:tcBorders>
            <w:shd w:val="clear" w:color="auto" w:fill="FFFFFF"/>
          </w:tcPr>
          <w:p w14:paraId="33F65301"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56.7</w:t>
            </w:r>
          </w:p>
        </w:tc>
      </w:tr>
      <w:tr w:rsidR="004B199B" w:rsidRPr="00D024EA" w14:paraId="6A37038A" w14:textId="77777777" w:rsidTr="00EA5D97">
        <w:tc>
          <w:tcPr>
            <w:tcW w:w="1250" w:type="pct"/>
            <w:shd w:val="clear" w:color="auto" w:fill="FFFFFF"/>
          </w:tcPr>
          <w:p w14:paraId="6E2EAD95"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72</w:t>
            </w:r>
          </w:p>
        </w:tc>
        <w:tc>
          <w:tcPr>
            <w:tcW w:w="1250" w:type="pct"/>
            <w:shd w:val="clear" w:color="auto" w:fill="FFFFFF"/>
          </w:tcPr>
          <w:p w14:paraId="0FC61CDA"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64.8</w:t>
            </w:r>
          </w:p>
        </w:tc>
        <w:tc>
          <w:tcPr>
            <w:tcW w:w="1250" w:type="pct"/>
            <w:shd w:val="clear" w:color="auto" w:fill="FFFFFF"/>
          </w:tcPr>
          <w:p w14:paraId="3E4D8414"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6.5</w:t>
            </w:r>
          </w:p>
        </w:tc>
        <w:tc>
          <w:tcPr>
            <w:tcW w:w="1250" w:type="pct"/>
            <w:tcBorders>
              <w:right w:val="single" w:sz="4" w:space="0" w:color="auto"/>
            </w:tcBorders>
            <w:shd w:val="clear" w:color="auto" w:fill="FFFFFF"/>
          </w:tcPr>
          <w:p w14:paraId="3ED0C58A"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58.3</w:t>
            </w:r>
          </w:p>
        </w:tc>
      </w:tr>
      <w:tr w:rsidR="004B199B" w:rsidRPr="00D024EA" w14:paraId="78B43047" w14:textId="77777777" w:rsidTr="00EA5D97">
        <w:tc>
          <w:tcPr>
            <w:tcW w:w="1250" w:type="pct"/>
            <w:shd w:val="clear" w:color="auto" w:fill="FFFFFF"/>
          </w:tcPr>
          <w:p w14:paraId="5B8FBF1D"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74</w:t>
            </w:r>
          </w:p>
        </w:tc>
        <w:tc>
          <w:tcPr>
            <w:tcW w:w="1250" w:type="pct"/>
            <w:shd w:val="clear" w:color="auto" w:fill="FFFFFF"/>
          </w:tcPr>
          <w:p w14:paraId="34A3B0A6"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66.6</w:t>
            </w:r>
          </w:p>
        </w:tc>
        <w:tc>
          <w:tcPr>
            <w:tcW w:w="1250" w:type="pct"/>
            <w:shd w:val="clear" w:color="auto" w:fill="FFFFFF"/>
          </w:tcPr>
          <w:p w14:paraId="06BCA67A"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6.7</w:t>
            </w:r>
          </w:p>
        </w:tc>
        <w:tc>
          <w:tcPr>
            <w:tcW w:w="1250" w:type="pct"/>
            <w:tcBorders>
              <w:right w:val="single" w:sz="4" w:space="0" w:color="auto"/>
            </w:tcBorders>
            <w:shd w:val="clear" w:color="auto" w:fill="FFFFFF"/>
          </w:tcPr>
          <w:p w14:paraId="0E4B4574"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59.9</w:t>
            </w:r>
          </w:p>
        </w:tc>
      </w:tr>
      <w:tr w:rsidR="004B199B" w:rsidRPr="00D024EA" w14:paraId="44B7C469" w14:textId="77777777" w:rsidTr="00EA5D97">
        <w:tc>
          <w:tcPr>
            <w:tcW w:w="1250" w:type="pct"/>
            <w:shd w:val="clear" w:color="auto" w:fill="FFFFFF"/>
          </w:tcPr>
          <w:p w14:paraId="33AD1C63"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76</w:t>
            </w:r>
          </w:p>
        </w:tc>
        <w:tc>
          <w:tcPr>
            <w:tcW w:w="1250" w:type="pct"/>
            <w:shd w:val="clear" w:color="auto" w:fill="FFFFFF"/>
          </w:tcPr>
          <w:p w14:paraId="1326E0E7"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68.4</w:t>
            </w:r>
          </w:p>
        </w:tc>
        <w:tc>
          <w:tcPr>
            <w:tcW w:w="1250" w:type="pct"/>
            <w:shd w:val="clear" w:color="auto" w:fill="FFFFFF"/>
          </w:tcPr>
          <w:p w14:paraId="558EB6B6"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6.8</w:t>
            </w:r>
          </w:p>
        </w:tc>
        <w:tc>
          <w:tcPr>
            <w:tcW w:w="1250" w:type="pct"/>
            <w:tcBorders>
              <w:right w:val="single" w:sz="4" w:space="0" w:color="auto"/>
            </w:tcBorders>
            <w:shd w:val="clear" w:color="auto" w:fill="FFFFFF"/>
          </w:tcPr>
          <w:p w14:paraId="5F04582E"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61.6</w:t>
            </w:r>
          </w:p>
        </w:tc>
      </w:tr>
      <w:tr w:rsidR="004B199B" w:rsidRPr="00D024EA" w14:paraId="183BDB3C" w14:textId="77777777" w:rsidTr="00EA5D97">
        <w:tc>
          <w:tcPr>
            <w:tcW w:w="1250" w:type="pct"/>
            <w:shd w:val="clear" w:color="auto" w:fill="FFFFFF"/>
          </w:tcPr>
          <w:p w14:paraId="58F6D8F8"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78</w:t>
            </w:r>
          </w:p>
        </w:tc>
        <w:tc>
          <w:tcPr>
            <w:tcW w:w="1250" w:type="pct"/>
            <w:shd w:val="clear" w:color="auto" w:fill="FFFFFF"/>
          </w:tcPr>
          <w:p w14:paraId="10EE805B"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70.2</w:t>
            </w:r>
          </w:p>
        </w:tc>
        <w:tc>
          <w:tcPr>
            <w:tcW w:w="1250" w:type="pct"/>
            <w:shd w:val="clear" w:color="auto" w:fill="FFFFFF"/>
          </w:tcPr>
          <w:p w14:paraId="28BEE9DE"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7.0</w:t>
            </w:r>
          </w:p>
        </w:tc>
        <w:tc>
          <w:tcPr>
            <w:tcW w:w="1250" w:type="pct"/>
            <w:tcBorders>
              <w:right w:val="single" w:sz="4" w:space="0" w:color="auto"/>
            </w:tcBorders>
            <w:shd w:val="clear" w:color="auto" w:fill="FFFFFF"/>
          </w:tcPr>
          <w:p w14:paraId="3F1EB613"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63.2</w:t>
            </w:r>
          </w:p>
        </w:tc>
      </w:tr>
      <w:tr w:rsidR="004B199B" w:rsidRPr="00D024EA" w14:paraId="711853CD" w14:textId="77777777" w:rsidTr="00EA5D97">
        <w:tc>
          <w:tcPr>
            <w:tcW w:w="1250" w:type="pct"/>
            <w:shd w:val="clear" w:color="auto" w:fill="FFFFFF"/>
          </w:tcPr>
          <w:p w14:paraId="4B564897"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80</w:t>
            </w:r>
          </w:p>
        </w:tc>
        <w:tc>
          <w:tcPr>
            <w:tcW w:w="1250" w:type="pct"/>
            <w:shd w:val="clear" w:color="auto" w:fill="FFFFFF"/>
          </w:tcPr>
          <w:p w14:paraId="482BA0BF"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72.0</w:t>
            </w:r>
          </w:p>
        </w:tc>
        <w:tc>
          <w:tcPr>
            <w:tcW w:w="1250" w:type="pct"/>
            <w:shd w:val="clear" w:color="auto" w:fill="FFFFFF"/>
          </w:tcPr>
          <w:p w14:paraId="4CC29BB3"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7.2</w:t>
            </w:r>
          </w:p>
        </w:tc>
        <w:tc>
          <w:tcPr>
            <w:tcW w:w="1250" w:type="pct"/>
            <w:tcBorders>
              <w:right w:val="single" w:sz="4" w:space="0" w:color="auto"/>
            </w:tcBorders>
            <w:shd w:val="clear" w:color="auto" w:fill="FFFFFF"/>
          </w:tcPr>
          <w:p w14:paraId="60DBF379"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64.8</w:t>
            </w:r>
          </w:p>
        </w:tc>
      </w:tr>
      <w:tr w:rsidR="004B199B" w:rsidRPr="00D024EA" w14:paraId="4A813FD4" w14:textId="77777777" w:rsidTr="00EA5D97">
        <w:tc>
          <w:tcPr>
            <w:tcW w:w="1250" w:type="pct"/>
            <w:shd w:val="clear" w:color="auto" w:fill="FFFFFF"/>
          </w:tcPr>
          <w:p w14:paraId="4D53E06C"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82</w:t>
            </w:r>
          </w:p>
        </w:tc>
        <w:tc>
          <w:tcPr>
            <w:tcW w:w="1250" w:type="pct"/>
            <w:shd w:val="clear" w:color="auto" w:fill="FFFFFF"/>
          </w:tcPr>
          <w:p w14:paraId="25D5804E"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73.8</w:t>
            </w:r>
          </w:p>
        </w:tc>
        <w:tc>
          <w:tcPr>
            <w:tcW w:w="1250" w:type="pct"/>
            <w:shd w:val="clear" w:color="auto" w:fill="FFFFFF"/>
          </w:tcPr>
          <w:p w14:paraId="0AA7E77D"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7.4</w:t>
            </w:r>
          </w:p>
        </w:tc>
        <w:tc>
          <w:tcPr>
            <w:tcW w:w="1250" w:type="pct"/>
            <w:tcBorders>
              <w:right w:val="single" w:sz="4" w:space="0" w:color="auto"/>
            </w:tcBorders>
            <w:shd w:val="clear" w:color="auto" w:fill="FFFFFF"/>
          </w:tcPr>
          <w:p w14:paraId="66684DE5"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66.4</w:t>
            </w:r>
          </w:p>
        </w:tc>
      </w:tr>
      <w:tr w:rsidR="004B199B" w:rsidRPr="00D024EA" w14:paraId="1F0326B4" w14:textId="77777777" w:rsidTr="00EA5D97">
        <w:tc>
          <w:tcPr>
            <w:tcW w:w="1250" w:type="pct"/>
            <w:shd w:val="clear" w:color="auto" w:fill="FFFFFF"/>
          </w:tcPr>
          <w:p w14:paraId="5B7A8899"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84</w:t>
            </w:r>
          </w:p>
        </w:tc>
        <w:tc>
          <w:tcPr>
            <w:tcW w:w="1250" w:type="pct"/>
            <w:shd w:val="clear" w:color="auto" w:fill="FFFFFF"/>
          </w:tcPr>
          <w:p w14:paraId="06D73498"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75.6</w:t>
            </w:r>
          </w:p>
        </w:tc>
        <w:tc>
          <w:tcPr>
            <w:tcW w:w="1250" w:type="pct"/>
            <w:shd w:val="clear" w:color="auto" w:fill="FFFFFF"/>
          </w:tcPr>
          <w:p w14:paraId="09096AFD"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7.6</w:t>
            </w:r>
          </w:p>
        </w:tc>
        <w:tc>
          <w:tcPr>
            <w:tcW w:w="1250" w:type="pct"/>
            <w:tcBorders>
              <w:right w:val="single" w:sz="4" w:space="0" w:color="auto"/>
            </w:tcBorders>
            <w:shd w:val="clear" w:color="auto" w:fill="FFFFFF"/>
          </w:tcPr>
          <w:p w14:paraId="495A0F20"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68.0</w:t>
            </w:r>
          </w:p>
        </w:tc>
      </w:tr>
      <w:tr w:rsidR="004B199B" w:rsidRPr="00D024EA" w14:paraId="6CF8A765" w14:textId="77777777" w:rsidTr="00EA5D97">
        <w:tc>
          <w:tcPr>
            <w:tcW w:w="1250" w:type="pct"/>
            <w:shd w:val="clear" w:color="auto" w:fill="FFFFFF"/>
          </w:tcPr>
          <w:p w14:paraId="56F08654"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86</w:t>
            </w:r>
          </w:p>
        </w:tc>
        <w:tc>
          <w:tcPr>
            <w:tcW w:w="1250" w:type="pct"/>
            <w:shd w:val="clear" w:color="auto" w:fill="FFFFFF"/>
          </w:tcPr>
          <w:p w14:paraId="645E3488"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77.4</w:t>
            </w:r>
          </w:p>
        </w:tc>
        <w:tc>
          <w:tcPr>
            <w:tcW w:w="1250" w:type="pct"/>
            <w:shd w:val="clear" w:color="auto" w:fill="FFFFFF"/>
          </w:tcPr>
          <w:p w14:paraId="0D123474"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7.7</w:t>
            </w:r>
          </w:p>
        </w:tc>
        <w:tc>
          <w:tcPr>
            <w:tcW w:w="1250" w:type="pct"/>
            <w:tcBorders>
              <w:right w:val="single" w:sz="4" w:space="0" w:color="auto"/>
            </w:tcBorders>
            <w:shd w:val="clear" w:color="auto" w:fill="FFFFFF"/>
          </w:tcPr>
          <w:p w14:paraId="0E7300F6"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69.7</w:t>
            </w:r>
          </w:p>
        </w:tc>
      </w:tr>
      <w:tr w:rsidR="004B199B" w:rsidRPr="00D024EA" w14:paraId="3831A804" w14:textId="77777777" w:rsidTr="00EA5D97">
        <w:tc>
          <w:tcPr>
            <w:tcW w:w="1250" w:type="pct"/>
            <w:shd w:val="clear" w:color="auto" w:fill="FFFFFF"/>
          </w:tcPr>
          <w:p w14:paraId="1A3AB937"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88</w:t>
            </w:r>
          </w:p>
        </w:tc>
        <w:tc>
          <w:tcPr>
            <w:tcW w:w="1250" w:type="pct"/>
            <w:shd w:val="clear" w:color="auto" w:fill="FFFFFF"/>
          </w:tcPr>
          <w:p w14:paraId="59E03FA1"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79.2</w:t>
            </w:r>
          </w:p>
        </w:tc>
        <w:tc>
          <w:tcPr>
            <w:tcW w:w="1250" w:type="pct"/>
            <w:shd w:val="clear" w:color="auto" w:fill="FFFFFF"/>
          </w:tcPr>
          <w:p w14:paraId="0AF5FCBA"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7.9</w:t>
            </w:r>
          </w:p>
        </w:tc>
        <w:tc>
          <w:tcPr>
            <w:tcW w:w="1250" w:type="pct"/>
            <w:tcBorders>
              <w:right w:val="single" w:sz="4" w:space="0" w:color="auto"/>
            </w:tcBorders>
            <w:shd w:val="clear" w:color="auto" w:fill="FFFFFF"/>
          </w:tcPr>
          <w:p w14:paraId="19ED1B01"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71.3</w:t>
            </w:r>
          </w:p>
        </w:tc>
      </w:tr>
      <w:tr w:rsidR="004B199B" w:rsidRPr="00D024EA" w14:paraId="18104814" w14:textId="77777777" w:rsidTr="00EA5D97">
        <w:tc>
          <w:tcPr>
            <w:tcW w:w="1250" w:type="pct"/>
            <w:shd w:val="clear" w:color="auto" w:fill="FFFFFF"/>
          </w:tcPr>
          <w:p w14:paraId="64077333"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90</w:t>
            </w:r>
          </w:p>
        </w:tc>
        <w:tc>
          <w:tcPr>
            <w:tcW w:w="1250" w:type="pct"/>
            <w:shd w:val="clear" w:color="auto" w:fill="FFFFFF"/>
          </w:tcPr>
          <w:p w14:paraId="0CDB4BE3"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81.0</w:t>
            </w:r>
          </w:p>
        </w:tc>
        <w:tc>
          <w:tcPr>
            <w:tcW w:w="1250" w:type="pct"/>
            <w:shd w:val="clear" w:color="auto" w:fill="FFFFFF"/>
          </w:tcPr>
          <w:p w14:paraId="53FB0D91"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8.1</w:t>
            </w:r>
          </w:p>
        </w:tc>
        <w:tc>
          <w:tcPr>
            <w:tcW w:w="1250" w:type="pct"/>
            <w:tcBorders>
              <w:right w:val="single" w:sz="4" w:space="0" w:color="auto"/>
            </w:tcBorders>
            <w:shd w:val="clear" w:color="auto" w:fill="FFFFFF"/>
          </w:tcPr>
          <w:p w14:paraId="6144662A"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72.9</w:t>
            </w:r>
          </w:p>
        </w:tc>
      </w:tr>
      <w:tr w:rsidR="004B199B" w:rsidRPr="00D024EA" w14:paraId="4DB8CCF4" w14:textId="77777777" w:rsidTr="00EA5D97">
        <w:tc>
          <w:tcPr>
            <w:tcW w:w="1250" w:type="pct"/>
            <w:shd w:val="clear" w:color="auto" w:fill="FFFFFF"/>
          </w:tcPr>
          <w:p w14:paraId="43A9F38B"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92</w:t>
            </w:r>
          </w:p>
        </w:tc>
        <w:tc>
          <w:tcPr>
            <w:tcW w:w="1250" w:type="pct"/>
            <w:shd w:val="clear" w:color="auto" w:fill="FFFFFF"/>
          </w:tcPr>
          <w:p w14:paraId="69F0F1E3"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82.8</w:t>
            </w:r>
          </w:p>
        </w:tc>
        <w:tc>
          <w:tcPr>
            <w:tcW w:w="1250" w:type="pct"/>
            <w:shd w:val="clear" w:color="auto" w:fill="FFFFFF"/>
          </w:tcPr>
          <w:p w14:paraId="5B7C7BDD"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8.3</w:t>
            </w:r>
          </w:p>
        </w:tc>
        <w:tc>
          <w:tcPr>
            <w:tcW w:w="1250" w:type="pct"/>
            <w:tcBorders>
              <w:right w:val="single" w:sz="4" w:space="0" w:color="auto"/>
            </w:tcBorders>
            <w:shd w:val="clear" w:color="auto" w:fill="FFFFFF"/>
          </w:tcPr>
          <w:p w14:paraId="51A8A46D"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74.5</w:t>
            </w:r>
          </w:p>
        </w:tc>
      </w:tr>
      <w:tr w:rsidR="004B199B" w:rsidRPr="00D024EA" w14:paraId="31CD34AF" w14:textId="77777777" w:rsidTr="00EA5D97">
        <w:tc>
          <w:tcPr>
            <w:tcW w:w="1250" w:type="pct"/>
            <w:shd w:val="clear" w:color="auto" w:fill="FFFFFF"/>
          </w:tcPr>
          <w:p w14:paraId="459B80EF"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94</w:t>
            </w:r>
          </w:p>
        </w:tc>
        <w:tc>
          <w:tcPr>
            <w:tcW w:w="1250" w:type="pct"/>
            <w:shd w:val="clear" w:color="auto" w:fill="FFFFFF"/>
          </w:tcPr>
          <w:p w14:paraId="79AE37EC"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84.6</w:t>
            </w:r>
          </w:p>
        </w:tc>
        <w:tc>
          <w:tcPr>
            <w:tcW w:w="1250" w:type="pct"/>
            <w:shd w:val="clear" w:color="auto" w:fill="FFFFFF"/>
          </w:tcPr>
          <w:p w14:paraId="2BA4568A"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8.5</w:t>
            </w:r>
          </w:p>
        </w:tc>
        <w:tc>
          <w:tcPr>
            <w:tcW w:w="1250" w:type="pct"/>
            <w:tcBorders>
              <w:right w:val="single" w:sz="4" w:space="0" w:color="auto"/>
            </w:tcBorders>
            <w:shd w:val="clear" w:color="auto" w:fill="FFFFFF"/>
          </w:tcPr>
          <w:p w14:paraId="5A98C512"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76.1</w:t>
            </w:r>
          </w:p>
        </w:tc>
      </w:tr>
      <w:tr w:rsidR="004B199B" w:rsidRPr="00D024EA" w14:paraId="26FCABB6" w14:textId="77777777" w:rsidTr="00EA5D97">
        <w:tc>
          <w:tcPr>
            <w:tcW w:w="1250" w:type="pct"/>
            <w:shd w:val="clear" w:color="auto" w:fill="FFFFFF"/>
          </w:tcPr>
          <w:p w14:paraId="286ADBB1"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96</w:t>
            </w:r>
          </w:p>
        </w:tc>
        <w:tc>
          <w:tcPr>
            <w:tcW w:w="1250" w:type="pct"/>
            <w:shd w:val="clear" w:color="auto" w:fill="FFFFFF"/>
          </w:tcPr>
          <w:p w14:paraId="267ADF08"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86.4</w:t>
            </w:r>
          </w:p>
        </w:tc>
        <w:tc>
          <w:tcPr>
            <w:tcW w:w="1250" w:type="pct"/>
            <w:shd w:val="clear" w:color="auto" w:fill="FFFFFF"/>
          </w:tcPr>
          <w:p w14:paraId="52CB058E"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8.6</w:t>
            </w:r>
          </w:p>
        </w:tc>
        <w:tc>
          <w:tcPr>
            <w:tcW w:w="1250" w:type="pct"/>
            <w:tcBorders>
              <w:right w:val="single" w:sz="4" w:space="0" w:color="auto"/>
            </w:tcBorders>
            <w:shd w:val="clear" w:color="auto" w:fill="FFFFFF"/>
          </w:tcPr>
          <w:p w14:paraId="51A0F5A5"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77.8</w:t>
            </w:r>
          </w:p>
        </w:tc>
      </w:tr>
      <w:tr w:rsidR="004B199B" w:rsidRPr="00D024EA" w14:paraId="64A08B88" w14:textId="77777777" w:rsidTr="00EA5D97">
        <w:tc>
          <w:tcPr>
            <w:tcW w:w="1250" w:type="pct"/>
            <w:shd w:val="clear" w:color="auto" w:fill="FFFFFF"/>
          </w:tcPr>
          <w:p w14:paraId="465426C1"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98</w:t>
            </w:r>
          </w:p>
        </w:tc>
        <w:tc>
          <w:tcPr>
            <w:tcW w:w="1250" w:type="pct"/>
            <w:shd w:val="clear" w:color="auto" w:fill="FFFFFF"/>
          </w:tcPr>
          <w:p w14:paraId="255F9873"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88.2</w:t>
            </w:r>
          </w:p>
        </w:tc>
        <w:tc>
          <w:tcPr>
            <w:tcW w:w="1250" w:type="pct"/>
            <w:shd w:val="clear" w:color="auto" w:fill="FFFFFF"/>
          </w:tcPr>
          <w:p w14:paraId="5F68418D"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8.8</w:t>
            </w:r>
          </w:p>
        </w:tc>
        <w:tc>
          <w:tcPr>
            <w:tcW w:w="1250" w:type="pct"/>
            <w:tcBorders>
              <w:right w:val="single" w:sz="4" w:space="0" w:color="auto"/>
            </w:tcBorders>
            <w:shd w:val="clear" w:color="auto" w:fill="FFFFFF"/>
          </w:tcPr>
          <w:p w14:paraId="3DA7ACE4"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79.4</w:t>
            </w:r>
          </w:p>
        </w:tc>
      </w:tr>
      <w:tr w:rsidR="004B199B" w:rsidRPr="00D024EA" w14:paraId="22236088" w14:textId="77777777" w:rsidTr="00EA5D97">
        <w:tc>
          <w:tcPr>
            <w:tcW w:w="1250" w:type="pct"/>
            <w:shd w:val="clear" w:color="auto" w:fill="FFFFFF"/>
          </w:tcPr>
          <w:p w14:paraId="7E15BF0A"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100+</w:t>
            </w:r>
          </w:p>
        </w:tc>
        <w:tc>
          <w:tcPr>
            <w:tcW w:w="1250" w:type="pct"/>
            <w:shd w:val="clear" w:color="auto" w:fill="FFFFFF"/>
          </w:tcPr>
          <w:p w14:paraId="234ECC49"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90.0</w:t>
            </w:r>
          </w:p>
        </w:tc>
        <w:tc>
          <w:tcPr>
            <w:tcW w:w="1250" w:type="pct"/>
            <w:shd w:val="clear" w:color="auto" w:fill="FFFFFF"/>
          </w:tcPr>
          <w:p w14:paraId="20FFC47E"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9.0</w:t>
            </w:r>
          </w:p>
        </w:tc>
        <w:tc>
          <w:tcPr>
            <w:tcW w:w="1250" w:type="pct"/>
            <w:tcBorders>
              <w:right w:val="single" w:sz="4" w:space="0" w:color="auto"/>
            </w:tcBorders>
            <w:shd w:val="clear" w:color="auto" w:fill="FFFFFF"/>
          </w:tcPr>
          <w:p w14:paraId="0F21E38D" w14:textId="77777777" w:rsidR="004B199B"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81.0</w:t>
            </w:r>
          </w:p>
        </w:tc>
      </w:tr>
    </w:tbl>
    <w:p w14:paraId="000F2D09" w14:textId="7B083863" w:rsidR="006E22E7" w:rsidRPr="00D024EA" w:rsidRDefault="004B199B" w:rsidP="00EA5D97">
      <w:pPr>
        <w:tabs>
          <w:tab w:val="left" w:pos="567"/>
        </w:tabs>
        <w:autoSpaceDE w:val="0"/>
        <w:autoSpaceDN w:val="0"/>
        <w:adjustRightInd w:val="0"/>
        <w:jc w:val="both"/>
        <w:rPr>
          <w:sz w:val="22"/>
          <w:szCs w:val="22"/>
          <w:lang w:val="sr-Latn-ME"/>
        </w:rPr>
      </w:pPr>
      <w:r w:rsidRPr="00D024EA">
        <w:rPr>
          <w:sz w:val="22"/>
          <w:szCs w:val="22"/>
          <w:lang w:val="sr-Latn-ME"/>
        </w:rPr>
        <w:t xml:space="preserve">* data u koncentraciji od 1 mg / </w:t>
      </w:r>
      <w:r w:rsidR="00B7348D" w:rsidRPr="00D024EA">
        <w:rPr>
          <w:sz w:val="22"/>
          <w:szCs w:val="22"/>
          <w:lang w:val="sr-Latn-ME"/>
        </w:rPr>
        <w:t>ml</w:t>
      </w:r>
      <w:r w:rsidRPr="00D024EA">
        <w:rPr>
          <w:sz w:val="22"/>
          <w:szCs w:val="22"/>
          <w:lang w:val="sr-Latn-ME"/>
        </w:rPr>
        <w:t xml:space="preserve"> tokom 60 min kao infuzija konstantne brzine.</w:t>
      </w:r>
    </w:p>
    <w:p w14:paraId="47D84BD6" w14:textId="77777777" w:rsidR="006E22E7" w:rsidRPr="00D024EA" w:rsidRDefault="006E22E7" w:rsidP="00EA5D97">
      <w:pPr>
        <w:tabs>
          <w:tab w:val="left" w:pos="284"/>
        </w:tabs>
        <w:jc w:val="both"/>
        <w:rPr>
          <w:rFonts w:eastAsia="MS Mincho"/>
          <w:b/>
          <w:bCs/>
          <w:sz w:val="22"/>
          <w:szCs w:val="22"/>
          <w:lang w:val="sr-Latn-ME" w:eastAsia="ja-JP" w:bidi="ne-NP"/>
        </w:rPr>
      </w:pPr>
    </w:p>
    <w:p w14:paraId="4FE21F44" w14:textId="77777777" w:rsidR="006E22E7" w:rsidRPr="00D024EA" w:rsidRDefault="006E22E7" w:rsidP="00EA5D97">
      <w:pPr>
        <w:autoSpaceDE w:val="0"/>
        <w:autoSpaceDN w:val="0"/>
        <w:adjustRightInd w:val="0"/>
        <w:jc w:val="both"/>
        <w:rPr>
          <w:rFonts w:eastAsia="MS Mincho"/>
          <w:i/>
          <w:iCs/>
          <w:sz w:val="22"/>
          <w:szCs w:val="22"/>
          <w:lang w:val="sr-Latn-ME" w:eastAsia="ja-JP" w:bidi="ne-NP"/>
        </w:rPr>
      </w:pPr>
      <w:r w:rsidRPr="00D024EA">
        <w:rPr>
          <w:rFonts w:eastAsia="MS Mincho"/>
          <w:i/>
          <w:iCs/>
          <w:sz w:val="22"/>
          <w:szCs w:val="22"/>
          <w:lang w:val="sr-Latn-ME" w:eastAsia="ja-JP" w:bidi="ne-NP"/>
        </w:rPr>
        <w:t>Dodatna terapija:</w:t>
      </w:r>
    </w:p>
    <w:p w14:paraId="2A7A8760" w14:textId="45178C38" w:rsidR="006E22E7" w:rsidRPr="00D024EA" w:rsidRDefault="006E22E7"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Bezbjednost i efikasnost ovog režima uz istovremeno davanje heparina</w:t>
      </w:r>
      <w:r w:rsidR="00FE6F91" w:rsidRPr="00D024EA">
        <w:rPr>
          <w:rFonts w:eastAsia="MS Mincho"/>
          <w:sz w:val="22"/>
          <w:szCs w:val="22"/>
          <w:lang w:val="sr-Latn-ME" w:eastAsia="ja-JP" w:bidi="ne-NP"/>
        </w:rPr>
        <w:t xml:space="preserve"> ili inhibitora agregacije trombocita kao što je </w:t>
      </w:r>
      <w:r w:rsidRPr="00D024EA">
        <w:rPr>
          <w:rFonts w:eastAsia="MS Mincho"/>
          <w:sz w:val="22"/>
          <w:szCs w:val="22"/>
          <w:lang w:val="sr-Latn-ME" w:eastAsia="ja-JP" w:bidi="ne-NP"/>
        </w:rPr>
        <w:t>acetilsaliciln</w:t>
      </w:r>
      <w:r w:rsidR="00FE6F91" w:rsidRPr="00D024EA">
        <w:rPr>
          <w:rFonts w:eastAsia="MS Mincho"/>
          <w:sz w:val="22"/>
          <w:szCs w:val="22"/>
          <w:lang w:val="sr-Latn-ME" w:eastAsia="ja-JP" w:bidi="ne-NP"/>
        </w:rPr>
        <w:t>a</w:t>
      </w:r>
      <w:r w:rsidRPr="00D024EA">
        <w:rPr>
          <w:rFonts w:eastAsia="MS Mincho"/>
          <w:sz w:val="22"/>
          <w:szCs w:val="22"/>
          <w:lang w:val="sr-Latn-ME" w:eastAsia="ja-JP" w:bidi="ne-NP"/>
        </w:rPr>
        <w:t xml:space="preserve"> kiselin</w:t>
      </w:r>
      <w:r w:rsidR="00FE6F91" w:rsidRPr="00D024EA">
        <w:rPr>
          <w:rFonts w:eastAsia="MS Mincho"/>
          <w:sz w:val="22"/>
          <w:szCs w:val="22"/>
          <w:lang w:val="sr-Latn-ME" w:eastAsia="ja-JP" w:bidi="ne-NP"/>
        </w:rPr>
        <w:t>a</w:t>
      </w:r>
      <w:r w:rsidRPr="00D024EA">
        <w:rPr>
          <w:rFonts w:eastAsia="MS Mincho"/>
          <w:sz w:val="22"/>
          <w:szCs w:val="22"/>
          <w:lang w:val="sr-Latn-ME" w:eastAsia="ja-JP" w:bidi="ne-NP"/>
        </w:rPr>
        <w:t xml:space="preserve"> u toku prvih 24 sata od pojave simptoma još nije dovoljno ispitana. </w:t>
      </w:r>
      <w:r w:rsidR="0068078E" w:rsidRPr="00D024EA">
        <w:rPr>
          <w:rFonts w:eastAsia="MS Mincho"/>
          <w:sz w:val="22"/>
          <w:szCs w:val="22"/>
          <w:lang w:val="sr-Latn-ME" w:eastAsia="ja-JP" w:bidi="ne-NP"/>
        </w:rPr>
        <w:t xml:space="preserve"> </w:t>
      </w:r>
      <w:r w:rsidRPr="00D024EA">
        <w:rPr>
          <w:rFonts w:eastAsia="MS Mincho"/>
          <w:sz w:val="22"/>
          <w:szCs w:val="22"/>
          <w:lang w:val="sr-Latn-ME" w:eastAsia="ja-JP" w:bidi="ne-NP"/>
        </w:rPr>
        <w:t xml:space="preserve">Zato u prvih 24 sata nakon terapije lijekom Actilyse treba izbjegavati davanje </w:t>
      </w:r>
      <w:r w:rsidR="00FE6F91" w:rsidRPr="00D024EA">
        <w:rPr>
          <w:rFonts w:eastAsia="MS Mincho"/>
          <w:sz w:val="22"/>
          <w:szCs w:val="22"/>
          <w:lang w:val="sr-Latn-ME" w:eastAsia="ja-JP" w:bidi="ne-NP"/>
        </w:rPr>
        <w:t xml:space="preserve">intravenskih heparina ili inhibitora agregacije trombocita kao što je acetilsalicilna kiselina zbog povećanog rizika od </w:t>
      </w:r>
      <w:r w:rsidR="00FE6F91" w:rsidRPr="00D024EA">
        <w:rPr>
          <w:rFonts w:eastAsia="MS Mincho"/>
          <w:sz w:val="22"/>
          <w:szCs w:val="22"/>
          <w:lang w:val="sr-Latn-ME" w:eastAsia="ja-JP" w:bidi="ne-NP"/>
        </w:rPr>
        <w:lastRenderedPageBreak/>
        <w:t>krvarenja</w:t>
      </w:r>
      <w:r w:rsidRPr="00D024EA">
        <w:rPr>
          <w:rFonts w:eastAsia="MS Mincho"/>
          <w:sz w:val="22"/>
          <w:szCs w:val="22"/>
          <w:lang w:val="sr-Latn-ME" w:eastAsia="ja-JP" w:bidi="ne-NP"/>
        </w:rPr>
        <w:t>. Ako heparin mora da se daje zbog drugih indikacija (npr. prevencija duboke venske tromboze), doza ne treba da prelazi 10000 i.j. na dan, subkutanom primjenom.</w:t>
      </w:r>
    </w:p>
    <w:p w14:paraId="39A829E5" w14:textId="77777777" w:rsidR="006E22E7" w:rsidRPr="00D024EA" w:rsidRDefault="006E22E7" w:rsidP="00EA5D97">
      <w:pPr>
        <w:tabs>
          <w:tab w:val="left" w:pos="284"/>
        </w:tabs>
        <w:jc w:val="both"/>
        <w:rPr>
          <w:sz w:val="22"/>
          <w:szCs w:val="22"/>
          <w:lang w:val="sr-Latn-ME"/>
        </w:rPr>
      </w:pPr>
    </w:p>
    <w:p w14:paraId="035BFCA1" w14:textId="77777777" w:rsidR="006E22E7" w:rsidRPr="00D024EA" w:rsidRDefault="006E22E7"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Način primjene</w:t>
      </w:r>
    </w:p>
    <w:p w14:paraId="7AF75612" w14:textId="15FC8EE3" w:rsidR="006E22E7" w:rsidRPr="00D024EA" w:rsidRDefault="006E22E7" w:rsidP="00EA5D97">
      <w:pPr>
        <w:tabs>
          <w:tab w:val="left" w:pos="567"/>
        </w:tabs>
        <w:autoSpaceDE w:val="0"/>
        <w:autoSpaceDN w:val="0"/>
        <w:adjustRightInd w:val="0"/>
        <w:jc w:val="both"/>
        <w:rPr>
          <w:sz w:val="22"/>
          <w:szCs w:val="22"/>
          <w:lang w:val="sr-Latn-ME"/>
        </w:rPr>
      </w:pPr>
      <w:r w:rsidRPr="00D024EA">
        <w:rPr>
          <w:sz w:val="22"/>
          <w:szCs w:val="22"/>
          <w:lang w:val="sr-Latn-ME"/>
        </w:rPr>
        <w:t>Rekonstituisani rastvor treba primijeniti intravenski</w:t>
      </w:r>
      <w:r w:rsidR="00FE6F91" w:rsidRPr="00D024EA">
        <w:rPr>
          <w:sz w:val="22"/>
          <w:szCs w:val="22"/>
          <w:lang w:val="sr-Latn-ME"/>
        </w:rPr>
        <w:t xml:space="preserve"> i on je za trenutnu upotrebu</w:t>
      </w:r>
      <w:r w:rsidRPr="00D024EA">
        <w:rPr>
          <w:sz w:val="22"/>
          <w:szCs w:val="22"/>
          <w:lang w:val="sr-Latn-ME"/>
        </w:rPr>
        <w:t>.</w:t>
      </w:r>
    </w:p>
    <w:p w14:paraId="7DADE978" w14:textId="1C7C2603" w:rsidR="006E22E7" w:rsidRPr="00D024EA" w:rsidRDefault="006E22E7" w:rsidP="00EA5D97">
      <w:pPr>
        <w:tabs>
          <w:tab w:val="left" w:pos="567"/>
        </w:tabs>
        <w:autoSpaceDE w:val="0"/>
        <w:autoSpaceDN w:val="0"/>
        <w:adjustRightInd w:val="0"/>
        <w:jc w:val="both"/>
        <w:rPr>
          <w:sz w:val="22"/>
          <w:szCs w:val="22"/>
          <w:lang w:val="sr-Latn-ME"/>
        </w:rPr>
      </w:pPr>
      <w:r w:rsidRPr="00D024EA">
        <w:rPr>
          <w:sz w:val="22"/>
          <w:szCs w:val="22"/>
          <w:lang w:val="sr-Latn-ME"/>
        </w:rPr>
        <w:t xml:space="preserve">Za uputstvo prije rekonstitucije /administracije, vidjeti </w:t>
      </w:r>
      <w:r w:rsidR="00374804" w:rsidRPr="00D024EA">
        <w:rPr>
          <w:sz w:val="22"/>
          <w:szCs w:val="22"/>
          <w:lang w:val="sr-Latn-ME"/>
        </w:rPr>
        <w:t>dio</w:t>
      </w:r>
      <w:r w:rsidRPr="00D024EA">
        <w:rPr>
          <w:sz w:val="22"/>
          <w:szCs w:val="22"/>
          <w:lang w:val="sr-Latn-ME"/>
        </w:rPr>
        <w:t xml:space="preserve"> 6.6.</w:t>
      </w:r>
    </w:p>
    <w:p w14:paraId="13E2A765" w14:textId="77777777" w:rsidR="006E22E7" w:rsidRPr="00D024EA" w:rsidRDefault="006E22E7" w:rsidP="00EA5D97">
      <w:pPr>
        <w:tabs>
          <w:tab w:val="left" w:pos="567"/>
        </w:tabs>
        <w:autoSpaceDE w:val="0"/>
        <w:autoSpaceDN w:val="0"/>
        <w:adjustRightInd w:val="0"/>
        <w:jc w:val="both"/>
        <w:rPr>
          <w:sz w:val="22"/>
          <w:szCs w:val="22"/>
          <w:lang w:val="sr-Latn-ME"/>
        </w:rPr>
      </w:pPr>
    </w:p>
    <w:p w14:paraId="793C7879" w14:textId="77777777" w:rsidR="006E22E7" w:rsidRPr="00D024EA" w:rsidRDefault="006E22E7" w:rsidP="00EA5D97">
      <w:pPr>
        <w:tabs>
          <w:tab w:val="left" w:pos="567"/>
        </w:tabs>
        <w:jc w:val="both"/>
        <w:rPr>
          <w:sz w:val="22"/>
          <w:szCs w:val="22"/>
          <w:u w:val="single"/>
          <w:lang w:val="sr-Latn-ME"/>
        </w:rPr>
      </w:pPr>
      <w:bookmarkStart w:id="0" w:name="OLE_LINK3"/>
      <w:r w:rsidRPr="00D024EA">
        <w:rPr>
          <w:sz w:val="22"/>
          <w:szCs w:val="22"/>
          <w:u w:val="single"/>
          <w:lang w:val="sr-Latn-ME"/>
        </w:rPr>
        <w:t>Pedijatrijska populacija</w:t>
      </w:r>
    </w:p>
    <w:bookmarkEnd w:id="0"/>
    <w:p w14:paraId="1FE6AF4C" w14:textId="45FD8358" w:rsidR="006E22E7" w:rsidRPr="00D024EA" w:rsidRDefault="006E22E7" w:rsidP="00EA5D97">
      <w:pPr>
        <w:tabs>
          <w:tab w:val="left" w:pos="567"/>
        </w:tabs>
        <w:jc w:val="both"/>
        <w:rPr>
          <w:sz w:val="22"/>
          <w:szCs w:val="22"/>
          <w:lang w:val="sr-Latn-ME" w:bidi="en-US"/>
        </w:rPr>
      </w:pPr>
      <w:r w:rsidRPr="00D024EA">
        <w:rPr>
          <w:sz w:val="22"/>
          <w:szCs w:val="22"/>
          <w:lang w:val="sr-Latn-ME" w:bidi="en-US"/>
        </w:rPr>
        <w:t xml:space="preserve">Postoji ograničeno iskustvo o upotrebi lijeka Actilyse kod djece i adolescenata. Lijek Actilyse je kontraindikovan </w:t>
      </w:r>
      <w:r w:rsidRPr="00D024EA">
        <w:rPr>
          <w:sz w:val="22"/>
          <w:szCs w:val="22"/>
          <w:lang w:val="sr-Latn-ME"/>
        </w:rPr>
        <w:t xml:space="preserve">u terapiji akutnog moždanog udara kod djece i adolescenata </w:t>
      </w:r>
      <w:r w:rsidR="00B7348D" w:rsidRPr="00D024EA">
        <w:rPr>
          <w:sz w:val="22"/>
          <w:szCs w:val="22"/>
          <w:lang w:val="sr-Latn-ME" w:bidi="en-US"/>
        </w:rPr>
        <w:t>ml</w:t>
      </w:r>
      <w:r w:rsidRPr="00D024EA">
        <w:rPr>
          <w:sz w:val="22"/>
          <w:szCs w:val="22"/>
          <w:lang w:val="sr-Latn-ME" w:bidi="en-US"/>
        </w:rPr>
        <w:t xml:space="preserve">ađih od 16 godina </w:t>
      </w:r>
      <w:r w:rsidRPr="00D024EA">
        <w:rPr>
          <w:sz w:val="22"/>
          <w:szCs w:val="22"/>
          <w:lang w:val="sr-Latn-ME"/>
        </w:rPr>
        <w:t xml:space="preserve">(vidjeti </w:t>
      </w:r>
      <w:r w:rsidR="00374804" w:rsidRPr="00D024EA">
        <w:rPr>
          <w:sz w:val="22"/>
          <w:szCs w:val="22"/>
          <w:lang w:val="sr-Latn-ME"/>
        </w:rPr>
        <w:t>dio</w:t>
      </w:r>
      <w:r w:rsidRPr="00D024EA">
        <w:rPr>
          <w:sz w:val="22"/>
          <w:szCs w:val="22"/>
          <w:lang w:val="sr-Latn-ME"/>
        </w:rPr>
        <w:t xml:space="preserve"> 4.3). </w:t>
      </w:r>
      <w:r w:rsidRPr="00D024EA">
        <w:rPr>
          <w:sz w:val="22"/>
          <w:szCs w:val="22"/>
          <w:lang w:val="sr-Latn-ME" w:bidi="en-US"/>
        </w:rPr>
        <w:t xml:space="preserve">Doza za adolescente od 16 do 17 godina je ista kao kod odraslih (vidjeti </w:t>
      </w:r>
      <w:r w:rsidR="00374804" w:rsidRPr="00D024EA">
        <w:rPr>
          <w:sz w:val="22"/>
          <w:szCs w:val="22"/>
          <w:lang w:val="sr-Latn-ME" w:bidi="en-US"/>
        </w:rPr>
        <w:t>dio</w:t>
      </w:r>
      <w:r w:rsidRPr="00D024EA">
        <w:rPr>
          <w:sz w:val="22"/>
          <w:szCs w:val="22"/>
          <w:lang w:val="sr-Latn-ME" w:bidi="en-US"/>
        </w:rPr>
        <w:t xml:space="preserve"> 4.4 za preporuke o tehnikama snimanja koje prethodno treba uraditi).</w:t>
      </w:r>
    </w:p>
    <w:p w14:paraId="3C015F02" w14:textId="77777777" w:rsidR="00452E9D" w:rsidRPr="00D024EA" w:rsidRDefault="00452E9D" w:rsidP="00EA5D97">
      <w:pPr>
        <w:tabs>
          <w:tab w:val="left" w:pos="540"/>
          <w:tab w:val="left" w:pos="569"/>
        </w:tabs>
        <w:jc w:val="both"/>
        <w:rPr>
          <w:bCs/>
          <w:sz w:val="22"/>
          <w:szCs w:val="22"/>
          <w:lang w:val="sr-Latn-ME"/>
        </w:rPr>
      </w:pPr>
    </w:p>
    <w:p w14:paraId="1BA69DF4" w14:textId="7B1853DC" w:rsidR="00411B4B" w:rsidRPr="00D024EA" w:rsidRDefault="00411B4B" w:rsidP="00EA5D97">
      <w:pPr>
        <w:tabs>
          <w:tab w:val="left" w:pos="540"/>
          <w:tab w:val="left" w:pos="569"/>
        </w:tabs>
        <w:jc w:val="both"/>
        <w:rPr>
          <w:b/>
          <w:bCs/>
          <w:sz w:val="22"/>
          <w:szCs w:val="22"/>
          <w:lang w:val="sr-Latn-ME"/>
        </w:rPr>
      </w:pPr>
      <w:r w:rsidRPr="00D024EA">
        <w:rPr>
          <w:b/>
          <w:bCs/>
          <w:sz w:val="22"/>
          <w:szCs w:val="22"/>
          <w:lang w:val="sr-Latn-ME"/>
        </w:rPr>
        <w:t xml:space="preserve">4.3. </w:t>
      </w:r>
      <w:r w:rsidR="00480FB1" w:rsidRPr="00D024EA">
        <w:rPr>
          <w:b/>
          <w:bCs/>
          <w:sz w:val="22"/>
          <w:szCs w:val="22"/>
          <w:lang w:val="sr-Latn-ME"/>
        </w:rPr>
        <w:tab/>
      </w:r>
      <w:r w:rsidRPr="00D024EA">
        <w:rPr>
          <w:b/>
          <w:bCs/>
          <w:sz w:val="22"/>
          <w:szCs w:val="22"/>
          <w:lang w:val="sr-Latn-ME"/>
        </w:rPr>
        <w:t>Kontraindikacije</w:t>
      </w:r>
    </w:p>
    <w:p w14:paraId="6F562245" w14:textId="77777777" w:rsidR="00221C4A" w:rsidRPr="00D024EA" w:rsidRDefault="00221C4A" w:rsidP="00EA5D97">
      <w:pPr>
        <w:tabs>
          <w:tab w:val="left" w:pos="540"/>
          <w:tab w:val="left" w:pos="569"/>
        </w:tabs>
        <w:jc w:val="both"/>
        <w:rPr>
          <w:b/>
          <w:bCs/>
          <w:sz w:val="22"/>
          <w:szCs w:val="22"/>
          <w:lang w:val="sr-Latn-ME"/>
        </w:rPr>
      </w:pPr>
    </w:p>
    <w:p w14:paraId="27553AC6" w14:textId="29A491AD" w:rsidR="006E22E7" w:rsidRPr="00D024EA" w:rsidRDefault="002A03D7" w:rsidP="00EA5D97">
      <w:pPr>
        <w:tabs>
          <w:tab w:val="left" w:pos="284"/>
        </w:tabs>
        <w:jc w:val="both"/>
        <w:rPr>
          <w:sz w:val="22"/>
          <w:szCs w:val="22"/>
          <w:lang w:val="sr-Latn-ME"/>
        </w:rPr>
      </w:pPr>
      <w:r w:rsidRPr="00D024EA">
        <w:rPr>
          <w:sz w:val="22"/>
          <w:szCs w:val="22"/>
          <w:lang w:val="sr-Latn-ME"/>
        </w:rPr>
        <w:t>P</w:t>
      </w:r>
      <w:r w:rsidR="006E22E7" w:rsidRPr="00D024EA">
        <w:rPr>
          <w:sz w:val="22"/>
          <w:szCs w:val="22"/>
          <w:lang w:val="sr-Latn-ME"/>
        </w:rPr>
        <w:t xml:space="preserve">reosjetljivost na aktivnu supstancu, ili na bilo koju od pomoćnih supstanci navedenih u </w:t>
      </w:r>
      <w:r w:rsidR="000146FB" w:rsidRPr="00D024EA">
        <w:rPr>
          <w:sz w:val="22"/>
          <w:szCs w:val="22"/>
          <w:lang w:val="sr-Latn-ME"/>
        </w:rPr>
        <w:t>dijelu</w:t>
      </w:r>
      <w:r w:rsidR="006E22E7" w:rsidRPr="00D024EA">
        <w:rPr>
          <w:sz w:val="22"/>
          <w:szCs w:val="22"/>
          <w:lang w:val="sr-Latn-ME"/>
        </w:rPr>
        <w:t xml:space="preserve"> 6.1. </w:t>
      </w:r>
    </w:p>
    <w:p w14:paraId="0BBC76F4" w14:textId="77777777" w:rsidR="006E22E7" w:rsidRPr="00D024EA" w:rsidRDefault="006E22E7" w:rsidP="00EA5D97">
      <w:pPr>
        <w:autoSpaceDE w:val="0"/>
        <w:autoSpaceDN w:val="0"/>
        <w:adjustRightInd w:val="0"/>
        <w:jc w:val="both"/>
        <w:rPr>
          <w:rFonts w:eastAsia="MS Mincho"/>
          <w:sz w:val="22"/>
          <w:szCs w:val="22"/>
          <w:lang w:val="sr-Latn-ME" w:eastAsia="ja-JP" w:bidi="ne-NP"/>
        </w:rPr>
      </w:pPr>
    </w:p>
    <w:p w14:paraId="582C2AE2" w14:textId="4AAB726C" w:rsidR="006E22E7" w:rsidRPr="00D024EA" w:rsidRDefault="00FE6F91" w:rsidP="00EA5D97">
      <w:pPr>
        <w:autoSpaceDE w:val="0"/>
        <w:autoSpaceDN w:val="0"/>
        <w:adjustRightInd w:val="0"/>
        <w:jc w:val="both"/>
        <w:rPr>
          <w:rFonts w:eastAsia="MS Mincho"/>
          <w:sz w:val="22"/>
          <w:szCs w:val="22"/>
          <w:u w:val="single"/>
          <w:lang w:val="sr-Latn-ME" w:eastAsia="ja-JP" w:bidi="ne-NP"/>
        </w:rPr>
      </w:pPr>
      <w:r w:rsidRPr="00D024EA">
        <w:rPr>
          <w:rFonts w:eastAsia="MS Mincho"/>
          <w:sz w:val="22"/>
          <w:szCs w:val="22"/>
          <w:u w:val="single"/>
          <w:lang w:val="sr-Latn-ME" w:eastAsia="ja-JP" w:bidi="ne-NP"/>
        </w:rPr>
        <w:t>K</w:t>
      </w:r>
      <w:r w:rsidR="006E22E7" w:rsidRPr="00D024EA">
        <w:rPr>
          <w:rFonts w:eastAsia="MS Mincho"/>
          <w:sz w:val="22"/>
          <w:szCs w:val="22"/>
          <w:u w:val="single"/>
          <w:lang w:val="sr-Latn-ME" w:eastAsia="ja-JP" w:bidi="ne-NP"/>
        </w:rPr>
        <w:t>ontraindikacije kod akutnog infarkta miokarda, akutne masivne plućne embolije i akutnog ishemijskog moždanog udara:</w:t>
      </w:r>
    </w:p>
    <w:p w14:paraId="3175FB71" w14:textId="77777777" w:rsidR="006E22E7" w:rsidRPr="00D024EA" w:rsidRDefault="006E22E7" w:rsidP="00EA5D97">
      <w:pPr>
        <w:autoSpaceDE w:val="0"/>
        <w:autoSpaceDN w:val="0"/>
        <w:adjustRightInd w:val="0"/>
        <w:jc w:val="both"/>
        <w:rPr>
          <w:rFonts w:eastAsia="MS Mincho"/>
          <w:sz w:val="22"/>
          <w:szCs w:val="22"/>
          <w:u w:val="single"/>
          <w:lang w:val="sr-Latn-ME" w:eastAsia="ja-JP" w:bidi="ne-NP"/>
        </w:rPr>
      </w:pPr>
    </w:p>
    <w:p w14:paraId="163BE1A4" w14:textId="77777777" w:rsidR="006E22E7" w:rsidRPr="00D024EA" w:rsidRDefault="006E22E7"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 xml:space="preserve">Lijek Actilyse je </w:t>
      </w:r>
      <w:r w:rsidRPr="00D024EA">
        <w:rPr>
          <w:sz w:val="22"/>
          <w:szCs w:val="22"/>
          <w:lang w:val="sr-Latn-ME"/>
        </w:rPr>
        <w:t>kontraindikovan</w:t>
      </w:r>
      <w:r w:rsidRPr="00D024EA">
        <w:rPr>
          <w:rFonts w:eastAsia="MS Mincho"/>
          <w:sz w:val="22"/>
          <w:szCs w:val="22"/>
          <w:lang w:val="sr-Latn-ME" w:eastAsia="ja-JP" w:bidi="ne-NP"/>
        </w:rPr>
        <w:t xml:space="preserve"> u slučajevima kada postoji visok rizik od hemoragije, kao što su:</w:t>
      </w:r>
    </w:p>
    <w:p w14:paraId="124BFDEA" w14:textId="77777777" w:rsidR="006E22E7" w:rsidRPr="00D024EA" w:rsidRDefault="006E22E7" w:rsidP="009F2789">
      <w:pPr>
        <w:numPr>
          <w:ilvl w:val="0"/>
          <w:numId w:val="14"/>
        </w:numPr>
        <w:tabs>
          <w:tab w:val="left" w:pos="284"/>
        </w:tabs>
        <w:autoSpaceDE w:val="0"/>
        <w:autoSpaceDN w:val="0"/>
        <w:adjustRightInd w:val="0"/>
        <w:contextualSpacing/>
        <w:jc w:val="both"/>
        <w:rPr>
          <w:rFonts w:eastAsia="MS Mincho"/>
          <w:sz w:val="22"/>
          <w:szCs w:val="22"/>
          <w:lang w:val="sr-Latn-ME" w:eastAsia="ja-JP" w:bidi="ne-NP"/>
        </w:rPr>
      </w:pPr>
      <w:r w:rsidRPr="00D024EA">
        <w:rPr>
          <w:rFonts w:eastAsia="MS Mincho"/>
          <w:sz w:val="22"/>
          <w:szCs w:val="22"/>
          <w:lang w:val="sr-Latn-ME" w:eastAsia="ja-JP" w:bidi="ne-NP"/>
        </w:rPr>
        <w:t>značajan poremećaj krvarenja trenutno ili tokom posljednjih 6 mjeseci</w:t>
      </w:r>
    </w:p>
    <w:p w14:paraId="0858A95E" w14:textId="77777777" w:rsidR="006E22E7" w:rsidRPr="00D024EA" w:rsidRDefault="006E22E7" w:rsidP="0068078E">
      <w:pPr>
        <w:numPr>
          <w:ilvl w:val="0"/>
          <w:numId w:val="14"/>
        </w:numPr>
        <w:tabs>
          <w:tab w:val="left" w:pos="284"/>
        </w:tabs>
        <w:autoSpaceDE w:val="0"/>
        <w:autoSpaceDN w:val="0"/>
        <w:adjustRightInd w:val="0"/>
        <w:contextualSpacing/>
        <w:jc w:val="both"/>
        <w:rPr>
          <w:rFonts w:eastAsia="MS Mincho"/>
          <w:sz w:val="22"/>
          <w:szCs w:val="22"/>
          <w:lang w:val="sr-Latn-ME" w:eastAsia="ja-JP" w:bidi="ne-NP"/>
        </w:rPr>
      </w:pPr>
      <w:r w:rsidRPr="00D024EA">
        <w:rPr>
          <w:rFonts w:eastAsia="MS Mincho"/>
          <w:sz w:val="22"/>
          <w:szCs w:val="22"/>
          <w:lang w:val="sr-Latn-ME" w:eastAsia="ja-JP" w:bidi="ne-NP"/>
        </w:rPr>
        <w:t>poznata hemoragijska dijateza</w:t>
      </w:r>
    </w:p>
    <w:p w14:paraId="4C6626D5" w14:textId="14B1147D" w:rsidR="006E22E7" w:rsidRPr="00D024EA" w:rsidRDefault="006E22E7" w:rsidP="0068078E">
      <w:pPr>
        <w:numPr>
          <w:ilvl w:val="0"/>
          <w:numId w:val="15"/>
        </w:numPr>
        <w:tabs>
          <w:tab w:val="left" w:pos="284"/>
          <w:tab w:val="left" w:pos="360"/>
        </w:tabs>
        <w:autoSpaceDE w:val="0"/>
        <w:autoSpaceDN w:val="0"/>
        <w:adjustRightInd w:val="0"/>
        <w:contextualSpacing/>
        <w:jc w:val="both"/>
        <w:rPr>
          <w:sz w:val="22"/>
          <w:szCs w:val="22"/>
          <w:lang w:val="sr-Latn-ME"/>
        </w:rPr>
      </w:pPr>
      <w:r w:rsidRPr="00D024EA">
        <w:rPr>
          <w:rFonts w:eastAsia="MS Mincho"/>
          <w:sz w:val="22"/>
          <w:szCs w:val="22"/>
          <w:lang w:val="sr-Latn-ME" w:eastAsia="ja-JP" w:bidi="ne-NP"/>
        </w:rPr>
        <w:t>pacijenti koji primaju efektivnu oralnu antikoagulantnu terapiju, npr. varfarin</w:t>
      </w:r>
      <w:r w:rsidR="0068078E" w:rsidRPr="00D024EA">
        <w:rPr>
          <w:rFonts w:eastAsia="MS Mincho"/>
          <w:sz w:val="22"/>
          <w:szCs w:val="22"/>
          <w:lang w:val="sr-Latn-ME" w:eastAsia="ja-JP" w:bidi="ne-NP"/>
        </w:rPr>
        <w:t xml:space="preserve"> </w:t>
      </w:r>
      <w:r w:rsidRPr="00D024EA">
        <w:rPr>
          <w:rFonts w:eastAsia="MS Mincho"/>
          <w:sz w:val="22"/>
          <w:szCs w:val="22"/>
          <w:lang w:val="sr-Latn-ME" w:eastAsia="ja-JP" w:bidi="ne-NP"/>
        </w:rPr>
        <w:t>natrijum</w:t>
      </w:r>
      <w:r w:rsidR="002A03D7" w:rsidRPr="00D024EA">
        <w:rPr>
          <w:rFonts w:eastAsia="MS Mincho"/>
          <w:sz w:val="22"/>
          <w:szCs w:val="22"/>
          <w:lang w:val="sr-Latn-ME" w:eastAsia="ja-JP" w:bidi="ne-NP"/>
        </w:rPr>
        <w:t xml:space="preserve"> sa</w:t>
      </w:r>
      <w:r w:rsidR="00FE6F91" w:rsidRPr="00D024EA">
        <w:rPr>
          <w:rFonts w:eastAsia="MS Mincho"/>
          <w:sz w:val="22"/>
          <w:szCs w:val="22"/>
          <w:lang w:val="sr-Latn-ME" w:eastAsia="ja-JP" w:bidi="ne-NP"/>
        </w:rPr>
        <w:t xml:space="preserve"> INR&gt;1.</w:t>
      </w:r>
      <w:r w:rsidR="002A03D7" w:rsidRPr="00D024EA">
        <w:rPr>
          <w:rFonts w:eastAsia="MS Mincho"/>
          <w:sz w:val="22"/>
          <w:szCs w:val="22"/>
          <w:lang w:val="sr-Latn-ME" w:eastAsia="ja-JP" w:bidi="ne-NP"/>
        </w:rPr>
        <w:t>3</w:t>
      </w:r>
      <w:r w:rsidRPr="00D024EA">
        <w:rPr>
          <w:rFonts w:eastAsia="MS Mincho"/>
          <w:sz w:val="22"/>
          <w:szCs w:val="22"/>
          <w:lang w:val="sr-Latn-ME" w:eastAsia="ja-JP" w:bidi="ne-NP"/>
        </w:rPr>
        <w:t xml:space="preserve"> (vidjeti</w:t>
      </w:r>
      <w:r w:rsidRPr="00D024EA">
        <w:rPr>
          <w:rFonts w:eastAsia="MS Mincho"/>
          <w:sz w:val="22"/>
          <w:szCs w:val="22"/>
          <w:u w:val="single"/>
          <w:lang w:val="sr-Latn-ME" w:eastAsia="ja-JP" w:bidi="ne-NP"/>
        </w:rPr>
        <w:t xml:space="preserve"> </w:t>
      </w:r>
      <w:r w:rsidR="00374804" w:rsidRPr="00D024EA">
        <w:rPr>
          <w:rFonts w:eastAsia="MS Mincho"/>
          <w:sz w:val="22"/>
          <w:szCs w:val="22"/>
          <w:lang w:val="sr-Latn-ME" w:eastAsia="ja-JP" w:bidi="ne-NP"/>
        </w:rPr>
        <w:t>dio</w:t>
      </w:r>
      <w:r w:rsidRPr="00D024EA">
        <w:rPr>
          <w:rFonts w:eastAsia="MS Mincho"/>
          <w:sz w:val="22"/>
          <w:szCs w:val="22"/>
          <w:lang w:val="sr-Latn-ME" w:eastAsia="ja-JP" w:bidi="ne-NP"/>
        </w:rPr>
        <w:t xml:space="preserve"> 4.4)</w:t>
      </w:r>
    </w:p>
    <w:p w14:paraId="05EC8F40" w14:textId="77777777" w:rsidR="006E22E7" w:rsidRPr="00D024EA" w:rsidRDefault="006E22E7" w:rsidP="00EF218C">
      <w:pPr>
        <w:numPr>
          <w:ilvl w:val="0"/>
          <w:numId w:val="15"/>
        </w:numPr>
        <w:tabs>
          <w:tab w:val="left" w:pos="284"/>
          <w:tab w:val="left" w:pos="360"/>
        </w:tabs>
        <w:jc w:val="both"/>
        <w:rPr>
          <w:sz w:val="22"/>
          <w:szCs w:val="22"/>
          <w:lang w:val="sr-Latn-ME"/>
        </w:rPr>
      </w:pPr>
      <w:r w:rsidRPr="00D024EA">
        <w:rPr>
          <w:sz w:val="22"/>
          <w:szCs w:val="22"/>
          <w:lang w:val="sr-Latn-ME"/>
        </w:rPr>
        <w:t>manifestno ili skorašnje teško ili opasno krvarenje</w:t>
      </w:r>
    </w:p>
    <w:p w14:paraId="5F4043DE" w14:textId="77777777" w:rsidR="006E22E7" w:rsidRPr="00D024EA" w:rsidRDefault="006E22E7">
      <w:pPr>
        <w:numPr>
          <w:ilvl w:val="0"/>
          <w:numId w:val="14"/>
        </w:numPr>
        <w:tabs>
          <w:tab w:val="left" w:pos="284"/>
        </w:tabs>
        <w:autoSpaceDE w:val="0"/>
        <w:autoSpaceDN w:val="0"/>
        <w:adjustRightInd w:val="0"/>
        <w:contextualSpacing/>
        <w:jc w:val="both"/>
        <w:rPr>
          <w:rFonts w:eastAsia="MS Mincho"/>
          <w:sz w:val="22"/>
          <w:szCs w:val="22"/>
          <w:lang w:val="sr-Latn-ME" w:eastAsia="ja-JP" w:bidi="ne-NP"/>
        </w:rPr>
      </w:pPr>
      <w:r w:rsidRPr="00D024EA">
        <w:rPr>
          <w:rFonts w:eastAsia="MS Mincho"/>
          <w:sz w:val="22"/>
          <w:szCs w:val="22"/>
          <w:lang w:val="sr-Latn-ME" w:eastAsia="ja-JP" w:bidi="ne-NP"/>
        </w:rPr>
        <w:t>anamnestički podaci ili sumnja na intrakranijalnu hemoragiju</w:t>
      </w:r>
    </w:p>
    <w:p w14:paraId="3F788FA3" w14:textId="77777777" w:rsidR="006E22E7" w:rsidRPr="00D024EA" w:rsidRDefault="006E22E7">
      <w:pPr>
        <w:numPr>
          <w:ilvl w:val="0"/>
          <w:numId w:val="15"/>
        </w:numPr>
        <w:tabs>
          <w:tab w:val="left" w:pos="284"/>
          <w:tab w:val="left" w:pos="360"/>
        </w:tabs>
        <w:jc w:val="both"/>
        <w:rPr>
          <w:sz w:val="22"/>
          <w:szCs w:val="22"/>
          <w:lang w:val="sr-Latn-ME"/>
        </w:rPr>
      </w:pPr>
      <w:r w:rsidRPr="00D024EA">
        <w:rPr>
          <w:sz w:val="22"/>
          <w:szCs w:val="22"/>
          <w:lang w:val="sr-Latn-ME"/>
        </w:rPr>
        <w:t>suspektna subarahnoidalna hemoragija ili stanje nakon subarahnoidalne hemoragije nastale zbog aneurizme</w:t>
      </w:r>
    </w:p>
    <w:p w14:paraId="0F2B40F3" w14:textId="77777777" w:rsidR="006E22E7" w:rsidRPr="00D024EA" w:rsidRDefault="006E22E7">
      <w:pPr>
        <w:numPr>
          <w:ilvl w:val="0"/>
          <w:numId w:val="14"/>
        </w:numPr>
        <w:tabs>
          <w:tab w:val="left" w:pos="284"/>
        </w:tabs>
        <w:autoSpaceDE w:val="0"/>
        <w:autoSpaceDN w:val="0"/>
        <w:adjustRightInd w:val="0"/>
        <w:contextualSpacing/>
        <w:jc w:val="both"/>
        <w:rPr>
          <w:rFonts w:eastAsia="MS Mincho"/>
          <w:sz w:val="22"/>
          <w:szCs w:val="22"/>
          <w:lang w:val="sr-Latn-ME" w:eastAsia="ja-JP" w:bidi="ne-NP"/>
        </w:rPr>
      </w:pPr>
      <w:r w:rsidRPr="00D024EA">
        <w:rPr>
          <w:rFonts w:eastAsia="MS Mincho"/>
          <w:sz w:val="22"/>
          <w:szCs w:val="22"/>
          <w:lang w:val="sr-Latn-ME" w:eastAsia="ja-JP" w:bidi="ne-NP"/>
        </w:rPr>
        <w:t xml:space="preserve">anamneza oštećenja centralnog nervnog sistema (tj. neoplazma, aneurizma, intrakranijalni ili spinalni hirurški zahvati) </w:t>
      </w:r>
    </w:p>
    <w:p w14:paraId="096770DD" w14:textId="77777777" w:rsidR="006E22E7" w:rsidRPr="00D024EA" w:rsidRDefault="006E22E7">
      <w:pPr>
        <w:numPr>
          <w:ilvl w:val="0"/>
          <w:numId w:val="15"/>
        </w:numPr>
        <w:tabs>
          <w:tab w:val="left" w:pos="284"/>
        </w:tabs>
        <w:jc w:val="both"/>
        <w:rPr>
          <w:sz w:val="22"/>
          <w:szCs w:val="22"/>
          <w:lang w:val="sr-Latn-ME"/>
        </w:rPr>
      </w:pPr>
      <w:r w:rsidRPr="00D024EA">
        <w:rPr>
          <w:sz w:val="22"/>
          <w:szCs w:val="22"/>
          <w:lang w:val="sr-Latn-ME"/>
        </w:rPr>
        <w:t>skorašnja (unutar manje od 10 dana) traumatska eksterna masaža srca, porođaj uz asistenciju akušera, nedavna punkcija nekompresibilnog krvnog suda (npr. punkcija vene subklavije ili jugularne vene)</w:t>
      </w:r>
    </w:p>
    <w:p w14:paraId="606185CE" w14:textId="77777777" w:rsidR="006E22E7" w:rsidRPr="00D024EA" w:rsidRDefault="006E22E7">
      <w:pPr>
        <w:numPr>
          <w:ilvl w:val="0"/>
          <w:numId w:val="15"/>
        </w:numPr>
        <w:tabs>
          <w:tab w:val="left" w:pos="284"/>
          <w:tab w:val="left" w:pos="360"/>
        </w:tabs>
        <w:jc w:val="both"/>
        <w:rPr>
          <w:sz w:val="22"/>
          <w:szCs w:val="22"/>
          <w:lang w:val="sr-Latn-ME"/>
        </w:rPr>
      </w:pPr>
      <w:r w:rsidRPr="00D024EA">
        <w:rPr>
          <w:sz w:val="22"/>
          <w:szCs w:val="22"/>
          <w:lang w:val="sr-Latn-ME"/>
        </w:rPr>
        <w:t>teška nekontrolisana arterijska hipertenzija</w:t>
      </w:r>
    </w:p>
    <w:p w14:paraId="18572088" w14:textId="77777777" w:rsidR="006E22E7" w:rsidRPr="00D024EA" w:rsidRDefault="006E22E7">
      <w:pPr>
        <w:numPr>
          <w:ilvl w:val="0"/>
          <w:numId w:val="14"/>
        </w:numPr>
        <w:tabs>
          <w:tab w:val="left" w:pos="284"/>
        </w:tabs>
        <w:autoSpaceDE w:val="0"/>
        <w:autoSpaceDN w:val="0"/>
        <w:adjustRightInd w:val="0"/>
        <w:contextualSpacing/>
        <w:jc w:val="both"/>
        <w:rPr>
          <w:rFonts w:eastAsia="MS Mincho"/>
          <w:sz w:val="22"/>
          <w:szCs w:val="22"/>
          <w:lang w:val="sr-Latn-ME" w:eastAsia="ja-JP" w:bidi="ne-NP"/>
        </w:rPr>
      </w:pPr>
      <w:r w:rsidRPr="00D024EA">
        <w:rPr>
          <w:rFonts w:eastAsia="MS Mincho"/>
          <w:sz w:val="22"/>
          <w:szCs w:val="22"/>
          <w:lang w:val="sr-Latn-ME" w:eastAsia="ja-JP" w:bidi="ne-NP"/>
        </w:rPr>
        <w:t>bakterijski endokarditis, perikarditis</w:t>
      </w:r>
    </w:p>
    <w:p w14:paraId="6187BC13" w14:textId="77777777" w:rsidR="006E22E7" w:rsidRPr="00D024EA" w:rsidRDefault="006E22E7">
      <w:pPr>
        <w:numPr>
          <w:ilvl w:val="0"/>
          <w:numId w:val="14"/>
        </w:numPr>
        <w:tabs>
          <w:tab w:val="left" w:pos="284"/>
        </w:tabs>
        <w:autoSpaceDE w:val="0"/>
        <w:autoSpaceDN w:val="0"/>
        <w:adjustRightInd w:val="0"/>
        <w:contextualSpacing/>
        <w:jc w:val="both"/>
        <w:rPr>
          <w:rFonts w:eastAsia="MS Mincho"/>
          <w:sz w:val="22"/>
          <w:szCs w:val="22"/>
          <w:lang w:val="sr-Latn-ME" w:eastAsia="ja-JP" w:bidi="ne-NP"/>
        </w:rPr>
      </w:pPr>
      <w:r w:rsidRPr="00D024EA">
        <w:rPr>
          <w:rFonts w:eastAsia="MS Mincho"/>
          <w:sz w:val="22"/>
          <w:szCs w:val="22"/>
          <w:lang w:val="sr-Latn-ME" w:eastAsia="ja-JP" w:bidi="ne-NP"/>
        </w:rPr>
        <w:t>akutni pankreatitis</w:t>
      </w:r>
    </w:p>
    <w:p w14:paraId="2F47075C" w14:textId="77777777" w:rsidR="006E22E7" w:rsidRPr="00D024EA" w:rsidRDefault="006E22E7">
      <w:pPr>
        <w:numPr>
          <w:ilvl w:val="0"/>
          <w:numId w:val="14"/>
        </w:numPr>
        <w:tabs>
          <w:tab w:val="left" w:pos="284"/>
        </w:tabs>
        <w:autoSpaceDE w:val="0"/>
        <w:autoSpaceDN w:val="0"/>
        <w:adjustRightInd w:val="0"/>
        <w:contextualSpacing/>
        <w:jc w:val="both"/>
        <w:rPr>
          <w:rFonts w:eastAsia="MS Mincho"/>
          <w:sz w:val="22"/>
          <w:szCs w:val="22"/>
          <w:lang w:val="sr-Latn-ME" w:eastAsia="ja-JP" w:bidi="ne-NP"/>
        </w:rPr>
      </w:pPr>
      <w:r w:rsidRPr="00D024EA">
        <w:rPr>
          <w:rFonts w:eastAsia="MS Mincho"/>
          <w:sz w:val="22"/>
          <w:szCs w:val="22"/>
          <w:lang w:val="sr-Latn-ME" w:eastAsia="ja-JP" w:bidi="ne-NP"/>
        </w:rPr>
        <w:t>dokumentovana ulkusna gastrointestinalna bolest tokom posljednja 3 mjeseca, varikoziteti jednjaka, arterijska aneurizma, arterijsko-venske malformacije</w:t>
      </w:r>
    </w:p>
    <w:p w14:paraId="52F221D2" w14:textId="77777777" w:rsidR="006E22E7" w:rsidRPr="00D024EA" w:rsidRDefault="006E22E7">
      <w:pPr>
        <w:numPr>
          <w:ilvl w:val="0"/>
          <w:numId w:val="14"/>
        </w:numPr>
        <w:tabs>
          <w:tab w:val="left" w:pos="284"/>
        </w:tabs>
        <w:autoSpaceDE w:val="0"/>
        <w:autoSpaceDN w:val="0"/>
        <w:adjustRightInd w:val="0"/>
        <w:contextualSpacing/>
        <w:jc w:val="both"/>
        <w:rPr>
          <w:rFonts w:eastAsia="MS Mincho"/>
          <w:sz w:val="22"/>
          <w:szCs w:val="22"/>
          <w:lang w:val="sr-Latn-ME" w:eastAsia="ja-JP" w:bidi="ne-NP"/>
        </w:rPr>
      </w:pPr>
      <w:r w:rsidRPr="00D024EA">
        <w:rPr>
          <w:rFonts w:eastAsia="MS Mincho"/>
          <w:sz w:val="22"/>
          <w:szCs w:val="22"/>
          <w:lang w:val="sr-Latn-ME" w:eastAsia="ja-JP" w:bidi="ne-NP"/>
        </w:rPr>
        <w:t>neoplazma sa povećanim rizikom od krvarenja</w:t>
      </w:r>
    </w:p>
    <w:p w14:paraId="2E08677B" w14:textId="77777777" w:rsidR="006E22E7" w:rsidRPr="00D024EA" w:rsidRDefault="006E22E7">
      <w:pPr>
        <w:numPr>
          <w:ilvl w:val="0"/>
          <w:numId w:val="14"/>
        </w:numPr>
        <w:tabs>
          <w:tab w:val="left" w:pos="284"/>
        </w:tabs>
        <w:autoSpaceDE w:val="0"/>
        <w:autoSpaceDN w:val="0"/>
        <w:adjustRightInd w:val="0"/>
        <w:contextualSpacing/>
        <w:jc w:val="both"/>
        <w:rPr>
          <w:rFonts w:eastAsia="MS Mincho"/>
          <w:sz w:val="22"/>
          <w:szCs w:val="22"/>
          <w:lang w:val="sr-Latn-ME" w:eastAsia="ja-JP" w:bidi="ne-NP"/>
        </w:rPr>
      </w:pPr>
      <w:r w:rsidRPr="00D024EA">
        <w:rPr>
          <w:rFonts w:eastAsia="MS Mincho"/>
          <w:sz w:val="22"/>
          <w:szCs w:val="22"/>
          <w:lang w:val="sr-Latn-ME" w:eastAsia="ja-JP" w:bidi="ne-NP"/>
        </w:rPr>
        <w:t>teška bolest jetre uključujući insuficijenciju jetre, cirozu, portalnu hipertenziju (varikoziteti jednjaka) i aktivni hepatitis</w:t>
      </w:r>
    </w:p>
    <w:p w14:paraId="1376ACA2" w14:textId="77777777" w:rsidR="006E22E7" w:rsidRPr="00D024EA" w:rsidRDefault="006E22E7">
      <w:pPr>
        <w:numPr>
          <w:ilvl w:val="0"/>
          <w:numId w:val="14"/>
        </w:numPr>
        <w:tabs>
          <w:tab w:val="left" w:pos="284"/>
        </w:tabs>
        <w:autoSpaceDE w:val="0"/>
        <w:autoSpaceDN w:val="0"/>
        <w:adjustRightInd w:val="0"/>
        <w:contextualSpacing/>
        <w:jc w:val="both"/>
        <w:rPr>
          <w:rFonts w:eastAsia="MS Mincho"/>
          <w:sz w:val="22"/>
          <w:szCs w:val="22"/>
          <w:lang w:val="sr-Latn-ME" w:eastAsia="ja-JP" w:bidi="ne-NP"/>
        </w:rPr>
      </w:pPr>
      <w:r w:rsidRPr="00D024EA">
        <w:rPr>
          <w:rFonts w:eastAsia="MS Mincho"/>
          <w:sz w:val="22"/>
          <w:szCs w:val="22"/>
          <w:lang w:val="sr-Latn-ME" w:eastAsia="ja-JP" w:bidi="ne-NP"/>
        </w:rPr>
        <w:t xml:space="preserve">velika </w:t>
      </w:r>
      <w:r w:rsidRPr="00D024EA">
        <w:rPr>
          <w:sz w:val="22"/>
          <w:szCs w:val="22"/>
          <w:lang w:val="sr-Latn-ME"/>
        </w:rPr>
        <w:t>hirurška</w:t>
      </w:r>
      <w:r w:rsidRPr="00D024EA">
        <w:rPr>
          <w:rFonts w:eastAsia="MS Mincho"/>
          <w:sz w:val="22"/>
          <w:szCs w:val="22"/>
          <w:lang w:val="sr-Latn-ME" w:eastAsia="ja-JP" w:bidi="ne-NP"/>
        </w:rPr>
        <w:t xml:space="preserve"> intervencija ili značajna trauma u posljednja 3 mjeseca</w:t>
      </w:r>
    </w:p>
    <w:p w14:paraId="4AC97940" w14:textId="77777777" w:rsidR="006E22E7" w:rsidRPr="00D024EA" w:rsidRDefault="006E22E7" w:rsidP="00EA5D97">
      <w:pPr>
        <w:autoSpaceDE w:val="0"/>
        <w:autoSpaceDN w:val="0"/>
        <w:adjustRightInd w:val="0"/>
        <w:ind w:left="720"/>
        <w:contextualSpacing/>
        <w:jc w:val="both"/>
        <w:rPr>
          <w:rFonts w:eastAsia="MS Mincho"/>
          <w:sz w:val="22"/>
          <w:szCs w:val="22"/>
          <w:lang w:val="sr-Latn-ME" w:eastAsia="ja-JP" w:bidi="ne-NP"/>
        </w:rPr>
      </w:pPr>
    </w:p>
    <w:p w14:paraId="2E3D6125" w14:textId="77777777" w:rsidR="006E22E7" w:rsidRPr="00D024EA" w:rsidRDefault="006E22E7" w:rsidP="00EA5D97">
      <w:pPr>
        <w:autoSpaceDE w:val="0"/>
        <w:autoSpaceDN w:val="0"/>
        <w:adjustRightInd w:val="0"/>
        <w:jc w:val="both"/>
        <w:rPr>
          <w:rFonts w:eastAsia="MS Mincho"/>
          <w:sz w:val="22"/>
          <w:szCs w:val="22"/>
          <w:u w:val="single"/>
          <w:lang w:val="sr-Latn-ME" w:eastAsia="ja-JP" w:bidi="ne-NP"/>
        </w:rPr>
      </w:pPr>
      <w:r w:rsidRPr="00D024EA">
        <w:rPr>
          <w:rFonts w:eastAsia="MS Mincho"/>
          <w:sz w:val="22"/>
          <w:szCs w:val="22"/>
          <w:u w:val="single"/>
          <w:lang w:val="sr-Latn-ME" w:eastAsia="ja-JP" w:bidi="ne-NP"/>
        </w:rPr>
        <w:t>Dodatne kontraindikacije kod akutnog infarkta miokarda su:</w:t>
      </w:r>
    </w:p>
    <w:p w14:paraId="03C49A91" w14:textId="77777777" w:rsidR="006E22E7" w:rsidRPr="00D024EA" w:rsidRDefault="006E22E7" w:rsidP="009F2789">
      <w:pPr>
        <w:numPr>
          <w:ilvl w:val="0"/>
          <w:numId w:val="15"/>
        </w:numPr>
        <w:tabs>
          <w:tab w:val="left" w:pos="284"/>
        </w:tabs>
        <w:jc w:val="both"/>
        <w:rPr>
          <w:sz w:val="22"/>
          <w:szCs w:val="22"/>
          <w:lang w:val="sr-Latn-ME"/>
        </w:rPr>
      </w:pPr>
      <w:r w:rsidRPr="00D024EA">
        <w:rPr>
          <w:sz w:val="22"/>
          <w:szCs w:val="22"/>
          <w:lang w:val="sr-Latn-ME"/>
        </w:rPr>
        <w:t>svaka poznata anamneza hemoragijskog moždanog udara ili moždanog udara nepoznatog porijekla</w:t>
      </w:r>
    </w:p>
    <w:p w14:paraId="286A6327" w14:textId="77777777" w:rsidR="006E22E7" w:rsidRPr="00D024EA" w:rsidRDefault="006E22E7" w:rsidP="009F2789">
      <w:pPr>
        <w:numPr>
          <w:ilvl w:val="0"/>
          <w:numId w:val="15"/>
        </w:numPr>
        <w:tabs>
          <w:tab w:val="left" w:pos="284"/>
        </w:tabs>
        <w:jc w:val="both"/>
        <w:rPr>
          <w:sz w:val="22"/>
          <w:szCs w:val="22"/>
          <w:lang w:val="sr-Latn-ME"/>
        </w:rPr>
      </w:pPr>
      <w:r w:rsidRPr="00D024EA">
        <w:rPr>
          <w:sz w:val="22"/>
          <w:szCs w:val="22"/>
          <w:lang w:val="sr-Latn-ME"/>
        </w:rPr>
        <w:t>poznata anamneza ishemijskog moždanog udara ili tranzitorni ishemijski atak (TIA) u posljednjih 6 mjeseci, izuzev postojećeg ishemijskog moždanog udara unutar posljednja 4,5 sata.</w:t>
      </w:r>
    </w:p>
    <w:p w14:paraId="146A84AB" w14:textId="77777777" w:rsidR="006E22E7" w:rsidRPr="00D024EA" w:rsidRDefault="006E22E7" w:rsidP="00EA5D97">
      <w:pPr>
        <w:autoSpaceDE w:val="0"/>
        <w:autoSpaceDN w:val="0"/>
        <w:adjustRightInd w:val="0"/>
        <w:jc w:val="both"/>
        <w:rPr>
          <w:rFonts w:eastAsia="MS Mincho"/>
          <w:sz w:val="22"/>
          <w:szCs w:val="22"/>
          <w:lang w:val="sr-Latn-ME" w:eastAsia="ja-JP" w:bidi="ne-NP"/>
        </w:rPr>
      </w:pPr>
    </w:p>
    <w:p w14:paraId="5570621F" w14:textId="77777777" w:rsidR="006E22E7" w:rsidRPr="00D024EA" w:rsidRDefault="006E22E7" w:rsidP="00EA5D97">
      <w:pPr>
        <w:autoSpaceDE w:val="0"/>
        <w:autoSpaceDN w:val="0"/>
        <w:adjustRightInd w:val="0"/>
        <w:jc w:val="both"/>
        <w:rPr>
          <w:rFonts w:eastAsia="MS Mincho"/>
          <w:sz w:val="22"/>
          <w:szCs w:val="22"/>
          <w:u w:val="single"/>
          <w:lang w:val="sr-Latn-ME" w:eastAsia="ja-JP" w:bidi="ne-NP"/>
        </w:rPr>
      </w:pPr>
      <w:r w:rsidRPr="00D024EA">
        <w:rPr>
          <w:rFonts w:eastAsia="MS Mincho"/>
          <w:sz w:val="22"/>
          <w:szCs w:val="22"/>
          <w:u w:val="single"/>
          <w:lang w:val="sr-Latn-ME" w:eastAsia="ja-JP" w:bidi="ne-NP"/>
        </w:rPr>
        <w:t>Dodatne kontraindikacije kod akutne masivne plućne embolije su:</w:t>
      </w:r>
    </w:p>
    <w:p w14:paraId="53711C79" w14:textId="77777777" w:rsidR="006E22E7" w:rsidRPr="00D024EA" w:rsidRDefault="006E22E7" w:rsidP="009F2789">
      <w:pPr>
        <w:numPr>
          <w:ilvl w:val="0"/>
          <w:numId w:val="15"/>
        </w:numPr>
        <w:tabs>
          <w:tab w:val="left" w:pos="284"/>
        </w:tabs>
        <w:jc w:val="both"/>
        <w:rPr>
          <w:sz w:val="22"/>
          <w:szCs w:val="22"/>
          <w:lang w:val="sr-Latn-ME"/>
        </w:rPr>
      </w:pPr>
      <w:r w:rsidRPr="00D024EA">
        <w:rPr>
          <w:sz w:val="22"/>
          <w:szCs w:val="22"/>
          <w:lang w:val="sr-Latn-ME"/>
        </w:rPr>
        <w:t>svaka poznata anamneza hemoragijskog moždanog udara ili moždanog udara nepoznatog porijekla</w:t>
      </w:r>
    </w:p>
    <w:p w14:paraId="355E264C" w14:textId="77777777" w:rsidR="006E22E7" w:rsidRPr="00D024EA" w:rsidRDefault="006E22E7" w:rsidP="0068078E">
      <w:pPr>
        <w:numPr>
          <w:ilvl w:val="0"/>
          <w:numId w:val="15"/>
        </w:numPr>
        <w:tabs>
          <w:tab w:val="left" w:pos="284"/>
        </w:tabs>
        <w:jc w:val="both"/>
        <w:rPr>
          <w:sz w:val="22"/>
          <w:szCs w:val="22"/>
          <w:lang w:val="sr-Latn-ME"/>
        </w:rPr>
      </w:pPr>
      <w:r w:rsidRPr="00D024EA">
        <w:rPr>
          <w:sz w:val="22"/>
          <w:szCs w:val="22"/>
          <w:lang w:val="sr-Latn-ME"/>
        </w:rPr>
        <w:lastRenderedPageBreak/>
        <w:t>poznata anamneza ishemijskog moždanog udara ili tranzitorni ishemijski atak (TIA) u posljednjih 6 mjeseci, izuzev postojećeg ishemijskog moždanog udara unutar posljednja 4,5 sata.</w:t>
      </w:r>
    </w:p>
    <w:p w14:paraId="77F0115D" w14:textId="77777777" w:rsidR="006E22E7" w:rsidRPr="00D024EA" w:rsidRDefault="006E22E7" w:rsidP="00EA5D97">
      <w:pPr>
        <w:autoSpaceDE w:val="0"/>
        <w:autoSpaceDN w:val="0"/>
        <w:adjustRightInd w:val="0"/>
        <w:jc w:val="both"/>
        <w:rPr>
          <w:rFonts w:eastAsia="MS Mincho"/>
          <w:sz w:val="22"/>
          <w:szCs w:val="22"/>
          <w:lang w:val="sr-Latn-ME" w:eastAsia="ja-JP" w:bidi="ne-NP"/>
        </w:rPr>
      </w:pPr>
    </w:p>
    <w:p w14:paraId="4FD7223B" w14:textId="77777777" w:rsidR="006E22E7" w:rsidRPr="00D024EA" w:rsidRDefault="006E22E7" w:rsidP="00EA5D97">
      <w:pPr>
        <w:autoSpaceDE w:val="0"/>
        <w:autoSpaceDN w:val="0"/>
        <w:adjustRightInd w:val="0"/>
        <w:jc w:val="both"/>
        <w:rPr>
          <w:rFonts w:eastAsia="MS Mincho"/>
          <w:sz w:val="22"/>
          <w:szCs w:val="22"/>
          <w:u w:val="single"/>
          <w:lang w:val="sr-Latn-ME" w:eastAsia="ja-JP" w:bidi="ne-NP"/>
        </w:rPr>
      </w:pPr>
      <w:r w:rsidRPr="00D024EA">
        <w:rPr>
          <w:rFonts w:eastAsia="MS Mincho"/>
          <w:sz w:val="22"/>
          <w:szCs w:val="22"/>
          <w:u w:val="single"/>
          <w:lang w:val="sr-Latn-ME" w:eastAsia="ja-JP" w:bidi="ne-NP"/>
        </w:rPr>
        <w:t>Dodatne kontraindikacije kod akutnog ishemijskog moždanog udara su:</w:t>
      </w:r>
    </w:p>
    <w:p w14:paraId="0B491E9C" w14:textId="686BCEAF" w:rsidR="006E22E7" w:rsidRPr="00D024EA" w:rsidRDefault="006E22E7" w:rsidP="009F2789">
      <w:pPr>
        <w:numPr>
          <w:ilvl w:val="0"/>
          <w:numId w:val="16"/>
        </w:numPr>
        <w:tabs>
          <w:tab w:val="left" w:pos="284"/>
        </w:tabs>
        <w:autoSpaceDE w:val="0"/>
        <w:autoSpaceDN w:val="0"/>
        <w:adjustRightInd w:val="0"/>
        <w:contextualSpacing/>
        <w:jc w:val="both"/>
        <w:rPr>
          <w:rFonts w:eastAsia="MS Mincho"/>
          <w:sz w:val="22"/>
          <w:szCs w:val="22"/>
          <w:lang w:val="sr-Latn-ME" w:eastAsia="ja-JP" w:bidi="ne-NP"/>
        </w:rPr>
      </w:pPr>
      <w:r w:rsidRPr="00D024EA">
        <w:rPr>
          <w:sz w:val="22"/>
          <w:szCs w:val="22"/>
          <w:lang w:val="sr-Latn-ME"/>
        </w:rPr>
        <w:t xml:space="preserve">simptomi ishemijskog moždanog udara koji su počeli više od 4,5 sata prije početka primjene infuzije ili </w:t>
      </w:r>
      <w:r w:rsidRPr="00D024EA">
        <w:rPr>
          <w:rFonts w:eastAsia="MS Mincho"/>
          <w:sz w:val="22"/>
          <w:szCs w:val="22"/>
          <w:lang w:val="sr-Latn-ME" w:eastAsia="ja-JP" w:bidi="ne-NP"/>
        </w:rPr>
        <w:t xml:space="preserve">simptomi čije vrijeme nastanka nije poznato i za koje postoji mogućnost da su počeli prije više od 4,5 sata (vidjeti </w:t>
      </w:r>
      <w:r w:rsidR="00374804" w:rsidRPr="00D024EA">
        <w:rPr>
          <w:rFonts w:eastAsia="MS Mincho"/>
          <w:sz w:val="22"/>
          <w:szCs w:val="22"/>
          <w:lang w:val="sr-Latn-ME" w:eastAsia="ja-JP" w:bidi="ne-NP"/>
        </w:rPr>
        <w:t>dio</w:t>
      </w:r>
      <w:r w:rsidRPr="00D024EA">
        <w:rPr>
          <w:rFonts w:eastAsia="MS Mincho"/>
          <w:sz w:val="22"/>
          <w:szCs w:val="22"/>
          <w:lang w:val="sr-Latn-ME" w:eastAsia="ja-JP" w:bidi="ne-NP"/>
        </w:rPr>
        <w:t xml:space="preserve"> 5.1).</w:t>
      </w:r>
    </w:p>
    <w:p w14:paraId="0F27ECBD" w14:textId="77777777" w:rsidR="006E22E7" w:rsidRPr="00D024EA" w:rsidRDefault="006E22E7" w:rsidP="0068078E">
      <w:pPr>
        <w:numPr>
          <w:ilvl w:val="0"/>
          <w:numId w:val="16"/>
        </w:numPr>
        <w:tabs>
          <w:tab w:val="left" w:pos="284"/>
        </w:tabs>
        <w:autoSpaceDE w:val="0"/>
        <w:autoSpaceDN w:val="0"/>
        <w:adjustRightInd w:val="0"/>
        <w:contextualSpacing/>
        <w:jc w:val="both"/>
        <w:rPr>
          <w:rFonts w:eastAsia="MS Mincho"/>
          <w:sz w:val="22"/>
          <w:szCs w:val="22"/>
          <w:lang w:val="sr-Latn-ME" w:eastAsia="ja-JP" w:bidi="ne-NP"/>
        </w:rPr>
      </w:pPr>
      <w:r w:rsidRPr="00D024EA">
        <w:rPr>
          <w:sz w:val="22"/>
          <w:szCs w:val="22"/>
          <w:lang w:val="sr-Latn-ME"/>
        </w:rPr>
        <w:t>minorni neurološki deficit ili simptomi koji su se brzo poboljšavali prije započinjanja infuzije</w:t>
      </w:r>
      <w:r w:rsidRPr="00D024EA">
        <w:rPr>
          <w:rFonts w:eastAsia="MS Mincho"/>
          <w:sz w:val="22"/>
          <w:szCs w:val="22"/>
          <w:lang w:val="sr-Latn-ME" w:eastAsia="ja-JP" w:bidi="ne-NP"/>
        </w:rPr>
        <w:t xml:space="preserve"> </w:t>
      </w:r>
    </w:p>
    <w:p w14:paraId="09B1CCA1" w14:textId="77777777" w:rsidR="006E22E7" w:rsidRPr="00D024EA" w:rsidRDefault="006E22E7" w:rsidP="00EF218C">
      <w:pPr>
        <w:numPr>
          <w:ilvl w:val="0"/>
          <w:numId w:val="16"/>
        </w:numPr>
        <w:tabs>
          <w:tab w:val="left" w:pos="284"/>
        </w:tabs>
        <w:jc w:val="both"/>
        <w:rPr>
          <w:sz w:val="22"/>
          <w:szCs w:val="22"/>
          <w:lang w:val="sr-Latn-ME"/>
        </w:rPr>
      </w:pPr>
      <w:r w:rsidRPr="00D024EA">
        <w:rPr>
          <w:rFonts w:eastAsia="MS Mincho"/>
          <w:sz w:val="22"/>
          <w:szCs w:val="22"/>
          <w:lang w:val="sr-Latn-ME" w:eastAsia="ja-JP" w:bidi="ne-NP"/>
        </w:rPr>
        <w:t xml:space="preserve">težak moždani udar </w:t>
      </w:r>
      <w:r w:rsidRPr="00D024EA">
        <w:rPr>
          <w:sz w:val="22"/>
          <w:szCs w:val="22"/>
          <w:lang w:val="sr-Latn-ME"/>
        </w:rPr>
        <w:t>na osnovu kliničke procjene (npr. NIHSS &gt;25) i/ili na osnovu odgovarajućih „imaging” tehnika</w:t>
      </w:r>
    </w:p>
    <w:p w14:paraId="0503F849" w14:textId="77777777" w:rsidR="006E22E7" w:rsidRPr="00D024EA" w:rsidRDefault="006E22E7">
      <w:pPr>
        <w:numPr>
          <w:ilvl w:val="0"/>
          <w:numId w:val="16"/>
        </w:numPr>
        <w:tabs>
          <w:tab w:val="left" w:pos="284"/>
        </w:tabs>
        <w:jc w:val="both"/>
        <w:rPr>
          <w:sz w:val="22"/>
          <w:szCs w:val="22"/>
          <w:lang w:val="sr-Latn-ME"/>
        </w:rPr>
      </w:pPr>
      <w:r w:rsidRPr="00D024EA">
        <w:rPr>
          <w:sz w:val="22"/>
          <w:szCs w:val="22"/>
          <w:lang w:val="sr-Latn-ME"/>
        </w:rPr>
        <w:t>epileptični napad na početku moždanog udara</w:t>
      </w:r>
    </w:p>
    <w:p w14:paraId="0458BA0D" w14:textId="77777777" w:rsidR="006E22E7" w:rsidRPr="00D024EA" w:rsidRDefault="006E22E7">
      <w:pPr>
        <w:numPr>
          <w:ilvl w:val="0"/>
          <w:numId w:val="16"/>
        </w:numPr>
        <w:tabs>
          <w:tab w:val="left" w:pos="284"/>
        </w:tabs>
        <w:autoSpaceDE w:val="0"/>
        <w:autoSpaceDN w:val="0"/>
        <w:adjustRightInd w:val="0"/>
        <w:contextualSpacing/>
        <w:jc w:val="both"/>
        <w:rPr>
          <w:rFonts w:eastAsia="MS Mincho"/>
          <w:sz w:val="22"/>
          <w:szCs w:val="22"/>
          <w:lang w:val="sr-Latn-ME" w:eastAsia="ja-JP" w:bidi="ne-NP"/>
        </w:rPr>
      </w:pPr>
      <w:r w:rsidRPr="00D024EA">
        <w:rPr>
          <w:sz w:val="22"/>
          <w:szCs w:val="22"/>
          <w:lang w:val="sr-Latn-ME"/>
        </w:rPr>
        <w:t>dokaz o postojanju intrakranijalne hemoragije (IKH) na CT snimku</w:t>
      </w:r>
    </w:p>
    <w:p w14:paraId="5AE63AAB" w14:textId="77777777" w:rsidR="006E22E7" w:rsidRPr="00D024EA" w:rsidRDefault="006E22E7">
      <w:pPr>
        <w:numPr>
          <w:ilvl w:val="0"/>
          <w:numId w:val="16"/>
        </w:numPr>
        <w:tabs>
          <w:tab w:val="left" w:pos="284"/>
        </w:tabs>
        <w:autoSpaceDE w:val="0"/>
        <w:autoSpaceDN w:val="0"/>
        <w:adjustRightInd w:val="0"/>
        <w:contextualSpacing/>
        <w:jc w:val="both"/>
        <w:rPr>
          <w:rFonts w:eastAsia="MS Mincho"/>
          <w:sz w:val="22"/>
          <w:szCs w:val="22"/>
          <w:lang w:val="sr-Latn-ME" w:eastAsia="ja-JP" w:bidi="ne-NP"/>
        </w:rPr>
      </w:pPr>
      <w:r w:rsidRPr="00D024EA">
        <w:rPr>
          <w:sz w:val="22"/>
          <w:szCs w:val="22"/>
          <w:lang w:val="sr-Latn-ME"/>
        </w:rPr>
        <w:t>simptomi moguće subarahnoidalne hemoragije, čak i ukoliko je CT nalaz normalan</w:t>
      </w:r>
    </w:p>
    <w:p w14:paraId="5034FA4F" w14:textId="0AE4F029" w:rsidR="006E22E7" w:rsidRPr="00D024EA" w:rsidRDefault="006E22E7" w:rsidP="00EA5D97">
      <w:pPr>
        <w:numPr>
          <w:ilvl w:val="0"/>
          <w:numId w:val="16"/>
        </w:numPr>
        <w:tabs>
          <w:tab w:val="left" w:pos="284"/>
        </w:tabs>
        <w:jc w:val="both"/>
        <w:rPr>
          <w:rFonts w:eastAsia="MS Mincho"/>
          <w:sz w:val="22"/>
          <w:szCs w:val="22"/>
          <w:lang w:val="sr-Latn-ME" w:eastAsia="ja-JP" w:bidi="ne-NP"/>
        </w:rPr>
      </w:pPr>
      <w:r w:rsidRPr="00D024EA">
        <w:rPr>
          <w:sz w:val="22"/>
          <w:szCs w:val="22"/>
          <w:lang w:val="sr-Latn-ME"/>
        </w:rPr>
        <w:t>primjena heparina 48 sati prije nastanka udara uz aktivirano parcijalno tromboplastinsko vrijeme (aPTT) iznad gornje granice normale</w:t>
      </w:r>
    </w:p>
    <w:p w14:paraId="1B73834A" w14:textId="77777777" w:rsidR="006E22E7" w:rsidRPr="00D024EA" w:rsidRDefault="006E22E7" w:rsidP="009F2789">
      <w:pPr>
        <w:numPr>
          <w:ilvl w:val="0"/>
          <w:numId w:val="16"/>
        </w:numPr>
        <w:tabs>
          <w:tab w:val="left" w:pos="284"/>
        </w:tabs>
        <w:autoSpaceDE w:val="0"/>
        <w:autoSpaceDN w:val="0"/>
        <w:adjustRightInd w:val="0"/>
        <w:contextualSpacing/>
        <w:jc w:val="both"/>
        <w:rPr>
          <w:rFonts w:eastAsia="MS Mincho"/>
          <w:sz w:val="22"/>
          <w:szCs w:val="22"/>
          <w:lang w:val="sr-Latn-ME" w:eastAsia="ja-JP" w:bidi="ne-NP"/>
        </w:rPr>
      </w:pPr>
      <w:r w:rsidRPr="00D024EA">
        <w:rPr>
          <w:sz w:val="22"/>
          <w:szCs w:val="22"/>
          <w:lang w:val="sr-Latn-ME"/>
        </w:rPr>
        <w:t xml:space="preserve">anamnestički podaci o prethodnom moždanom udaru i istovremenim </w:t>
      </w:r>
      <w:r w:rsidRPr="00D024EA">
        <w:rPr>
          <w:i/>
          <w:sz w:val="22"/>
          <w:szCs w:val="22"/>
          <w:lang w:val="sr-Latn-ME"/>
        </w:rPr>
        <w:t>diabetes mellitus</w:t>
      </w:r>
      <w:r w:rsidRPr="00D024EA">
        <w:rPr>
          <w:sz w:val="22"/>
          <w:szCs w:val="22"/>
          <w:lang w:val="sr-Latn-ME"/>
        </w:rPr>
        <w:t>-om</w:t>
      </w:r>
    </w:p>
    <w:p w14:paraId="39807883" w14:textId="77777777" w:rsidR="006E22E7" w:rsidRPr="00D024EA" w:rsidRDefault="006E22E7" w:rsidP="0068078E">
      <w:pPr>
        <w:numPr>
          <w:ilvl w:val="0"/>
          <w:numId w:val="16"/>
        </w:numPr>
        <w:tabs>
          <w:tab w:val="left" w:pos="284"/>
        </w:tabs>
        <w:autoSpaceDE w:val="0"/>
        <w:autoSpaceDN w:val="0"/>
        <w:adjustRightInd w:val="0"/>
        <w:contextualSpacing/>
        <w:jc w:val="both"/>
        <w:rPr>
          <w:rFonts w:eastAsia="MS Mincho"/>
          <w:sz w:val="22"/>
          <w:szCs w:val="22"/>
          <w:lang w:val="sr-Latn-ME" w:eastAsia="ja-JP" w:bidi="ne-NP"/>
        </w:rPr>
      </w:pPr>
      <w:r w:rsidRPr="00D024EA">
        <w:rPr>
          <w:sz w:val="22"/>
          <w:szCs w:val="22"/>
          <w:lang w:val="sr-Latn-ME"/>
        </w:rPr>
        <w:t>prethodni moždani udar u posljednja 3 mjeseca</w:t>
      </w:r>
      <w:r w:rsidRPr="00D024EA">
        <w:rPr>
          <w:rFonts w:eastAsia="MS Mincho"/>
          <w:sz w:val="22"/>
          <w:szCs w:val="22"/>
          <w:lang w:val="sr-Latn-ME" w:eastAsia="ja-JP" w:bidi="ne-NP"/>
        </w:rPr>
        <w:t xml:space="preserve"> </w:t>
      </w:r>
    </w:p>
    <w:p w14:paraId="109C1023" w14:textId="77777777" w:rsidR="006E22E7" w:rsidRPr="00D024EA" w:rsidRDefault="006E22E7" w:rsidP="00EF218C">
      <w:pPr>
        <w:numPr>
          <w:ilvl w:val="0"/>
          <w:numId w:val="16"/>
        </w:numPr>
        <w:tabs>
          <w:tab w:val="left" w:pos="284"/>
        </w:tabs>
        <w:autoSpaceDE w:val="0"/>
        <w:autoSpaceDN w:val="0"/>
        <w:adjustRightInd w:val="0"/>
        <w:contextualSpacing/>
        <w:jc w:val="both"/>
        <w:rPr>
          <w:rFonts w:eastAsia="MS Mincho"/>
          <w:sz w:val="22"/>
          <w:szCs w:val="22"/>
          <w:lang w:val="sr-Latn-ME" w:eastAsia="ja-JP" w:bidi="ne-NP"/>
        </w:rPr>
      </w:pPr>
      <w:r w:rsidRPr="00D024EA">
        <w:rPr>
          <w:rFonts w:eastAsia="MS Mincho"/>
          <w:sz w:val="22"/>
          <w:szCs w:val="22"/>
          <w:lang w:val="sr-Latn-ME" w:eastAsia="ja-JP" w:bidi="ne-NP"/>
        </w:rPr>
        <w:t>broj trombocita manji od 100000/mm³</w:t>
      </w:r>
    </w:p>
    <w:p w14:paraId="4E23BA53" w14:textId="2E9648BA" w:rsidR="006E22E7" w:rsidRPr="00D024EA" w:rsidRDefault="006E22E7">
      <w:pPr>
        <w:numPr>
          <w:ilvl w:val="0"/>
          <w:numId w:val="16"/>
        </w:numPr>
        <w:tabs>
          <w:tab w:val="left" w:pos="284"/>
        </w:tabs>
        <w:autoSpaceDE w:val="0"/>
        <w:autoSpaceDN w:val="0"/>
        <w:adjustRightInd w:val="0"/>
        <w:contextualSpacing/>
        <w:jc w:val="both"/>
        <w:rPr>
          <w:rFonts w:eastAsia="MS Mincho"/>
          <w:sz w:val="22"/>
          <w:szCs w:val="22"/>
          <w:lang w:val="sr-Latn-ME" w:eastAsia="ja-JP" w:bidi="ne-NP"/>
        </w:rPr>
      </w:pPr>
      <w:r w:rsidRPr="00D024EA">
        <w:rPr>
          <w:rFonts w:eastAsia="MS Mincho"/>
          <w:sz w:val="22"/>
          <w:szCs w:val="22"/>
          <w:lang w:val="sr-Latn-ME" w:eastAsia="ja-JP" w:bidi="ne-NP"/>
        </w:rPr>
        <w:t>sistolni krvni pritisak &gt; 185</w:t>
      </w:r>
      <w:r w:rsidRPr="00D024EA">
        <w:rPr>
          <w:sz w:val="22"/>
          <w:szCs w:val="22"/>
          <w:lang w:val="sr-Latn-ME" w:bidi="en-US"/>
        </w:rPr>
        <w:t xml:space="preserve"> mmHg</w:t>
      </w:r>
      <w:r w:rsidRPr="00D024EA">
        <w:rPr>
          <w:rFonts w:eastAsia="MS Mincho"/>
          <w:sz w:val="22"/>
          <w:szCs w:val="22"/>
          <w:lang w:val="sr-Latn-ME" w:eastAsia="ja-JP" w:bidi="ne-NP"/>
        </w:rPr>
        <w:t xml:space="preserve"> ili dijastolni krvni pritisak &gt; 110 mmHg, ili agresivna  intravenska terapija potrebna za snižavanje krvnog pritiska na svoje granične vrijednosti</w:t>
      </w:r>
    </w:p>
    <w:p w14:paraId="4BAFD10D" w14:textId="45EC3B72" w:rsidR="006E22E7" w:rsidRPr="00D024EA" w:rsidRDefault="006E22E7">
      <w:pPr>
        <w:numPr>
          <w:ilvl w:val="0"/>
          <w:numId w:val="16"/>
        </w:numPr>
        <w:tabs>
          <w:tab w:val="left" w:pos="284"/>
        </w:tabs>
        <w:jc w:val="both"/>
        <w:rPr>
          <w:sz w:val="22"/>
          <w:szCs w:val="22"/>
          <w:lang w:val="sr-Latn-ME" w:bidi="en-US"/>
        </w:rPr>
      </w:pPr>
      <w:r w:rsidRPr="00D024EA">
        <w:rPr>
          <w:rFonts w:eastAsia="MS Mincho"/>
          <w:sz w:val="22"/>
          <w:szCs w:val="22"/>
          <w:lang w:val="sr-Latn-ME" w:eastAsia="ja-JP" w:bidi="ne-NP"/>
        </w:rPr>
        <w:t>nivo glukoze u krvi &lt; 50 mg/d</w:t>
      </w:r>
      <w:r w:rsidR="00823823" w:rsidRPr="00D024EA">
        <w:rPr>
          <w:rFonts w:eastAsia="MS Mincho"/>
          <w:sz w:val="22"/>
          <w:szCs w:val="22"/>
          <w:lang w:val="sr-Latn-ME" w:eastAsia="ja-JP" w:bidi="ne-NP"/>
        </w:rPr>
        <w:t>l</w:t>
      </w:r>
      <w:r w:rsidRPr="00D024EA">
        <w:rPr>
          <w:rFonts w:eastAsia="MS Mincho"/>
          <w:sz w:val="22"/>
          <w:szCs w:val="22"/>
          <w:lang w:val="sr-Latn-ME" w:eastAsia="ja-JP" w:bidi="ne-NP"/>
        </w:rPr>
        <w:t xml:space="preserve"> ili &gt; 400 mg/d</w:t>
      </w:r>
      <w:r w:rsidR="00823823" w:rsidRPr="00D024EA">
        <w:rPr>
          <w:rFonts w:eastAsia="MS Mincho"/>
          <w:sz w:val="22"/>
          <w:szCs w:val="22"/>
          <w:lang w:val="sr-Latn-ME" w:eastAsia="ja-JP" w:bidi="ne-NP"/>
        </w:rPr>
        <w:t>l</w:t>
      </w:r>
      <w:r w:rsidRPr="00D024EA">
        <w:rPr>
          <w:rFonts w:eastAsia="MS Mincho"/>
          <w:sz w:val="22"/>
          <w:szCs w:val="22"/>
          <w:lang w:val="sr-Latn-ME" w:eastAsia="ja-JP" w:bidi="ne-NP"/>
        </w:rPr>
        <w:t xml:space="preserve"> </w:t>
      </w:r>
      <w:r w:rsidRPr="00D024EA">
        <w:rPr>
          <w:sz w:val="22"/>
          <w:szCs w:val="22"/>
          <w:lang w:val="sr-Latn-ME" w:bidi="en-US"/>
        </w:rPr>
        <w:t>(&lt; 2,8 mmol/</w:t>
      </w:r>
      <w:r w:rsidR="00A363FC" w:rsidRPr="00D024EA">
        <w:rPr>
          <w:sz w:val="22"/>
          <w:szCs w:val="22"/>
          <w:lang w:val="sr-Latn-ME" w:bidi="en-US"/>
        </w:rPr>
        <w:t xml:space="preserve">l </w:t>
      </w:r>
      <w:r w:rsidRPr="00D024EA">
        <w:rPr>
          <w:sz w:val="22"/>
          <w:szCs w:val="22"/>
          <w:lang w:val="sr-Latn-ME" w:bidi="en-US"/>
        </w:rPr>
        <w:t xml:space="preserve"> ili &gt; 22,2 mmol/</w:t>
      </w:r>
      <w:r w:rsidR="00823823" w:rsidRPr="00D024EA">
        <w:rPr>
          <w:sz w:val="22"/>
          <w:szCs w:val="22"/>
          <w:lang w:val="sr-Latn-ME" w:bidi="en-US"/>
        </w:rPr>
        <w:t>l</w:t>
      </w:r>
      <w:r w:rsidRPr="00D024EA">
        <w:rPr>
          <w:sz w:val="22"/>
          <w:szCs w:val="22"/>
          <w:lang w:val="sr-Latn-ME" w:bidi="en-US"/>
        </w:rPr>
        <w:t>).</w:t>
      </w:r>
    </w:p>
    <w:p w14:paraId="32F3C3D4" w14:textId="77777777" w:rsidR="006E22E7" w:rsidRPr="00D024EA" w:rsidRDefault="006E22E7" w:rsidP="00EA5D97">
      <w:pPr>
        <w:autoSpaceDE w:val="0"/>
        <w:autoSpaceDN w:val="0"/>
        <w:adjustRightInd w:val="0"/>
        <w:ind w:left="180" w:hanging="180"/>
        <w:jc w:val="both"/>
        <w:rPr>
          <w:rFonts w:eastAsia="MS Mincho"/>
          <w:sz w:val="22"/>
          <w:szCs w:val="22"/>
          <w:lang w:val="sr-Latn-ME" w:eastAsia="ja-JP" w:bidi="ne-NP"/>
        </w:rPr>
      </w:pPr>
    </w:p>
    <w:p w14:paraId="4CAC6944" w14:textId="77777777" w:rsidR="006E22E7" w:rsidRPr="00D024EA" w:rsidRDefault="006E22E7" w:rsidP="00EA5D97">
      <w:pPr>
        <w:autoSpaceDE w:val="0"/>
        <w:autoSpaceDN w:val="0"/>
        <w:adjustRightInd w:val="0"/>
        <w:ind w:left="180" w:hanging="180"/>
        <w:jc w:val="both"/>
        <w:rPr>
          <w:rFonts w:eastAsia="MS Mincho"/>
          <w:sz w:val="22"/>
          <w:szCs w:val="22"/>
          <w:u w:val="single"/>
          <w:lang w:val="sr-Latn-ME" w:eastAsia="ja-JP" w:bidi="ne-NP"/>
        </w:rPr>
      </w:pPr>
      <w:r w:rsidRPr="00D024EA">
        <w:rPr>
          <w:rFonts w:eastAsia="MS Mincho"/>
          <w:sz w:val="22"/>
          <w:szCs w:val="22"/>
          <w:u w:val="single"/>
          <w:lang w:val="sr-Latn-ME" w:eastAsia="ja-JP" w:bidi="ne-NP"/>
        </w:rPr>
        <w:t xml:space="preserve">Primjena kod djece i adolescenata </w:t>
      </w:r>
    </w:p>
    <w:p w14:paraId="0D4F39F6" w14:textId="12B169B8" w:rsidR="006E22E7" w:rsidRPr="00D024EA" w:rsidRDefault="006E22E7"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 xml:space="preserve">Lijek Actilyse nije indikovan za terapiju akutnog moždanog udara kod pedijatrijskih pacijenata </w:t>
      </w:r>
      <w:r w:rsidR="00B7348D" w:rsidRPr="00D024EA">
        <w:rPr>
          <w:rFonts w:eastAsia="MS Mincho"/>
          <w:sz w:val="22"/>
          <w:szCs w:val="22"/>
          <w:lang w:val="sr-Latn-ME" w:eastAsia="ja-JP" w:bidi="ne-NP"/>
        </w:rPr>
        <w:t>ml</w:t>
      </w:r>
      <w:r w:rsidRPr="00D024EA">
        <w:rPr>
          <w:rFonts w:eastAsia="MS Mincho"/>
          <w:sz w:val="22"/>
          <w:szCs w:val="22"/>
          <w:lang w:val="sr-Latn-ME" w:eastAsia="ja-JP" w:bidi="ne-NP"/>
        </w:rPr>
        <w:t>ađih od 16 godina</w:t>
      </w:r>
      <w:r w:rsidRPr="00D024EA">
        <w:rPr>
          <w:sz w:val="22"/>
          <w:szCs w:val="22"/>
          <w:lang w:val="sr-Latn-ME" w:bidi="en-US"/>
        </w:rPr>
        <w:t xml:space="preserve"> (za adolescente uzrasta ≥ 16 godina vidjeti </w:t>
      </w:r>
      <w:r w:rsidR="00374804" w:rsidRPr="00D024EA">
        <w:rPr>
          <w:sz w:val="22"/>
          <w:szCs w:val="22"/>
          <w:lang w:val="sr-Latn-ME" w:bidi="en-US"/>
        </w:rPr>
        <w:t>dio</w:t>
      </w:r>
      <w:r w:rsidRPr="00D024EA">
        <w:rPr>
          <w:sz w:val="22"/>
          <w:szCs w:val="22"/>
          <w:lang w:val="sr-Latn-ME" w:bidi="en-US"/>
        </w:rPr>
        <w:t xml:space="preserve"> 4.4)</w:t>
      </w:r>
    </w:p>
    <w:p w14:paraId="62066564" w14:textId="2015E8A2" w:rsidR="0072020E" w:rsidRPr="00D024EA" w:rsidRDefault="006E22E7" w:rsidP="00EA5D97">
      <w:pPr>
        <w:tabs>
          <w:tab w:val="left" w:pos="540"/>
          <w:tab w:val="left" w:pos="569"/>
        </w:tabs>
        <w:jc w:val="both"/>
        <w:rPr>
          <w:bCs/>
          <w:sz w:val="22"/>
          <w:szCs w:val="22"/>
          <w:lang w:val="sr-Latn-ME"/>
        </w:rPr>
      </w:pPr>
      <w:r w:rsidRPr="00D024EA">
        <w:rPr>
          <w:b/>
          <w:bCs/>
          <w:sz w:val="22"/>
          <w:szCs w:val="22"/>
          <w:lang w:val="sr-Latn-ME"/>
        </w:rPr>
        <w:t xml:space="preserve">  </w:t>
      </w:r>
    </w:p>
    <w:p w14:paraId="2A6C9FAC" w14:textId="77777777" w:rsidR="00411B4B" w:rsidRPr="00D024EA" w:rsidRDefault="00411B4B" w:rsidP="00EA5D97">
      <w:pPr>
        <w:tabs>
          <w:tab w:val="left" w:pos="540"/>
          <w:tab w:val="left" w:pos="569"/>
        </w:tabs>
        <w:jc w:val="both"/>
        <w:rPr>
          <w:b/>
          <w:bCs/>
          <w:sz w:val="22"/>
          <w:szCs w:val="22"/>
          <w:lang w:val="sr-Latn-ME"/>
        </w:rPr>
      </w:pPr>
      <w:r w:rsidRPr="00D024EA">
        <w:rPr>
          <w:b/>
          <w:bCs/>
          <w:sz w:val="22"/>
          <w:szCs w:val="22"/>
          <w:lang w:val="sr-Latn-ME"/>
        </w:rPr>
        <w:t xml:space="preserve">4.4. </w:t>
      </w:r>
      <w:r w:rsidR="00480FB1" w:rsidRPr="00D024EA">
        <w:rPr>
          <w:b/>
          <w:bCs/>
          <w:sz w:val="22"/>
          <w:szCs w:val="22"/>
          <w:lang w:val="sr-Latn-ME"/>
        </w:rPr>
        <w:tab/>
      </w:r>
      <w:r w:rsidRPr="00D024EA">
        <w:rPr>
          <w:b/>
          <w:bCs/>
          <w:sz w:val="22"/>
          <w:szCs w:val="22"/>
          <w:lang w:val="sr-Latn-ME"/>
        </w:rPr>
        <w:t>Posebna upozorenja i mjere opreza pri upotrebi lijeka</w:t>
      </w:r>
    </w:p>
    <w:p w14:paraId="24949500" w14:textId="77777777" w:rsidR="00FE6F91" w:rsidRPr="00D024EA" w:rsidRDefault="00FE6F91" w:rsidP="00EA5D97">
      <w:pPr>
        <w:tabs>
          <w:tab w:val="left" w:pos="540"/>
          <w:tab w:val="left" w:pos="569"/>
        </w:tabs>
        <w:jc w:val="both"/>
        <w:rPr>
          <w:b/>
          <w:bCs/>
          <w:sz w:val="22"/>
          <w:szCs w:val="22"/>
          <w:u w:val="single"/>
          <w:lang w:val="sr-Latn-ME"/>
        </w:rPr>
      </w:pPr>
    </w:p>
    <w:p w14:paraId="6AFF161A" w14:textId="1D87265E" w:rsidR="00FE6F91" w:rsidRPr="00D024EA" w:rsidRDefault="00FE6F91" w:rsidP="00EA5D97">
      <w:pPr>
        <w:tabs>
          <w:tab w:val="left" w:pos="540"/>
          <w:tab w:val="left" w:pos="569"/>
        </w:tabs>
        <w:jc w:val="both"/>
        <w:rPr>
          <w:sz w:val="22"/>
          <w:szCs w:val="22"/>
          <w:u w:val="single"/>
          <w:lang w:val="sr-Latn-ME"/>
        </w:rPr>
      </w:pPr>
      <w:r w:rsidRPr="00D024EA">
        <w:rPr>
          <w:sz w:val="22"/>
          <w:szCs w:val="22"/>
          <w:u w:val="single"/>
          <w:lang w:val="sr-Latn-ME"/>
        </w:rPr>
        <w:t>Praćenje bioloških ljekova</w:t>
      </w:r>
    </w:p>
    <w:p w14:paraId="05884507" w14:textId="633FE9EC" w:rsidR="00FE6F91" w:rsidRPr="00D024EA" w:rsidRDefault="00FE6F91" w:rsidP="00EA5D97">
      <w:pPr>
        <w:tabs>
          <w:tab w:val="left" w:pos="540"/>
          <w:tab w:val="left" w:pos="569"/>
        </w:tabs>
        <w:jc w:val="both"/>
        <w:rPr>
          <w:sz w:val="22"/>
          <w:szCs w:val="22"/>
          <w:lang w:val="sr-Latn-ME"/>
        </w:rPr>
      </w:pPr>
      <w:r w:rsidRPr="00D024EA">
        <w:rPr>
          <w:sz w:val="22"/>
          <w:szCs w:val="22"/>
          <w:lang w:val="sr-Latn-ME"/>
        </w:rPr>
        <w:t>U cilju poboljšanja praćenja bioloških ljekova, zaštićeno ime i broj serije primijenjenog lijeka treba da budu jasno evidentirani u kartonu pacijenta.</w:t>
      </w:r>
    </w:p>
    <w:p w14:paraId="5FB50B89" w14:textId="3F887238" w:rsidR="001B03B3" w:rsidRPr="00D024EA" w:rsidRDefault="001B03B3" w:rsidP="00EA5D97">
      <w:pPr>
        <w:tabs>
          <w:tab w:val="left" w:pos="540"/>
          <w:tab w:val="left" w:pos="569"/>
        </w:tabs>
        <w:jc w:val="both"/>
        <w:rPr>
          <w:sz w:val="22"/>
          <w:szCs w:val="22"/>
          <w:u w:val="single"/>
          <w:lang w:val="sr-Latn-ME"/>
        </w:rPr>
      </w:pPr>
    </w:p>
    <w:p w14:paraId="2BBB9BDB" w14:textId="77777777" w:rsidR="001B03B3" w:rsidRPr="00D024EA" w:rsidRDefault="001B03B3" w:rsidP="00EA5D97">
      <w:pPr>
        <w:tabs>
          <w:tab w:val="left" w:pos="567"/>
        </w:tabs>
        <w:autoSpaceDE w:val="0"/>
        <w:autoSpaceDN w:val="0"/>
        <w:adjustRightInd w:val="0"/>
        <w:jc w:val="both"/>
        <w:rPr>
          <w:sz w:val="22"/>
          <w:szCs w:val="22"/>
          <w:lang w:val="sr-Latn-ME"/>
        </w:rPr>
      </w:pPr>
      <w:r w:rsidRPr="00D024EA">
        <w:rPr>
          <w:sz w:val="22"/>
          <w:szCs w:val="22"/>
          <w:lang w:val="sr-Latn-ME"/>
        </w:rPr>
        <w:t>Odgovarajuću dozu alteplaze treba pažljivo odabrati i u skladu sa namjeravanom primjenom. Alteplaza 2 mg nije indikovana za primjenu kod akutnog infarkta miokarda, akutne masivne embolije pluća ili akutnog ishemijskog moždanog udara (zbog opasnosti od masivnog subdoziranja). U ovim indikacijama preporučuje se jedino primjena alteplaze 10 mg, 20 mg ili 50 mg.</w:t>
      </w:r>
    </w:p>
    <w:p w14:paraId="5756DB00" w14:textId="77777777" w:rsidR="001B03B3" w:rsidRPr="00D024EA" w:rsidRDefault="001B03B3" w:rsidP="00EA5D97">
      <w:pPr>
        <w:tabs>
          <w:tab w:val="left" w:pos="567"/>
        </w:tabs>
        <w:autoSpaceDE w:val="0"/>
        <w:autoSpaceDN w:val="0"/>
        <w:adjustRightInd w:val="0"/>
        <w:jc w:val="both"/>
        <w:rPr>
          <w:sz w:val="22"/>
          <w:szCs w:val="22"/>
          <w:lang w:val="sr-Latn-ME"/>
        </w:rPr>
      </w:pPr>
    </w:p>
    <w:p w14:paraId="3A1C82EA" w14:textId="77777777" w:rsidR="001B03B3" w:rsidRPr="00D024EA" w:rsidRDefault="001B03B3"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Trombolitička/fibrinolitička terapija zahtijeva odgovarajuće praćenje. Lijek Actilyse treba da primjenjuju samo ljekari koji su obučeni i imaju iskustva u primjeni trombolitičke terapije, i koji imaju na raspolaganju odgovarajuću opremu kako bi mogli da prate primjenu lijeka. Kada se daje lijek Actilyse, preporučuje se da standardna oprema za reanimaciju i farmakoterapiju bude na raspolaganju u svim prilikama.</w:t>
      </w:r>
    </w:p>
    <w:p w14:paraId="72D724C5" w14:textId="77777777" w:rsidR="001B03B3" w:rsidRPr="00D024EA" w:rsidRDefault="001B03B3" w:rsidP="00EA5D97">
      <w:pPr>
        <w:autoSpaceDE w:val="0"/>
        <w:autoSpaceDN w:val="0"/>
        <w:adjustRightInd w:val="0"/>
        <w:jc w:val="both"/>
        <w:rPr>
          <w:rFonts w:eastAsia="MS Mincho"/>
          <w:sz w:val="22"/>
          <w:szCs w:val="22"/>
          <w:lang w:val="sr-Latn-ME" w:eastAsia="ja-JP" w:bidi="ne-NP"/>
        </w:rPr>
      </w:pPr>
    </w:p>
    <w:p w14:paraId="42AA8AA2" w14:textId="77777777" w:rsidR="001B03B3" w:rsidRPr="00D024EA" w:rsidRDefault="001B03B3" w:rsidP="00EA5D97">
      <w:pPr>
        <w:tabs>
          <w:tab w:val="left" w:pos="567"/>
        </w:tabs>
        <w:autoSpaceDE w:val="0"/>
        <w:autoSpaceDN w:val="0"/>
        <w:jc w:val="both"/>
        <w:rPr>
          <w:sz w:val="22"/>
          <w:szCs w:val="22"/>
          <w:u w:val="single"/>
          <w:lang w:val="sr-Latn-ME"/>
        </w:rPr>
      </w:pPr>
      <w:r w:rsidRPr="00D024EA">
        <w:rPr>
          <w:sz w:val="22"/>
          <w:szCs w:val="22"/>
          <w:u w:val="single"/>
          <w:lang w:val="sr-Latn-ME"/>
        </w:rPr>
        <w:t>Preosjetljivost</w:t>
      </w:r>
    </w:p>
    <w:p w14:paraId="23954670" w14:textId="77777777" w:rsidR="001B03B3" w:rsidRPr="00D024EA" w:rsidRDefault="001B03B3" w:rsidP="00EA5D97">
      <w:pPr>
        <w:tabs>
          <w:tab w:val="left" w:pos="567"/>
        </w:tabs>
        <w:autoSpaceDE w:val="0"/>
        <w:autoSpaceDN w:val="0"/>
        <w:jc w:val="both"/>
        <w:rPr>
          <w:sz w:val="22"/>
          <w:szCs w:val="22"/>
          <w:u w:val="single"/>
          <w:lang w:val="sr-Latn-ME"/>
        </w:rPr>
      </w:pPr>
    </w:p>
    <w:p w14:paraId="30BC0B82" w14:textId="0E1245C8" w:rsidR="001B03B3" w:rsidRPr="00D024EA" w:rsidRDefault="001B03B3" w:rsidP="00EA5D97">
      <w:pPr>
        <w:tabs>
          <w:tab w:val="left" w:pos="284"/>
        </w:tabs>
        <w:autoSpaceDE w:val="0"/>
        <w:autoSpaceDN w:val="0"/>
        <w:adjustRightInd w:val="0"/>
        <w:jc w:val="both"/>
        <w:rPr>
          <w:sz w:val="22"/>
          <w:szCs w:val="22"/>
          <w:lang w:val="sr-Latn-ME" w:bidi="en-US"/>
        </w:rPr>
      </w:pPr>
      <w:r w:rsidRPr="00D024EA">
        <w:rPr>
          <w:sz w:val="22"/>
          <w:szCs w:val="22"/>
          <w:lang w:val="sr-Latn-ME"/>
        </w:rPr>
        <w:t>Imunološki posredovane reakcije preosjetljivosti povezane sa davanjem lijeka Actilyse mogu da budu izazvane aktivnom supstancom alteplazom</w:t>
      </w:r>
      <w:r w:rsidR="00823823" w:rsidRPr="00D024EA">
        <w:rPr>
          <w:sz w:val="22"/>
          <w:szCs w:val="22"/>
          <w:lang w:val="sr-Latn-ME"/>
        </w:rPr>
        <w:t xml:space="preserve"> ili</w:t>
      </w:r>
      <w:r w:rsidRPr="00D024EA">
        <w:rPr>
          <w:sz w:val="22"/>
          <w:szCs w:val="22"/>
          <w:lang w:val="sr-Latn-ME"/>
        </w:rPr>
        <w:t xml:space="preserve"> nekom od pomoćnih supstanci</w:t>
      </w:r>
      <w:r w:rsidR="00823823" w:rsidRPr="00D024EA">
        <w:rPr>
          <w:sz w:val="22"/>
          <w:szCs w:val="22"/>
          <w:lang w:val="sr-Latn-ME"/>
        </w:rPr>
        <w:t>.</w:t>
      </w:r>
      <w:r w:rsidRPr="00D024EA">
        <w:rPr>
          <w:sz w:val="22"/>
          <w:szCs w:val="22"/>
          <w:lang w:val="sr-Latn-ME"/>
        </w:rPr>
        <w:t xml:space="preserve"> Z</w:t>
      </w:r>
      <w:r w:rsidRPr="00D024EA">
        <w:rPr>
          <w:sz w:val="22"/>
          <w:szCs w:val="22"/>
          <w:lang w:val="sr-Latn-ME" w:bidi="en-US"/>
        </w:rPr>
        <w:t>adržano stvaranje antitijela na molekul tkivnog</w:t>
      </w:r>
      <w:r w:rsidRPr="00D024EA">
        <w:rPr>
          <w:sz w:val="22"/>
          <w:szCs w:val="22"/>
          <w:shd w:val="clear" w:color="auto" w:fill="FFFFFF"/>
          <w:lang w:val="sr-Latn-ME"/>
        </w:rPr>
        <w:t> </w:t>
      </w:r>
      <w:r w:rsidRPr="00D024EA">
        <w:rPr>
          <w:bCs/>
          <w:sz w:val="22"/>
          <w:szCs w:val="22"/>
          <w:shd w:val="clear" w:color="auto" w:fill="FFFFFF"/>
          <w:lang w:val="sr-Latn-ME"/>
        </w:rPr>
        <w:t>aktivatora plazminogena</w:t>
      </w:r>
      <w:r w:rsidRPr="00D024EA">
        <w:rPr>
          <w:sz w:val="22"/>
          <w:szCs w:val="22"/>
          <w:lang w:val="sr-Latn-ME" w:bidi="en-US"/>
        </w:rPr>
        <w:t xml:space="preserve"> humanog porijekla koji je dobijen rekombina</w:t>
      </w:r>
      <w:r w:rsidR="004511EB" w:rsidRPr="00D024EA">
        <w:rPr>
          <w:sz w:val="22"/>
          <w:szCs w:val="22"/>
          <w:lang w:val="sr-Latn-ME" w:bidi="en-US"/>
        </w:rPr>
        <w:t>n</w:t>
      </w:r>
      <w:r w:rsidRPr="00D024EA">
        <w:rPr>
          <w:sz w:val="22"/>
          <w:szCs w:val="22"/>
          <w:lang w:val="sr-Latn-ME" w:bidi="en-US"/>
        </w:rPr>
        <w:t>tnom tehnikom nije primijećeno</w:t>
      </w:r>
      <w:r w:rsidRPr="00D024EA">
        <w:rPr>
          <w:sz w:val="22"/>
          <w:szCs w:val="22"/>
          <w:lang w:val="sr-Latn-ME"/>
        </w:rPr>
        <w:t xml:space="preserve"> n</w:t>
      </w:r>
      <w:r w:rsidRPr="00D024EA">
        <w:rPr>
          <w:sz w:val="22"/>
          <w:szCs w:val="22"/>
          <w:lang w:val="sr-Latn-ME" w:bidi="en-US"/>
        </w:rPr>
        <w:t xml:space="preserve">akon terapije. Ne postoji sistemsko iskustvo sa ponovnom primjenom lijeka Actilyse. </w:t>
      </w:r>
    </w:p>
    <w:p w14:paraId="39124561" w14:textId="77777777" w:rsidR="001B03B3" w:rsidRPr="00D024EA" w:rsidRDefault="001B03B3" w:rsidP="00EA5D97">
      <w:pPr>
        <w:autoSpaceDE w:val="0"/>
        <w:autoSpaceDN w:val="0"/>
        <w:adjustRightInd w:val="0"/>
        <w:jc w:val="both"/>
        <w:rPr>
          <w:sz w:val="22"/>
          <w:szCs w:val="22"/>
          <w:lang w:val="sr-Latn-ME" w:bidi="en-US"/>
        </w:rPr>
      </w:pPr>
      <w:r w:rsidRPr="00D024EA">
        <w:rPr>
          <w:sz w:val="22"/>
          <w:szCs w:val="22"/>
          <w:lang w:val="sr-Latn-ME" w:bidi="en-US"/>
        </w:rPr>
        <w:t>Takođe postoji rizik od reakcija preosjetljivosti posredovanih neimunološkim mehanizmom.</w:t>
      </w:r>
    </w:p>
    <w:p w14:paraId="0CFC7B33" w14:textId="77777777" w:rsidR="001B03B3" w:rsidRPr="00D024EA" w:rsidRDefault="001B03B3" w:rsidP="00EA5D97">
      <w:pPr>
        <w:autoSpaceDE w:val="0"/>
        <w:autoSpaceDN w:val="0"/>
        <w:adjustRightInd w:val="0"/>
        <w:jc w:val="both"/>
        <w:rPr>
          <w:sz w:val="22"/>
          <w:szCs w:val="22"/>
          <w:lang w:val="sr-Latn-ME" w:bidi="en-US"/>
        </w:rPr>
      </w:pPr>
    </w:p>
    <w:p w14:paraId="4D0F08A7" w14:textId="7541D42D" w:rsidR="001B03B3" w:rsidRPr="00D024EA" w:rsidRDefault="001B03B3" w:rsidP="00EA5D97">
      <w:pPr>
        <w:autoSpaceDE w:val="0"/>
        <w:autoSpaceDN w:val="0"/>
        <w:adjustRightInd w:val="0"/>
        <w:jc w:val="both"/>
        <w:rPr>
          <w:sz w:val="22"/>
          <w:szCs w:val="22"/>
          <w:lang w:val="sr-Latn-ME" w:bidi="en-US"/>
        </w:rPr>
      </w:pPr>
      <w:r w:rsidRPr="00D024EA">
        <w:rPr>
          <w:sz w:val="22"/>
          <w:szCs w:val="22"/>
          <w:lang w:val="sr-Latn-ME" w:bidi="en-US"/>
        </w:rPr>
        <w:t xml:space="preserve">Angioedem predstavlja najčešću reakciju preosjetljivosti prijavljivanu sa primjenom lijeka Actilyse. Ovaj rizik može biti povećan u indikaciji akutnog ishemijskog moždanog udara i/ili kod istovremene </w:t>
      </w:r>
      <w:r w:rsidRPr="00D024EA">
        <w:rPr>
          <w:sz w:val="22"/>
          <w:szCs w:val="22"/>
          <w:lang w:val="sr-Latn-ME" w:bidi="en-US"/>
        </w:rPr>
        <w:lastRenderedPageBreak/>
        <w:t xml:space="preserve">terapije sa ACE inhibitorima (vidjeti </w:t>
      </w:r>
      <w:r w:rsidR="00374804" w:rsidRPr="00D024EA">
        <w:rPr>
          <w:sz w:val="22"/>
          <w:szCs w:val="22"/>
          <w:lang w:val="sr-Latn-ME" w:bidi="en-US"/>
        </w:rPr>
        <w:t>dio</w:t>
      </w:r>
      <w:r w:rsidRPr="00D024EA">
        <w:rPr>
          <w:sz w:val="22"/>
          <w:szCs w:val="22"/>
          <w:lang w:val="sr-Latn-ME" w:bidi="en-US"/>
        </w:rPr>
        <w:t xml:space="preserve"> 4.5). Pacijente liječene zbog bilo koje odobrene indikacije potrebno je pratiti zbog mogućeg razvoja angioedema i do 24 sata nakon infuzije. </w:t>
      </w:r>
    </w:p>
    <w:p w14:paraId="54CBC030" w14:textId="77777777" w:rsidR="001B03B3" w:rsidRPr="00D024EA" w:rsidRDefault="001B03B3" w:rsidP="00EA5D97">
      <w:pPr>
        <w:tabs>
          <w:tab w:val="left" w:pos="567"/>
        </w:tabs>
        <w:jc w:val="both"/>
        <w:rPr>
          <w:sz w:val="22"/>
          <w:szCs w:val="22"/>
          <w:lang w:val="sr-Latn-ME"/>
        </w:rPr>
      </w:pPr>
    </w:p>
    <w:p w14:paraId="2798E341" w14:textId="77777777" w:rsidR="001B03B3" w:rsidRPr="00D024EA" w:rsidRDefault="001B03B3" w:rsidP="00EA5D97">
      <w:pPr>
        <w:tabs>
          <w:tab w:val="left" w:pos="567"/>
        </w:tabs>
        <w:jc w:val="both"/>
        <w:rPr>
          <w:sz w:val="22"/>
          <w:szCs w:val="22"/>
          <w:u w:val="single"/>
          <w:lang w:val="sr-Latn-ME"/>
        </w:rPr>
      </w:pPr>
      <w:r w:rsidRPr="00D024EA">
        <w:rPr>
          <w:sz w:val="22"/>
          <w:szCs w:val="22"/>
          <w:lang w:val="sr-Latn-ME"/>
        </w:rPr>
        <w:t xml:space="preserve">Ako dođe do </w:t>
      </w:r>
      <w:r w:rsidRPr="00D024EA">
        <w:rPr>
          <w:sz w:val="22"/>
          <w:szCs w:val="22"/>
          <w:lang w:val="sr-Latn-ME" w:bidi="en-US"/>
        </w:rPr>
        <w:t>teške reakcije preosjetljivosti (npr. angioedema)</w:t>
      </w:r>
      <w:r w:rsidRPr="00D024EA">
        <w:rPr>
          <w:sz w:val="22"/>
          <w:szCs w:val="22"/>
          <w:lang w:val="sr-Latn-ME"/>
        </w:rPr>
        <w:t xml:space="preserve">, mora se prekinuti primjena infuzije i odmah uvesti odgovarajuća terapija. Ovo može uključiti intubaciju.  </w:t>
      </w:r>
    </w:p>
    <w:p w14:paraId="2F530B15" w14:textId="77777777" w:rsidR="001B03B3" w:rsidRPr="00D024EA" w:rsidRDefault="001B03B3" w:rsidP="00EA5D97">
      <w:pPr>
        <w:tabs>
          <w:tab w:val="left" w:pos="284"/>
        </w:tabs>
        <w:jc w:val="both"/>
        <w:rPr>
          <w:rFonts w:eastAsia="MS Mincho"/>
          <w:b/>
          <w:bCs/>
          <w:sz w:val="22"/>
          <w:szCs w:val="22"/>
          <w:lang w:val="sr-Latn-ME" w:eastAsia="ja-JP" w:bidi="ne-NP"/>
        </w:rPr>
      </w:pPr>
    </w:p>
    <w:p w14:paraId="193EEF53" w14:textId="2FDECF31" w:rsidR="00FE6F91" w:rsidRPr="00D024EA" w:rsidRDefault="001B03B3" w:rsidP="00EA5D97">
      <w:pPr>
        <w:tabs>
          <w:tab w:val="left" w:pos="567"/>
        </w:tabs>
        <w:autoSpaceDE w:val="0"/>
        <w:autoSpaceDN w:val="0"/>
        <w:adjustRightInd w:val="0"/>
        <w:jc w:val="both"/>
        <w:rPr>
          <w:sz w:val="22"/>
          <w:szCs w:val="22"/>
          <w:u w:val="words"/>
          <w:lang w:val="sr-Latn-ME"/>
        </w:rPr>
      </w:pPr>
      <w:r w:rsidRPr="00D024EA">
        <w:rPr>
          <w:sz w:val="22"/>
          <w:szCs w:val="22"/>
          <w:u w:val="words"/>
          <w:lang w:val="sr-Latn-ME"/>
        </w:rPr>
        <w:t>Hemoragija</w:t>
      </w:r>
    </w:p>
    <w:p w14:paraId="7F6594EF" w14:textId="5670C396" w:rsidR="00FE6F91" w:rsidRPr="00D024EA" w:rsidRDefault="00FE6F91" w:rsidP="009F2789">
      <w:pPr>
        <w:tabs>
          <w:tab w:val="left" w:pos="284"/>
        </w:tabs>
        <w:jc w:val="both"/>
        <w:rPr>
          <w:rFonts w:eastAsia="MS Mincho"/>
          <w:sz w:val="22"/>
          <w:szCs w:val="22"/>
          <w:lang w:val="sr-Latn-ME" w:eastAsia="ja-JP" w:bidi="ne-NP"/>
        </w:rPr>
      </w:pPr>
      <w:r w:rsidRPr="00D024EA">
        <w:rPr>
          <w:rFonts w:eastAsia="MS Mincho"/>
          <w:sz w:val="22"/>
          <w:szCs w:val="22"/>
          <w:lang w:val="sr-Latn-ME" w:eastAsia="ja-JP" w:bidi="ne-NP"/>
        </w:rPr>
        <w:t>Najčeš</w:t>
      </w:r>
      <w:r w:rsidR="004511EB" w:rsidRPr="00D024EA">
        <w:rPr>
          <w:rFonts w:eastAsia="MS Mincho"/>
          <w:sz w:val="22"/>
          <w:szCs w:val="22"/>
          <w:lang w:val="sr-Latn-ME" w:eastAsia="ja-JP" w:bidi="ne-NP"/>
        </w:rPr>
        <w:t>ć</w:t>
      </w:r>
      <w:r w:rsidRPr="00D024EA">
        <w:rPr>
          <w:rFonts w:eastAsia="MS Mincho"/>
          <w:sz w:val="22"/>
          <w:szCs w:val="22"/>
          <w:lang w:val="sr-Latn-ME" w:eastAsia="ja-JP" w:bidi="ne-NP"/>
        </w:rPr>
        <w:t xml:space="preserve">a komplikacija koja se javlja tokom terapije lijekom Actilyse je krvarenje. Istovremena primjena </w:t>
      </w:r>
      <w:r w:rsidR="002A03D7" w:rsidRPr="00D024EA">
        <w:rPr>
          <w:rFonts w:eastAsia="MS Mincho"/>
          <w:sz w:val="22"/>
          <w:szCs w:val="22"/>
          <w:lang w:val="sr-Latn-ME" w:eastAsia="ja-JP" w:bidi="ne-NP"/>
        </w:rPr>
        <w:t>drugih aktivnih supstanci</w:t>
      </w:r>
      <w:r w:rsidRPr="00D024EA">
        <w:rPr>
          <w:rFonts w:eastAsia="MS Mincho"/>
          <w:sz w:val="22"/>
          <w:szCs w:val="22"/>
          <w:lang w:val="sr-Latn-ME" w:eastAsia="ja-JP" w:bidi="ne-NP"/>
        </w:rPr>
        <w:t xml:space="preserve"> </w:t>
      </w:r>
      <w:r w:rsidR="002A03D7" w:rsidRPr="00D024EA">
        <w:rPr>
          <w:rFonts w:eastAsia="MS Mincho"/>
          <w:sz w:val="22"/>
          <w:szCs w:val="22"/>
          <w:lang w:val="sr-Latn-ME" w:eastAsia="ja-JP" w:bidi="ne-NP"/>
        </w:rPr>
        <w:t xml:space="preserve">koje utiču na koagulaciju ili funkciju trombocita </w:t>
      </w:r>
      <w:r w:rsidRPr="00D024EA">
        <w:rPr>
          <w:rFonts w:eastAsia="MS Mincho"/>
          <w:sz w:val="22"/>
          <w:szCs w:val="22"/>
          <w:lang w:val="sr-Latn-ME" w:eastAsia="ja-JP" w:bidi="ne-NP"/>
        </w:rPr>
        <w:t>može doprinijeti krvarenju. S obzirom da se fibrin lizira tokom terapije lijekom Actilyse, može doći do krvarenja iz nedavnih mjesta punkcije. Zbog toga, trombolitička terapija zahtijeva pažljivo praćenje svih mogućih mjesta krvarenja (uključujući ona nakon postavljanja katetera, mjesta punktiranja arterije ili vene i mjesta uboda iglom). Upotrebu krutih katetera, intramuskularnih injekcija i nepotrebno pom</w:t>
      </w:r>
      <w:r w:rsidR="004511EB" w:rsidRPr="00D024EA">
        <w:rPr>
          <w:rFonts w:eastAsia="MS Mincho"/>
          <w:sz w:val="22"/>
          <w:szCs w:val="22"/>
          <w:lang w:val="sr-Latn-ME" w:eastAsia="ja-JP" w:bidi="ne-NP"/>
        </w:rPr>
        <w:t>j</w:t>
      </w:r>
      <w:r w:rsidRPr="00D024EA">
        <w:rPr>
          <w:rFonts w:eastAsia="MS Mincho"/>
          <w:sz w:val="22"/>
          <w:szCs w:val="22"/>
          <w:lang w:val="sr-Latn-ME" w:eastAsia="ja-JP" w:bidi="ne-NP"/>
        </w:rPr>
        <w:t>eranje pacijenta tokom terapije lijekom Actilyse treba izbjegavati.</w:t>
      </w:r>
    </w:p>
    <w:p w14:paraId="79E1ECDE" w14:textId="4316CFD0" w:rsidR="001B03B3" w:rsidRPr="00D024EA" w:rsidRDefault="001B03B3" w:rsidP="00EA5D97">
      <w:pPr>
        <w:tabs>
          <w:tab w:val="left" w:pos="284"/>
        </w:tabs>
        <w:jc w:val="both"/>
        <w:rPr>
          <w:rFonts w:eastAsia="MS Mincho"/>
          <w:b/>
          <w:bCs/>
          <w:sz w:val="22"/>
          <w:szCs w:val="22"/>
          <w:lang w:val="sr-Latn-ME" w:eastAsia="ja-JP" w:bidi="ne-NP"/>
        </w:rPr>
      </w:pPr>
      <w:r w:rsidRPr="00D024EA">
        <w:rPr>
          <w:rFonts w:eastAsia="MS Mincho"/>
          <w:sz w:val="22"/>
          <w:szCs w:val="22"/>
          <w:lang w:val="sr-Latn-ME" w:eastAsia="ja-JP" w:bidi="ne-NP"/>
        </w:rPr>
        <w:t>Ukoliko se pojavi potencijalno opasno krvarenje, posebno kod cerebralne hemoragije, mora se prekinuti sa fibrinolitičkom terapijom</w:t>
      </w:r>
      <w:r w:rsidR="00FE6F91" w:rsidRPr="00D024EA">
        <w:rPr>
          <w:rFonts w:eastAsia="MS Mincho"/>
          <w:sz w:val="22"/>
          <w:szCs w:val="22"/>
          <w:lang w:val="sr-Latn-ME" w:eastAsia="ja-JP" w:bidi="ne-NP"/>
        </w:rPr>
        <w:t xml:space="preserve"> i odmah obustaviti istovremen</w:t>
      </w:r>
      <w:r w:rsidR="00823823" w:rsidRPr="00D024EA">
        <w:rPr>
          <w:rFonts w:eastAsia="MS Mincho"/>
          <w:sz w:val="22"/>
          <w:szCs w:val="22"/>
          <w:lang w:val="sr-Latn-ME" w:eastAsia="ja-JP" w:bidi="ne-NP"/>
        </w:rPr>
        <w:t>a</w:t>
      </w:r>
      <w:r w:rsidR="00FE6F91" w:rsidRPr="00D024EA">
        <w:rPr>
          <w:rFonts w:eastAsia="MS Mincho"/>
          <w:sz w:val="22"/>
          <w:szCs w:val="22"/>
          <w:lang w:val="sr-Latn-ME" w:eastAsia="ja-JP" w:bidi="ne-NP"/>
        </w:rPr>
        <w:t xml:space="preserve"> primjen</w:t>
      </w:r>
      <w:r w:rsidR="00823823" w:rsidRPr="00D024EA">
        <w:rPr>
          <w:rFonts w:eastAsia="MS Mincho"/>
          <w:sz w:val="22"/>
          <w:szCs w:val="22"/>
          <w:lang w:val="sr-Latn-ME" w:eastAsia="ja-JP" w:bidi="ne-NP"/>
        </w:rPr>
        <w:t>a</w:t>
      </w:r>
      <w:r w:rsidR="00FE6F91" w:rsidRPr="00D024EA">
        <w:rPr>
          <w:rFonts w:eastAsia="MS Mincho"/>
          <w:sz w:val="22"/>
          <w:szCs w:val="22"/>
          <w:lang w:val="sr-Latn-ME" w:eastAsia="ja-JP" w:bidi="ne-NP"/>
        </w:rPr>
        <w:t xml:space="preserve"> heparina</w:t>
      </w:r>
      <w:r w:rsidRPr="00D024EA">
        <w:rPr>
          <w:rFonts w:eastAsia="MS Mincho"/>
          <w:sz w:val="22"/>
          <w:szCs w:val="22"/>
          <w:lang w:val="sr-Latn-ME" w:eastAsia="ja-JP" w:bidi="ne-NP"/>
        </w:rPr>
        <w:t>. Međutim, u principu nije potrebna zamjena koagulacionih faktora pošto im je poluvrijeme eliminacije kratko, pa je time njihov uticaj na sistemske faktore koagulacije minimalan. Kod većine pacijenata koji imaju krvarenje potreban je prekid trombolitičke i antikoagulantne terapije, nadoknada tečnosti i manuelni pritisak na krvni sud koji krvari. Treba razmotriti primjenu protamina ukoliko je heparin dat u toku 4 sata od nastanka krvarenja. Kod manjeg broja pacijenata kod kojih ove konzervativne mjere ne daju rezultat, može biti opravdano davanje preparata za transfuziju. Evaluaciju transfuzije krioprecipitatom, sveže smrznutom plazmom i trombocitima treba izvršiti nakon svakog davanja na osnovu kliničkih i laboratorijskih parametara. Pri infuziji krioprecipitata ciljani nivo fibrinogena je 1g/</w:t>
      </w:r>
      <w:r w:rsidR="00823823" w:rsidRPr="00D024EA">
        <w:rPr>
          <w:rFonts w:eastAsia="MS Mincho"/>
          <w:sz w:val="22"/>
          <w:szCs w:val="22"/>
          <w:lang w:val="sr-Latn-ME" w:eastAsia="ja-JP" w:bidi="ne-NP"/>
        </w:rPr>
        <w:t>l</w:t>
      </w:r>
      <w:r w:rsidRPr="00D024EA">
        <w:rPr>
          <w:rFonts w:eastAsia="MS Mincho"/>
          <w:sz w:val="22"/>
          <w:szCs w:val="22"/>
          <w:lang w:val="sr-Latn-ME" w:eastAsia="ja-JP" w:bidi="ne-NP"/>
        </w:rPr>
        <w:t>.</w:t>
      </w:r>
    </w:p>
    <w:p w14:paraId="6B490ABD" w14:textId="77777777" w:rsidR="001B03B3" w:rsidRPr="00D024EA" w:rsidRDefault="001B03B3"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Antifibrinolitički agensi predstavljaju posljednju alternativu.</w:t>
      </w:r>
    </w:p>
    <w:p w14:paraId="6C2DEBDE" w14:textId="77777777" w:rsidR="001B03B3" w:rsidRPr="00D024EA" w:rsidRDefault="001B03B3" w:rsidP="00EA5D97">
      <w:pPr>
        <w:tabs>
          <w:tab w:val="left" w:pos="567"/>
        </w:tabs>
        <w:autoSpaceDE w:val="0"/>
        <w:autoSpaceDN w:val="0"/>
        <w:adjustRightInd w:val="0"/>
        <w:jc w:val="both"/>
        <w:rPr>
          <w:sz w:val="22"/>
          <w:szCs w:val="22"/>
          <w:lang w:val="sr-Latn-ME"/>
        </w:rPr>
      </w:pPr>
    </w:p>
    <w:p w14:paraId="38BEA38D" w14:textId="77777777" w:rsidR="001B03B3" w:rsidRPr="00D024EA" w:rsidRDefault="001B03B3"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Rizik od intrakranijalne hemoragije se povećava kod starijih pacijenata, zato kod tih pacijenata treba pažljivo napraviti procjenu rizika u odnosu na korist.</w:t>
      </w:r>
    </w:p>
    <w:p w14:paraId="04953477" w14:textId="77777777" w:rsidR="001B03B3" w:rsidRPr="00D024EA" w:rsidRDefault="001B03B3" w:rsidP="00EA5D97">
      <w:pPr>
        <w:autoSpaceDE w:val="0"/>
        <w:autoSpaceDN w:val="0"/>
        <w:adjustRightInd w:val="0"/>
        <w:jc w:val="both"/>
        <w:rPr>
          <w:rFonts w:eastAsia="MS Mincho"/>
          <w:sz w:val="22"/>
          <w:szCs w:val="22"/>
          <w:lang w:val="sr-Latn-ME" w:eastAsia="ja-JP" w:bidi="ne-NP"/>
        </w:rPr>
      </w:pPr>
    </w:p>
    <w:p w14:paraId="6B0A5D58" w14:textId="77777777" w:rsidR="001B03B3" w:rsidRPr="00D024EA" w:rsidRDefault="001B03B3"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Kao i kod svih trombolitičkih agenasa, očekivana terapijska korist treba da se odmjeri sa posebnom pažnjom u pogledu svih mogućih rizika, naročito kod pacijenata sa:</w:t>
      </w:r>
    </w:p>
    <w:p w14:paraId="07ABE7F1" w14:textId="77777777" w:rsidR="001B03B3" w:rsidRPr="00D024EA" w:rsidRDefault="001B03B3" w:rsidP="009F2789">
      <w:pPr>
        <w:numPr>
          <w:ilvl w:val="0"/>
          <w:numId w:val="17"/>
        </w:numPr>
        <w:tabs>
          <w:tab w:val="left" w:pos="284"/>
        </w:tabs>
        <w:autoSpaceDE w:val="0"/>
        <w:autoSpaceDN w:val="0"/>
        <w:adjustRightInd w:val="0"/>
        <w:contextualSpacing/>
        <w:jc w:val="both"/>
        <w:rPr>
          <w:rFonts w:eastAsia="MS Mincho"/>
          <w:sz w:val="22"/>
          <w:szCs w:val="22"/>
          <w:lang w:val="sr-Latn-ME" w:eastAsia="ja-JP" w:bidi="ne-NP"/>
        </w:rPr>
      </w:pPr>
      <w:r w:rsidRPr="00D024EA">
        <w:rPr>
          <w:rFonts w:eastAsia="MS Mincho"/>
          <w:sz w:val="22"/>
          <w:szCs w:val="22"/>
          <w:lang w:val="sr-Latn-ME" w:eastAsia="ja-JP" w:bidi="ne-NP"/>
        </w:rPr>
        <w:t>malim skorašnjim traumama, kao što su biopsije, punkcija velikih krvnih sudova, intramuskularne injekcije, masaža srca radi reanimacije</w:t>
      </w:r>
    </w:p>
    <w:p w14:paraId="68EDBC79" w14:textId="5D2F2DFC" w:rsidR="001B03B3" w:rsidRPr="00D024EA" w:rsidRDefault="001B03B3" w:rsidP="0068078E">
      <w:pPr>
        <w:numPr>
          <w:ilvl w:val="0"/>
          <w:numId w:val="17"/>
        </w:numPr>
        <w:tabs>
          <w:tab w:val="left" w:pos="284"/>
        </w:tabs>
        <w:autoSpaceDE w:val="0"/>
        <w:autoSpaceDN w:val="0"/>
        <w:adjustRightInd w:val="0"/>
        <w:contextualSpacing/>
        <w:jc w:val="both"/>
        <w:rPr>
          <w:rFonts w:eastAsia="MS Mincho"/>
          <w:sz w:val="22"/>
          <w:szCs w:val="22"/>
          <w:lang w:val="sr-Latn-ME" w:eastAsia="ja-JP" w:bidi="ne-NP"/>
        </w:rPr>
      </w:pPr>
      <w:r w:rsidRPr="00D024EA">
        <w:rPr>
          <w:rFonts w:eastAsia="MS Mincho"/>
          <w:sz w:val="22"/>
          <w:szCs w:val="22"/>
          <w:lang w:val="sr-Latn-ME" w:eastAsia="ja-JP" w:bidi="ne-NP"/>
        </w:rPr>
        <w:t xml:space="preserve">stanjima sa povećanim rizikom od hemoragije koja nijesu navedena u </w:t>
      </w:r>
      <w:r w:rsidR="000146FB" w:rsidRPr="00D024EA">
        <w:rPr>
          <w:rFonts w:eastAsia="MS Mincho"/>
          <w:sz w:val="22"/>
          <w:szCs w:val="22"/>
          <w:lang w:val="sr-Latn-ME" w:eastAsia="ja-JP" w:bidi="ne-NP"/>
        </w:rPr>
        <w:t>dijelu</w:t>
      </w:r>
      <w:r w:rsidRPr="00D024EA">
        <w:rPr>
          <w:rFonts w:eastAsia="MS Mincho"/>
          <w:sz w:val="22"/>
          <w:szCs w:val="22"/>
          <w:lang w:val="sr-Latn-ME" w:eastAsia="ja-JP" w:bidi="ne-NP"/>
        </w:rPr>
        <w:t xml:space="preserve"> 4.3.</w:t>
      </w:r>
    </w:p>
    <w:p w14:paraId="7F4640F3" w14:textId="04E3BB26" w:rsidR="001B03B3" w:rsidRPr="00D024EA" w:rsidRDefault="001B03B3" w:rsidP="00EA5D97">
      <w:pPr>
        <w:autoSpaceDE w:val="0"/>
        <w:autoSpaceDN w:val="0"/>
        <w:adjustRightInd w:val="0"/>
        <w:jc w:val="both"/>
        <w:rPr>
          <w:rFonts w:eastAsia="MS Mincho"/>
          <w:sz w:val="22"/>
          <w:szCs w:val="22"/>
          <w:lang w:val="sr-Latn-ME" w:eastAsia="ja-JP" w:bidi="ne-NP"/>
        </w:rPr>
      </w:pPr>
    </w:p>
    <w:p w14:paraId="4536ADA0" w14:textId="77777777" w:rsidR="001B03B3" w:rsidRPr="00D024EA" w:rsidRDefault="001B03B3" w:rsidP="00EA5D97">
      <w:pPr>
        <w:tabs>
          <w:tab w:val="left" w:pos="567"/>
        </w:tabs>
        <w:autoSpaceDE w:val="0"/>
        <w:autoSpaceDN w:val="0"/>
        <w:jc w:val="both"/>
        <w:rPr>
          <w:sz w:val="22"/>
          <w:szCs w:val="22"/>
          <w:u w:val="single"/>
          <w:lang w:val="sr-Latn-ME"/>
        </w:rPr>
      </w:pPr>
      <w:r w:rsidRPr="00D024EA">
        <w:rPr>
          <w:sz w:val="22"/>
          <w:szCs w:val="22"/>
          <w:u w:val="single"/>
          <w:lang w:val="sr-Latn-ME"/>
        </w:rPr>
        <w:t>Pacijenti koji primaju oralnu antikoagulantnu terapiju:</w:t>
      </w:r>
    </w:p>
    <w:p w14:paraId="5DAFBCFF" w14:textId="77777777" w:rsidR="001B03B3" w:rsidRPr="00D024EA" w:rsidRDefault="001B03B3" w:rsidP="00EA5D97">
      <w:pPr>
        <w:tabs>
          <w:tab w:val="left" w:pos="567"/>
        </w:tabs>
        <w:autoSpaceDE w:val="0"/>
        <w:autoSpaceDN w:val="0"/>
        <w:jc w:val="both"/>
        <w:rPr>
          <w:sz w:val="22"/>
          <w:szCs w:val="22"/>
          <w:lang w:val="sr-Latn-ME"/>
        </w:rPr>
      </w:pPr>
      <w:r w:rsidRPr="00D024EA">
        <w:rPr>
          <w:sz w:val="22"/>
          <w:szCs w:val="22"/>
          <w:lang w:val="sr-Latn-ME"/>
        </w:rPr>
        <w:t xml:space="preserve">Upotreba lijeka Actilyse se može razmatrati kada doziranje ili vrijeme od posljednjeg uzimanja antikoagulantne terapije čini rezidualnu efikasnost malo vjerovatnom, što se potvrđuje odgovarajućim testom/testovima antikoagulantne aktivnosti lijeka/ljekova o kojima se radi, koji pokazuju da nema klinički značajne aktivnosti na koagulacioni sistem (npr. INR≤ 1,3 za antagoniste vitamina K ili drugim odgovarajućim  testom/testovima za druge oralne antikoagulanse koji moraju da budu unutar gornje granice normalnih vrijednosti). </w:t>
      </w:r>
    </w:p>
    <w:p w14:paraId="39F275BA" w14:textId="77777777" w:rsidR="001B03B3" w:rsidRPr="00D024EA" w:rsidRDefault="001B03B3" w:rsidP="00EA5D97">
      <w:pPr>
        <w:tabs>
          <w:tab w:val="left" w:pos="567"/>
        </w:tabs>
        <w:jc w:val="both"/>
        <w:rPr>
          <w:sz w:val="22"/>
          <w:szCs w:val="22"/>
          <w:u w:val="single"/>
          <w:lang w:val="sr-Latn-ME"/>
        </w:rPr>
      </w:pPr>
    </w:p>
    <w:p w14:paraId="259B3A69" w14:textId="77777777" w:rsidR="001B03B3" w:rsidRPr="00D024EA" w:rsidRDefault="001B03B3" w:rsidP="00EA5D97">
      <w:pPr>
        <w:tabs>
          <w:tab w:val="left" w:pos="567"/>
        </w:tabs>
        <w:jc w:val="both"/>
        <w:rPr>
          <w:sz w:val="22"/>
          <w:szCs w:val="22"/>
          <w:u w:val="single"/>
          <w:lang w:val="sr-Latn-ME"/>
        </w:rPr>
      </w:pPr>
      <w:r w:rsidRPr="00D024EA">
        <w:rPr>
          <w:sz w:val="22"/>
          <w:szCs w:val="22"/>
          <w:u w:val="single"/>
          <w:lang w:val="sr-Latn-ME"/>
        </w:rPr>
        <w:t>Pedijatrijska populacija</w:t>
      </w:r>
    </w:p>
    <w:p w14:paraId="4F1C9FD1" w14:textId="77777777" w:rsidR="001B03B3" w:rsidRPr="00D024EA" w:rsidRDefault="001B03B3" w:rsidP="00EA5D97">
      <w:pPr>
        <w:autoSpaceDE w:val="0"/>
        <w:autoSpaceDN w:val="0"/>
        <w:adjustRightInd w:val="0"/>
        <w:jc w:val="both"/>
        <w:rPr>
          <w:rFonts w:eastAsia="MS Mincho"/>
          <w:strike/>
          <w:sz w:val="22"/>
          <w:szCs w:val="22"/>
          <w:lang w:val="sr-Latn-ME" w:eastAsia="ja-JP" w:bidi="ne-NP"/>
        </w:rPr>
      </w:pPr>
      <w:r w:rsidRPr="00D024EA">
        <w:rPr>
          <w:rFonts w:eastAsia="MS Mincho"/>
          <w:sz w:val="22"/>
          <w:szCs w:val="22"/>
          <w:lang w:val="sr-Latn-ME" w:eastAsia="ja-JP" w:bidi="ne-NP"/>
        </w:rPr>
        <w:t>Do sada postoji samo ograničeno iskustvo sa korišćenjem lijeka Actilyse kod djece i adolescenata.</w:t>
      </w:r>
    </w:p>
    <w:p w14:paraId="182BEE51" w14:textId="77777777" w:rsidR="001B03B3" w:rsidRPr="00D024EA" w:rsidRDefault="001B03B3" w:rsidP="00EA5D97">
      <w:pPr>
        <w:autoSpaceDE w:val="0"/>
        <w:autoSpaceDN w:val="0"/>
        <w:adjustRightInd w:val="0"/>
        <w:jc w:val="both"/>
        <w:rPr>
          <w:rFonts w:eastAsia="MS Mincho"/>
          <w:sz w:val="22"/>
          <w:szCs w:val="22"/>
          <w:u w:val="single"/>
          <w:lang w:val="sr-Latn-ME" w:eastAsia="ja-JP" w:bidi="ne-NP"/>
        </w:rPr>
      </w:pPr>
    </w:p>
    <w:p w14:paraId="686267A6" w14:textId="76040B10" w:rsidR="001B03B3" w:rsidRPr="00D024EA" w:rsidRDefault="001B03B3" w:rsidP="00EA5D97">
      <w:pPr>
        <w:jc w:val="both"/>
        <w:rPr>
          <w:sz w:val="22"/>
          <w:szCs w:val="22"/>
          <w:lang w:val="sr-Latn-ME" w:bidi="en-US"/>
        </w:rPr>
      </w:pPr>
      <w:r w:rsidRPr="00D024EA">
        <w:rPr>
          <w:sz w:val="22"/>
          <w:szCs w:val="22"/>
          <w:lang w:val="sr-Latn-ME" w:bidi="en-US"/>
        </w:rPr>
        <w:t>Kada se razmatra primjena lijeka Actilyse u terapiji akutnog ishemijskog moždanog udara kod pažljivo odabranih adolescenata ≥ 16 godina, potrebno je pažljivo razmotriti odnos koristi i rizika u svakom pojedinačnom slučaju i po potrebi razgovarati s pacijentom i roditeljima/staraocima. Adolescente ≥ 16 godina starosti treba liječiti prema instrukcijama datim u uputstvu za odraslu populaciju, nakon snimanja odgovarajućim tehnikama za isključivanje lažnog moždanog udara (</w:t>
      </w:r>
      <w:r w:rsidRPr="00D024EA">
        <w:rPr>
          <w:i/>
          <w:sz w:val="22"/>
          <w:szCs w:val="22"/>
          <w:lang w:val="sr-Latn-ME" w:bidi="en-US"/>
        </w:rPr>
        <w:t>stroke mimics</w:t>
      </w:r>
      <w:r w:rsidRPr="00D024EA">
        <w:rPr>
          <w:sz w:val="22"/>
          <w:szCs w:val="22"/>
          <w:lang w:val="sr-Latn-ME" w:bidi="en-US"/>
        </w:rPr>
        <w:t xml:space="preserve">) i potvrđivanja okluzije arterije koja odgovara neurološkom deficitu (vidjeti </w:t>
      </w:r>
      <w:r w:rsidR="00374804" w:rsidRPr="00D024EA">
        <w:rPr>
          <w:sz w:val="22"/>
          <w:szCs w:val="22"/>
          <w:lang w:val="sr-Latn-ME" w:bidi="en-US"/>
        </w:rPr>
        <w:t>dio</w:t>
      </w:r>
      <w:r w:rsidRPr="00D024EA">
        <w:rPr>
          <w:sz w:val="22"/>
          <w:szCs w:val="22"/>
          <w:lang w:val="sr-Latn-ME" w:bidi="en-US"/>
        </w:rPr>
        <w:t xml:space="preserve"> 5.1).</w:t>
      </w:r>
    </w:p>
    <w:p w14:paraId="222F3D6C" w14:textId="77777777" w:rsidR="001B03B3" w:rsidRPr="00D024EA" w:rsidRDefault="001B03B3" w:rsidP="00EA5D97">
      <w:pPr>
        <w:autoSpaceDE w:val="0"/>
        <w:autoSpaceDN w:val="0"/>
        <w:adjustRightInd w:val="0"/>
        <w:jc w:val="both"/>
        <w:rPr>
          <w:rFonts w:eastAsia="MS Mincho"/>
          <w:sz w:val="22"/>
          <w:szCs w:val="22"/>
          <w:u w:val="single"/>
          <w:lang w:val="sr-Latn-ME" w:eastAsia="ja-JP" w:bidi="ne-NP"/>
        </w:rPr>
      </w:pPr>
    </w:p>
    <w:p w14:paraId="09542437" w14:textId="77777777" w:rsidR="001B03B3" w:rsidRPr="00D024EA" w:rsidRDefault="001B03B3"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u w:val="single"/>
          <w:lang w:val="sr-Latn-ME" w:eastAsia="ja-JP" w:bidi="ne-NP"/>
        </w:rPr>
        <w:t>Dodatna posebna upozorenja i mjere opreza kod akutnog infarkta miokarda i akutne masivne plućne embolije:</w:t>
      </w:r>
    </w:p>
    <w:p w14:paraId="7BFE0C7F" w14:textId="54471769" w:rsidR="001B03B3" w:rsidRPr="00D024EA" w:rsidRDefault="001B03B3"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lastRenderedPageBreak/>
        <w:t>Ne smiju se davati doze veće od 100 mg alteplaze jer je to povezano sa povećanjem rizika od intrakranijalnog krvarenja. Zato se posebno mora voditi računa da doza alteplaze prim</w:t>
      </w:r>
      <w:r w:rsidR="004511EB" w:rsidRPr="00D024EA">
        <w:rPr>
          <w:rFonts w:eastAsia="MS Mincho"/>
          <w:sz w:val="22"/>
          <w:szCs w:val="22"/>
          <w:lang w:val="sr-Latn-ME" w:eastAsia="ja-JP" w:bidi="ne-NP"/>
        </w:rPr>
        <w:t>i</w:t>
      </w:r>
      <w:r w:rsidRPr="00D024EA">
        <w:rPr>
          <w:rFonts w:eastAsia="MS Mincho"/>
          <w:sz w:val="22"/>
          <w:szCs w:val="22"/>
          <w:lang w:val="sr-Latn-ME" w:eastAsia="ja-JP" w:bidi="ne-NP"/>
        </w:rPr>
        <w:t xml:space="preserve">jenjena infuzijom bude upravo kao što je opisano u </w:t>
      </w:r>
      <w:r w:rsidR="000146FB" w:rsidRPr="00D024EA">
        <w:rPr>
          <w:rFonts w:eastAsia="MS Mincho"/>
          <w:sz w:val="22"/>
          <w:szCs w:val="22"/>
          <w:lang w:val="sr-Latn-ME" w:eastAsia="ja-JP" w:bidi="ne-NP"/>
        </w:rPr>
        <w:t>dijelu</w:t>
      </w:r>
      <w:r w:rsidRPr="00D024EA">
        <w:rPr>
          <w:rFonts w:eastAsia="MS Mincho"/>
          <w:sz w:val="22"/>
          <w:szCs w:val="22"/>
          <w:lang w:val="sr-Latn-ME" w:eastAsia="ja-JP" w:bidi="ne-NP"/>
        </w:rPr>
        <w:t xml:space="preserve"> 4.2.</w:t>
      </w:r>
    </w:p>
    <w:p w14:paraId="5C325F05" w14:textId="77777777" w:rsidR="001B03B3" w:rsidRPr="00D024EA" w:rsidRDefault="001B03B3" w:rsidP="00EA5D97">
      <w:pPr>
        <w:autoSpaceDE w:val="0"/>
        <w:autoSpaceDN w:val="0"/>
        <w:adjustRightInd w:val="0"/>
        <w:jc w:val="both"/>
        <w:rPr>
          <w:rFonts w:eastAsia="MS Mincho"/>
          <w:sz w:val="22"/>
          <w:szCs w:val="22"/>
          <w:lang w:val="sr-Latn-ME" w:eastAsia="ja-JP" w:bidi="ne-NP"/>
        </w:rPr>
      </w:pPr>
    </w:p>
    <w:p w14:paraId="13741876" w14:textId="3F0C3E4A" w:rsidR="001B03B3" w:rsidRPr="00D024EA" w:rsidRDefault="001B03B3"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 xml:space="preserve">Očekivana terapijska korist treba da se odmjeri sa posebnom pažnjom u pogledu svih mogućih rizika, naročito kod pacijenata sa sistolnim krvnim pritiskom  &gt;160 mmHg (vidjeti </w:t>
      </w:r>
      <w:r w:rsidR="00374804" w:rsidRPr="00D024EA">
        <w:rPr>
          <w:rFonts w:eastAsia="MS Mincho"/>
          <w:sz w:val="22"/>
          <w:szCs w:val="22"/>
          <w:lang w:val="sr-Latn-ME" w:eastAsia="ja-JP" w:bidi="ne-NP"/>
        </w:rPr>
        <w:t>dio</w:t>
      </w:r>
      <w:r w:rsidRPr="00D024EA">
        <w:rPr>
          <w:rFonts w:eastAsia="MS Mincho"/>
          <w:sz w:val="22"/>
          <w:szCs w:val="22"/>
          <w:lang w:val="sr-Latn-ME" w:eastAsia="ja-JP" w:bidi="ne-NP"/>
        </w:rPr>
        <w:t xml:space="preserve"> 4.3)</w:t>
      </w:r>
      <w:r w:rsidR="00FE6F91" w:rsidRPr="00D024EA">
        <w:rPr>
          <w:rFonts w:eastAsia="MS Mincho"/>
          <w:sz w:val="22"/>
          <w:szCs w:val="22"/>
          <w:lang w:val="sr-Latn-ME" w:eastAsia="ja-JP" w:bidi="ne-NP"/>
        </w:rPr>
        <w:t xml:space="preserve"> i kod pacijenata starije životne dobi se može povećati rizik od intracerebralnog krvarenja. Pošto je terapijska korist takođe pozitivna kod starijih pacijenata, potrebno je pažljivo sprovesti procjenu rizika i koristi</w:t>
      </w:r>
      <w:r w:rsidRPr="00D024EA">
        <w:rPr>
          <w:rFonts w:eastAsia="MS Mincho"/>
          <w:sz w:val="22"/>
          <w:szCs w:val="22"/>
          <w:lang w:val="sr-Latn-ME" w:eastAsia="ja-JP" w:bidi="ne-NP"/>
        </w:rPr>
        <w:t>.</w:t>
      </w:r>
    </w:p>
    <w:p w14:paraId="67DB31F1" w14:textId="77777777" w:rsidR="001B03B3" w:rsidRPr="00D024EA" w:rsidRDefault="001B03B3" w:rsidP="00EA5D97">
      <w:pPr>
        <w:autoSpaceDE w:val="0"/>
        <w:autoSpaceDN w:val="0"/>
        <w:adjustRightInd w:val="0"/>
        <w:jc w:val="both"/>
        <w:rPr>
          <w:rFonts w:eastAsia="MS Mincho"/>
          <w:sz w:val="22"/>
          <w:szCs w:val="22"/>
          <w:lang w:val="sr-Latn-ME" w:eastAsia="ja-JP" w:bidi="ne-NP"/>
        </w:rPr>
      </w:pPr>
    </w:p>
    <w:p w14:paraId="5F17EAE7" w14:textId="53BE6CD5" w:rsidR="001B03B3" w:rsidRPr="00D024EA" w:rsidRDefault="001B03B3"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Gliko</w:t>
      </w:r>
      <w:r w:rsidR="004511EB" w:rsidRPr="00D024EA">
        <w:rPr>
          <w:rFonts w:eastAsia="MS Mincho"/>
          <w:sz w:val="22"/>
          <w:szCs w:val="22"/>
          <w:lang w:val="sr-Latn-ME" w:eastAsia="ja-JP" w:bidi="ne-NP"/>
        </w:rPr>
        <w:t>p</w:t>
      </w:r>
      <w:r w:rsidRPr="00D024EA">
        <w:rPr>
          <w:rFonts w:eastAsia="MS Mincho"/>
          <w:sz w:val="22"/>
          <w:szCs w:val="22"/>
          <w:lang w:val="sr-Latn-ME" w:eastAsia="ja-JP" w:bidi="ne-NP"/>
        </w:rPr>
        <w:t>rotein (GP) IIb/IIIa antagonisti:</w:t>
      </w:r>
    </w:p>
    <w:p w14:paraId="339B7F87" w14:textId="77777777" w:rsidR="001B03B3" w:rsidRPr="00D024EA" w:rsidRDefault="001B03B3"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Istovremena upotreba GPIIb/IIIa antagonista povećava rizik od krvarenja.</w:t>
      </w:r>
    </w:p>
    <w:p w14:paraId="053B44A3" w14:textId="77777777" w:rsidR="00FE6F91" w:rsidRPr="00D024EA" w:rsidRDefault="00FE6F91" w:rsidP="00EA5D97">
      <w:pPr>
        <w:autoSpaceDE w:val="0"/>
        <w:autoSpaceDN w:val="0"/>
        <w:adjustRightInd w:val="0"/>
        <w:jc w:val="both"/>
        <w:rPr>
          <w:rFonts w:eastAsia="MS Mincho"/>
          <w:sz w:val="22"/>
          <w:szCs w:val="22"/>
          <w:lang w:val="sr-Latn-ME" w:eastAsia="ja-JP" w:bidi="ne-NP"/>
        </w:rPr>
      </w:pPr>
    </w:p>
    <w:p w14:paraId="346FCB29" w14:textId="469BE211" w:rsidR="00FE6F91" w:rsidRPr="00D024EA" w:rsidRDefault="00FE6F91" w:rsidP="009F2789">
      <w:pPr>
        <w:autoSpaceDE w:val="0"/>
        <w:autoSpaceDN w:val="0"/>
        <w:adjustRightInd w:val="0"/>
        <w:jc w:val="both"/>
        <w:rPr>
          <w:rFonts w:eastAsia="MS Mincho"/>
          <w:sz w:val="22"/>
          <w:szCs w:val="22"/>
          <w:u w:val="single"/>
          <w:lang w:val="sr-Latn-ME" w:eastAsia="ja-JP" w:bidi="ne-NP"/>
        </w:rPr>
      </w:pPr>
      <w:r w:rsidRPr="00D024EA">
        <w:rPr>
          <w:rFonts w:eastAsia="MS Mincho"/>
          <w:sz w:val="22"/>
          <w:szCs w:val="22"/>
          <w:u w:val="single"/>
          <w:lang w:val="sr-Latn-ME" w:eastAsia="ja-JP" w:bidi="ne-NP"/>
        </w:rPr>
        <w:t>Dodatna posebna upozorenja i mjere opreza kod akutnog infarkta miokarda</w:t>
      </w:r>
    </w:p>
    <w:p w14:paraId="3FD1B7E4" w14:textId="77777777" w:rsidR="00FE6F91" w:rsidRPr="00D024EA" w:rsidRDefault="00FE6F91" w:rsidP="0068078E">
      <w:pPr>
        <w:autoSpaceDE w:val="0"/>
        <w:autoSpaceDN w:val="0"/>
        <w:adjustRightInd w:val="0"/>
        <w:jc w:val="both"/>
        <w:rPr>
          <w:rFonts w:eastAsia="MS Mincho"/>
          <w:sz w:val="22"/>
          <w:szCs w:val="22"/>
          <w:lang w:val="sr-Latn-ME" w:eastAsia="ja-JP" w:bidi="ne-NP"/>
        </w:rPr>
      </w:pPr>
    </w:p>
    <w:p w14:paraId="6B88710E" w14:textId="77777777" w:rsidR="00FE6F91" w:rsidRPr="00D024EA" w:rsidRDefault="00FE6F91" w:rsidP="00EF218C">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Aritmije</w:t>
      </w:r>
    </w:p>
    <w:p w14:paraId="6C660E02" w14:textId="77777777" w:rsidR="00FE6F91" w:rsidRPr="00D024EA" w:rsidRDefault="00FE6F91">
      <w:pPr>
        <w:autoSpaceDE w:val="0"/>
        <w:autoSpaceDN w:val="0"/>
        <w:adjustRightInd w:val="0"/>
        <w:jc w:val="both"/>
        <w:rPr>
          <w:sz w:val="22"/>
          <w:szCs w:val="22"/>
          <w:lang w:val="sr-Latn-ME"/>
        </w:rPr>
      </w:pPr>
      <w:r w:rsidRPr="00D024EA">
        <w:rPr>
          <w:sz w:val="22"/>
          <w:szCs w:val="22"/>
          <w:lang w:val="sr-Latn-ME"/>
        </w:rPr>
        <w:t xml:space="preserve">Koronarna tromboliza može dovesti do aritmije povezane sa reperfuzijom. </w:t>
      </w:r>
    </w:p>
    <w:p w14:paraId="22346089" w14:textId="39C366D9" w:rsidR="00FE6F91" w:rsidRPr="00D024EA" w:rsidRDefault="00FE6F91">
      <w:pPr>
        <w:autoSpaceDE w:val="0"/>
        <w:autoSpaceDN w:val="0"/>
        <w:adjustRightInd w:val="0"/>
        <w:jc w:val="both"/>
        <w:rPr>
          <w:rFonts w:eastAsia="MS Mincho"/>
          <w:sz w:val="22"/>
          <w:szCs w:val="22"/>
          <w:lang w:val="sr-Latn-ME" w:eastAsia="ja-JP" w:bidi="ne-NP"/>
        </w:rPr>
      </w:pPr>
      <w:r w:rsidRPr="00D024EA">
        <w:rPr>
          <w:sz w:val="22"/>
          <w:szCs w:val="22"/>
          <w:lang w:val="sr-Latn-ME"/>
        </w:rPr>
        <w:t>Reperfuzione aritmije mogu dovesti do zastoja srca, mogu biti opasne po život i mogu zahtijevati upotrebu konvencionalnih antiaritmičkih terapija.</w:t>
      </w:r>
    </w:p>
    <w:p w14:paraId="4E681A58" w14:textId="77777777" w:rsidR="00FE6F91" w:rsidRPr="00D024EA" w:rsidRDefault="00FE6F91">
      <w:pPr>
        <w:autoSpaceDE w:val="0"/>
        <w:autoSpaceDN w:val="0"/>
        <w:adjustRightInd w:val="0"/>
        <w:jc w:val="both"/>
        <w:rPr>
          <w:rFonts w:eastAsia="MS Mincho"/>
          <w:sz w:val="22"/>
          <w:szCs w:val="22"/>
          <w:lang w:val="sr-Latn-ME" w:eastAsia="ja-JP" w:bidi="ne-NP"/>
        </w:rPr>
      </w:pPr>
    </w:p>
    <w:p w14:paraId="0AC7931D" w14:textId="77777777" w:rsidR="00FE6F91" w:rsidRPr="00D024EA" w:rsidRDefault="00FE6F91">
      <w:pPr>
        <w:autoSpaceDE w:val="0"/>
        <w:autoSpaceDN w:val="0"/>
        <w:adjustRightInd w:val="0"/>
        <w:jc w:val="both"/>
        <w:rPr>
          <w:sz w:val="22"/>
          <w:szCs w:val="22"/>
          <w:lang w:val="sr-Latn-ME"/>
        </w:rPr>
      </w:pPr>
      <w:r w:rsidRPr="00D024EA">
        <w:rPr>
          <w:sz w:val="22"/>
          <w:szCs w:val="22"/>
          <w:lang w:val="sr-Latn-ME"/>
        </w:rPr>
        <w:t xml:space="preserve">Tromboembolija: </w:t>
      </w:r>
    </w:p>
    <w:p w14:paraId="25637DA7" w14:textId="430CC324" w:rsidR="00FE6F91" w:rsidRPr="00D024EA" w:rsidRDefault="00FE6F91">
      <w:pPr>
        <w:autoSpaceDE w:val="0"/>
        <w:autoSpaceDN w:val="0"/>
        <w:adjustRightInd w:val="0"/>
        <w:jc w:val="both"/>
        <w:rPr>
          <w:rFonts w:eastAsia="MS Mincho"/>
          <w:sz w:val="22"/>
          <w:szCs w:val="22"/>
          <w:lang w:val="sr-Latn-ME" w:eastAsia="ja-JP" w:bidi="ne-NP"/>
        </w:rPr>
      </w:pPr>
      <w:r w:rsidRPr="00D024EA">
        <w:rPr>
          <w:sz w:val="22"/>
          <w:szCs w:val="22"/>
          <w:lang w:val="sr-Latn-ME"/>
        </w:rPr>
        <w:t>Upotreba trombolitika može povećati rizik od tromboembolijskih događaja kod pacijenata sa trombom u lijevoj polovini srca, kao što su mitralna stenoza ili atrijalna fibrilacija.</w:t>
      </w:r>
    </w:p>
    <w:p w14:paraId="6F782F30" w14:textId="77777777" w:rsidR="001B03B3" w:rsidRPr="00D024EA" w:rsidRDefault="001B03B3" w:rsidP="00EA5D97">
      <w:pPr>
        <w:autoSpaceDE w:val="0"/>
        <w:autoSpaceDN w:val="0"/>
        <w:adjustRightInd w:val="0"/>
        <w:jc w:val="both"/>
        <w:rPr>
          <w:rFonts w:eastAsia="MS Mincho"/>
          <w:sz w:val="22"/>
          <w:szCs w:val="22"/>
          <w:lang w:val="sr-Latn-ME" w:eastAsia="ja-JP" w:bidi="ne-NP"/>
        </w:rPr>
      </w:pPr>
    </w:p>
    <w:p w14:paraId="70B739C6" w14:textId="77777777" w:rsidR="001B03B3" w:rsidRPr="00D024EA" w:rsidRDefault="001B03B3" w:rsidP="00EA5D97">
      <w:pPr>
        <w:autoSpaceDE w:val="0"/>
        <w:autoSpaceDN w:val="0"/>
        <w:adjustRightInd w:val="0"/>
        <w:jc w:val="both"/>
        <w:rPr>
          <w:rFonts w:eastAsia="MS Mincho"/>
          <w:sz w:val="22"/>
          <w:szCs w:val="22"/>
          <w:u w:val="single"/>
          <w:lang w:val="sr-Latn-ME" w:eastAsia="ja-JP" w:bidi="ne-NP"/>
        </w:rPr>
      </w:pPr>
      <w:r w:rsidRPr="00D024EA">
        <w:rPr>
          <w:rFonts w:eastAsia="MS Mincho"/>
          <w:sz w:val="22"/>
          <w:szCs w:val="22"/>
          <w:u w:val="single"/>
          <w:lang w:val="sr-Latn-ME" w:eastAsia="ja-JP" w:bidi="ne-NP"/>
        </w:rPr>
        <w:t>Dodatna posebna upozorenja i mjere opreza kod akutnog ishemijskog moždanog udara:</w:t>
      </w:r>
    </w:p>
    <w:p w14:paraId="40304C27" w14:textId="77777777" w:rsidR="001B03B3" w:rsidRPr="00D024EA" w:rsidRDefault="001B03B3" w:rsidP="00EA5D97">
      <w:pPr>
        <w:autoSpaceDE w:val="0"/>
        <w:autoSpaceDN w:val="0"/>
        <w:adjustRightInd w:val="0"/>
        <w:jc w:val="both"/>
        <w:rPr>
          <w:rFonts w:eastAsia="MS Mincho"/>
          <w:sz w:val="22"/>
          <w:szCs w:val="22"/>
          <w:lang w:val="sr-Latn-ME" w:eastAsia="ja-JP" w:bidi="ne-NP"/>
        </w:rPr>
      </w:pPr>
    </w:p>
    <w:p w14:paraId="17E64B50" w14:textId="77777777" w:rsidR="001B03B3" w:rsidRPr="00D024EA" w:rsidRDefault="001B03B3"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Posebna upozorenja kod upotrebe lijeka:</w:t>
      </w:r>
    </w:p>
    <w:p w14:paraId="78E3F90D" w14:textId="02A39B3E" w:rsidR="001B03B3" w:rsidRPr="00D024EA" w:rsidRDefault="001B03B3" w:rsidP="00EA5D97">
      <w:pPr>
        <w:tabs>
          <w:tab w:val="left" w:pos="284"/>
        </w:tabs>
        <w:autoSpaceDE w:val="0"/>
        <w:autoSpaceDN w:val="0"/>
        <w:adjustRightInd w:val="0"/>
        <w:jc w:val="both"/>
        <w:rPr>
          <w:sz w:val="22"/>
          <w:szCs w:val="22"/>
          <w:lang w:val="sr-Latn-ME"/>
        </w:rPr>
      </w:pPr>
      <w:r w:rsidRPr="00D024EA">
        <w:rPr>
          <w:rFonts w:eastAsia="MS Mincho"/>
          <w:sz w:val="22"/>
          <w:szCs w:val="22"/>
          <w:lang w:val="sr-Latn-ME" w:eastAsia="ja-JP" w:bidi="ne-NP"/>
        </w:rPr>
        <w:t>Terapiju mora da primjenjuje samo ljekar koji je edukovan i ima iskustva u oblasti neurološkog liječenja.</w:t>
      </w:r>
      <w:r w:rsidRPr="00D024EA">
        <w:rPr>
          <w:sz w:val="22"/>
          <w:szCs w:val="22"/>
          <w:lang w:val="sr-Latn-ME"/>
        </w:rPr>
        <w:t xml:space="preserve"> U cilju potvrde terapijske indikacije može se razmotriti primjena odgovarajućih dijagnostičkih „</w:t>
      </w:r>
      <w:r w:rsidRPr="00D024EA">
        <w:rPr>
          <w:i/>
          <w:sz w:val="22"/>
          <w:szCs w:val="22"/>
          <w:lang w:val="sr-Latn-ME"/>
        </w:rPr>
        <w:t>imaging</w:t>
      </w:r>
      <w:r w:rsidRPr="00D024EA">
        <w:rPr>
          <w:sz w:val="22"/>
          <w:szCs w:val="22"/>
          <w:lang w:val="sr-Latn-ME"/>
        </w:rPr>
        <w:t xml:space="preserve">“ tehnika (vidjeti </w:t>
      </w:r>
      <w:r w:rsidR="00374804" w:rsidRPr="00D024EA">
        <w:rPr>
          <w:sz w:val="22"/>
          <w:szCs w:val="22"/>
          <w:lang w:val="sr-Latn-ME"/>
        </w:rPr>
        <w:t>dio</w:t>
      </w:r>
      <w:r w:rsidRPr="00D024EA">
        <w:rPr>
          <w:sz w:val="22"/>
          <w:szCs w:val="22"/>
          <w:lang w:val="sr-Latn-ME"/>
        </w:rPr>
        <w:t xml:space="preserve"> 4.1).</w:t>
      </w:r>
    </w:p>
    <w:p w14:paraId="5CD66261" w14:textId="77777777" w:rsidR="001B03B3" w:rsidRPr="00D024EA" w:rsidRDefault="001B03B3" w:rsidP="00EA5D97">
      <w:pPr>
        <w:autoSpaceDE w:val="0"/>
        <w:autoSpaceDN w:val="0"/>
        <w:adjustRightInd w:val="0"/>
        <w:jc w:val="both"/>
        <w:rPr>
          <w:rFonts w:eastAsia="MS Mincho"/>
          <w:sz w:val="22"/>
          <w:szCs w:val="22"/>
          <w:lang w:val="sr-Latn-ME" w:eastAsia="ja-JP" w:bidi="ne-NP"/>
        </w:rPr>
      </w:pPr>
    </w:p>
    <w:p w14:paraId="27890A6B" w14:textId="77777777" w:rsidR="001B03B3" w:rsidRPr="00D024EA" w:rsidRDefault="001B03B3"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Posebna upozorenja / stanja sa smanjenom koristi u odnosu na rizik:</w:t>
      </w:r>
    </w:p>
    <w:p w14:paraId="3D4A3DC0" w14:textId="4FE78FAD" w:rsidR="00C02F50" w:rsidRPr="00D024EA" w:rsidRDefault="00C02F50" w:rsidP="009F2789">
      <w:pPr>
        <w:autoSpaceDE w:val="0"/>
        <w:autoSpaceDN w:val="0"/>
        <w:adjustRightInd w:val="0"/>
        <w:jc w:val="both"/>
        <w:rPr>
          <w:sz w:val="22"/>
          <w:szCs w:val="22"/>
          <w:lang w:val="sr-Latn-ME"/>
        </w:rPr>
      </w:pPr>
      <w:r w:rsidRPr="00D024EA">
        <w:rPr>
          <w:sz w:val="22"/>
          <w:szCs w:val="22"/>
          <w:lang w:val="sr-Latn-ME"/>
        </w:rPr>
        <w:t>Intracerebralno krvarenje predstavlja glavnu neželjenu reakciju u liječenju akutnog ishemijskog moždanog udara (do 15% pacijenata bez povećanja ukupne smrtnosti i bez relevantnog povećanja ukupne smrtnosti i teške invalidnosti kombinovano, tj. modifikovani Rankin skor [mRS] 5 i 6).</w:t>
      </w:r>
    </w:p>
    <w:p w14:paraId="4F6162EB" w14:textId="77777777" w:rsidR="001B03B3" w:rsidRPr="00D024EA" w:rsidRDefault="001B03B3" w:rsidP="00EA5D97">
      <w:pPr>
        <w:autoSpaceDE w:val="0"/>
        <w:autoSpaceDN w:val="0"/>
        <w:adjustRightInd w:val="0"/>
        <w:jc w:val="both"/>
        <w:rPr>
          <w:rFonts w:eastAsia="MS Mincho"/>
          <w:sz w:val="22"/>
          <w:szCs w:val="22"/>
          <w:lang w:val="sr-Latn-ME" w:eastAsia="ja-JP" w:bidi="ne-NP"/>
        </w:rPr>
      </w:pPr>
      <w:r w:rsidRPr="00D024EA">
        <w:rPr>
          <w:sz w:val="22"/>
          <w:szCs w:val="22"/>
          <w:lang w:val="sr-Latn-ME"/>
        </w:rPr>
        <w:t xml:space="preserve">U poređenju sa drugim indikacijama, pacijenti sa akutnim ishemijskim moždanim udarom koji primaju lijek </w:t>
      </w:r>
      <w:r w:rsidRPr="00D024EA">
        <w:rPr>
          <w:rFonts w:eastAsia="MS Mincho"/>
          <w:sz w:val="22"/>
          <w:szCs w:val="22"/>
          <w:lang w:val="sr-Latn-ME" w:eastAsia="ja-JP" w:bidi="ne-NP"/>
        </w:rPr>
        <w:t>Actilyse</w:t>
      </w:r>
      <w:r w:rsidRPr="00D024EA">
        <w:rPr>
          <w:sz w:val="22"/>
          <w:szCs w:val="22"/>
          <w:lang w:val="sr-Latn-ME"/>
        </w:rPr>
        <w:t xml:space="preserve"> kao terapiju imaju značajno povećan rizik od intrakranijalne hemoragije, pošto do krvarenja dolazi prevashodno u infarktnim zonama. </w:t>
      </w:r>
      <w:r w:rsidRPr="00D024EA">
        <w:rPr>
          <w:rFonts w:eastAsia="MS Mincho"/>
          <w:sz w:val="22"/>
          <w:szCs w:val="22"/>
          <w:lang w:val="sr-Latn-ME" w:eastAsia="ja-JP" w:bidi="ne-NP"/>
        </w:rPr>
        <w:t>To se odnosi naročito na sljedeće slučajeve:</w:t>
      </w:r>
    </w:p>
    <w:p w14:paraId="661CA61D" w14:textId="429DDAA1" w:rsidR="001B03B3" w:rsidRPr="00D024EA" w:rsidRDefault="001B03B3" w:rsidP="009F2789">
      <w:pPr>
        <w:numPr>
          <w:ilvl w:val="0"/>
          <w:numId w:val="18"/>
        </w:numPr>
        <w:tabs>
          <w:tab w:val="left" w:pos="284"/>
          <w:tab w:val="left" w:pos="426"/>
        </w:tabs>
        <w:contextualSpacing/>
        <w:jc w:val="both"/>
        <w:rPr>
          <w:rFonts w:eastAsia="MS Mincho"/>
          <w:sz w:val="22"/>
          <w:szCs w:val="22"/>
          <w:lang w:val="sr-Latn-ME"/>
        </w:rPr>
      </w:pPr>
      <w:r w:rsidRPr="00D024EA">
        <w:rPr>
          <w:rFonts w:eastAsia="MS Mincho"/>
          <w:sz w:val="22"/>
          <w:szCs w:val="22"/>
          <w:lang w:val="sr-Latn-ME"/>
        </w:rPr>
        <w:t xml:space="preserve">sve situacije navedene u </w:t>
      </w:r>
      <w:r w:rsidR="000146FB" w:rsidRPr="00D024EA">
        <w:rPr>
          <w:rFonts w:eastAsia="MS Mincho"/>
          <w:sz w:val="22"/>
          <w:szCs w:val="22"/>
          <w:lang w:val="sr-Latn-ME"/>
        </w:rPr>
        <w:t>dijelu</w:t>
      </w:r>
      <w:r w:rsidRPr="00D024EA">
        <w:rPr>
          <w:rFonts w:eastAsia="MS Mincho"/>
          <w:sz w:val="22"/>
          <w:szCs w:val="22"/>
          <w:lang w:val="sr-Latn-ME"/>
        </w:rPr>
        <w:t xml:space="preserve"> 4.3 i uopšte sve situacije sa visokim rizikom od hemoragije</w:t>
      </w:r>
    </w:p>
    <w:p w14:paraId="2D53B7B5" w14:textId="0CE0F4BF" w:rsidR="001B03B3" w:rsidRPr="00D024EA" w:rsidRDefault="001B03B3" w:rsidP="0068078E">
      <w:pPr>
        <w:numPr>
          <w:ilvl w:val="0"/>
          <w:numId w:val="18"/>
        </w:numPr>
        <w:tabs>
          <w:tab w:val="left" w:pos="284"/>
          <w:tab w:val="left" w:pos="426"/>
        </w:tabs>
        <w:contextualSpacing/>
        <w:jc w:val="both"/>
        <w:rPr>
          <w:rFonts w:eastAsia="MS Mincho"/>
          <w:sz w:val="22"/>
          <w:szCs w:val="22"/>
          <w:lang w:val="sr-Latn-ME"/>
        </w:rPr>
      </w:pPr>
      <w:r w:rsidRPr="00D024EA">
        <w:rPr>
          <w:rFonts w:eastAsia="MS Mincho"/>
          <w:sz w:val="22"/>
          <w:szCs w:val="22"/>
          <w:lang w:val="sr-Latn-ME"/>
        </w:rPr>
        <w:t xml:space="preserve">ako je od pojave simptoma moždanog udara do početka liječenja proteklo više vremena, ukupan klinički ishod je manje povoljan. Zbog toga ne treba odlagati primjenu lijeka </w:t>
      </w:r>
      <w:r w:rsidRPr="00D024EA">
        <w:rPr>
          <w:rFonts w:eastAsia="MS Mincho"/>
          <w:sz w:val="22"/>
          <w:szCs w:val="22"/>
          <w:lang w:val="sr-Latn-ME" w:eastAsia="ja-JP" w:bidi="ne-NP"/>
        </w:rPr>
        <w:t>Actilyse</w:t>
      </w:r>
      <w:r w:rsidRPr="00D024EA">
        <w:rPr>
          <w:rFonts w:eastAsia="MS Mincho"/>
          <w:sz w:val="22"/>
          <w:szCs w:val="22"/>
          <w:lang w:val="sr-Latn-ME"/>
        </w:rPr>
        <w:t>.</w:t>
      </w:r>
    </w:p>
    <w:p w14:paraId="7FBB75F0" w14:textId="08BEBF90" w:rsidR="001B03B3" w:rsidRPr="00D024EA" w:rsidRDefault="00E94B05" w:rsidP="00EF218C">
      <w:pPr>
        <w:numPr>
          <w:ilvl w:val="0"/>
          <w:numId w:val="18"/>
        </w:numPr>
        <w:tabs>
          <w:tab w:val="left" w:pos="284"/>
          <w:tab w:val="left" w:pos="426"/>
        </w:tabs>
        <w:contextualSpacing/>
        <w:jc w:val="both"/>
        <w:rPr>
          <w:rFonts w:eastAsia="MS Mincho"/>
          <w:sz w:val="22"/>
          <w:szCs w:val="22"/>
          <w:lang w:val="sr-Latn-ME"/>
        </w:rPr>
      </w:pPr>
      <w:r w:rsidRPr="00D024EA">
        <w:rPr>
          <w:rFonts w:eastAsia="MS Mincho"/>
          <w:sz w:val="22"/>
          <w:szCs w:val="22"/>
          <w:lang w:val="sr-Latn-ME"/>
        </w:rPr>
        <w:t>P</w:t>
      </w:r>
      <w:r w:rsidR="001B03B3" w:rsidRPr="00D024EA">
        <w:rPr>
          <w:rFonts w:eastAsia="MS Mincho"/>
          <w:sz w:val="22"/>
          <w:szCs w:val="22"/>
          <w:lang w:val="sr-Latn-ME"/>
        </w:rPr>
        <w:t xml:space="preserve">acijenti koji su prethodno koristili terapiju acetilsalicilnom kiselinom (ASK) mogu biti izloženi većem riziku od intracerebralne hemoragije, naročito ako je terapija lijekom </w:t>
      </w:r>
      <w:r w:rsidR="001B03B3" w:rsidRPr="00D024EA">
        <w:rPr>
          <w:rFonts w:eastAsia="MS Mincho"/>
          <w:sz w:val="22"/>
          <w:szCs w:val="22"/>
          <w:lang w:val="sr-Latn-ME" w:eastAsia="ja-JP" w:bidi="ne-NP"/>
        </w:rPr>
        <w:t>Actilyse</w:t>
      </w:r>
      <w:r w:rsidR="001B03B3" w:rsidRPr="00D024EA">
        <w:rPr>
          <w:rFonts w:eastAsia="MS Mincho"/>
          <w:sz w:val="22"/>
          <w:szCs w:val="22"/>
          <w:lang w:val="sr-Latn-ME"/>
        </w:rPr>
        <w:t xml:space="preserve"> zakasn</w:t>
      </w:r>
      <w:r w:rsidR="00105A6E" w:rsidRPr="00D024EA">
        <w:rPr>
          <w:rFonts w:eastAsia="MS Mincho"/>
          <w:sz w:val="22"/>
          <w:szCs w:val="22"/>
          <w:lang w:val="sr-Latn-ME"/>
        </w:rPr>
        <w:t>i</w:t>
      </w:r>
      <w:r w:rsidR="001B03B3" w:rsidRPr="00D024EA">
        <w:rPr>
          <w:rFonts w:eastAsia="MS Mincho"/>
          <w:sz w:val="22"/>
          <w:szCs w:val="22"/>
          <w:lang w:val="sr-Latn-ME"/>
        </w:rPr>
        <w:t>la.</w:t>
      </w:r>
    </w:p>
    <w:p w14:paraId="55A87A90" w14:textId="368211E3" w:rsidR="001B03B3" w:rsidRPr="00D024EA" w:rsidRDefault="001B03B3">
      <w:pPr>
        <w:numPr>
          <w:ilvl w:val="0"/>
          <w:numId w:val="18"/>
        </w:numPr>
        <w:tabs>
          <w:tab w:val="left" w:pos="284"/>
        </w:tabs>
        <w:jc w:val="both"/>
        <w:rPr>
          <w:sz w:val="22"/>
          <w:szCs w:val="22"/>
          <w:lang w:val="sr-Latn-ME" w:bidi="en-US"/>
        </w:rPr>
      </w:pPr>
      <w:r w:rsidRPr="00D024EA">
        <w:rPr>
          <w:rFonts w:eastAsia="MS Mincho"/>
          <w:sz w:val="22"/>
          <w:szCs w:val="22"/>
          <w:lang w:val="sr-Latn-ME"/>
        </w:rPr>
        <w:t xml:space="preserve">U poređenju sa </w:t>
      </w:r>
      <w:r w:rsidR="00B7348D" w:rsidRPr="00D024EA">
        <w:rPr>
          <w:rFonts w:eastAsia="MS Mincho"/>
          <w:sz w:val="22"/>
          <w:szCs w:val="22"/>
          <w:lang w:val="sr-Latn-ME"/>
        </w:rPr>
        <w:t>ml</w:t>
      </w:r>
      <w:r w:rsidRPr="00D024EA">
        <w:rPr>
          <w:rFonts w:eastAsia="MS Mincho"/>
          <w:sz w:val="22"/>
          <w:szCs w:val="22"/>
          <w:lang w:val="sr-Latn-ME"/>
        </w:rPr>
        <w:t>ađim pacijentima, pacijenti starije životne dobi (preko 80 godina) mogu imati lošiji ishod liječenja nezavisno od terapije. Oni su skloniji pojavi teških moždanih udara</w:t>
      </w:r>
      <w:r w:rsidRPr="00D024EA">
        <w:rPr>
          <w:sz w:val="22"/>
          <w:szCs w:val="22"/>
          <w:lang w:val="sr-Latn-ME" w:bidi="en-US"/>
        </w:rPr>
        <w:t xml:space="preserve"> koji su povezani sa višim apsolutnim rizikom od intracerebralnog krvarenja nakon trombolize u poređenju sa blažim moždanim udarima nakon trombolize ili kod pacijenata koji nijesu bili trombolizirani. Iako dostupni podaci ukazuju da je neto korist od lijeka Actilyse kod pacijenata starijih od 80 godina manja u poređenju sa </w:t>
      </w:r>
      <w:r w:rsidR="00B7348D" w:rsidRPr="00D024EA">
        <w:rPr>
          <w:sz w:val="22"/>
          <w:szCs w:val="22"/>
          <w:lang w:val="sr-Latn-ME" w:bidi="en-US"/>
        </w:rPr>
        <w:t>ml</w:t>
      </w:r>
      <w:r w:rsidRPr="00D024EA">
        <w:rPr>
          <w:sz w:val="22"/>
          <w:szCs w:val="22"/>
          <w:lang w:val="sr-Latn-ME" w:bidi="en-US"/>
        </w:rPr>
        <w:t xml:space="preserve">ađim pacijentima, lijek Actilyse se može davati pacijentima starijim od 80 godina na osnovu individualne procjene rizika i koristi (vidjeti </w:t>
      </w:r>
      <w:r w:rsidR="00374804" w:rsidRPr="00D024EA">
        <w:rPr>
          <w:sz w:val="22"/>
          <w:szCs w:val="22"/>
          <w:lang w:val="sr-Latn-ME" w:bidi="en-US"/>
        </w:rPr>
        <w:t>dio</w:t>
      </w:r>
      <w:r w:rsidRPr="00D024EA">
        <w:rPr>
          <w:sz w:val="22"/>
          <w:szCs w:val="22"/>
          <w:lang w:val="sr-Latn-ME" w:bidi="en-US"/>
        </w:rPr>
        <w:t xml:space="preserve"> 5.1). Pacijente starije životne dobi treba pažljivo odabrati uzimajući u obzir i opšte zdravstveno stanje i neurološki status.</w:t>
      </w:r>
    </w:p>
    <w:p w14:paraId="3B72C240" w14:textId="05073771" w:rsidR="001B03B3" w:rsidRPr="00D024EA" w:rsidRDefault="001B03B3">
      <w:pPr>
        <w:numPr>
          <w:ilvl w:val="0"/>
          <w:numId w:val="18"/>
        </w:numPr>
        <w:tabs>
          <w:tab w:val="left" w:pos="284"/>
        </w:tabs>
        <w:jc w:val="both"/>
        <w:rPr>
          <w:sz w:val="22"/>
          <w:szCs w:val="22"/>
          <w:lang w:val="sr-Latn-ME"/>
        </w:rPr>
      </w:pPr>
      <w:r w:rsidRPr="00D024EA">
        <w:rPr>
          <w:sz w:val="22"/>
          <w:szCs w:val="22"/>
          <w:lang w:val="sr-Latn-ME"/>
        </w:rPr>
        <w:t xml:space="preserve">Terapijska korist je manja kod pacijenata koji su prethodno imali moždani udar (vidjeti </w:t>
      </w:r>
      <w:r w:rsidR="00374804" w:rsidRPr="00D024EA">
        <w:rPr>
          <w:sz w:val="22"/>
          <w:szCs w:val="22"/>
          <w:lang w:val="sr-Latn-ME"/>
        </w:rPr>
        <w:t>dio</w:t>
      </w:r>
      <w:r w:rsidRPr="00D024EA">
        <w:rPr>
          <w:sz w:val="22"/>
          <w:szCs w:val="22"/>
          <w:lang w:val="sr-Latn-ME"/>
        </w:rPr>
        <w:t xml:space="preserve"> 4.3) ili kod osoba sa poznatim nekontrolisanim dijabetesom, tako da se odnos koristi i rizika smatra manje povoljnim, ali još uvijek pozitivnim kod ovih pacijenata. </w:t>
      </w:r>
    </w:p>
    <w:p w14:paraId="3C92E638" w14:textId="430A76BB" w:rsidR="001B03B3" w:rsidRPr="00D024EA" w:rsidRDefault="001B03B3">
      <w:pPr>
        <w:numPr>
          <w:ilvl w:val="0"/>
          <w:numId w:val="18"/>
        </w:numPr>
        <w:tabs>
          <w:tab w:val="left" w:pos="284"/>
        </w:tabs>
        <w:jc w:val="both"/>
        <w:rPr>
          <w:sz w:val="22"/>
          <w:szCs w:val="22"/>
          <w:lang w:val="sr-Latn-ME"/>
        </w:rPr>
      </w:pPr>
      <w:r w:rsidRPr="00D024EA">
        <w:rPr>
          <w:sz w:val="22"/>
          <w:szCs w:val="22"/>
          <w:lang w:val="sr-Latn-ME"/>
        </w:rPr>
        <w:t xml:space="preserve">Kod pacijenata sa vrlo blagim moždanim udarom rizici prevazilaze očekivanu korist (vidjeti </w:t>
      </w:r>
      <w:r w:rsidR="00374804" w:rsidRPr="00D024EA">
        <w:rPr>
          <w:sz w:val="22"/>
          <w:szCs w:val="22"/>
          <w:lang w:val="sr-Latn-ME"/>
        </w:rPr>
        <w:t>dio</w:t>
      </w:r>
      <w:r w:rsidRPr="00D024EA">
        <w:rPr>
          <w:sz w:val="22"/>
          <w:szCs w:val="22"/>
          <w:lang w:val="sr-Latn-ME"/>
        </w:rPr>
        <w:t xml:space="preserve"> 4.3).</w:t>
      </w:r>
    </w:p>
    <w:p w14:paraId="6A96CB6E" w14:textId="01DB8562" w:rsidR="001B03B3" w:rsidRPr="00D024EA" w:rsidRDefault="001B03B3">
      <w:pPr>
        <w:numPr>
          <w:ilvl w:val="0"/>
          <w:numId w:val="18"/>
        </w:numPr>
        <w:tabs>
          <w:tab w:val="left" w:pos="284"/>
        </w:tabs>
        <w:jc w:val="both"/>
        <w:rPr>
          <w:sz w:val="22"/>
          <w:szCs w:val="22"/>
          <w:lang w:val="sr-Latn-ME"/>
        </w:rPr>
      </w:pPr>
      <w:r w:rsidRPr="00D024EA">
        <w:rPr>
          <w:sz w:val="22"/>
          <w:szCs w:val="22"/>
          <w:lang w:val="sr-Latn-ME"/>
        </w:rPr>
        <w:lastRenderedPageBreak/>
        <w:t>Pacijenti sa vrlo teškim moždanim udarom imaju veći rizik intracerebralnog krvarenja i smrti i ove pacijente ne treba liječiti alteplazom (vidjeti dio 4.3.).</w:t>
      </w:r>
      <w:r w:rsidR="00A87F0A" w:rsidRPr="00D024EA">
        <w:rPr>
          <w:strike/>
          <w:sz w:val="22"/>
          <w:szCs w:val="22"/>
          <w:lang w:val="sr-Latn-ME"/>
        </w:rPr>
        <w:t>;</w:t>
      </w:r>
    </w:p>
    <w:p w14:paraId="36073A0A" w14:textId="246DAB55" w:rsidR="001B03B3" w:rsidRPr="00D024EA" w:rsidRDefault="001B03B3">
      <w:pPr>
        <w:numPr>
          <w:ilvl w:val="0"/>
          <w:numId w:val="18"/>
        </w:numPr>
        <w:tabs>
          <w:tab w:val="left" w:pos="284"/>
        </w:tabs>
        <w:jc w:val="both"/>
        <w:rPr>
          <w:sz w:val="22"/>
          <w:szCs w:val="22"/>
          <w:lang w:val="sr-Latn-ME"/>
        </w:rPr>
      </w:pPr>
      <w:r w:rsidRPr="00D024EA">
        <w:rPr>
          <w:sz w:val="22"/>
          <w:szCs w:val="22"/>
          <w:lang w:val="sr-Latn-ME"/>
        </w:rPr>
        <w:t>Pacijenti sa ekstenzivnim infarktima imaju povećan rizik lošeg ishoda, uključujući teško krvarenje i smrt. Kod ovih pacijenata je potrebno pažljivo razmotriti odnos koristi i rizika.</w:t>
      </w:r>
      <w:r w:rsidR="00A87F0A" w:rsidRPr="00D024EA">
        <w:rPr>
          <w:strike/>
          <w:sz w:val="22"/>
          <w:szCs w:val="22"/>
          <w:lang w:val="sr-Latn-ME"/>
        </w:rPr>
        <w:t>;</w:t>
      </w:r>
    </w:p>
    <w:p w14:paraId="4E4A6DDE" w14:textId="74C50C32" w:rsidR="001B03B3" w:rsidRPr="00D024EA" w:rsidRDefault="001B03B3">
      <w:pPr>
        <w:numPr>
          <w:ilvl w:val="0"/>
          <w:numId w:val="18"/>
        </w:numPr>
        <w:tabs>
          <w:tab w:val="left" w:pos="284"/>
        </w:tabs>
        <w:jc w:val="both"/>
        <w:rPr>
          <w:sz w:val="22"/>
          <w:szCs w:val="22"/>
          <w:lang w:val="sr-Latn-ME"/>
        </w:rPr>
      </w:pPr>
      <w:r w:rsidRPr="00D024EA">
        <w:rPr>
          <w:sz w:val="22"/>
          <w:szCs w:val="22"/>
          <w:lang w:val="sr-Latn-ME"/>
        </w:rPr>
        <w:t>Kod pacijenata sa moždanim udarom vjerovatnoća dobrog ishoda se smanjuje</w:t>
      </w:r>
      <w:r w:rsidR="00C02F50" w:rsidRPr="00D024EA">
        <w:rPr>
          <w:sz w:val="22"/>
          <w:szCs w:val="22"/>
          <w:lang w:val="sr-Latn-ME"/>
        </w:rPr>
        <w:t xml:space="preserve"> ukoliko je od nastanka simptoma do terapije prošlo više vremena,</w:t>
      </w:r>
      <w:r w:rsidRPr="00D024EA">
        <w:rPr>
          <w:sz w:val="22"/>
          <w:szCs w:val="22"/>
          <w:lang w:val="sr-Latn-ME"/>
        </w:rPr>
        <w:t xml:space="preserve"> ukoliko je pacijent starije životne dobi, ima teži moždani udar i povišene vrijednosti glukoze u krvi prilikom prijema, dok se vjerovatnoća teške nesposobnosti i smrti ili </w:t>
      </w:r>
      <w:r w:rsidR="00C02F50" w:rsidRPr="00D024EA">
        <w:rPr>
          <w:sz w:val="22"/>
          <w:szCs w:val="22"/>
          <w:lang w:val="sr-Latn-ME"/>
        </w:rPr>
        <w:t xml:space="preserve">simptomatskih </w:t>
      </w:r>
      <w:r w:rsidRPr="00D024EA">
        <w:rPr>
          <w:sz w:val="22"/>
          <w:szCs w:val="22"/>
          <w:lang w:val="sr-Latn-ME"/>
        </w:rPr>
        <w:t xml:space="preserve">intrakranijalnih krvarenja povećava, nezavisno od terapije. </w:t>
      </w:r>
    </w:p>
    <w:p w14:paraId="1FB0DBA8" w14:textId="77777777" w:rsidR="00C02F50" w:rsidRPr="00D024EA" w:rsidRDefault="00C02F50">
      <w:pPr>
        <w:tabs>
          <w:tab w:val="left" w:pos="284"/>
        </w:tabs>
        <w:jc w:val="both"/>
        <w:rPr>
          <w:sz w:val="22"/>
          <w:szCs w:val="22"/>
          <w:lang w:val="sr-Latn-ME"/>
        </w:rPr>
      </w:pPr>
    </w:p>
    <w:p w14:paraId="69E79FDD" w14:textId="1CE3251C" w:rsidR="00C02F50" w:rsidRPr="00D024EA" w:rsidRDefault="00C02F50">
      <w:pPr>
        <w:tabs>
          <w:tab w:val="left" w:pos="284"/>
        </w:tabs>
        <w:jc w:val="both"/>
        <w:rPr>
          <w:sz w:val="22"/>
          <w:szCs w:val="22"/>
          <w:lang w:val="sr-Latn-ME"/>
        </w:rPr>
      </w:pPr>
      <w:r w:rsidRPr="00D024EA">
        <w:rPr>
          <w:sz w:val="22"/>
          <w:szCs w:val="22"/>
          <w:lang w:val="sr-Latn-ME"/>
        </w:rPr>
        <w:t xml:space="preserve">Liječenje se ne smije započeti kasnije od 4,5 sata nakon pojave simptoma zbog nepovoljnog odnosa koristi i  rizika koji se uglavnom zasniva na sljedećem: </w:t>
      </w:r>
    </w:p>
    <w:p w14:paraId="75ECD396" w14:textId="77777777" w:rsidR="00C02F50" w:rsidRPr="00D024EA" w:rsidRDefault="00C02F50">
      <w:pPr>
        <w:tabs>
          <w:tab w:val="left" w:pos="284"/>
        </w:tabs>
        <w:jc w:val="both"/>
        <w:rPr>
          <w:sz w:val="22"/>
          <w:szCs w:val="22"/>
          <w:lang w:val="sr-Latn-ME"/>
        </w:rPr>
      </w:pPr>
      <w:r w:rsidRPr="00D024EA">
        <w:rPr>
          <w:sz w:val="22"/>
          <w:szCs w:val="22"/>
          <w:lang w:val="sr-Latn-ME"/>
        </w:rPr>
        <w:t>• pozitivni efekti tretmana se vremenom smanjuju</w:t>
      </w:r>
    </w:p>
    <w:p w14:paraId="197E120A" w14:textId="29300F33" w:rsidR="00C02F50" w:rsidRPr="00D024EA" w:rsidRDefault="00C02F50">
      <w:pPr>
        <w:tabs>
          <w:tab w:val="left" w:pos="284"/>
        </w:tabs>
        <w:jc w:val="both"/>
        <w:rPr>
          <w:sz w:val="22"/>
          <w:szCs w:val="22"/>
          <w:lang w:val="sr-Latn-ME"/>
        </w:rPr>
      </w:pPr>
      <w:r w:rsidRPr="00D024EA">
        <w:rPr>
          <w:sz w:val="22"/>
          <w:szCs w:val="22"/>
          <w:lang w:val="sr-Latn-ME"/>
        </w:rPr>
        <w:t xml:space="preserve">• stopa smrtnosti se povećava posebno kod pacijenata koji su prethodno primali ASK </w:t>
      </w:r>
    </w:p>
    <w:p w14:paraId="1E5E40F0" w14:textId="6A95E9EB" w:rsidR="00C02F50" w:rsidRPr="00D024EA" w:rsidRDefault="00C02F50">
      <w:pPr>
        <w:tabs>
          <w:tab w:val="left" w:pos="284"/>
        </w:tabs>
        <w:jc w:val="both"/>
        <w:rPr>
          <w:sz w:val="22"/>
          <w:szCs w:val="22"/>
          <w:lang w:val="sr-Latn-ME"/>
        </w:rPr>
      </w:pPr>
      <w:r w:rsidRPr="00D024EA">
        <w:rPr>
          <w:sz w:val="22"/>
          <w:szCs w:val="22"/>
          <w:lang w:val="sr-Latn-ME"/>
        </w:rPr>
        <w:t>• povećan rizik od simptomatskog krvarenja</w:t>
      </w:r>
    </w:p>
    <w:p w14:paraId="1865CE7E" w14:textId="77777777" w:rsidR="001B03B3" w:rsidRPr="00D024EA" w:rsidRDefault="001B03B3" w:rsidP="00EA5D97">
      <w:pPr>
        <w:tabs>
          <w:tab w:val="left" w:pos="426"/>
        </w:tabs>
        <w:contextualSpacing/>
        <w:jc w:val="both"/>
        <w:rPr>
          <w:rFonts w:eastAsia="MS Mincho"/>
          <w:sz w:val="22"/>
          <w:szCs w:val="22"/>
          <w:lang w:val="sr-Latn-ME"/>
        </w:rPr>
      </w:pPr>
    </w:p>
    <w:p w14:paraId="14AF8062" w14:textId="77777777" w:rsidR="001B03B3" w:rsidRPr="00D024EA" w:rsidRDefault="001B03B3" w:rsidP="00EA5D97">
      <w:pPr>
        <w:tabs>
          <w:tab w:val="left" w:pos="284"/>
        </w:tabs>
        <w:jc w:val="both"/>
        <w:rPr>
          <w:rFonts w:eastAsia="MS Mincho"/>
          <w:b/>
          <w:bCs/>
          <w:sz w:val="22"/>
          <w:szCs w:val="22"/>
          <w:u w:val="single"/>
          <w:lang w:val="sr-Latn-ME" w:eastAsia="ja-JP" w:bidi="ne-NP"/>
        </w:rPr>
      </w:pPr>
      <w:r w:rsidRPr="00D024EA">
        <w:rPr>
          <w:rFonts w:eastAsia="MS Mincho"/>
          <w:sz w:val="22"/>
          <w:szCs w:val="22"/>
          <w:u w:val="single"/>
          <w:lang w:val="sr-Latn-ME" w:eastAsia="ja-JP" w:bidi="ne-NP"/>
        </w:rPr>
        <w:t>Kontrola krvnog pritiska</w:t>
      </w:r>
    </w:p>
    <w:p w14:paraId="2BDCE374" w14:textId="41489E07" w:rsidR="001B03B3" w:rsidRPr="00D024EA" w:rsidRDefault="001B03B3"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Sasvim je opravdana kontrola krvnog pritiska (KP) dok se primjenjuje terapija i do 24 sata. Osim toga, preporučuje se intravenska antihipertenzivna terapija ukoliko je sistolni KP &gt;180 mmHg ili dijastolni KP &gt;105 mmHg.</w:t>
      </w:r>
    </w:p>
    <w:p w14:paraId="540EA74A" w14:textId="77777777" w:rsidR="001B03B3" w:rsidRPr="00D024EA" w:rsidRDefault="001B03B3" w:rsidP="00EA5D97">
      <w:pPr>
        <w:autoSpaceDE w:val="0"/>
        <w:autoSpaceDN w:val="0"/>
        <w:adjustRightInd w:val="0"/>
        <w:jc w:val="both"/>
        <w:rPr>
          <w:rFonts w:eastAsia="MS Mincho"/>
          <w:sz w:val="22"/>
          <w:szCs w:val="22"/>
          <w:lang w:val="sr-Latn-ME" w:eastAsia="ja-JP" w:bidi="ne-NP"/>
        </w:rPr>
      </w:pPr>
    </w:p>
    <w:p w14:paraId="5134AD08" w14:textId="77777777" w:rsidR="001B03B3" w:rsidRPr="00D024EA" w:rsidRDefault="001B03B3"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Ostala posebna upozorenja:</w:t>
      </w:r>
    </w:p>
    <w:p w14:paraId="6CDEDC01" w14:textId="77777777" w:rsidR="001B03B3" w:rsidRPr="00D024EA" w:rsidRDefault="001B03B3" w:rsidP="00EA5D97">
      <w:pPr>
        <w:autoSpaceDE w:val="0"/>
        <w:autoSpaceDN w:val="0"/>
        <w:adjustRightInd w:val="0"/>
        <w:jc w:val="both"/>
        <w:rPr>
          <w:sz w:val="22"/>
          <w:szCs w:val="22"/>
          <w:lang w:val="sr-Latn-ME"/>
        </w:rPr>
      </w:pPr>
      <w:r w:rsidRPr="00D024EA">
        <w:rPr>
          <w:rFonts w:eastAsia="MS Mincho"/>
          <w:sz w:val="22"/>
          <w:szCs w:val="22"/>
          <w:lang w:val="sr-Latn-ME" w:eastAsia="ja-JP" w:bidi="ne-NP"/>
        </w:rPr>
        <w:t>Reperfuzija ishemijskog područja može da izazove cerebralni edem u infarktnoj zoni. Zbog povećanog hemoragijskog rizika, ne treba počinjati terapiju sa inhibitorima agregacije trombocita u toku prvih 24 sata poslije trombolize alteplazom.</w:t>
      </w:r>
    </w:p>
    <w:p w14:paraId="16D0E9BF" w14:textId="77777777" w:rsidR="00057E35" w:rsidRPr="00D024EA" w:rsidRDefault="00057E35" w:rsidP="00EA5D97">
      <w:pPr>
        <w:tabs>
          <w:tab w:val="left" w:pos="540"/>
          <w:tab w:val="left" w:pos="569"/>
        </w:tabs>
        <w:jc w:val="both"/>
        <w:rPr>
          <w:bCs/>
          <w:sz w:val="22"/>
          <w:szCs w:val="22"/>
          <w:lang w:val="sr-Latn-ME"/>
        </w:rPr>
      </w:pPr>
    </w:p>
    <w:p w14:paraId="67A40F76" w14:textId="4B83B116" w:rsidR="00411B4B" w:rsidRPr="00D024EA" w:rsidRDefault="00411B4B" w:rsidP="00EA5D97">
      <w:pPr>
        <w:tabs>
          <w:tab w:val="left" w:pos="540"/>
          <w:tab w:val="left" w:pos="569"/>
        </w:tabs>
        <w:jc w:val="both"/>
        <w:rPr>
          <w:b/>
          <w:bCs/>
          <w:sz w:val="22"/>
          <w:szCs w:val="22"/>
          <w:lang w:val="sr-Latn-ME"/>
        </w:rPr>
      </w:pPr>
      <w:r w:rsidRPr="00D024EA">
        <w:rPr>
          <w:b/>
          <w:bCs/>
          <w:sz w:val="22"/>
          <w:szCs w:val="22"/>
          <w:lang w:val="sr-Latn-ME"/>
        </w:rPr>
        <w:t>4.5.</w:t>
      </w:r>
      <w:r w:rsidR="000D60CC" w:rsidRPr="00D024EA">
        <w:rPr>
          <w:b/>
          <w:bCs/>
          <w:sz w:val="22"/>
          <w:szCs w:val="22"/>
          <w:lang w:val="sr-Latn-ME"/>
        </w:rPr>
        <w:tab/>
      </w:r>
      <w:r w:rsidRPr="00D024EA">
        <w:rPr>
          <w:b/>
          <w:bCs/>
          <w:sz w:val="22"/>
          <w:szCs w:val="22"/>
          <w:lang w:val="sr-Latn-ME"/>
        </w:rPr>
        <w:t>Interakcije sa drugim ljekovima i druge vrste interakcija</w:t>
      </w:r>
    </w:p>
    <w:p w14:paraId="162D77C8" w14:textId="77777777" w:rsidR="00374804" w:rsidRPr="00D024EA" w:rsidRDefault="00374804" w:rsidP="00EA5D97">
      <w:pPr>
        <w:tabs>
          <w:tab w:val="left" w:pos="540"/>
          <w:tab w:val="left" w:pos="569"/>
        </w:tabs>
        <w:jc w:val="both"/>
        <w:rPr>
          <w:b/>
          <w:bCs/>
          <w:sz w:val="22"/>
          <w:szCs w:val="22"/>
          <w:lang w:val="sr-Latn-ME"/>
        </w:rPr>
      </w:pPr>
    </w:p>
    <w:p w14:paraId="53854EE3" w14:textId="77777777" w:rsidR="001B03B3" w:rsidRPr="00D024EA" w:rsidRDefault="001B03B3"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Kod pacijenata sa akutnim infarktom miokarda nijesu vršena zvanična ispitivanja interakcije lijeka Actilyse i drugih ljekova koji se obično primjenjuju.</w:t>
      </w:r>
    </w:p>
    <w:p w14:paraId="3C30326E" w14:textId="77777777" w:rsidR="001B03B3" w:rsidRPr="00D024EA" w:rsidRDefault="001B03B3" w:rsidP="00EA5D97">
      <w:pPr>
        <w:autoSpaceDE w:val="0"/>
        <w:autoSpaceDN w:val="0"/>
        <w:adjustRightInd w:val="0"/>
        <w:jc w:val="both"/>
        <w:rPr>
          <w:rFonts w:eastAsia="MS Mincho"/>
          <w:sz w:val="22"/>
          <w:szCs w:val="22"/>
          <w:lang w:val="sr-Latn-ME" w:eastAsia="ja-JP" w:bidi="ne-NP"/>
        </w:rPr>
      </w:pPr>
    </w:p>
    <w:p w14:paraId="3C8BFAE9" w14:textId="43415CE1" w:rsidR="00C02F50" w:rsidRPr="00D024EA" w:rsidRDefault="00C02F50"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Ljekovi koji utiču na koagulaciju / funkciju trombocita</w:t>
      </w:r>
    </w:p>
    <w:p w14:paraId="0EEF417A" w14:textId="16011975" w:rsidR="00C65313" w:rsidRPr="00D024EA" w:rsidRDefault="001B03B3"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 xml:space="preserve">Rizik od hemoragije se povećava ako se (prije, za vrijeme ili u toku prvih 24 sata poslije terapije lijekom Actilyse) daju derivati kumarina, oralni antikoagulansi, inhibitori agregacije trombocita, nefrakcionisani heparin ili niskomolekularni heparin ili aktivne supstance koje utiču na koagulaciju (vidjeti </w:t>
      </w:r>
      <w:r w:rsidR="00374804" w:rsidRPr="00D024EA">
        <w:rPr>
          <w:rFonts w:eastAsia="MS Mincho"/>
          <w:sz w:val="22"/>
          <w:szCs w:val="22"/>
          <w:lang w:val="sr-Latn-ME" w:eastAsia="ja-JP" w:bidi="ne-NP"/>
        </w:rPr>
        <w:t>djelove</w:t>
      </w:r>
      <w:r w:rsidRPr="00D024EA">
        <w:rPr>
          <w:rFonts w:eastAsia="MS Mincho"/>
          <w:sz w:val="22"/>
          <w:szCs w:val="22"/>
          <w:lang w:val="sr-Latn-ME" w:eastAsia="ja-JP" w:bidi="ne-NP"/>
        </w:rPr>
        <w:t xml:space="preserve"> </w:t>
      </w:r>
      <w:r w:rsidR="002A03D7" w:rsidRPr="00D024EA">
        <w:rPr>
          <w:rFonts w:eastAsia="MS Mincho"/>
          <w:sz w:val="22"/>
          <w:szCs w:val="22"/>
          <w:lang w:val="sr-Latn-ME" w:eastAsia="ja-JP" w:bidi="ne-NP"/>
        </w:rPr>
        <w:t xml:space="preserve">4.2 i </w:t>
      </w:r>
      <w:r w:rsidRPr="00D024EA">
        <w:rPr>
          <w:rFonts w:eastAsia="MS Mincho"/>
          <w:sz w:val="22"/>
          <w:szCs w:val="22"/>
          <w:lang w:val="sr-Latn-ME" w:eastAsia="ja-JP" w:bidi="ne-NP"/>
        </w:rPr>
        <w:t>4.3).</w:t>
      </w:r>
    </w:p>
    <w:p w14:paraId="2ED51D37" w14:textId="77777777" w:rsidR="00C65313" w:rsidRPr="00D024EA" w:rsidRDefault="00C65313" w:rsidP="00EA5D97">
      <w:pPr>
        <w:autoSpaceDE w:val="0"/>
        <w:autoSpaceDN w:val="0"/>
        <w:adjustRightInd w:val="0"/>
        <w:jc w:val="both"/>
        <w:rPr>
          <w:rFonts w:eastAsia="MS Mincho"/>
          <w:sz w:val="22"/>
          <w:szCs w:val="22"/>
          <w:lang w:val="sr-Latn-ME" w:eastAsia="ja-JP" w:bidi="ne-NP"/>
        </w:rPr>
      </w:pPr>
    </w:p>
    <w:p w14:paraId="2870BBC6" w14:textId="77777777" w:rsidR="00C65313" w:rsidRPr="00D024EA" w:rsidRDefault="00C02F50"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ACE inhibitori</w:t>
      </w:r>
    </w:p>
    <w:p w14:paraId="1DD15C0F" w14:textId="433A546D" w:rsidR="001B03B3" w:rsidRPr="00D024EA" w:rsidRDefault="001B03B3"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Istovremena primjena sa ACE inhibitorima može da poveća rizik od nastanka reakcije</w:t>
      </w:r>
      <w:r w:rsidRPr="00D024EA">
        <w:rPr>
          <w:sz w:val="22"/>
          <w:szCs w:val="22"/>
          <w:lang w:val="sr-Latn-ME" w:bidi="en-US"/>
        </w:rPr>
        <w:t xml:space="preserve"> preosjetljivosti (vidjeti </w:t>
      </w:r>
      <w:r w:rsidR="00374804" w:rsidRPr="00D024EA">
        <w:rPr>
          <w:sz w:val="22"/>
          <w:szCs w:val="22"/>
          <w:lang w:val="sr-Latn-ME" w:bidi="en-US"/>
        </w:rPr>
        <w:t>dio</w:t>
      </w:r>
      <w:r w:rsidRPr="00D024EA">
        <w:rPr>
          <w:sz w:val="22"/>
          <w:szCs w:val="22"/>
          <w:lang w:val="sr-Latn-ME" w:bidi="en-US"/>
        </w:rPr>
        <w:t xml:space="preserve"> 4.4).</w:t>
      </w:r>
      <w:r w:rsidRPr="00D024EA" w:rsidDel="00F94FE4">
        <w:rPr>
          <w:sz w:val="22"/>
          <w:szCs w:val="22"/>
          <w:lang w:val="sr-Latn-ME" w:bidi="en-US"/>
        </w:rPr>
        <w:t xml:space="preserve"> </w:t>
      </w:r>
    </w:p>
    <w:p w14:paraId="03C55C3B" w14:textId="77777777" w:rsidR="001B03B3" w:rsidRPr="00D024EA" w:rsidRDefault="001B03B3" w:rsidP="00EA5D97">
      <w:pPr>
        <w:autoSpaceDE w:val="0"/>
        <w:autoSpaceDN w:val="0"/>
        <w:adjustRightInd w:val="0"/>
        <w:jc w:val="both"/>
        <w:rPr>
          <w:rFonts w:eastAsia="MS Mincho"/>
          <w:sz w:val="22"/>
          <w:szCs w:val="22"/>
          <w:lang w:val="sr-Latn-ME" w:eastAsia="ja-JP" w:bidi="ne-NP"/>
        </w:rPr>
      </w:pPr>
    </w:p>
    <w:p w14:paraId="4570006D" w14:textId="77777777" w:rsidR="001B03B3" w:rsidRPr="00D024EA" w:rsidRDefault="001B03B3" w:rsidP="00EA5D97">
      <w:pPr>
        <w:autoSpaceDE w:val="0"/>
        <w:autoSpaceDN w:val="0"/>
        <w:adjustRightInd w:val="0"/>
        <w:jc w:val="both"/>
        <w:rPr>
          <w:sz w:val="22"/>
          <w:szCs w:val="22"/>
          <w:lang w:val="sr-Latn-ME"/>
        </w:rPr>
      </w:pPr>
      <w:r w:rsidRPr="00D024EA">
        <w:rPr>
          <w:rFonts w:eastAsia="MS Mincho"/>
          <w:sz w:val="22"/>
          <w:szCs w:val="22"/>
          <w:lang w:val="sr-Latn-ME" w:eastAsia="ja-JP" w:bidi="ne-NP"/>
        </w:rPr>
        <w:t>Istovremeno primjena GPIIb/IIIa antagonista povećava rizik od krvarenja.</w:t>
      </w:r>
    </w:p>
    <w:p w14:paraId="1BF22239" w14:textId="77777777" w:rsidR="0072020E" w:rsidRPr="00D024EA" w:rsidRDefault="0072020E" w:rsidP="00EA5D97">
      <w:pPr>
        <w:tabs>
          <w:tab w:val="left" w:pos="540"/>
          <w:tab w:val="left" w:pos="569"/>
        </w:tabs>
        <w:jc w:val="both"/>
        <w:rPr>
          <w:bCs/>
          <w:sz w:val="22"/>
          <w:szCs w:val="22"/>
          <w:lang w:val="sr-Latn-ME"/>
        </w:rPr>
      </w:pPr>
    </w:p>
    <w:p w14:paraId="33179DF4" w14:textId="77777777" w:rsidR="0072020E" w:rsidRPr="00D024EA" w:rsidRDefault="0072020E" w:rsidP="00EA5D97">
      <w:pPr>
        <w:tabs>
          <w:tab w:val="left" w:pos="540"/>
          <w:tab w:val="left" w:pos="569"/>
        </w:tabs>
        <w:jc w:val="both"/>
        <w:rPr>
          <w:b/>
          <w:sz w:val="22"/>
          <w:szCs w:val="22"/>
          <w:lang w:val="sr-Latn-ME"/>
        </w:rPr>
      </w:pPr>
      <w:r w:rsidRPr="00D024EA">
        <w:rPr>
          <w:b/>
          <w:bCs/>
          <w:sz w:val="22"/>
          <w:szCs w:val="22"/>
          <w:lang w:val="sr-Latn-ME"/>
        </w:rPr>
        <w:t xml:space="preserve">4.6. </w:t>
      </w:r>
      <w:r w:rsidR="00480FB1" w:rsidRPr="00D024EA">
        <w:rPr>
          <w:b/>
          <w:bCs/>
          <w:sz w:val="22"/>
          <w:szCs w:val="22"/>
          <w:lang w:val="sr-Latn-ME"/>
        </w:rPr>
        <w:tab/>
      </w:r>
      <w:r w:rsidR="006D20A5" w:rsidRPr="00D024EA">
        <w:rPr>
          <w:b/>
          <w:sz w:val="22"/>
          <w:szCs w:val="22"/>
          <w:lang w:val="sr-Latn-ME"/>
        </w:rPr>
        <w:t>Plodnost, trudnoća i dojenje</w:t>
      </w:r>
    </w:p>
    <w:p w14:paraId="2C136ACA" w14:textId="77777777" w:rsidR="002031B3" w:rsidRPr="00D024EA" w:rsidRDefault="002031B3" w:rsidP="00EA5D97">
      <w:pPr>
        <w:tabs>
          <w:tab w:val="left" w:pos="540"/>
          <w:tab w:val="left" w:pos="569"/>
        </w:tabs>
        <w:jc w:val="both"/>
        <w:rPr>
          <w:sz w:val="22"/>
          <w:szCs w:val="22"/>
          <w:u w:val="single"/>
          <w:lang w:val="sr-Latn-ME"/>
        </w:rPr>
      </w:pPr>
    </w:p>
    <w:p w14:paraId="7DACF1DF" w14:textId="77777777" w:rsidR="00E4798C" w:rsidRPr="00D024EA" w:rsidRDefault="00E4798C" w:rsidP="00E4798C">
      <w:pPr>
        <w:tabs>
          <w:tab w:val="left" w:pos="540"/>
          <w:tab w:val="left" w:pos="569"/>
        </w:tabs>
        <w:jc w:val="both"/>
        <w:rPr>
          <w:sz w:val="22"/>
          <w:szCs w:val="22"/>
          <w:u w:val="single"/>
          <w:lang w:val="sr-Latn-ME"/>
        </w:rPr>
      </w:pPr>
      <w:r w:rsidRPr="00D024EA">
        <w:rPr>
          <w:sz w:val="22"/>
          <w:szCs w:val="22"/>
          <w:u w:val="single"/>
          <w:lang w:val="sr-Latn-ME"/>
        </w:rPr>
        <w:t>Trudnoća</w:t>
      </w:r>
    </w:p>
    <w:p w14:paraId="6EC7E99A" w14:textId="77777777" w:rsidR="00E4798C" w:rsidRPr="00D024EA" w:rsidRDefault="00E4798C" w:rsidP="00E4798C">
      <w:pPr>
        <w:tabs>
          <w:tab w:val="left" w:pos="284"/>
        </w:tabs>
        <w:autoSpaceDE w:val="0"/>
        <w:autoSpaceDN w:val="0"/>
        <w:adjustRightInd w:val="0"/>
        <w:jc w:val="both"/>
        <w:rPr>
          <w:sz w:val="22"/>
          <w:szCs w:val="22"/>
          <w:lang w:val="sr-Latn-ME"/>
        </w:rPr>
      </w:pPr>
      <w:r w:rsidRPr="00D024EA">
        <w:rPr>
          <w:rFonts w:eastAsia="MS Mincho"/>
          <w:sz w:val="22"/>
          <w:szCs w:val="22"/>
          <w:lang w:val="sr-Latn-ME" w:eastAsia="ja-JP" w:bidi="ne-NP"/>
        </w:rPr>
        <w:t>Podaci o primjeni lijeka alteplaza kod trudnica su ograničeni. Pretklinička ispitivanja sa alteplazom u dozama višim od preporučenih za ljude pokazala su fetalnu nezrelost i/ili embriotoksičnost</w:t>
      </w:r>
      <w:r w:rsidRPr="00D024EA">
        <w:rPr>
          <w:sz w:val="22"/>
          <w:szCs w:val="22"/>
          <w:lang w:val="sr-Latn-ME"/>
        </w:rPr>
        <w:t xml:space="preserve"> koja je sekundarna u odnosu na poznata farmakološka svojstva lijeka. Alteplaza se ne smatra teratogenom (vidjeti dio 5.3).</w:t>
      </w:r>
    </w:p>
    <w:p w14:paraId="33ACFC98" w14:textId="75303B07" w:rsidR="00E4798C" w:rsidRPr="00D024EA" w:rsidRDefault="00E4798C" w:rsidP="00E4798C">
      <w:pPr>
        <w:tabs>
          <w:tab w:val="left" w:pos="284"/>
        </w:tabs>
        <w:autoSpaceDE w:val="0"/>
        <w:autoSpaceDN w:val="0"/>
        <w:adjustRightInd w:val="0"/>
        <w:jc w:val="both"/>
        <w:rPr>
          <w:sz w:val="22"/>
          <w:szCs w:val="22"/>
          <w:lang w:val="sr-Latn-ME"/>
        </w:rPr>
      </w:pPr>
      <w:r w:rsidRPr="00D024EA">
        <w:rPr>
          <w:sz w:val="22"/>
          <w:szCs w:val="22"/>
          <w:lang w:val="sr-Latn-ME"/>
        </w:rPr>
        <w:t>U slučaju akutnog oboljenja koje ugrožava život, treba dobro procijeniti korist u odnosu na potencijalni rizik.</w:t>
      </w:r>
    </w:p>
    <w:p w14:paraId="377D6274" w14:textId="77777777" w:rsidR="00E4798C" w:rsidRPr="00D024EA" w:rsidRDefault="00E4798C" w:rsidP="00E4798C">
      <w:pPr>
        <w:tabs>
          <w:tab w:val="left" w:pos="284"/>
        </w:tabs>
        <w:autoSpaceDE w:val="0"/>
        <w:autoSpaceDN w:val="0"/>
        <w:adjustRightInd w:val="0"/>
        <w:jc w:val="both"/>
        <w:rPr>
          <w:rFonts w:eastAsia="MS Mincho"/>
          <w:sz w:val="22"/>
          <w:szCs w:val="22"/>
          <w:lang w:val="sr-Latn-ME" w:eastAsia="ja-JP" w:bidi="ne-NP"/>
        </w:rPr>
      </w:pPr>
    </w:p>
    <w:p w14:paraId="12A12608" w14:textId="77777777" w:rsidR="00850BC8" w:rsidRPr="00D024EA" w:rsidRDefault="00850BC8" w:rsidP="00850BC8">
      <w:pPr>
        <w:tabs>
          <w:tab w:val="left" w:pos="540"/>
          <w:tab w:val="left" w:pos="569"/>
        </w:tabs>
        <w:jc w:val="both"/>
        <w:rPr>
          <w:sz w:val="22"/>
          <w:szCs w:val="22"/>
          <w:u w:val="single"/>
          <w:lang w:val="sr-Latn-ME"/>
        </w:rPr>
      </w:pPr>
      <w:r w:rsidRPr="00D024EA">
        <w:rPr>
          <w:sz w:val="22"/>
          <w:szCs w:val="22"/>
          <w:u w:val="single"/>
          <w:lang w:val="sr-Latn-ME"/>
        </w:rPr>
        <w:t xml:space="preserve">Dojenje </w:t>
      </w:r>
    </w:p>
    <w:p w14:paraId="4B3CB282" w14:textId="77777777" w:rsidR="00850BC8" w:rsidRPr="00D024EA" w:rsidRDefault="00850BC8" w:rsidP="00850BC8">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Nije poznato da li se alteplaza izlučuje u majčino mlijeko i ne postoji dovoljno informacija o izlučivanju lijeka alteplaza u mlijeko životinja.</w:t>
      </w:r>
    </w:p>
    <w:p w14:paraId="72990881" w14:textId="77777777" w:rsidR="00850BC8" w:rsidRPr="00D024EA" w:rsidRDefault="00850BC8" w:rsidP="00850BC8">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lastRenderedPageBreak/>
        <w:t>Treba preduzeti mjere opreza kada se lijek Actilyse primjenjuje kod žena koje doje i mora se donijeti odluka da li se dojenje prekida na prva 24 sata nakon primjene lijeka Actilyse.</w:t>
      </w:r>
    </w:p>
    <w:p w14:paraId="2D9B7C72" w14:textId="77777777" w:rsidR="00850BC8" w:rsidRPr="00D024EA" w:rsidRDefault="00850BC8" w:rsidP="00850BC8">
      <w:pPr>
        <w:autoSpaceDE w:val="0"/>
        <w:autoSpaceDN w:val="0"/>
        <w:adjustRightInd w:val="0"/>
        <w:jc w:val="both"/>
        <w:rPr>
          <w:rFonts w:eastAsia="MS Mincho"/>
          <w:sz w:val="22"/>
          <w:szCs w:val="22"/>
          <w:lang w:val="sr-Latn-ME" w:eastAsia="ja-JP" w:bidi="ne-NP"/>
        </w:rPr>
      </w:pPr>
    </w:p>
    <w:p w14:paraId="7FF4965B" w14:textId="4A30CB0D" w:rsidR="002031B3" w:rsidRPr="00D024EA" w:rsidRDefault="002031B3" w:rsidP="00EA5D97">
      <w:pPr>
        <w:tabs>
          <w:tab w:val="left" w:pos="540"/>
          <w:tab w:val="left" w:pos="569"/>
        </w:tabs>
        <w:jc w:val="both"/>
        <w:rPr>
          <w:sz w:val="22"/>
          <w:szCs w:val="22"/>
          <w:u w:val="single"/>
          <w:lang w:val="sr-Latn-ME"/>
        </w:rPr>
      </w:pPr>
      <w:r w:rsidRPr="00D024EA">
        <w:rPr>
          <w:sz w:val="22"/>
          <w:szCs w:val="22"/>
          <w:u w:val="single"/>
          <w:lang w:val="sr-Latn-ME"/>
        </w:rPr>
        <w:t>Plodnost</w:t>
      </w:r>
    </w:p>
    <w:p w14:paraId="23AD5C2F" w14:textId="19E33AA0" w:rsidR="002031B3" w:rsidRPr="00D024EA" w:rsidRDefault="001B03B3" w:rsidP="005742F8">
      <w:pPr>
        <w:tabs>
          <w:tab w:val="left" w:pos="569"/>
        </w:tabs>
        <w:autoSpaceDE w:val="0"/>
        <w:autoSpaceDN w:val="0"/>
        <w:adjustRightInd w:val="0"/>
        <w:jc w:val="both"/>
        <w:rPr>
          <w:sz w:val="22"/>
          <w:szCs w:val="22"/>
          <w:u w:val="single"/>
          <w:lang w:val="sr-Latn-ME"/>
        </w:rPr>
      </w:pPr>
      <w:r w:rsidRPr="00D024EA">
        <w:rPr>
          <w:sz w:val="22"/>
          <w:szCs w:val="22"/>
          <w:lang w:val="sr-Latn-ME"/>
        </w:rPr>
        <w:t>Klinički podaci o uticaju lijeka Actilyse na fertilitet nijesu dostupni. Pretkliničke studije sa altep</w:t>
      </w:r>
      <w:r w:rsidR="00FF48AE" w:rsidRPr="00D024EA">
        <w:rPr>
          <w:sz w:val="22"/>
          <w:szCs w:val="22"/>
          <w:lang w:val="sr-Latn-ME"/>
        </w:rPr>
        <w:t>l</w:t>
      </w:r>
      <w:r w:rsidRPr="00D024EA">
        <w:rPr>
          <w:sz w:val="22"/>
          <w:szCs w:val="22"/>
          <w:lang w:val="sr-Latn-ME"/>
        </w:rPr>
        <w:t xml:space="preserve">azom nijesu pokazale neželjeno dejstvo na fertilitet (vidjeti </w:t>
      </w:r>
      <w:r w:rsidR="00374804" w:rsidRPr="00D024EA">
        <w:rPr>
          <w:sz w:val="22"/>
          <w:szCs w:val="22"/>
          <w:lang w:val="sr-Latn-ME"/>
        </w:rPr>
        <w:t>dio</w:t>
      </w:r>
      <w:r w:rsidRPr="00D024EA">
        <w:rPr>
          <w:sz w:val="22"/>
          <w:szCs w:val="22"/>
          <w:lang w:val="sr-Latn-ME"/>
        </w:rPr>
        <w:t xml:space="preserve"> 5.3).</w:t>
      </w:r>
    </w:p>
    <w:p w14:paraId="08597D8C" w14:textId="77777777" w:rsidR="00227BDB" w:rsidRPr="00D024EA" w:rsidRDefault="00227BDB" w:rsidP="00EA5D97">
      <w:pPr>
        <w:tabs>
          <w:tab w:val="left" w:pos="540"/>
          <w:tab w:val="left" w:pos="569"/>
        </w:tabs>
        <w:ind w:left="540" w:hanging="540"/>
        <w:jc w:val="both"/>
        <w:rPr>
          <w:b/>
          <w:bCs/>
          <w:sz w:val="22"/>
          <w:szCs w:val="22"/>
          <w:lang w:val="sr-Latn-ME"/>
        </w:rPr>
      </w:pPr>
    </w:p>
    <w:p w14:paraId="6C3217C8" w14:textId="723A96EE" w:rsidR="0072020E" w:rsidRPr="00D024EA" w:rsidRDefault="0072020E" w:rsidP="00EA5D97">
      <w:pPr>
        <w:tabs>
          <w:tab w:val="left" w:pos="540"/>
          <w:tab w:val="left" w:pos="569"/>
        </w:tabs>
        <w:ind w:left="540" w:hanging="540"/>
        <w:jc w:val="both"/>
        <w:rPr>
          <w:b/>
          <w:bCs/>
          <w:sz w:val="22"/>
          <w:szCs w:val="22"/>
          <w:lang w:val="sr-Latn-ME"/>
        </w:rPr>
      </w:pPr>
      <w:r w:rsidRPr="00D024EA">
        <w:rPr>
          <w:b/>
          <w:bCs/>
          <w:sz w:val="22"/>
          <w:szCs w:val="22"/>
          <w:lang w:val="sr-Latn-ME"/>
        </w:rPr>
        <w:t xml:space="preserve">4.7. </w:t>
      </w:r>
      <w:r w:rsidR="00480FB1" w:rsidRPr="00D024EA">
        <w:rPr>
          <w:b/>
          <w:bCs/>
          <w:sz w:val="22"/>
          <w:szCs w:val="22"/>
          <w:lang w:val="sr-Latn-ME"/>
        </w:rPr>
        <w:tab/>
      </w:r>
      <w:r w:rsidRPr="00D024EA">
        <w:rPr>
          <w:b/>
          <w:bCs/>
          <w:sz w:val="22"/>
          <w:szCs w:val="22"/>
          <w:lang w:val="sr-Latn-ME"/>
        </w:rPr>
        <w:t xml:space="preserve">Uticaj na </w:t>
      </w:r>
      <w:r w:rsidR="002031B3" w:rsidRPr="00D024EA">
        <w:rPr>
          <w:b/>
          <w:bCs/>
          <w:sz w:val="22"/>
          <w:szCs w:val="22"/>
          <w:lang w:val="sr-Latn-ME"/>
        </w:rPr>
        <w:t xml:space="preserve">sposobnost </w:t>
      </w:r>
      <w:r w:rsidR="00F34554" w:rsidRPr="00D024EA">
        <w:rPr>
          <w:b/>
          <w:bCs/>
          <w:sz w:val="22"/>
          <w:szCs w:val="22"/>
          <w:lang w:val="sr-Latn-ME"/>
        </w:rPr>
        <w:t>upravljanja vozili</w:t>
      </w:r>
      <w:r w:rsidRPr="00D024EA">
        <w:rPr>
          <w:b/>
          <w:bCs/>
          <w:sz w:val="22"/>
          <w:szCs w:val="22"/>
          <w:lang w:val="sr-Latn-ME"/>
        </w:rPr>
        <w:t>m</w:t>
      </w:r>
      <w:r w:rsidR="00F34554" w:rsidRPr="00D024EA">
        <w:rPr>
          <w:b/>
          <w:bCs/>
          <w:sz w:val="22"/>
          <w:szCs w:val="22"/>
          <w:lang w:val="sr-Latn-ME"/>
        </w:rPr>
        <w:t>a</w:t>
      </w:r>
      <w:r w:rsidRPr="00D024EA">
        <w:rPr>
          <w:b/>
          <w:bCs/>
          <w:sz w:val="22"/>
          <w:szCs w:val="22"/>
          <w:lang w:val="sr-Latn-ME"/>
        </w:rPr>
        <w:t xml:space="preserve"> i </w:t>
      </w:r>
      <w:r w:rsidR="000D3449" w:rsidRPr="00D024EA">
        <w:rPr>
          <w:b/>
          <w:bCs/>
          <w:sz w:val="22"/>
          <w:szCs w:val="22"/>
          <w:lang w:val="sr-Latn-ME"/>
        </w:rPr>
        <w:t xml:space="preserve">rukovanje </w:t>
      </w:r>
      <w:r w:rsidRPr="00D024EA">
        <w:rPr>
          <w:b/>
          <w:bCs/>
          <w:sz w:val="22"/>
          <w:szCs w:val="22"/>
          <w:lang w:val="sr-Latn-ME"/>
        </w:rPr>
        <w:t>mašinama</w:t>
      </w:r>
    </w:p>
    <w:p w14:paraId="4CBD1C4D" w14:textId="77777777" w:rsidR="00B7348D" w:rsidRPr="00D024EA" w:rsidRDefault="00B7348D" w:rsidP="00EA5D97">
      <w:pPr>
        <w:tabs>
          <w:tab w:val="left" w:pos="540"/>
          <w:tab w:val="left" w:pos="569"/>
        </w:tabs>
        <w:ind w:left="540" w:hanging="540"/>
        <w:jc w:val="both"/>
        <w:rPr>
          <w:b/>
          <w:bCs/>
          <w:sz w:val="22"/>
          <w:szCs w:val="22"/>
          <w:lang w:val="sr-Latn-ME"/>
        </w:rPr>
      </w:pPr>
    </w:p>
    <w:p w14:paraId="6F3BD149" w14:textId="77777777" w:rsidR="001B03B3" w:rsidRPr="00D024EA" w:rsidRDefault="001B03B3" w:rsidP="00EA5D97">
      <w:pPr>
        <w:tabs>
          <w:tab w:val="left" w:pos="284"/>
        </w:tabs>
        <w:jc w:val="both"/>
        <w:rPr>
          <w:rFonts w:eastAsia="MS Mincho"/>
          <w:b/>
          <w:bCs/>
          <w:sz w:val="22"/>
          <w:szCs w:val="22"/>
          <w:lang w:val="sr-Latn-ME" w:eastAsia="ja-JP" w:bidi="ne-NP"/>
        </w:rPr>
      </w:pPr>
      <w:r w:rsidRPr="00D024EA">
        <w:rPr>
          <w:rFonts w:eastAsia="MS Mincho"/>
          <w:sz w:val="22"/>
          <w:szCs w:val="22"/>
          <w:lang w:val="sr-Latn-ME" w:eastAsia="ja-JP" w:bidi="ne-NP"/>
        </w:rPr>
        <w:t>Nije poznato.</w:t>
      </w:r>
    </w:p>
    <w:p w14:paraId="58C74F23" w14:textId="77777777" w:rsidR="0072020E" w:rsidRPr="00D024EA" w:rsidRDefault="0072020E" w:rsidP="00EA5D97">
      <w:pPr>
        <w:tabs>
          <w:tab w:val="left" w:pos="540"/>
          <w:tab w:val="left" w:pos="569"/>
        </w:tabs>
        <w:jc w:val="both"/>
        <w:rPr>
          <w:b/>
          <w:bCs/>
          <w:sz w:val="22"/>
          <w:szCs w:val="22"/>
          <w:lang w:val="sr-Latn-ME"/>
        </w:rPr>
      </w:pPr>
    </w:p>
    <w:p w14:paraId="7133D8BD" w14:textId="5E68D46E" w:rsidR="0072020E" w:rsidRPr="00D024EA" w:rsidRDefault="0072020E" w:rsidP="00EA5D97">
      <w:pPr>
        <w:tabs>
          <w:tab w:val="left" w:pos="540"/>
          <w:tab w:val="left" w:pos="569"/>
        </w:tabs>
        <w:jc w:val="both"/>
        <w:rPr>
          <w:b/>
          <w:bCs/>
          <w:sz w:val="22"/>
          <w:szCs w:val="22"/>
          <w:lang w:val="sr-Latn-ME"/>
        </w:rPr>
      </w:pPr>
      <w:r w:rsidRPr="00D024EA">
        <w:rPr>
          <w:b/>
          <w:bCs/>
          <w:sz w:val="22"/>
          <w:szCs w:val="22"/>
          <w:lang w:val="sr-Latn-ME"/>
        </w:rPr>
        <w:t xml:space="preserve">4.8. </w:t>
      </w:r>
      <w:r w:rsidR="00480FB1" w:rsidRPr="00D024EA">
        <w:rPr>
          <w:b/>
          <w:bCs/>
          <w:sz w:val="22"/>
          <w:szCs w:val="22"/>
          <w:lang w:val="sr-Latn-ME"/>
        </w:rPr>
        <w:tab/>
      </w:r>
      <w:r w:rsidRPr="00D024EA">
        <w:rPr>
          <w:b/>
          <w:bCs/>
          <w:sz w:val="22"/>
          <w:szCs w:val="22"/>
          <w:lang w:val="sr-Latn-ME"/>
        </w:rPr>
        <w:t>Neželjena dejstva</w:t>
      </w:r>
    </w:p>
    <w:p w14:paraId="76AA62F0" w14:textId="01A28F5F" w:rsidR="001B03B3" w:rsidRPr="00D024EA" w:rsidRDefault="001B03B3" w:rsidP="00EA5D97">
      <w:pPr>
        <w:tabs>
          <w:tab w:val="left" w:pos="540"/>
          <w:tab w:val="left" w:pos="569"/>
        </w:tabs>
        <w:jc w:val="both"/>
        <w:rPr>
          <w:b/>
          <w:bCs/>
          <w:sz w:val="22"/>
          <w:szCs w:val="22"/>
          <w:lang w:val="sr-Latn-ME"/>
        </w:rPr>
      </w:pPr>
    </w:p>
    <w:p w14:paraId="7F78D250" w14:textId="3D4CDBED" w:rsidR="001B03B3" w:rsidRPr="00D024EA" w:rsidRDefault="001B03B3" w:rsidP="00EA5D97">
      <w:pPr>
        <w:tabs>
          <w:tab w:val="left" w:pos="567"/>
        </w:tabs>
        <w:jc w:val="both"/>
        <w:rPr>
          <w:bCs/>
          <w:sz w:val="22"/>
          <w:szCs w:val="22"/>
          <w:lang w:val="sr-Latn-ME"/>
        </w:rPr>
      </w:pPr>
      <w:r w:rsidRPr="00D024EA">
        <w:rPr>
          <w:bCs/>
          <w:sz w:val="22"/>
          <w:szCs w:val="22"/>
          <w:lang w:val="sr-Latn-ME"/>
        </w:rPr>
        <w:t>Najčeš</w:t>
      </w:r>
      <w:r w:rsidR="00FF48AE" w:rsidRPr="00D024EA">
        <w:rPr>
          <w:bCs/>
          <w:sz w:val="22"/>
          <w:szCs w:val="22"/>
          <w:lang w:val="sr-Latn-ME"/>
        </w:rPr>
        <w:t>ć</w:t>
      </w:r>
      <w:r w:rsidRPr="00D024EA">
        <w:rPr>
          <w:bCs/>
          <w:sz w:val="22"/>
          <w:szCs w:val="22"/>
          <w:lang w:val="sr-Latn-ME"/>
        </w:rPr>
        <w:t>a neželjena reakcija povezana sa primjenom lijeka Actilyse je krvarenje u različitim oblicima ispoljavanja, što ima za posljedicu pad hematokrita i/ili hemoglobina.</w:t>
      </w:r>
    </w:p>
    <w:p w14:paraId="59293727" w14:textId="77777777" w:rsidR="001B03B3" w:rsidRPr="00D024EA" w:rsidRDefault="001B03B3" w:rsidP="00EA5D97">
      <w:pPr>
        <w:tabs>
          <w:tab w:val="left" w:pos="567"/>
        </w:tabs>
        <w:jc w:val="both"/>
        <w:rPr>
          <w:b/>
          <w:sz w:val="22"/>
          <w:szCs w:val="22"/>
          <w:lang w:val="sr-Latn-ME"/>
        </w:rPr>
      </w:pPr>
    </w:p>
    <w:p w14:paraId="1D35C92F" w14:textId="77777777" w:rsidR="001B03B3" w:rsidRPr="00D024EA" w:rsidRDefault="001B03B3" w:rsidP="00EA5D97">
      <w:pPr>
        <w:tabs>
          <w:tab w:val="left" w:pos="1985"/>
        </w:tabs>
        <w:autoSpaceDE w:val="0"/>
        <w:autoSpaceDN w:val="0"/>
        <w:adjustRightInd w:val="0"/>
        <w:jc w:val="both"/>
        <w:rPr>
          <w:sz w:val="22"/>
          <w:szCs w:val="22"/>
          <w:lang w:val="sr-Latn-ME"/>
        </w:rPr>
      </w:pPr>
      <w:r w:rsidRPr="00D024EA">
        <w:rPr>
          <w:sz w:val="22"/>
          <w:szCs w:val="22"/>
          <w:lang w:val="sr-Latn-ME"/>
        </w:rPr>
        <w:t>Navedene neželjene reakcije su klasifikovane prema učestalosti ispoljavanja i klasama sistema organa</w:t>
      </w:r>
      <w:r w:rsidRPr="00D024EA">
        <w:rPr>
          <w:rFonts w:eastAsia="MS Mincho"/>
          <w:sz w:val="22"/>
          <w:szCs w:val="22"/>
          <w:lang w:val="sr-Latn-ME" w:eastAsia="ja-JP" w:bidi="ne-NP"/>
        </w:rPr>
        <w:t>. Učestalosti ispoljavanja</w:t>
      </w:r>
      <w:r w:rsidRPr="00D024EA">
        <w:rPr>
          <w:sz w:val="22"/>
          <w:szCs w:val="22"/>
          <w:lang w:val="sr-Latn-ME"/>
        </w:rPr>
        <w:t xml:space="preserve"> su definisane prema sljedećoj konvenciji: veoma često  (≥1/10), često (≥1/100 do &lt;1/10), povremeno (≥1/1000 do &lt;1/100), rijetko (≥1/10000 do &lt;1/1000),  veoma rijetko (&lt;1/10000), </w:t>
      </w:r>
      <w:r w:rsidRPr="00D024EA">
        <w:rPr>
          <w:rFonts w:eastAsia="MS Mincho"/>
          <w:sz w:val="22"/>
          <w:szCs w:val="22"/>
          <w:lang w:val="sr-Latn-ME" w:eastAsia="ja-JP" w:bidi="ne-NP"/>
        </w:rPr>
        <w:t xml:space="preserve"> nije poznato (ne može se procijeniti na osnovu dostupnih podataka).</w:t>
      </w:r>
    </w:p>
    <w:p w14:paraId="3373C6C6" w14:textId="77777777" w:rsidR="001B03B3" w:rsidRPr="00D024EA" w:rsidRDefault="001B03B3" w:rsidP="00EA5D97">
      <w:pPr>
        <w:autoSpaceDE w:val="0"/>
        <w:autoSpaceDN w:val="0"/>
        <w:adjustRightInd w:val="0"/>
        <w:jc w:val="both"/>
        <w:rPr>
          <w:sz w:val="22"/>
          <w:szCs w:val="22"/>
          <w:lang w:val="sr-Latn-ME"/>
        </w:rPr>
      </w:pPr>
    </w:p>
    <w:p w14:paraId="7B9D6455" w14:textId="5DE49150" w:rsidR="001B03B3" w:rsidRPr="00D024EA" w:rsidRDefault="001B03B3"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 xml:space="preserve">Osim intracerebralne/ intrakranijalne hemoragije kao neželjene reakcije kod indikacije moždanog udara, kao i reperfuzione aritmije kod indikacije </w:t>
      </w:r>
      <w:r w:rsidR="00C02F50" w:rsidRPr="00D024EA">
        <w:rPr>
          <w:rFonts w:eastAsia="MS Mincho"/>
          <w:sz w:val="22"/>
          <w:szCs w:val="22"/>
          <w:lang w:val="sr-Latn-ME" w:eastAsia="ja-JP" w:bidi="ne-NP"/>
        </w:rPr>
        <w:t xml:space="preserve">akutnog </w:t>
      </w:r>
      <w:r w:rsidRPr="00D024EA">
        <w:rPr>
          <w:rFonts w:eastAsia="MS Mincho"/>
          <w:sz w:val="22"/>
          <w:szCs w:val="22"/>
          <w:lang w:val="sr-Latn-ME" w:eastAsia="ja-JP" w:bidi="ne-NP"/>
        </w:rPr>
        <w:t xml:space="preserve">infarkta miokarda, nema medicinskog razloga da se pretpostavi da su neželjene reakcije lijeka Actilyse u kvalitativnom i kvantitativnom smislu u indikaciji </w:t>
      </w:r>
      <w:r w:rsidR="00C02F50" w:rsidRPr="00D024EA">
        <w:rPr>
          <w:rFonts w:eastAsia="MS Mincho"/>
          <w:sz w:val="22"/>
          <w:szCs w:val="22"/>
          <w:lang w:val="sr-Latn-ME" w:eastAsia="ja-JP" w:bidi="ne-NP"/>
        </w:rPr>
        <w:t xml:space="preserve">akutne masivne </w:t>
      </w:r>
      <w:r w:rsidRPr="00D024EA">
        <w:rPr>
          <w:rFonts w:eastAsia="MS Mincho"/>
          <w:sz w:val="22"/>
          <w:szCs w:val="22"/>
          <w:lang w:val="sr-Latn-ME" w:eastAsia="ja-JP" w:bidi="ne-NP"/>
        </w:rPr>
        <w:t xml:space="preserve">plućne embolije i akutnog ishemijskog moždanog udara drugačija od onih koja nastaju u indikaciji </w:t>
      </w:r>
      <w:r w:rsidR="00C02F50" w:rsidRPr="00D024EA">
        <w:rPr>
          <w:rFonts w:eastAsia="MS Mincho"/>
          <w:sz w:val="22"/>
          <w:szCs w:val="22"/>
          <w:lang w:val="sr-Latn-ME" w:eastAsia="ja-JP" w:bidi="ne-NP"/>
        </w:rPr>
        <w:t xml:space="preserve">akutnog </w:t>
      </w:r>
      <w:r w:rsidRPr="00D024EA">
        <w:rPr>
          <w:rFonts w:eastAsia="MS Mincho"/>
          <w:sz w:val="22"/>
          <w:szCs w:val="22"/>
          <w:lang w:val="sr-Latn-ME" w:eastAsia="ja-JP" w:bidi="ne-NP"/>
        </w:rPr>
        <w:t>infarkta miokarda.</w:t>
      </w:r>
    </w:p>
    <w:p w14:paraId="601EF8E1" w14:textId="77777777" w:rsidR="001B03B3" w:rsidRPr="00D024EA" w:rsidRDefault="001B03B3" w:rsidP="00EA5D97">
      <w:pPr>
        <w:tabs>
          <w:tab w:val="left" w:pos="567"/>
        </w:tabs>
        <w:autoSpaceDE w:val="0"/>
        <w:autoSpaceDN w:val="0"/>
        <w:adjustRightInd w:val="0"/>
        <w:jc w:val="both"/>
        <w:rPr>
          <w:sz w:val="22"/>
          <w:szCs w:val="22"/>
          <w:lang w:val="sr-Latn-ME"/>
        </w:rPr>
      </w:pPr>
    </w:p>
    <w:p w14:paraId="1F3EAE13" w14:textId="77777777" w:rsidR="001B03B3" w:rsidRPr="00D024EA" w:rsidRDefault="001B03B3" w:rsidP="00EA5D97">
      <w:pPr>
        <w:tabs>
          <w:tab w:val="left" w:pos="567"/>
        </w:tabs>
        <w:autoSpaceDE w:val="0"/>
        <w:autoSpaceDN w:val="0"/>
        <w:adjustRightInd w:val="0"/>
        <w:jc w:val="both"/>
        <w:rPr>
          <w:sz w:val="22"/>
          <w:szCs w:val="22"/>
          <w:lang w:val="sr-Latn-ME"/>
        </w:rPr>
      </w:pPr>
      <w:r w:rsidRPr="00D024EA">
        <w:rPr>
          <w:sz w:val="22"/>
          <w:szCs w:val="22"/>
          <w:lang w:val="sr-Latn-ME"/>
        </w:rPr>
        <w:t>Tabela 1:  Neželjene reakcije kod akutnog infarkta miokarda, akutne masivne plućne embolije i akutnog ishemijskog moždanog udara</w:t>
      </w:r>
    </w:p>
    <w:p w14:paraId="42A8DCAE" w14:textId="77777777" w:rsidR="001B03B3" w:rsidRPr="00D024EA" w:rsidRDefault="001B03B3" w:rsidP="00EA5D97">
      <w:pPr>
        <w:tabs>
          <w:tab w:val="left" w:pos="567"/>
        </w:tabs>
        <w:autoSpaceDE w:val="0"/>
        <w:autoSpaceDN w:val="0"/>
        <w:adjustRightInd w:val="0"/>
        <w:jc w:val="both"/>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6"/>
        <w:gridCol w:w="6897"/>
      </w:tblGrid>
      <w:tr w:rsidR="001B03B3" w:rsidRPr="00D024EA" w14:paraId="42E9C6AA" w14:textId="77777777" w:rsidTr="00EA5D97">
        <w:tc>
          <w:tcPr>
            <w:tcW w:w="1195" w:type="pct"/>
          </w:tcPr>
          <w:p w14:paraId="6326C784" w14:textId="77777777" w:rsidR="001B03B3" w:rsidRPr="00D024EA" w:rsidRDefault="001B03B3" w:rsidP="00EA5D97">
            <w:pPr>
              <w:tabs>
                <w:tab w:val="left" w:pos="284"/>
              </w:tabs>
              <w:autoSpaceDE w:val="0"/>
              <w:autoSpaceDN w:val="0"/>
              <w:adjustRightInd w:val="0"/>
              <w:jc w:val="both"/>
              <w:rPr>
                <w:b/>
                <w:iCs/>
                <w:sz w:val="22"/>
                <w:szCs w:val="22"/>
                <w:lang w:val="sr-Latn-ME"/>
              </w:rPr>
            </w:pPr>
            <w:r w:rsidRPr="00D024EA">
              <w:rPr>
                <w:b/>
                <w:iCs/>
                <w:sz w:val="22"/>
                <w:szCs w:val="22"/>
                <w:lang w:val="sr-Latn-ME"/>
              </w:rPr>
              <w:t>Klase sistema organa</w:t>
            </w:r>
          </w:p>
        </w:tc>
        <w:tc>
          <w:tcPr>
            <w:tcW w:w="3805" w:type="pct"/>
          </w:tcPr>
          <w:p w14:paraId="61C0F7A8" w14:textId="77777777" w:rsidR="001B03B3" w:rsidRPr="00D024EA" w:rsidRDefault="001B03B3" w:rsidP="00EA5D97">
            <w:pPr>
              <w:tabs>
                <w:tab w:val="left" w:pos="284"/>
              </w:tabs>
              <w:autoSpaceDE w:val="0"/>
              <w:autoSpaceDN w:val="0"/>
              <w:adjustRightInd w:val="0"/>
              <w:jc w:val="both"/>
              <w:rPr>
                <w:b/>
                <w:iCs/>
                <w:sz w:val="22"/>
                <w:szCs w:val="22"/>
                <w:lang w:val="sr-Latn-ME"/>
              </w:rPr>
            </w:pPr>
            <w:r w:rsidRPr="00D024EA">
              <w:rPr>
                <w:b/>
                <w:iCs/>
                <w:sz w:val="22"/>
                <w:szCs w:val="22"/>
                <w:lang w:val="sr-Latn-ME"/>
              </w:rPr>
              <w:t>Neželjena reakcija</w:t>
            </w:r>
          </w:p>
        </w:tc>
      </w:tr>
      <w:tr w:rsidR="001B03B3" w:rsidRPr="00D024EA" w14:paraId="561549EE" w14:textId="77777777" w:rsidTr="00EA5D97">
        <w:trPr>
          <w:trHeight w:val="603"/>
        </w:trPr>
        <w:tc>
          <w:tcPr>
            <w:tcW w:w="5000" w:type="pct"/>
            <w:gridSpan w:val="2"/>
          </w:tcPr>
          <w:p w14:paraId="1D775169" w14:textId="77777777" w:rsidR="001B03B3" w:rsidRPr="00D024EA" w:rsidRDefault="001B03B3" w:rsidP="00EA5D97">
            <w:pPr>
              <w:autoSpaceDE w:val="0"/>
              <w:autoSpaceDN w:val="0"/>
              <w:adjustRightInd w:val="0"/>
              <w:jc w:val="both"/>
              <w:rPr>
                <w:rFonts w:eastAsia="MS Mincho"/>
                <w:b/>
                <w:bCs/>
                <w:sz w:val="22"/>
                <w:szCs w:val="22"/>
                <w:lang w:val="sr-Latn-ME" w:eastAsia="ja-JP" w:bidi="ne-NP"/>
              </w:rPr>
            </w:pPr>
          </w:p>
          <w:p w14:paraId="057AE0F8" w14:textId="77777777" w:rsidR="001B03B3" w:rsidRPr="00D024EA" w:rsidRDefault="001B03B3" w:rsidP="00EA5D97">
            <w:pPr>
              <w:autoSpaceDE w:val="0"/>
              <w:autoSpaceDN w:val="0"/>
              <w:adjustRightInd w:val="0"/>
              <w:jc w:val="both"/>
              <w:rPr>
                <w:b/>
                <w:bCs/>
                <w:iCs/>
                <w:sz w:val="22"/>
                <w:szCs w:val="22"/>
                <w:lang w:val="sr-Latn-ME"/>
              </w:rPr>
            </w:pPr>
            <w:r w:rsidRPr="00D024EA">
              <w:rPr>
                <w:rFonts w:eastAsia="MS Mincho"/>
                <w:b/>
                <w:bCs/>
                <w:sz w:val="22"/>
                <w:szCs w:val="22"/>
                <w:lang w:val="sr-Latn-ME" w:eastAsia="ja-JP" w:bidi="ne-NP"/>
              </w:rPr>
              <w:t>Hemoragija</w:t>
            </w:r>
            <w:r w:rsidRPr="00D024EA">
              <w:rPr>
                <w:b/>
                <w:bCs/>
                <w:sz w:val="22"/>
                <w:szCs w:val="22"/>
                <w:lang w:val="sr-Latn-ME"/>
              </w:rPr>
              <w:t xml:space="preserve"> </w:t>
            </w:r>
          </w:p>
        </w:tc>
      </w:tr>
      <w:tr w:rsidR="001B03B3" w:rsidRPr="00D024EA" w14:paraId="6D6CEEE1" w14:textId="77777777" w:rsidTr="00EA5D97">
        <w:tc>
          <w:tcPr>
            <w:tcW w:w="1195" w:type="pct"/>
          </w:tcPr>
          <w:p w14:paraId="09C22660" w14:textId="77777777" w:rsidR="001B03B3" w:rsidRPr="00D024EA" w:rsidRDefault="001B03B3" w:rsidP="00EA5D97">
            <w:pPr>
              <w:tabs>
                <w:tab w:val="left" w:pos="284"/>
              </w:tabs>
              <w:autoSpaceDE w:val="0"/>
              <w:autoSpaceDN w:val="0"/>
              <w:adjustRightInd w:val="0"/>
              <w:jc w:val="both"/>
              <w:rPr>
                <w:sz w:val="22"/>
                <w:szCs w:val="22"/>
                <w:lang w:val="sr-Latn-ME"/>
              </w:rPr>
            </w:pPr>
            <w:r w:rsidRPr="00D024EA">
              <w:rPr>
                <w:sz w:val="22"/>
                <w:szCs w:val="22"/>
                <w:lang w:val="sr-Latn-ME"/>
              </w:rPr>
              <w:t>veoma često</w:t>
            </w:r>
          </w:p>
        </w:tc>
        <w:tc>
          <w:tcPr>
            <w:tcW w:w="3805" w:type="pct"/>
          </w:tcPr>
          <w:p w14:paraId="7846EE77" w14:textId="3BD18F1B" w:rsidR="001B03B3" w:rsidRPr="00D024EA" w:rsidRDefault="001B03B3" w:rsidP="00EA5D97">
            <w:pPr>
              <w:autoSpaceDE w:val="0"/>
              <w:autoSpaceDN w:val="0"/>
              <w:adjustRightInd w:val="0"/>
              <w:ind w:left="62"/>
              <w:jc w:val="both"/>
              <w:rPr>
                <w:rFonts w:eastAsia="MS Mincho"/>
                <w:sz w:val="22"/>
                <w:szCs w:val="22"/>
                <w:lang w:val="sr-Latn-ME" w:eastAsia="ja-JP" w:bidi="ne-NP"/>
              </w:rPr>
            </w:pPr>
            <w:r w:rsidRPr="00D024EA">
              <w:rPr>
                <w:sz w:val="22"/>
                <w:szCs w:val="22"/>
                <w:lang w:val="sr-Latn-ME"/>
              </w:rPr>
              <w:t>intracerebralna hemoragija</w:t>
            </w:r>
            <w:r w:rsidRPr="00D024EA">
              <w:rPr>
                <w:rFonts w:eastAsia="MS Mincho"/>
                <w:sz w:val="22"/>
                <w:szCs w:val="22"/>
                <w:lang w:val="sr-Latn-ME" w:eastAsia="ja-JP" w:bidi="ne-NP"/>
              </w:rPr>
              <w:t xml:space="preserve"> predstavlja </w:t>
            </w:r>
            <w:r w:rsidRPr="00D024EA">
              <w:rPr>
                <w:sz w:val="22"/>
                <w:szCs w:val="22"/>
                <w:lang w:val="sr-Latn-ME"/>
              </w:rPr>
              <w:t xml:space="preserve">značajnu neželjenu reakciju u terapiji </w:t>
            </w:r>
            <w:r w:rsidRPr="00D024EA">
              <w:rPr>
                <w:rFonts w:eastAsia="MS Mincho"/>
                <w:sz w:val="22"/>
                <w:szCs w:val="22"/>
                <w:lang w:val="sr-Latn-ME" w:eastAsia="ja-JP" w:bidi="ne-NP"/>
              </w:rPr>
              <w:t xml:space="preserve">akutnog ishemijskog moždanog udara </w:t>
            </w:r>
          </w:p>
          <w:p w14:paraId="557AD648" w14:textId="77777777" w:rsidR="00B8135B" w:rsidRPr="00D024EA" w:rsidRDefault="00B8135B" w:rsidP="00EA5D97">
            <w:pPr>
              <w:autoSpaceDE w:val="0"/>
              <w:autoSpaceDN w:val="0"/>
              <w:adjustRightInd w:val="0"/>
              <w:ind w:left="62"/>
              <w:jc w:val="both"/>
              <w:rPr>
                <w:rFonts w:eastAsia="MS Mincho"/>
                <w:sz w:val="22"/>
                <w:szCs w:val="22"/>
                <w:lang w:val="sr-Latn-ME" w:eastAsia="ja-JP" w:bidi="ne-NP"/>
              </w:rPr>
            </w:pPr>
          </w:p>
          <w:p w14:paraId="3D652C9A" w14:textId="3EA65A1E" w:rsidR="001B03B3" w:rsidRPr="00D024EA" w:rsidRDefault="00B8135B" w:rsidP="00EA5D97">
            <w:pPr>
              <w:tabs>
                <w:tab w:val="left" w:pos="1418"/>
              </w:tabs>
              <w:autoSpaceDE w:val="0"/>
              <w:autoSpaceDN w:val="0"/>
              <w:adjustRightInd w:val="0"/>
              <w:jc w:val="both"/>
              <w:rPr>
                <w:sz w:val="22"/>
                <w:szCs w:val="22"/>
                <w:lang w:val="sr-Latn-ME"/>
              </w:rPr>
            </w:pPr>
            <w:r w:rsidRPr="00D024EA">
              <w:rPr>
                <w:rFonts w:eastAsia="MS Mincho"/>
                <w:sz w:val="22"/>
                <w:szCs w:val="22"/>
                <w:lang w:val="sr-Latn-ME" w:eastAsia="ja-JP" w:bidi="ne-NP"/>
              </w:rPr>
              <w:t>Sve hemoragije, uključujući one u ovoj tabeli, npr. IKH i krvarenja koja ni</w:t>
            </w:r>
            <w:r w:rsidR="00105A6E" w:rsidRPr="00D024EA">
              <w:rPr>
                <w:rFonts w:eastAsia="MS Mincho"/>
                <w:sz w:val="22"/>
                <w:szCs w:val="22"/>
                <w:lang w:val="sr-Latn-ME" w:eastAsia="ja-JP" w:bidi="ne-NP"/>
              </w:rPr>
              <w:t>je</w:t>
            </w:r>
            <w:r w:rsidRPr="00D024EA">
              <w:rPr>
                <w:rFonts w:eastAsia="MS Mincho"/>
                <w:sz w:val="22"/>
                <w:szCs w:val="22"/>
                <w:lang w:val="sr-Latn-ME" w:eastAsia="ja-JP" w:bidi="ne-NP"/>
              </w:rPr>
              <w:t>su IKH</w:t>
            </w:r>
          </w:p>
        </w:tc>
      </w:tr>
      <w:tr w:rsidR="001B03B3" w:rsidRPr="00D024EA" w14:paraId="526FD998" w14:textId="77777777" w:rsidTr="00EA5D97">
        <w:tc>
          <w:tcPr>
            <w:tcW w:w="1195" w:type="pct"/>
          </w:tcPr>
          <w:p w14:paraId="07150CE7" w14:textId="77777777" w:rsidR="001B03B3" w:rsidRPr="00D024EA" w:rsidRDefault="001B03B3" w:rsidP="00EA5D97">
            <w:pPr>
              <w:tabs>
                <w:tab w:val="left" w:pos="284"/>
              </w:tabs>
              <w:autoSpaceDE w:val="0"/>
              <w:autoSpaceDN w:val="0"/>
              <w:adjustRightInd w:val="0"/>
              <w:jc w:val="both"/>
              <w:rPr>
                <w:sz w:val="22"/>
                <w:szCs w:val="22"/>
                <w:lang w:val="sr-Latn-ME"/>
              </w:rPr>
            </w:pPr>
            <w:r w:rsidRPr="00D024EA">
              <w:rPr>
                <w:rFonts w:eastAsia="MS Mincho"/>
                <w:sz w:val="22"/>
                <w:szCs w:val="22"/>
                <w:lang w:val="sr-Latn-ME" w:eastAsia="ja-JP" w:bidi="ne-NP"/>
              </w:rPr>
              <w:t>često</w:t>
            </w:r>
          </w:p>
        </w:tc>
        <w:tc>
          <w:tcPr>
            <w:tcW w:w="3805" w:type="pct"/>
          </w:tcPr>
          <w:p w14:paraId="4D9CA168" w14:textId="4CE90A01" w:rsidR="001B03B3" w:rsidRPr="00D024EA" w:rsidRDefault="001B03B3"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 xml:space="preserve">intracerebralna hemoragija (kao što je cerebralna hemoragija, hematom mozga, hemoragijski moždani udar, hemoragijska transformacija moždanog udara, intrakranijalni hematom, subarahnoidalna hemoragija) </w:t>
            </w:r>
            <w:r w:rsidRPr="00D024EA">
              <w:rPr>
                <w:sz w:val="22"/>
                <w:szCs w:val="22"/>
                <w:lang w:val="sr-Latn-ME"/>
              </w:rPr>
              <w:t xml:space="preserve">u terapiji </w:t>
            </w:r>
            <w:r w:rsidRPr="00D024EA">
              <w:rPr>
                <w:rFonts w:eastAsia="MS Mincho"/>
                <w:sz w:val="22"/>
                <w:szCs w:val="22"/>
                <w:lang w:val="sr-Latn-ME" w:eastAsia="ja-JP" w:bidi="ne-NP"/>
              </w:rPr>
              <w:t xml:space="preserve">akutnog infarkta miokarda i akutne </w:t>
            </w:r>
            <w:r w:rsidR="00B8135B" w:rsidRPr="00D024EA">
              <w:rPr>
                <w:rFonts w:eastAsia="MS Mincho"/>
                <w:sz w:val="22"/>
                <w:szCs w:val="22"/>
                <w:lang w:val="sr-Latn-ME" w:eastAsia="ja-JP" w:bidi="ne-NP"/>
              </w:rPr>
              <w:t xml:space="preserve">masivne </w:t>
            </w:r>
            <w:r w:rsidRPr="00D024EA">
              <w:rPr>
                <w:rFonts w:eastAsia="MS Mincho"/>
                <w:sz w:val="22"/>
                <w:szCs w:val="22"/>
                <w:lang w:val="sr-Latn-ME" w:eastAsia="ja-JP" w:bidi="ne-NP"/>
              </w:rPr>
              <w:t xml:space="preserve">plućne embolije.  </w:t>
            </w:r>
          </w:p>
          <w:p w14:paraId="0CE8E20F" w14:textId="77777777" w:rsidR="001B03B3" w:rsidRPr="00D024EA" w:rsidRDefault="001B03B3" w:rsidP="00EA5D97">
            <w:pPr>
              <w:tabs>
                <w:tab w:val="left" w:pos="1418"/>
              </w:tabs>
              <w:autoSpaceDE w:val="0"/>
              <w:autoSpaceDN w:val="0"/>
              <w:adjustRightInd w:val="0"/>
              <w:ind w:left="1418"/>
              <w:jc w:val="both"/>
              <w:rPr>
                <w:sz w:val="22"/>
                <w:szCs w:val="22"/>
                <w:lang w:val="sr-Latn-ME"/>
              </w:rPr>
            </w:pPr>
          </w:p>
          <w:p w14:paraId="5D3513AB" w14:textId="77777777" w:rsidR="001B03B3" w:rsidRPr="00D024EA" w:rsidRDefault="001B03B3" w:rsidP="00EA5D97">
            <w:pPr>
              <w:tabs>
                <w:tab w:val="left" w:pos="0"/>
              </w:tabs>
              <w:autoSpaceDE w:val="0"/>
              <w:autoSpaceDN w:val="0"/>
              <w:adjustRightInd w:val="0"/>
              <w:jc w:val="both"/>
              <w:rPr>
                <w:sz w:val="22"/>
                <w:szCs w:val="22"/>
                <w:lang w:val="sr-Latn-ME"/>
              </w:rPr>
            </w:pPr>
            <w:r w:rsidRPr="00D024EA">
              <w:rPr>
                <w:rFonts w:eastAsia="MS Mincho"/>
                <w:sz w:val="22"/>
                <w:szCs w:val="22"/>
                <w:lang w:val="sr-Latn-ME" w:eastAsia="ja-JP" w:bidi="ne-NP"/>
              </w:rPr>
              <w:t>faringealna hemoragija</w:t>
            </w:r>
          </w:p>
          <w:p w14:paraId="58406621" w14:textId="77777777" w:rsidR="001B03B3" w:rsidRPr="00D024EA" w:rsidRDefault="001B03B3" w:rsidP="00EA5D97">
            <w:pPr>
              <w:tabs>
                <w:tab w:val="left" w:pos="0"/>
              </w:tabs>
              <w:autoSpaceDE w:val="0"/>
              <w:autoSpaceDN w:val="0"/>
              <w:adjustRightInd w:val="0"/>
              <w:jc w:val="both"/>
              <w:rPr>
                <w:sz w:val="22"/>
                <w:szCs w:val="22"/>
                <w:lang w:val="sr-Latn-ME"/>
              </w:rPr>
            </w:pPr>
          </w:p>
          <w:p w14:paraId="399AE61E" w14:textId="77777777" w:rsidR="001B03B3" w:rsidRPr="00D024EA" w:rsidRDefault="001B03B3" w:rsidP="00EA5D97">
            <w:pPr>
              <w:tabs>
                <w:tab w:val="left" w:pos="62"/>
              </w:tabs>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gastrointestinalna hemoragija (kao što je gastrična hemoragija, ulkus želuca koji krvari, rektalna hemoragija, hematemeza, melena, krvarenje u ustima, gingivalno krvarenje)</w:t>
            </w:r>
          </w:p>
          <w:p w14:paraId="067AD67B" w14:textId="77777777" w:rsidR="001B03B3" w:rsidRPr="00D024EA" w:rsidRDefault="001B03B3" w:rsidP="00EA5D97">
            <w:pPr>
              <w:tabs>
                <w:tab w:val="left" w:pos="0"/>
              </w:tabs>
              <w:autoSpaceDE w:val="0"/>
              <w:autoSpaceDN w:val="0"/>
              <w:adjustRightInd w:val="0"/>
              <w:jc w:val="both"/>
              <w:rPr>
                <w:sz w:val="22"/>
                <w:szCs w:val="22"/>
                <w:lang w:val="sr-Latn-ME"/>
              </w:rPr>
            </w:pPr>
          </w:p>
          <w:p w14:paraId="3182EE66" w14:textId="77777777" w:rsidR="001B03B3" w:rsidRPr="00D024EA" w:rsidRDefault="001B03B3" w:rsidP="00EA5D97">
            <w:pPr>
              <w:tabs>
                <w:tab w:val="left" w:pos="0"/>
              </w:tabs>
              <w:autoSpaceDE w:val="0"/>
              <w:autoSpaceDN w:val="0"/>
              <w:adjustRightInd w:val="0"/>
              <w:ind w:left="1418" w:hanging="1356"/>
              <w:jc w:val="both"/>
              <w:rPr>
                <w:rFonts w:eastAsia="MS Mincho"/>
                <w:sz w:val="22"/>
                <w:szCs w:val="22"/>
                <w:lang w:val="sr-Latn-ME" w:eastAsia="ja-JP" w:bidi="ne-NP"/>
              </w:rPr>
            </w:pPr>
            <w:r w:rsidRPr="00D024EA">
              <w:rPr>
                <w:rFonts w:eastAsia="MS Mincho"/>
                <w:sz w:val="22"/>
                <w:szCs w:val="22"/>
                <w:lang w:val="sr-Latn-ME" w:eastAsia="ja-JP" w:bidi="ne-NP"/>
              </w:rPr>
              <w:t>ekhimoze</w:t>
            </w:r>
          </w:p>
          <w:p w14:paraId="07007E00" w14:textId="77777777" w:rsidR="001B03B3" w:rsidRPr="00D024EA" w:rsidRDefault="001B03B3" w:rsidP="00EA5D97">
            <w:pPr>
              <w:tabs>
                <w:tab w:val="left" w:pos="0"/>
              </w:tabs>
              <w:autoSpaceDE w:val="0"/>
              <w:autoSpaceDN w:val="0"/>
              <w:adjustRightInd w:val="0"/>
              <w:jc w:val="both"/>
              <w:rPr>
                <w:sz w:val="22"/>
                <w:szCs w:val="22"/>
                <w:lang w:val="sr-Latn-ME"/>
              </w:rPr>
            </w:pPr>
          </w:p>
          <w:p w14:paraId="38EE694B" w14:textId="77777777" w:rsidR="001B03B3" w:rsidRPr="00D024EA" w:rsidRDefault="001B03B3" w:rsidP="00EA5D97">
            <w:pPr>
              <w:tabs>
                <w:tab w:val="left" w:pos="62"/>
              </w:tabs>
              <w:autoSpaceDE w:val="0"/>
              <w:autoSpaceDN w:val="0"/>
              <w:adjustRightInd w:val="0"/>
              <w:ind w:left="1418" w:hanging="1356"/>
              <w:jc w:val="both"/>
              <w:rPr>
                <w:rFonts w:eastAsia="MS Mincho"/>
                <w:sz w:val="22"/>
                <w:szCs w:val="22"/>
                <w:lang w:val="sr-Latn-ME" w:eastAsia="ja-JP" w:bidi="ne-NP"/>
              </w:rPr>
            </w:pPr>
            <w:r w:rsidRPr="00D024EA">
              <w:rPr>
                <w:rFonts w:eastAsia="MS Mincho"/>
                <w:sz w:val="22"/>
                <w:szCs w:val="22"/>
                <w:lang w:val="sr-Latn-ME" w:eastAsia="ja-JP" w:bidi="ne-NP"/>
              </w:rPr>
              <w:t>urogenitalna hemoragija (kao što je hematurija, hemoragija urinarnog trakta)</w:t>
            </w:r>
          </w:p>
          <w:p w14:paraId="2D4A2AEE" w14:textId="77777777" w:rsidR="001B03B3" w:rsidRPr="00D024EA" w:rsidRDefault="001B03B3" w:rsidP="00EA5D97">
            <w:pPr>
              <w:tabs>
                <w:tab w:val="left" w:pos="284"/>
              </w:tabs>
              <w:autoSpaceDE w:val="0"/>
              <w:autoSpaceDN w:val="0"/>
              <w:adjustRightInd w:val="0"/>
              <w:ind w:left="34"/>
              <w:jc w:val="both"/>
              <w:rPr>
                <w:bCs/>
                <w:iCs/>
                <w:strike/>
                <w:sz w:val="22"/>
                <w:szCs w:val="22"/>
                <w:lang w:val="sr-Latn-ME"/>
              </w:rPr>
            </w:pPr>
          </w:p>
          <w:p w14:paraId="115DA748" w14:textId="77777777" w:rsidR="001B03B3" w:rsidRPr="00D024EA" w:rsidRDefault="001B03B3" w:rsidP="00EA5D97">
            <w:pPr>
              <w:tabs>
                <w:tab w:val="left" w:pos="62"/>
              </w:tabs>
              <w:autoSpaceDE w:val="0"/>
              <w:autoSpaceDN w:val="0"/>
              <w:adjustRightInd w:val="0"/>
              <w:ind w:left="62"/>
              <w:jc w:val="both"/>
              <w:rPr>
                <w:rFonts w:eastAsia="MS Mincho"/>
                <w:sz w:val="22"/>
                <w:szCs w:val="22"/>
                <w:lang w:val="sr-Latn-ME" w:eastAsia="ja-JP" w:bidi="ne-NP"/>
              </w:rPr>
            </w:pPr>
            <w:r w:rsidRPr="00D024EA">
              <w:rPr>
                <w:rFonts w:eastAsia="MS Mincho"/>
                <w:sz w:val="22"/>
                <w:szCs w:val="22"/>
                <w:lang w:val="sr-Latn-ME" w:eastAsia="ja-JP" w:bidi="ne-NP"/>
              </w:rPr>
              <w:lastRenderedPageBreak/>
              <w:t>hemoragija na mjestu injekcije (obično iz punktiranih mjesta, hematom na mjestu ulaska katetera, hemoragija na mjestu ulaska katetera)</w:t>
            </w:r>
          </w:p>
          <w:p w14:paraId="50E73F2F" w14:textId="77777777" w:rsidR="001B03B3" w:rsidRPr="00D024EA" w:rsidRDefault="001B03B3" w:rsidP="00EA5D97">
            <w:pPr>
              <w:tabs>
                <w:tab w:val="left" w:pos="284"/>
              </w:tabs>
              <w:autoSpaceDE w:val="0"/>
              <w:autoSpaceDN w:val="0"/>
              <w:adjustRightInd w:val="0"/>
              <w:ind w:left="34"/>
              <w:jc w:val="both"/>
              <w:rPr>
                <w:bCs/>
                <w:iCs/>
                <w:strike/>
                <w:sz w:val="22"/>
                <w:szCs w:val="22"/>
                <w:lang w:val="sr-Latn-ME"/>
              </w:rPr>
            </w:pPr>
          </w:p>
        </w:tc>
      </w:tr>
      <w:tr w:rsidR="001B03B3" w:rsidRPr="00D024EA" w14:paraId="6302C6E0" w14:textId="77777777" w:rsidTr="00EA5D97">
        <w:tc>
          <w:tcPr>
            <w:tcW w:w="1195" w:type="pct"/>
          </w:tcPr>
          <w:p w14:paraId="27FB8F29" w14:textId="77777777" w:rsidR="001B03B3" w:rsidRPr="00D024EA" w:rsidRDefault="001B03B3" w:rsidP="00EA5D97">
            <w:pPr>
              <w:tabs>
                <w:tab w:val="left" w:pos="284"/>
              </w:tabs>
              <w:autoSpaceDE w:val="0"/>
              <w:autoSpaceDN w:val="0"/>
              <w:adjustRightInd w:val="0"/>
              <w:jc w:val="both"/>
              <w:rPr>
                <w:sz w:val="22"/>
                <w:szCs w:val="22"/>
                <w:lang w:val="sr-Latn-ME"/>
              </w:rPr>
            </w:pPr>
            <w:r w:rsidRPr="00D024EA">
              <w:rPr>
                <w:rFonts w:eastAsia="MS Mincho"/>
                <w:sz w:val="22"/>
                <w:szCs w:val="22"/>
                <w:lang w:val="sr-Latn-ME" w:eastAsia="ja-JP" w:bidi="ne-NP"/>
              </w:rPr>
              <w:lastRenderedPageBreak/>
              <w:t>povremeno</w:t>
            </w:r>
          </w:p>
        </w:tc>
        <w:tc>
          <w:tcPr>
            <w:tcW w:w="3805" w:type="pct"/>
          </w:tcPr>
          <w:p w14:paraId="78AFE3CB" w14:textId="77777777" w:rsidR="001B03B3" w:rsidRPr="00D024EA" w:rsidRDefault="001B03B3" w:rsidP="00EA5D97">
            <w:pPr>
              <w:tabs>
                <w:tab w:val="left" w:pos="284"/>
              </w:tabs>
              <w:autoSpaceDE w:val="0"/>
              <w:autoSpaceDN w:val="0"/>
              <w:adjustRightInd w:val="0"/>
              <w:jc w:val="both"/>
              <w:rPr>
                <w:bCs/>
                <w:iCs/>
                <w:sz w:val="22"/>
                <w:szCs w:val="22"/>
                <w:lang w:val="sr-Latn-ME"/>
              </w:rPr>
            </w:pPr>
            <w:r w:rsidRPr="00D024EA">
              <w:rPr>
                <w:bCs/>
                <w:iCs/>
                <w:sz w:val="22"/>
                <w:szCs w:val="22"/>
                <w:lang w:val="sr-Latn-ME"/>
              </w:rPr>
              <w:t>plućna hemoragija (kao što je hemoptizija, hemotoraks, hemoragija respiratornog trakta)</w:t>
            </w:r>
          </w:p>
          <w:p w14:paraId="0EC2E307" w14:textId="77777777" w:rsidR="001B03B3" w:rsidRPr="00D024EA" w:rsidRDefault="001B03B3" w:rsidP="00EA5D97">
            <w:pPr>
              <w:tabs>
                <w:tab w:val="left" w:pos="284"/>
              </w:tabs>
              <w:autoSpaceDE w:val="0"/>
              <w:autoSpaceDN w:val="0"/>
              <w:adjustRightInd w:val="0"/>
              <w:ind w:left="33"/>
              <w:jc w:val="both"/>
              <w:rPr>
                <w:bCs/>
                <w:iCs/>
                <w:sz w:val="22"/>
                <w:szCs w:val="22"/>
                <w:lang w:val="sr-Latn-ME"/>
              </w:rPr>
            </w:pPr>
          </w:p>
          <w:p w14:paraId="658C35D1" w14:textId="77777777" w:rsidR="001B03B3" w:rsidRPr="00D024EA" w:rsidRDefault="001B03B3" w:rsidP="00EA5D97">
            <w:pPr>
              <w:tabs>
                <w:tab w:val="left" w:pos="284"/>
              </w:tabs>
              <w:autoSpaceDE w:val="0"/>
              <w:autoSpaceDN w:val="0"/>
              <w:adjustRightInd w:val="0"/>
              <w:jc w:val="both"/>
              <w:rPr>
                <w:bCs/>
                <w:iCs/>
                <w:sz w:val="22"/>
                <w:szCs w:val="22"/>
                <w:lang w:val="sr-Latn-ME"/>
              </w:rPr>
            </w:pPr>
            <w:r w:rsidRPr="00D024EA">
              <w:rPr>
                <w:bCs/>
                <w:iCs/>
                <w:sz w:val="22"/>
                <w:szCs w:val="22"/>
                <w:lang w:val="sr-Latn-ME"/>
              </w:rPr>
              <w:t>epistaksa</w:t>
            </w:r>
          </w:p>
          <w:p w14:paraId="4EF98E8F" w14:textId="77777777" w:rsidR="001B03B3" w:rsidRPr="00D024EA" w:rsidRDefault="001B03B3" w:rsidP="00EA5D97">
            <w:pPr>
              <w:tabs>
                <w:tab w:val="left" w:pos="284"/>
              </w:tabs>
              <w:autoSpaceDE w:val="0"/>
              <w:autoSpaceDN w:val="0"/>
              <w:adjustRightInd w:val="0"/>
              <w:ind w:left="33"/>
              <w:jc w:val="both"/>
              <w:rPr>
                <w:bCs/>
                <w:iCs/>
                <w:sz w:val="22"/>
                <w:szCs w:val="22"/>
                <w:lang w:val="sr-Latn-ME"/>
              </w:rPr>
            </w:pPr>
          </w:p>
          <w:p w14:paraId="3D403374" w14:textId="502C51D4" w:rsidR="001B03B3" w:rsidRPr="00D024EA" w:rsidRDefault="001B03B3" w:rsidP="00EA5D97">
            <w:pPr>
              <w:tabs>
                <w:tab w:val="left" w:pos="1418"/>
              </w:tabs>
              <w:autoSpaceDE w:val="0"/>
              <w:autoSpaceDN w:val="0"/>
              <w:adjustRightInd w:val="0"/>
              <w:jc w:val="both"/>
              <w:rPr>
                <w:bCs/>
                <w:iCs/>
                <w:sz w:val="22"/>
                <w:szCs w:val="22"/>
                <w:lang w:val="sr-Latn-ME"/>
              </w:rPr>
            </w:pPr>
            <w:r w:rsidRPr="00D024EA">
              <w:rPr>
                <w:sz w:val="22"/>
                <w:szCs w:val="22"/>
                <w:lang w:val="sr-Latn-ME"/>
              </w:rPr>
              <w:t>hemoragija</w:t>
            </w:r>
            <w:r w:rsidRPr="00D024EA">
              <w:rPr>
                <w:rFonts w:eastAsia="MS Mincho"/>
                <w:sz w:val="22"/>
                <w:szCs w:val="22"/>
                <w:lang w:val="sr-Latn-ME" w:eastAsia="ja-JP" w:bidi="ne-NP"/>
              </w:rPr>
              <w:t xml:space="preserve"> uha</w:t>
            </w:r>
          </w:p>
        </w:tc>
      </w:tr>
      <w:tr w:rsidR="001B03B3" w:rsidRPr="00D024EA" w14:paraId="70D8DC69" w14:textId="77777777" w:rsidTr="00EA5D97">
        <w:trPr>
          <w:trHeight w:val="1265"/>
        </w:trPr>
        <w:tc>
          <w:tcPr>
            <w:tcW w:w="1195" w:type="pct"/>
          </w:tcPr>
          <w:p w14:paraId="7C946221" w14:textId="77777777" w:rsidR="001B03B3" w:rsidRPr="00D024EA" w:rsidRDefault="001B03B3" w:rsidP="00EA5D97">
            <w:pPr>
              <w:tabs>
                <w:tab w:val="left" w:pos="284"/>
              </w:tabs>
              <w:autoSpaceDE w:val="0"/>
              <w:autoSpaceDN w:val="0"/>
              <w:adjustRightInd w:val="0"/>
              <w:jc w:val="both"/>
              <w:rPr>
                <w:sz w:val="22"/>
                <w:szCs w:val="22"/>
                <w:lang w:val="sr-Latn-ME"/>
              </w:rPr>
            </w:pPr>
            <w:r w:rsidRPr="00D024EA">
              <w:rPr>
                <w:rFonts w:eastAsia="MS Mincho"/>
                <w:sz w:val="22"/>
                <w:szCs w:val="22"/>
                <w:lang w:val="sr-Latn-ME" w:eastAsia="ja-JP" w:bidi="ne-NP"/>
              </w:rPr>
              <w:t>rijetko</w:t>
            </w:r>
          </w:p>
        </w:tc>
        <w:tc>
          <w:tcPr>
            <w:tcW w:w="3805" w:type="pct"/>
          </w:tcPr>
          <w:p w14:paraId="63857543" w14:textId="77777777" w:rsidR="001B03B3" w:rsidRPr="00D024EA" w:rsidRDefault="001B03B3" w:rsidP="00EA5D97">
            <w:pPr>
              <w:tabs>
                <w:tab w:val="left" w:pos="284"/>
              </w:tabs>
              <w:autoSpaceDE w:val="0"/>
              <w:autoSpaceDN w:val="0"/>
              <w:adjustRightInd w:val="0"/>
              <w:jc w:val="both"/>
              <w:rPr>
                <w:bCs/>
                <w:iCs/>
                <w:sz w:val="22"/>
                <w:szCs w:val="22"/>
                <w:lang w:val="sr-Latn-ME"/>
              </w:rPr>
            </w:pPr>
            <w:r w:rsidRPr="00D024EA">
              <w:rPr>
                <w:sz w:val="22"/>
                <w:szCs w:val="22"/>
                <w:lang w:val="sr-Latn-ME"/>
              </w:rPr>
              <w:t>hemoragija oka</w:t>
            </w:r>
          </w:p>
          <w:p w14:paraId="11F06D20" w14:textId="77777777" w:rsidR="001B03B3" w:rsidRPr="00D024EA" w:rsidRDefault="001B03B3" w:rsidP="00EA5D97">
            <w:pPr>
              <w:tabs>
                <w:tab w:val="left" w:pos="284"/>
              </w:tabs>
              <w:autoSpaceDE w:val="0"/>
              <w:autoSpaceDN w:val="0"/>
              <w:adjustRightInd w:val="0"/>
              <w:ind w:right="-108"/>
              <w:jc w:val="both"/>
              <w:rPr>
                <w:bCs/>
                <w:iCs/>
                <w:sz w:val="22"/>
                <w:szCs w:val="22"/>
                <w:lang w:val="sr-Latn-ME"/>
              </w:rPr>
            </w:pPr>
          </w:p>
          <w:p w14:paraId="4F9719AC" w14:textId="77777777" w:rsidR="001B03B3" w:rsidRPr="00D024EA" w:rsidRDefault="001B03B3" w:rsidP="00EA5D97">
            <w:pPr>
              <w:tabs>
                <w:tab w:val="left" w:pos="284"/>
              </w:tabs>
              <w:autoSpaceDE w:val="0"/>
              <w:autoSpaceDN w:val="0"/>
              <w:adjustRightInd w:val="0"/>
              <w:ind w:right="-108"/>
              <w:jc w:val="both"/>
              <w:rPr>
                <w:bCs/>
                <w:iCs/>
                <w:sz w:val="22"/>
                <w:szCs w:val="22"/>
                <w:lang w:val="sr-Latn-ME"/>
              </w:rPr>
            </w:pPr>
            <w:r w:rsidRPr="00D024EA">
              <w:rPr>
                <w:bCs/>
                <w:iCs/>
                <w:sz w:val="22"/>
                <w:szCs w:val="22"/>
                <w:lang w:val="sr-Latn-ME"/>
              </w:rPr>
              <w:t>perikardijalna hemoragija</w:t>
            </w:r>
          </w:p>
          <w:p w14:paraId="72C0CC66" w14:textId="77777777" w:rsidR="001B03B3" w:rsidRPr="00D024EA" w:rsidRDefault="001B03B3" w:rsidP="00EA5D97">
            <w:pPr>
              <w:tabs>
                <w:tab w:val="left" w:pos="284"/>
              </w:tabs>
              <w:autoSpaceDE w:val="0"/>
              <w:autoSpaceDN w:val="0"/>
              <w:adjustRightInd w:val="0"/>
              <w:ind w:right="-108"/>
              <w:jc w:val="both"/>
              <w:rPr>
                <w:bCs/>
                <w:iCs/>
                <w:sz w:val="22"/>
                <w:szCs w:val="22"/>
                <w:lang w:val="sr-Latn-ME"/>
              </w:rPr>
            </w:pPr>
          </w:p>
          <w:p w14:paraId="49A59884" w14:textId="4F4C1B97" w:rsidR="001B03B3" w:rsidRPr="00D024EA" w:rsidRDefault="001B03B3" w:rsidP="00EA5D97">
            <w:pPr>
              <w:autoSpaceDE w:val="0"/>
              <w:autoSpaceDN w:val="0"/>
              <w:adjustRightInd w:val="0"/>
              <w:ind w:left="62" w:hanging="62"/>
              <w:jc w:val="both"/>
              <w:rPr>
                <w:bCs/>
                <w:iCs/>
                <w:sz w:val="22"/>
                <w:szCs w:val="22"/>
                <w:lang w:val="sr-Latn-ME"/>
              </w:rPr>
            </w:pPr>
            <w:r w:rsidRPr="00D024EA">
              <w:rPr>
                <w:rFonts w:eastAsia="MS Mincho"/>
                <w:sz w:val="22"/>
                <w:szCs w:val="22"/>
                <w:lang w:val="sr-Latn-ME" w:eastAsia="ja-JP" w:bidi="ne-NP"/>
              </w:rPr>
              <w:t>retroperitonealno krvarenje (kao što je retroperitonealni hematom)</w:t>
            </w:r>
          </w:p>
        </w:tc>
      </w:tr>
      <w:tr w:rsidR="001B03B3" w:rsidRPr="00D024EA" w14:paraId="6E52EB88" w14:textId="77777777" w:rsidTr="00EA5D97">
        <w:tc>
          <w:tcPr>
            <w:tcW w:w="1195" w:type="pct"/>
          </w:tcPr>
          <w:p w14:paraId="4A8CADE4" w14:textId="77777777" w:rsidR="001B03B3" w:rsidRPr="00D024EA" w:rsidDel="00DD6898" w:rsidRDefault="001B03B3" w:rsidP="00EA5D97">
            <w:pPr>
              <w:tabs>
                <w:tab w:val="left" w:pos="284"/>
              </w:tabs>
              <w:autoSpaceDE w:val="0"/>
              <w:autoSpaceDN w:val="0"/>
              <w:adjustRightInd w:val="0"/>
              <w:ind w:right="-108"/>
              <w:jc w:val="both"/>
              <w:rPr>
                <w:sz w:val="22"/>
                <w:szCs w:val="22"/>
                <w:lang w:val="sr-Latn-ME"/>
              </w:rPr>
            </w:pPr>
            <w:r w:rsidRPr="00D024EA">
              <w:rPr>
                <w:sz w:val="22"/>
                <w:szCs w:val="22"/>
                <w:lang w:val="sr-Latn-ME"/>
              </w:rPr>
              <w:t>Nije poznato***</w:t>
            </w:r>
          </w:p>
        </w:tc>
        <w:tc>
          <w:tcPr>
            <w:tcW w:w="3805" w:type="pct"/>
          </w:tcPr>
          <w:p w14:paraId="11F7E683" w14:textId="77777777" w:rsidR="001B03B3" w:rsidRPr="00D024EA" w:rsidRDefault="001B03B3" w:rsidP="00EA5D97">
            <w:pPr>
              <w:tabs>
                <w:tab w:val="left" w:pos="284"/>
              </w:tabs>
              <w:autoSpaceDE w:val="0"/>
              <w:autoSpaceDN w:val="0"/>
              <w:adjustRightInd w:val="0"/>
              <w:ind w:right="-108"/>
              <w:jc w:val="both"/>
              <w:rPr>
                <w:sz w:val="22"/>
                <w:szCs w:val="22"/>
                <w:lang w:val="sr-Latn-ME"/>
              </w:rPr>
            </w:pPr>
            <w:r w:rsidRPr="00D024EA">
              <w:rPr>
                <w:sz w:val="22"/>
                <w:szCs w:val="22"/>
                <w:lang w:val="sr-Latn-ME"/>
              </w:rPr>
              <w:t xml:space="preserve">krvarenje u parenhimatoznim organima </w:t>
            </w:r>
            <w:r w:rsidRPr="00D024EA">
              <w:rPr>
                <w:rFonts w:eastAsia="MS Mincho"/>
                <w:sz w:val="22"/>
                <w:szCs w:val="22"/>
                <w:lang w:val="sr-Latn-ME" w:eastAsia="ja-JP" w:bidi="ne-NP"/>
              </w:rPr>
              <w:t>(kao što je hepatična hemoragija)</w:t>
            </w:r>
          </w:p>
        </w:tc>
      </w:tr>
      <w:tr w:rsidR="001B03B3" w:rsidRPr="00D024EA" w14:paraId="26E639CB" w14:textId="77777777" w:rsidTr="00EA5D97">
        <w:tc>
          <w:tcPr>
            <w:tcW w:w="5000" w:type="pct"/>
            <w:gridSpan w:val="2"/>
            <w:vAlign w:val="center"/>
          </w:tcPr>
          <w:p w14:paraId="7E22A63B" w14:textId="527267DD" w:rsidR="001B03B3" w:rsidRPr="00D024EA" w:rsidRDefault="001B03B3" w:rsidP="00EA5D97">
            <w:pPr>
              <w:autoSpaceDE w:val="0"/>
              <w:autoSpaceDN w:val="0"/>
              <w:adjustRightInd w:val="0"/>
              <w:jc w:val="both"/>
              <w:rPr>
                <w:rFonts w:eastAsia="MS Mincho"/>
                <w:b/>
                <w:bCs/>
                <w:sz w:val="22"/>
                <w:szCs w:val="22"/>
                <w:highlight w:val="yellow"/>
                <w:lang w:val="sr-Latn-ME" w:eastAsia="ja-JP" w:bidi="ne-NP"/>
              </w:rPr>
            </w:pPr>
            <w:r w:rsidRPr="00D024EA">
              <w:rPr>
                <w:rFonts w:eastAsia="MS Mincho"/>
                <w:b/>
                <w:bCs/>
                <w:sz w:val="22"/>
                <w:szCs w:val="22"/>
                <w:lang w:val="sr-Latn-ME" w:eastAsia="ja-JP" w:bidi="ne-NP"/>
              </w:rPr>
              <w:t>Poremećaji imunog sistema</w:t>
            </w:r>
          </w:p>
          <w:p w14:paraId="12501FF2" w14:textId="77777777" w:rsidR="001B03B3" w:rsidRPr="00D024EA" w:rsidRDefault="001B03B3" w:rsidP="00EA5D97">
            <w:pPr>
              <w:tabs>
                <w:tab w:val="center" w:pos="4536"/>
                <w:tab w:val="right" w:pos="9072"/>
              </w:tabs>
              <w:jc w:val="both"/>
              <w:rPr>
                <w:b/>
                <w:bCs/>
                <w:sz w:val="22"/>
                <w:szCs w:val="22"/>
                <w:lang w:val="sr-Latn-ME"/>
              </w:rPr>
            </w:pPr>
          </w:p>
        </w:tc>
      </w:tr>
      <w:tr w:rsidR="001B03B3" w:rsidRPr="00D024EA" w14:paraId="2C53FDEF" w14:textId="77777777" w:rsidTr="00EA5D97">
        <w:tc>
          <w:tcPr>
            <w:tcW w:w="1195" w:type="pct"/>
          </w:tcPr>
          <w:p w14:paraId="6943E108" w14:textId="77777777" w:rsidR="001B03B3" w:rsidRPr="00D024EA" w:rsidRDefault="001B03B3" w:rsidP="00EA5D97">
            <w:pPr>
              <w:tabs>
                <w:tab w:val="center" w:pos="4536"/>
                <w:tab w:val="right" w:pos="9072"/>
              </w:tabs>
              <w:jc w:val="both"/>
              <w:rPr>
                <w:sz w:val="22"/>
                <w:szCs w:val="22"/>
                <w:lang w:val="sr-Latn-ME"/>
              </w:rPr>
            </w:pPr>
            <w:r w:rsidRPr="00D024EA">
              <w:rPr>
                <w:sz w:val="22"/>
                <w:szCs w:val="22"/>
                <w:lang w:val="sr-Latn-ME"/>
              </w:rPr>
              <w:t>rijetko</w:t>
            </w:r>
          </w:p>
        </w:tc>
        <w:tc>
          <w:tcPr>
            <w:tcW w:w="3805" w:type="pct"/>
          </w:tcPr>
          <w:p w14:paraId="6C1CEA43" w14:textId="77777777" w:rsidR="001B03B3" w:rsidRPr="00D024EA" w:rsidRDefault="001B03B3" w:rsidP="00EA5D97">
            <w:pPr>
              <w:tabs>
                <w:tab w:val="center" w:pos="4536"/>
                <w:tab w:val="right" w:pos="9072"/>
              </w:tabs>
              <w:jc w:val="both"/>
              <w:rPr>
                <w:sz w:val="22"/>
                <w:szCs w:val="22"/>
                <w:lang w:val="sr-Latn-ME"/>
              </w:rPr>
            </w:pPr>
            <w:r w:rsidRPr="00D024EA">
              <w:rPr>
                <w:sz w:val="22"/>
                <w:szCs w:val="22"/>
                <w:lang w:val="sr-Latn-ME"/>
              </w:rPr>
              <w:t>reakcije hipersenzitivnosti /(npr. osip, urtikarija, bronhospazam, angioedem, hipotenzija, šok)</w:t>
            </w:r>
            <w:r w:rsidRPr="00D024EA">
              <w:rPr>
                <w:b/>
                <w:bCs/>
                <w:sz w:val="22"/>
                <w:szCs w:val="22"/>
                <w:lang w:val="sr-Latn-ME" w:bidi="en-US"/>
              </w:rPr>
              <w:t>*</w:t>
            </w:r>
          </w:p>
        </w:tc>
      </w:tr>
      <w:tr w:rsidR="001B03B3" w:rsidRPr="00D024EA" w14:paraId="350DFAC7" w14:textId="77777777" w:rsidTr="00EA5D97">
        <w:tc>
          <w:tcPr>
            <w:tcW w:w="1195" w:type="pct"/>
          </w:tcPr>
          <w:p w14:paraId="2D417B63" w14:textId="77777777" w:rsidR="001B03B3" w:rsidRPr="00D024EA" w:rsidRDefault="001B03B3" w:rsidP="00EA5D97">
            <w:pPr>
              <w:tabs>
                <w:tab w:val="center" w:pos="4536"/>
                <w:tab w:val="right" w:pos="9072"/>
              </w:tabs>
              <w:jc w:val="both"/>
              <w:rPr>
                <w:sz w:val="22"/>
                <w:szCs w:val="22"/>
                <w:lang w:val="sr-Latn-ME"/>
              </w:rPr>
            </w:pPr>
            <w:r w:rsidRPr="00D024EA">
              <w:rPr>
                <w:sz w:val="22"/>
                <w:szCs w:val="22"/>
                <w:lang w:val="sr-Latn-ME"/>
              </w:rPr>
              <w:t>veoma rijetko</w:t>
            </w:r>
          </w:p>
        </w:tc>
        <w:tc>
          <w:tcPr>
            <w:tcW w:w="3805" w:type="pct"/>
          </w:tcPr>
          <w:p w14:paraId="44275C55" w14:textId="77777777" w:rsidR="001B03B3" w:rsidRPr="00D024EA" w:rsidRDefault="001B03B3" w:rsidP="00EA5D97">
            <w:pPr>
              <w:tabs>
                <w:tab w:val="center" w:pos="4536"/>
                <w:tab w:val="right" w:pos="9072"/>
              </w:tabs>
              <w:jc w:val="both"/>
              <w:rPr>
                <w:sz w:val="22"/>
                <w:szCs w:val="22"/>
                <w:lang w:val="sr-Latn-ME"/>
              </w:rPr>
            </w:pPr>
            <w:r w:rsidRPr="00D024EA">
              <w:rPr>
                <w:sz w:val="22"/>
                <w:szCs w:val="22"/>
                <w:lang w:val="sr-Latn-ME"/>
              </w:rPr>
              <w:t>ozbiljna</w:t>
            </w:r>
            <w:r w:rsidRPr="00D024EA">
              <w:rPr>
                <w:rFonts w:eastAsia="MS Mincho"/>
                <w:sz w:val="22"/>
                <w:szCs w:val="22"/>
                <w:lang w:val="sr-Latn-ME" w:eastAsia="ja-JP" w:bidi="ne-NP"/>
              </w:rPr>
              <w:t xml:space="preserve"> anafilaksa</w:t>
            </w:r>
          </w:p>
        </w:tc>
      </w:tr>
      <w:tr w:rsidR="001B03B3" w:rsidRPr="00D024EA" w14:paraId="51A1D3C6" w14:textId="77777777" w:rsidTr="00EA5D97">
        <w:tc>
          <w:tcPr>
            <w:tcW w:w="5000" w:type="pct"/>
            <w:gridSpan w:val="2"/>
          </w:tcPr>
          <w:p w14:paraId="745A6C39" w14:textId="77777777" w:rsidR="001B03B3" w:rsidRPr="00D024EA" w:rsidRDefault="001B03B3" w:rsidP="00EA5D97">
            <w:pPr>
              <w:autoSpaceDE w:val="0"/>
              <w:autoSpaceDN w:val="0"/>
              <w:adjustRightInd w:val="0"/>
              <w:ind w:left="2268" w:hanging="2268"/>
              <w:jc w:val="both"/>
              <w:rPr>
                <w:rFonts w:eastAsia="MS Mincho"/>
                <w:b/>
                <w:bCs/>
                <w:sz w:val="22"/>
                <w:szCs w:val="22"/>
                <w:lang w:val="sr-Latn-ME" w:eastAsia="ja-JP" w:bidi="ne-NP"/>
              </w:rPr>
            </w:pPr>
            <w:r w:rsidRPr="00D024EA">
              <w:rPr>
                <w:rFonts w:eastAsia="MS Mincho"/>
                <w:b/>
                <w:bCs/>
                <w:sz w:val="22"/>
                <w:szCs w:val="22"/>
                <w:lang w:val="sr-Latn-ME" w:eastAsia="ja-JP" w:bidi="ne-NP"/>
              </w:rPr>
              <w:t>Poremećaji nervnog sistema</w:t>
            </w:r>
          </w:p>
          <w:p w14:paraId="4BF6AEEF" w14:textId="77777777" w:rsidR="001B03B3" w:rsidRPr="00D024EA" w:rsidRDefault="001B03B3" w:rsidP="00EA5D97">
            <w:pPr>
              <w:tabs>
                <w:tab w:val="center" w:pos="4536"/>
                <w:tab w:val="right" w:pos="9072"/>
              </w:tabs>
              <w:jc w:val="both"/>
              <w:rPr>
                <w:b/>
                <w:bCs/>
                <w:sz w:val="22"/>
                <w:szCs w:val="22"/>
                <w:lang w:val="sr-Latn-ME"/>
              </w:rPr>
            </w:pPr>
          </w:p>
        </w:tc>
      </w:tr>
      <w:tr w:rsidR="001B03B3" w:rsidRPr="00D024EA" w14:paraId="52B38C0B" w14:textId="77777777" w:rsidTr="00EA5D97">
        <w:tc>
          <w:tcPr>
            <w:tcW w:w="1195" w:type="pct"/>
          </w:tcPr>
          <w:p w14:paraId="484641AC" w14:textId="77777777" w:rsidR="001B03B3" w:rsidRPr="00D024EA" w:rsidRDefault="001B03B3" w:rsidP="00EA5D97">
            <w:pPr>
              <w:tabs>
                <w:tab w:val="center" w:pos="4536"/>
                <w:tab w:val="right" w:pos="9072"/>
              </w:tabs>
              <w:jc w:val="both"/>
              <w:rPr>
                <w:sz w:val="22"/>
                <w:szCs w:val="22"/>
                <w:lang w:val="sr-Latn-ME"/>
              </w:rPr>
            </w:pPr>
            <w:r w:rsidRPr="00D024EA">
              <w:rPr>
                <w:sz w:val="22"/>
                <w:szCs w:val="22"/>
                <w:lang w:val="sr-Latn-ME"/>
              </w:rPr>
              <w:t>veoma rijetko</w:t>
            </w:r>
          </w:p>
        </w:tc>
        <w:tc>
          <w:tcPr>
            <w:tcW w:w="3805" w:type="pct"/>
          </w:tcPr>
          <w:p w14:paraId="4A524F28" w14:textId="77777777" w:rsidR="001B03B3" w:rsidRPr="00D024EA" w:rsidRDefault="001B03B3" w:rsidP="00EA5D97">
            <w:pPr>
              <w:autoSpaceDE w:val="0"/>
              <w:autoSpaceDN w:val="0"/>
              <w:adjustRightInd w:val="0"/>
              <w:ind w:left="62" w:hanging="62"/>
              <w:jc w:val="both"/>
              <w:rPr>
                <w:sz w:val="22"/>
                <w:szCs w:val="22"/>
                <w:lang w:val="sr-Latn-ME"/>
              </w:rPr>
            </w:pPr>
            <w:r w:rsidRPr="00D024EA">
              <w:rPr>
                <w:sz w:val="22"/>
                <w:szCs w:val="22"/>
                <w:lang w:val="sr-Latn-ME"/>
              </w:rPr>
              <w:tab/>
              <w:t>događaji vezani za nervni sistem (npr. epileptični napad, konvulzija, afazija, poremećaj govora, delirijum, akutni moždani sindrom, agitacija, konfuzija, depresija, psihoza) često povezani sa istovremenim ishemijskim ili hemoragijskim cerebrovaskularnim događajima</w:t>
            </w:r>
          </w:p>
        </w:tc>
      </w:tr>
      <w:tr w:rsidR="001B03B3" w:rsidRPr="00D024EA" w14:paraId="298CFE48" w14:textId="77777777" w:rsidTr="00EA5D97">
        <w:tc>
          <w:tcPr>
            <w:tcW w:w="5000" w:type="pct"/>
            <w:gridSpan w:val="2"/>
          </w:tcPr>
          <w:p w14:paraId="4D106C05" w14:textId="77777777" w:rsidR="001B03B3" w:rsidRPr="00D024EA" w:rsidRDefault="001B03B3" w:rsidP="00EA5D97">
            <w:pPr>
              <w:autoSpaceDE w:val="0"/>
              <w:autoSpaceDN w:val="0"/>
              <w:adjustRightInd w:val="0"/>
              <w:ind w:left="2268" w:hanging="2268"/>
              <w:jc w:val="both"/>
              <w:rPr>
                <w:rFonts w:eastAsia="MS Mincho"/>
                <w:b/>
                <w:bCs/>
                <w:sz w:val="22"/>
                <w:szCs w:val="22"/>
                <w:lang w:val="sr-Latn-ME" w:eastAsia="ja-JP" w:bidi="ne-NP"/>
              </w:rPr>
            </w:pPr>
            <w:r w:rsidRPr="00D024EA">
              <w:rPr>
                <w:rFonts w:eastAsia="MS Mincho"/>
                <w:b/>
                <w:bCs/>
                <w:sz w:val="22"/>
                <w:szCs w:val="22"/>
                <w:lang w:val="sr-Latn-ME" w:eastAsia="ja-JP" w:bidi="ne-NP"/>
              </w:rPr>
              <w:t>Kardiološki poremećaji**</w:t>
            </w:r>
          </w:p>
          <w:p w14:paraId="0A0CD67C" w14:textId="77777777" w:rsidR="001B03B3" w:rsidRPr="00D024EA" w:rsidRDefault="001B03B3" w:rsidP="00EA5D97">
            <w:pPr>
              <w:tabs>
                <w:tab w:val="center" w:pos="4536"/>
                <w:tab w:val="right" w:pos="9072"/>
              </w:tabs>
              <w:jc w:val="both"/>
              <w:rPr>
                <w:b/>
                <w:bCs/>
                <w:sz w:val="22"/>
                <w:szCs w:val="22"/>
                <w:lang w:val="sr-Latn-ME"/>
              </w:rPr>
            </w:pPr>
          </w:p>
        </w:tc>
      </w:tr>
      <w:tr w:rsidR="001B03B3" w:rsidRPr="00D024EA" w14:paraId="10AE95EB" w14:textId="77777777" w:rsidTr="00EA5D97">
        <w:tc>
          <w:tcPr>
            <w:tcW w:w="1195" w:type="pct"/>
          </w:tcPr>
          <w:p w14:paraId="2103E294" w14:textId="77777777" w:rsidR="001B03B3" w:rsidRPr="00D024EA" w:rsidRDefault="001B03B3" w:rsidP="00EA5D97">
            <w:pPr>
              <w:tabs>
                <w:tab w:val="center" w:pos="4536"/>
                <w:tab w:val="right" w:pos="9072"/>
              </w:tabs>
              <w:jc w:val="both"/>
              <w:rPr>
                <w:sz w:val="22"/>
                <w:szCs w:val="22"/>
                <w:lang w:val="sr-Latn-ME"/>
              </w:rPr>
            </w:pPr>
            <w:r w:rsidRPr="00D024EA">
              <w:rPr>
                <w:sz w:val="22"/>
                <w:szCs w:val="22"/>
                <w:lang w:val="sr-Latn-ME"/>
              </w:rPr>
              <w:t>veoma često</w:t>
            </w:r>
          </w:p>
        </w:tc>
        <w:tc>
          <w:tcPr>
            <w:tcW w:w="3805" w:type="pct"/>
          </w:tcPr>
          <w:p w14:paraId="2D181A1D" w14:textId="77777777" w:rsidR="001B03B3" w:rsidRPr="00D024EA" w:rsidRDefault="001B03B3" w:rsidP="00EA5D97">
            <w:pPr>
              <w:tabs>
                <w:tab w:val="center" w:pos="4536"/>
                <w:tab w:val="right" w:pos="9072"/>
              </w:tabs>
              <w:jc w:val="both"/>
              <w:rPr>
                <w:sz w:val="22"/>
                <w:szCs w:val="22"/>
                <w:lang w:val="sr-Latn-ME"/>
              </w:rPr>
            </w:pPr>
            <w:r w:rsidRPr="00D024EA">
              <w:rPr>
                <w:sz w:val="22"/>
                <w:szCs w:val="22"/>
                <w:lang w:val="sr-Latn-ME"/>
              </w:rPr>
              <w:t>rekurentna ishemija/angina pektoris, hipotenzija i srčana insuficijencija/plućni edem</w:t>
            </w:r>
          </w:p>
        </w:tc>
      </w:tr>
      <w:tr w:rsidR="001B03B3" w:rsidRPr="00D024EA" w14:paraId="1898FA58" w14:textId="77777777" w:rsidTr="00EA5D97">
        <w:tc>
          <w:tcPr>
            <w:tcW w:w="1195" w:type="pct"/>
          </w:tcPr>
          <w:p w14:paraId="14BA0182" w14:textId="77777777" w:rsidR="001B03B3" w:rsidRPr="00D024EA" w:rsidRDefault="001B03B3" w:rsidP="00EA5D97">
            <w:pPr>
              <w:tabs>
                <w:tab w:val="center" w:pos="4536"/>
                <w:tab w:val="right" w:pos="9072"/>
              </w:tabs>
              <w:jc w:val="both"/>
              <w:rPr>
                <w:sz w:val="22"/>
                <w:szCs w:val="22"/>
                <w:lang w:val="sr-Latn-ME" w:eastAsia="pt-PT"/>
              </w:rPr>
            </w:pPr>
            <w:r w:rsidRPr="00D024EA">
              <w:rPr>
                <w:sz w:val="22"/>
                <w:szCs w:val="22"/>
                <w:lang w:val="sr-Latn-ME"/>
              </w:rPr>
              <w:t>često</w:t>
            </w:r>
          </w:p>
        </w:tc>
        <w:tc>
          <w:tcPr>
            <w:tcW w:w="3805" w:type="pct"/>
          </w:tcPr>
          <w:p w14:paraId="3ED8A75A" w14:textId="77777777" w:rsidR="001B03B3" w:rsidRPr="00D024EA" w:rsidRDefault="001B03B3" w:rsidP="00EA5D97">
            <w:pPr>
              <w:tabs>
                <w:tab w:val="center" w:pos="4536"/>
                <w:tab w:val="right" w:pos="9072"/>
              </w:tabs>
              <w:jc w:val="both"/>
              <w:rPr>
                <w:sz w:val="22"/>
                <w:szCs w:val="22"/>
                <w:lang w:val="sr-Latn-ME"/>
              </w:rPr>
            </w:pPr>
            <w:r w:rsidRPr="00D024EA">
              <w:rPr>
                <w:rFonts w:eastAsia="MS Mincho"/>
                <w:sz w:val="22"/>
                <w:szCs w:val="22"/>
                <w:lang w:val="sr-Latn-ME" w:eastAsia="ja-JP" w:bidi="ne-NP"/>
              </w:rPr>
              <w:t>kardiogeni šok, srčani zastoj i ponovni infarkt miokarda</w:t>
            </w:r>
          </w:p>
        </w:tc>
      </w:tr>
      <w:tr w:rsidR="001B03B3" w:rsidRPr="00D024EA" w14:paraId="2DE7E5D2" w14:textId="77777777" w:rsidTr="00EA5D97">
        <w:tc>
          <w:tcPr>
            <w:tcW w:w="1195" w:type="pct"/>
          </w:tcPr>
          <w:p w14:paraId="3FC8C2DB" w14:textId="77777777" w:rsidR="001B03B3" w:rsidRPr="00D024EA" w:rsidRDefault="001B03B3" w:rsidP="00EA5D97">
            <w:pPr>
              <w:tabs>
                <w:tab w:val="center" w:pos="4536"/>
                <w:tab w:val="right" w:pos="9072"/>
              </w:tabs>
              <w:jc w:val="both"/>
              <w:rPr>
                <w:sz w:val="22"/>
                <w:szCs w:val="22"/>
                <w:lang w:val="sr-Latn-ME" w:eastAsia="pt-PT"/>
              </w:rPr>
            </w:pPr>
            <w:r w:rsidRPr="00D024EA">
              <w:rPr>
                <w:sz w:val="22"/>
                <w:szCs w:val="22"/>
                <w:lang w:val="sr-Latn-ME" w:eastAsia="pt-PT"/>
              </w:rPr>
              <w:t>povremeno</w:t>
            </w:r>
          </w:p>
        </w:tc>
        <w:tc>
          <w:tcPr>
            <w:tcW w:w="3805" w:type="pct"/>
          </w:tcPr>
          <w:p w14:paraId="13E830F1" w14:textId="0A075976" w:rsidR="001B03B3" w:rsidRPr="00D024EA" w:rsidRDefault="001B03B3" w:rsidP="00EA5D97">
            <w:pPr>
              <w:autoSpaceDE w:val="0"/>
              <w:autoSpaceDN w:val="0"/>
              <w:adjustRightInd w:val="0"/>
              <w:ind w:left="62" w:hanging="62"/>
              <w:jc w:val="both"/>
              <w:rPr>
                <w:sz w:val="22"/>
                <w:szCs w:val="22"/>
                <w:lang w:val="sr-Latn-ME"/>
              </w:rPr>
            </w:pPr>
            <w:r w:rsidRPr="00D024EA">
              <w:rPr>
                <w:sz w:val="22"/>
                <w:szCs w:val="22"/>
                <w:lang w:val="sr-Latn-ME"/>
              </w:rPr>
              <w:t>reperfuzione aritmije (kao što je aritmija, ekstrasistole, AV blok prvog</w:t>
            </w:r>
            <w:r w:rsidR="00493C0F" w:rsidRPr="00D024EA">
              <w:rPr>
                <w:sz w:val="22"/>
                <w:szCs w:val="22"/>
                <w:lang w:val="sr-Latn-ME"/>
              </w:rPr>
              <w:t xml:space="preserve"> n  </w:t>
            </w:r>
            <w:r w:rsidRPr="00D024EA">
              <w:rPr>
                <w:sz w:val="22"/>
                <w:szCs w:val="22"/>
                <w:lang w:val="sr-Latn-ME"/>
              </w:rPr>
              <w:t>stepena do kompletnog AV bloka, atrijalna fibrilacija/flater, bradikardija, tahikardija, ventrikularna aritmija, ventrikularna tahikardija/fibrilacija, elektromehanička disocijacija [EMD])</w:t>
            </w:r>
          </w:p>
          <w:p w14:paraId="4DAA37CF" w14:textId="77777777" w:rsidR="001B03B3" w:rsidRPr="00D024EA" w:rsidRDefault="001B03B3" w:rsidP="00EA5D97">
            <w:pPr>
              <w:autoSpaceDE w:val="0"/>
              <w:autoSpaceDN w:val="0"/>
              <w:adjustRightInd w:val="0"/>
              <w:ind w:left="62" w:hanging="62"/>
              <w:jc w:val="both"/>
              <w:rPr>
                <w:sz w:val="22"/>
                <w:szCs w:val="22"/>
                <w:lang w:val="sr-Latn-ME"/>
              </w:rPr>
            </w:pPr>
          </w:p>
          <w:p w14:paraId="162BEB20" w14:textId="77777777" w:rsidR="001B03B3" w:rsidRPr="00D024EA" w:rsidRDefault="001B03B3" w:rsidP="00EA5D97">
            <w:pPr>
              <w:autoSpaceDE w:val="0"/>
              <w:autoSpaceDN w:val="0"/>
              <w:adjustRightInd w:val="0"/>
              <w:ind w:left="62" w:hanging="62"/>
              <w:jc w:val="both"/>
              <w:rPr>
                <w:sz w:val="22"/>
                <w:szCs w:val="22"/>
                <w:lang w:val="sr-Latn-ME"/>
              </w:rPr>
            </w:pPr>
            <w:r w:rsidRPr="00D024EA">
              <w:rPr>
                <w:sz w:val="22"/>
                <w:szCs w:val="22"/>
                <w:lang w:val="sr-Latn-ME"/>
              </w:rPr>
              <w:t xml:space="preserve"> </w:t>
            </w:r>
            <w:r w:rsidRPr="00D024EA">
              <w:rPr>
                <w:rFonts w:eastAsia="MS Mincho"/>
                <w:sz w:val="22"/>
                <w:szCs w:val="22"/>
                <w:lang w:val="sr-Latn-ME" w:eastAsia="ja-JP" w:bidi="ne-NP"/>
              </w:rPr>
              <w:t>mitralna regurgitacija, plućna embolija, druga sistemska embolija/cerebralna embolija, ventrikularni septalni defekt</w:t>
            </w:r>
          </w:p>
        </w:tc>
      </w:tr>
      <w:tr w:rsidR="001B03B3" w:rsidRPr="00D024EA" w14:paraId="7C5B26FD" w14:textId="77777777" w:rsidTr="00EA5D97">
        <w:tc>
          <w:tcPr>
            <w:tcW w:w="5000" w:type="pct"/>
            <w:gridSpan w:val="2"/>
          </w:tcPr>
          <w:p w14:paraId="34686FCC" w14:textId="77777777" w:rsidR="001B03B3" w:rsidRPr="00D024EA" w:rsidRDefault="001B03B3" w:rsidP="00EA5D97">
            <w:pPr>
              <w:autoSpaceDE w:val="0"/>
              <w:autoSpaceDN w:val="0"/>
              <w:adjustRightInd w:val="0"/>
              <w:jc w:val="both"/>
              <w:rPr>
                <w:rFonts w:eastAsia="MS Mincho"/>
                <w:b/>
                <w:bCs/>
                <w:sz w:val="22"/>
                <w:szCs w:val="22"/>
                <w:lang w:val="sr-Latn-ME" w:eastAsia="ja-JP" w:bidi="ne-NP"/>
              </w:rPr>
            </w:pPr>
            <w:r w:rsidRPr="00D024EA">
              <w:rPr>
                <w:rFonts w:eastAsia="MS Mincho"/>
                <w:b/>
                <w:bCs/>
                <w:sz w:val="22"/>
                <w:szCs w:val="22"/>
                <w:lang w:val="sr-Latn-ME" w:eastAsia="ja-JP" w:bidi="ne-NP"/>
              </w:rPr>
              <w:t>Vaskularni poremećaji</w:t>
            </w:r>
          </w:p>
          <w:p w14:paraId="2595BC07" w14:textId="77777777" w:rsidR="001B03B3" w:rsidRPr="00D024EA" w:rsidRDefault="001B03B3" w:rsidP="00EA5D97">
            <w:pPr>
              <w:tabs>
                <w:tab w:val="center" w:pos="4536"/>
                <w:tab w:val="right" w:pos="9072"/>
              </w:tabs>
              <w:jc w:val="both"/>
              <w:rPr>
                <w:b/>
                <w:bCs/>
                <w:sz w:val="22"/>
                <w:szCs w:val="22"/>
                <w:lang w:val="sr-Latn-ME"/>
              </w:rPr>
            </w:pPr>
          </w:p>
        </w:tc>
      </w:tr>
      <w:tr w:rsidR="001B03B3" w:rsidRPr="00D024EA" w14:paraId="2CCDE870" w14:textId="77777777" w:rsidTr="00EA5D97">
        <w:tc>
          <w:tcPr>
            <w:tcW w:w="1195" w:type="pct"/>
          </w:tcPr>
          <w:p w14:paraId="4FF3BEEE" w14:textId="77777777" w:rsidR="001B03B3" w:rsidRPr="00D024EA" w:rsidRDefault="001B03B3" w:rsidP="00EA5D97">
            <w:pPr>
              <w:tabs>
                <w:tab w:val="center" w:pos="4536"/>
                <w:tab w:val="right" w:pos="9072"/>
              </w:tabs>
              <w:jc w:val="both"/>
              <w:rPr>
                <w:sz w:val="22"/>
                <w:szCs w:val="22"/>
                <w:lang w:val="sr-Latn-ME"/>
              </w:rPr>
            </w:pPr>
            <w:r w:rsidRPr="00D024EA">
              <w:rPr>
                <w:sz w:val="22"/>
                <w:szCs w:val="22"/>
                <w:lang w:val="sr-Latn-ME"/>
              </w:rPr>
              <w:t>rijetko</w:t>
            </w:r>
          </w:p>
        </w:tc>
        <w:tc>
          <w:tcPr>
            <w:tcW w:w="3805" w:type="pct"/>
          </w:tcPr>
          <w:p w14:paraId="54F09696" w14:textId="77777777" w:rsidR="001B03B3" w:rsidRPr="00D024EA" w:rsidRDefault="001B03B3" w:rsidP="00EA5D97">
            <w:pPr>
              <w:tabs>
                <w:tab w:val="center" w:pos="4536"/>
                <w:tab w:val="right" w:pos="9072"/>
              </w:tabs>
              <w:jc w:val="both"/>
              <w:rPr>
                <w:sz w:val="22"/>
                <w:szCs w:val="22"/>
                <w:lang w:val="sr-Latn-ME"/>
              </w:rPr>
            </w:pPr>
            <w:r w:rsidRPr="00D024EA">
              <w:rPr>
                <w:rFonts w:eastAsia="MS Mincho"/>
                <w:sz w:val="22"/>
                <w:szCs w:val="22"/>
                <w:lang w:val="sr-Latn-ME" w:eastAsia="ja-JP" w:bidi="ne-NP"/>
              </w:rPr>
              <w:t>embolizam (trombotička embolizacija), što može da vodi do odgovarajućih posljedica u zahvaćenim organima</w:t>
            </w:r>
          </w:p>
        </w:tc>
      </w:tr>
      <w:tr w:rsidR="001B03B3" w:rsidRPr="00D024EA" w14:paraId="27842B14" w14:textId="77777777" w:rsidTr="00EA5D97">
        <w:tc>
          <w:tcPr>
            <w:tcW w:w="5000" w:type="pct"/>
            <w:gridSpan w:val="2"/>
          </w:tcPr>
          <w:p w14:paraId="725AD266" w14:textId="77777777" w:rsidR="001B03B3" w:rsidRPr="00D024EA" w:rsidRDefault="001B03B3" w:rsidP="00EA5D97">
            <w:pPr>
              <w:tabs>
                <w:tab w:val="left" w:pos="1418"/>
              </w:tabs>
              <w:autoSpaceDE w:val="0"/>
              <w:autoSpaceDN w:val="0"/>
              <w:adjustRightInd w:val="0"/>
              <w:jc w:val="both"/>
              <w:rPr>
                <w:rFonts w:eastAsia="MS Mincho"/>
                <w:b/>
                <w:bCs/>
                <w:sz w:val="22"/>
                <w:szCs w:val="22"/>
                <w:lang w:val="sr-Latn-ME" w:eastAsia="ja-JP" w:bidi="ne-NP"/>
              </w:rPr>
            </w:pPr>
            <w:r w:rsidRPr="00D024EA">
              <w:rPr>
                <w:rFonts w:eastAsia="MS Mincho"/>
                <w:b/>
                <w:bCs/>
                <w:sz w:val="22"/>
                <w:szCs w:val="22"/>
                <w:lang w:val="sr-Latn-ME" w:eastAsia="ja-JP" w:bidi="ne-NP"/>
              </w:rPr>
              <w:t>Gastrointestinalni poremećaji</w:t>
            </w:r>
          </w:p>
          <w:p w14:paraId="2146785C" w14:textId="77777777" w:rsidR="001B03B3" w:rsidRPr="00D024EA" w:rsidRDefault="001B03B3" w:rsidP="00EA5D97">
            <w:pPr>
              <w:tabs>
                <w:tab w:val="center" w:pos="4536"/>
                <w:tab w:val="right" w:pos="9072"/>
              </w:tabs>
              <w:jc w:val="both"/>
              <w:rPr>
                <w:strike/>
                <w:sz w:val="22"/>
                <w:szCs w:val="22"/>
                <w:lang w:val="sr-Latn-ME"/>
              </w:rPr>
            </w:pPr>
          </w:p>
        </w:tc>
      </w:tr>
      <w:tr w:rsidR="001B03B3" w:rsidRPr="00D024EA" w14:paraId="1DE4101D" w14:textId="77777777" w:rsidTr="00EA5D97">
        <w:tc>
          <w:tcPr>
            <w:tcW w:w="1195" w:type="pct"/>
          </w:tcPr>
          <w:p w14:paraId="147566F3" w14:textId="77777777" w:rsidR="001B03B3" w:rsidRPr="00D024EA" w:rsidRDefault="001B03B3" w:rsidP="00EA5D97">
            <w:pPr>
              <w:tabs>
                <w:tab w:val="center" w:pos="4536"/>
                <w:tab w:val="right" w:pos="9072"/>
              </w:tabs>
              <w:jc w:val="both"/>
              <w:rPr>
                <w:strike/>
                <w:sz w:val="22"/>
                <w:szCs w:val="22"/>
                <w:lang w:val="sr-Latn-ME"/>
              </w:rPr>
            </w:pPr>
            <w:r w:rsidRPr="00D024EA">
              <w:rPr>
                <w:sz w:val="22"/>
                <w:szCs w:val="22"/>
                <w:lang w:val="sr-Latn-ME"/>
              </w:rPr>
              <w:t>rijetko</w:t>
            </w:r>
          </w:p>
        </w:tc>
        <w:tc>
          <w:tcPr>
            <w:tcW w:w="3805" w:type="pct"/>
          </w:tcPr>
          <w:p w14:paraId="76FB3318" w14:textId="77777777" w:rsidR="001B03B3" w:rsidRPr="00D024EA" w:rsidRDefault="001B03B3" w:rsidP="00EA5D97">
            <w:pPr>
              <w:tabs>
                <w:tab w:val="center" w:pos="4536"/>
                <w:tab w:val="right" w:pos="9072"/>
              </w:tabs>
              <w:jc w:val="both"/>
              <w:rPr>
                <w:sz w:val="22"/>
                <w:szCs w:val="22"/>
                <w:lang w:val="sr-Latn-ME"/>
              </w:rPr>
            </w:pPr>
            <w:r w:rsidRPr="00D024EA">
              <w:rPr>
                <w:rFonts w:eastAsia="MS Mincho"/>
                <w:sz w:val="22"/>
                <w:szCs w:val="22"/>
                <w:lang w:val="sr-Latn-ME" w:eastAsia="ja-JP" w:bidi="ne-NP"/>
              </w:rPr>
              <w:t>muka</w:t>
            </w:r>
          </w:p>
        </w:tc>
      </w:tr>
      <w:tr w:rsidR="001B03B3" w:rsidRPr="00D024EA" w14:paraId="4C30206D" w14:textId="77777777" w:rsidTr="00EA5D97">
        <w:tc>
          <w:tcPr>
            <w:tcW w:w="1195" w:type="pct"/>
          </w:tcPr>
          <w:p w14:paraId="514AEDB1" w14:textId="77777777" w:rsidR="001B03B3" w:rsidRPr="00D024EA" w:rsidRDefault="001B03B3" w:rsidP="00EA5D97">
            <w:pPr>
              <w:tabs>
                <w:tab w:val="right" w:pos="2019"/>
                <w:tab w:val="right" w:pos="9072"/>
              </w:tabs>
              <w:jc w:val="both"/>
              <w:rPr>
                <w:sz w:val="22"/>
                <w:szCs w:val="22"/>
                <w:lang w:val="sr-Latn-ME"/>
              </w:rPr>
            </w:pPr>
            <w:r w:rsidRPr="00D024EA">
              <w:rPr>
                <w:sz w:val="22"/>
                <w:szCs w:val="22"/>
                <w:lang w:val="sr-Latn-ME"/>
              </w:rPr>
              <w:t>Nije poznato***</w:t>
            </w:r>
          </w:p>
        </w:tc>
        <w:tc>
          <w:tcPr>
            <w:tcW w:w="3805" w:type="pct"/>
          </w:tcPr>
          <w:p w14:paraId="428D923E" w14:textId="77777777" w:rsidR="001B03B3" w:rsidRPr="00D024EA" w:rsidRDefault="001B03B3" w:rsidP="00EA5D97">
            <w:pPr>
              <w:tabs>
                <w:tab w:val="left" w:pos="1418"/>
              </w:tabs>
              <w:autoSpaceDE w:val="0"/>
              <w:autoSpaceDN w:val="0"/>
              <w:adjustRightInd w:val="0"/>
              <w:ind w:left="2268" w:hanging="2268"/>
              <w:jc w:val="both"/>
              <w:rPr>
                <w:sz w:val="22"/>
                <w:szCs w:val="22"/>
                <w:lang w:val="sr-Latn-ME"/>
              </w:rPr>
            </w:pPr>
            <w:r w:rsidRPr="00D024EA">
              <w:rPr>
                <w:rFonts w:eastAsia="MS Mincho"/>
                <w:sz w:val="22"/>
                <w:szCs w:val="22"/>
                <w:lang w:val="sr-Latn-ME" w:eastAsia="ja-JP" w:bidi="ne-NP"/>
              </w:rPr>
              <w:t>povraćanje</w:t>
            </w:r>
          </w:p>
        </w:tc>
      </w:tr>
      <w:tr w:rsidR="001B03B3" w:rsidRPr="00D024EA" w14:paraId="248B85C7" w14:textId="77777777" w:rsidTr="00EA5D97">
        <w:tc>
          <w:tcPr>
            <w:tcW w:w="5000" w:type="pct"/>
            <w:gridSpan w:val="2"/>
          </w:tcPr>
          <w:p w14:paraId="6D58CF82" w14:textId="77777777" w:rsidR="001B03B3" w:rsidRPr="00D024EA" w:rsidRDefault="001B03B3" w:rsidP="00EA5D97">
            <w:pPr>
              <w:tabs>
                <w:tab w:val="left" w:pos="1418"/>
              </w:tabs>
              <w:autoSpaceDE w:val="0"/>
              <w:autoSpaceDN w:val="0"/>
              <w:adjustRightInd w:val="0"/>
              <w:jc w:val="both"/>
              <w:rPr>
                <w:rFonts w:eastAsia="MS Mincho"/>
                <w:b/>
                <w:bCs/>
                <w:sz w:val="22"/>
                <w:szCs w:val="22"/>
                <w:lang w:val="sr-Latn-ME" w:eastAsia="ja-JP" w:bidi="ne-NP"/>
              </w:rPr>
            </w:pPr>
            <w:r w:rsidRPr="00D024EA">
              <w:rPr>
                <w:rFonts w:eastAsia="MS Mincho"/>
                <w:b/>
                <w:bCs/>
                <w:sz w:val="22"/>
                <w:szCs w:val="22"/>
                <w:lang w:val="sr-Latn-ME" w:eastAsia="ja-JP" w:bidi="ne-NP"/>
              </w:rPr>
              <w:t>Ispitivanja</w:t>
            </w:r>
          </w:p>
          <w:p w14:paraId="031DAD3C" w14:textId="77777777" w:rsidR="001B03B3" w:rsidRPr="00D024EA" w:rsidRDefault="001B03B3" w:rsidP="00EA5D97">
            <w:pPr>
              <w:tabs>
                <w:tab w:val="center" w:pos="4536"/>
                <w:tab w:val="right" w:pos="9072"/>
              </w:tabs>
              <w:jc w:val="both"/>
              <w:rPr>
                <w:b/>
                <w:bCs/>
                <w:sz w:val="22"/>
                <w:szCs w:val="22"/>
                <w:lang w:val="sr-Latn-ME"/>
              </w:rPr>
            </w:pPr>
          </w:p>
        </w:tc>
      </w:tr>
      <w:tr w:rsidR="001B03B3" w:rsidRPr="00D024EA" w14:paraId="0E2F4B1A" w14:textId="77777777" w:rsidTr="00EA5D97">
        <w:tc>
          <w:tcPr>
            <w:tcW w:w="1195" w:type="pct"/>
          </w:tcPr>
          <w:p w14:paraId="1797F8DE" w14:textId="77777777" w:rsidR="001B03B3" w:rsidRPr="00D024EA" w:rsidRDefault="001B03B3" w:rsidP="00EA5D97">
            <w:pPr>
              <w:tabs>
                <w:tab w:val="center" w:pos="4536"/>
                <w:tab w:val="right" w:pos="9072"/>
              </w:tabs>
              <w:jc w:val="both"/>
              <w:rPr>
                <w:sz w:val="22"/>
                <w:szCs w:val="22"/>
                <w:lang w:val="sr-Latn-ME"/>
              </w:rPr>
            </w:pPr>
            <w:r w:rsidRPr="00D024EA">
              <w:rPr>
                <w:sz w:val="22"/>
                <w:szCs w:val="22"/>
                <w:lang w:val="sr-Latn-ME" w:eastAsia="pt-PT"/>
              </w:rPr>
              <w:t>povremeno</w:t>
            </w:r>
          </w:p>
        </w:tc>
        <w:tc>
          <w:tcPr>
            <w:tcW w:w="3805" w:type="pct"/>
          </w:tcPr>
          <w:p w14:paraId="3C331166" w14:textId="77777777" w:rsidR="001B03B3" w:rsidRPr="00D024EA" w:rsidRDefault="001B03B3" w:rsidP="00EA5D97">
            <w:pPr>
              <w:tabs>
                <w:tab w:val="center" w:pos="4536"/>
                <w:tab w:val="right" w:pos="9072"/>
              </w:tabs>
              <w:jc w:val="both"/>
              <w:rPr>
                <w:sz w:val="22"/>
                <w:szCs w:val="22"/>
                <w:lang w:val="sr-Latn-ME"/>
              </w:rPr>
            </w:pPr>
            <w:r w:rsidRPr="00D024EA">
              <w:rPr>
                <w:rFonts w:eastAsia="MS Mincho"/>
                <w:sz w:val="22"/>
                <w:szCs w:val="22"/>
                <w:lang w:val="sr-Latn-ME" w:eastAsia="ja-JP" w:bidi="ne-NP"/>
              </w:rPr>
              <w:t>snižen krvni pritisak</w:t>
            </w:r>
          </w:p>
        </w:tc>
      </w:tr>
      <w:tr w:rsidR="001B03B3" w:rsidRPr="00D024EA" w14:paraId="562FA618" w14:textId="77777777" w:rsidTr="00EA5D97">
        <w:tc>
          <w:tcPr>
            <w:tcW w:w="1195" w:type="pct"/>
          </w:tcPr>
          <w:p w14:paraId="4760DE24" w14:textId="77777777" w:rsidR="001B03B3" w:rsidRPr="00D024EA" w:rsidRDefault="001B03B3" w:rsidP="00EA5D97">
            <w:pPr>
              <w:tabs>
                <w:tab w:val="center" w:pos="4536"/>
                <w:tab w:val="right" w:pos="9072"/>
              </w:tabs>
              <w:jc w:val="both"/>
              <w:rPr>
                <w:strike/>
                <w:sz w:val="22"/>
                <w:szCs w:val="22"/>
                <w:lang w:val="sr-Latn-ME"/>
              </w:rPr>
            </w:pPr>
            <w:r w:rsidRPr="00D024EA">
              <w:rPr>
                <w:sz w:val="22"/>
                <w:szCs w:val="22"/>
                <w:lang w:val="sr-Latn-ME"/>
              </w:rPr>
              <w:t xml:space="preserve"> Nije poznato***</w:t>
            </w:r>
          </w:p>
        </w:tc>
        <w:tc>
          <w:tcPr>
            <w:tcW w:w="3805" w:type="pct"/>
          </w:tcPr>
          <w:p w14:paraId="6A36DFAB" w14:textId="77777777" w:rsidR="001B03B3" w:rsidRPr="00D024EA" w:rsidRDefault="001B03B3" w:rsidP="00EA5D97">
            <w:pPr>
              <w:tabs>
                <w:tab w:val="center" w:pos="4536"/>
                <w:tab w:val="right" w:pos="9072"/>
              </w:tabs>
              <w:jc w:val="both"/>
              <w:rPr>
                <w:sz w:val="22"/>
                <w:szCs w:val="22"/>
                <w:lang w:val="sr-Latn-ME"/>
              </w:rPr>
            </w:pPr>
            <w:r w:rsidRPr="00D024EA">
              <w:rPr>
                <w:rFonts w:eastAsia="MS Mincho"/>
                <w:sz w:val="22"/>
                <w:szCs w:val="22"/>
                <w:lang w:val="sr-Latn-ME" w:eastAsia="ja-JP" w:bidi="ne-NP"/>
              </w:rPr>
              <w:t>povišena tjelesna temperatura</w:t>
            </w:r>
          </w:p>
        </w:tc>
      </w:tr>
      <w:tr w:rsidR="001B03B3" w:rsidRPr="00D024EA" w14:paraId="3824DBE0" w14:textId="77777777" w:rsidTr="00EA5D97">
        <w:tc>
          <w:tcPr>
            <w:tcW w:w="5000" w:type="pct"/>
            <w:gridSpan w:val="2"/>
          </w:tcPr>
          <w:p w14:paraId="7D03D409" w14:textId="77777777" w:rsidR="001B03B3" w:rsidRPr="00D024EA" w:rsidRDefault="001B03B3" w:rsidP="00EA5D97">
            <w:pPr>
              <w:tabs>
                <w:tab w:val="left" w:pos="1418"/>
              </w:tabs>
              <w:autoSpaceDE w:val="0"/>
              <w:autoSpaceDN w:val="0"/>
              <w:adjustRightInd w:val="0"/>
              <w:jc w:val="both"/>
              <w:rPr>
                <w:rFonts w:eastAsia="MS Mincho"/>
                <w:b/>
                <w:bCs/>
                <w:sz w:val="22"/>
                <w:szCs w:val="22"/>
                <w:lang w:val="sr-Latn-ME" w:eastAsia="ja-JP" w:bidi="ne-NP"/>
              </w:rPr>
            </w:pPr>
            <w:r w:rsidRPr="00D024EA">
              <w:rPr>
                <w:rFonts w:eastAsia="MS Mincho"/>
                <w:b/>
                <w:bCs/>
                <w:sz w:val="22"/>
                <w:szCs w:val="22"/>
                <w:lang w:val="sr-Latn-ME" w:eastAsia="ja-JP" w:bidi="ne-NP"/>
              </w:rPr>
              <w:t>Povrede, trovanja i proceduralne komplikacije</w:t>
            </w:r>
          </w:p>
          <w:p w14:paraId="16EA5E00" w14:textId="77777777" w:rsidR="001B03B3" w:rsidRPr="00D024EA" w:rsidRDefault="001B03B3" w:rsidP="00EA5D97">
            <w:pPr>
              <w:tabs>
                <w:tab w:val="center" w:pos="4536"/>
                <w:tab w:val="right" w:pos="9072"/>
              </w:tabs>
              <w:jc w:val="both"/>
              <w:rPr>
                <w:b/>
                <w:bCs/>
                <w:sz w:val="22"/>
                <w:szCs w:val="22"/>
                <w:lang w:val="sr-Latn-ME"/>
              </w:rPr>
            </w:pPr>
          </w:p>
        </w:tc>
      </w:tr>
      <w:tr w:rsidR="001B03B3" w:rsidRPr="00D024EA" w14:paraId="19E4D18D" w14:textId="77777777" w:rsidTr="00EA5D97">
        <w:tc>
          <w:tcPr>
            <w:tcW w:w="1195" w:type="pct"/>
          </w:tcPr>
          <w:p w14:paraId="7913EADA" w14:textId="77777777" w:rsidR="001B03B3" w:rsidRPr="00D024EA" w:rsidRDefault="001B03B3" w:rsidP="00EA5D97">
            <w:pPr>
              <w:tabs>
                <w:tab w:val="center" w:pos="4536"/>
                <w:tab w:val="right" w:pos="9072"/>
              </w:tabs>
              <w:jc w:val="both"/>
              <w:rPr>
                <w:sz w:val="22"/>
                <w:szCs w:val="22"/>
                <w:lang w:val="sr-Latn-ME"/>
              </w:rPr>
            </w:pPr>
            <w:r w:rsidRPr="00D024EA">
              <w:rPr>
                <w:sz w:val="22"/>
                <w:szCs w:val="22"/>
                <w:lang w:val="sr-Latn-ME"/>
              </w:rPr>
              <w:t>nepoznato***</w:t>
            </w:r>
          </w:p>
        </w:tc>
        <w:tc>
          <w:tcPr>
            <w:tcW w:w="3805" w:type="pct"/>
          </w:tcPr>
          <w:p w14:paraId="0C259C2B" w14:textId="77777777" w:rsidR="001B03B3" w:rsidRPr="00D024EA" w:rsidRDefault="001B03B3" w:rsidP="00EA5D97">
            <w:pPr>
              <w:tabs>
                <w:tab w:val="center" w:pos="4536"/>
                <w:tab w:val="right" w:pos="9072"/>
              </w:tabs>
              <w:jc w:val="both"/>
              <w:rPr>
                <w:sz w:val="22"/>
                <w:szCs w:val="22"/>
                <w:lang w:val="sr-Latn-ME"/>
              </w:rPr>
            </w:pPr>
            <w:r w:rsidRPr="00D024EA">
              <w:rPr>
                <w:rFonts w:eastAsia="MS Mincho"/>
                <w:sz w:val="22"/>
                <w:szCs w:val="22"/>
                <w:lang w:val="sr-Latn-ME" w:eastAsia="ja-JP" w:bidi="ne-NP"/>
              </w:rPr>
              <w:t xml:space="preserve">masna embolija (embolizacija </w:t>
            </w:r>
            <w:r w:rsidRPr="00D024EA">
              <w:rPr>
                <w:sz w:val="22"/>
                <w:szCs w:val="22"/>
                <w:lang w:val="sr-Latn-ME"/>
              </w:rPr>
              <w:t>holesterolskim kristalima</w:t>
            </w:r>
            <w:r w:rsidRPr="00D024EA">
              <w:rPr>
                <w:rFonts w:eastAsia="MS Mincho"/>
                <w:sz w:val="22"/>
                <w:szCs w:val="22"/>
                <w:lang w:val="sr-Latn-ME" w:eastAsia="ja-JP" w:bidi="ne-NP"/>
              </w:rPr>
              <w:t>) koja može da vodi do odgovarajućih posljedica u zahvaćenim organima)</w:t>
            </w:r>
          </w:p>
        </w:tc>
      </w:tr>
      <w:tr w:rsidR="001B03B3" w:rsidRPr="00D024EA" w14:paraId="2D29A9D9" w14:textId="77777777" w:rsidTr="00EA5D97">
        <w:tc>
          <w:tcPr>
            <w:tcW w:w="5000" w:type="pct"/>
            <w:gridSpan w:val="2"/>
          </w:tcPr>
          <w:p w14:paraId="7A47BCFA" w14:textId="77777777" w:rsidR="001B03B3" w:rsidRPr="00D024EA" w:rsidRDefault="001B03B3" w:rsidP="00EA5D97">
            <w:pPr>
              <w:tabs>
                <w:tab w:val="center" w:pos="4536"/>
                <w:tab w:val="right" w:pos="9072"/>
              </w:tabs>
              <w:jc w:val="both"/>
              <w:rPr>
                <w:b/>
                <w:sz w:val="22"/>
                <w:szCs w:val="22"/>
                <w:lang w:val="sr-Latn-ME"/>
              </w:rPr>
            </w:pPr>
            <w:r w:rsidRPr="00D024EA">
              <w:rPr>
                <w:b/>
                <w:sz w:val="22"/>
                <w:szCs w:val="22"/>
                <w:lang w:val="sr-Latn-ME"/>
              </w:rPr>
              <w:t>Hirurške i medicinske procedure</w:t>
            </w:r>
          </w:p>
        </w:tc>
      </w:tr>
      <w:tr w:rsidR="001B03B3" w:rsidRPr="00D024EA" w14:paraId="7869E07A" w14:textId="77777777" w:rsidTr="00EA5D97">
        <w:tc>
          <w:tcPr>
            <w:tcW w:w="1195" w:type="pct"/>
          </w:tcPr>
          <w:p w14:paraId="3265BA62" w14:textId="77777777" w:rsidR="001B03B3" w:rsidRPr="00D024EA" w:rsidRDefault="001B03B3" w:rsidP="00EA5D97">
            <w:pPr>
              <w:tabs>
                <w:tab w:val="center" w:pos="4536"/>
                <w:tab w:val="right" w:pos="9072"/>
              </w:tabs>
              <w:jc w:val="both"/>
              <w:rPr>
                <w:sz w:val="22"/>
                <w:szCs w:val="22"/>
                <w:lang w:val="sr-Latn-ME"/>
              </w:rPr>
            </w:pPr>
            <w:r w:rsidRPr="00D024EA">
              <w:rPr>
                <w:sz w:val="22"/>
                <w:szCs w:val="22"/>
                <w:lang w:val="sr-Latn-ME"/>
              </w:rPr>
              <w:t>nepoznato***</w:t>
            </w:r>
          </w:p>
        </w:tc>
        <w:tc>
          <w:tcPr>
            <w:tcW w:w="3805" w:type="pct"/>
          </w:tcPr>
          <w:p w14:paraId="03ABFF32" w14:textId="77777777" w:rsidR="001B03B3" w:rsidRPr="00D024EA" w:rsidRDefault="001B03B3" w:rsidP="00EA5D97">
            <w:pPr>
              <w:tabs>
                <w:tab w:val="center" w:pos="4536"/>
                <w:tab w:val="right" w:pos="9072"/>
              </w:tabs>
              <w:jc w:val="both"/>
              <w:rPr>
                <w:sz w:val="22"/>
                <w:szCs w:val="22"/>
                <w:lang w:val="sr-Latn-ME"/>
              </w:rPr>
            </w:pPr>
            <w:r w:rsidRPr="00D024EA">
              <w:rPr>
                <w:sz w:val="22"/>
                <w:szCs w:val="22"/>
                <w:lang w:val="sr-Latn-ME"/>
              </w:rPr>
              <w:t>transfuzije krvi (potrebno)</w:t>
            </w:r>
          </w:p>
        </w:tc>
      </w:tr>
    </w:tbl>
    <w:p w14:paraId="10D594D2" w14:textId="56FFC4FB" w:rsidR="001B03B3" w:rsidRPr="00D024EA" w:rsidRDefault="001B03B3" w:rsidP="00EA5D97">
      <w:pPr>
        <w:tabs>
          <w:tab w:val="left" w:pos="567"/>
        </w:tabs>
        <w:autoSpaceDE w:val="0"/>
        <w:autoSpaceDN w:val="0"/>
        <w:adjustRightInd w:val="0"/>
        <w:jc w:val="both"/>
        <w:rPr>
          <w:sz w:val="22"/>
          <w:szCs w:val="22"/>
          <w:lang w:val="sr-Latn-ME"/>
        </w:rPr>
      </w:pPr>
      <w:r w:rsidRPr="00D024EA">
        <w:rPr>
          <w:sz w:val="22"/>
          <w:szCs w:val="22"/>
          <w:lang w:val="sr-Latn-ME"/>
        </w:rPr>
        <w:lastRenderedPageBreak/>
        <w:t xml:space="preserve">* Vidjeti </w:t>
      </w:r>
      <w:r w:rsidR="00374804" w:rsidRPr="00D024EA">
        <w:rPr>
          <w:sz w:val="22"/>
          <w:szCs w:val="22"/>
          <w:lang w:val="sr-Latn-ME"/>
        </w:rPr>
        <w:t>djelove</w:t>
      </w:r>
      <w:r w:rsidRPr="00D024EA">
        <w:rPr>
          <w:sz w:val="22"/>
          <w:szCs w:val="22"/>
          <w:lang w:val="sr-Latn-ME"/>
        </w:rPr>
        <w:t xml:space="preserve"> 4.4 i 4.5</w:t>
      </w:r>
    </w:p>
    <w:p w14:paraId="6CBAF05D" w14:textId="77777777" w:rsidR="001B03B3" w:rsidRPr="00D024EA" w:rsidRDefault="001B03B3"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 xml:space="preserve">   </w:t>
      </w:r>
    </w:p>
    <w:p w14:paraId="5AA402D7" w14:textId="77777777" w:rsidR="001B03B3" w:rsidRPr="00D024EA" w:rsidRDefault="001B03B3" w:rsidP="00EA5D97">
      <w:pPr>
        <w:tabs>
          <w:tab w:val="left" w:pos="284"/>
        </w:tabs>
        <w:autoSpaceDE w:val="0"/>
        <w:autoSpaceDN w:val="0"/>
        <w:adjustRightInd w:val="0"/>
        <w:ind w:left="2268" w:hanging="2268"/>
        <w:jc w:val="both"/>
        <w:rPr>
          <w:rFonts w:eastAsia="MS Mincho"/>
          <w:sz w:val="22"/>
          <w:szCs w:val="22"/>
          <w:u w:val="single"/>
          <w:lang w:val="sr-Latn-ME" w:eastAsia="ja-JP" w:bidi="ne-NP"/>
        </w:rPr>
      </w:pPr>
      <w:r w:rsidRPr="00D024EA">
        <w:rPr>
          <w:rFonts w:eastAsia="MS Mincho"/>
          <w:sz w:val="22"/>
          <w:szCs w:val="22"/>
          <w:lang w:val="sr-Latn-ME" w:eastAsia="ja-JP" w:bidi="ne-NP"/>
        </w:rPr>
        <w:t>**</w:t>
      </w:r>
      <w:r w:rsidRPr="00D024EA">
        <w:rPr>
          <w:rFonts w:eastAsia="MS Mincho"/>
          <w:sz w:val="22"/>
          <w:szCs w:val="22"/>
          <w:u w:val="single"/>
          <w:lang w:val="sr-Latn-ME" w:eastAsia="ja-JP" w:bidi="ne-NP"/>
        </w:rPr>
        <w:t xml:space="preserve"> Kardiološki poremećaji</w:t>
      </w:r>
    </w:p>
    <w:p w14:paraId="610DD10A" w14:textId="2D34A51B" w:rsidR="001B03B3" w:rsidRPr="00D024EA" w:rsidRDefault="001B03B3" w:rsidP="00EA5D97">
      <w:pPr>
        <w:tabs>
          <w:tab w:val="left" w:pos="567"/>
        </w:tabs>
        <w:autoSpaceDE w:val="0"/>
        <w:autoSpaceDN w:val="0"/>
        <w:adjustRightInd w:val="0"/>
        <w:jc w:val="both"/>
        <w:rPr>
          <w:sz w:val="22"/>
          <w:szCs w:val="22"/>
          <w:lang w:val="sr-Latn-ME"/>
        </w:rPr>
      </w:pPr>
      <w:r w:rsidRPr="00D024EA">
        <w:rPr>
          <w:rFonts w:eastAsia="MS Mincho"/>
          <w:sz w:val="22"/>
          <w:szCs w:val="22"/>
          <w:lang w:val="sr-Latn-ME" w:eastAsia="ja-JP" w:bidi="ne-NP"/>
        </w:rPr>
        <w:t xml:space="preserve"> Kao i kod primjene drugih trombolitičkih agenasa, poremećaji opisani gore u odgovarajućim djelovima su</w:t>
      </w:r>
      <w:r w:rsidR="00493C0F" w:rsidRPr="00D024EA">
        <w:rPr>
          <w:rFonts w:eastAsia="MS Mincho"/>
          <w:sz w:val="22"/>
          <w:szCs w:val="22"/>
          <w:lang w:val="sr-Latn-ME" w:eastAsia="ja-JP" w:bidi="ne-NP"/>
        </w:rPr>
        <w:t xml:space="preserve"> </w:t>
      </w:r>
      <w:r w:rsidRPr="00D024EA">
        <w:rPr>
          <w:rFonts w:eastAsia="MS Mincho"/>
          <w:sz w:val="22"/>
          <w:szCs w:val="22"/>
          <w:lang w:val="sr-Latn-ME" w:eastAsia="ja-JP" w:bidi="ne-NP"/>
        </w:rPr>
        <w:t>primijećeni kao posljedica infarkta miokarda i/ili trombolitičke terapije. Ovi srčani poremećaji mogu biti opasni po život i dovesti do smrtnog ishoda.</w:t>
      </w:r>
    </w:p>
    <w:p w14:paraId="6A194BCA" w14:textId="77777777" w:rsidR="001B03B3" w:rsidRPr="00D024EA" w:rsidRDefault="001B03B3" w:rsidP="00EA5D97">
      <w:pPr>
        <w:tabs>
          <w:tab w:val="left" w:pos="284"/>
        </w:tabs>
        <w:jc w:val="both"/>
        <w:rPr>
          <w:rFonts w:eastAsia="MS Mincho"/>
          <w:b/>
          <w:bCs/>
          <w:sz w:val="22"/>
          <w:szCs w:val="22"/>
          <w:lang w:val="sr-Latn-ME" w:eastAsia="ja-JP" w:bidi="ne-NP"/>
        </w:rPr>
      </w:pPr>
    </w:p>
    <w:p w14:paraId="677D7872" w14:textId="565E69ED" w:rsidR="001B03B3" w:rsidRPr="00D024EA" w:rsidRDefault="001B03B3" w:rsidP="00EA5D97">
      <w:pPr>
        <w:tabs>
          <w:tab w:val="left" w:pos="567"/>
        </w:tabs>
        <w:jc w:val="both"/>
        <w:rPr>
          <w:sz w:val="22"/>
          <w:szCs w:val="22"/>
          <w:u w:val="single"/>
          <w:lang w:val="sr-Latn-ME"/>
        </w:rPr>
      </w:pPr>
      <w:r w:rsidRPr="00D6708F">
        <w:rPr>
          <w:sz w:val="22"/>
          <w:szCs w:val="22"/>
          <w:lang w:val="sr-Latn-ME"/>
        </w:rPr>
        <w:t>***</w:t>
      </w:r>
      <w:r w:rsidRPr="00D024EA">
        <w:rPr>
          <w:sz w:val="22"/>
          <w:szCs w:val="22"/>
          <w:u w:val="single"/>
          <w:lang w:val="sr-Latn-ME"/>
        </w:rPr>
        <w:t>Izračunavanje frekvenci učestal</w:t>
      </w:r>
      <w:r w:rsidR="00FF48AE" w:rsidRPr="00D024EA">
        <w:rPr>
          <w:sz w:val="22"/>
          <w:szCs w:val="22"/>
          <w:u w:val="single"/>
          <w:lang w:val="sr-Latn-ME"/>
        </w:rPr>
        <w:t>o</w:t>
      </w:r>
      <w:r w:rsidRPr="00D024EA">
        <w:rPr>
          <w:sz w:val="22"/>
          <w:szCs w:val="22"/>
          <w:u w:val="single"/>
          <w:lang w:val="sr-Latn-ME"/>
        </w:rPr>
        <w:t>sti</w:t>
      </w:r>
    </w:p>
    <w:p w14:paraId="5382951D" w14:textId="77777777" w:rsidR="001B03B3" w:rsidRPr="00D024EA" w:rsidRDefault="001B03B3" w:rsidP="00EA5D97">
      <w:pPr>
        <w:tabs>
          <w:tab w:val="left" w:pos="284"/>
        </w:tabs>
        <w:jc w:val="both"/>
        <w:rPr>
          <w:sz w:val="22"/>
          <w:szCs w:val="22"/>
          <w:lang w:val="sr-Latn-ME"/>
        </w:rPr>
      </w:pPr>
      <w:r w:rsidRPr="00D024EA">
        <w:rPr>
          <w:sz w:val="22"/>
          <w:szCs w:val="22"/>
          <w:lang w:val="sr-Latn-ME"/>
        </w:rPr>
        <w:t>Ovo neželjeno dejstvo je primijećeno u post-marketinškom iskustvu. Sa 95 % sigurnosti se može reći da učestalost ove kategorije nije više od „rijetko”, ali može biti i niža. Precizna procjena učestalosti nije moguća, jer se ova neželjena reakcija nije pojavila u bazi podataka kliničkog ispitivanja sprovedenog na 8299 pacijenata.</w:t>
      </w:r>
    </w:p>
    <w:p w14:paraId="539F625C" w14:textId="77777777" w:rsidR="001B03B3" w:rsidRPr="00D024EA" w:rsidRDefault="001B03B3" w:rsidP="00EA5D97">
      <w:pPr>
        <w:tabs>
          <w:tab w:val="left" w:pos="567"/>
        </w:tabs>
        <w:jc w:val="both"/>
        <w:rPr>
          <w:sz w:val="22"/>
          <w:szCs w:val="22"/>
          <w:lang w:val="sr-Latn-ME"/>
        </w:rPr>
      </w:pPr>
    </w:p>
    <w:p w14:paraId="248D41AF" w14:textId="77777777" w:rsidR="001B03B3" w:rsidRPr="00D024EA" w:rsidRDefault="001B03B3" w:rsidP="00EA5D97">
      <w:pPr>
        <w:tabs>
          <w:tab w:val="left" w:pos="567"/>
        </w:tabs>
        <w:autoSpaceDE w:val="0"/>
        <w:autoSpaceDN w:val="0"/>
        <w:adjustRightInd w:val="0"/>
        <w:jc w:val="both"/>
        <w:rPr>
          <w:sz w:val="22"/>
          <w:szCs w:val="22"/>
          <w:lang w:val="sr-Latn-ME"/>
        </w:rPr>
      </w:pPr>
      <w:r w:rsidRPr="00D024EA">
        <w:rPr>
          <w:sz w:val="22"/>
          <w:szCs w:val="22"/>
          <w:lang w:val="sr-Latn-ME"/>
        </w:rPr>
        <w:t>Smrtni ishod i trajna onesposobljenost su primijećeni kod pacijenta koji su imali moždani udar (uključujući intrakranijalno krvarenje) i druge ozbiljne epizode krvarenja.</w:t>
      </w:r>
    </w:p>
    <w:p w14:paraId="5A1D9D61" w14:textId="77777777" w:rsidR="001B03B3" w:rsidRPr="00D024EA" w:rsidRDefault="001B03B3" w:rsidP="00EA5D97">
      <w:pPr>
        <w:tabs>
          <w:tab w:val="left" w:pos="284"/>
        </w:tabs>
        <w:jc w:val="both"/>
        <w:rPr>
          <w:rFonts w:eastAsia="MS Mincho"/>
          <w:b/>
          <w:bCs/>
          <w:sz w:val="22"/>
          <w:szCs w:val="22"/>
          <w:lang w:val="sr-Latn-ME" w:eastAsia="ja-JP" w:bidi="ne-NP"/>
        </w:rPr>
      </w:pPr>
    </w:p>
    <w:p w14:paraId="091D8E4C" w14:textId="77777777" w:rsidR="00FC50CF" w:rsidRPr="00D024EA" w:rsidRDefault="00FC50CF" w:rsidP="00EA5D97">
      <w:pPr>
        <w:jc w:val="both"/>
        <w:rPr>
          <w:rFonts w:eastAsia="Calibri"/>
          <w:sz w:val="22"/>
          <w:szCs w:val="22"/>
          <w:u w:val="single"/>
          <w:lang w:val="sr-Latn-ME"/>
        </w:rPr>
      </w:pPr>
      <w:r w:rsidRPr="00D024EA">
        <w:rPr>
          <w:rFonts w:eastAsia="Calibri"/>
          <w:sz w:val="22"/>
          <w:szCs w:val="22"/>
          <w:u w:val="single"/>
          <w:lang w:val="sr-Latn-ME"/>
        </w:rPr>
        <w:t>Prijavljivanje sumnji na neželjena dejstva</w:t>
      </w:r>
    </w:p>
    <w:p w14:paraId="4DE8BCF8" w14:textId="77777777" w:rsidR="00FC50CF" w:rsidRPr="00D024EA" w:rsidRDefault="00FC50CF" w:rsidP="009F2789">
      <w:pPr>
        <w:jc w:val="both"/>
        <w:rPr>
          <w:rFonts w:eastAsia="Calibri"/>
          <w:sz w:val="22"/>
          <w:szCs w:val="22"/>
          <w:lang w:val="sr-Latn-ME"/>
        </w:rPr>
      </w:pPr>
      <w:r w:rsidRPr="00D024EA">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74A65B3E" w14:textId="77777777" w:rsidR="00FC50CF" w:rsidRPr="00D024EA" w:rsidRDefault="00FC50CF" w:rsidP="0068078E">
      <w:pPr>
        <w:pStyle w:val="NoSpacing"/>
        <w:jc w:val="both"/>
        <w:rPr>
          <w:rFonts w:eastAsia="Calibri"/>
          <w:sz w:val="22"/>
          <w:szCs w:val="22"/>
          <w:lang w:val="sr-Latn-ME"/>
        </w:rPr>
      </w:pPr>
      <w:r w:rsidRPr="00D024EA">
        <w:rPr>
          <w:rFonts w:eastAsia="Calibri"/>
          <w:sz w:val="22"/>
          <w:szCs w:val="22"/>
          <w:lang w:val="sr-Latn-ME"/>
        </w:rPr>
        <w:t xml:space="preserve">Institut za ljekove i medicinska sredstva </w:t>
      </w:r>
    </w:p>
    <w:p w14:paraId="2D0761F8" w14:textId="77777777" w:rsidR="00FC50CF" w:rsidRPr="00D024EA" w:rsidRDefault="00FC50CF" w:rsidP="00EF218C">
      <w:pPr>
        <w:pStyle w:val="NoSpacing"/>
        <w:jc w:val="both"/>
        <w:rPr>
          <w:rFonts w:eastAsia="Calibri"/>
          <w:sz w:val="22"/>
          <w:szCs w:val="22"/>
          <w:lang w:val="sr-Latn-ME"/>
        </w:rPr>
      </w:pPr>
      <w:r w:rsidRPr="00D024EA">
        <w:rPr>
          <w:rFonts w:eastAsia="Calibri"/>
          <w:sz w:val="22"/>
          <w:szCs w:val="22"/>
          <w:lang w:val="sr-Latn-ME"/>
        </w:rPr>
        <w:t>Odjeljenje za farmakovigilancu</w:t>
      </w:r>
    </w:p>
    <w:p w14:paraId="0F463818" w14:textId="77777777" w:rsidR="00FC50CF" w:rsidRPr="00D024EA" w:rsidRDefault="00FC50CF">
      <w:pPr>
        <w:pStyle w:val="NoSpacing"/>
        <w:jc w:val="both"/>
        <w:rPr>
          <w:rFonts w:eastAsia="Calibri"/>
          <w:sz w:val="22"/>
          <w:szCs w:val="22"/>
          <w:lang w:val="sr-Latn-ME"/>
        </w:rPr>
      </w:pPr>
      <w:r w:rsidRPr="00D024EA">
        <w:rPr>
          <w:rFonts w:eastAsia="Calibri"/>
          <w:sz w:val="22"/>
          <w:szCs w:val="22"/>
          <w:lang w:val="sr-Latn-ME"/>
        </w:rPr>
        <w:t>Bulevar Ivana Crnojevića 64a, 81000 Podgorica</w:t>
      </w:r>
    </w:p>
    <w:p w14:paraId="13E2B1C2" w14:textId="77777777" w:rsidR="00FC50CF" w:rsidRPr="00D024EA" w:rsidRDefault="00FC50CF" w:rsidP="00EA5D97">
      <w:pPr>
        <w:pStyle w:val="NoSpacing"/>
        <w:jc w:val="both"/>
        <w:rPr>
          <w:rFonts w:eastAsia="Calibri"/>
          <w:sz w:val="22"/>
          <w:szCs w:val="22"/>
          <w:lang w:val="sr-Latn-ME"/>
        </w:rPr>
      </w:pPr>
    </w:p>
    <w:p w14:paraId="7ACA2C6D" w14:textId="77777777" w:rsidR="00FC50CF" w:rsidRPr="00D024EA" w:rsidRDefault="00FC50CF" w:rsidP="009F2789">
      <w:pPr>
        <w:pStyle w:val="NoSpacing"/>
        <w:jc w:val="both"/>
        <w:rPr>
          <w:rFonts w:eastAsia="Calibri"/>
          <w:sz w:val="22"/>
          <w:szCs w:val="22"/>
          <w:lang w:val="sr-Latn-ME"/>
        </w:rPr>
      </w:pPr>
      <w:r w:rsidRPr="00D024EA">
        <w:rPr>
          <w:rFonts w:eastAsia="Calibri"/>
          <w:sz w:val="22"/>
          <w:szCs w:val="22"/>
          <w:lang w:val="sr-Latn-ME"/>
        </w:rPr>
        <w:t>tel: +382 (0) 20 310 280</w:t>
      </w:r>
    </w:p>
    <w:p w14:paraId="39174058" w14:textId="77777777" w:rsidR="00FC50CF" w:rsidRPr="00D024EA" w:rsidRDefault="00FC50CF" w:rsidP="0068078E">
      <w:pPr>
        <w:pStyle w:val="NoSpacing"/>
        <w:jc w:val="both"/>
        <w:rPr>
          <w:rFonts w:eastAsia="Calibri"/>
          <w:sz w:val="22"/>
          <w:szCs w:val="22"/>
          <w:lang w:val="sr-Latn-ME"/>
        </w:rPr>
      </w:pPr>
      <w:r w:rsidRPr="00D024EA">
        <w:rPr>
          <w:rFonts w:eastAsia="Calibri"/>
          <w:sz w:val="22"/>
          <w:szCs w:val="22"/>
          <w:lang w:val="sr-Latn-ME"/>
        </w:rPr>
        <w:t>fax: +382 (0) 20 310 581</w:t>
      </w:r>
    </w:p>
    <w:p w14:paraId="4C0C356D" w14:textId="77777777" w:rsidR="00FC50CF" w:rsidRPr="00D024EA" w:rsidRDefault="00591D87" w:rsidP="00EF218C">
      <w:pPr>
        <w:pStyle w:val="NoSpacing"/>
        <w:jc w:val="both"/>
        <w:rPr>
          <w:rFonts w:eastAsia="Calibri"/>
          <w:sz w:val="22"/>
          <w:szCs w:val="22"/>
          <w:lang w:val="sr-Latn-ME"/>
        </w:rPr>
      </w:pPr>
      <w:hyperlink r:id="rId8" w:history="1">
        <w:r w:rsidR="00FC50CF" w:rsidRPr="00D024EA">
          <w:rPr>
            <w:rStyle w:val="Hyperlink"/>
            <w:rFonts w:eastAsia="Calibri"/>
            <w:sz w:val="22"/>
            <w:szCs w:val="22"/>
            <w:lang w:val="sr-Latn-ME"/>
          </w:rPr>
          <w:t>www.cinmed.me</w:t>
        </w:r>
      </w:hyperlink>
    </w:p>
    <w:p w14:paraId="0B6A7F0D" w14:textId="77777777" w:rsidR="00FC50CF" w:rsidRPr="00D024EA" w:rsidRDefault="00591D87">
      <w:pPr>
        <w:pStyle w:val="NoSpacing"/>
        <w:jc w:val="both"/>
        <w:rPr>
          <w:rFonts w:eastAsia="Calibri"/>
          <w:color w:val="0000FF"/>
          <w:sz w:val="22"/>
          <w:szCs w:val="22"/>
          <w:u w:val="single"/>
          <w:lang w:val="sr-Latn-ME"/>
        </w:rPr>
      </w:pPr>
      <w:hyperlink r:id="rId9" w:history="1">
        <w:r w:rsidR="00FC50CF" w:rsidRPr="00D024EA">
          <w:rPr>
            <w:rStyle w:val="Hyperlink"/>
            <w:rFonts w:eastAsia="Calibri"/>
            <w:sz w:val="22"/>
            <w:szCs w:val="22"/>
            <w:lang w:val="sr-Latn-ME"/>
          </w:rPr>
          <w:t>nezeljenadejstva@cinmed.me</w:t>
        </w:r>
      </w:hyperlink>
    </w:p>
    <w:p w14:paraId="0F98D125" w14:textId="77777777" w:rsidR="00FC50CF" w:rsidRPr="00D024EA" w:rsidRDefault="00FC50CF">
      <w:pPr>
        <w:pStyle w:val="NoSpacing"/>
        <w:jc w:val="both"/>
        <w:rPr>
          <w:rFonts w:eastAsia="Calibri"/>
          <w:sz w:val="22"/>
          <w:szCs w:val="22"/>
          <w:lang w:val="sr-Latn-ME"/>
        </w:rPr>
      </w:pPr>
      <w:r w:rsidRPr="00D024EA">
        <w:rPr>
          <w:rFonts w:eastAsia="Calibri"/>
          <w:sz w:val="22"/>
          <w:szCs w:val="22"/>
          <w:lang w:val="sr-Latn-ME"/>
        </w:rPr>
        <w:t>putem IS zdravstvene zaštite</w:t>
      </w:r>
    </w:p>
    <w:p w14:paraId="21D11868" w14:textId="77777777" w:rsidR="00560C63" w:rsidRPr="00D024EA" w:rsidRDefault="00560C63">
      <w:pPr>
        <w:pStyle w:val="NoSpacing"/>
        <w:jc w:val="both"/>
        <w:rPr>
          <w:rFonts w:eastAsia="Calibri"/>
          <w:sz w:val="22"/>
          <w:szCs w:val="22"/>
          <w:lang w:val="sr-Latn-ME"/>
        </w:rPr>
      </w:pPr>
      <w:r w:rsidRPr="00D024EA">
        <w:rPr>
          <w:rFonts w:eastAsia="Calibri"/>
          <w:sz w:val="22"/>
          <w:szCs w:val="22"/>
          <w:lang w:val="sr-Latn-ME"/>
        </w:rPr>
        <w:t>QR kod za online prijavu sumnje na neželjeno dejstvo lijeka:</w:t>
      </w:r>
    </w:p>
    <w:p w14:paraId="6DA221A0" w14:textId="77777777" w:rsidR="00560C63" w:rsidRPr="00D024EA" w:rsidRDefault="00560C63">
      <w:pPr>
        <w:pStyle w:val="NoSpacing"/>
        <w:jc w:val="both"/>
        <w:rPr>
          <w:rFonts w:eastAsia="Calibri"/>
          <w:sz w:val="22"/>
          <w:szCs w:val="22"/>
          <w:lang w:val="sr-Latn-ME"/>
        </w:rPr>
      </w:pPr>
    </w:p>
    <w:p w14:paraId="24BB4620" w14:textId="1F82CD8F" w:rsidR="00836B35" w:rsidRPr="00D024EA" w:rsidRDefault="00560C63" w:rsidP="00EA5D97">
      <w:pPr>
        <w:tabs>
          <w:tab w:val="left" w:pos="540"/>
          <w:tab w:val="left" w:pos="569"/>
        </w:tabs>
        <w:jc w:val="both"/>
        <w:rPr>
          <w:b/>
          <w:bCs/>
          <w:sz w:val="22"/>
          <w:szCs w:val="22"/>
          <w:lang w:val="sr-Latn-ME"/>
        </w:rPr>
      </w:pPr>
      <w:r w:rsidRPr="00D024EA">
        <w:rPr>
          <w:b/>
          <w:bCs/>
          <w:noProof/>
          <w:sz w:val="22"/>
          <w:szCs w:val="22"/>
          <w:lang w:val="sr-Latn-ME" w:eastAsia="sr-Latn-ME"/>
        </w:rPr>
        <w:drawing>
          <wp:inline distT="0" distB="0" distL="0" distR="0" wp14:anchorId="58D5A44D" wp14:editId="5233925D">
            <wp:extent cx="969645" cy="969645"/>
            <wp:effectExtent l="0" t="0" r="0" b="0"/>
            <wp:docPr id="1863934997" name="Picture 1863934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9645" cy="969645"/>
                    </a:xfrm>
                    <a:prstGeom prst="rect">
                      <a:avLst/>
                    </a:prstGeom>
                    <a:noFill/>
                  </pic:spPr>
                </pic:pic>
              </a:graphicData>
            </a:graphic>
          </wp:inline>
        </w:drawing>
      </w:r>
    </w:p>
    <w:p w14:paraId="7DF25364" w14:textId="77777777" w:rsidR="00C65313" w:rsidRPr="00D024EA" w:rsidRDefault="00C65313" w:rsidP="00EA5D97">
      <w:pPr>
        <w:tabs>
          <w:tab w:val="left" w:pos="540"/>
          <w:tab w:val="left" w:pos="569"/>
        </w:tabs>
        <w:jc w:val="both"/>
        <w:rPr>
          <w:b/>
          <w:bCs/>
          <w:sz w:val="22"/>
          <w:szCs w:val="22"/>
          <w:lang w:val="sr-Latn-ME"/>
        </w:rPr>
      </w:pPr>
    </w:p>
    <w:p w14:paraId="3F7DEE73" w14:textId="6D168704" w:rsidR="00CD6F02" w:rsidRPr="00D024EA" w:rsidRDefault="0072020E" w:rsidP="00EA5D97">
      <w:pPr>
        <w:tabs>
          <w:tab w:val="left" w:pos="540"/>
          <w:tab w:val="left" w:pos="569"/>
        </w:tabs>
        <w:jc w:val="both"/>
        <w:rPr>
          <w:b/>
          <w:bCs/>
          <w:sz w:val="22"/>
          <w:szCs w:val="22"/>
          <w:lang w:val="sr-Latn-ME"/>
        </w:rPr>
      </w:pPr>
      <w:r w:rsidRPr="00D024EA">
        <w:rPr>
          <w:b/>
          <w:bCs/>
          <w:sz w:val="22"/>
          <w:szCs w:val="22"/>
          <w:lang w:val="sr-Latn-ME"/>
        </w:rPr>
        <w:t xml:space="preserve">4.9. </w:t>
      </w:r>
      <w:r w:rsidR="00480FB1" w:rsidRPr="00D024EA">
        <w:rPr>
          <w:b/>
          <w:bCs/>
          <w:sz w:val="22"/>
          <w:szCs w:val="22"/>
          <w:lang w:val="sr-Latn-ME"/>
        </w:rPr>
        <w:tab/>
      </w:r>
      <w:r w:rsidRPr="00D024EA">
        <w:rPr>
          <w:b/>
          <w:bCs/>
          <w:sz w:val="22"/>
          <w:szCs w:val="22"/>
          <w:lang w:val="sr-Latn-ME"/>
        </w:rPr>
        <w:t>Predoziranje</w:t>
      </w:r>
      <w:r w:rsidR="002846DB" w:rsidRPr="00D024EA">
        <w:rPr>
          <w:b/>
          <w:bCs/>
          <w:sz w:val="22"/>
          <w:szCs w:val="22"/>
          <w:lang w:val="sr-Latn-ME"/>
        </w:rPr>
        <w:t xml:space="preserve"> </w:t>
      </w:r>
    </w:p>
    <w:p w14:paraId="1446A615" w14:textId="77777777" w:rsidR="001B03B3" w:rsidRPr="00D024EA" w:rsidRDefault="001B03B3" w:rsidP="00EA5D97">
      <w:pPr>
        <w:tabs>
          <w:tab w:val="left" w:pos="540"/>
          <w:tab w:val="left" w:pos="569"/>
        </w:tabs>
        <w:jc w:val="both"/>
        <w:rPr>
          <w:b/>
          <w:bCs/>
          <w:sz w:val="22"/>
          <w:szCs w:val="22"/>
          <w:lang w:val="sr-Latn-ME"/>
        </w:rPr>
      </w:pPr>
    </w:p>
    <w:p w14:paraId="006D7D4F" w14:textId="77777777" w:rsidR="00B8135B" w:rsidRPr="00D024EA" w:rsidRDefault="00B8135B" w:rsidP="00EA5D97">
      <w:pPr>
        <w:autoSpaceDE w:val="0"/>
        <w:autoSpaceDN w:val="0"/>
        <w:adjustRightInd w:val="0"/>
        <w:jc w:val="both"/>
        <w:rPr>
          <w:rFonts w:eastAsia="MS Mincho"/>
          <w:sz w:val="22"/>
          <w:szCs w:val="22"/>
          <w:u w:val="single"/>
          <w:lang w:val="sr-Latn-ME" w:eastAsia="ja-JP" w:bidi="ne-NP"/>
        </w:rPr>
      </w:pPr>
      <w:r w:rsidRPr="00D024EA">
        <w:rPr>
          <w:rFonts w:eastAsia="MS Mincho"/>
          <w:sz w:val="22"/>
          <w:szCs w:val="22"/>
          <w:u w:val="single"/>
          <w:lang w:val="sr-Latn-ME" w:eastAsia="ja-JP" w:bidi="ne-NP"/>
        </w:rPr>
        <w:t xml:space="preserve">Simptomi </w:t>
      </w:r>
    </w:p>
    <w:p w14:paraId="2BC7817A" w14:textId="77777777" w:rsidR="00B8135B" w:rsidRPr="00D024EA" w:rsidRDefault="00B8135B"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Ukoliko se prekorači maksimalna preporučena doza, povećava se rizik od intrakranijalnog krvarenja.</w:t>
      </w:r>
    </w:p>
    <w:p w14:paraId="7B260729" w14:textId="208E253A" w:rsidR="00B8135B" w:rsidRPr="00D024EA" w:rsidRDefault="001B03B3"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Može doći do relativne fibrinske specifičnosti posl</w:t>
      </w:r>
      <w:r w:rsidR="00493C0F" w:rsidRPr="00D024EA">
        <w:rPr>
          <w:rFonts w:eastAsia="MS Mincho"/>
          <w:sz w:val="22"/>
          <w:szCs w:val="22"/>
          <w:lang w:val="sr-Latn-ME" w:eastAsia="ja-JP" w:bidi="ne-NP"/>
        </w:rPr>
        <w:t>ij</w:t>
      </w:r>
      <w:r w:rsidRPr="00D024EA">
        <w:rPr>
          <w:rFonts w:eastAsia="MS Mincho"/>
          <w:sz w:val="22"/>
          <w:szCs w:val="22"/>
          <w:lang w:val="sr-Latn-ME" w:eastAsia="ja-JP" w:bidi="ne-NP"/>
        </w:rPr>
        <w:t xml:space="preserve">e predoziranja, uprkos klinički značajne redukcije fibrinogena i drugih komponenti koagulacije krvi. </w:t>
      </w:r>
    </w:p>
    <w:p w14:paraId="01D6BD11" w14:textId="77777777" w:rsidR="00493C0F" w:rsidRPr="00D024EA" w:rsidRDefault="00493C0F" w:rsidP="00EA5D97">
      <w:pPr>
        <w:autoSpaceDE w:val="0"/>
        <w:autoSpaceDN w:val="0"/>
        <w:adjustRightInd w:val="0"/>
        <w:jc w:val="both"/>
        <w:rPr>
          <w:rFonts w:eastAsia="MS Mincho"/>
          <w:sz w:val="22"/>
          <w:szCs w:val="22"/>
          <w:lang w:val="sr-Latn-ME" w:eastAsia="ja-JP" w:bidi="ne-NP"/>
        </w:rPr>
      </w:pPr>
    </w:p>
    <w:p w14:paraId="65E68BDE" w14:textId="1518EC29" w:rsidR="00B8135B" w:rsidRPr="00D024EA" w:rsidRDefault="00B8135B" w:rsidP="00EA5D97">
      <w:pPr>
        <w:autoSpaceDE w:val="0"/>
        <w:autoSpaceDN w:val="0"/>
        <w:adjustRightInd w:val="0"/>
        <w:jc w:val="both"/>
        <w:rPr>
          <w:rFonts w:eastAsia="MS Mincho"/>
          <w:sz w:val="22"/>
          <w:szCs w:val="22"/>
          <w:u w:val="single"/>
          <w:lang w:val="sr-Latn-ME" w:eastAsia="ja-JP" w:bidi="ne-NP"/>
        </w:rPr>
      </w:pPr>
      <w:r w:rsidRPr="00D024EA">
        <w:rPr>
          <w:rFonts w:eastAsia="MS Mincho"/>
          <w:sz w:val="22"/>
          <w:szCs w:val="22"/>
          <w:u w:val="single"/>
          <w:lang w:val="sr-Latn-ME" w:eastAsia="ja-JP" w:bidi="ne-NP"/>
        </w:rPr>
        <w:t>Terapija</w:t>
      </w:r>
    </w:p>
    <w:p w14:paraId="09D78927" w14:textId="548791A7" w:rsidR="001B03B3" w:rsidRPr="00D024EA" w:rsidRDefault="001B03B3"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U većini slučajeva, dovoljno je sačekati da se ovi faktori fiziološki regenerišu pošto se prekine sa terapijom l</w:t>
      </w:r>
      <w:r w:rsidR="00FF48AE" w:rsidRPr="00D024EA">
        <w:rPr>
          <w:rFonts w:eastAsia="MS Mincho"/>
          <w:sz w:val="22"/>
          <w:szCs w:val="22"/>
          <w:lang w:val="sr-Latn-ME" w:eastAsia="ja-JP" w:bidi="ne-NP"/>
        </w:rPr>
        <w:t>ij</w:t>
      </w:r>
      <w:r w:rsidRPr="00D024EA">
        <w:rPr>
          <w:rFonts w:eastAsia="MS Mincho"/>
          <w:sz w:val="22"/>
          <w:szCs w:val="22"/>
          <w:lang w:val="sr-Latn-ME" w:eastAsia="ja-JP" w:bidi="ne-NP"/>
        </w:rPr>
        <w:t>ekom Actilyse. Ako ipak dođe do ozbiljnog krvarenja, preporučuje se infuzija sv</w:t>
      </w:r>
      <w:r w:rsidR="00FF48AE" w:rsidRPr="00D024EA">
        <w:rPr>
          <w:rFonts w:eastAsia="MS Mincho"/>
          <w:sz w:val="22"/>
          <w:szCs w:val="22"/>
          <w:lang w:val="sr-Latn-ME" w:eastAsia="ja-JP" w:bidi="ne-NP"/>
        </w:rPr>
        <w:t>j</w:t>
      </w:r>
      <w:r w:rsidRPr="00D024EA">
        <w:rPr>
          <w:rFonts w:eastAsia="MS Mincho"/>
          <w:sz w:val="22"/>
          <w:szCs w:val="22"/>
          <w:lang w:val="sr-Latn-ME" w:eastAsia="ja-JP" w:bidi="ne-NP"/>
        </w:rPr>
        <w:t>eže zamrznute plazme ili sv</w:t>
      </w:r>
      <w:r w:rsidR="00493C0F" w:rsidRPr="00D024EA">
        <w:rPr>
          <w:rFonts w:eastAsia="MS Mincho"/>
          <w:sz w:val="22"/>
          <w:szCs w:val="22"/>
          <w:lang w:val="sr-Latn-ME" w:eastAsia="ja-JP" w:bidi="ne-NP"/>
        </w:rPr>
        <w:t>j</w:t>
      </w:r>
      <w:r w:rsidRPr="00D024EA">
        <w:rPr>
          <w:rFonts w:eastAsia="MS Mincho"/>
          <w:sz w:val="22"/>
          <w:szCs w:val="22"/>
          <w:lang w:val="sr-Latn-ME" w:eastAsia="ja-JP" w:bidi="ne-NP"/>
        </w:rPr>
        <w:t>eže krvi i, ako je potrebno, mogu se dati sintetski antifibrinolitici.</w:t>
      </w:r>
    </w:p>
    <w:p w14:paraId="51195A52" w14:textId="4C852C4B" w:rsidR="00227BDB" w:rsidRPr="00D024EA" w:rsidRDefault="00227BDB" w:rsidP="00EA5D97">
      <w:pPr>
        <w:tabs>
          <w:tab w:val="left" w:pos="540"/>
          <w:tab w:val="left" w:pos="569"/>
        </w:tabs>
        <w:jc w:val="both"/>
        <w:rPr>
          <w:b/>
          <w:bCs/>
          <w:sz w:val="22"/>
          <w:szCs w:val="22"/>
          <w:lang w:val="sr-Latn-ME"/>
        </w:rPr>
      </w:pPr>
    </w:p>
    <w:p w14:paraId="2C011183" w14:textId="77777777" w:rsidR="00B7348D" w:rsidRPr="00D024EA" w:rsidRDefault="00B7348D" w:rsidP="00EA5D97">
      <w:pPr>
        <w:tabs>
          <w:tab w:val="left" w:pos="540"/>
          <w:tab w:val="left" w:pos="569"/>
        </w:tabs>
        <w:jc w:val="both"/>
        <w:rPr>
          <w:b/>
          <w:bCs/>
          <w:sz w:val="22"/>
          <w:szCs w:val="22"/>
          <w:lang w:val="sr-Latn-ME"/>
        </w:rPr>
      </w:pPr>
    </w:p>
    <w:p w14:paraId="54AAD0C2" w14:textId="77777777" w:rsidR="0072020E" w:rsidRPr="00D024EA" w:rsidRDefault="0072020E" w:rsidP="00EA5D97">
      <w:pPr>
        <w:tabs>
          <w:tab w:val="left" w:pos="540"/>
          <w:tab w:val="left" w:pos="569"/>
        </w:tabs>
        <w:jc w:val="both"/>
        <w:rPr>
          <w:b/>
          <w:bCs/>
          <w:sz w:val="22"/>
          <w:szCs w:val="22"/>
          <w:lang w:val="sr-Latn-ME"/>
        </w:rPr>
      </w:pPr>
      <w:r w:rsidRPr="00D024EA">
        <w:rPr>
          <w:b/>
          <w:bCs/>
          <w:sz w:val="22"/>
          <w:szCs w:val="22"/>
          <w:lang w:val="sr-Latn-ME"/>
        </w:rPr>
        <w:t xml:space="preserve">5. </w:t>
      </w:r>
      <w:r w:rsidR="00480FB1" w:rsidRPr="00D024EA">
        <w:rPr>
          <w:b/>
          <w:bCs/>
          <w:sz w:val="22"/>
          <w:szCs w:val="22"/>
          <w:lang w:val="sr-Latn-ME"/>
        </w:rPr>
        <w:tab/>
      </w:r>
      <w:r w:rsidRPr="00D024EA">
        <w:rPr>
          <w:b/>
          <w:bCs/>
          <w:sz w:val="22"/>
          <w:szCs w:val="22"/>
          <w:lang w:val="sr-Latn-ME"/>
        </w:rPr>
        <w:t>FARMAKOLOŠK</w:t>
      </w:r>
      <w:r w:rsidR="000D425A" w:rsidRPr="00D024EA">
        <w:rPr>
          <w:b/>
          <w:bCs/>
          <w:sz w:val="22"/>
          <w:szCs w:val="22"/>
          <w:lang w:val="sr-Latn-ME"/>
        </w:rPr>
        <w:t>I</w:t>
      </w:r>
      <w:r w:rsidRPr="00D024EA">
        <w:rPr>
          <w:b/>
          <w:bCs/>
          <w:sz w:val="22"/>
          <w:szCs w:val="22"/>
          <w:lang w:val="sr-Latn-ME"/>
        </w:rPr>
        <w:t xml:space="preserve"> PODACI</w:t>
      </w:r>
    </w:p>
    <w:p w14:paraId="38177B91" w14:textId="77777777" w:rsidR="0072020E" w:rsidRPr="00D024EA" w:rsidRDefault="0072020E" w:rsidP="00EA5D97">
      <w:pPr>
        <w:tabs>
          <w:tab w:val="left" w:pos="540"/>
          <w:tab w:val="left" w:pos="569"/>
        </w:tabs>
        <w:jc w:val="both"/>
        <w:rPr>
          <w:b/>
          <w:bCs/>
          <w:sz w:val="22"/>
          <w:szCs w:val="22"/>
          <w:lang w:val="sr-Latn-ME"/>
        </w:rPr>
      </w:pPr>
    </w:p>
    <w:p w14:paraId="77EC4263" w14:textId="2143F2FE" w:rsidR="0072020E" w:rsidRPr="00D024EA" w:rsidRDefault="0072020E" w:rsidP="00EA5D97">
      <w:pPr>
        <w:tabs>
          <w:tab w:val="left" w:pos="540"/>
          <w:tab w:val="left" w:pos="569"/>
        </w:tabs>
        <w:jc w:val="both"/>
        <w:rPr>
          <w:b/>
          <w:bCs/>
          <w:sz w:val="22"/>
          <w:szCs w:val="22"/>
          <w:lang w:val="sr-Latn-ME"/>
        </w:rPr>
      </w:pPr>
      <w:r w:rsidRPr="00D024EA">
        <w:rPr>
          <w:b/>
          <w:bCs/>
          <w:sz w:val="22"/>
          <w:szCs w:val="22"/>
          <w:lang w:val="sr-Latn-ME"/>
        </w:rPr>
        <w:t xml:space="preserve">5.1. </w:t>
      </w:r>
      <w:r w:rsidR="00480FB1" w:rsidRPr="00D024EA">
        <w:rPr>
          <w:b/>
          <w:bCs/>
          <w:sz w:val="22"/>
          <w:szCs w:val="22"/>
          <w:lang w:val="sr-Latn-ME"/>
        </w:rPr>
        <w:tab/>
      </w:r>
      <w:r w:rsidRPr="00D024EA">
        <w:rPr>
          <w:b/>
          <w:bCs/>
          <w:sz w:val="22"/>
          <w:szCs w:val="22"/>
          <w:lang w:val="sr-Latn-ME"/>
        </w:rPr>
        <w:t>Farmakodinamski podaci</w:t>
      </w:r>
      <w:r w:rsidR="003A7059" w:rsidRPr="00D024EA">
        <w:rPr>
          <w:b/>
          <w:bCs/>
          <w:sz w:val="22"/>
          <w:szCs w:val="22"/>
          <w:lang w:val="sr-Latn-ME"/>
        </w:rPr>
        <w:t xml:space="preserve"> </w:t>
      </w:r>
      <w:bookmarkStart w:id="1" w:name="_Hlk177477350"/>
    </w:p>
    <w:p w14:paraId="3DBBD291" w14:textId="77777777" w:rsidR="00F45F77" w:rsidRPr="00D024EA" w:rsidRDefault="00F45F77" w:rsidP="00EA5D97">
      <w:pPr>
        <w:tabs>
          <w:tab w:val="left" w:pos="540"/>
          <w:tab w:val="left" w:pos="569"/>
        </w:tabs>
        <w:jc w:val="both"/>
        <w:rPr>
          <w:b/>
          <w:bCs/>
          <w:sz w:val="22"/>
          <w:szCs w:val="22"/>
          <w:lang w:val="sr-Latn-ME"/>
        </w:rPr>
      </w:pPr>
    </w:p>
    <w:bookmarkEnd w:id="1"/>
    <w:p w14:paraId="6DAB75DD" w14:textId="77777777" w:rsidR="00886B8B" w:rsidRPr="00D024EA" w:rsidRDefault="0072020E" w:rsidP="00886B8B">
      <w:pPr>
        <w:tabs>
          <w:tab w:val="left" w:pos="540"/>
          <w:tab w:val="left" w:pos="569"/>
        </w:tabs>
        <w:jc w:val="both"/>
        <w:rPr>
          <w:b/>
          <w:bCs/>
          <w:sz w:val="22"/>
          <w:szCs w:val="22"/>
          <w:lang w:val="sr-Latn-ME"/>
        </w:rPr>
      </w:pPr>
      <w:r w:rsidRPr="00D024EA">
        <w:rPr>
          <w:bCs/>
          <w:sz w:val="22"/>
          <w:szCs w:val="22"/>
          <w:lang w:val="sr-Latn-ME"/>
        </w:rPr>
        <w:t>Farmakoterapijska grupa:</w:t>
      </w:r>
      <w:r w:rsidR="00886B8B" w:rsidRPr="00D024EA">
        <w:rPr>
          <w:bCs/>
          <w:sz w:val="22"/>
          <w:szCs w:val="22"/>
          <w:lang w:val="sr-Latn-ME"/>
        </w:rPr>
        <w:t xml:space="preserve"> </w:t>
      </w:r>
      <w:r w:rsidR="00886B8B" w:rsidRPr="00D024EA">
        <w:rPr>
          <w:rFonts w:eastAsia="MS Mincho"/>
          <w:sz w:val="22"/>
          <w:szCs w:val="22"/>
          <w:lang w:val="sr-Latn-ME" w:eastAsia="ja-JP" w:bidi="ne-NP"/>
        </w:rPr>
        <w:t>Antitrombotička sredstva (antikoagulansi) - enzimi</w:t>
      </w:r>
    </w:p>
    <w:p w14:paraId="65D59931" w14:textId="77777777" w:rsidR="00886B8B" w:rsidRPr="00D024EA" w:rsidRDefault="00886B8B" w:rsidP="00886B8B">
      <w:pPr>
        <w:tabs>
          <w:tab w:val="left" w:pos="540"/>
          <w:tab w:val="left" w:pos="569"/>
        </w:tabs>
        <w:jc w:val="both"/>
        <w:rPr>
          <w:b/>
          <w:bCs/>
          <w:sz w:val="22"/>
          <w:szCs w:val="22"/>
          <w:lang w:val="sr-Latn-ME"/>
        </w:rPr>
      </w:pPr>
    </w:p>
    <w:p w14:paraId="6342541A" w14:textId="77777777" w:rsidR="00886B8B" w:rsidRPr="00D024EA" w:rsidRDefault="00886B8B" w:rsidP="00886B8B">
      <w:pPr>
        <w:tabs>
          <w:tab w:val="left" w:pos="540"/>
          <w:tab w:val="left" w:pos="569"/>
        </w:tabs>
        <w:jc w:val="both"/>
        <w:rPr>
          <w:b/>
          <w:bCs/>
          <w:sz w:val="22"/>
          <w:szCs w:val="22"/>
          <w:lang w:val="sr-Latn-ME"/>
        </w:rPr>
      </w:pPr>
    </w:p>
    <w:p w14:paraId="66DFDA01" w14:textId="77777777" w:rsidR="0072020E" w:rsidRPr="00D024EA" w:rsidRDefault="0072020E" w:rsidP="00EA5D97">
      <w:pPr>
        <w:tabs>
          <w:tab w:val="left" w:pos="540"/>
          <w:tab w:val="left" w:pos="569"/>
        </w:tabs>
        <w:jc w:val="both"/>
        <w:rPr>
          <w:bCs/>
          <w:sz w:val="22"/>
          <w:szCs w:val="22"/>
          <w:lang w:val="sr-Latn-ME"/>
        </w:rPr>
      </w:pPr>
    </w:p>
    <w:p w14:paraId="34BB54D2" w14:textId="36320C1D" w:rsidR="0072020E" w:rsidRPr="00D024EA" w:rsidRDefault="0072020E" w:rsidP="00EA5D97">
      <w:pPr>
        <w:tabs>
          <w:tab w:val="left" w:pos="540"/>
          <w:tab w:val="left" w:pos="569"/>
        </w:tabs>
        <w:jc w:val="both"/>
        <w:rPr>
          <w:rFonts w:eastAsia="MS Mincho"/>
          <w:sz w:val="22"/>
          <w:szCs w:val="22"/>
          <w:lang w:val="sr-Latn-ME" w:eastAsia="ja-JP" w:bidi="ne-NP"/>
        </w:rPr>
      </w:pPr>
      <w:r w:rsidRPr="00D024EA">
        <w:rPr>
          <w:bCs/>
          <w:sz w:val="22"/>
          <w:szCs w:val="22"/>
          <w:lang w:val="sr-Latn-ME"/>
        </w:rPr>
        <w:t>ATC kod:</w:t>
      </w:r>
      <w:r w:rsidR="001B03B3" w:rsidRPr="00D024EA">
        <w:rPr>
          <w:rFonts w:eastAsia="MS Mincho"/>
          <w:sz w:val="22"/>
          <w:szCs w:val="22"/>
          <w:lang w:val="sr-Latn-ME" w:eastAsia="ja-JP" w:bidi="ne-NP"/>
        </w:rPr>
        <w:t xml:space="preserve"> B01AD02</w:t>
      </w:r>
    </w:p>
    <w:p w14:paraId="390792B9" w14:textId="77777777" w:rsidR="00493C0F" w:rsidRPr="00D024EA" w:rsidRDefault="00493C0F" w:rsidP="00EA5D97">
      <w:pPr>
        <w:tabs>
          <w:tab w:val="left" w:pos="540"/>
          <w:tab w:val="left" w:pos="569"/>
        </w:tabs>
        <w:jc w:val="both"/>
        <w:rPr>
          <w:bCs/>
          <w:sz w:val="22"/>
          <w:szCs w:val="22"/>
          <w:lang w:val="sr-Latn-ME"/>
        </w:rPr>
      </w:pPr>
    </w:p>
    <w:p w14:paraId="59E212E5" w14:textId="77777777" w:rsidR="001B03B3" w:rsidRPr="00D024EA" w:rsidRDefault="001B03B3" w:rsidP="00EA5D97">
      <w:pPr>
        <w:tabs>
          <w:tab w:val="left" w:pos="284"/>
        </w:tabs>
        <w:jc w:val="both"/>
        <w:rPr>
          <w:bCs/>
          <w:sz w:val="22"/>
          <w:szCs w:val="22"/>
          <w:u w:val="single"/>
          <w:lang w:val="sr-Latn-ME"/>
        </w:rPr>
      </w:pPr>
      <w:r w:rsidRPr="00D024EA">
        <w:rPr>
          <w:bCs/>
          <w:sz w:val="22"/>
          <w:szCs w:val="22"/>
          <w:u w:val="single"/>
          <w:lang w:val="sr-Latn-ME"/>
        </w:rPr>
        <w:t>Mehanizam dejstva</w:t>
      </w:r>
    </w:p>
    <w:p w14:paraId="50FBB1F5" w14:textId="77777777" w:rsidR="001B03B3" w:rsidRPr="00D024EA" w:rsidRDefault="001B03B3"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Aktivni sastojak lijeka Actilyse je alteplaza, rekombinantni tkivni aktivator plazminogena, glikoprotein, koji aktivira plazminogen direktno u plazmin. Kada se daje intravenski, alteplaza ostaje relativno neaktivna u cirkulaciji. Kada se veže za fibrin, aktivira se, izazivajući konverziju plazminogena u plazmin, što dovodi do rastvaranja fibrinskog ugruška.</w:t>
      </w:r>
    </w:p>
    <w:p w14:paraId="62E6EAE1" w14:textId="77777777" w:rsidR="001B03B3" w:rsidRPr="00D024EA" w:rsidRDefault="001B03B3" w:rsidP="00EA5D97">
      <w:pPr>
        <w:autoSpaceDE w:val="0"/>
        <w:autoSpaceDN w:val="0"/>
        <w:adjustRightInd w:val="0"/>
        <w:jc w:val="both"/>
        <w:rPr>
          <w:rFonts w:eastAsia="MS Mincho"/>
          <w:sz w:val="22"/>
          <w:szCs w:val="22"/>
          <w:lang w:val="sr-Latn-ME" w:eastAsia="ja-JP" w:bidi="ne-NP"/>
        </w:rPr>
      </w:pPr>
    </w:p>
    <w:p w14:paraId="4FCDA2A3" w14:textId="77777777" w:rsidR="001B03B3" w:rsidRPr="00D024EA" w:rsidRDefault="001B03B3" w:rsidP="00EA5D97">
      <w:pPr>
        <w:tabs>
          <w:tab w:val="left" w:pos="284"/>
        </w:tabs>
        <w:jc w:val="both"/>
        <w:rPr>
          <w:sz w:val="22"/>
          <w:szCs w:val="22"/>
          <w:u w:val="single"/>
          <w:lang w:val="sr-Latn-ME"/>
        </w:rPr>
      </w:pPr>
      <w:r w:rsidRPr="00D024EA">
        <w:rPr>
          <w:sz w:val="22"/>
          <w:szCs w:val="22"/>
          <w:u w:val="single"/>
          <w:lang w:val="sr-Latn-ME"/>
        </w:rPr>
        <w:t>Farmakodinamska dejstva</w:t>
      </w:r>
    </w:p>
    <w:p w14:paraId="1EE52C72" w14:textId="77777777" w:rsidR="001B03B3" w:rsidRPr="00D024EA" w:rsidRDefault="001B03B3" w:rsidP="00EA5D97">
      <w:pPr>
        <w:tabs>
          <w:tab w:val="left" w:pos="284"/>
        </w:tabs>
        <w:jc w:val="both"/>
        <w:rPr>
          <w:sz w:val="22"/>
          <w:szCs w:val="22"/>
          <w:lang w:val="sr-Latn-ME"/>
        </w:rPr>
      </w:pPr>
      <w:r w:rsidRPr="00D024EA">
        <w:rPr>
          <w:sz w:val="22"/>
          <w:szCs w:val="22"/>
          <w:lang w:val="sr-Latn-ME"/>
        </w:rPr>
        <w:t>Zahvaljujući svojoj relativnoj specifičnosti za fibrin alteplaza u dozi od 100 mg dovodi do umjerenog smanjenja nivoa cirkulišućeg fibrinogena na približno 60% nakon 4 časa, pri čemu se generalno povratak na 80% postiže poslije 24 časa. Plazminogen i alfa-2-antiplazmin se smanjuju do otprilike 20%, odnosno 35% nakon 4 časa, a povratak na 80% se postiže poslije 24 časa. Značajano i produženo smanjenje vrijednosti nivoa cirkulišućeg fibrinogena je opisan samo kod nekoliko pacijenata.</w:t>
      </w:r>
    </w:p>
    <w:p w14:paraId="58E6D419" w14:textId="77777777" w:rsidR="001B03B3" w:rsidRPr="00D024EA" w:rsidRDefault="001B03B3" w:rsidP="00EA5D97">
      <w:pPr>
        <w:autoSpaceDE w:val="0"/>
        <w:autoSpaceDN w:val="0"/>
        <w:adjustRightInd w:val="0"/>
        <w:jc w:val="both"/>
        <w:rPr>
          <w:rFonts w:eastAsia="MS Mincho"/>
          <w:sz w:val="22"/>
          <w:szCs w:val="22"/>
          <w:lang w:val="sr-Latn-ME" w:eastAsia="ja-JP" w:bidi="ne-NP"/>
        </w:rPr>
      </w:pPr>
    </w:p>
    <w:p w14:paraId="2A63B640" w14:textId="77777777" w:rsidR="001B03B3" w:rsidRPr="00D024EA" w:rsidRDefault="001B03B3" w:rsidP="00EA5D97">
      <w:pPr>
        <w:autoSpaceDE w:val="0"/>
        <w:autoSpaceDN w:val="0"/>
        <w:adjustRightInd w:val="0"/>
        <w:jc w:val="both"/>
        <w:rPr>
          <w:rFonts w:eastAsia="MS Mincho"/>
          <w:sz w:val="22"/>
          <w:szCs w:val="22"/>
          <w:u w:val="single"/>
          <w:lang w:val="sr-Latn-ME" w:eastAsia="ja-JP" w:bidi="ne-NP"/>
        </w:rPr>
      </w:pPr>
      <w:r w:rsidRPr="00D024EA">
        <w:rPr>
          <w:rFonts w:eastAsia="MS Mincho"/>
          <w:sz w:val="22"/>
          <w:szCs w:val="22"/>
          <w:u w:val="single"/>
          <w:lang w:val="sr-Latn-ME" w:eastAsia="ja-JP" w:bidi="ne-NP"/>
        </w:rPr>
        <w:t>Klinička efikasnost i bezbjednost</w:t>
      </w:r>
    </w:p>
    <w:p w14:paraId="4E536FB2" w14:textId="35C93936" w:rsidR="001B03B3" w:rsidRPr="00D024EA" w:rsidRDefault="001B03B3"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U studiji koja je uključivala više od 40000 pacijenata sa akutnim infarktom miokarda (GUSTO), primjena 100 mg alteplaze tokom 90 minuta, uz uporednu intravensku infuziju heparina je vodila nižem mortalitetu poslije 30 dana (6,3%) u poređenju sa primjenom streptokinaze, 1,5 milion jedinica tokom 60 minuta, uz su</w:t>
      </w:r>
      <w:r w:rsidR="00FF48AE" w:rsidRPr="00D024EA">
        <w:rPr>
          <w:rFonts w:eastAsia="MS Mincho"/>
          <w:sz w:val="22"/>
          <w:szCs w:val="22"/>
          <w:lang w:val="sr-Latn-ME" w:eastAsia="ja-JP" w:bidi="ne-NP"/>
        </w:rPr>
        <w:t>b</w:t>
      </w:r>
      <w:r w:rsidRPr="00D024EA">
        <w:rPr>
          <w:rFonts w:eastAsia="MS Mincho"/>
          <w:sz w:val="22"/>
          <w:szCs w:val="22"/>
          <w:lang w:val="sr-Latn-ME" w:eastAsia="ja-JP" w:bidi="ne-NP"/>
        </w:rPr>
        <w:t>kutani ili intravenski heparin (7,3%). Pacijenti tretirani lijekom Actilyse su pokazali viši stepen prolaznosti infarktom pogođene arterije na 60 i 90 minuta posle trombolize, nego pacijenti tretirani streptokinazom. Nije primijećena razlika u stopi prolaznosti arterije nakon 180 minuta ili kasnije.</w:t>
      </w:r>
    </w:p>
    <w:p w14:paraId="71F0CD36" w14:textId="77777777" w:rsidR="001B03B3" w:rsidRPr="00D024EA" w:rsidRDefault="001B03B3" w:rsidP="00EA5D97">
      <w:pPr>
        <w:autoSpaceDE w:val="0"/>
        <w:autoSpaceDN w:val="0"/>
        <w:adjustRightInd w:val="0"/>
        <w:jc w:val="both"/>
        <w:rPr>
          <w:rFonts w:eastAsia="MS Mincho"/>
          <w:sz w:val="22"/>
          <w:szCs w:val="22"/>
          <w:lang w:val="sr-Latn-ME" w:eastAsia="ja-JP" w:bidi="ne-NP"/>
        </w:rPr>
      </w:pPr>
    </w:p>
    <w:p w14:paraId="3DFD90BF" w14:textId="77777777" w:rsidR="001B03B3" w:rsidRPr="00D024EA" w:rsidRDefault="001B03B3" w:rsidP="00EA5D97">
      <w:pPr>
        <w:autoSpaceDE w:val="0"/>
        <w:autoSpaceDN w:val="0"/>
        <w:adjustRightInd w:val="0"/>
        <w:jc w:val="both"/>
        <w:rPr>
          <w:rFonts w:eastAsia="MS Mincho"/>
          <w:sz w:val="22"/>
          <w:szCs w:val="22"/>
          <w:lang w:val="sr-Latn-ME" w:eastAsia="ja-JP" w:bidi="ne-NP"/>
        </w:rPr>
      </w:pPr>
      <w:r w:rsidRPr="00D024EA">
        <w:rPr>
          <w:sz w:val="22"/>
          <w:szCs w:val="22"/>
          <w:lang w:val="sr-Latn-ME"/>
        </w:rPr>
        <w:t xml:space="preserve">Mortalitet u prvih </w:t>
      </w:r>
      <w:r w:rsidRPr="00D024EA">
        <w:rPr>
          <w:rFonts w:eastAsia="MS Mincho"/>
          <w:sz w:val="22"/>
          <w:szCs w:val="22"/>
          <w:lang w:val="sr-Latn-ME" w:eastAsia="ja-JP" w:bidi="ne-NP"/>
        </w:rPr>
        <w:t>30 dana  je smanjen u poređenju sa pacijentima koji nijesu primali trombolitičku terapiju.</w:t>
      </w:r>
    </w:p>
    <w:p w14:paraId="43A6BA3D" w14:textId="77777777" w:rsidR="001B03B3" w:rsidRPr="00D024EA" w:rsidRDefault="001B03B3" w:rsidP="00EA5D97">
      <w:pPr>
        <w:autoSpaceDE w:val="0"/>
        <w:autoSpaceDN w:val="0"/>
        <w:adjustRightInd w:val="0"/>
        <w:jc w:val="both"/>
        <w:rPr>
          <w:rFonts w:eastAsia="MS Mincho"/>
          <w:sz w:val="22"/>
          <w:szCs w:val="22"/>
          <w:lang w:val="sr-Latn-ME" w:eastAsia="ja-JP" w:bidi="ne-NP"/>
        </w:rPr>
      </w:pPr>
    </w:p>
    <w:p w14:paraId="6E43A19B" w14:textId="77777777" w:rsidR="001B03B3" w:rsidRPr="00D024EA" w:rsidRDefault="001B03B3"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Smanjeno je oslobađanje alfa-hidroksibutiratne-dehidrogenaze (HBDH). Ukupna ventrikularna funkcija kao i pokretljivost regionalnog zida je manje oštećena u poređenju sa pacijentima koji nijesu primali trombolitičku terapiju.</w:t>
      </w:r>
    </w:p>
    <w:p w14:paraId="339BA348" w14:textId="77777777" w:rsidR="001B03B3" w:rsidRPr="00D024EA" w:rsidRDefault="001B03B3" w:rsidP="00EA5D97">
      <w:pPr>
        <w:tabs>
          <w:tab w:val="left" w:pos="284"/>
        </w:tabs>
        <w:jc w:val="both"/>
        <w:rPr>
          <w:sz w:val="22"/>
          <w:szCs w:val="22"/>
          <w:lang w:val="sr-Latn-ME"/>
        </w:rPr>
      </w:pPr>
    </w:p>
    <w:p w14:paraId="74D3D140" w14:textId="77777777" w:rsidR="001B03B3" w:rsidRPr="00D024EA" w:rsidRDefault="001B03B3" w:rsidP="00EA5D97">
      <w:pPr>
        <w:tabs>
          <w:tab w:val="left" w:pos="284"/>
        </w:tabs>
        <w:jc w:val="both"/>
        <w:rPr>
          <w:sz w:val="22"/>
          <w:szCs w:val="22"/>
          <w:u w:val="single"/>
          <w:lang w:val="sr-Latn-ME"/>
        </w:rPr>
      </w:pPr>
      <w:r w:rsidRPr="00D024EA">
        <w:rPr>
          <w:sz w:val="22"/>
          <w:szCs w:val="22"/>
          <w:u w:val="single"/>
          <w:lang w:val="sr-Latn-ME"/>
        </w:rPr>
        <w:t>Akutni infarkt miokarda</w:t>
      </w:r>
    </w:p>
    <w:p w14:paraId="7D0F8B1E" w14:textId="656F59EE" w:rsidR="001B03B3" w:rsidRPr="00D024EA" w:rsidRDefault="001B03B3"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Placebo</w:t>
      </w:r>
      <w:r w:rsidR="00493C0F" w:rsidRPr="00D024EA">
        <w:rPr>
          <w:rFonts w:eastAsia="MS Mincho"/>
          <w:sz w:val="22"/>
          <w:szCs w:val="22"/>
          <w:lang w:val="sr-Latn-ME" w:eastAsia="ja-JP" w:bidi="ne-NP"/>
        </w:rPr>
        <w:t>m</w:t>
      </w:r>
      <w:r w:rsidRPr="00D024EA">
        <w:rPr>
          <w:rFonts w:eastAsia="MS Mincho"/>
          <w:sz w:val="22"/>
          <w:szCs w:val="22"/>
          <w:lang w:val="sr-Latn-ME" w:eastAsia="ja-JP" w:bidi="ne-NP"/>
        </w:rPr>
        <w:t xml:space="preserve"> kontrolisano ispitivanje sa 100 mg alteplaze tokom 3 sata (LATE) je pokazalo smanjenje 30-dnevnog mortaliteta u poređenju sa placebom kod pacijenata koji su primali terapiju 6-12 sati nakon pojave simptoma. U slučajevima gd</w:t>
      </w:r>
      <w:r w:rsidR="00493C0F" w:rsidRPr="00D024EA">
        <w:rPr>
          <w:rFonts w:eastAsia="MS Mincho"/>
          <w:sz w:val="22"/>
          <w:szCs w:val="22"/>
          <w:lang w:val="sr-Latn-ME" w:eastAsia="ja-JP" w:bidi="ne-NP"/>
        </w:rPr>
        <w:t>j</w:t>
      </w:r>
      <w:r w:rsidRPr="00D024EA">
        <w:rPr>
          <w:rFonts w:eastAsia="MS Mincho"/>
          <w:sz w:val="22"/>
          <w:szCs w:val="22"/>
          <w:lang w:val="sr-Latn-ME" w:eastAsia="ja-JP" w:bidi="ne-NP"/>
        </w:rPr>
        <w:t>e su prisutni jasni znaci infarkta miokarda, terapija započeta do 24 sata poslije pojave simptoma može još uv</w:t>
      </w:r>
      <w:r w:rsidR="00FF48AE" w:rsidRPr="00D024EA">
        <w:rPr>
          <w:rFonts w:eastAsia="MS Mincho"/>
          <w:sz w:val="22"/>
          <w:szCs w:val="22"/>
          <w:lang w:val="sr-Latn-ME" w:eastAsia="ja-JP" w:bidi="ne-NP"/>
        </w:rPr>
        <w:t>ij</w:t>
      </w:r>
      <w:r w:rsidRPr="00D024EA">
        <w:rPr>
          <w:rFonts w:eastAsia="MS Mincho"/>
          <w:sz w:val="22"/>
          <w:szCs w:val="22"/>
          <w:lang w:val="sr-Latn-ME" w:eastAsia="ja-JP" w:bidi="ne-NP"/>
        </w:rPr>
        <w:t>ek biti od koristi.</w:t>
      </w:r>
    </w:p>
    <w:p w14:paraId="5858FC4D" w14:textId="77777777" w:rsidR="001B03B3" w:rsidRPr="00D024EA" w:rsidRDefault="001B03B3" w:rsidP="00EA5D97">
      <w:pPr>
        <w:autoSpaceDE w:val="0"/>
        <w:autoSpaceDN w:val="0"/>
        <w:adjustRightInd w:val="0"/>
        <w:jc w:val="both"/>
        <w:rPr>
          <w:rFonts w:eastAsia="MS Mincho"/>
          <w:sz w:val="22"/>
          <w:szCs w:val="22"/>
          <w:lang w:val="sr-Latn-ME" w:eastAsia="ja-JP" w:bidi="ne-NP"/>
        </w:rPr>
      </w:pPr>
    </w:p>
    <w:p w14:paraId="68D4004B" w14:textId="77777777" w:rsidR="001B03B3" w:rsidRPr="00D024EA" w:rsidRDefault="001B03B3" w:rsidP="00EA5D97">
      <w:pPr>
        <w:autoSpaceDE w:val="0"/>
        <w:autoSpaceDN w:val="0"/>
        <w:adjustRightInd w:val="0"/>
        <w:jc w:val="both"/>
        <w:rPr>
          <w:rFonts w:eastAsia="MS Mincho"/>
          <w:sz w:val="22"/>
          <w:szCs w:val="22"/>
          <w:u w:val="single"/>
          <w:lang w:val="sr-Latn-ME" w:eastAsia="ja-JP" w:bidi="ne-NP"/>
        </w:rPr>
      </w:pPr>
      <w:r w:rsidRPr="00D024EA">
        <w:rPr>
          <w:rFonts w:eastAsia="MS Mincho"/>
          <w:sz w:val="22"/>
          <w:szCs w:val="22"/>
          <w:u w:val="single"/>
          <w:lang w:val="sr-Latn-ME" w:eastAsia="ja-JP" w:bidi="ne-NP"/>
        </w:rPr>
        <w:t>Akutna masivna plućna embolija</w:t>
      </w:r>
    </w:p>
    <w:p w14:paraId="281C33C9" w14:textId="03A4A42D" w:rsidR="001B03B3" w:rsidRPr="00D024EA" w:rsidRDefault="001B03B3"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Kod pacijenata sa akutnom masivnom plućnom embolijom uz hemodinamsku nestabilnost, trombolitička terapija lijekom Actilyse vodi bržoj redukciji veličine tromba i redukciji plućnog arterijskog pritiska. Ne raspolaže se sa podacima o mortalitetu.</w:t>
      </w:r>
    </w:p>
    <w:p w14:paraId="5CFB6721" w14:textId="77777777" w:rsidR="001B03B3" w:rsidRPr="00D024EA" w:rsidRDefault="001B03B3" w:rsidP="00EA5D97">
      <w:pPr>
        <w:autoSpaceDE w:val="0"/>
        <w:autoSpaceDN w:val="0"/>
        <w:adjustRightInd w:val="0"/>
        <w:jc w:val="both"/>
        <w:rPr>
          <w:rFonts w:eastAsia="MS Mincho"/>
          <w:sz w:val="22"/>
          <w:szCs w:val="22"/>
          <w:lang w:val="sr-Latn-ME" w:eastAsia="ja-JP" w:bidi="ne-NP"/>
        </w:rPr>
      </w:pPr>
    </w:p>
    <w:p w14:paraId="33B05746" w14:textId="77777777" w:rsidR="001B03B3" w:rsidRPr="00D024EA" w:rsidRDefault="001B03B3" w:rsidP="00EA5D97">
      <w:pPr>
        <w:autoSpaceDE w:val="0"/>
        <w:autoSpaceDN w:val="0"/>
        <w:adjustRightInd w:val="0"/>
        <w:jc w:val="both"/>
        <w:rPr>
          <w:rFonts w:eastAsia="MS Mincho"/>
          <w:sz w:val="22"/>
          <w:szCs w:val="22"/>
          <w:u w:val="single"/>
          <w:lang w:val="sr-Latn-ME" w:eastAsia="ja-JP" w:bidi="ne-NP"/>
        </w:rPr>
      </w:pPr>
      <w:r w:rsidRPr="00D024EA">
        <w:rPr>
          <w:rFonts w:eastAsia="MS Mincho"/>
          <w:sz w:val="22"/>
          <w:szCs w:val="22"/>
          <w:u w:val="single"/>
          <w:lang w:val="sr-Latn-ME" w:eastAsia="ja-JP" w:bidi="ne-NP"/>
        </w:rPr>
        <w:t>Akutni ishemijski moždani udar</w:t>
      </w:r>
    </w:p>
    <w:p w14:paraId="0F10DCB1" w14:textId="57AEC111" w:rsidR="001B03B3" w:rsidRPr="00D024EA" w:rsidRDefault="001B03B3"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 xml:space="preserve">U dvije američke studije (NINDS, A/B) značajno veći procenat pacijenata je imao povoljan ishod (nikakvu ili minimalnu nesposobnost) u poređenju sa placebom. Ovi nalazi su potvrđeni u ECASS III kliničkoj studiji (vidjeti u nastavku teksta), dok u međuvremenu dvije evropske studije i jedna dodatna američka studija, sprovedene u uslovima koji nijesu bili u saglasnosti sa postojećim informacijama o ovom lijeku  u Evropskoj </w:t>
      </w:r>
      <w:r w:rsidR="00493C0F" w:rsidRPr="00D024EA">
        <w:rPr>
          <w:rFonts w:eastAsia="MS Mincho"/>
          <w:sz w:val="22"/>
          <w:szCs w:val="22"/>
          <w:lang w:val="sr-Latn-ME" w:eastAsia="ja-JP" w:bidi="ne-NP"/>
        </w:rPr>
        <w:t>U</w:t>
      </w:r>
      <w:r w:rsidRPr="00D024EA">
        <w:rPr>
          <w:rFonts w:eastAsia="MS Mincho"/>
          <w:sz w:val="22"/>
          <w:szCs w:val="22"/>
          <w:lang w:val="sr-Latn-ME" w:eastAsia="ja-JP" w:bidi="ne-NP"/>
        </w:rPr>
        <w:t>niji, nijesu dokazale odgovarajuću terapijsku korist.</w:t>
      </w:r>
    </w:p>
    <w:p w14:paraId="14EF37FD" w14:textId="77777777" w:rsidR="001B03B3" w:rsidRPr="00D024EA" w:rsidRDefault="001B03B3" w:rsidP="00EA5D97">
      <w:pPr>
        <w:autoSpaceDE w:val="0"/>
        <w:autoSpaceDN w:val="0"/>
        <w:adjustRightInd w:val="0"/>
        <w:jc w:val="both"/>
        <w:rPr>
          <w:rFonts w:eastAsia="MS Mincho"/>
          <w:strike/>
          <w:sz w:val="22"/>
          <w:szCs w:val="22"/>
          <w:lang w:val="sr-Latn-ME" w:eastAsia="ja-JP" w:bidi="ne-NP"/>
        </w:rPr>
      </w:pPr>
    </w:p>
    <w:p w14:paraId="3843958A" w14:textId="77777777" w:rsidR="001B03B3" w:rsidRPr="00D024EA" w:rsidRDefault="001B03B3"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ECASS III studija je bila placebo kontrolisana, dvostruko slijepa, klinička studija sprovedena u Evropi na pacijentima koji su imali akutni moždani udar unutar vremenskog intervala od 3 - 4,5 sata.</w:t>
      </w:r>
    </w:p>
    <w:p w14:paraId="13CCA48E" w14:textId="77777777" w:rsidR="001B03B3" w:rsidRPr="00D024EA" w:rsidRDefault="001B03B3"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Primjena terapije u ECASS III studiji je bila u skladu sa smjernicama evropskog SmPC za lijek Actilyse u indikaciji moždanog udara, sem gornje vremenske granice za započinjanje liječenja, tj. 4,5 sata.</w:t>
      </w:r>
    </w:p>
    <w:p w14:paraId="2CD191C3" w14:textId="66319538" w:rsidR="001B03B3" w:rsidRPr="00D024EA" w:rsidRDefault="001B03B3" w:rsidP="00EA5D97">
      <w:pPr>
        <w:tabs>
          <w:tab w:val="left" w:pos="284"/>
        </w:tabs>
        <w:jc w:val="both"/>
        <w:rPr>
          <w:sz w:val="22"/>
          <w:szCs w:val="22"/>
          <w:lang w:val="sr-Latn-ME"/>
        </w:rPr>
      </w:pPr>
      <w:r w:rsidRPr="00D024EA">
        <w:rPr>
          <w:sz w:val="22"/>
          <w:szCs w:val="22"/>
          <w:lang w:val="sr-Latn-ME"/>
        </w:rPr>
        <w:t xml:space="preserve">Primarni </w:t>
      </w:r>
      <w:r w:rsidR="00B87852" w:rsidRPr="00D024EA">
        <w:rPr>
          <w:sz w:val="22"/>
          <w:szCs w:val="22"/>
          <w:lang w:val="sr-Latn-ME"/>
        </w:rPr>
        <w:t>parametar praćenja</w:t>
      </w:r>
      <w:r w:rsidRPr="00D024EA">
        <w:rPr>
          <w:sz w:val="22"/>
          <w:szCs w:val="22"/>
          <w:lang w:val="sr-Latn-ME"/>
        </w:rPr>
        <w:t xml:space="preserve"> studije je bilo ispitivanje onesposobljenosti pacijenata nakon 90 dana, dihotomno grupisane na onu sa povoljnim (modifikovana Rankin skala) (mRS 0 ili 1) ili nepovoljnim </w:t>
      </w:r>
      <w:r w:rsidRPr="00D024EA">
        <w:rPr>
          <w:sz w:val="22"/>
          <w:szCs w:val="22"/>
          <w:lang w:val="sr-Latn-ME"/>
        </w:rPr>
        <w:lastRenderedPageBreak/>
        <w:t xml:space="preserve">ishodom (mRS 2-6). Ukupno je randomizovano 821 pacijenata (418 alteplaza/403 placebo). Kod većeg broja pacijenata zabilježen je pozitivan ishod sa alteplazom (52,4%) u odnosu na placebo (45,2%; odnos šansi [OR] 1,34; 95% CI 1,02 – 1,76; P=0,038). Incidenca bilo koje IKH/ simptomatske IKH (SIKH) je bila veća sa alteplazom u odnosu na placebo (27,0% naspram 17,6%, p=0,0012; </w:t>
      </w:r>
      <w:r w:rsidRPr="00D024EA">
        <w:rPr>
          <w:rFonts w:eastAsia="MS Mincho"/>
          <w:sz w:val="22"/>
          <w:szCs w:val="22"/>
          <w:lang w:val="sr-Latn-ME" w:eastAsia="ja-JP" w:bidi="ne-NP"/>
        </w:rPr>
        <w:t xml:space="preserve">SIKH po ECASS III definiciji 2,4% naspram 0,2 %, p = 0,008). </w:t>
      </w:r>
      <w:r w:rsidRPr="00D024EA">
        <w:rPr>
          <w:sz w:val="22"/>
          <w:szCs w:val="22"/>
          <w:lang w:val="sr-Latn-ME"/>
        </w:rPr>
        <w:t xml:space="preserve">Mortalitet je bio nizak i nije se značajno razlikovao između alteplaze (7,7%) i placeba (8,4%; P=0,681). Rezultati podgrupa u okviru ECASS III studije potvrđuju da je duži vremenski period od započinjanja terapije povezan sa povećanim rizikom za pojavu mortaliteta i simptomatske intrakranijalne hemoragije. Rezultati ECASS III studije pokazuju da je ukupan klinički ishod pozitivan ako se lijek </w:t>
      </w:r>
      <w:r w:rsidRPr="00D024EA">
        <w:rPr>
          <w:rFonts w:eastAsia="MS Mincho"/>
          <w:sz w:val="22"/>
          <w:szCs w:val="22"/>
          <w:lang w:val="sr-Latn-ME" w:eastAsia="ja-JP" w:bidi="ne-NP"/>
        </w:rPr>
        <w:t xml:space="preserve">Actilyse </w:t>
      </w:r>
      <w:r w:rsidRPr="00D024EA">
        <w:rPr>
          <w:sz w:val="22"/>
          <w:szCs w:val="22"/>
          <w:lang w:val="sr-Latn-ME"/>
        </w:rPr>
        <w:t>primijeni u vremenskom intervalu od 3 do 4,5 sata, dok objedinjeni podaci poslije isteka vremenskog perioda od 4,5 sata od davanja alteplaze ukazuju da ukupni klinički ishod više nije povoljan.</w:t>
      </w:r>
    </w:p>
    <w:p w14:paraId="7ED1A5D3" w14:textId="77777777" w:rsidR="001B03B3" w:rsidRPr="00D024EA" w:rsidRDefault="001B03B3" w:rsidP="00EA5D97">
      <w:pPr>
        <w:tabs>
          <w:tab w:val="left" w:pos="284"/>
        </w:tabs>
        <w:jc w:val="both"/>
        <w:rPr>
          <w:rFonts w:eastAsia="MS Mincho"/>
          <w:sz w:val="22"/>
          <w:szCs w:val="22"/>
          <w:lang w:val="sr-Latn-ME" w:eastAsia="ja-JP" w:bidi="ne-NP"/>
        </w:rPr>
      </w:pPr>
    </w:p>
    <w:p w14:paraId="0EF4CE4A" w14:textId="64A171E0" w:rsidR="001B03B3" w:rsidRPr="00D024EA" w:rsidRDefault="001B03B3" w:rsidP="00EA5D97">
      <w:pPr>
        <w:tabs>
          <w:tab w:val="left" w:pos="284"/>
        </w:tabs>
        <w:jc w:val="both"/>
        <w:rPr>
          <w:sz w:val="22"/>
          <w:szCs w:val="22"/>
          <w:lang w:val="sr-Latn-ME"/>
        </w:rPr>
      </w:pPr>
      <w:r w:rsidRPr="00D024EA">
        <w:rPr>
          <w:rFonts w:eastAsia="MS Mincho"/>
          <w:sz w:val="22"/>
          <w:szCs w:val="22"/>
          <w:lang w:val="sr-Latn-ME" w:eastAsia="ja-JP" w:bidi="ne-NP"/>
        </w:rPr>
        <w:t>Bezbjednost i efikasnost lijeka Actilyse</w:t>
      </w:r>
      <w:r w:rsidRPr="00D024EA">
        <w:rPr>
          <w:sz w:val="22"/>
          <w:szCs w:val="22"/>
          <w:lang w:val="sr-Latn-ME"/>
        </w:rPr>
        <w:t xml:space="preserve"> za liječenje akutnog ishemijskog moždanog udara, kada </w:t>
      </w:r>
      <w:r w:rsidRPr="00D024EA">
        <w:rPr>
          <w:i/>
          <w:sz w:val="22"/>
          <w:szCs w:val="22"/>
          <w:lang w:val="sr-Latn-ME"/>
        </w:rPr>
        <w:t>od nastanka moždanog udara do započinjanja liječenja</w:t>
      </w:r>
      <w:r w:rsidRPr="00D024EA">
        <w:rPr>
          <w:sz w:val="22"/>
          <w:szCs w:val="22"/>
          <w:lang w:val="sr-Latn-ME"/>
        </w:rPr>
        <w:t xml:space="preserve"> nije prošlo više od 4,5 sata, ispitivana je pomoću važećeg Registra (</w:t>
      </w:r>
      <w:r w:rsidRPr="00D024EA">
        <w:rPr>
          <w:rFonts w:eastAsia="MS Mincho"/>
          <w:sz w:val="22"/>
          <w:szCs w:val="22"/>
          <w:lang w:val="sr-Latn-ME" w:eastAsia="ja-JP" w:bidi="ne-NP"/>
        </w:rPr>
        <w:t>SITS-ISTR: B</w:t>
      </w:r>
      <w:r w:rsidRPr="00D024EA">
        <w:rPr>
          <w:sz w:val="22"/>
          <w:szCs w:val="22"/>
          <w:lang w:val="sr-Latn-ME"/>
        </w:rPr>
        <w:t xml:space="preserve">ezbjedna primjena trombolize u Registru moždanog udara). </w:t>
      </w:r>
      <w:r w:rsidRPr="00D024EA">
        <w:rPr>
          <w:rFonts w:eastAsia="MS Mincho"/>
          <w:sz w:val="22"/>
          <w:szCs w:val="22"/>
          <w:lang w:val="sr-Latn-ME" w:eastAsia="ja-JP" w:bidi="ne-NP"/>
        </w:rPr>
        <w:t xml:space="preserve">U ovoj opservacionoj studiji upoređivani su rezultati 21566 pacijenata koji su lijek primili tokom prva 3 sata poslije akutnog moždanog udara u odnosu na 2376 pacijenata koji su lijek primili poslije 3-4,5 sata. Incidenca simptomatske intrakranijalne hemoragije (prema SITS-MOST definiciji) je bila veća u grupi koja je lijek primila 3-4,5 sata poslije (2,2%) u poređenju sa grupom koja je lijek primila u toku prva 3 sata (1,7%). Stopa mortaliteta poslije 3 mjeseca u grupi 3-4,5 sata (12,0%) je bila slična onoj u grupi 0-3 sata (12,3%), sa nemodifikovanim odnosom šansi od </w:t>
      </w:r>
      <w:r w:rsidRPr="00D024EA">
        <w:rPr>
          <w:sz w:val="22"/>
          <w:szCs w:val="22"/>
          <w:lang w:val="sr-Latn-ME"/>
        </w:rPr>
        <w:t xml:space="preserve">0,97 (95% CI: 0,84-1,13, p=0,70), odnosno modifikovanim odnosom šansi od 1,26 (95% CI: 1,07-1,49, p=0,005). SITS opservacioni podaci potvrđuju nalaz kliničke studije da je </w:t>
      </w:r>
      <w:r w:rsidRPr="00D024EA">
        <w:rPr>
          <w:i/>
          <w:sz w:val="22"/>
          <w:szCs w:val="22"/>
          <w:lang w:val="sr-Latn-ME"/>
        </w:rPr>
        <w:t xml:space="preserve">vrijeme proteklo od nastanka moždanog udara do momenta započinjanja terapije </w:t>
      </w:r>
      <w:r w:rsidRPr="00D024EA">
        <w:rPr>
          <w:sz w:val="22"/>
          <w:szCs w:val="22"/>
          <w:lang w:val="sr-Latn-ME"/>
        </w:rPr>
        <w:t>sa alteplazom važan indikator ishoda liječenja.</w:t>
      </w:r>
    </w:p>
    <w:p w14:paraId="08BB8AC4" w14:textId="77777777" w:rsidR="00C65313" w:rsidRPr="00D024EA" w:rsidRDefault="00C65313" w:rsidP="00EA5D97">
      <w:pPr>
        <w:tabs>
          <w:tab w:val="left" w:pos="284"/>
        </w:tabs>
        <w:jc w:val="both"/>
        <w:rPr>
          <w:sz w:val="22"/>
          <w:szCs w:val="22"/>
          <w:lang w:val="sr-Latn-ME"/>
        </w:rPr>
      </w:pPr>
    </w:p>
    <w:p w14:paraId="609AB3EA" w14:textId="77777777" w:rsidR="001B03B3" w:rsidRPr="00D024EA" w:rsidRDefault="001B03B3" w:rsidP="00EA5D97">
      <w:pPr>
        <w:jc w:val="both"/>
        <w:rPr>
          <w:rFonts w:eastAsia="MS Mincho"/>
          <w:sz w:val="22"/>
          <w:szCs w:val="22"/>
          <w:u w:val="single"/>
          <w:lang w:val="sr-Latn-ME" w:eastAsia="ja-JP" w:bidi="ne-NP"/>
        </w:rPr>
      </w:pPr>
      <w:r w:rsidRPr="00D024EA">
        <w:rPr>
          <w:rFonts w:eastAsia="MS Mincho"/>
          <w:sz w:val="22"/>
          <w:szCs w:val="22"/>
          <w:u w:val="single"/>
          <w:lang w:val="sr-Latn-ME" w:eastAsia="ja-JP" w:bidi="ne-NP"/>
        </w:rPr>
        <w:t>Starije osobe (&gt;80 godina)</w:t>
      </w:r>
    </w:p>
    <w:p w14:paraId="29F4F957" w14:textId="0FD1C5CE" w:rsidR="001B03B3" w:rsidRPr="00D024EA" w:rsidRDefault="001B03B3" w:rsidP="00EA5D97">
      <w:pPr>
        <w:jc w:val="both"/>
        <w:rPr>
          <w:rFonts w:eastAsia="MS Mincho"/>
          <w:sz w:val="22"/>
          <w:szCs w:val="22"/>
          <w:lang w:val="sr-Latn-ME" w:eastAsia="ja-JP" w:bidi="ne-NP"/>
        </w:rPr>
      </w:pPr>
      <w:r w:rsidRPr="00D024EA">
        <w:rPr>
          <w:rFonts w:eastAsia="MS Mincho"/>
          <w:sz w:val="22"/>
          <w:szCs w:val="22"/>
          <w:lang w:val="sr-Latn-ME" w:eastAsia="ja-JP" w:bidi="ne-NP"/>
        </w:rPr>
        <w:t>Za procjenu odnosa koristi i rizika alteplaze kod pacijenata &gt; 80 godina korišćene su meta-analize na 6756 pacijenata u devet randomizovanih ispitivanja, prilagođene prema podacima o pojedinačnim pacijentima, uključujući i one starije od 80 godina, a upoređivale su alteplazu sa placebom ili otvorenom kontrolom. Vjerovatnoća dobrog ishoda moždanog udara (mRS 0-1 u 90/180 dana) bila je povećana i povezana sa većom koristi za sve starosne grupe kada je terapija započeta ranije (p-vrijednost za interakciju od 0,0203), nezavisno od starosti.</w:t>
      </w:r>
    </w:p>
    <w:p w14:paraId="7D9E3597" w14:textId="77777777" w:rsidR="00EA46F1" w:rsidRPr="00D024EA" w:rsidRDefault="00EA46F1" w:rsidP="00EA5D97">
      <w:pPr>
        <w:jc w:val="both"/>
        <w:rPr>
          <w:rFonts w:eastAsia="MS Mincho"/>
          <w:sz w:val="22"/>
          <w:szCs w:val="22"/>
          <w:lang w:val="sr-Latn-ME" w:eastAsia="ja-JP" w:bidi="ne-NP"/>
        </w:rPr>
      </w:pPr>
    </w:p>
    <w:p w14:paraId="360E5692" w14:textId="173682B4" w:rsidR="001B03B3" w:rsidRPr="00D024EA" w:rsidRDefault="001B03B3" w:rsidP="00EA5D97">
      <w:pPr>
        <w:jc w:val="both"/>
        <w:rPr>
          <w:rFonts w:eastAsia="MS Mincho"/>
          <w:sz w:val="22"/>
          <w:szCs w:val="22"/>
          <w:lang w:val="sr-Latn-ME" w:eastAsia="ja-JP" w:bidi="ne-NP"/>
        </w:rPr>
      </w:pPr>
      <w:r w:rsidRPr="00D024EA">
        <w:rPr>
          <w:rFonts w:eastAsia="MS Mincho"/>
          <w:sz w:val="22"/>
          <w:szCs w:val="22"/>
          <w:lang w:val="sr-Latn-ME" w:eastAsia="ja-JP" w:bidi="ne-NP"/>
        </w:rPr>
        <w:t xml:space="preserve">Efekat terapije alteplazom bio je sličan kod pacijenata starih 80 godina ili </w:t>
      </w:r>
      <w:r w:rsidR="00B7348D" w:rsidRPr="00D024EA">
        <w:rPr>
          <w:rFonts w:eastAsia="MS Mincho"/>
          <w:sz w:val="22"/>
          <w:szCs w:val="22"/>
          <w:lang w:val="sr-Latn-ME" w:eastAsia="ja-JP" w:bidi="ne-NP"/>
        </w:rPr>
        <w:t>ml</w:t>
      </w:r>
      <w:r w:rsidRPr="00D024EA">
        <w:rPr>
          <w:rFonts w:eastAsia="MS Mincho"/>
          <w:sz w:val="22"/>
          <w:szCs w:val="22"/>
          <w:lang w:val="sr-Latn-ME" w:eastAsia="ja-JP" w:bidi="ne-NP"/>
        </w:rPr>
        <w:t>ađih [prosječno vrijeme kasnijeg početka terapije 4,1 sati: 990/2512 (39%) liječenih naspram 853/2515 (34%) kojima je dodijeljena kontrolna terapija i koji su postigli dobar ishod moždanog udara na dan 90/180; OR 1,25, 95% CI 1,10-1,42], kao i kod starijih od 80 godina [prosječni kasniji početak terapije 3,7 sati: 155/879 (18%) liječenih alteplazom postiglo dobar ishod moždanog udara naspram 112/850 (13%) kojima je dodijeljena kontrolna terapija [OR 1,56, 95% CI 1,17-2,08].</w:t>
      </w:r>
    </w:p>
    <w:p w14:paraId="5F1C0251" w14:textId="77777777" w:rsidR="001B03B3" w:rsidRPr="00D024EA" w:rsidRDefault="001B03B3" w:rsidP="00EA5D97">
      <w:pPr>
        <w:jc w:val="both"/>
        <w:rPr>
          <w:rFonts w:eastAsia="MS Mincho"/>
          <w:sz w:val="22"/>
          <w:szCs w:val="22"/>
          <w:lang w:val="sr-Latn-ME" w:eastAsia="ja-JP" w:bidi="ne-NP"/>
        </w:rPr>
      </w:pPr>
    </w:p>
    <w:p w14:paraId="5091D11D" w14:textId="77777777" w:rsidR="001B03B3" w:rsidRPr="00D024EA" w:rsidRDefault="001B03B3" w:rsidP="00EA5D97">
      <w:pPr>
        <w:jc w:val="both"/>
        <w:rPr>
          <w:rFonts w:eastAsia="MS Mincho"/>
          <w:sz w:val="22"/>
          <w:szCs w:val="22"/>
          <w:lang w:val="sr-Latn-ME" w:eastAsia="ja-JP" w:bidi="ne-NP"/>
        </w:rPr>
      </w:pPr>
      <w:r w:rsidRPr="00D024EA">
        <w:rPr>
          <w:rFonts w:eastAsia="MS Mincho"/>
          <w:sz w:val="22"/>
          <w:szCs w:val="22"/>
          <w:lang w:val="sr-Latn-ME" w:eastAsia="ja-JP" w:bidi="ne-NP"/>
        </w:rPr>
        <w:t>Kod pacijenata starijih od 80 godina koji su liječeni alteplazom unutar 3 sata dobijen je dobar ishod moždanog udara kod 55/302 (18,2%) naspram 30/264 (11,4%) kojima je dodijeljena kontrolna terapija (OR 1,86, 95% CI 1,11-3,13) i kod onih liječenih alteplazom 3-4,5 sati 58/342 (17,0%) postignut je dobar ishod moždanog udara u odnosu na 50/364 (13,7%) kojima je dodijeljena kontrolna terapija (OR 1,36, 95% CI 0,87-2,14).</w:t>
      </w:r>
    </w:p>
    <w:p w14:paraId="051030C3" w14:textId="77777777" w:rsidR="001B03B3" w:rsidRPr="00D024EA" w:rsidRDefault="001B03B3" w:rsidP="00EA5D97">
      <w:pPr>
        <w:jc w:val="both"/>
        <w:rPr>
          <w:rFonts w:eastAsia="MS Mincho"/>
          <w:sz w:val="22"/>
          <w:szCs w:val="22"/>
          <w:lang w:val="sr-Latn-ME" w:eastAsia="ja-JP" w:bidi="ne-NP"/>
        </w:rPr>
      </w:pPr>
    </w:p>
    <w:p w14:paraId="592B598B" w14:textId="77777777" w:rsidR="001B03B3" w:rsidRPr="00D024EA" w:rsidRDefault="001B03B3" w:rsidP="00EA5D97">
      <w:pPr>
        <w:jc w:val="both"/>
        <w:rPr>
          <w:rFonts w:eastAsia="MS Mincho"/>
          <w:sz w:val="22"/>
          <w:szCs w:val="22"/>
          <w:lang w:val="sr-Latn-ME" w:eastAsia="ja-JP" w:bidi="ne-NP"/>
        </w:rPr>
      </w:pPr>
      <w:r w:rsidRPr="00D024EA">
        <w:rPr>
          <w:rFonts w:eastAsia="MS Mincho"/>
          <w:sz w:val="22"/>
          <w:szCs w:val="22"/>
          <w:lang w:val="sr-Latn-ME" w:eastAsia="ja-JP" w:bidi="ne-NP"/>
        </w:rPr>
        <w:t>Od 3391 pacijenata koji su dobijali alteplazu, kod 231 (6,8%) pacijenata pojavila su se parenhimska krvarenja tip 2 u roku od 7 dana, u odnosu na 44 (1.3%) od 3.365 pacijenata kojima je dodijeljena kontrolna terapija (OR 5,55</w:t>
      </w:r>
      <w:r w:rsidRPr="00D024EA">
        <w:rPr>
          <w:sz w:val="22"/>
          <w:szCs w:val="22"/>
          <w:lang w:val="sr-Latn-ME"/>
        </w:rPr>
        <w:t xml:space="preserve"> </w:t>
      </w:r>
      <w:r w:rsidRPr="00D024EA">
        <w:rPr>
          <w:rFonts w:eastAsia="MS Mincho"/>
          <w:sz w:val="22"/>
          <w:szCs w:val="22"/>
          <w:lang w:val="sr-Latn-ME" w:eastAsia="ja-JP" w:bidi="ne-NP"/>
        </w:rPr>
        <w:t>;</w:t>
      </w:r>
      <w:r w:rsidRPr="00D024EA">
        <w:rPr>
          <w:sz w:val="22"/>
          <w:szCs w:val="22"/>
          <w:lang w:val="sr-Latn-ME"/>
        </w:rPr>
        <w:t xml:space="preserve"> </w:t>
      </w:r>
      <w:r w:rsidRPr="00D024EA">
        <w:rPr>
          <w:rFonts w:eastAsia="MS Mincho"/>
          <w:sz w:val="22"/>
          <w:szCs w:val="22"/>
          <w:lang w:val="sr-Latn-ME" w:eastAsia="ja-JP" w:bidi="ne-NP"/>
        </w:rPr>
        <w:t xml:space="preserve"> 95% CI 4,01-7,70). U roku od 7 dana dogodila su se kod 91 (2,7%) pacijenta koji su primali alteplazu fatalna parenhimska krvarenja tip 2 u odnosu na 13 (0,4%) kojima je dodijeljena kontrolna terapija (OR 7,14</w:t>
      </w:r>
      <w:r w:rsidRPr="00D024EA">
        <w:rPr>
          <w:sz w:val="22"/>
          <w:szCs w:val="22"/>
          <w:lang w:val="sr-Latn-ME"/>
        </w:rPr>
        <w:t>;</w:t>
      </w:r>
      <w:r w:rsidRPr="00D024EA">
        <w:rPr>
          <w:rFonts w:eastAsia="MS Mincho"/>
          <w:sz w:val="22"/>
          <w:szCs w:val="22"/>
          <w:lang w:val="sr-Latn-ME" w:eastAsia="ja-JP" w:bidi="ne-NP"/>
        </w:rPr>
        <w:t xml:space="preserve"> 95% CI 3,98-12,79).</w:t>
      </w:r>
    </w:p>
    <w:p w14:paraId="6F1705E1" w14:textId="77777777" w:rsidR="001B03B3" w:rsidRPr="00D024EA" w:rsidRDefault="001B03B3" w:rsidP="00EA5D97">
      <w:pPr>
        <w:jc w:val="both"/>
        <w:rPr>
          <w:rFonts w:eastAsia="MS Mincho"/>
          <w:sz w:val="22"/>
          <w:szCs w:val="22"/>
          <w:lang w:val="sr-Latn-ME" w:eastAsia="ja-JP" w:bidi="ne-NP"/>
        </w:rPr>
      </w:pPr>
    </w:p>
    <w:p w14:paraId="61498784" w14:textId="77777777" w:rsidR="001B03B3" w:rsidRPr="00D024EA" w:rsidRDefault="001B03B3" w:rsidP="00EA5D97">
      <w:pPr>
        <w:jc w:val="both"/>
        <w:rPr>
          <w:rFonts w:eastAsia="MS Mincho"/>
          <w:sz w:val="22"/>
          <w:szCs w:val="22"/>
          <w:lang w:val="sr-Latn-ME" w:eastAsia="ja-JP" w:bidi="ne-NP"/>
        </w:rPr>
      </w:pPr>
      <w:r w:rsidRPr="00D024EA">
        <w:rPr>
          <w:rFonts w:eastAsia="MS Mincho"/>
          <w:sz w:val="22"/>
          <w:szCs w:val="22"/>
          <w:lang w:val="sr-Latn-ME" w:eastAsia="ja-JP" w:bidi="ne-NP"/>
        </w:rPr>
        <w:t>Kod pacijenata starijih od 80 godina koji su liječeni alteplazom, u roku od 7 dana zabilježena su fatalna intrakranijalna krvarenja kod 32/879 (3,6%) naspram 4/850 (0,5%) kojima je dodijeljena kontrolna terapija (OR 7,95</w:t>
      </w:r>
      <w:r w:rsidRPr="00D024EA">
        <w:rPr>
          <w:sz w:val="22"/>
          <w:szCs w:val="22"/>
          <w:lang w:val="sr-Latn-ME"/>
        </w:rPr>
        <w:t>;</w:t>
      </w:r>
      <w:r w:rsidRPr="00D024EA">
        <w:rPr>
          <w:rFonts w:eastAsia="MS Mincho"/>
          <w:sz w:val="22"/>
          <w:szCs w:val="22"/>
          <w:lang w:val="sr-Latn-ME" w:eastAsia="ja-JP" w:bidi="ne-NP"/>
        </w:rPr>
        <w:t xml:space="preserve"> 95% CI 2,79-22 ,60).</w:t>
      </w:r>
    </w:p>
    <w:p w14:paraId="5CE0B9AE" w14:textId="77777777" w:rsidR="001B03B3" w:rsidRPr="00D024EA" w:rsidRDefault="001B03B3" w:rsidP="00EA5D97">
      <w:pPr>
        <w:jc w:val="both"/>
        <w:rPr>
          <w:rFonts w:eastAsia="MS Mincho"/>
          <w:sz w:val="22"/>
          <w:szCs w:val="22"/>
          <w:lang w:val="sr-Latn-ME" w:eastAsia="ja-JP" w:bidi="ne-NP"/>
        </w:rPr>
      </w:pPr>
    </w:p>
    <w:p w14:paraId="3440232D" w14:textId="5E20CD35" w:rsidR="001B03B3" w:rsidRPr="00D024EA" w:rsidRDefault="001B03B3" w:rsidP="00EA5D97">
      <w:pPr>
        <w:jc w:val="both"/>
        <w:rPr>
          <w:rFonts w:eastAsia="MS Mincho"/>
          <w:sz w:val="22"/>
          <w:szCs w:val="22"/>
          <w:lang w:val="sr-Latn-ME" w:eastAsia="ja-JP" w:bidi="ne-NP"/>
        </w:rPr>
      </w:pPr>
      <w:r w:rsidRPr="00D024EA">
        <w:rPr>
          <w:rFonts w:eastAsia="MS Mincho"/>
          <w:sz w:val="22"/>
          <w:szCs w:val="22"/>
          <w:lang w:val="sr-Latn-ME" w:eastAsia="ja-JP" w:bidi="ne-NP"/>
        </w:rPr>
        <w:lastRenderedPageBreak/>
        <w:t>Od ukupno 8658 pacijenata &gt; 80 godina l</w:t>
      </w:r>
      <w:r w:rsidR="003119E1" w:rsidRPr="00D024EA">
        <w:rPr>
          <w:rFonts w:eastAsia="MS Mincho"/>
          <w:sz w:val="22"/>
          <w:szCs w:val="22"/>
          <w:lang w:val="sr-Latn-ME" w:eastAsia="ja-JP" w:bidi="ne-NP"/>
        </w:rPr>
        <w:t>ij</w:t>
      </w:r>
      <w:r w:rsidRPr="00D024EA">
        <w:rPr>
          <w:rFonts w:eastAsia="MS Mincho"/>
          <w:sz w:val="22"/>
          <w:szCs w:val="22"/>
          <w:lang w:val="sr-Latn-ME" w:eastAsia="ja-JP" w:bidi="ne-NP"/>
        </w:rPr>
        <w:t>ečenih &lt; 4,5 sata od pojave moždanog udara u SITS-ISTR-u, podaci 2157 pacijenata liječenih 3 do 4,5 sata nakon pojave moždanog udara upoređeni su sa onima od 6501 pacijenata liječenih &lt; 3 sata.</w:t>
      </w:r>
    </w:p>
    <w:p w14:paraId="1B923C75" w14:textId="77777777" w:rsidR="001B03B3" w:rsidRPr="00D024EA" w:rsidRDefault="001B03B3" w:rsidP="00EA5D97">
      <w:pPr>
        <w:jc w:val="both"/>
        <w:rPr>
          <w:sz w:val="22"/>
          <w:szCs w:val="22"/>
          <w:lang w:val="sr-Latn-ME" w:bidi="en-US"/>
        </w:rPr>
      </w:pPr>
      <w:r w:rsidRPr="00D024EA">
        <w:rPr>
          <w:sz w:val="22"/>
          <w:szCs w:val="22"/>
          <w:lang w:val="sr-Latn-ME" w:bidi="en-US"/>
        </w:rPr>
        <w:t>Tromjesečna funkcionalna nezavisnost (mRS 0 - 2) bila je 36% u odnosu na 37% (podešen OR 0,79</w:t>
      </w:r>
      <w:r w:rsidRPr="00D024EA">
        <w:rPr>
          <w:sz w:val="22"/>
          <w:szCs w:val="22"/>
          <w:lang w:val="sr-Latn-ME"/>
        </w:rPr>
        <w:t>;</w:t>
      </w:r>
      <w:r w:rsidRPr="00D024EA">
        <w:rPr>
          <w:sz w:val="22"/>
          <w:szCs w:val="22"/>
          <w:lang w:val="sr-Latn-ME" w:bidi="en-US"/>
        </w:rPr>
        <w:t xml:space="preserve"> 95% CI 0,68- 0,92,), mortalitet je bio 29,0% u odnosu na  29,6% (prilagođen OR 1,10</w:t>
      </w:r>
      <w:r w:rsidRPr="00D024EA">
        <w:rPr>
          <w:sz w:val="22"/>
          <w:szCs w:val="22"/>
          <w:lang w:val="sr-Latn-ME"/>
        </w:rPr>
        <w:t>;</w:t>
      </w:r>
      <w:r w:rsidRPr="00D024EA">
        <w:rPr>
          <w:sz w:val="22"/>
          <w:szCs w:val="22"/>
          <w:lang w:val="sr-Latn-ME" w:bidi="en-US"/>
        </w:rPr>
        <w:t xml:space="preserve"> 95% CI 0,95-1,28), a sICH / (po SITS-MOST definiciji) je bio 2,7% u odnosu na 1,6% (prilagođen OR 1,62</w:t>
      </w:r>
      <w:r w:rsidRPr="00D024EA">
        <w:rPr>
          <w:sz w:val="22"/>
          <w:szCs w:val="22"/>
          <w:lang w:val="sr-Latn-ME"/>
        </w:rPr>
        <w:t>;</w:t>
      </w:r>
      <w:r w:rsidRPr="00D024EA">
        <w:rPr>
          <w:sz w:val="22"/>
          <w:szCs w:val="22"/>
          <w:lang w:val="sr-Latn-ME" w:bidi="en-US"/>
        </w:rPr>
        <w:t xml:space="preserve"> 95% CI 1,12-2,34).</w:t>
      </w:r>
    </w:p>
    <w:p w14:paraId="54261671" w14:textId="77777777" w:rsidR="001B03B3" w:rsidRPr="00D024EA" w:rsidRDefault="001B03B3" w:rsidP="00EA5D97">
      <w:pPr>
        <w:jc w:val="both"/>
        <w:rPr>
          <w:rFonts w:eastAsia="MS Mincho"/>
          <w:sz w:val="22"/>
          <w:szCs w:val="22"/>
          <w:lang w:val="sr-Latn-ME" w:eastAsia="ja-JP" w:bidi="ne-NP"/>
        </w:rPr>
      </w:pPr>
    </w:p>
    <w:p w14:paraId="5437C0E5" w14:textId="77777777" w:rsidR="001B03B3" w:rsidRPr="00D024EA" w:rsidRDefault="001B03B3" w:rsidP="00EA5D97">
      <w:pPr>
        <w:jc w:val="both"/>
        <w:rPr>
          <w:rFonts w:eastAsia="MS Mincho"/>
          <w:sz w:val="22"/>
          <w:szCs w:val="22"/>
          <w:u w:val="single"/>
          <w:lang w:val="sr-Latn-ME" w:eastAsia="ja-JP" w:bidi="ne-NP"/>
        </w:rPr>
      </w:pPr>
      <w:r w:rsidRPr="00D024EA">
        <w:rPr>
          <w:rFonts w:eastAsia="MS Mincho"/>
          <w:sz w:val="22"/>
          <w:szCs w:val="22"/>
          <w:u w:val="single"/>
          <w:lang w:val="sr-Latn-ME" w:eastAsia="ja-JP" w:bidi="ne-NP"/>
        </w:rPr>
        <w:t>Pedijatrijska populacija</w:t>
      </w:r>
    </w:p>
    <w:p w14:paraId="79EFF4D8" w14:textId="77777777" w:rsidR="001B03B3" w:rsidRPr="00D024EA" w:rsidRDefault="001B03B3" w:rsidP="00EA5D97">
      <w:pPr>
        <w:jc w:val="both"/>
        <w:rPr>
          <w:rFonts w:eastAsia="MS Mincho"/>
          <w:sz w:val="22"/>
          <w:szCs w:val="22"/>
          <w:lang w:val="sr-Latn-ME" w:eastAsia="ja-JP" w:bidi="ne-NP"/>
        </w:rPr>
      </w:pPr>
      <w:r w:rsidRPr="00D024EA">
        <w:rPr>
          <w:rFonts w:eastAsia="MS Mincho"/>
          <w:sz w:val="22"/>
          <w:szCs w:val="22"/>
          <w:lang w:val="sr-Latn-ME" w:eastAsia="ja-JP" w:bidi="ne-NP"/>
        </w:rPr>
        <w:t>Opservacioni nerandomizovani i nekomparativni podaci o pacijentima uzrasta od 16 do 17 godina sa potvrđenim liječenjem alteplazom dobijeni su iz SITS-ISTR-a (Sigurna implementacija liječenja moždanog udara - International Thrombolysis Register, nezavisni, međunarodni registar). U razdoblju od 2003. do kraja 2017. godine u SITS registru prikupljeno je ukupno 25 pedijatrijskih pacijenata sa potvrđenim korišćenjem alteplaze u starosnoj grupi od 16 do 17 godina. Medijana doze alteplaze primijenjene u ovoj starosnoj grupi bila je 0,9 mg / kg (raspon: 0,83 - 0,99mg / kg). Kod 23 od 25 pacijenata terapija je započeta unutar 4,5h nakon početka simptoma moždanog udara (19 za 3h, 4 za 3 – 4,5h, 1 za 5 - 5,5h , 1 slučaj nije prijavljen). Tjelesna masa se kretala od 56 do 90 kg. Većina pacijenata imala je umjeren ili umjereno težak moždani udar sa medijanom NIHSS od 9,0 (raspon od 1 do 30) kao početnom vrijednošću.</w:t>
      </w:r>
    </w:p>
    <w:p w14:paraId="0590F2A4" w14:textId="77777777" w:rsidR="001B03B3" w:rsidRPr="00D024EA" w:rsidRDefault="001B03B3" w:rsidP="00EA5D97">
      <w:pPr>
        <w:jc w:val="both"/>
        <w:rPr>
          <w:rFonts w:eastAsia="MS Mincho"/>
          <w:sz w:val="22"/>
          <w:szCs w:val="22"/>
          <w:lang w:val="sr-Latn-ME" w:eastAsia="ja-JP" w:bidi="ne-NP"/>
        </w:rPr>
      </w:pPr>
      <w:r w:rsidRPr="00D024EA">
        <w:rPr>
          <w:rFonts w:eastAsia="MS Mincho"/>
          <w:sz w:val="22"/>
          <w:szCs w:val="22"/>
          <w:lang w:val="sr-Latn-ME" w:eastAsia="ja-JP" w:bidi="ne-NP"/>
        </w:rPr>
        <w:t xml:space="preserve">Dana 90 mRS rezultati su bili dostupni za 21/25 pacijenata. U 90. danu, 14/21 pacijenata imalo je rezultat mRS = 0-1 (bez simptoma ili bez značajne onesposobljenosti), a 5 dodatnih pacijenata imalo je mRS = 2 (slaba onesposobljenost). To znači da 19/21 (više od 90%) pacijenata ima pozitivan ishod na dan 90 prema mRS. Za preostala 2 pacijenta bio je prijavljen ishod umjereno teške onesposobljenosti (mRS = 4, n = 1) ili smrt (mRS = 6) u roku od 7 dana (n = 1). </w:t>
      </w:r>
    </w:p>
    <w:p w14:paraId="24B92DE9" w14:textId="77777777" w:rsidR="001B03B3" w:rsidRPr="00D024EA" w:rsidRDefault="001B03B3" w:rsidP="00EA5D97">
      <w:pPr>
        <w:jc w:val="both"/>
        <w:rPr>
          <w:rFonts w:eastAsia="MS Mincho"/>
          <w:sz w:val="22"/>
          <w:szCs w:val="22"/>
          <w:lang w:val="sr-Latn-ME" w:eastAsia="ja-JP" w:bidi="ne-NP"/>
        </w:rPr>
      </w:pPr>
      <w:r w:rsidRPr="00D024EA">
        <w:rPr>
          <w:rFonts w:eastAsia="MS Mincho"/>
          <w:sz w:val="22"/>
          <w:szCs w:val="22"/>
          <w:lang w:val="sr-Latn-ME" w:eastAsia="ja-JP" w:bidi="ne-NP"/>
        </w:rPr>
        <w:t>Za četiri pacijenta nema rezultata mRS na dan 90. Posljednje raspoložive informacije pokazale su da su 2/4 pacijenta imali mRS =2  7. dana, a 2/4 pacijenta zabilježili su jasan opšti napredak 7. dana.</w:t>
      </w:r>
    </w:p>
    <w:p w14:paraId="6F22FD30" w14:textId="77777777" w:rsidR="001B03B3" w:rsidRPr="00D024EA" w:rsidRDefault="001B03B3" w:rsidP="00EA5D97">
      <w:pPr>
        <w:jc w:val="both"/>
        <w:rPr>
          <w:rFonts w:eastAsia="MS Mincho"/>
          <w:sz w:val="22"/>
          <w:szCs w:val="22"/>
          <w:lang w:val="sr-Latn-ME" w:eastAsia="ja-JP" w:bidi="ne-NP"/>
        </w:rPr>
      </w:pPr>
      <w:r w:rsidRPr="00D024EA">
        <w:rPr>
          <w:rFonts w:eastAsia="MS Mincho"/>
          <w:sz w:val="22"/>
          <w:szCs w:val="22"/>
          <w:lang w:val="sr-Latn-ME" w:eastAsia="ja-JP" w:bidi="ne-NP"/>
        </w:rPr>
        <w:t>Bezbjednosni podaci o štetnim događajima vezanim za krvarenje i edem takođe su bili dostupni u registru. Od 25 pacijenata u starosnoj grupi od 16 do 17 godina, niko nije imao simptomatsko intracerebralno krvarenje (sICH, ICH krvarenje tip PH2). Kod 5 slučajeva došlo je do nastanka moždanog edema nakon liječenja alteplazom. 4/5 pacijenata sa cerebralnim edemom imali su 90. dana</w:t>
      </w:r>
      <w:r w:rsidRPr="00D024EA" w:rsidDel="001B5B86">
        <w:rPr>
          <w:rFonts w:eastAsia="MS Mincho"/>
          <w:sz w:val="22"/>
          <w:szCs w:val="22"/>
          <w:lang w:val="sr-Latn-ME" w:eastAsia="ja-JP" w:bidi="ne-NP"/>
        </w:rPr>
        <w:t xml:space="preserve"> </w:t>
      </w:r>
      <w:r w:rsidRPr="00D024EA">
        <w:rPr>
          <w:rFonts w:eastAsia="MS Mincho"/>
          <w:sz w:val="22"/>
          <w:szCs w:val="22"/>
          <w:lang w:val="sr-Latn-ME" w:eastAsia="ja-JP" w:bidi="ne-NP"/>
        </w:rPr>
        <w:t>prijavljeni mRS između 0 i 2 ili su pokazali opšte poboljšanje 7. dana nakon terapije. Jedan pacijent imao je mRS = 4 (umjereno teška onesposobljenost) koja je zabilježena 90. dana. Nijedan od slučajeva nije imao smrtni ishod.</w:t>
      </w:r>
    </w:p>
    <w:p w14:paraId="2C580776" w14:textId="5E3AFC28" w:rsidR="001B03B3" w:rsidRPr="00D024EA" w:rsidRDefault="001B03B3" w:rsidP="00EA5D97">
      <w:pPr>
        <w:jc w:val="both"/>
        <w:rPr>
          <w:rFonts w:eastAsia="MS Mincho"/>
          <w:sz w:val="22"/>
          <w:szCs w:val="22"/>
          <w:lang w:val="sr-Latn-ME" w:eastAsia="ja-JP" w:bidi="ne-NP"/>
        </w:rPr>
      </w:pPr>
      <w:r w:rsidRPr="00D024EA">
        <w:rPr>
          <w:rFonts w:eastAsia="MS Mincho"/>
          <w:sz w:val="22"/>
          <w:szCs w:val="22"/>
          <w:lang w:val="sr-Latn-ME" w:eastAsia="ja-JP" w:bidi="ne-NP"/>
        </w:rPr>
        <w:t>Ukratko, bilo je 25 izvještaja iz SITS registra o pacijentima uzrasta od 16 do 17 godina sa akutnim ishemijskim moždanim udarom koji su tretirani alteplazom prema preporukama za liječenje odraslih  alteplazom. Mada mala veličina uzorka isključuje statističku analizu, ukupni rezultati pokazuju pozitivan trend sa odgovarajućom dozom za odrasle koja se upotrebljavala kod ovih pacijenata. Čini se da podaci ne pokazuju povećani rizik od simptomatskog intracerebralnog krvarenja ili edema u odnosu na odrasle.</w:t>
      </w:r>
    </w:p>
    <w:p w14:paraId="57E82DE6" w14:textId="77777777" w:rsidR="001B03B3" w:rsidRPr="00D024EA" w:rsidRDefault="001B03B3" w:rsidP="00EA5D97">
      <w:pPr>
        <w:tabs>
          <w:tab w:val="left" w:pos="540"/>
          <w:tab w:val="left" w:pos="569"/>
        </w:tabs>
        <w:jc w:val="both"/>
        <w:rPr>
          <w:b/>
          <w:bCs/>
          <w:sz w:val="22"/>
          <w:szCs w:val="22"/>
          <w:lang w:val="sr-Latn-ME"/>
        </w:rPr>
      </w:pPr>
    </w:p>
    <w:p w14:paraId="6CBE7530" w14:textId="77777777" w:rsidR="0072020E" w:rsidRPr="00D024EA" w:rsidRDefault="0072020E" w:rsidP="00EA5D97">
      <w:pPr>
        <w:tabs>
          <w:tab w:val="left" w:pos="540"/>
          <w:tab w:val="left" w:pos="569"/>
        </w:tabs>
        <w:jc w:val="both"/>
        <w:rPr>
          <w:b/>
          <w:bCs/>
          <w:sz w:val="22"/>
          <w:szCs w:val="22"/>
          <w:lang w:val="sr-Latn-ME"/>
        </w:rPr>
      </w:pPr>
      <w:r w:rsidRPr="00D024EA">
        <w:rPr>
          <w:b/>
          <w:bCs/>
          <w:sz w:val="22"/>
          <w:szCs w:val="22"/>
          <w:lang w:val="sr-Latn-ME"/>
        </w:rPr>
        <w:t xml:space="preserve">5.2. </w:t>
      </w:r>
      <w:r w:rsidR="00480FB1" w:rsidRPr="00D024EA">
        <w:rPr>
          <w:b/>
          <w:bCs/>
          <w:sz w:val="22"/>
          <w:szCs w:val="22"/>
          <w:lang w:val="sr-Latn-ME"/>
        </w:rPr>
        <w:tab/>
      </w:r>
      <w:r w:rsidRPr="00D024EA">
        <w:rPr>
          <w:b/>
          <w:bCs/>
          <w:sz w:val="22"/>
          <w:szCs w:val="22"/>
          <w:lang w:val="sr-Latn-ME"/>
        </w:rPr>
        <w:t>Farmakokinetički podaci</w:t>
      </w:r>
      <w:r w:rsidR="003A7059" w:rsidRPr="00D024EA">
        <w:rPr>
          <w:b/>
          <w:bCs/>
          <w:sz w:val="22"/>
          <w:szCs w:val="22"/>
          <w:lang w:val="sr-Latn-ME"/>
        </w:rPr>
        <w:t xml:space="preserve"> </w:t>
      </w:r>
    </w:p>
    <w:p w14:paraId="04BCDA08" w14:textId="77777777" w:rsidR="001B03B3" w:rsidRPr="00D024EA" w:rsidRDefault="001B03B3" w:rsidP="00EA5D97">
      <w:pPr>
        <w:autoSpaceDE w:val="0"/>
        <w:autoSpaceDN w:val="0"/>
        <w:adjustRightInd w:val="0"/>
        <w:jc w:val="both"/>
        <w:rPr>
          <w:bCs/>
          <w:sz w:val="22"/>
          <w:szCs w:val="22"/>
          <w:lang w:val="sr-Latn-ME"/>
        </w:rPr>
      </w:pPr>
    </w:p>
    <w:p w14:paraId="3E0FF41B" w14:textId="17E87203" w:rsidR="001B03B3" w:rsidRPr="00D024EA" w:rsidRDefault="008A154A"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 xml:space="preserve">Alteplaza </w:t>
      </w:r>
      <w:r w:rsidR="001B03B3" w:rsidRPr="00D024EA">
        <w:rPr>
          <w:rFonts w:eastAsia="MS Mincho"/>
          <w:sz w:val="22"/>
          <w:szCs w:val="22"/>
          <w:lang w:val="sr-Latn-ME" w:eastAsia="ja-JP" w:bidi="ne-NP"/>
        </w:rPr>
        <w:t xml:space="preserve">se izbacuje brzo iz krvi i pretežno se metaboliše u jetri (klirens plazme je 550-680 </w:t>
      </w:r>
      <w:r w:rsidR="00B7348D" w:rsidRPr="00D024EA">
        <w:rPr>
          <w:rFonts w:eastAsia="MS Mincho"/>
          <w:sz w:val="22"/>
          <w:szCs w:val="22"/>
          <w:lang w:val="sr-Latn-ME" w:eastAsia="ja-JP" w:bidi="ne-NP"/>
        </w:rPr>
        <w:t>ml</w:t>
      </w:r>
      <w:r w:rsidR="001B03B3" w:rsidRPr="00D024EA">
        <w:rPr>
          <w:rFonts w:eastAsia="MS Mincho"/>
          <w:sz w:val="22"/>
          <w:szCs w:val="22"/>
          <w:lang w:val="sr-Latn-ME" w:eastAsia="ja-JP" w:bidi="ne-NP"/>
        </w:rPr>
        <w:t>/min.).</w:t>
      </w:r>
      <w:r w:rsidR="002A03D7" w:rsidRPr="00D024EA">
        <w:rPr>
          <w:rFonts w:eastAsia="MS Mincho"/>
          <w:sz w:val="22"/>
          <w:szCs w:val="22"/>
          <w:lang w:val="sr-Latn-ME" w:eastAsia="ja-JP" w:bidi="ne-NP"/>
        </w:rPr>
        <w:t xml:space="preserve"> U fiziološkim uslovima, najveći dio alteplaze u cirkulaciji je vezan za inhibitor. Hepatički klirens alteplaze nije ometan prisustvom drugim proteinima uključujući inhibitore alteplaze. Kompleksi alteplaze i inhibitora alteplaze se eliminišu kao alteplaza u slobodnom obliku.</w:t>
      </w:r>
    </w:p>
    <w:p w14:paraId="05149198" w14:textId="77777777" w:rsidR="001B03B3" w:rsidRPr="00D024EA" w:rsidRDefault="001B03B3"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Relevantno poluvrijeme eliminacije t</w:t>
      </w:r>
      <w:r w:rsidRPr="00D024EA">
        <w:rPr>
          <w:rFonts w:eastAsia="MS Mincho"/>
          <w:sz w:val="22"/>
          <w:szCs w:val="22"/>
          <w:vertAlign w:val="subscript"/>
          <w:lang w:val="sr-Latn-ME" w:eastAsia="ja-JP" w:bidi="ne-NP"/>
        </w:rPr>
        <w:t xml:space="preserve">1/2 </w:t>
      </w:r>
      <w:r w:rsidRPr="00D024EA">
        <w:rPr>
          <w:rFonts w:eastAsia="MS Mincho"/>
          <w:sz w:val="22"/>
          <w:szCs w:val="22"/>
          <w:lang w:val="sr-Latn-ME" w:eastAsia="ja-JP" w:bidi="ne-NP"/>
        </w:rPr>
        <w:t>alfa u plazmi je 4-5 minuta. To znači da je poslije 20 minuta manje od 10% inicijalne vrijednosti prisutno u plazmi. Za rezidualnu količinu koja preostaje u dubini, izmjereno je da je beta-poluvrijeme eliminacije oko 40 minuta.</w:t>
      </w:r>
    </w:p>
    <w:p w14:paraId="30979301" w14:textId="77777777" w:rsidR="00221C4A" w:rsidRPr="00D024EA" w:rsidRDefault="00221C4A" w:rsidP="00EA5D97">
      <w:pPr>
        <w:tabs>
          <w:tab w:val="left" w:pos="540"/>
          <w:tab w:val="left" w:pos="569"/>
        </w:tabs>
        <w:jc w:val="both"/>
        <w:rPr>
          <w:b/>
          <w:bCs/>
          <w:sz w:val="22"/>
          <w:szCs w:val="22"/>
          <w:lang w:val="sr-Latn-ME"/>
        </w:rPr>
      </w:pPr>
    </w:p>
    <w:p w14:paraId="351FE3C7" w14:textId="61666758" w:rsidR="0072020E" w:rsidRPr="00D024EA" w:rsidRDefault="0072020E" w:rsidP="00EA5D97">
      <w:pPr>
        <w:tabs>
          <w:tab w:val="left" w:pos="540"/>
          <w:tab w:val="left" w:pos="569"/>
        </w:tabs>
        <w:jc w:val="both"/>
        <w:rPr>
          <w:b/>
          <w:bCs/>
          <w:sz w:val="22"/>
          <w:szCs w:val="22"/>
          <w:lang w:val="sr-Latn-ME"/>
        </w:rPr>
      </w:pPr>
      <w:r w:rsidRPr="00D024EA">
        <w:rPr>
          <w:b/>
          <w:bCs/>
          <w:sz w:val="22"/>
          <w:szCs w:val="22"/>
          <w:lang w:val="sr-Latn-ME"/>
        </w:rPr>
        <w:t xml:space="preserve">5.3. </w:t>
      </w:r>
      <w:r w:rsidR="00480FB1" w:rsidRPr="00D024EA">
        <w:rPr>
          <w:b/>
          <w:bCs/>
          <w:sz w:val="22"/>
          <w:szCs w:val="22"/>
          <w:lang w:val="sr-Latn-ME"/>
        </w:rPr>
        <w:tab/>
      </w:r>
      <w:r w:rsidRPr="00D024EA">
        <w:rPr>
          <w:b/>
          <w:bCs/>
          <w:sz w:val="22"/>
          <w:szCs w:val="22"/>
          <w:lang w:val="sr-Latn-ME"/>
        </w:rPr>
        <w:t xml:space="preserve">Pretklinički podaci o bezbjednosti </w:t>
      </w:r>
    </w:p>
    <w:p w14:paraId="23721DAA" w14:textId="77777777" w:rsidR="00836B35" w:rsidRPr="00D024EA" w:rsidRDefault="00836B35" w:rsidP="00EA5D97">
      <w:pPr>
        <w:tabs>
          <w:tab w:val="left" w:pos="540"/>
          <w:tab w:val="left" w:pos="569"/>
        </w:tabs>
        <w:jc w:val="both"/>
        <w:rPr>
          <w:bCs/>
          <w:sz w:val="22"/>
          <w:szCs w:val="22"/>
          <w:lang w:val="sr-Latn-ME"/>
        </w:rPr>
      </w:pPr>
    </w:p>
    <w:p w14:paraId="1B4A9FE8" w14:textId="77777777" w:rsidR="001B03B3" w:rsidRPr="00D024EA" w:rsidRDefault="001B03B3"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 xml:space="preserve">U subhroničnim studijama toksičnosti kod pacova i majmuna nije otkriveno nijedno neželjeno dejstvo. </w:t>
      </w:r>
    </w:p>
    <w:p w14:paraId="18E555CF" w14:textId="77777777" w:rsidR="001B03B3" w:rsidRPr="00D024EA" w:rsidRDefault="001B03B3"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 xml:space="preserve">Nije otkriven mutageni potencijal u tekstovima mutagenosti. </w:t>
      </w:r>
    </w:p>
    <w:p w14:paraId="3119A777" w14:textId="77777777" w:rsidR="001B03B3" w:rsidRPr="00D024EA" w:rsidRDefault="001B03B3" w:rsidP="00EA5D97">
      <w:pPr>
        <w:autoSpaceDE w:val="0"/>
        <w:autoSpaceDN w:val="0"/>
        <w:adjustRightInd w:val="0"/>
        <w:jc w:val="both"/>
        <w:rPr>
          <w:rFonts w:eastAsia="MS Mincho"/>
          <w:sz w:val="22"/>
          <w:szCs w:val="22"/>
          <w:lang w:val="sr-Latn-ME" w:eastAsia="ja-JP" w:bidi="ne-NP"/>
        </w:rPr>
      </w:pPr>
    </w:p>
    <w:p w14:paraId="403A3BB9" w14:textId="77777777" w:rsidR="001B03B3" w:rsidRPr="00D024EA" w:rsidRDefault="001B03B3"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 xml:space="preserve">Kod skotnih životinja nijesu primijećena teratogena dejstva poslije intravenske  infuzije farmakološki efektivnih doza. Kod kunića je embriotoksičnost (uginuće embriona, retardacija rasta) bila izazvana </w:t>
      </w:r>
      <w:r w:rsidRPr="00D024EA">
        <w:rPr>
          <w:rFonts w:eastAsia="MS Mincho"/>
          <w:sz w:val="22"/>
          <w:szCs w:val="22"/>
          <w:lang w:val="sr-Latn-ME" w:eastAsia="ja-JP" w:bidi="ne-NP"/>
        </w:rPr>
        <w:lastRenderedPageBreak/>
        <w:t>dozama većim od 3 mg/kg/na dan. Nijesu primijećena dejstva na postnatalni razvoj, niti na parametre fertilnosti kod pacova pri dozama većim od 10 mg/kg/dan.</w:t>
      </w:r>
    </w:p>
    <w:p w14:paraId="6BE8CA76" w14:textId="7CA9B493" w:rsidR="00396DFD" w:rsidRPr="00D024EA" w:rsidRDefault="00396DFD" w:rsidP="00EA5D97">
      <w:pPr>
        <w:tabs>
          <w:tab w:val="left" w:pos="540"/>
          <w:tab w:val="left" w:pos="569"/>
        </w:tabs>
        <w:jc w:val="both"/>
        <w:rPr>
          <w:b/>
          <w:bCs/>
          <w:sz w:val="22"/>
          <w:szCs w:val="22"/>
          <w:lang w:val="sr-Latn-ME"/>
        </w:rPr>
      </w:pPr>
    </w:p>
    <w:p w14:paraId="15815CC6" w14:textId="77777777" w:rsidR="00B7348D" w:rsidRPr="00D024EA" w:rsidRDefault="00B7348D" w:rsidP="00EA5D97">
      <w:pPr>
        <w:tabs>
          <w:tab w:val="left" w:pos="540"/>
          <w:tab w:val="left" w:pos="569"/>
        </w:tabs>
        <w:jc w:val="both"/>
        <w:rPr>
          <w:b/>
          <w:bCs/>
          <w:sz w:val="22"/>
          <w:szCs w:val="22"/>
          <w:lang w:val="sr-Latn-ME"/>
        </w:rPr>
      </w:pPr>
    </w:p>
    <w:p w14:paraId="5CAC0A8D" w14:textId="77777777" w:rsidR="0072020E" w:rsidRPr="00D024EA" w:rsidRDefault="0072020E" w:rsidP="00EA5D97">
      <w:pPr>
        <w:tabs>
          <w:tab w:val="left" w:pos="540"/>
          <w:tab w:val="left" w:pos="569"/>
        </w:tabs>
        <w:jc w:val="both"/>
        <w:rPr>
          <w:b/>
          <w:bCs/>
          <w:sz w:val="22"/>
          <w:szCs w:val="22"/>
          <w:lang w:val="sr-Latn-ME"/>
        </w:rPr>
      </w:pPr>
      <w:r w:rsidRPr="00D024EA">
        <w:rPr>
          <w:b/>
          <w:bCs/>
          <w:sz w:val="22"/>
          <w:szCs w:val="22"/>
          <w:lang w:val="sr-Latn-ME"/>
        </w:rPr>
        <w:t xml:space="preserve">6. </w:t>
      </w:r>
      <w:r w:rsidR="00480FB1" w:rsidRPr="00D024EA">
        <w:rPr>
          <w:b/>
          <w:bCs/>
          <w:sz w:val="22"/>
          <w:szCs w:val="22"/>
          <w:lang w:val="sr-Latn-ME"/>
        </w:rPr>
        <w:tab/>
      </w:r>
      <w:r w:rsidRPr="00D024EA">
        <w:rPr>
          <w:b/>
          <w:bCs/>
          <w:sz w:val="22"/>
          <w:szCs w:val="22"/>
          <w:lang w:val="sr-Latn-ME"/>
        </w:rPr>
        <w:t>FARMACEUTSKI PODACI</w:t>
      </w:r>
    </w:p>
    <w:p w14:paraId="4F1D9C76" w14:textId="77777777" w:rsidR="00836B35" w:rsidRPr="00D024EA" w:rsidRDefault="00836B35" w:rsidP="00EA5D97">
      <w:pPr>
        <w:tabs>
          <w:tab w:val="left" w:pos="540"/>
          <w:tab w:val="left" w:pos="569"/>
        </w:tabs>
        <w:jc w:val="both"/>
        <w:rPr>
          <w:bCs/>
          <w:sz w:val="22"/>
          <w:szCs w:val="22"/>
          <w:lang w:val="sr-Latn-ME"/>
        </w:rPr>
      </w:pPr>
    </w:p>
    <w:p w14:paraId="3E084185" w14:textId="77777777" w:rsidR="0072020E" w:rsidRPr="00D024EA" w:rsidRDefault="0072020E" w:rsidP="00EA5D97">
      <w:pPr>
        <w:tabs>
          <w:tab w:val="left" w:pos="540"/>
          <w:tab w:val="left" w:pos="569"/>
        </w:tabs>
        <w:jc w:val="both"/>
        <w:rPr>
          <w:b/>
          <w:bCs/>
          <w:sz w:val="22"/>
          <w:szCs w:val="22"/>
          <w:lang w:val="sr-Latn-ME"/>
        </w:rPr>
      </w:pPr>
      <w:r w:rsidRPr="00D024EA">
        <w:rPr>
          <w:b/>
          <w:bCs/>
          <w:sz w:val="22"/>
          <w:szCs w:val="22"/>
          <w:lang w:val="sr-Latn-ME"/>
        </w:rPr>
        <w:t xml:space="preserve">6.1. </w:t>
      </w:r>
      <w:r w:rsidR="00480FB1" w:rsidRPr="00D024EA">
        <w:rPr>
          <w:b/>
          <w:bCs/>
          <w:sz w:val="22"/>
          <w:szCs w:val="22"/>
          <w:lang w:val="sr-Latn-ME"/>
        </w:rPr>
        <w:tab/>
      </w:r>
      <w:r w:rsidRPr="00D024EA">
        <w:rPr>
          <w:b/>
          <w:bCs/>
          <w:sz w:val="22"/>
          <w:szCs w:val="22"/>
          <w:lang w:val="sr-Latn-ME"/>
        </w:rPr>
        <w:t>Lista pomoćnih supstanci</w:t>
      </w:r>
      <w:r w:rsidR="002E0135" w:rsidRPr="00D024EA">
        <w:rPr>
          <w:b/>
          <w:bCs/>
          <w:sz w:val="22"/>
          <w:szCs w:val="22"/>
          <w:lang w:val="sr-Latn-ME"/>
        </w:rPr>
        <w:t xml:space="preserve"> (ekscipijenasa)</w:t>
      </w:r>
    </w:p>
    <w:p w14:paraId="5938AB26" w14:textId="77777777" w:rsidR="003954E2" w:rsidRPr="00D024EA" w:rsidRDefault="003954E2" w:rsidP="00EA5D97">
      <w:pPr>
        <w:autoSpaceDE w:val="0"/>
        <w:autoSpaceDN w:val="0"/>
        <w:adjustRightInd w:val="0"/>
        <w:jc w:val="both"/>
        <w:rPr>
          <w:rFonts w:eastAsia="MS Mincho"/>
          <w:sz w:val="22"/>
          <w:szCs w:val="22"/>
          <w:u w:val="single"/>
          <w:lang w:val="sr-Latn-ME" w:eastAsia="ja-JP" w:bidi="ne-NP"/>
        </w:rPr>
      </w:pPr>
    </w:p>
    <w:p w14:paraId="00B03BAD" w14:textId="01BA0AB0" w:rsidR="003954E2" w:rsidRPr="00D024EA" w:rsidRDefault="003954E2" w:rsidP="00EA5D97">
      <w:pPr>
        <w:autoSpaceDE w:val="0"/>
        <w:autoSpaceDN w:val="0"/>
        <w:adjustRightInd w:val="0"/>
        <w:jc w:val="both"/>
        <w:rPr>
          <w:rFonts w:eastAsia="MS Mincho"/>
          <w:sz w:val="22"/>
          <w:szCs w:val="22"/>
          <w:u w:val="single"/>
          <w:lang w:val="sr-Latn-ME" w:eastAsia="ja-JP" w:bidi="ne-NP"/>
        </w:rPr>
      </w:pPr>
      <w:r w:rsidRPr="00D024EA">
        <w:rPr>
          <w:rFonts w:eastAsia="MS Mincho"/>
          <w:sz w:val="22"/>
          <w:szCs w:val="22"/>
          <w:u w:val="single"/>
          <w:lang w:val="sr-Latn-ME" w:eastAsia="ja-JP" w:bidi="ne-NP"/>
        </w:rPr>
        <w:t>Prašak:</w:t>
      </w:r>
    </w:p>
    <w:p w14:paraId="03EE0390" w14:textId="4B6A8AA5" w:rsidR="003954E2" w:rsidRPr="00D024EA" w:rsidRDefault="003954E2"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L-</w:t>
      </w:r>
      <w:r w:rsidR="00E245C7" w:rsidRPr="00D024EA">
        <w:rPr>
          <w:rFonts w:eastAsia="MS Mincho"/>
          <w:sz w:val="22"/>
          <w:szCs w:val="22"/>
          <w:lang w:val="sr-Latn-ME" w:eastAsia="ja-JP" w:bidi="ne-NP"/>
        </w:rPr>
        <w:t>a</w:t>
      </w:r>
      <w:r w:rsidRPr="00D024EA">
        <w:rPr>
          <w:rFonts w:eastAsia="MS Mincho"/>
          <w:sz w:val="22"/>
          <w:szCs w:val="22"/>
          <w:lang w:val="sr-Latn-ME" w:eastAsia="ja-JP" w:bidi="ne-NP"/>
        </w:rPr>
        <w:t>rginin</w:t>
      </w:r>
    </w:p>
    <w:p w14:paraId="5D0B6921" w14:textId="77777777" w:rsidR="003954E2" w:rsidRPr="00D024EA" w:rsidRDefault="003954E2"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fosforna kiselina (za podešavanje pH)</w:t>
      </w:r>
    </w:p>
    <w:p w14:paraId="19CCF6B5" w14:textId="77777777" w:rsidR="003954E2" w:rsidRPr="00D024EA" w:rsidRDefault="003954E2"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polisorbat 80</w:t>
      </w:r>
    </w:p>
    <w:p w14:paraId="67213E91" w14:textId="77777777" w:rsidR="003954E2" w:rsidRPr="00D024EA" w:rsidRDefault="003954E2" w:rsidP="00EA5D97">
      <w:pPr>
        <w:autoSpaceDE w:val="0"/>
        <w:autoSpaceDN w:val="0"/>
        <w:adjustRightInd w:val="0"/>
        <w:jc w:val="both"/>
        <w:rPr>
          <w:rFonts w:eastAsia="MS Mincho"/>
          <w:sz w:val="22"/>
          <w:szCs w:val="22"/>
          <w:lang w:val="sr-Latn-ME" w:eastAsia="ja-JP" w:bidi="ne-NP"/>
        </w:rPr>
      </w:pPr>
    </w:p>
    <w:p w14:paraId="016A1F17" w14:textId="77777777" w:rsidR="003954E2" w:rsidRPr="00D024EA" w:rsidRDefault="003954E2" w:rsidP="00EA5D97">
      <w:pPr>
        <w:autoSpaceDE w:val="0"/>
        <w:autoSpaceDN w:val="0"/>
        <w:adjustRightInd w:val="0"/>
        <w:jc w:val="both"/>
        <w:rPr>
          <w:rFonts w:eastAsia="MS Mincho"/>
          <w:sz w:val="22"/>
          <w:szCs w:val="22"/>
          <w:u w:val="single"/>
          <w:lang w:val="sr-Latn-ME" w:eastAsia="ja-JP" w:bidi="ne-NP"/>
        </w:rPr>
      </w:pPr>
      <w:r w:rsidRPr="00D024EA">
        <w:rPr>
          <w:rFonts w:eastAsia="MS Mincho"/>
          <w:sz w:val="22"/>
          <w:szCs w:val="22"/>
          <w:u w:val="single"/>
          <w:lang w:val="sr-Latn-ME" w:eastAsia="ja-JP" w:bidi="ne-NP"/>
        </w:rPr>
        <w:t>Rastvarač:</w:t>
      </w:r>
    </w:p>
    <w:p w14:paraId="5F3763BC" w14:textId="5155C690" w:rsidR="003954E2" w:rsidRPr="00D024EA" w:rsidRDefault="003954E2"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voda za injekcij</w:t>
      </w:r>
      <w:r w:rsidR="003119E1" w:rsidRPr="00D024EA">
        <w:rPr>
          <w:rFonts w:eastAsia="MS Mincho"/>
          <w:sz w:val="22"/>
          <w:szCs w:val="22"/>
          <w:lang w:val="sr-Latn-ME" w:eastAsia="ja-JP" w:bidi="ne-NP"/>
        </w:rPr>
        <w:t>e</w:t>
      </w:r>
    </w:p>
    <w:p w14:paraId="5DC65F4F" w14:textId="77777777" w:rsidR="0072020E" w:rsidRPr="00D024EA" w:rsidRDefault="0072020E" w:rsidP="00EA5D97">
      <w:pPr>
        <w:tabs>
          <w:tab w:val="left" w:pos="540"/>
          <w:tab w:val="left" w:pos="569"/>
        </w:tabs>
        <w:jc w:val="both"/>
        <w:rPr>
          <w:bCs/>
          <w:sz w:val="22"/>
          <w:szCs w:val="22"/>
          <w:lang w:val="sr-Latn-ME"/>
        </w:rPr>
      </w:pPr>
    </w:p>
    <w:p w14:paraId="1E434B4B" w14:textId="4F1A7323" w:rsidR="0072020E" w:rsidRPr="00D024EA" w:rsidRDefault="0072020E" w:rsidP="00EA5D97">
      <w:pPr>
        <w:tabs>
          <w:tab w:val="left" w:pos="540"/>
          <w:tab w:val="left" w:pos="569"/>
        </w:tabs>
        <w:jc w:val="both"/>
        <w:rPr>
          <w:b/>
          <w:bCs/>
          <w:sz w:val="22"/>
          <w:szCs w:val="22"/>
          <w:lang w:val="sr-Latn-ME"/>
        </w:rPr>
      </w:pPr>
      <w:r w:rsidRPr="00D024EA">
        <w:rPr>
          <w:b/>
          <w:bCs/>
          <w:sz w:val="22"/>
          <w:szCs w:val="22"/>
          <w:lang w:val="sr-Latn-ME"/>
        </w:rPr>
        <w:t xml:space="preserve">6.2. </w:t>
      </w:r>
      <w:r w:rsidR="00480FB1" w:rsidRPr="00D024EA">
        <w:rPr>
          <w:b/>
          <w:bCs/>
          <w:sz w:val="22"/>
          <w:szCs w:val="22"/>
          <w:lang w:val="sr-Latn-ME"/>
        </w:rPr>
        <w:tab/>
      </w:r>
      <w:r w:rsidRPr="00D024EA">
        <w:rPr>
          <w:b/>
          <w:bCs/>
          <w:sz w:val="22"/>
          <w:szCs w:val="22"/>
          <w:lang w:val="sr-Latn-ME"/>
        </w:rPr>
        <w:t>Inkompatibilnost</w:t>
      </w:r>
      <w:r w:rsidR="002846DB" w:rsidRPr="00D024EA">
        <w:rPr>
          <w:b/>
          <w:bCs/>
          <w:sz w:val="22"/>
          <w:szCs w:val="22"/>
          <w:lang w:val="sr-Latn-ME"/>
        </w:rPr>
        <w:t>i</w:t>
      </w:r>
    </w:p>
    <w:p w14:paraId="44BFF176" w14:textId="77777777" w:rsidR="003954E2" w:rsidRPr="00D024EA" w:rsidRDefault="003954E2" w:rsidP="00EA5D97">
      <w:pPr>
        <w:tabs>
          <w:tab w:val="left" w:pos="540"/>
          <w:tab w:val="left" w:pos="569"/>
        </w:tabs>
        <w:jc w:val="both"/>
        <w:rPr>
          <w:b/>
          <w:bCs/>
          <w:sz w:val="22"/>
          <w:szCs w:val="22"/>
          <w:lang w:val="sr-Latn-ME"/>
        </w:rPr>
      </w:pPr>
    </w:p>
    <w:p w14:paraId="4E05F054" w14:textId="62AF6E5B" w:rsidR="003954E2" w:rsidRPr="00D024EA" w:rsidRDefault="003954E2"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Rekonstituisani rastvor se može dodatno razblažiti sterilnim fiziološkim rastvorom</w:t>
      </w:r>
      <w:r w:rsidR="003119E1" w:rsidRPr="00D024EA">
        <w:rPr>
          <w:rFonts w:eastAsia="MS Mincho"/>
          <w:sz w:val="22"/>
          <w:szCs w:val="22"/>
          <w:lang w:val="sr-Latn-ME" w:eastAsia="ja-JP" w:bidi="ne-NP"/>
        </w:rPr>
        <w:t xml:space="preserve"> natrijum hlorida</w:t>
      </w:r>
      <w:r w:rsidRPr="00D024EA">
        <w:rPr>
          <w:rFonts w:eastAsia="MS Mincho"/>
          <w:sz w:val="22"/>
          <w:szCs w:val="22"/>
          <w:lang w:val="sr-Latn-ME" w:eastAsia="ja-JP" w:bidi="ne-NP"/>
        </w:rPr>
        <w:t xml:space="preserve"> (0,9%) do minimalne koncentracije od 0,2 mg alteplaze na </w:t>
      </w:r>
      <w:r w:rsidR="00B7348D" w:rsidRPr="00D024EA">
        <w:rPr>
          <w:rFonts w:eastAsia="MS Mincho"/>
          <w:sz w:val="22"/>
          <w:szCs w:val="22"/>
          <w:lang w:val="sr-Latn-ME" w:eastAsia="ja-JP" w:bidi="ne-NP"/>
        </w:rPr>
        <w:t>ml</w:t>
      </w:r>
      <w:r w:rsidRPr="00D024EA">
        <w:rPr>
          <w:rFonts w:eastAsia="MS Mincho"/>
          <w:sz w:val="22"/>
          <w:szCs w:val="22"/>
          <w:lang w:val="sr-Latn-ME" w:eastAsia="ja-JP" w:bidi="ne-NP"/>
        </w:rPr>
        <w:t xml:space="preserve">. </w:t>
      </w:r>
    </w:p>
    <w:p w14:paraId="54E1A0F4" w14:textId="77777777" w:rsidR="003954E2" w:rsidRPr="00D024EA" w:rsidRDefault="003954E2" w:rsidP="00EA5D97">
      <w:pPr>
        <w:autoSpaceDE w:val="0"/>
        <w:autoSpaceDN w:val="0"/>
        <w:adjustRightInd w:val="0"/>
        <w:jc w:val="both"/>
        <w:rPr>
          <w:rFonts w:eastAsia="MS Mincho"/>
          <w:sz w:val="22"/>
          <w:szCs w:val="22"/>
          <w:lang w:val="sr-Latn-ME" w:eastAsia="ja-JP" w:bidi="ne-NP"/>
        </w:rPr>
      </w:pPr>
    </w:p>
    <w:p w14:paraId="6EE893B1" w14:textId="77777777" w:rsidR="003954E2" w:rsidRPr="00D024EA" w:rsidRDefault="003954E2"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Dodatno razblaživanje sterilnom vodom za injekcije ili upotreba ugljenohidratnih infuzionih rastvora, npr. dekstroze, nije preporučljiva zbog povećanog stvaranja zamućenosti rekonstituisanog rastvora.</w:t>
      </w:r>
    </w:p>
    <w:p w14:paraId="65A6BC8A" w14:textId="77777777" w:rsidR="00461D0A" w:rsidRPr="00D024EA" w:rsidRDefault="00461D0A" w:rsidP="00EA5D97">
      <w:pPr>
        <w:tabs>
          <w:tab w:val="left" w:pos="284"/>
        </w:tabs>
        <w:jc w:val="both"/>
        <w:rPr>
          <w:rFonts w:eastAsia="MS Mincho"/>
          <w:sz w:val="22"/>
          <w:szCs w:val="22"/>
          <w:lang w:val="sr-Latn-ME" w:eastAsia="ja-JP" w:bidi="ne-NP"/>
        </w:rPr>
      </w:pPr>
    </w:p>
    <w:p w14:paraId="6B76F272" w14:textId="3745868B" w:rsidR="003954E2" w:rsidRPr="00D024EA" w:rsidRDefault="003954E2" w:rsidP="00EA5D97">
      <w:pPr>
        <w:tabs>
          <w:tab w:val="left" w:pos="284"/>
        </w:tabs>
        <w:jc w:val="both"/>
        <w:rPr>
          <w:rFonts w:eastAsia="MS Mincho"/>
          <w:sz w:val="22"/>
          <w:szCs w:val="22"/>
          <w:lang w:val="sr-Latn-ME" w:eastAsia="ja-JP" w:bidi="ne-NP"/>
        </w:rPr>
      </w:pPr>
      <w:r w:rsidRPr="00D024EA">
        <w:rPr>
          <w:rFonts w:eastAsia="MS Mincho"/>
          <w:sz w:val="22"/>
          <w:szCs w:val="22"/>
          <w:lang w:val="sr-Latn-ME" w:eastAsia="ja-JP" w:bidi="ne-NP"/>
        </w:rPr>
        <w:t>Lijek Actilyse ne treba miješati sa drugim ljekovima, niti u istoj infuzionoj bočici</w:t>
      </w:r>
      <w:r w:rsidR="003119E1" w:rsidRPr="00D024EA">
        <w:rPr>
          <w:rFonts w:eastAsia="MS Mincho"/>
          <w:sz w:val="22"/>
          <w:szCs w:val="22"/>
          <w:lang w:val="sr-Latn-ME" w:eastAsia="ja-JP" w:bidi="ne-NP"/>
        </w:rPr>
        <w:t>,</w:t>
      </w:r>
      <w:r w:rsidRPr="00D024EA">
        <w:rPr>
          <w:rFonts w:eastAsia="MS Mincho"/>
          <w:sz w:val="22"/>
          <w:szCs w:val="22"/>
          <w:lang w:val="sr-Latn-ME" w:eastAsia="ja-JP" w:bidi="ne-NP"/>
        </w:rPr>
        <w:t xml:space="preserve"> niti u istoj venskoj liniji (čak ni sa heparinom).</w:t>
      </w:r>
    </w:p>
    <w:p w14:paraId="7D35C53B" w14:textId="77777777" w:rsidR="003954E2" w:rsidRPr="00D024EA" w:rsidRDefault="003954E2" w:rsidP="00EA5D97">
      <w:pPr>
        <w:tabs>
          <w:tab w:val="left" w:pos="540"/>
          <w:tab w:val="left" w:pos="569"/>
        </w:tabs>
        <w:jc w:val="both"/>
        <w:rPr>
          <w:bCs/>
          <w:sz w:val="22"/>
          <w:szCs w:val="22"/>
          <w:lang w:val="sr-Latn-ME"/>
        </w:rPr>
      </w:pPr>
    </w:p>
    <w:p w14:paraId="68CC0590" w14:textId="77777777" w:rsidR="0072020E" w:rsidRPr="00D024EA" w:rsidRDefault="0072020E" w:rsidP="00EA5D97">
      <w:pPr>
        <w:tabs>
          <w:tab w:val="left" w:pos="540"/>
          <w:tab w:val="left" w:pos="569"/>
        </w:tabs>
        <w:jc w:val="both"/>
        <w:rPr>
          <w:b/>
          <w:bCs/>
          <w:sz w:val="22"/>
          <w:szCs w:val="22"/>
          <w:lang w:val="sr-Latn-ME"/>
        </w:rPr>
      </w:pPr>
      <w:r w:rsidRPr="00D024EA">
        <w:rPr>
          <w:b/>
          <w:bCs/>
          <w:sz w:val="22"/>
          <w:szCs w:val="22"/>
          <w:lang w:val="sr-Latn-ME"/>
        </w:rPr>
        <w:t>6.3.</w:t>
      </w:r>
      <w:r w:rsidR="00C05DF8" w:rsidRPr="00D024EA">
        <w:rPr>
          <w:b/>
          <w:bCs/>
          <w:sz w:val="22"/>
          <w:szCs w:val="22"/>
          <w:lang w:val="sr-Latn-ME"/>
        </w:rPr>
        <w:t xml:space="preserve"> </w:t>
      </w:r>
      <w:r w:rsidR="00480FB1" w:rsidRPr="00D024EA">
        <w:rPr>
          <w:b/>
          <w:bCs/>
          <w:sz w:val="22"/>
          <w:szCs w:val="22"/>
          <w:lang w:val="sr-Latn-ME"/>
        </w:rPr>
        <w:tab/>
      </w:r>
      <w:r w:rsidRPr="00D024EA">
        <w:rPr>
          <w:b/>
          <w:bCs/>
          <w:sz w:val="22"/>
          <w:szCs w:val="22"/>
          <w:lang w:val="sr-Latn-ME"/>
        </w:rPr>
        <w:t>Rok upotrebe</w:t>
      </w:r>
    </w:p>
    <w:p w14:paraId="75FE5D92" w14:textId="56344DB5" w:rsidR="0072020E" w:rsidRPr="00D024EA" w:rsidRDefault="0072020E" w:rsidP="00EA5D97">
      <w:pPr>
        <w:tabs>
          <w:tab w:val="left" w:pos="540"/>
          <w:tab w:val="left" w:pos="569"/>
        </w:tabs>
        <w:jc w:val="both"/>
        <w:rPr>
          <w:bCs/>
          <w:sz w:val="22"/>
          <w:szCs w:val="22"/>
          <w:lang w:val="sr-Latn-ME"/>
        </w:rPr>
      </w:pPr>
    </w:p>
    <w:p w14:paraId="16E976B6" w14:textId="797C35EC" w:rsidR="003954E2" w:rsidRPr="00D024EA" w:rsidRDefault="003954E2" w:rsidP="00EA5D97">
      <w:pPr>
        <w:jc w:val="both"/>
        <w:rPr>
          <w:sz w:val="22"/>
          <w:szCs w:val="22"/>
          <w:u w:val="single"/>
          <w:lang w:val="sr-Latn-ME" w:bidi="en-US"/>
        </w:rPr>
      </w:pPr>
      <w:r w:rsidRPr="00D024EA">
        <w:rPr>
          <w:sz w:val="22"/>
          <w:szCs w:val="22"/>
          <w:u w:val="single"/>
          <w:lang w:val="sr-Latn-ME" w:bidi="en-US"/>
        </w:rPr>
        <w:t>Zatvoren</w:t>
      </w:r>
      <w:r w:rsidR="003119E1" w:rsidRPr="00D024EA">
        <w:rPr>
          <w:sz w:val="22"/>
          <w:szCs w:val="22"/>
          <w:u w:val="single"/>
          <w:lang w:val="sr-Latn-ME" w:bidi="en-US"/>
        </w:rPr>
        <w:t>a</w:t>
      </w:r>
      <w:r w:rsidRPr="00D024EA">
        <w:rPr>
          <w:sz w:val="22"/>
          <w:szCs w:val="22"/>
          <w:u w:val="single"/>
          <w:lang w:val="sr-Latn-ME" w:bidi="en-US"/>
        </w:rPr>
        <w:t xml:space="preserve"> bočic</w:t>
      </w:r>
      <w:r w:rsidR="003119E1" w:rsidRPr="00D024EA">
        <w:rPr>
          <w:sz w:val="22"/>
          <w:szCs w:val="22"/>
          <w:u w:val="single"/>
          <w:lang w:val="sr-Latn-ME" w:bidi="en-US"/>
        </w:rPr>
        <w:t>a</w:t>
      </w:r>
    </w:p>
    <w:p w14:paraId="157BDF17" w14:textId="77777777" w:rsidR="003954E2" w:rsidRPr="00D024EA" w:rsidRDefault="003954E2"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3 godine.</w:t>
      </w:r>
    </w:p>
    <w:p w14:paraId="4C2A26F5" w14:textId="77777777" w:rsidR="003954E2" w:rsidRPr="00D024EA" w:rsidRDefault="003954E2" w:rsidP="00EA5D97">
      <w:pPr>
        <w:autoSpaceDE w:val="0"/>
        <w:autoSpaceDN w:val="0"/>
        <w:adjustRightInd w:val="0"/>
        <w:jc w:val="both"/>
        <w:rPr>
          <w:rFonts w:eastAsia="MS Mincho"/>
          <w:sz w:val="22"/>
          <w:szCs w:val="22"/>
          <w:lang w:val="sr-Latn-ME" w:eastAsia="ja-JP" w:bidi="ne-NP"/>
        </w:rPr>
      </w:pPr>
    </w:p>
    <w:p w14:paraId="0825684A" w14:textId="77777777" w:rsidR="003954E2" w:rsidRPr="00D024EA" w:rsidRDefault="003954E2" w:rsidP="00EA5D97">
      <w:pPr>
        <w:autoSpaceDE w:val="0"/>
        <w:autoSpaceDN w:val="0"/>
        <w:adjustRightInd w:val="0"/>
        <w:jc w:val="both"/>
        <w:rPr>
          <w:bCs/>
          <w:sz w:val="22"/>
          <w:szCs w:val="22"/>
          <w:u w:val="single"/>
          <w:lang w:val="sr-Latn-ME" w:bidi="en-US"/>
        </w:rPr>
      </w:pPr>
      <w:r w:rsidRPr="00D024EA">
        <w:rPr>
          <w:bCs/>
          <w:sz w:val="22"/>
          <w:szCs w:val="22"/>
          <w:u w:val="single"/>
          <w:lang w:val="sr-Latn-ME" w:bidi="en-US"/>
        </w:rPr>
        <w:t xml:space="preserve">Rekonstituisani rastvor </w:t>
      </w:r>
    </w:p>
    <w:p w14:paraId="1E1E85D9" w14:textId="38D59436" w:rsidR="003954E2" w:rsidRPr="00D024EA" w:rsidRDefault="003954E2" w:rsidP="00EA5D97">
      <w:pPr>
        <w:autoSpaceDE w:val="0"/>
        <w:autoSpaceDN w:val="0"/>
        <w:adjustRightInd w:val="0"/>
        <w:jc w:val="both"/>
        <w:rPr>
          <w:bCs/>
          <w:sz w:val="22"/>
          <w:szCs w:val="22"/>
          <w:lang w:val="sr-Latn-ME" w:bidi="en-US"/>
        </w:rPr>
      </w:pPr>
      <w:r w:rsidRPr="00D024EA">
        <w:rPr>
          <w:bCs/>
          <w:sz w:val="22"/>
          <w:szCs w:val="22"/>
          <w:lang w:val="sr-Latn-ME" w:bidi="en-US"/>
        </w:rPr>
        <w:t>Rekonstituisani rastvor je pokazao stabilnost tokom 24 sata na</w:t>
      </w:r>
      <w:r w:rsidR="003119E1" w:rsidRPr="00D024EA">
        <w:rPr>
          <w:bCs/>
          <w:sz w:val="22"/>
          <w:szCs w:val="22"/>
          <w:lang w:val="sr-Latn-ME" w:bidi="en-US"/>
        </w:rPr>
        <w:t xml:space="preserve"> temperaturi od</w:t>
      </w:r>
      <w:r w:rsidRPr="00D024EA">
        <w:rPr>
          <w:bCs/>
          <w:sz w:val="22"/>
          <w:szCs w:val="22"/>
          <w:lang w:val="sr-Latn-ME" w:bidi="en-US"/>
        </w:rPr>
        <w:t xml:space="preserve"> </w:t>
      </w:r>
      <w:proofErr w:type="spellStart"/>
      <w:r w:rsidRPr="00D024EA">
        <w:rPr>
          <w:bCs/>
          <w:sz w:val="22"/>
          <w:szCs w:val="22"/>
          <w:lang w:val="sr-Latn-ME" w:bidi="en-US"/>
        </w:rPr>
        <w:t>2</w:t>
      </w:r>
      <w:r w:rsidRPr="00D024EA">
        <w:rPr>
          <w:sz w:val="22"/>
          <w:szCs w:val="22"/>
          <w:lang w:val="sr-Latn-ME"/>
        </w:rPr>
        <w:t>°</w:t>
      </w:r>
      <w:r w:rsidRPr="00D024EA">
        <w:rPr>
          <w:bCs/>
          <w:sz w:val="22"/>
          <w:szCs w:val="22"/>
          <w:lang w:val="sr-Latn-ME" w:bidi="en-US"/>
        </w:rPr>
        <w:t>C</w:t>
      </w:r>
      <w:proofErr w:type="spellEnd"/>
      <w:r w:rsidR="00D6708F">
        <w:rPr>
          <w:bCs/>
          <w:sz w:val="22"/>
          <w:szCs w:val="22"/>
          <w:lang w:val="sr-Latn-ME" w:bidi="en-US"/>
        </w:rPr>
        <w:t xml:space="preserve"> </w:t>
      </w:r>
      <w:r w:rsidR="005F5EAB" w:rsidRPr="00D024EA">
        <w:rPr>
          <w:bCs/>
          <w:sz w:val="22"/>
          <w:szCs w:val="22"/>
          <w:lang w:val="sr-Latn-ME" w:bidi="en-US"/>
        </w:rPr>
        <w:t xml:space="preserve">do </w:t>
      </w:r>
      <w:proofErr w:type="spellStart"/>
      <w:r w:rsidRPr="00D024EA">
        <w:rPr>
          <w:bCs/>
          <w:sz w:val="22"/>
          <w:szCs w:val="22"/>
          <w:lang w:val="sr-Latn-ME" w:bidi="en-US"/>
        </w:rPr>
        <w:t>8</w:t>
      </w:r>
      <w:r w:rsidRPr="00D024EA">
        <w:rPr>
          <w:sz w:val="22"/>
          <w:szCs w:val="22"/>
          <w:lang w:val="sr-Latn-ME"/>
        </w:rPr>
        <w:t>°</w:t>
      </w:r>
      <w:r w:rsidRPr="00D024EA">
        <w:rPr>
          <w:bCs/>
          <w:sz w:val="22"/>
          <w:szCs w:val="22"/>
          <w:lang w:val="sr-Latn-ME" w:bidi="en-US"/>
        </w:rPr>
        <w:t>C</w:t>
      </w:r>
      <w:proofErr w:type="spellEnd"/>
      <w:r w:rsidRPr="00D024EA">
        <w:rPr>
          <w:bCs/>
          <w:sz w:val="22"/>
          <w:szCs w:val="22"/>
          <w:lang w:val="sr-Latn-ME" w:bidi="en-US"/>
        </w:rPr>
        <w:t>, i</w:t>
      </w:r>
      <w:r w:rsidR="003119E1" w:rsidRPr="00D024EA">
        <w:rPr>
          <w:bCs/>
          <w:sz w:val="22"/>
          <w:szCs w:val="22"/>
          <w:lang w:val="sr-Latn-ME" w:bidi="en-US"/>
        </w:rPr>
        <w:t xml:space="preserve"> do</w:t>
      </w:r>
      <w:r w:rsidRPr="00D024EA">
        <w:rPr>
          <w:bCs/>
          <w:sz w:val="22"/>
          <w:szCs w:val="22"/>
          <w:lang w:val="sr-Latn-ME" w:bidi="en-US"/>
        </w:rPr>
        <w:t xml:space="preserve"> 8 sati na </w:t>
      </w:r>
      <w:r w:rsidR="003119E1" w:rsidRPr="00D024EA">
        <w:rPr>
          <w:bCs/>
          <w:sz w:val="22"/>
          <w:szCs w:val="22"/>
          <w:lang w:val="sr-Latn-ME" w:bidi="en-US"/>
        </w:rPr>
        <w:t xml:space="preserve">temperaturi od </w:t>
      </w:r>
      <w:r w:rsidRPr="00D024EA">
        <w:rPr>
          <w:bCs/>
          <w:sz w:val="22"/>
          <w:szCs w:val="22"/>
          <w:lang w:val="sr-Latn-ME" w:bidi="en-US"/>
        </w:rPr>
        <w:t>25</w:t>
      </w:r>
      <w:r w:rsidRPr="00D024EA">
        <w:rPr>
          <w:sz w:val="22"/>
          <w:szCs w:val="22"/>
          <w:lang w:val="sr-Latn-ME"/>
        </w:rPr>
        <w:t>°</w:t>
      </w:r>
      <w:r w:rsidRPr="00D024EA">
        <w:rPr>
          <w:bCs/>
          <w:sz w:val="22"/>
          <w:szCs w:val="22"/>
          <w:lang w:val="sr-Latn-ME" w:bidi="en-US"/>
        </w:rPr>
        <w:t xml:space="preserve">C. </w:t>
      </w:r>
    </w:p>
    <w:p w14:paraId="14019AB2" w14:textId="5D729931" w:rsidR="003954E2" w:rsidRPr="00D024EA" w:rsidRDefault="003954E2" w:rsidP="00EA5D97">
      <w:pPr>
        <w:keepLines/>
        <w:tabs>
          <w:tab w:val="left" w:pos="567"/>
        </w:tabs>
        <w:jc w:val="both"/>
        <w:rPr>
          <w:sz w:val="22"/>
          <w:szCs w:val="22"/>
          <w:lang w:val="sr-Latn-ME"/>
        </w:rPr>
      </w:pPr>
      <w:r w:rsidRPr="00D024EA">
        <w:rPr>
          <w:sz w:val="22"/>
          <w:szCs w:val="22"/>
          <w:lang w:val="sr-Latn-ME"/>
        </w:rPr>
        <w:t xml:space="preserve">Sa mikrobiološke tačke gledišta, lijek treba upotrijebiti odmah nakon rekonstitucije. </w:t>
      </w:r>
      <w:r w:rsidR="00075550" w:rsidRPr="00D024EA">
        <w:rPr>
          <w:sz w:val="22"/>
          <w:szCs w:val="22"/>
          <w:lang w:val="sr-Latn-ME"/>
        </w:rPr>
        <w:t xml:space="preserve">Ukoliko </w:t>
      </w:r>
      <w:r w:rsidRPr="00D024EA">
        <w:rPr>
          <w:sz w:val="22"/>
          <w:szCs w:val="22"/>
          <w:lang w:val="sr-Latn-ME"/>
        </w:rPr>
        <w:t>se ne upotrijebi odmah, vrijeme i uslov</w:t>
      </w:r>
      <w:r w:rsidR="00075550" w:rsidRPr="00D024EA">
        <w:rPr>
          <w:sz w:val="22"/>
          <w:szCs w:val="22"/>
          <w:lang w:val="sr-Latn-ME"/>
        </w:rPr>
        <w:t>i</w:t>
      </w:r>
      <w:r w:rsidRPr="00D024EA">
        <w:rPr>
          <w:sz w:val="22"/>
          <w:szCs w:val="22"/>
          <w:lang w:val="sr-Latn-ME"/>
        </w:rPr>
        <w:t xml:space="preserve"> čuvanja prije upotrebe</w:t>
      </w:r>
      <w:r w:rsidR="00075550" w:rsidRPr="00D024EA">
        <w:rPr>
          <w:sz w:val="22"/>
          <w:szCs w:val="22"/>
          <w:lang w:val="sr-Latn-ME"/>
        </w:rPr>
        <w:t xml:space="preserve"> odgovornost su korisnika, </w:t>
      </w:r>
      <w:r w:rsidRPr="00D024EA">
        <w:rPr>
          <w:sz w:val="22"/>
          <w:szCs w:val="22"/>
          <w:lang w:val="sr-Latn-ME"/>
        </w:rPr>
        <w:t xml:space="preserve">i pod normalnim okolnostima </w:t>
      </w:r>
      <w:r w:rsidR="003119E1" w:rsidRPr="00D024EA">
        <w:rPr>
          <w:sz w:val="22"/>
          <w:szCs w:val="22"/>
          <w:lang w:val="sr-Latn-ME"/>
        </w:rPr>
        <w:t xml:space="preserve">isti </w:t>
      </w:r>
      <w:r w:rsidRPr="00D024EA">
        <w:rPr>
          <w:sz w:val="22"/>
          <w:szCs w:val="22"/>
          <w:lang w:val="sr-Latn-ME"/>
        </w:rPr>
        <w:t>ne bi trebalo da bud</w:t>
      </w:r>
      <w:r w:rsidR="003119E1" w:rsidRPr="00D024EA">
        <w:rPr>
          <w:sz w:val="22"/>
          <w:szCs w:val="22"/>
          <w:lang w:val="sr-Latn-ME"/>
        </w:rPr>
        <w:t>u</w:t>
      </w:r>
      <w:r w:rsidRPr="00D024EA">
        <w:rPr>
          <w:sz w:val="22"/>
          <w:szCs w:val="22"/>
          <w:lang w:val="sr-Latn-ME"/>
        </w:rPr>
        <w:t xml:space="preserve"> duž</w:t>
      </w:r>
      <w:r w:rsidR="003119E1" w:rsidRPr="00D024EA">
        <w:rPr>
          <w:sz w:val="22"/>
          <w:szCs w:val="22"/>
          <w:lang w:val="sr-Latn-ME"/>
        </w:rPr>
        <w:t>i</w:t>
      </w:r>
      <w:r w:rsidRPr="00D024EA">
        <w:rPr>
          <w:sz w:val="22"/>
          <w:szCs w:val="22"/>
          <w:lang w:val="sr-Latn-ME"/>
        </w:rPr>
        <w:t xml:space="preserve"> od 24 sata na </w:t>
      </w:r>
      <w:r w:rsidR="00075550" w:rsidRPr="00D024EA">
        <w:rPr>
          <w:bCs/>
          <w:sz w:val="22"/>
          <w:szCs w:val="22"/>
          <w:lang w:val="sr-Latn-ME" w:bidi="en-US"/>
        </w:rPr>
        <w:t xml:space="preserve">temperaturi od </w:t>
      </w:r>
      <w:r w:rsidRPr="00D024EA">
        <w:rPr>
          <w:sz w:val="22"/>
          <w:szCs w:val="22"/>
          <w:lang w:val="sr-Latn-ME"/>
        </w:rPr>
        <w:t>2°</w:t>
      </w:r>
      <w:r w:rsidR="00E04583" w:rsidRPr="00D024EA">
        <w:rPr>
          <w:sz w:val="22"/>
          <w:szCs w:val="22"/>
          <w:lang w:val="sr-Latn-ME"/>
        </w:rPr>
        <w:t>C</w:t>
      </w:r>
      <w:r w:rsidRPr="00D024EA">
        <w:rPr>
          <w:sz w:val="22"/>
          <w:szCs w:val="22"/>
          <w:lang w:val="sr-Latn-ME"/>
        </w:rPr>
        <w:t xml:space="preserve"> do 8°C.</w:t>
      </w:r>
    </w:p>
    <w:p w14:paraId="2F960507" w14:textId="77777777" w:rsidR="003954E2" w:rsidRPr="00D024EA" w:rsidRDefault="003954E2" w:rsidP="00EA5D97">
      <w:pPr>
        <w:tabs>
          <w:tab w:val="left" w:pos="540"/>
          <w:tab w:val="left" w:pos="569"/>
        </w:tabs>
        <w:jc w:val="both"/>
        <w:rPr>
          <w:bCs/>
          <w:sz w:val="22"/>
          <w:szCs w:val="22"/>
          <w:lang w:val="sr-Latn-ME"/>
        </w:rPr>
      </w:pPr>
    </w:p>
    <w:p w14:paraId="3A589856" w14:textId="77777777" w:rsidR="0072020E" w:rsidRPr="00D024EA" w:rsidRDefault="0072020E" w:rsidP="00EA5D97">
      <w:pPr>
        <w:tabs>
          <w:tab w:val="left" w:pos="540"/>
          <w:tab w:val="left" w:pos="569"/>
        </w:tabs>
        <w:jc w:val="both"/>
        <w:rPr>
          <w:b/>
          <w:bCs/>
          <w:sz w:val="22"/>
          <w:szCs w:val="22"/>
          <w:lang w:val="sr-Latn-ME"/>
        </w:rPr>
      </w:pPr>
      <w:r w:rsidRPr="00D024EA">
        <w:rPr>
          <w:b/>
          <w:bCs/>
          <w:sz w:val="22"/>
          <w:szCs w:val="22"/>
          <w:lang w:val="sr-Latn-ME"/>
        </w:rPr>
        <w:t xml:space="preserve">6.4. </w:t>
      </w:r>
      <w:r w:rsidR="00480FB1" w:rsidRPr="00D024EA">
        <w:rPr>
          <w:b/>
          <w:bCs/>
          <w:sz w:val="22"/>
          <w:szCs w:val="22"/>
          <w:lang w:val="sr-Latn-ME"/>
        </w:rPr>
        <w:tab/>
      </w:r>
      <w:r w:rsidRPr="00D024EA">
        <w:rPr>
          <w:b/>
          <w:bCs/>
          <w:sz w:val="22"/>
          <w:szCs w:val="22"/>
          <w:lang w:val="sr-Latn-ME"/>
        </w:rPr>
        <w:t>Posebne mjere upozorenja pri čuvanju</w:t>
      </w:r>
      <w:r w:rsidR="00F8570A" w:rsidRPr="00D024EA">
        <w:rPr>
          <w:b/>
          <w:bCs/>
          <w:sz w:val="22"/>
          <w:szCs w:val="22"/>
          <w:lang w:val="sr-Latn-ME"/>
        </w:rPr>
        <w:t xml:space="preserve"> lijeka</w:t>
      </w:r>
    </w:p>
    <w:p w14:paraId="5A6CCF06" w14:textId="77777777" w:rsidR="003954E2" w:rsidRPr="00D024EA" w:rsidRDefault="003954E2" w:rsidP="00EA5D97">
      <w:pPr>
        <w:autoSpaceDE w:val="0"/>
        <w:autoSpaceDN w:val="0"/>
        <w:adjustRightInd w:val="0"/>
        <w:jc w:val="both"/>
        <w:rPr>
          <w:rFonts w:eastAsia="MS Mincho"/>
          <w:sz w:val="22"/>
          <w:szCs w:val="22"/>
          <w:lang w:val="sr-Latn-ME" w:eastAsia="ja-JP" w:bidi="ne-NP"/>
        </w:rPr>
      </w:pPr>
    </w:p>
    <w:p w14:paraId="28B067F3" w14:textId="3F6680ED" w:rsidR="003954E2" w:rsidRPr="00D024EA" w:rsidRDefault="003954E2"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Čuvati na temperaturi do 25°C.</w:t>
      </w:r>
    </w:p>
    <w:p w14:paraId="1290AA2D" w14:textId="77777777" w:rsidR="003954E2" w:rsidRPr="00D024EA" w:rsidRDefault="003954E2"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Lijek čuvati u originalnom pakovanju radi zaštite od svjetlosti.</w:t>
      </w:r>
    </w:p>
    <w:p w14:paraId="52DD2C1B" w14:textId="77777777" w:rsidR="003954E2" w:rsidRPr="00D024EA" w:rsidRDefault="003954E2" w:rsidP="00EA5D97">
      <w:pPr>
        <w:autoSpaceDE w:val="0"/>
        <w:autoSpaceDN w:val="0"/>
        <w:adjustRightInd w:val="0"/>
        <w:jc w:val="both"/>
        <w:rPr>
          <w:rFonts w:eastAsia="MS Mincho"/>
          <w:sz w:val="22"/>
          <w:szCs w:val="22"/>
          <w:lang w:val="sr-Latn-ME" w:eastAsia="ja-JP" w:bidi="ne-NP"/>
        </w:rPr>
      </w:pPr>
    </w:p>
    <w:p w14:paraId="09F1E4A6" w14:textId="106BE1A8" w:rsidR="003954E2" w:rsidRPr="00D024EA" w:rsidRDefault="003954E2" w:rsidP="00EA5D97">
      <w:pPr>
        <w:tabs>
          <w:tab w:val="left" w:pos="284"/>
        </w:tabs>
        <w:jc w:val="both"/>
        <w:rPr>
          <w:rFonts w:eastAsia="MS Mincho"/>
          <w:sz w:val="22"/>
          <w:szCs w:val="22"/>
          <w:lang w:val="sr-Latn-ME" w:eastAsia="ja-JP" w:bidi="ne-NP"/>
        </w:rPr>
      </w:pPr>
      <w:r w:rsidRPr="00D024EA">
        <w:rPr>
          <w:rFonts w:eastAsia="MS Mincho"/>
          <w:sz w:val="22"/>
          <w:szCs w:val="22"/>
          <w:lang w:val="sr-Latn-ME" w:eastAsia="ja-JP" w:bidi="ne-NP"/>
        </w:rPr>
        <w:t xml:space="preserve">Za uslove čuvanja </w:t>
      </w:r>
      <w:r w:rsidR="00075550" w:rsidRPr="00D024EA">
        <w:rPr>
          <w:rFonts w:eastAsia="MS Mincho"/>
          <w:sz w:val="22"/>
          <w:szCs w:val="22"/>
          <w:lang w:val="sr-Latn-ME" w:eastAsia="ja-JP" w:bidi="ne-NP"/>
        </w:rPr>
        <w:t xml:space="preserve">lijeka </w:t>
      </w:r>
      <w:r w:rsidRPr="00D024EA">
        <w:rPr>
          <w:rFonts w:eastAsia="MS Mincho"/>
          <w:sz w:val="22"/>
          <w:szCs w:val="22"/>
          <w:lang w:val="sr-Latn-ME" w:eastAsia="ja-JP" w:bidi="ne-NP"/>
        </w:rPr>
        <w:t xml:space="preserve">nakon rekonstitucije, vidjeti </w:t>
      </w:r>
      <w:r w:rsidR="00374804" w:rsidRPr="00D024EA">
        <w:rPr>
          <w:rFonts w:eastAsia="MS Mincho"/>
          <w:sz w:val="22"/>
          <w:szCs w:val="22"/>
          <w:lang w:val="sr-Latn-ME" w:eastAsia="ja-JP" w:bidi="ne-NP"/>
        </w:rPr>
        <w:t>dio</w:t>
      </w:r>
      <w:r w:rsidRPr="00D024EA">
        <w:rPr>
          <w:rFonts w:eastAsia="MS Mincho"/>
          <w:sz w:val="22"/>
          <w:szCs w:val="22"/>
          <w:lang w:val="sr-Latn-ME" w:eastAsia="ja-JP" w:bidi="ne-NP"/>
        </w:rPr>
        <w:t xml:space="preserve"> 6.3.</w:t>
      </w:r>
    </w:p>
    <w:p w14:paraId="22AE006E" w14:textId="77777777" w:rsidR="003954E2" w:rsidRPr="00D024EA" w:rsidRDefault="003954E2" w:rsidP="00EA5D97">
      <w:pPr>
        <w:tabs>
          <w:tab w:val="left" w:pos="540"/>
          <w:tab w:val="left" w:pos="569"/>
        </w:tabs>
        <w:jc w:val="both"/>
        <w:rPr>
          <w:bCs/>
          <w:sz w:val="22"/>
          <w:szCs w:val="22"/>
          <w:lang w:val="sr-Latn-ME"/>
        </w:rPr>
      </w:pPr>
    </w:p>
    <w:p w14:paraId="61A721AF" w14:textId="19457042" w:rsidR="0072020E" w:rsidRPr="00D024EA" w:rsidRDefault="0072020E" w:rsidP="00EA5D97">
      <w:pPr>
        <w:tabs>
          <w:tab w:val="left" w:pos="540"/>
          <w:tab w:val="left" w:pos="569"/>
        </w:tabs>
        <w:jc w:val="both"/>
        <w:rPr>
          <w:b/>
          <w:bCs/>
          <w:sz w:val="22"/>
          <w:szCs w:val="22"/>
          <w:lang w:val="sr-Latn-ME"/>
        </w:rPr>
      </w:pPr>
      <w:r w:rsidRPr="00D024EA">
        <w:rPr>
          <w:b/>
          <w:bCs/>
          <w:sz w:val="22"/>
          <w:szCs w:val="22"/>
          <w:lang w:val="sr-Latn-ME"/>
        </w:rPr>
        <w:t xml:space="preserve">6.5. </w:t>
      </w:r>
      <w:r w:rsidR="00480FB1" w:rsidRPr="00D024EA">
        <w:rPr>
          <w:b/>
          <w:bCs/>
          <w:sz w:val="22"/>
          <w:szCs w:val="22"/>
          <w:lang w:val="sr-Latn-ME"/>
        </w:rPr>
        <w:tab/>
      </w:r>
      <w:r w:rsidR="002846DB" w:rsidRPr="00D024EA">
        <w:rPr>
          <w:b/>
          <w:bCs/>
          <w:sz w:val="22"/>
          <w:szCs w:val="22"/>
          <w:lang w:val="sr-Latn-ME"/>
        </w:rPr>
        <w:t xml:space="preserve">Vrsta i sadržaj </w:t>
      </w:r>
      <w:r w:rsidR="00F8570A" w:rsidRPr="00D024EA">
        <w:rPr>
          <w:b/>
          <w:bCs/>
          <w:sz w:val="22"/>
          <w:szCs w:val="22"/>
          <w:lang w:val="sr-Latn-ME"/>
        </w:rPr>
        <w:t>pakovanja</w:t>
      </w:r>
      <w:r w:rsidR="00C06864" w:rsidRPr="00D024EA">
        <w:rPr>
          <w:b/>
          <w:bCs/>
          <w:sz w:val="22"/>
          <w:szCs w:val="22"/>
          <w:lang w:val="sr-Latn-ME"/>
        </w:rPr>
        <w:t xml:space="preserve"> </w:t>
      </w:r>
    </w:p>
    <w:p w14:paraId="17F05431" w14:textId="77777777" w:rsidR="00B7348D" w:rsidRPr="00D024EA" w:rsidRDefault="00B7348D" w:rsidP="00EA5D97">
      <w:pPr>
        <w:tabs>
          <w:tab w:val="left" w:pos="540"/>
          <w:tab w:val="left" w:pos="569"/>
        </w:tabs>
        <w:jc w:val="both"/>
        <w:rPr>
          <w:b/>
          <w:bCs/>
          <w:sz w:val="22"/>
          <w:szCs w:val="22"/>
          <w:lang w:val="sr-Latn-ME"/>
        </w:rPr>
      </w:pPr>
    </w:p>
    <w:p w14:paraId="209D1E8D" w14:textId="77777777" w:rsidR="003954E2" w:rsidRPr="00D024EA" w:rsidRDefault="003954E2" w:rsidP="00EA5D97">
      <w:pPr>
        <w:tabs>
          <w:tab w:val="left" w:pos="284"/>
        </w:tabs>
        <w:jc w:val="both"/>
        <w:rPr>
          <w:bCs/>
          <w:sz w:val="22"/>
          <w:szCs w:val="22"/>
          <w:lang w:val="sr-Latn-ME"/>
        </w:rPr>
      </w:pPr>
      <w:r w:rsidRPr="00D024EA">
        <w:rPr>
          <w:bCs/>
          <w:sz w:val="22"/>
          <w:szCs w:val="22"/>
          <w:lang w:val="sr-Latn-ME"/>
        </w:rPr>
        <w:t xml:space="preserve">Unutrašnje pakovanje lijeka: </w:t>
      </w:r>
    </w:p>
    <w:p w14:paraId="46A9CB68" w14:textId="77777777" w:rsidR="003954E2" w:rsidRPr="00D024EA" w:rsidRDefault="003954E2" w:rsidP="00B7348D">
      <w:pPr>
        <w:numPr>
          <w:ilvl w:val="0"/>
          <w:numId w:val="19"/>
        </w:numPr>
        <w:tabs>
          <w:tab w:val="left" w:pos="284"/>
        </w:tabs>
        <w:autoSpaceDE w:val="0"/>
        <w:autoSpaceDN w:val="0"/>
        <w:adjustRightInd w:val="0"/>
        <w:contextualSpacing/>
        <w:jc w:val="both"/>
        <w:rPr>
          <w:rFonts w:eastAsia="MS Mincho"/>
          <w:sz w:val="22"/>
          <w:szCs w:val="22"/>
          <w:u w:val="single"/>
          <w:lang w:val="sr-Latn-ME" w:eastAsia="ja-JP" w:bidi="ne-NP"/>
        </w:rPr>
      </w:pPr>
      <w:r w:rsidRPr="00D024EA">
        <w:rPr>
          <w:rFonts w:eastAsia="MS Mincho"/>
          <w:sz w:val="22"/>
          <w:szCs w:val="22"/>
          <w:u w:val="single"/>
          <w:lang w:val="sr-Latn-ME" w:eastAsia="ja-JP" w:bidi="ne-NP"/>
        </w:rPr>
        <w:t>prašak za rastvor za injekciju/infuziju:</w:t>
      </w:r>
    </w:p>
    <w:p w14:paraId="7AED39DB" w14:textId="7277F8F4" w:rsidR="003954E2" w:rsidRPr="00D024EA" w:rsidRDefault="00075550" w:rsidP="00EA5D97">
      <w:pPr>
        <w:autoSpaceDE w:val="0"/>
        <w:autoSpaceDN w:val="0"/>
        <w:adjustRightInd w:val="0"/>
        <w:ind w:left="720"/>
        <w:contextualSpacing/>
        <w:jc w:val="both"/>
        <w:rPr>
          <w:rFonts w:eastAsia="MS Mincho"/>
          <w:sz w:val="22"/>
          <w:szCs w:val="22"/>
          <w:lang w:val="sr-Latn-ME" w:eastAsia="ja-JP" w:bidi="ne-NP"/>
        </w:rPr>
      </w:pPr>
      <w:r w:rsidRPr="00D024EA">
        <w:rPr>
          <w:rFonts w:eastAsia="MS Mincho"/>
          <w:sz w:val="22"/>
          <w:szCs w:val="22"/>
          <w:lang w:val="sr-Latn-ME" w:eastAsia="ja-JP" w:bidi="ne-NP"/>
        </w:rPr>
        <w:t xml:space="preserve">sterilna </w:t>
      </w:r>
      <w:r w:rsidR="003954E2" w:rsidRPr="00D024EA">
        <w:rPr>
          <w:rFonts w:eastAsia="MS Mincho"/>
          <w:sz w:val="22"/>
          <w:szCs w:val="22"/>
          <w:lang w:val="sr-Latn-ME" w:eastAsia="ja-JP" w:bidi="ne-NP"/>
        </w:rPr>
        <w:t>staklena bočica</w:t>
      </w:r>
      <w:r w:rsidRPr="00D024EA">
        <w:rPr>
          <w:rFonts w:eastAsia="MS Mincho"/>
          <w:sz w:val="22"/>
          <w:szCs w:val="22"/>
          <w:lang w:val="sr-Latn-ME" w:eastAsia="ja-JP" w:bidi="ne-NP"/>
        </w:rPr>
        <w:t xml:space="preserve"> zapremine 50 ml</w:t>
      </w:r>
      <w:r w:rsidR="003954E2" w:rsidRPr="00D024EA">
        <w:rPr>
          <w:rFonts w:eastAsia="MS Mincho"/>
          <w:sz w:val="22"/>
          <w:szCs w:val="22"/>
          <w:lang w:val="sr-Latn-ME" w:eastAsia="ja-JP" w:bidi="ne-NP"/>
        </w:rPr>
        <w:t xml:space="preserve">, zatvorena sterilnim silikonizovanim sivim čepom od butil gume i aluminijumsko/plastičnim </w:t>
      </w:r>
      <w:r w:rsidR="003954E2" w:rsidRPr="00D024EA">
        <w:rPr>
          <w:rFonts w:eastAsia="MS Mincho"/>
          <w:i/>
          <w:sz w:val="22"/>
          <w:szCs w:val="22"/>
          <w:lang w:val="sr-Latn-ME" w:eastAsia="ja-JP" w:bidi="ne-NP"/>
        </w:rPr>
        <w:t>flip-off</w:t>
      </w:r>
      <w:r w:rsidR="003954E2" w:rsidRPr="00D024EA">
        <w:rPr>
          <w:rFonts w:eastAsia="MS Mincho"/>
          <w:sz w:val="22"/>
          <w:szCs w:val="22"/>
          <w:lang w:val="sr-Latn-ME" w:eastAsia="ja-JP" w:bidi="ne-NP"/>
        </w:rPr>
        <w:t xml:space="preserve"> poklopcem</w:t>
      </w:r>
    </w:p>
    <w:p w14:paraId="79D18808" w14:textId="77777777" w:rsidR="003954E2" w:rsidRPr="00D024EA" w:rsidRDefault="003954E2" w:rsidP="00EA5D97">
      <w:pPr>
        <w:autoSpaceDE w:val="0"/>
        <w:autoSpaceDN w:val="0"/>
        <w:adjustRightInd w:val="0"/>
        <w:jc w:val="both"/>
        <w:rPr>
          <w:rFonts w:eastAsia="MS Mincho"/>
          <w:sz w:val="22"/>
          <w:szCs w:val="22"/>
          <w:lang w:val="sr-Latn-ME" w:eastAsia="ja-JP" w:bidi="ne-NP"/>
        </w:rPr>
      </w:pPr>
    </w:p>
    <w:p w14:paraId="765C964F" w14:textId="77777777" w:rsidR="003954E2" w:rsidRPr="00D024EA" w:rsidRDefault="003954E2" w:rsidP="00B7348D">
      <w:pPr>
        <w:numPr>
          <w:ilvl w:val="0"/>
          <w:numId w:val="19"/>
        </w:numPr>
        <w:tabs>
          <w:tab w:val="left" w:pos="284"/>
        </w:tabs>
        <w:autoSpaceDE w:val="0"/>
        <w:autoSpaceDN w:val="0"/>
        <w:adjustRightInd w:val="0"/>
        <w:contextualSpacing/>
        <w:jc w:val="both"/>
        <w:rPr>
          <w:rFonts w:eastAsia="MS Mincho"/>
          <w:sz w:val="22"/>
          <w:szCs w:val="22"/>
          <w:u w:val="single"/>
          <w:lang w:val="sr-Latn-ME" w:eastAsia="ja-JP" w:bidi="ne-NP"/>
        </w:rPr>
      </w:pPr>
      <w:r w:rsidRPr="00D024EA">
        <w:rPr>
          <w:rFonts w:eastAsia="MS Mincho"/>
          <w:sz w:val="22"/>
          <w:szCs w:val="22"/>
          <w:u w:val="single"/>
          <w:lang w:val="sr-Latn-ME" w:eastAsia="ja-JP" w:bidi="ne-NP"/>
        </w:rPr>
        <w:t>rastvarač za injekciju/infuziju:</w:t>
      </w:r>
    </w:p>
    <w:p w14:paraId="58FF5B32" w14:textId="064C5EA1" w:rsidR="003954E2" w:rsidRPr="00D024EA" w:rsidRDefault="006A04FD" w:rsidP="005742F8">
      <w:pPr>
        <w:autoSpaceDE w:val="0"/>
        <w:autoSpaceDN w:val="0"/>
        <w:adjustRightInd w:val="0"/>
        <w:ind w:left="720"/>
        <w:jc w:val="both"/>
        <w:rPr>
          <w:rFonts w:eastAsia="MS Mincho"/>
          <w:sz w:val="22"/>
          <w:szCs w:val="22"/>
          <w:lang w:val="sr-Latn-ME" w:eastAsia="ja-JP" w:bidi="ne-NP"/>
        </w:rPr>
      </w:pPr>
      <w:r w:rsidRPr="00D024EA">
        <w:rPr>
          <w:rFonts w:eastAsia="MS Mincho"/>
          <w:sz w:val="22"/>
          <w:szCs w:val="22"/>
          <w:lang w:val="sr-Latn-ME" w:eastAsia="ja-JP" w:bidi="ne-NP"/>
        </w:rPr>
        <w:t xml:space="preserve">sterilna </w:t>
      </w:r>
      <w:r w:rsidR="003954E2" w:rsidRPr="00D024EA">
        <w:rPr>
          <w:rFonts w:eastAsia="MS Mincho"/>
          <w:sz w:val="22"/>
          <w:szCs w:val="22"/>
          <w:lang w:val="sr-Latn-ME" w:eastAsia="ja-JP" w:bidi="ne-NP"/>
        </w:rPr>
        <w:t>staklen</w:t>
      </w:r>
      <w:r w:rsidRPr="00D024EA">
        <w:rPr>
          <w:rFonts w:eastAsia="MS Mincho"/>
          <w:sz w:val="22"/>
          <w:szCs w:val="22"/>
          <w:lang w:val="sr-Latn-ME" w:eastAsia="ja-JP" w:bidi="ne-NP"/>
        </w:rPr>
        <w:t>a</w:t>
      </w:r>
      <w:r w:rsidR="003954E2" w:rsidRPr="00D024EA">
        <w:rPr>
          <w:rFonts w:eastAsia="MS Mincho"/>
          <w:sz w:val="22"/>
          <w:szCs w:val="22"/>
          <w:lang w:val="sr-Latn-ME" w:eastAsia="ja-JP" w:bidi="ne-NP"/>
        </w:rPr>
        <w:t xml:space="preserve"> bočic</w:t>
      </w:r>
      <w:r w:rsidRPr="00D024EA">
        <w:rPr>
          <w:rFonts w:eastAsia="MS Mincho"/>
          <w:sz w:val="22"/>
          <w:szCs w:val="22"/>
          <w:lang w:val="sr-Latn-ME" w:eastAsia="ja-JP" w:bidi="ne-NP"/>
        </w:rPr>
        <w:t>a</w:t>
      </w:r>
      <w:r w:rsidR="003954E2" w:rsidRPr="00D024EA">
        <w:rPr>
          <w:rFonts w:eastAsia="MS Mincho"/>
          <w:sz w:val="22"/>
          <w:szCs w:val="22"/>
          <w:lang w:val="sr-Latn-ME" w:eastAsia="ja-JP" w:bidi="ne-NP"/>
        </w:rPr>
        <w:t xml:space="preserve">, zatvorena gumenim čepom i aluminijumsko/plastičnim </w:t>
      </w:r>
      <w:r w:rsidR="003954E2" w:rsidRPr="00D024EA">
        <w:rPr>
          <w:rFonts w:eastAsia="MS Mincho"/>
          <w:i/>
          <w:sz w:val="22"/>
          <w:szCs w:val="22"/>
          <w:lang w:val="sr-Latn-ME" w:eastAsia="ja-JP" w:bidi="ne-NP"/>
        </w:rPr>
        <w:t>flip-off</w:t>
      </w:r>
      <w:r w:rsidR="003954E2" w:rsidRPr="00D024EA">
        <w:rPr>
          <w:rFonts w:eastAsia="MS Mincho"/>
          <w:sz w:val="22"/>
          <w:szCs w:val="22"/>
          <w:lang w:val="sr-Latn-ME" w:eastAsia="ja-JP" w:bidi="ne-NP"/>
        </w:rPr>
        <w:t xml:space="preserve"> poklopcem</w:t>
      </w:r>
      <w:r w:rsidRPr="00D024EA">
        <w:rPr>
          <w:rFonts w:eastAsia="MS Mincho"/>
          <w:sz w:val="22"/>
          <w:szCs w:val="22"/>
          <w:lang w:val="sr-Latn-ME" w:eastAsia="ja-JP" w:bidi="ne-NP"/>
        </w:rPr>
        <w:t>, koja sadrži 50 ml vode za injekcije.</w:t>
      </w:r>
    </w:p>
    <w:p w14:paraId="575A68CD" w14:textId="77777777" w:rsidR="003954E2" w:rsidRPr="00D024EA" w:rsidRDefault="003954E2" w:rsidP="00EA5D97">
      <w:pPr>
        <w:autoSpaceDE w:val="0"/>
        <w:autoSpaceDN w:val="0"/>
        <w:adjustRightInd w:val="0"/>
        <w:jc w:val="both"/>
        <w:rPr>
          <w:rFonts w:eastAsia="MS Mincho"/>
          <w:sz w:val="22"/>
          <w:szCs w:val="22"/>
          <w:lang w:val="sr-Latn-ME" w:eastAsia="ja-JP" w:bidi="ne-NP"/>
        </w:rPr>
      </w:pPr>
    </w:p>
    <w:p w14:paraId="42735FEE" w14:textId="77777777" w:rsidR="003954E2" w:rsidRPr="00D024EA" w:rsidRDefault="003954E2"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lastRenderedPageBreak/>
        <w:t>U pakovanju se nalazi kanila za prenos rastvarača.</w:t>
      </w:r>
    </w:p>
    <w:p w14:paraId="5F341709" w14:textId="77777777" w:rsidR="003954E2" w:rsidRPr="00D024EA" w:rsidRDefault="003954E2" w:rsidP="00EA5D97">
      <w:pPr>
        <w:tabs>
          <w:tab w:val="left" w:pos="284"/>
        </w:tabs>
        <w:jc w:val="both"/>
        <w:rPr>
          <w:sz w:val="22"/>
          <w:szCs w:val="22"/>
          <w:lang w:val="sr-Latn-ME"/>
        </w:rPr>
      </w:pPr>
    </w:p>
    <w:p w14:paraId="6C648B7C" w14:textId="646E4855" w:rsidR="003954E2" w:rsidRPr="00D024EA" w:rsidRDefault="003954E2" w:rsidP="00EA5D97">
      <w:pPr>
        <w:tabs>
          <w:tab w:val="left" w:pos="284"/>
        </w:tabs>
        <w:jc w:val="both"/>
        <w:rPr>
          <w:sz w:val="22"/>
          <w:szCs w:val="22"/>
          <w:lang w:val="sr-Latn-ME"/>
        </w:rPr>
      </w:pPr>
      <w:r w:rsidRPr="00D024EA">
        <w:rPr>
          <w:sz w:val="22"/>
          <w:szCs w:val="22"/>
          <w:lang w:val="sr-Latn-ME"/>
        </w:rPr>
        <w:t xml:space="preserve">Spoljašnje pakovanje lijeka je složiva kartonska kutija u kojoj se nalazi 1 bočica sa 2333 mg praška za rastvor za injekciju/infuziju, 1 bočica sa 50 </w:t>
      </w:r>
      <w:r w:rsidR="00B7348D" w:rsidRPr="00D024EA">
        <w:rPr>
          <w:sz w:val="22"/>
          <w:szCs w:val="22"/>
          <w:lang w:val="sr-Latn-ME"/>
        </w:rPr>
        <w:t>ml</w:t>
      </w:r>
      <w:r w:rsidRPr="00D024EA">
        <w:rPr>
          <w:sz w:val="22"/>
          <w:szCs w:val="22"/>
          <w:lang w:val="sr-Latn-ME"/>
        </w:rPr>
        <w:t xml:space="preserve"> vode za injekcij</w:t>
      </w:r>
      <w:r w:rsidR="006A04FD" w:rsidRPr="00D024EA">
        <w:rPr>
          <w:sz w:val="22"/>
          <w:szCs w:val="22"/>
          <w:lang w:val="sr-Latn-ME"/>
        </w:rPr>
        <w:t>e</w:t>
      </w:r>
      <w:r w:rsidRPr="00D024EA">
        <w:rPr>
          <w:sz w:val="22"/>
          <w:szCs w:val="22"/>
          <w:lang w:val="sr-Latn-ME"/>
        </w:rPr>
        <w:t xml:space="preserve">, 1 kanila za prenos rastvarača i Uputstvo za </w:t>
      </w:r>
      <w:r w:rsidR="006A04FD" w:rsidRPr="00D024EA">
        <w:rPr>
          <w:sz w:val="22"/>
          <w:szCs w:val="22"/>
          <w:lang w:val="sr-Latn-ME"/>
        </w:rPr>
        <w:t>lijek</w:t>
      </w:r>
      <w:r w:rsidRPr="00D024EA">
        <w:rPr>
          <w:sz w:val="22"/>
          <w:szCs w:val="22"/>
          <w:lang w:val="sr-Latn-ME"/>
        </w:rPr>
        <w:t>.</w:t>
      </w:r>
    </w:p>
    <w:p w14:paraId="405F9C07" w14:textId="77777777" w:rsidR="003954E2" w:rsidRPr="00D024EA" w:rsidRDefault="003954E2" w:rsidP="00EA5D97">
      <w:pPr>
        <w:tabs>
          <w:tab w:val="left" w:pos="540"/>
          <w:tab w:val="left" w:pos="569"/>
        </w:tabs>
        <w:jc w:val="both"/>
        <w:rPr>
          <w:bCs/>
          <w:sz w:val="22"/>
          <w:szCs w:val="22"/>
          <w:lang w:val="sr-Latn-ME"/>
        </w:rPr>
      </w:pPr>
    </w:p>
    <w:p w14:paraId="75D2EBDD" w14:textId="77777777" w:rsidR="002846DB" w:rsidRPr="00D024EA" w:rsidRDefault="0072020E" w:rsidP="00EA5D97">
      <w:pPr>
        <w:tabs>
          <w:tab w:val="left" w:pos="540"/>
          <w:tab w:val="left" w:pos="569"/>
        </w:tabs>
        <w:jc w:val="both"/>
        <w:rPr>
          <w:b/>
          <w:bCs/>
          <w:sz w:val="22"/>
          <w:szCs w:val="22"/>
          <w:lang w:val="sr-Latn-ME"/>
        </w:rPr>
      </w:pPr>
      <w:r w:rsidRPr="00D024EA">
        <w:rPr>
          <w:b/>
          <w:bCs/>
          <w:sz w:val="22"/>
          <w:szCs w:val="22"/>
          <w:lang w:val="sr-Latn-ME"/>
        </w:rPr>
        <w:t xml:space="preserve">6.6. </w:t>
      </w:r>
      <w:r w:rsidR="00480FB1" w:rsidRPr="00D024EA">
        <w:rPr>
          <w:b/>
          <w:bCs/>
          <w:sz w:val="22"/>
          <w:szCs w:val="22"/>
          <w:lang w:val="sr-Latn-ME"/>
        </w:rPr>
        <w:tab/>
      </w:r>
      <w:r w:rsidRPr="00D024EA">
        <w:rPr>
          <w:b/>
          <w:bCs/>
          <w:color w:val="000000"/>
          <w:sz w:val="22"/>
          <w:szCs w:val="22"/>
          <w:lang w:val="sr-Latn-ME"/>
        </w:rPr>
        <w:t>Posebne mjere opreza pri odlaganju materijala koji treba odbaciti nakon primjene lijeka</w:t>
      </w:r>
      <w:r w:rsidRPr="00D024EA">
        <w:rPr>
          <w:b/>
          <w:bCs/>
          <w:sz w:val="22"/>
          <w:szCs w:val="22"/>
          <w:lang w:val="sr-Latn-ME"/>
        </w:rPr>
        <w:t xml:space="preserve"> </w:t>
      </w:r>
      <w:r w:rsidR="00310F03" w:rsidRPr="00D024EA">
        <w:rPr>
          <w:b/>
          <w:bCs/>
          <w:sz w:val="22"/>
          <w:szCs w:val="22"/>
          <w:lang w:val="sr-Latn-ME"/>
        </w:rPr>
        <w:t>(i druga uputs</w:t>
      </w:r>
      <w:r w:rsidR="004109FA" w:rsidRPr="00D024EA">
        <w:rPr>
          <w:b/>
          <w:bCs/>
          <w:sz w:val="22"/>
          <w:szCs w:val="22"/>
          <w:lang w:val="sr-Latn-ME"/>
        </w:rPr>
        <w:t>t</w:t>
      </w:r>
      <w:r w:rsidR="00310F03" w:rsidRPr="00D024EA">
        <w:rPr>
          <w:b/>
          <w:bCs/>
          <w:sz w:val="22"/>
          <w:szCs w:val="22"/>
          <w:lang w:val="sr-Latn-ME"/>
        </w:rPr>
        <w:t xml:space="preserve">va za rukovanje lijekom) </w:t>
      </w:r>
    </w:p>
    <w:p w14:paraId="37AF758C" w14:textId="77777777" w:rsidR="00B66A70" w:rsidRPr="00D024EA" w:rsidRDefault="00B66A70" w:rsidP="00EA5D97">
      <w:pPr>
        <w:tabs>
          <w:tab w:val="left" w:pos="540"/>
          <w:tab w:val="left" w:pos="569"/>
        </w:tabs>
        <w:jc w:val="both"/>
        <w:rPr>
          <w:b/>
          <w:bCs/>
          <w:sz w:val="22"/>
          <w:szCs w:val="22"/>
          <w:lang w:val="sr-Latn-ME"/>
        </w:rPr>
      </w:pPr>
    </w:p>
    <w:p w14:paraId="1B20C46B" w14:textId="33910F3B" w:rsidR="003954E2" w:rsidRPr="00D024EA" w:rsidRDefault="003954E2" w:rsidP="00EA5D97">
      <w:pPr>
        <w:tabs>
          <w:tab w:val="left" w:pos="284"/>
        </w:tabs>
        <w:jc w:val="both"/>
        <w:rPr>
          <w:sz w:val="22"/>
          <w:szCs w:val="22"/>
          <w:lang w:val="sr-Latn-ME"/>
        </w:rPr>
      </w:pPr>
      <w:r w:rsidRPr="00D024EA">
        <w:rPr>
          <w:sz w:val="22"/>
          <w:szCs w:val="22"/>
          <w:lang w:val="sr-Latn-ME"/>
        </w:rPr>
        <w:t>Za rekonstituciju rastvora do konačne koncentracije od 1 mg alteplaze /</w:t>
      </w:r>
      <w:r w:rsidR="00B7348D" w:rsidRPr="00D024EA">
        <w:rPr>
          <w:sz w:val="22"/>
          <w:szCs w:val="22"/>
          <w:lang w:val="sr-Latn-ME"/>
        </w:rPr>
        <w:t>ml</w:t>
      </w:r>
      <w:r w:rsidRPr="00D024EA">
        <w:rPr>
          <w:sz w:val="22"/>
          <w:szCs w:val="22"/>
          <w:lang w:val="sr-Latn-ME"/>
        </w:rPr>
        <w:t xml:space="preserve"> cjelokupni sadržaj rastvarača treba prenijeti u bočicu koja sadrži prašak. Za ovu svrhu treba upotrijebiti kanilu.</w:t>
      </w:r>
    </w:p>
    <w:p w14:paraId="531BF1B2" w14:textId="77777777" w:rsidR="003954E2" w:rsidRPr="00D024EA" w:rsidRDefault="003954E2" w:rsidP="00EA5D97">
      <w:pPr>
        <w:tabs>
          <w:tab w:val="left" w:pos="284"/>
        </w:tabs>
        <w:jc w:val="both"/>
        <w:rPr>
          <w:sz w:val="22"/>
          <w:szCs w:val="22"/>
          <w:lang w:val="sr-Latn-ME"/>
        </w:rPr>
      </w:pPr>
    </w:p>
    <w:p w14:paraId="721415AC" w14:textId="75D9C90E" w:rsidR="003954E2" w:rsidRPr="00D024EA" w:rsidRDefault="003954E2" w:rsidP="00EA5D97">
      <w:pPr>
        <w:tabs>
          <w:tab w:val="left" w:pos="284"/>
        </w:tabs>
        <w:jc w:val="both"/>
        <w:rPr>
          <w:sz w:val="22"/>
          <w:szCs w:val="22"/>
          <w:lang w:val="sr-Latn-ME"/>
        </w:rPr>
      </w:pPr>
      <w:r w:rsidRPr="00D024EA">
        <w:rPr>
          <w:sz w:val="22"/>
          <w:szCs w:val="22"/>
          <w:lang w:val="sr-Latn-ME"/>
        </w:rPr>
        <w:t>Za rekonstituciju rastvora do konačne koncentracije od 2 mg alteplaze /</w:t>
      </w:r>
      <w:r w:rsidR="00B7348D" w:rsidRPr="00D024EA">
        <w:rPr>
          <w:sz w:val="22"/>
          <w:szCs w:val="22"/>
          <w:lang w:val="sr-Latn-ME"/>
        </w:rPr>
        <w:t>ml</w:t>
      </w:r>
      <w:r w:rsidRPr="00D024EA">
        <w:rPr>
          <w:sz w:val="22"/>
          <w:szCs w:val="22"/>
          <w:lang w:val="sr-Latn-ME"/>
        </w:rPr>
        <w:t xml:space="preserve"> treba upotr</w:t>
      </w:r>
      <w:r w:rsidR="005A0AA9" w:rsidRPr="00D024EA">
        <w:rPr>
          <w:sz w:val="22"/>
          <w:szCs w:val="22"/>
          <w:lang w:val="sr-Latn-ME"/>
        </w:rPr>
        <w:t>ij</w:t>
      </w:r>
      <w:r w:rsidRPr="00D024EA">
        <w:rPr>
          <w:sz w:val="22"/>
          <w:szCs w:val="22"/>
          <w:lang w:val="sr-Latn-ME"/>
        </w:rPr>
        <w:t>ebiti samo polovinu rastvarača (prema priloženoj tabeli). U ovim slučajevima treba uvijek koristiti špric da bi se potrebna količina rastvarača prenijela u bočicu koja sadrži prašak.</w:t>
      </w:r>
    </w:p>
    <w:p w14:paraId="079069CA" w14:textId="77777777" w:rsidR="003954E2" w:rsidRPr="00D024EA" w:rsidRDefault="003954E2" w:rsidP="00EA5D97">
      <w:pPr>
        <w:tabs>
          <w:tab w:val="left" w:pos="284"/>
        </w:tabs>
        <w:jc w:val="both"/>
        <w:rPr>
          <w:sz w:val="22"/>
          <w:szCs w:val="22"/>
          <w:lang w:val="sr-Latn-ME"/>
        </w:rPr>
      </w:pPr>
    </w:p>
    <w:p w14:paraId="4A371910" w14:textId="3F0318AB" w:rsidR="003954E2" w:rsidRPr="00D024EA" w:rsidRDefault="003954E2" w:rsidP="00EA5D97">
      <w:pPr>
        <w:tabs>
          <w:tab w:val="left" w:pos="567"/>
        </w:tabs>
        <w:autoSpaceDE w:val="0"/>
        <w:autoSpaceDN w:val="0"/>
        <w:adjustRightInd w:val="0"/>
        <w:jc w:val="both"/>
        <w:rPr>
          <w:sz w:val="22"/>
          <w:szCs w:val="22"/>
          <w:lang w:val="sr-Latn-ME"/>
        </w:rPr>
      </w:pPr>
      <w:r w:rsidRPr="00D024EA">
        <w:rPr>
          <w:sz w:val="22"/>
          <w:szCs w:val="22"/>
          <w:lang w:val="sr-Latn-ME"/>
        </w:rPr>
        <w:t>Pod aseptičnim uslovima sadržaj bočice sa praškom lijeka Actilyse 50 mg se rastvara vodom za injekcije prema priloženoj tabeli da bi se dobila konačna koncentracija od 1 mg alteplaze /</w:t>
      </w:r>
      <w:r w:rsidR="00B7348D" w:rsidRPr="00D024EA">
        <w:rPr>
          <w:sz w:val="22"/>
          <w:szCs w:val="22"/>
          <w:lang w:val="sr-Latn-ME"/>
        </w:rPr>
        <w:t>ml</w:t>
      </w:r>
      <w:r w:rsidRPr="00D024EA">
        <w:rPr>
          <w:sz w:val="22"/>
          <w:szCs w:val="22"/>
          <w:lang w:val="sr-Latn-ME"/>
        </w:rPr>
        <w:t xml:space="preserve"> ili 2 mg alteplaze/</w:t>
      </w:r>
      <w:r w:rsidR="00B7348D" w:rsidRPr="00D024EA">
        <w:rPr>
          <w:sz w:val="22"/>
          <w:szCs w:val="22"/>
          <w:lang w:val="sr-Latn-ME"/>
        </w:rPr>
        <w:t>ml</w:t>
      </w:r>
      <w:r w:rsidRPr="00D024EA">
        <w:rPr>
          <w:sz w:val="22"/>
          <w:szCs w:val="22"/>
          <w:lang w:val="sr-Latn-ME"/>
        </w:rPr>
        <w:t>:</w:t>
      </w:r>
    </w:p>
    <w:p w14:paraId="3EC95ADF" w14:textId="77777777" w:rsidR="003954E2" w:rsidRPr="00D024EA" w:rsidRDefault="003954E2" w:rsidP="00B7348D">
      <w:pPr>
        <w:tabs>
          <w:tab w:val="left" w:pos="567"/>
        </w:tabs>
        <w:autoSpaceDE w:val="0"/>
        <w:autoSpaceDN w:val="0"/>
        <w:adjustRightInd w:val="0"/>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1"/>
        <w:gridCol w:w="4252"/>
      </w:tblGrid>
      <w:tr w:rsidR="003954E2" w:rsidRPr="00D024EA" w14:paraId="05A15BB2" w14:textId="77777777" w:rsidTr="00EA5D97">
        <w:tc>
          <w:tcPr>
            <w:tcW w:w="2654" w:type="pct"/>
          </w:tcPr>
          <w:p w14:paraId="4DAFF19B" w14:textId="77777777" w:rsidR="003954E2" w:rsidRPr="00D024EA" w:rsidRDefault="003954E2" w:rsidP="00B7348D">
            <w:pPr>
              <w:tabs>
                <w:tab w:val="left" w:pos="567"/>
              </w:tabs>
              <w:autoSpaceDE w:val="0"/>
              <w:autoSpaceDN w:val="0"/>
              <w:adjustRightInd w:val="0"/>
              <w:rPr>
                <w:sz w:val="22"/>
                <w:szCs w:val="22"/>
                <w:lang w:val="sr-Latn-ME"/>
              </w:rPr>
            </w:pPr>
            <w:r w:rsidRPr="00D024EA">
              <w:rPr>
                <w:sz w:val="22"/>
                <w:szCs w:val="22"/>
                <w:lang w:val="sr-Latn-ME"/>
              </w:rPr>
              <w:t>Bočica sa praškom lijeka Actilyse</w:t>
            </w:r>
          </w:p>
        </w:tc>
        <w:tc>
          <w:tcPr>
            <w:tcW w:w="2346" w:type="pct"/>
          </w:tcPr>
          <w:p w14:paraId="71D4A3EB" w14:textId="77777777" w:rsidR="003954E2" w:rsidRPr="00D024EA" w:rsidRDefault="003954E2" w:rsidP="00B7348D">
            <w:pPr>
              <w:tabs>
                <w:tab w:val="left" w:pos="567"/>
              </w:tabs>
              <w:autoSpaceDE w:val="0"/>
              <w:autoSpaceDN w:val="0"/>
              <w:adjustRightInd w:val="0"/>
              <w:rPr>
                <w:sz w:val="22"/>
                <w:szCs w:val="22"/>
                <w:lang w:val="sr-Latn-ME"/>
              </w:rPr>
            </w:pPr>
            <w:r w:rsidRPr="00D024EA">
              <w:rPr>
                <w:sz w:val="22"/>
                <w:szCs w:val="22"/>
                <w:lang w:val="sr-Latn-ME"/>
              </w:rPr>
              <w:t>50 mg</w:t>
            </w:r>
          </w:p>
        </w:tc>
      </w:tr>
      <w:tr w:rsidR="003954E2" w:rsidRPr="00D024EA" w14:paraId="0D7508EE" w14:textId="77777777" w:rsidTr="00EA5D97">
        <w:tc>
          <w:tcPr>
            <w:tcW w:w="2654" w:type="pct"/>
          </w:tcPr>
          <w:p w14:paraId="1A476FBE" w14:textId="77777777" w:rsidR="003954E2" w:rsidRPr="00D024EA" w:rsidRDefault="003954E2" w:rsidP="00B7348D">
            <w:pPr>
              <w:tabs>
                <w:tab w:val="left" w:pos="567"/>
              </w:tabs>
              <w:autoSpaceDE w:val="0"/>
              <w:autoSpaceDN w:val="0"/>
              <w:adjustRightInd w:val="0"/>
              <w:rPr>
                <w:sz w:val="22"/>
                <w:szCs w:val="22"/>
                <w:lang w:val="sr-Latn-ME"/>
              </w:rPr>
            </w:pPr>
            <w:r w:rsidRPr="00D024EA">
              <w:rPr>
                <w:sz w:val="22"/>
                <w:szCs w:val="22"/>
                <w:lang w:val="sr-Latn-ME"/>
              </w:rPr>
              <w:t>(a) Zapremina sterilne vode za injekcije koju treba dodati u bočicu sa praškom</w:t>
            </w:r>
          </w:p>
        </w:tc>
        <w:tc>
          <w:tcPr>
            <w:tcW w:w="2346" w:type="pct"/>
          </w:tcPr>
          <w:p w14:paraId="419688B7" w14:textId="77777777" w:rsidR="003954E2" w:rsidRPr="00D024EA" w:rsidRDefault="003954E2" w:rsidP="00B7348D">
            <w:pPr>
              <w:tabs>
                <w:tab w:val="left" w:pos="567"/>
              </w:tabs>
              <w:autoSpaceDE w:val="0"/>
              <w:autoSpaceDN w:val="0"/>
              <w:adjustRightInd w:val="0"/>
              <w:rPr>
                <w:sz w:val="22"/>
                <w:szCs w:val="22"/>
                <w:lang w:val="sr-Latn-ME"/>
              </w:rPr>
            </w:pPr>
          </w:p>
          <w:p w14:paraId="4707B344" w14:textId="025259AC" w:rsidR="003954E2" w:rsidRPr="00D024EA" w:rsidRDefault="003954E2" w:rsidP="00B7348D">
            <w:pPr>
              <w:tabs>
                <w:tab w:val="left" w:pos="567"/>
              </w:tabs>
              <w:autoSpaceDE w:val="0"/>
              <w:autoSpaceDN w:val="0"/>
              <w:adjustRightInd w:val="0"/>
              <w:rPr>
                <w:sz w:val="22"/>
                <w:szCs w:val="22"/>
                <w:lang w:val="sr-Latn-ME"/>
              </w:rPr>
            </w:pPr>
            <w:r w:rsidRPr="00D024EA">
              <w:rPr>
                <w:sz w:val="22"/>
                <w:szCs w:val="22"/>
                <w:lang w:val="sr-Latn-ME"/>
              </w:rPr>
              <w:t xml:space="preserve">50 </w:t>
            </w:r>
            <w:r w:rsidR="00B7348D" w:rsidRPr="00D024EA">
              <w:rPr>
                <w:sz w:val="22"/>
                <w:szCs w:val="22"/>
                <w:lang w:val="sr-Latn-ME"/>
              </w:rPr>
              <w:t>ml</w:t>
            </w:r>
          </w:p>
        </w:tc>
      </w:tr>
      <w:tr w:rsidR="003954E2" w:rsidRPr="00D024EA" w14:paraId="3B95CEBF" w14:textId="77777777" w:rsidTr="00EA5D97">
        <w:tc>
          <w:tcPr>
            <w:tcW w:w="2654" w:type="pct"/>
          </w:tcPr>
          <w:p w14:paraId="5DE4420A" w14:textId="77777777" w:rsidR="003954E2" w:rsidRPr="00D024EA" w:rsidRDefault="003954E2" w:rsidP="00B7348D">
            <w:pPr>
              <w:tabs>
                <w:tab w:val="left" w:pos="567"/>
              </w:tabs>
              <w:autoSpaceDE w:val="0"/>
              <w:autoSpaceDN w:val="0"/>
              <w:adjustRightInd w:val="0"/>
              <w:rPr>
                <w:sz w:val="22"/>
                <w:szCs w:val="22"/>
                <w:lang w:val="sr-Latn-ME"/>
              </w:rPr>
            </w:pPr>
            <w:r w:rsidRPr="00D024EA">
              <w:rPr>
                <w:sz w:val="22"/>
                <w:szCs w:val="22"/>
                <w:lang w:val="sr-Latn-ME"/>
              </w:rPr>
              <w:t>Konačna koncentracija</w:t>
            </w:r>
          </w:p>
          <w:p w14:paraId="18C66096" w14:textId="77777777" w:rsidR="003954E2" w:rsidRPr="00D024EA" w:rsidRDefault="003954E2" w:rsidP="00B7348D">
            <w:pPr>
              <w:tabs>
                <w:tab w:val="left" w:pos="567"/>
              </w:tabs>
              <w:autoSpaceDE w:val="0"/>
              <w:autoSpaceDN w:val="0"/>
              <w:adjustRightInd w:val="0"/>
              <w:rPr>
                <w:sz w:val="22"/>
                <w:szCs w:val="22"/>
                <w:lang w:val="sr-Latn-ME"/>
              </w:rPr>
            </w:pPr>
          </w:p>
        </w:tc>
        <w:tc>
          <w:tcPr>
            <w:tcW w:w="2346" w:type="pct"/>
          </w:tcPr>
          <w:p w14:paraId="0D742400" w14:textId="2C46D3D5" w:rsidR="003954E2" w:rsidRPr="00D024EA" w:rsidRDefault="003954E2" w:rsidP="00B7348D">
            <w:pPr>
              <w:tabs>
                <w:tab w:val="left" w:pos="567"/>
              </w:tabs>
              <w:autoSpaceDE w:val="0"/>
              <w:autoSpaceDN w:val="0"/>
              <w:adjustRightInd w:val="0"/>
              <w:rPr>
                <w:sz w:val="22"/>
                <w:szCs w:val="22"/>
                <w:lang w:val="sr-Latn-ME"/>
              </w:rPr>
            </w:pPr>
            <w:r w:rsidRPr="00D024EA">
              <w:rPr>
                <w:sz w:val="22"/>
                <w:szCs w:val="22"/>
                <w:lang w:val="sr-Latn-ME" w:bidi="en-US"/>
              </w:rPr>
              <w:t>1 mg altplaze/</w:t>
            </w:r>
            <w:r w:rsidR="00B7348D" w:rsidRPr="00D024EA">
              <w:rPr>
                <w:sz w:val="22"/>
                <w:szCs w:val="22"/>
                <w:lang w:val="sr-Latn-ME" w:bidi="en-US"/>
              </w:rPr>
              <w:t>ml</w:t>
            </w:r>
          </w:p>
        </w:tc>
      </w:tr>
      <w:tr w:rsidR="003954E2" w:rsidRPr="00D024EA" w14:paraId="281599D6" w14:textId="77777777" w:rsidTr="00EA5D97">
        <w:tc>
          <w:tcPr>
            <w:tcW w:w="2654" w:type="pct"/>
          </w:tcPr>
          <w:p w14:paraId="7D293872" w14:textId="77777777" w:rsidR="003954E2" w:rsidRPr="00D024EA" w:rsidRDefault="003954E2" w:rsidP="00B7348D">
            <w:pPr>
              <w:tabs>
                <w:tab w:val="left" w:pos="567"/>
              </w:tabs>
              <w:autoSpaceDE w:val="0"/>
              <w:autoSpaceDN w:val="0"/>
              <w:adjustRightInd w:val="0"/>
              <w:rPr>
                <w:sz w:val="22"/>
                <w:szCs w:val="22"/>
                <w:lang w:val="sr-Latn-ME"/>
              </w:rPr>
            </w:pPr>
            <w:r w:rsidRPr="00D024EA">
              <w:rPr>
                <w:sz w:val="22"/>
                <w:szCs w:val="22"/>
                <w:lang w:val="sr-Latn-ME"/>
              </w:rPr>
              <w:t xml:space="preserve">(b) Zapremina sterilne vode za injekcije koju treba dodati u bočicu sa praškom </w:t>
            </w:r>
          </w:p>
        </w:tc>
        <w:tc>
          <w:tcPr>
            <w:tcW w:w="2346" w:type="pct"/>
          </w:tcPr>
          <w:p w14:paraId="31675D0F" w14:textId="77777777" w:rsidR="003954E2" w:rsidRPr="00D024EA" w:rsidRDefault="003954E2" w:rsidP="00B7348D">
            <w:pPr>
              <w:tabs>
                <w:tab w:val="left" w:pos="567"/>
              </w:tabs>
              <w:autoSpaceDE w:val="0"/>
              <w:autoSpaceDN w:val="0"/>
              <w:adjustRightInd w:val="0"/>
              <w:rPr>
                <w:sz w:val="22"/>
                <w:szCs w:val="22"/>
                <w:lang w:val="sr-Latn-ME"/>
              </w:rPr>
            </w:pPr>
          </w:p>
          <w:p w14:paraId="6569D4CD" w14:textId="34395CA3" w:rsidR="003954E2" w:rsidRPr="00D024EA" w:rsidRDefault="003954E2" w:rsidP="00B7348D">
            <w:pPr>
              <w:tabs>
                <w:tab w:val="left" w:pos="567"/>
              </w:tabs>
              <w:autoSpaceDE w:val="0"/>
              <w:autoSpaceDN w:val="0"/>
              <w:adjustRightInd w:val="0"/>
              <w:rPr>
                <w:sz w:val="22"/>
                <w:szCs w:val="22"/>
                <w:lang w:val="sr-Latn-ME"/>
              </w:rPr>
            </w:pPr>
            <w:r w:rsidRPr="00D024EA">
              <w:rPr>
                <w:sz w:val="22"/>
                <w:szCs w:val="22"/>
                <w:lang w:val="sr-Latn-ME"/>
              </w:rPr>
              <w:t xml:space="preserve">25 </w:t>
            </w:r>
            <w:r w:rsidR="00B7348D" w:rsidRPr="00D024EA">
              <w:rPr>
                <w:sz w:val="22"/>
                <w:szCs w:val="22"/>
                <w:lang w:val="sr-Latn-ME"/>
              </w:rPr>
              <w:t>ml</w:t>
            </w:r>
          </w:p>
        </w:tc>
      </w:tr>
      <w:tr w:rsidR="003954E2" w:rsidRPr="00D024EA" w14:paraId="32F5C05B" w14:textId="77777777" w:rsidTr="00EA5D97">
        <w:tc>
          <w:tcPr>
            <w:tcW w:w="2654" w:type="pct"/>
          </w:tcPr>
          <w:p w14:paraId="5FBB66A8" w14:textId="77777777" w:rsidR="003954E2" w:rsidRPr="00D024EA" w:rsidRDefault="003954E2" w:rsidP="00B7348D">
            <w:pPr>
              <w:tabs>
                <w:tab w:val="left" w:pos="567"/>
              </w:tabs>
              <w:autoSpaceDE w:val="0"/>
              <w:autoSpaceDN w:val="0"/>
              <w:adjustRightInd w:val="0"/>
              <w:rPr>
                <w:sz w:val="22"/>
                <w:szCs w:val="22"/>
                <w:lang w:val="sr-Latn-ME"/>
              </w:rPr>
            </w:pPr>
            <w:r w:rsidRPr="00D024EA">
              <w:rPr>
                <w:sz w:val="22"/>
                <w:szCs w:val="22"/>
                <w:lang w:val="sr-Latn-ME"/>
              </w:rPr>
              <w:t>Konačna koncentracija</w:t>
            </w:r>
          </w:p>
          <w:p w14:paraId="335E128C" w14:textId="77777777" w:rsidR="003954E2" w:rsidRPr="00D024EA" w:rsidRDefault="003954E2" w:rsidP="00B7348D">
            <w:pPr>
              <w:tabs>
                <w:tab w:val="left" w:pos="567"/>
              </w:tabs>
              <w:autoSpaceDE w:val="0"/>
              <w:autoSpaceDN w:val="0"/>
              <w:adjustRightInd w:val="0"/>
              <w:rPr>
                <w:sz w:val="22"/>
                <w:szCs w:val="22"/>
                <w:lang w:val="sr-Latn-ME"/>
              </w:rPr>
            </w:pPr>
          </w:p>
        </w:tc>
        <w:tc>
          <w:tcPr>
            <w:tcW w:w="2346" w:type="pct"/>
          </w:tcPr>
          <w:p w14:paraId="3AFA64B1" w14:textId="17A3A3EC" w:rsidR="003954E2" w:rsidRPr="00D024EA" w:rsidRDefault="003954E2" w:rsidP="00B7348D">
            <w:pPr>
              <w:tabs>
                <w:tab w:val="left" w:pos="567"/>
              </w:tabs>
              <w:autoSpaceDE w:val="0"/>
              <w:autoSpaceDN w:val="0"/>
              <w:adjustRightInd w:val="0"/>
              <w:rPr>
                <w:sz w:val="22"/>
                <w:szCs w:val="22"/>
                <w:lang w:val="sr-Latn-ME"/>
              </w:rPr>
            </w:pPr>
            <w:r w:rsidRPr="00D024EA">
              <w:rPr>
                <w:sz w:val="22"/>
                <w:szCs w:val="22"/>
                <w:lang w:val="sr-Latn-ME" w:bidi="en-US"/>
              </w:rPr>
              <w:t>2 mg altplaze/</w:t>
            </w:r>
            <w:r w:rsidR="00B7348D" w:rsidRPr="00D024EA">
              <w:rPr>
                <w:sz w:val="22"/>
                <w:szCs w:val="22"/>
                <w:lang w:val="sr-Latn-ME" w:bidi="en-US"/>
              </w:rPr>
              <w:t>ml</w:t>
            </w:r>
          </w:p>
        </w:tc>
      </w:tr>
    </w:tbl>
    <w:p w14:paraId="18E125AC" w14:textId="77777777" w:rsidR="003954E2" w:rsidRPr="00D024EA" w:rsidRDefault="003954E2" w:rsidP="00B7348D">
      <w:pPr>
        <w:tabs>
          <w:tab w:val="left" w:pos="284"/>
        </w:tabs>
        <w:rPr>
          <w:b/>
          <w:bCs/>
          <w:sz w:val="22"/>
          <w:szCs w:val="22"/>
          <w:lang w:val="sr-Latn-ME"/>
        </w:rPr>
      </w:pPr>
    </w:p>
    <w:p w14:paraId="106EFD52" w14:textId="74D63840" w:rsidR="003954E2" w:rsidRPr="00D024EA" w:rsidRDefault="003954E2" w:rsidP="00EA5D97">
      <w:pPr>
        <w:tabs>
          <w:tab w:val="left" w:pos="284"/>
        </w:tabs>
        <w:autoSpaceDE w:val="0"/>
        <w:autoSpaceDN w:val="0"/>
        <w:adjustRightInd w:val="0"/>
        <w:jc w:val="both"/>
        <w:rPr>
          <w:sz w:val="22"/>
          <w:szCs w:val="22"/>
          <w:lang w:val="sr-Latn-ME"/>
        </w:rPr>
      </w:pPr>
      <w:r w:rsidRPr="00D024EA">
        <w:rPr>
          <w:sz w:val="22"/>
          <w:szCs w:val="22"/>
          <w:lang w:val="sr-Latn-ME"/>
        </w:rPr>
        <w:t xml:space="preserve">Rekonstituisani rastvor treba potom primijeniti intravenski. Rekonstituisani rastvor </w:t>
      </w:r>
      <w:r w:rsidR="005A0AA9" w:rsidRPr="00D024EA">
        <w:rPr>
          <w:sz w:val="22"/>
          <w:szCs w:val="22"/>
          <w:lang w:val="sr-Latn-ME"/>
        </w:rPr>
        <w:t xml:space="preserve">koncentracije </w:t>
      </w:r>
      <w:r w:rsidRPr="00D024EA">
        <w:rPr>
          <w:sz w:val="22"/>
          <w:szCs w:val="22"/>
          <w:lang w:val="sr-Latn-ME"/>
        </w:rPr>
        <w:t>1 mg/</w:t>
      </w:r>
      <w:r w:rsidR="00B7348D" w:rsidRPr="00D024EA">
        <w:rPr>
          <w:sz w:val="22"/>
          <w:szCs w:val="22"/>
          <w:lang w:val="sr-Latn-ME"/>
        </w:rPr>
        <w:t>ml</w:t>
      </w:r>
      <w:r w:rsidRPr="00D024EA">
        <w:rPr>
          <w:sz w:val="22"/>
          <w:szCs w:val="22"/>
          <w:lang w:val="sr-Latn-ME"/>
        </w:rPr>
        <w:t xml:space="preserve"> s</w:t>
      </w:r>
      <w:r w:rsidRPr="00D024EA">
        <w:rPr>
          <w:rFonts w:eastAsia="MS Mincho"/>
          <w:sz w:val="22"/>
          <w:szCs w:val="22"/>
          <w:lang w:val="sr-Latn-ME" w:eastAsia="ja-JP" w:bidi="ne-NP"/>
        </w:rPr>
        <w:t>e može dodatno razblažiti sterilnim rastvorom natrijum hlorida 9</w:t>
      </w:r>
      <w:r w:rsidRPr="00D024EA">
        <w:rPr>
          <w:sz w:val="22"/>
          <w:szCs w:val="22"/>
          <w:lang w:val="sr-Latn-ME"/>
        </w:rPr>
        <w:t xml:space="preserve"> mg/</w:t>
      </w:r>
      <w:r w:rsidR="00B7348D" w:rsidRPr="00D024EA">
        <w:rPr>
          <w:sz w:val="22"/>
          <w:szCs w:val="22"/>
          <w:lang w:val="sr-Latn-ME"/>
        </w:rPr>
        <w:t>ml</w:t>
      </w:r>
      <w:r w:rsidRPr="00D024EA">
        <w:rPr>
          <w:sz w:val="22"/>
          <w:szCs w:val="22"/>
          <w:lang w:val="sr-Latn-ME"/>
        </w:rPr>
        <w:t xml:space="preserve"> </w:t>
      </w:r>
      <w:r w:rsidRPr="00D024EA">
        <w:rPr>
          <w:rFonts w:eastAsia="MS Mincho"/>
          <w:sz w:val="22"/>
          <w:szCs w:val="22"/>
          <w:lang w:val="sr-Latn-ME" w:eastAsia="ja-JP" w:bidi="ne-NP"/>
        </w:rPr>
        <w:t xml:space="preserve">(0,9%) do minimalne koncentracije od 0,2 mg alteplaze na </w:t>
      </w:r>
      <w:r w:rsidR="00B7348D" w:rsidRPr="00D024EA">
        <w:rPr>
          <w:rFonts w:eastAsia="MS Mincho"/>
          <w:sz w:val="22"/>
          <w:szCs w:val="22"/>
          <w:lang w:val="sr-Latn-ME" w:eastAsia="ja-JP" w:bidi="ne-NP"/>
        </w:rPr>
        <w:t>ml</w:t>
      </w:r>
      <w:r w:rsidR="005A0AA9" w:rsidRPr="00D024EA">
        <w:rPr>
          <w:rFonts w:eastAsia="MS Mincho"/>
          <w:sz w:val="22"/>
          <w:szCs w:val="22"/>
          <w:lang w:val="sr-Latn-ME" w:eastAsia="ja-JP" w:bidi="ne-NP"/>
        </w:rPr>
        <w:t>, s tim da se</w:t>
      </w:r>
      <w:r w:rsidR="00B8135B" w:rsidRPr="00D024EA">
        <w:rPr>
          <w:rFonts w:eastAsia="MS Mincho"/>
          <w:sz w:val="22"/>
          <w:szCs w:val="22"/>
          <w:lang w:val="sr-Latn-ME" w:eastAsia="ja-JP" w:bidi="ne-NP"/>
        </w:rPr>
        <w:t xml:space="preserve"> ne može isključiti pojava zamućenosti rekonstituisanog rastvora</w:t>
      </w:r>
      <w:r w:rsidRPr="00D024EA">
        <w:rPr>
          <w:rFonts w:eastAsia="MS Mincho"/>
          <w:sz w:val="22"/>
          <w:szCs w:val="22"/>
          <w:lang w:val="sr-Latn-ME" w:eastAsia="ja-JP" w:bidi="ne-NP"/>
        </w:rPr>
        <w:t>. Dodatno razblaživanje rekonstituisanog rastvora</w:t>
      </w:r>
      <w:r w:rsidR="005A0AA9" w:rsidRPr="00D024EA">
        <w:rPr>
          <w:rFonts w:eastAsia="MS Mincho"/>
          <w:sz w:val="22"/>
          <w:szCs w:val="22"/>
          <w:lang w:val="sr-Latn-ME" w:eastAsia="ja-JP" w:bidi="ne-NP"/>
        </w:rPr>
        <w:t xml:space="preserve"> koncentracije</w:t>
      </w:r>
      <w:r w:rsidRPr="00D024EA">
        <w:rPr>
          <w:rFonts w:eastAsia="MS Mincho"/>
          <w:sz w:val="22"/>
          <w:szCs w:val="22"/>
          <w:lang w:val="sr-Latn-ME" w:eastAsia="ja-JP" w:bidi="ne-NP"/>
        </w:rPr>
        <w:t xml:space="preserve"> </w:t>
      </w:r>
      <w:r w:rsidRPr="00D024EA">
        <w:rPr>
          <w:sz w:val="22"/>
          <w:szCs w:val="22"/>
          <w:lang w:val="sr-Latn-ME"/>
        </w:rPr>
        <w:t>1 mg/</w:t>
      </w:r>
      <w:r w:rsidR="00B7348D" w:rsidRPr="00D024EA">
        <w:rPr>
          <w:sz w:val="22"/>
          <w:szCs w:val="22"/>
          <w:lang w:val="sr-Latn-ME"/>
        </w:rPr>
        <w:t>ml</w:t>
      </w:r>
      <w:r w:rsidRPr="00D024EA">
        <w:rPr>
          <w:rFonts w:eastAsia="MS Mincho"/>
          <w:sz w:val="22"/>
          <w:szCs w:val="22"/>
          <w:lang w:val="sr-Latn-ME" w:eastAsia="ja-JP" w:bidi="ne-NP"/>
        </w:rPr>
        <w:t xml:space="preserve"> sterilnom vodom za injekcije ili upotreba ugljenohidratnih infuzionih rastvora, npr. dekstroze, nije preporučljiva</w:t>
      </w:r>
      <w:r w:rsidR="00B8135B" w:rsidRPr="00D024EA">
        <w:rPr>
          <w:rFonts w:eastAsia="MS Mincho"/>
          <w:sz w:val="22"/>
          <w:szCs w:val="22"/>
          <w:lang w:val="sr-Latn-ME" w:eastAsia="ja-JP" w:bidi="ne-NP"/>
        </w:rPr>
        <w:t xml:space="preserve"> zbog povećanja formiranja zamućenosti rekonstituisanog rastvora</w:t>
      </w:r>
      <w:r w:rsidRPr="00D024EA">
        <w:rPr>
          <w:rFonts w:eastAsia="MS Mincho"/>
          <w:sz w:val="22"/>
          <w:szCs w:val="22"/>
          <w:lang w:val="sr-Latn-ME" w:eastAsia="ja-JP" w:bidi="ne-NP"/>
        </w:rPr>
        <w:t xml:space="preserve">.  </w:t>
      </w:r>
    </w:p>
    <w:p w14:paraId="0CF8F15C" w14:textId="77777777" w:rsidR="003954E2" w:rsidRPr="00D024EA" w:rsidRDefault="003954E2" w:rsidP="00EA5D97">
      <w:pPr>
        <w:autoSpaceDE w:val="0"/>
        <w:autoSpaceDN w:val="0"/>
        <w:adjustRightInd w:val="0"/>
        <w:jc w:val="both"/>
        <w:rPr>
          <w:rFonts w:eastAsia="MS Mincho"/>
          <w:sz w:val="22"/>
          <w:szCs w:val="22"/>
          <w:lang w:val="sr-Latn-ME" w:eastAsia="ja-JP" w:bidi="ne-NP"/>
        </w:rPr>
      </w:pPr>
      <w:r w:rsidRPr="00D024EA">
        <w:rPr>
          <w:rFonts w:eastAsia="MS Mincho"/>
          <w:sz w:val="22"/>
          <w:szCs w:val="22"/>
          <w:lang w:val="sr-Latn-ME" w:eastAsia="ja-JP" w:bidi="ne-NP"/>
        </w:rPr>
        <w:t>Lijek Actilyse ne treba miješati sa drugim ljekovima, niti u istoj infuzionoj bočici niti u istoj venskoj liniji (čak ni sa heparinom).</w:t>
      </w:r>
    </w:p>
    <w:p w14:paraId="454FFD3C" w14:textId="77777777" w:rsidR="003954E2" w:rsidRPr="00D024EA" w:rsidRDefault="003954E2" w:rsidP="00EA5D97">
      <w:pPr>
        <w:tabs>
          <w:tab w:val="left" w:pos="567"/>
        </w:tabs>
        <w:autoSpaceDE w:val="0"/>
        <w:autoSpaceDN w:val="0"/>
        <w:adjustRightInd w:val="0"/>
        <w:jc w:val="both"/>
        <w:rPr>
          <w:sz w:val="22"/>
          <w:szCs w:val="22"/>
          <w:lang w:val="sr-Latn-ME"/>
        </w:rPr>
      </w:pPr>
    </w:p>
    <w:p w14:paraId="28B2C416" w14:textId="06809FC2" w:rsidR="003954E2" w:rsidRPr="00D024EA" w:rsidRDefault="003954E2" w:rsidP="00EA5D97">
      <w:pPr>
        <w:tabs>
          <w:tab w:val="left" w:pos="567"/>
        </w:tabs>
        <w:autoSpaceDE w:val="0"/>
        <w:autoSpaceDN w:val="0"/>
        <w:adjustRightInd w:val="0"/>
        <w:jc w:val="both"/>
        <w:rPr>
          <w:sz w:val="22"/>
          <w:szCs w:val="22"/>
          <w:lang w:val="sr-Latn-ME"/>
        </w:rPr>
      </w:pPr>
      <w:r w:rsidRPr="00D024EA">
        <w:rPr>
          <w:sz w:val="22"/>
          <w:szCs w:val="22"/>
          <w:lang w:val="sr-Latn-ME"/>
        </w:rPr>
        <w:t xml:space="preserve">Za inkompatibilnosti vidjeti </w:t>
      </w:r>
      <w:r w:rsidR="00374804" w:rsidRPr="00D024EA">
        <w:rPr>
          <w:sz w:val="22"/>
          <w:szCs w:val="22"/>
          <w:lang w:val="sr-Latn-ME"/>
        </w:rPr>
        <w:t>dio</w:t>
      </w:r>
      <w:r w:rsidRPr="00D024EA">
        <w:rPr>
          <w:sz w:val="22"/>
          <w:szCs w:val="22"/>
          <w:lang w:val="sr-Latn-ME"/>
        </w:rPr>
        <w:t xml:space="preserve"> 6.2. </w:t>
      </w:r>
    </w:p>
    <w:p w14:paraId="6D1938EF" w14:textId="77777777" w:rsidR="003954E2" w:rsidRPr="00D024EA" w:rsidRDefault="003954E2" w:rsidP="00EA5D97">
      <w:pPr>
        <w:tabs>
          <w:tab w:val="left" w:pos="567"/>
        </w:tabs>
        <w:autoSpaceDE w:val="0"/>
        <w:autoSpaceDN w:val="0"/>
        <w:adjustRightInd w:val="0"/>
        <w:jc w:val="both"/>
        <w:rPr>
          <w:strike/>
          <w:sz w:val="22"/>
          <w:szCs w:val="22"/>
          <w:lang w:val="sr-Latn-ME"/>
        </w:rPr>
      </w:pPr>
    </w:p>
    <w:p w14:paraId="7BAA2AD2" w14:textId="5938F12D" w:rsidR="003954E2" w:rsidRPr="00D024EA" w:rsidRDefault="003954E2" w:rsidP="00EA5D97">
      <w:pPr>
        <w:tabs>
          <w:tab w:val="left" w:pos="284"/>
        </w:tabs>
        <w:jc w:val="both"/>
        <w:rPr>
          <w:bCs/>
          <w:sz w:val="22"/>
          <w:szCs w:val="22"/>
          <w:lang w:val="sr-Latn-ME"/>
        </w:rPr>
      </w:pPr>
      <w:r w:rsidRPr="00D024EA">
        <w:rPr>
          <w:sz w:val="22"/>
          <w:szCs w:val="22"/>
          <w:lang w:val="sr-Latn-ME"/>
        </w:rPr>
        <w:t>Rekonstituisani rastvor je samo za jednokratnu upotrebu. Svu neupotr</w:t>
      </w:r>
      <w:r w:rsidR="005A0AA9" w:rsidRPr="00D024EA">
        <w:rPr>
          <w:sz w:val="22"/>
          <w:szCs w:val="22"/>
          <w:lang w:val="sr-Latn-ME"/>
        </w:rPr>
        <w:t>ij</w:t>
      </w:r>
      <w:r w:rsidRPr="00D024EA">
        <w:rPr>
          <w:sz w:val="22"/>
          <w:szCs w:val="22"/>
          <w:lang w:val="sr-Latn-ME"/>
        </w:rPr>
        <w:t xml:space="preserve">ebljenu količinu lijeka </w:t>
      </w:r>
      <w:r w:rsidRPr="00D024EA">
        <w:rPr>
          <w:bCs/>
          <w:sz w:val="22"/>
          <w:szCs w:val="22"/>
          <w:lang w:val="sr-Latn-ME"/>
        </w:rPr>
        <w:t xml:space="preserve">ili otpadnog materijala </w:t>
      </w:r>
      <w:r w:rsidRPr="00D024EA">
        <w:rPr>
          <w:sz w:val="22"/>
          <w:szCs w:val="22"/>
          <w:lang w:val="sr-Latn-ME"/>
        </w:rPr>
        <w:t>treba odbaciti</w:t>
      </w:r>
      <w:r w:rsidRPr="00D024EA">
        <w:rPr>
          <w:bCs/>
          <w:sz w:val="22"/>
          <w:szCs w:val="22"/>
          <w:lang w:val="sr-Latn-ME"/>
        </w:rPr>
        <w:t xml:space="preserve"> u skladu sa </w:t>
      </w:r>
      <w:r w:rsidRPr="00D024EA">
        <w:rPr>
          <w:rFonts w:eastAsia="MS Mincho"/>
          <w:sz w:val="22"/>
          <w:szCs w:val="22"/>
          <w:lang w:val="sr-Latn-ME"/>
        </w:rPr>
        <w:t>važećim</w:t>
      </w:r>
      <w:r w:rsidRPr="00D024EA">
        <w:rPr>
          <w:bCs/>
          <w:sz w:val="22"/>
          <w:szCs w:val="22"/>
          <w:lang w:val="sr-Latn-ME"/>
        </w:rPr>
        <w:t xml:space="preserve"> </w:t>
      </w:r>
      <w:r w:rsidR="001376DA" w:rsidRPr="00D024EA">
        <w:rPr>
          <w:bCs/>
          <w:sz w:val="22"/>
          <w:szCs w:val="22"/>
          <w:lang w:val="sr-Latn-ME"/>
        </w:rPr>
        <w:t xml:space="preserve">lokalnim </w:t>
      </w:r>
      <w:r w:rsidRPr="00D024EA">
        <w:rPr>
          <w:bCs/>
          <w:sz w:val="22"/>
          <w:szCs w:val="22"/>
          <w:lang w:val="sr-Latn-ME"/>
        </w:rPr>
        <w:t xml:space="preserve">propisima. </w:t>
      </w:r>
    </w:p>
    <w:p w14:paraId="4A39C030" w14:textId="77777777" w:rsidR="003954E2" w:rsidRPr="00D024EA" w:rsidRDefault="003954E2" w:rsidP="00EA5D97">
      <w:pPr>
        <w:tabs>
          <w:tab w:val="left" w:pos="284"/>
        </w:tabs>
        <w:jc w:val="both"/>
        <w:rPr>
          <w:sz w:val="22"/>
          <w:szCs w:val="22"/>
          <w:lang w:val="sr-Latn-ME"/>
        </w:rPr>
      </w:pPr>
    </w:p>
    <w:p w14:paraId="69C8895C" w14:textId="04609177" w:rsidR="003954E2" w:rsidRPr="00D024EA" w:rsidRDefault="003954E2" w:rsidP="00EA5D97">
      <w:pPr>
        <w:autoSpaceDE w:val="0"/>
        <w:autoSpaceDN w:val="0"/>
        <w:adjustRightInd w:val="0"/>
        <w:jc w:val="both"/>
        <w:rPr>
          <w:sz w:val="22"/>
          <w:szCs w:val="22"/>
          <w:u w:val="single"/>
          <w:lang w:val="sr-Latn-ME" w:bidi="en-US"/>
        </w:rPr>
      </w:pPr>
      <w:r w:rsidRPr="00D024EA">
        <w:rPr>
          <w:sz w:val="22"/>
          <w:szCs w:val="22"/>
          <w:u w:val="single"/>
          <w:lang w:val="sr-Latn-ME" w:bidi="en-US"/>
        </w:rPr>
        <w:t>Uputstv</w:t>
      </w:r>
      <w:r w:rsidR="005A0AA9" w:rsidRPr="00D024EA">
        <w:rPr>
          <w:sz w:val="22"/>
          <w:szCs w:val="22"/>
          <w:u w:val="single"/>
          <w:lang w:val="sr-Latn-ME" w:bidi="en-US"/>
        </w:rPr>
        <w:t>o</w:t>
      </w:r>
      <w:r w:rsidRPr="00D024EA">
        <w:rPr>
          <w:sz w:val="22"/>
          <w:szCs w:val="22"/>
          <w:u w:val="single"/>
          <w:lang w:val="sr-Latn-ME" w:bidi="en-US"/>
        </w:rPr>
        <w:t xml:space="preserve"> za rekonstituciju lijeka Actilyse</w:t>
      </w:r>
    </w:p>
    <w:p w14:paraId="7453CADA" w14:textId="77777777" w:rsidR="00B7348D" w:rsidRPr="00D024EA" w:rsidRDefault="00B7348D" w:rsidP="00EA5D97">
      <w:pPr>
        <w:autoSpaceDE w:val="0"/>
        <w:autoSpaceDN w:val="0"/>
        <w:adjustRightInd w:val="0"/>
        <w:jc w:val="both"/>
        <w:rPr>
          <w:sz w:val="22"/>
          <w:szCs w:val="22"/>
          <w:u w:val="single"/>
          <w:lang w:val="sr-Latn-ME" w:bidi="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3788"/>
        <w:gridCol w:w="4793"/>
      </w:tblGrid>
      <w:tr w:rsidR="003954E2" w:rsidRPr="00D024EA" w14:paraId="1A0B8916" w14:textId="77777777" w:rsidTr="00EA5D97">
        <w:trPr>
          <w:trHeight w:val="2615"/>
        </w:trPr>
        <w:tc>
          <w:tcPr>
            <w:tcW w:w="266" w:type="pct"/>
            <w:tcBorders>
              <w:top w:val="single" w:sz="4" w:space="0" w:color="auto"/>
              <w:left w:val="single" w:sz="4" w:space="0" w:color="auto"/>
              <w:bottom w:val="single" w:sz="4" w:space="0" w:color="auto"/>
              <w:right w:val="single" w:sz="4" w:space="0" w:color="auto"/>
            </w:tcBorders>
            <w:hideMark/>
          </w:tcPr>
          <w:p w14:paraId="4D4A81D0" w14:textId="77777777" w:rsidR="003954E2" w:rsidRPr="00D024EA" w:rsidRDefault="003954E2" w:rsidP="00B7348D">
            <w:pPr>
              <w:tabs>
                <w:tab w:val="left" w:pos="284"/>
              </w:tabs>
              <w:autoSpaceDE w:val="0"/>
              <w:autoSpaceDN w:val="0"/>
              <w:adjustRightInd w:val="0"/>
              <w:rPr>
                <w:sz w:val="22"/>
                <w:szCs w:val="22"/>
                <w:lang w:val="sr-Latn-ME"/>
              </w:rPr>
            </w:pPr>
            <w:r w:rsidRPr="00D024EA">
              <w:rPr>
                <w:sz w:val="22"/>
                <w:szCs w:val="22"/>
                <w:lang w:val="sr-Latn-ME"/>
              </w:rPr>
              <w:t>1</w:t>
            </w:r>
          </w:p>
        </w:tc>
        <w:tc>
          <w:tcPr>
            <w:tcW w:w="2090" w:type="pct"/>
            <w:tcBorders>
              <w:top w:val="single" w:sz="4" w:space="0" w:color="auto"/>
              <w:left w:val="single" w:sz="4" w:space="0" w:color="auto"/>
              <w:bottom w:val="single" w:sz="4" w:space="0" w:color="auto"/>
              <w:right w:val="single" w:sz="4" w:space="0" w:color="auto"/>
            </w:tcBorders>
          </w:tcPr>
          <w:p w14:paraId="3E62D7E9" w14:textId="77777777" w:rsidR="003954E2" w:rsidRPr="00D024EA" w:rsidRDefault="003954E2" w:rsidP="00EA5D97">
            <w:pPr>
              <w:tabs>
                <w:tab w:val="left" w:pos="284"/>
              </w:tabs>
              <w:autoSpaceDE w:val="0"/>
              <w:autoSpaceDN w:val="0"/>
              <w:adjustRightInd w:val="0"/>
              <w:jc w:val="both"/>
              <w:rPr>
                <w:sz w:val="22"/>
                <w:szCs w:val="22"/>
                <w:lang w:val="sr-Latn-ME"/>
              </w:rPr>
            </w:pPr>
            <w:r w:rsidRPr="00D024EA">
              <w:rPr>
                <w:sz w:val="22"/>
                <w:szCs w:val="22"/>
                <w:lang w:val="sr-Latn-ME"/>
              </w:rPr>
              <w:t>Rekonstituišite neposredno pred upotrebu.</w:t>
            </w:r>
          </w:p>
          <w:p w14:paraId="7101ED31" w14:textId="77777777" w:rsidR="003954E2" w:rsidRPr="00D024EA" w:rsidRDefault="003954E2" w:rsidP="00EA5D97">
            <w:pPr>
              <w:tabs>
                <w:tab w:val="left" w:pos="284"/>
              </w:tabs>
              <w:jc w:val="both"/>
              <w:rPr>
                <w:sz w:val="22"/>
                <w:szCs w:val="22"/>
                <w:lang w:val="sr-Latn-ME"/>
              </w:rPr>
            </w:pPr>
          </w:p>
        </w:tc>
        <w:tc>
          <w:tcPr>
            <w:tcW w:w="2644" w:type="pct"/>
            <w:tcBorders>
              <w:top w:val="single" w:sz="4" w:space="0" w:color="auto"/>
              <w:left w:val="single" w:sz="4" w:space="0" w:color="auto"/>
              <w:bottom w:val="single" w:sz="4" w:space="0" w:color="auto"/>
              <w:right w:val="single" w:sz="4" w:space="0" w:color="auto"/>
            </w:tcBorders>
          </w:tcPr>
          <w:p w14:paraId="71F5720D" w14:textId="77777777" w:rsidR="003954E2" w:rsidRPr="00D024EA" w:rsidRDefault="003954E2" w:rsidP="00B7348D">
            <w:pPr>
              <w:tabs>
                <w:tab w:val="left" w:pos="284"/>
              </w:tabs>
              <w:rPr>
                <w:sz w:val="22"/>
                <w:szCs w:val="22"/>
                <w:lang w:val="sr-Latn-ME"/>
              </w:rPr>
            </w:pPr>
            <w:r w:rsidRPr="00D024EA">
              <w:rPr>
                <w:noProof/>
                <w:sz w:val="22"/>
                <w:szCs w:val="22"/>
                <w:lang w:val="sr-Latn-ME" w:eastAsia="sr-Latn-ME"/>
              </w:rPr>
              <w:drawing>
                <wp:anchor distT="0" distB="0" distL="114300" distR="114300" simplePos="0" relativeHeight="251658240" behindDoc="0" locked="0" layoutInCell="1" allowOverlap="1" wp14:anchorId="44B9336A" wp14:editId="0FF6308B">
                  <wp:simplePos x="0" y="0"/>
                  <wp:positionH relativeFrom="column">
                    <wp:posOffset>5715</wp:posOffset>
                  </wp:positionH>
                  <wp:positionV relativeFrom="paragraph">
                    <wp:posOffset>69215</wp:posOffset>
                  </wp:positionV>
                  <wp:extent cx="2512060" cy="1332230"/>
                  <wp:effectExtent l="0" t="0" r="2540" b="127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2060" cy="1332230"/>
                          </a:xfrm>
                          <a:prstGeom prst="rect">
                            <a:avLst/>
                          </a:prstGeom>
                          <a:noFill/>
                        </pic:spPr>
                      </pic:pic>
                    </a:graphicData>
                  </a:graphic>
                  <wp14:sizeRelH relativeFrom="page">
                    <wp14:pctWidth>0</wp14:pctWidth>
                  </wp14:sizeRelH>
                  <wp14:sizeRelV relativeFrom="page">
                    <wp14:pctHeight>0</wp14:pctHeight>
                  </wp14:sizeRelV>
                </wp:anchor>
              </w:drawing>
            </w:r>
          </w:p>
          <w:p w14:paraId="7025434C" w14:textId="77777777" w:rsidR="003954E2" w:rsidRPr="00D024EA" w:rsidRDefault="003954E2" w:rsidP="00B7348D">
            <w:pPr>
              <w:tabs>
                <w:tab w:val="left" w:pos="284"/>
              </w:tabs>
              <w:rPr>
                <w:sz w:val="22"/>
                <w:szCs w:val="22"/>
                <w:lang w:val="sr-Latn-ME"/>
              </w:rPr>
            </w:pPr>
          </w:p>
          <w:p w14:paraId="6093AE12" w14:textId="77777777" w:rsidR="003954E2" w:rsidRPr="00D024EA" w:rsidRDefault="003954E2" w:rsidP="00B7348D">
            <w:pPr>
              <w:tabs>
                <w:tab w:val="left" w:pos="284"/>
              </w:tabs>
              <w:rPr>
                <w:sz w:val="22"/>
                <w:szCs w:val="22"/>
                <w:lang w:val="sr-Latn-ME"/>
              </w:rPr>
            </w:pPr>
          </w:p>
          <w:p w14:paraId="1C89E54C" w14:textId="77777777" w:rsidR="003954E2" w:rsidRPr="00D024EA" w:rsidRDefault="003954E2" w:rsidP="00B7348D">
            <w:pPr>
              <w:tabs>
                <w:tab w:val="left" w:pos="284"/>
              </w:tabs>
              <w:rPr>
                <w:sz w:val="22"/>
                <w:szCs w:val="22"/>
                <w:lang w:val="sr-Latn-ME"/>
              </w:rPr>
            </w:pPr>
          </w:p>
          <w:p w14:paraId="712E58A4" w14:textId="77777777" w:rsidR="003954E2" w:rsidRPr="00D024EA" w:rsidRDefault="003954E2" w:rsidP="00B7348D">
            <w:pPr>
              <w:tabs>
                <w:tab w:val="left" w:pos="284"/>
              </w:tabs>
              <w:rPr>
                <w:sz w:val="22"/>
                <w:szCs w:val="22"/>
                <w:lang w:val="sr-Latn-ME"/>
              </w:rPr>
            </w:pPr>
          </w:p>
        </w:tc>
      </w:tr>
      <w:tr w:rsidR="003954E2" w:rsidRPr="00D024EA" w14:paraId="7F32B5E1" w14:textId="77777777" w:rsidTr="00EA5D97">
        <w:trPr>
          <w:trHeight w:val="2937"/>
        </w:trPr>
        <w:tc>
          <w:tcPr>
            <w:tcW w:w="266" w:type="pct"/>
            <w:tcBorders>
              <w:top w:val="single" w:sz="4" w:space="0" w:color="auto"/>
              <w:left w:val="single" w:sz="4" w:space="0" w:color="auto"/>
              <w:bottom w:val="single" w:sz="4" w:space="0" w:color="auto"/>
              <w:right w:val="single" w:sz="4" w:space="0" w:color="auto"/>
            </w:tcBorders>
            <w:hideMark/>
          </w:tcPr>
          <w:p w14:paraId="4796CE0F" w14:textId="77777777" w:rsidR="003954E2" w:rsidRPr="00D024EA" w:rsidRDefault="003954E2" w:rsidP="00B7348D">
            <w:pPr>
              <w:tabs>
                <w:tab w:val="left" w:pos="284"/>
              </w:tabs>
              <w:autoSpaceDE w:val="0"/>
              <w:autoSpaceDN w:val="0"/>
              <w:adjustRightInd w:val="0"/>
              <w:rPr>
                <w:sz w:val="22"/>
                <w:szCs w:val="22"/>
                <w:lang w:val="sr-Latn-ME"/>
              </w:rPr>
            </w:pPr>
            <w:r w:rsidRPr="00D024EA">
              <w:rPr>
                <w:sz w:val="22"/>
                <w:szCs w:val="22"/>
                <w:lang w:val="sr-Latn-ME"/>
              </w:rPr>
              <w:lastRenderedPageBreak/>
              <w:t>2</w:t>
            </w:r>
          </w:p>
        </w:tc>
        <w:tc>
          <w:tcPr>
            <w:tcW w:w="2090" w:type="pct"/>
            <w:tcBorders>
              <w:top w:val="single" w:sz="4" w:space="0" w:color="auto"/>
              <w:left w:val="single" w:sz="4" w:space="0" w:color="auto"/>
              <w:bottom w:val="single" w:sz="4" w:space="0" w:color="auto"/>
              <w:right w:val="single" w:sz="4" w:space="0" w:color="auto"/>
            </w:tcBorders>
          </w:tcPr>
          <w:p w14:paraId="7F6BF0B5" w14:textId="52A529A9" w:rsidR="003954E2" w:rsidRPr="00D024EA" w:rsidRDefault="003954E2" w:rsidP="00EA5D97">
            <w:pPr>
              <w:tabs>
                <w:tab w:val="left" w:pos="284"/>
              </w:tabs>
              <w:autoSpaceDE w:val="0"/>
              <w:autoSpaceDN w:val="0"/>
              <w:adjustRightInd w:val="0"/>
              <w:jc w:val="both"/>
              <w:rPr>
                <w:sz w:val="22"/>
                <w:szCs w:val="22"/>
                <w:lang w:val="sr-Latn-ME"/>
              </w:rPr>
            </w:pPr>
            <w:r w:rsidRPr="00D024EA">
              <w:rPr>
                <w:sz w:val="22"/>
                <w:szCs w:val="22"/>
                <w:lang w:val="sr-Latn-ME"/>
              </w:rPr>
              <w:t>Uklonite zaštitn</w:t>
            </w:r>
            <w:r w:rsidR="00A15CEE" w:rsidRPr="00D024EA">
              <w:rPr>
                <w:sz w:val="22"/>
                <w:szCs w:val="22"/>
                <w:lang w:val="sr-Latn-ME"/>
              </w:rPr>
              <w:t>i</w:t>
            </w:r>
            <w:r w:rsidRPr="00D024EA">
              <w:rPr>
                <w:sz w:val="22"/>
                <w:szCs w:val="22"/>
                <w:lang w:val="sr-Latn-ME"/>
              </w:rPr>
              <w:t xml:space="preserve"> </w:t>
            </w:r>
            <w:r w:rsidR="00A15CEE" w:rsidRPr="00D024EA">
              <w:rPr>
                <w:sz w:val="22"/>
                <w:szCs w:val="22"/>
                <w:lang w:val="sr-Latn-ME"/>
              </w:rPr>
              <w:t>zatvarač</w:t>
            </w:r>
            <w:r w:rsidRPr="00D024EA">
              <w:rPr>
                <w:sz w:val="22"/>
                <w:szCs w:val="22"/>
                <w:lang w:val="sr-Latn-ME"/>
              </w:rPr>
              <w:t xml:space="preserve"> sa bočice sa sterilnom vodom i bočice sa praškom lijeka Actilyse tako što ćete </w:t>
            </w:r>
            <w:r w:rsidR="00A15CEE" w:rsidRPr="00D024EA">
              <w:rPr>
                <w:sz w:val="22"/>
                <w:szCs w:val="22"/>
                <w:lang w:val="sr-Latn-ME"/>
              </w:rPr>
              <w:t>zatvarač</w:t>
            </w:r>
            <w:r w:rsidRPr="00D024EA">
              <w:rPr>
                <w:sz w:val="22"/>
                <w:szCs w:val="22"/>
                <w:lang w:val="sr-Latn-ME"/>
              </w:rPr>
              <w:t xml:space="preserve"> odgurnuti palcem.</w:t>
            </w:r>
          </w:p>
          <w:p w14:paraId="6AFE5918" w14:textId="77777777" w:rsidR="003954E2" w:rsidRPr="00D024EA" w:rsidRDefault="003954E2" w:rsidP="00EA5D97">
            <w:pPr>
              <w:tabs>
                <w:tab w:val="left" w:pos="284"/>
              </w:tabs>
              <w:autoSpaceDE w:val="0"/>
              <w:autoSpaceDN w:val="0"/>
              <w:adjustRightInd w:val="0"/>
              <w:jc w:val="both"/>
              <w:rPr>
                <w:sz w:val="22"/>
                <w:szCs w:val="22"/>
                <w:lang w:val="sr-Latn-ME"/>
              </w:rPr>
            </w:pPr>
          </w:p>
          <w:p w14:paraId="3AACEBF9" w14:textId="77777777" w:rsidR="003954E2" w:rsidRPr="00D024EA" w:rsidRDefault="003954E2" w:rsidP="00EA5D97">
            <w:pPr>
              <w:tabs>
                <w:tab w:val="left" w:pos="284"/>
              </w:tabs>
              <w:autoSpaceDE w:val="0"/>
              <w:autoSpaceDN w:val="0"/>
              <w:adjustRightInd w:val="0"/>
              <w:jc w:val="both"/>
              <w:rPr>
                <w:sz w:val="22"/>
                <w:szCs w:val="22"/>
                <w:lang w:val="sr-Latn-ME"/>
              </w:rPr>
            </w:pPr>
          </w:p>
        </w:tc>
        <w:tc>
          <w:tcPr>
            <w:tcW w:w="2644" w:type="pct"/>
            <w:tcBorders>
              <w:top w:val="single" w:sz="4" w:space="0" w:color="auto"/>
              <w:left w:val="single" w:sz="4" w:space="0" w:color="auto"/>
              <w:bottom w:val="single" w:sz="4" w:space="0" w:color="auto"/>
              <w:right w:val="single" w:sz="4" w:space="0" w:color="auto"/>
            </w:tcBorders>
            <w:hideMark/>
          </w:tcPr>
          <w:p w14:paraId="16E58BD9" w14:textId="77777777" w:rsidR="003954E2" w:rsidRPr="00D024EA" w:rsidRDefault="003954E2" w:rsidP="00B7348D">
            <w:pPr>
              <w:tabs>
                <w:tab w:val="left" w:pos="284"/>
              </w:tabs>
              <w:rPr>
                <w:rFonts w:eastAsia="SimSun"/>
                <w:sz w:val="22"/>
                <w:szCs w:val="22"/>
                <w:lang w:val="sr-Latn-ME" w:eastAsia="zh-CN" w:bidi="th-TH"/>
              </w:rPr>
            </w:pPr>
            <w:r w:rsidRPr="00D024EA">
              <w:rPr>
                <w:noProof/>
                <w:sz w:val="22"/>
                <w:szCs w:val="22"/>
                <w:lang w:val="sr-Latn-ME" w:eastAsia="sr-Latn-ME"/>
              </w:rPr>
              <w:drawing>
                <wp:anchor distT="0" distB="0" distL="114300" distR="114300" simplePos="0" relativeHeight="251658241" behindDoc="0" locked="0" layoutInCell="1" allowOverlap="1" wp14:anchorId="72B0FF76" wp14:editId="0B455033">
                  <wp:simplePos x="0" y="0"/>
                  <wp:positionH relativeFrom="column">
                    <wp:posOffset>-8255</wp:posOffset>
                  </wp:positionH>
                  <wp:positionV relativeFrom="paragraph">
                    <wp:posOffset>13335</wp:posOffset>
                  </wp:positionV>
                  <wp:extent cx="1250950" cy="1802765"/>
                  <wp:effectExtent l="0" t="0" r="6350" b="698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0950" cy="1802765"/>
                          </a:xfrm>
                          <a:prstGeom prst="rect">
                            <a:avLst/>
                          </a:prstGeom>
                          <a:noFill/>
                        </pic:spPr>
                      </pic:pic>
                    </a:graphicData>
                  </a:graphic>
                  <wp14:sizeRelH relativeFrom="page">
                    <wp14:pctWidth>0</wp14:pctWidth>
                  </wp14:sizeRelH>
                  <wp14:sizeRelV relativeFrom="page">
                    <wp14:pctHeight>0</wp14:pctHeight>
                  </wp14:sizeRelV>
                </wp:anchor>
              </w:drawing>
            </w:r>
            <w:r w:rsidRPr="00D024EA">
              <w:rPr>
                <w:noProof/>
                <w:sz w:val="22"/>
                <w:szCs w:val="22"/>
                <w:lang w:val="sr-Latn-ME" w:eastAsia="sr-Latn-ME"/>
              </w:rPr>
              <w:drawing>
                <wp:anchor distT="0" distB="0" distL="114300" distR="114300" simplePos="0" relativeHeight="251658242" behindDoc="0" locked="0" layoutInCell="1" allowOverlap="1" wp14:anchorId="7D227197" wp14:editId="2D6CAF7C">
                  <wp:simplePos x="0" y="0"/>
                  <wp:positionH relativeFrom="column">
                    <wp:posOffset>1242695</wp:posOffset>
                  </wp:positionH>
                  <wp:positionV relativeFrom="paragraph">
                    <wp:posOffset>13335</wp:posOffset>
                  </wp:positionV>
                  <wp:extent cx="1249680" cy="1800225"/>
                  <wp:effectExtent l="0" t="0" r="7620" b="952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9680" cy="1800225"/>
                          </a:xfrm>
                          <a:prstGeom prst="rect">
                            <a:avLst/>
                          </a:prstGeom>
                          <a:noFill/>
                        </pic:spPr>
                      </pic:pic>
                    </a:graphicData>
                  </a:graphic>
                  <wp14:sizeRelH relativeFrom="page">
                    <wp14:pctWidth>0</wp14:pctWidth>
                  </wp14:sizeRelH>
                  <wp14:sizeRelV relativeFrom="page">
                    <wp14:pctHeight>0</wp14:pctHeight>
                  </wp14:sizeRelV>
                </wp:anchor>
              </w:drawing>
            </w:r>
          </w:p>
        </w:tc>
      </w:tr>
      <w:tr w:rsidR="003954E2" w:rsidRPr="00D024EA" w14:paraId="28550633" w14:textId="77777777" w:rsidTr="00EA5D97">
        <w:trPr>
          <w:trHeight w:val="3248"/>
        </w:trPr>
        <w:tc>
          <w:tcPr>
            <w:tcW w:w="266" w:type="pct"/>
            <w:tcBorders>
              <w:top w:val="single" w:sz="4" w:space="0" w:color="auto"/>
              <w:left w:val="single" w:sz="4" w:space="0" w:color="auto"/>
              <w:bottom w:val="single" w:sz="4" w:space="0" w:color="auto"/>
              <w:right w:val="single" w:sz="4" w:space="0" w:color="auto"/>
            </w:tcBorders>
            <w:hideMark/>
          </w:tcPr>
          <w:p w14:paraId="577885D4" w14:textId="77777777" w:rsidR="003954E2" w:rsidRPr="00D024EA" w:rsidRDefault="003954E2" w:rsidP="00B7348D">
            <w:pPr>
              <w:tabs>
                <w:tab w:val="left" w:pos="284"/>
              </w:tabs>
              <w:autoSpaceDE w:val="0"/>
              <w:autoSpaceDN w:val="0"/>
              <w:adjustRightInd w:val="0"/>
              <w:rPr>
                <w:sz w:val="22"/>
                <w:szCs w:val="22"/>
                <w:lang w:val="sr-Latn-ME"/>
              </w:rPr>
            </w:pPr>
            <w:r w:rsidRPr="00D024EA">
              <w:rPr>
                <w:sz w:val="22"/>
                <w:szCs w:val="22"/>
                <w:lang w:val="sr-Latn-ME"/>
              </w:rPr>
              <w:t>3</w:t>
            </w:r>
          </w:p>
        </w:tc>
        <w:tc>
          <w:tcPr>
            <w:tcW w:w="2090" w:type="pct"/>
            <w:tcBorders>
              <w:top w:val="single" w:sz="4" w:space="0" w:color="auto"/>
              <w:left w:val="single" w:sz="4" w:space="0" w:color="auto"/>
              <w:bottom w:val="single" w:sz="4" w:space="0" w:color="auto"/>
              <w:right w:val="single" w:sz="4" w:space="0" w:color="auto"/>
            </w:tcBorders>
          </w:tcPr>
          <w:p w14:paraId="45B2F10E" w14:textId="77777777" w:rsidR="003954E2" w:rsidRPr="00D024EA" w:rsidRDefault="003954E2" w:rsidP="00EA5D97">
            <w:pPr>
              <w:tabs>
                <w:tab w:val="left" w:pos="284"/>
              </w:tabs>
              <w:autoSpaceDE w:val="0"/>
              <w:autoSpaceDN w:val="0"/>
              <w:adjustRightInd w:val="0"/>
              <w:jc w:val="both"/>
              <w:rPr>
                <w:sz w:val="22"/>
                <w:szCs w:val="22"/>
                <w:lang w:val="sr-Latn-ME"/>
              </w:rPr>
            </w:pPr>
            <w:r w:rsidRPr="00D024EA">
              <w:rPr>
                <w:sz w:val="22"/>
                <w:szCs w:val="22"/>
                <w:lang w:val="sr-Latn-ME"/>
              </w:rPr>
              <w:t>Obrišite gumeni vrh svake bočice alkoholnom krpicom.</w:t>
            </w:r>
          </w:p>
          <w:p w14:paraId="7CD67428" w14:textId="77777777" w:rsidR="003954E2" w:rsidRPr="00D024EA" w:rsidRDefault="003954E2" w:rsidP="00EA5D97">
            <w:pPr>
              <w:tabs>
                <w:tab w:val="left" w:pos="284"/>
              </w:tabs>
              <w:autoSpaceDE w:val="0"/>
              <w:autoSpaceDN w:val="0"/>
              <w:adjustRightInd w:val="0"/>
              <w:jc w:val="both"/>
              <w:rPr>
                <w:sz w:val="22"/>
                <w:szCs w:val="22"/>
                <w:lang w:val="sr-Latn-ME"/>
              </w:rPr>
            </w:pPr>
          </w:p>
        </w:tc>
        <w:tc>
          <w:tcPr>
            <w:tcW w:w="2644" w:type="pct"/>
            <w:tcBorders>
              <w:top w:val="single" w:sz="4" w:space="0" w:color="auto"/>
              <w:left w:val="single" w:sz="4" w:space="0" w:color="auto"/>
              <w:bottom w:val="single" w:sz="4" w:space="0" w:color="auto"/>
              <w:right w:val="single" w:sz="4" w:space="0" w:color="auto"/>
            </w:tcBorders>
            <w:hideMark/>
          </w:tcPr>
          <w:p w14:paraId="4A332D13" w14:textId="77777777" w:rsidR="003954E2" w:rsidRPr="00D024EA" w:rsidRDefault="003954E2" w:rsidP="00B7348D">
            <w:pPr>
              <w:tabs>
                <w:tab w:val="left" w:pos="284"/>
              </w:tabs>
              <w:rPr>
                <w:rFonts w:eastAsia="SimSun"/>
                <w:sz w:val="22"/>
                <w:szCs w:val="22"/>
                <w:lang w:val="sr-Latn-ME" w:eastAsia="zh-CN" w:bidi="th-TH"/>
              </w:rPr>
            </w:pPr>
            <w:r w:rsidRPr="00D024EA">
              <w:rPr>
                <w:noProof/>
                <w:sz w:val="22"/>
                <w:szCs w:val="22"/>
                <w:lang w:val="sr-Latn-ME" w:eastAsia="sr-Latn-ME"/>
              </w:rPr>
              <w:drawing>
                <wp:anchor distT="0" distB="0" distL="114300" distR="114300" simplePos="0" relativeHeight="251658243" behindDoc="0" locked="0" layoutInCell="1" allowOverlap="1" wp14:anchorId="3D94E4D0" wp14:editId="141AE551">
                  <wp:simplePos x="0" y="0"/>
                  <wp:positionH relativeFrom="column">
                    <wp:posOffset>1264920</wp:posOffset>
                  </wp:positionH>
                  <wp:positionV relativeFrom="paragraph">
                    <wp:posOffset>70485</wp:posOffset>
                  </wp:positionV>
                  <wp:extent cx="1235710" cy="1908175"/>
                  <wp:effectExtent l="0" t="0" r="254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5710" cy="1908175"/>
                          </a:xfrm>
                          <a:prstGeom prst="rect">
                            <a:avLst/>
                          </a:prstGeom>
                          <a:noFill/>
                        </pic:spPr>
                      </pic:pic>
                    </a:graphicData>
                  </a:graphic>
                  <wp14:sizeRelH relativeFrom="page">
                    <wp14:pctWidth>0</wp14:pctWidth>
                  </wp14:sizeRelH>
                  <wp14:sizeRelV relativeFrom="page">
                    <wp14:pctHeight>0</wp14:pctHeight>
                  </wp14:sizeRelV>
                </wp:anchor>
              </w:drawing>
            </w:r>
            <w:r w:rsidRPr="00D024EA">
              <w:rPr>
                <w:noProof/>
                <w:sz w:val="22"/>
                <w:szCs w:val="22"/>
                <w:lang w:val="sr-Latn-ME" w:eastAsia="sr-Latn-ME"/>
              </w:rPr>
              <w:drawing>
                <wp:anchor distT="0" distB="0" distL="114300" distR="114300" simplePos="0" relativeHeight="251658244" behindDoc="0" locked="0" layoutInCell="1" allowOverlap="1" wp14:anchorId="66DC2186" wp14:editId="7BA3F4FB">
                  <wp:simplePos x="0" y="0"/>
                  <wp:positionH relativeFrom="column">
                    <wp:posOffset>5715</wp:posOffset>
                  </wp:positionH>
                  <wp:positionV relativeFrom="paragraph">
                    <wp:posOffset>70485</wp:posOffset>
                  </wp:positionV>
                  <wp:extent cx="1259205" cy="1908175"/>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59205" cy="1908175"/>
                          </a:xfrm>
                          <a:prstGeom prst="rect">
                            <a:avLst/>
                          </a:prstGeom>
                          <a:noFill/>
                        </pic:spPr>
                      </pic:pic>
                    </a:graphicData>
                  </a:graphic>
                  <wp14:sizeRelH relativeFrom="page">
                    <wp14:pctWidth>0</wp14:pctWidth>
                  </wp14:sizeRelH>
                  <wp14:sizeRelV relativeFrom="page">
                    <wp14:pctHeight>0</wp14:pctHeight>
                  </wp14:sizeRelV>
                </wp:anchor>
              </w:drawing>
            </w:r>
          </w:p>
        </w:tc>
      </w:tr>
      <w:tr w:rsidR="003954E2" w:rsidRPr="00D024EA" w14:paraId="23620260" w14:textId="77777777" w:rsidTr="00EA5D97">
        <w:trPr>
          <w:trHeight w:val="2117"/>
        </w:trPr>
        <w:tc>
          <w:tcPr>
            <w:tcW w:w="266" w:type="pct"/>
            <w:tcBorders>
              <w:top w:val="single" w:sz="4" w:space="0" w:color="auto"/>
              <w:left w:val="single" w:sz="4" w:space="0" w:color="auto"/>
              <w:bottom w:val="single" w:sz="4" w:space="0" w:color="auto"/>
              <w:right w:val="single" w:sz="4" w:space="0" w:color="auto"/>
            </w:tcBorders>
            <w:hideMark/>
          </w:tcPr>
          <w:p w14:paraId="60DB9344" w14:textId="77777777" w:rsidR="003954E2" w:rsidRPr="00D024EA" w:rsidRDefault="003954E2" w:rsidP="00B7348D">
            <w:pPr>
              <w:tabs>
                <w:tab w:val="left" w:pos="284"/>
              </w:tabs>
              <w:autoSpaceDE w:val="0"/>
              <w:autoSpaceDN w:val="0"/>
              <w:adjustRightInd w:val="0"/>
              <w:rPr>
                <w:sz w:val="22"/>
                <w:szCs w:val="22"/>
                <w:lang w:val="sr-Latn-ME"/>
              </w:rPr>
            </w:pPr>
            <w:r w:rsidRPr="00D024EA">
              <w:rPr>
                <w:sz w:val="22"/>
                <w:szCs w:val="22"/>
                <w:lang w:val="sr-Latn-ME"/>
              </w:rPr>
              <w:t>4</w:t>
            </w:r>
          </w:p>
        </w:tc>
        <w:tc>
          <w:tcPr>
            <w:tcW w:w="2090" w:type="pct"/>
            <w:tcBorders>
              <w:top w:val="single" w:sz="4" w:space="0" w:color="auto"/>
              <w:left w:val="single" w:sz="4" w:space="0" w:color="auto"/>
              <w:bottom w:val="single" w:sz="4" w:space="0" w:color="auto"/>
              <w:right w:val="single" w:sz="4" w:space="0" w:color="auto"/>
            </w:tcBorders>
          </w:tcPr>
          <w:p w14:paraId="62AD6F25" w14:textId="07B9320A" w:rsidR="003954E2" w:rsidRPr="00D024EA" w:rsidRDefault="003954E2" w:rsidP="00EA5D97">
            <w:pPr>
              <w:tabs>
                <w:tab w:val="left" w:pos="284"/>
              </w:tabs>
              <w:autoSpaceDE w:val="0"/>
              <w:autoSpaceDN w:val="0"/>
              <w:adjustRightInd w:val="0"/>
              <w:jc w:val="both"/>
              <w:rPr>
                <w:sz w:val="22"/>
                <w:szCs w:val="22"/>
                <w:lang w:val="sr-Latn-ME"/>
              </w:rPr>
            </w:pPr>
            <w:r w:rsidRPr="00D024EA">
              <w:rPr>
                <w:sz w:val="22"/>
                <w:szCs w:val="22"/>
                <w:lang w:val="sr-Latn-ME"/>
              </w:rPr>
              <w:t>Izvadite prenosnu kanilu iz njenog omotača. Nemojte dezinfikovati niti sterilisati prenosnu kanilu; ona je sterilna. Skinite jednu kapicu.</w:t>
            </w:r>
          </w:p>
          <w:p w14:paraId="328DB74F" w14:textId="77777777" w:rsidR="003954E2" w:rsidRPr="00D024EA" w:rsidRDefault="003954E2" w:rsidP="00EA5D97">
            <w:pPr>
              <w:tabs>
                <w:tab w:val="left" w:pos="284"/>
              </w:tabs>
              <w:autoSpaceDE w:val="0"/>
              <w:autoSpaceDN w:val="0"/>
              <w:adjustRightInd w:val="0"/>
              <w:jc w:val="both"/>
              <w:rPr>
                <w:sz w:val="22"/>
                <w:szCs w:val="22"/>
                <w:lang w:val="sr-Latn-ME"/>
              </w:rPr>
            </w:pPr>
          </w:p>
        </w:tc>
        <w:tc>
          <w:tcPr>
            <w:tcW w:w="2644" w:type="pct"/>
            <w:tcBorders>
              <w:top w:val="single" w:sz="4" w:space="0" w:color="auto"/>
              <w:left w:val="single" w:sz="4" w:space="0" w:color="auto"/>
              <w:bottom w:val="single" w:sz="4" w:space="0" w:color="auto"/>
              <w:right w:val="single" w:sz="4" w:space="0" w:color="auto"/>
            </w:tcBorders>
          </w:tcPr>
          <w:p w14:paraId="01BE1583" w14:textId="77777777" w:rsidR="003954E2" w:rsidRPr="00D024EA" w:rsidRDefault="003954E2" w:rsidP="00B7348D">
            <w:pPr>
              <w:tabs>
                <w:tab w:val="left" w:pos="284"/>
              </w:tabs>
              <w:rPr>
                <w:noProof/>
                <w:sz w:val="22"/>
                <w:szCs w:val="22"/>
                <w:lang w:val="sr-Latn-ME"/>
              </w:rPr>
            </w:pPr>
            <w:r w:rsidRPr="00D024EA">
              <w:rPr>
                <w:noProof/>
                <w:sz w:val="22"/>
                <w:szCs w:val="22"/>
                <w:lang w:val="sr-Latn-ME" w:eastAsia="sr-Latn-ME"/>
              </w:rPr>
              <w:drawing>
                <wp:anchor distT="0" distB="0" distL="114300" distR="114300" simplePos="0" relativeHeight="251658245" behindDoc="0" locked="0" layoutInCell="1" allowOverlap="1" wp14:anchorId="44D6C2DA" wp14:editId="7DFE0074">
                  <wp:simplePos x="0" y="0"/>
                  <wp:positionH relativeFrom="column">
                    <wp:posOffset>286385</wp:posOffset>
                  </wp:positionH>
                  <wp:positionV relativeFrom="paragraph">
                    <wp:posOffset>336550</wp:posOffset>
                  </wp:positionV>
                  <wp:extent cx="2352675" cy="1871980"/>
                  <wp:effectExtent l="0" t="0" r="9525"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52675" cy="1871980"/>
                          </a:xfrm>
                          <a:prstGeom prst="rect">
                            <a:avLst/>
                          </a:prstGeom>
                          <a:noFill/>
                        </pic:spPr>
                      </pic:pic>
                    </a:graphicData>
                  </a:graphic>
                  <wp14:sizeRelH relativeFrom="page">
                    <wp14:pctWidth>0</wp14:pctWidth>
                  </wp14:sizeRelH>
                  <wp14:sizeRelV relativeFrom="page">
                    <wp14:pctHeight>0</wp14:pctHeight>
                  </wp14:sizeRelV>
                </wp:anchor>
              </w:drawing>
            </w:r>
          </w:p>
          <w:p w14:paraId="744C04D3" w14:textId="77777777" w:rsidR="003954E2" w:rsidRPr="00D024EA" w:rsidRDefault="003954E2" w:rsidP="00B7348D">
            <w:pPr>
              <w:tabs>
                <w:tab w:val="left" w:pos="284"/>
              </w:tabs>
              <w:rPr>
                <w:sz w:val="22"/>
                <w:szCs w:val="22"/>
                <w:lang w:val="sr-Latn-ME"/>
              </w:rPr>
            </w:pPr>
          </w:p>
        </w:tc>
      </w:tr>
      <w:tr w:rsidR="003954E2" w:rsidRPr="00D024EA" w14:paraId="00659F61" w14:textId="77777777" w:rsidTr="00EA5D97">
        <w:trPr>
          <w:trHeight w:val="4248"/>
        </w:trPr>
        <w:tc>
          <w:tcPr>
            <w:tcW w:w="266" w:type="pct"/>
            <w:tcBorders>
              <w:top w:val="single" w:sz="4" w:space="0" w:color="auto"/>
              <w:left w:val="single" w:sz="4" w:space="0" w:color="auto"/>
              <w:bottom w:val="single" w:sz="4" w:space="0" w:color="auto"/>
              <w:right w:val="single" w:sz="4" w:space="0" w:color="auto"/>
            </w:tcBorders>
            <w:hideMark/>
          </w:tcPr>
          <w:p w14:paraId="0201E0B0" w14:textId="77777777" w:rsidR="003954E2" w:rsidRPr="00D024EA" w:rsidRDefault="003954E2" w:rsidP="00B7348D">
            <w:pPr>
              <w:tabs>
                <w:tab w:val="left" w:pos="284"/>
              </w:tabs>
              <w:autoSpaceDE w:val="0"/>
              <w:autoSpaceDN w:val="0"/>
              <w:adjustRightInd w:val="0"/>
              <w:rPr>
                <w:sz w:val="22"/>
                <w:szCs w:val="22"/>
                <w:lang w:val="sr-Latn-ME"/>
              </w:rPr>
            </w:pPr>
            <w:r w:rsidRPr="00D024EA">
              <w:rPr>
                <w:sz w:val="22"/>
                <w:szCs w:val="22"/>
                <w:lang w:val="sr-Latn-ME"/>
              </w:rPr>
              <w:t>5</w:t>
            </w:r>
          </w:p>
        </w:tc>
        <w:tc>
          <w:tcPr>
            <w:tcW w:w="2090" w:type="pct"/>
            <w:tcBorders>
              <w:top w:val="single" w:sz="4" w:space="0" w:color="auto"/>
              <w:left w:val="single" w:sz="4" w:space="0" w:color="auto"/>
              <w:bottom w:val="single" w:sz="4" w:space="0" w:color="auto"/>
              <w:right w:val="single" w:sz="4" w:space="0" w:color="auto"/>
            </w:tcBorders>
          </w:tcPr>
          <w:p w14:paraId="1D15822D" w14:textId="77777777" w:rsidR="003954E2" w:rsidRPr="00D024EA" w:rsidRDefault="003954E2" w:rsidP="00EA5D97">
            <w:pPr>
              <w:tabs>
                <w:tab w:val="left" w:pos="284"/>
              </w:tabs>
              <w:autoSpaceDE w:val="0"/>
              <w:autoSpaceDN w:val="0"/>
              <w:adjustRightInd w:val="0"/>
              <w:jc w:val="both"/>
              <w:rPr>
                <w:sz w:val="22"/>
                <w:szCs w:val="22"/>
                <w:lang w:val="sr-Latn-ME"/>
              </w:rPr>
            </w:pPr>
            <w:r w:rsidRPr="00D024EA">
              <w:rPr>
                <w:sz w:val="22"/>
                <w:szCs w:val="22"/>
                <w:lang w:val="sr-Latn-ME"/>
              </w:rPr>
              <w:t>Postavite bočicu sa sterilnom vodom uspravno na čvrstu podlogu. Direktno odozgo, prenosnom kanilom, lagano, ali čvrsto i bez okretanja, ubodite u vertikalnom smjeru u centar gumenog zapušača.</w:t>
            </w:r>
          </w:p>
          <w:p w14:paraId="5D2FC1B4" w14:textId="77777777" w:rsidR="003954E2" w:rsidRPr="00D024EA" w:rsidRDefault="003954E2" w:rsidP="00EA5D97">
            <w:pPr>
              <w:tabs>
                <w:tab w:val="left" w:pos="284"/>
              </w:tabs>
              <w:autoSpaceDE w:val="0"/>
              <w:autoSpaceDN w:val="0"/>
              <w:adjustRightInd w:val="0"/>
              <w:jc w:val="both"/>
              <w:rPr>
                <w:sz w:val="22"/>
                <w:szCs w:val="22"/>
                <w:lang w:val="sr-Latn-ME"/>
              </w:rPr>
            </w:pPr>
          </w:p>
          <w:p w14:paraId="0C270091" w14:textId="77777777" w:rsidR="003954E2" w:rsidRPr="00D024EA" w:rsidRDefault="003954E2" w:rsidP="00EA5D97">
            <w:pPr>
              <w:tabs>
                <w:tab w:val="left" w:pos="284"/>
              </w:tabs>
              <w:autoSpaceDE w:val="0"/>
              <w:autoSpaceDN w:val="0"/>
              <w:adjustRightInd w:val="0"/>
              <w:jc w:val="both"/>
              <w:rPr>
                <w:sz w:val="22"/>
                <w:szCs w:val="22"/>
                <w:lang w:val="sr-Latn-ME"/>
              </w:rPr>
            </w:pPr>
          </w:p>
          <w:p w14:paraId="4F4D7CE9" w14:textId="77777777" w:rsidR="003954E2" w:rsidRPr="00D024EA" w:rsidRDefault="003954E2" w:rsidP="00EA5D97">
            <w:pPr>
              <w:tabs>
                <w:tab w:val="left" w:pos="284"/>
              </w:tabs>
              <w:autoSpaceDE w:val="0"/>
              <w:autoSpaceDN w:val="0"/>
              <w:adjustRightInd w:val="0"/>
              <w:jc w:val="both"/>
              <w:rPr>
                <w:sz w:val="22"/>
                <w:szCs w:val="22"/>
                <w:lang w:val="sr-Latn-ME"/>
              </w:rPr>
            </w:pPr>
          </w:p>
        </w:tc>
        <w:tc>
          <w:tcPr>
            <w:tcW w:w="2644" w:type="pct"/>
            <w:tcBorders>
              <w:top w:val="single" w:sz="4" w:space="0" w:color="auto"/>
              <w:left w:val="single" w:sz="4" w:space="0" w:color="auto"/>
              <w:bottom w:val="single" w:sz="4" w:space="0" w:color="auto"/>
              <w:right w:val="single" w:sz="4" w:space="0" w:color="auto"/>
            </w:tcBorders>
          </w:tcPr>
          <w:p w14:paraId="6ABDE65C" w14:textId="77777777" w:rsidR="003954E2" w:rsidRPr="00D024EA" w:rsidRDefault="003954E2" w:rsidP="00B7348D">
            <w:pPr>
              <w:tabs>
                <w:tab w:val="left" w:pos="284"/>
              </w:tabs>
              <w:rPr>
                <w:noProof/>
                <w:sz w:val="22"/>
                <w:szCs w:val="22"/>
                <w:lang w:val="sr-Latn-ME"/>
              </w:rPr>
            </w:pPr>
            <w:r w:rsidRPr="00D024EA">
              <w:rPr>
                <w:noProof/>
                <w:sz w:val="22"/>
                <w:szCs w:val="22"/>
                <w:lang w:val="sr-Latn-ME" w:eastAsia="sr-Latn-ME"/>
              </w:rPr>
              <w:drawing>
                <wp:anchor distT="0" distB="0" distL="114300" distR="114300" simplePos="0" relativeHeight="251658252" behindDoc="0" locked="0" layoutInCell="1" allowOverlap="1" wp14:anchorId="14646B7D" wp14:editId="6B7C4BEF">
                  <wp:simplePos x="0" y="0"/>
                  <wp:positionH relativeFrom="column">
                    <wp:posOffset>265430</wp:posOffset>
                  </wp:positionH>
                  <wp:positionV relativeFrom="paragraph">
                    <wp:posOffset>79375</wp:posOffset>
                  </wp:positionV>
                  <wp:extent cx="2389505" cy="221869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89505" cy="2218690"/>
                          </a:xfrm>
                          <a:prstGeom prst="rect">
                            <a:avLst/>
                          </a:prstGeom>
                          <a:noFill/>
                        </pic:spPr>
                      </pic:pic>
                    </a:graphicData>
                  </a:graphic>
                  <wp14:sizeRelH relativeFrom="page">
                    <wp14:pctWidth>0</wp14:pctWidth>
                  </wp14:sizeRelH>
                  <wp14:sizeRelV relativeFrom="page">
                    <wp14:pctHeight>0</wp14:pctHeight>
                  </wp14:sizeRelV>
                </wp:anchor>
              </w:drawing>
            </w:r>
          </w:p>
          <w:p w14:paraId="123B50F5" w14:textId="77777777" w:rsidR="003954E2" w:rsidRPr="00D024EA" w:rsidRDefault="003954E2" w:rsidP="00B7348D">
            <w:pPr>
              <w:tabs>
                <w:tab w:val="left" w:pos="284"/>
              </w:tabs>
              <w:rPr>
                <w:noProof/>
                <w:sz w:val="22"/>
                <w:szCs w:val="22"/>
                <w:lang w:val="sr-Latn-ME"/>
              </w:rPr>
            </w:pPr>
          </w:p>
          <w:p w14:paraId="089D9250" w14:textId="77777777" w:rsidR="003954E2" w:rsidRPr="00D024EA" w:rsidRDefault="003954E2" w:rsidP="00B7348D">
            <w:pPr>
              <w:tabs>
                <w:tab w:val="left" w:pos="284"/>
              </w:tabs>
              <w:rPr>
                <w:noProof/>
                <w:sz w:val="22"/>
                <w:szCs w:val="22"/>
                <w:lang w:val="sr-Latn-ME"/>
              </w:rPr>
            </w:pPr>
          </w:p>
          <w:p w14:paraId="2002A93B" w14:textId="77777777" w:rsidR="003954E2" w:rsidRPr="00D024EA" w:rsidRDefault="003954E2" w:rsidP="00B7348D">
            <w:pPr>
              <w:tabs>
                <w:tab w:val="left" w:pos="284"/>
              </w:tabs>
              <w:rPr>
                <w:noProof/>
                <w:sz w:val="22"/>
                <w:szCs w:val="22"/>
                <w:lang w:val="sr-Latn-ME"/>
              </w:rPr>
            </w:pPr>
          </w:p>
          <w:p w14:paraId="21230FAE" w14:textId="77777777" w:rsidR="003954E2" w:rsidRPr="00D024EA" w:rsidRDefault="003954E2" w:rsidP="00B7348D">
            <w:pPr>
              <w:tabs>
                <w:tab w:val="left" w:pos="284"/>
              </w:tabs>
              <w:rPr>
                <w:noProof/>
                <w:sz w:val="22"/>
                <w:szCs w:val="22"/>
                <w:lang w:val="sr-Latn-ME"/>
              </w:rPr>
            </w:pPr>
          </w:p>
          <w:p w14:paraId="591D587B" w14:textId="77777777" w:rsidR="003954E2" w:rsidRPr="00D024EA" w:rsidRDefault="003954E2" w:rsidP="00B7348D">
            <w:pPr>
              <w:tabs>
                <w:tab w:val="left" w:pos="284"/>
              </w:tabs>
              <w:rPr>
                <w:noProof/>
                <w:sz w:val="22"/>
                <w:szCs w:val="22"/>
                <w:lang w:val="sr-Latn-ME"/>
              </w:rPr>
            </w:pPr>
          </w:p>
          <w:p w14:paraId="55D85175" w14:textId="77777777" w:rsidR="003954E2" w:rsidRPr="00D024EA" w:rsidRDefault="003954E2" w:rsidP="00B7348D">
            <w:pPr>
              <w:tabs>
                <w:tab w:val="left" w:pos="284"/>
              </w:tabs>
              <w:rPr>
                <w:noProof/>
                <w:sz w:val="22"/>
                <w:szCs w:val="22"/>
                <w:lang w:val="sr-Latn-ME"/>
              </w:rPr>
            </w:pPr>
          </w:p>
          <w:p w14:paraId="66B9C91F" w14:textId="77777777" w:rsidR="003954E2" w:rsidRPr="00D024EA" w:rsidRDefault="003954E2" w:rsidP="00B7348D">
            <w:pPr>
              <w:tabs>
                <w:tab w:val="left" w:pos="284"/>
              </w:tabs>
              <w:rPr>
                <w:noProof/>
                <w:sz w:val="22"/>
                <w:szCs w:val="22"/>
                <w:lang w:val="sr-Latn-ME"/>
              </w:rPr>
            </w:pPr>
          </w:p>
        </w:tc>
      </w:tr>
      <w:tr w:rsidR="003954E2" w:rsidRPr="00D024EA" w14:paraId="0374F773" w14:textId="77777777" w:rsidTr="00EA5D97">
        <w:trPr>
          <w:trHeight w:val="2700"/>
        </w:trPr>
        <w:tc>
          <w:tcPr>
            <w:tcW w:w="266" w:type="pct"/>
            <w:tcBorders>
              <w:top w:val="single" w:sz="4" w:space="0" w:color="auto"/>
              <w:left w:val="single" w:sz="4" w:space="0" w:color="auto"/>
              <w:bottom w:val="single" w:sz="4" w:space="0" w:color="auto"/>
              <w:right w:val="single" w:sz="4" w:space="0" w:color="auto"/>
            </w:tcBorders>
            <w:hideMark/>
          </w:tcPr>
          <w:p w14:paraId="559FFC0B" w14:textId="77777777" w:rsidR="003954E2" w:rsidRPr="00D024EA" w:rsidRDefault="003954E2" w:rsidP="00B7348D">
            <w:pPr>
              <w:tabs>
                <w:tab w:val="left" w:pos="284"/>
              </w:tabs>
              <w:autoSpaceDE w:val="0"/>
              <w:autoSpaceDN w:val="0"/>
              <w:adjustRightInd w:val="0"/>
              <w:rPr>
                <w:sz w:val="22"/>
                <w:szCs w:val="22"/>
                <w:lang w:val="sr-Latn-ME"/>
              </w:rPr>
            </w:pPr>
            <w:r w:rsidRPr="00D024EA">
              <w:rPr>
                <w:sz w:val="22"/>
                <w:szCs w:val="22"/>
                <w:lang w:val="sr-Latn-ME"/>
              </w:rPr>
              <w:lastRenderedPageBreak/>
              <w:t>6</w:t>
            </w:r>
          </w:p>
        </w:tc>
        <w:tc>
          <w:tcPr>
            <w:tcW w:w="2090" w:type="pct"/>
            <w:tcBorders>
              <w:top w:val="single" w:sz="4" w:space="0" w:color="auto"/>
              <w:left w:val="single" w:sz="4" w:space="0" w:color="auto"/>
              <w:bottom w:val="single" w:sz="4" w:space="0" w:color="auto"/>
              <w:right w:val="single" w:sz="4" w:space="0" w:color="auto"/>
            </w:tcBorders>
          </w:tcPr>
          <w:p w14:paraId="7595077D" w14:textId="66C158C3" w:rsidR="003954E2" w:rsidRPr="00D024EA" w:rsidRDefault="003954E2" w:rsidP="00EA5D97">
            <w:pPr>
              <w:tabs>
                <w:tab w:val="left" w:pos="284"/>
              </w:tabs>
              <w:autoSpaceDE w:val="0"/>
              <w:autoSpaceDN w:val="0"/>
              <w:adjustRightInd w:val="0"/>
              <w:jc w:val="both"/>
              <w:rPr>
                <w:sz w:val="22"/>
                <w:szCs w:val="22"/>
                <w:lang w:val="sr-Latn-ME"/>
              </w:rPr>
            </w:pPr>
            <w:r w:rsidRPr="00D024EA">
              <w:rPr>
                <w:sz w:val="22"/>
                <w:szCs w:val="22"/>
                <w:lang w:val="sr-Latn-ME"/>
              </w:rPr>
              <w:t>Držite bočicu sa sterilnom vodom i prenosnom kanilom čvrsto u jednoj ruci koristeći produžetak s obje strane.</w:t>
            </w:r>
          </w:p>
          <w:p w14:paraId="714D384C" w14:textId="77777777" w:rsidR="003954E2" w:rsidRPr="00D024EA" w:rsidRDefault="003954E2" w:rsidP="00EA5D97">
            <w:pPr>
              <w:tabs>
                <w:tab w:val="left" w:pos="284"/>
              </w:tabs>
              <w:autoSpaceDE w:val="0"/>
              <w:autoSpaceDN w:val="0"/>
              <w:adjustRightInd w:val="0"/>
              <w:jc w:val="both"/>
              <w:rPr>
                <w:sz w:val="22"/>
                <w:szCs w:val="22"/>
                <w:lang w:val="sr-Latn-ME"/>
              </w:rPr>
            </w:pPr>
          </w:p>
          <w:p w14:paraId="3A75BF69" w14:textId="77777777" w:rsidR="003954E2" w:rsidRPr="00D024EA" w:rsidRDefault="003954E2" w:rsidP="00EA5D97">
            <w:pPr>
              <w:tabs>
                <w:tab w:val="left" w:pos="284"/>
              </w:tabs>
              <w:autoSpaceDE w:val="0"/>
              <w:autoSpaceDN w:val="0"/>
              <w:adjustRightInd w:val="0"/>
              <w:jc w:val="both"/>
              <w:rPr>
                <w:sz w:val="22"/>
                <w:szCs w:val="22"/>
                <w:lang w:val="sr-Latn-ME"/>
              </w:rPr>
            </w:pPr>
            <w:r w:rsidRPr="00D024EA">
              <w:rPr>
                <w:sz w:val="22"/>
                <w:szCs w:val="22"/>
                <w:lang w:val="sr-Latn-ME"/>
              </w:rPr>
              <w:t xml:space="preserve">Skinite preostalu kapicu sa vrha prenosne kanile. </w:t>
            </w:r>
          </w:p>
          <w:p w14:paraId="523CE61A" w14:textId="77777777" w:rsidR="003954E2" w:rsidRPr="00D024EA" w:rsidRDefault="003954E2" w:rsidP="00EA5D97">
            <w:pPr>
              <w:tabs>
                <w:tab w:val="left" w:pos="284"/>
              </w:tabs>
              <w:autoSpaceDE w:val="0"/>
              <w:autoSpaceDN w:val="0"/>
              <w:adjustRightInd w:val="0"/>
              <w:jc w:val="both"/>
              <w:rPr>
                <w:sz w:val="22"/>
                <w:szCs w:val="22"/>
                <w:lang w:val="sr-Latn-ME"/>
              </w:rPr>
            </w:pPr>
          </w:p>
          <w:p w14:paraId="05544DD0" w14:textId="77777777" w:rsidR="003954E2" w:rsidRPr="00D024EA" w:rsidRDefault="003954E2" w:rsidP="00EA5D97">
            <w:pPr>
              <w:tabs>
                <w:tab w:val="left" w:pos="284"/>
              </w:tabs>
              <w:autoSpaceDE w:val="0"/>
              <w:autoSpaceDN w:val="0"/>
              <w:adjustRightInd w:val="0"/>
              <w:jc w:val="both"/>
              <w:rPr>
                <w:sz w:val="22"/>
                <w:szCs w:val="22"/>
                <w:lang w:val="sr-Latn-ME"/>
              </w:rPr>
            </w:pPr>
          </w:p>
        </w:tc>
        <w:tc>
          <w:tcPr>
            <w:tcW w:w="2644" w:type="pct"/>
            <w:tcBorders>
              <w:top w:val="single" w:sz="4" w:space="0" w:color="auto"/>
              <w:left w:val="single" w:sz="4" w:space="0" w:color="auto"/>
              <w:bottom w:val="single" w:sz="4" w:space="0" w:color="auto"/>
              <w:right w:val="single" w:sz="4" w:space="0" w:color="auto"/>
            </w:tcBorders>
          </w:tcPr>
          <w:p w14:paraId="0E39DA4A" w14:textId="77777777" w:rsidR="003954E2" w:rsidRPr="00D024EA" w:rsidRDefault="003954E2" w:rsidP="00B7348D">
            <w:pPr>
              <w:tabs>
                <w:tab w:val="left" w:pos="284"/>
              </w:tabs>
              <w:rPr>
                <w:noProof/>
                <w:sz w:val="22"/>
                <w:szCs w:val="22"/>
                <w:lang w:val="sr-Latn-ME"/>
              </w:rPr>
            </w:pPr>
            <w:r w:rsidRPr="00D024EA">
              <w:rPr>
                <w:noProof/>
                <w:sz w:val="22"/>
                <w:szCs w:val="22"/>
                <w:lang w:val="sr-Latn-ME" w:eastAsia="sr-Latn-ME"/>
              </w:rPr>
              <w:drawing>
                <wp:anchor distT="0" distB="0" distL="114300" distR="114300" simplePos="0" relativeHeight="251658246" behindDoc="0" locked="0" layoutInCell="1" allowOverlap="1" wp14:anchorId="1A7A1280" wp14:editId="582489F2">
                  <wp:simplePos x="0" y="0"/>
                  <wp:positionH relativeFrom="column">
                    <wp:posOffset>266065</wp:posOffset>
                  </wp:positionH>
                  <wp:positionV relativeFrom="paragraph">
                    <wp:posOffset>316230</wp:posOffset>
                  </wp:positionV>
                  <wp:extent cx="2369820" cy="219583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69820" cy="2195830"/>
                          </a:xfrm>
                          <a:prstGeom prst="rect">
                            <a:avLst/>
                          </a:prstGeom>
                          <a:noFill/>
                        </pic:spPr>
                      </pic:pic>
                    </a:graphicData>
                  </a:graphic>
                  <wp14:sizeRelH relativeFrom="page">
                    <wp14:pctWidth>0</wp14:pctWidth>
                  </wp14:sizeRelH>
                  <wp14:sizeRelV relativeFrom="page">
                    <wp14:pctHeight>0</wp14:pctHeight>
                  </wp14:sizeRelV>
                </wp:anchor>
              </w:drawing>
            </w:r>
          </w:p>
          <w:p w14:paraId="5C78056C" w14:textId="77777777" w:rsidR="003954E2" w:rsidRPr="00D024EA" w:rsidRDefault="003954E2" w:rsidP="00B7348D">
            <w:pPr>
              <w:tabs>
                <w:tab w:val="left" w:pos="284"/>
              </w:tabs>
              <w:rPr>
                <w:noProof/>
                <w:sz w:val="22"/>
                <w:szCs w:val="22"/>
                <w:lang w:val="sr-Latn-ME"/>
              </w:rPr>
            </w:pPr>
          </w:p>
        </w:tc>
      </w:tr>
      <w:tr w:rsidR="003954E2" w:rsidRPr="00D024EA" w14:paraId="75A82CBC" w14:textId="77777777" w:rsidTr="00EA5D97">
        <w:trPr>
          <w:trHeight w:val="7791"/>
        </w:trPr>
        <w:tc>
          <w:tcPr>
            <w:tcW w:w="266" w:type="pct"/>
            <w:tcBorders>
              <w:top w:val="single" w:sz="4" w:space="0" w:color="auto"/>
              <w:left w:val="single" w:sz="4" w:space="0" w:color="auto"/>
              <w:bottom w:val="single" w:sz="4" w:space="0" w:color="auto"/>
              <w:right w:val="single" w:sz="4" w:space="0" w:color="auto"/>
            </w:tcBorders>
            <w:hideMark/>
          </w:tcPr>
          <w:p w14:paraId="3945A9E1" w14:textId="77777777" w:rsidR="003954E2" w:rsidRPr="00D024EA" w:rsidRDefault="003954E2" w:rsidP="00B7348D">
            <w:pPr>
              <w:tabs>
                <w:tab w:val="left" w:pos="284"/>
              </w:tabs>
              <w:autoSpaceDE w:val="0"/>
              <w:autoSpaceDN w:val="0"/>
              <w:adjustRightInd w:val="0"/>
              <w:rPr>
                <w:sz w:val="22"/>
                <w:szCs w:val="22"/>
                <w:lang w:val="sr-Latn-ME"/>
              </w:rPr>
            </w:pPr>
            <w:r w:rsidRPr="00D024EA">
              <w:rPr>
                <w:sz w:val="22"/>
                <w:szCs w:val="22"/>
                <w:lang w:val="sr-Latn-ME"/>
              </w:rPr>
              <w:t>7</w:t>
            </w:r>
          </w:p>
        </w:tc>
        <w:tc>
          <w:tcPr>
            <w:tcW w:w="2090" w:type="pct"/>
            <w:tcBorders>
              <w:top w:val="single" w:sz="4" w:space="0" w:color="auto"/>
              <w:left w:val="single" w:sz="4" w:space="0" w:color="auto"/>
              <w:bottom w:val="single" w:sz="4" w:space="0" w:color="auto"/>
              <w:right w:val="single" w:sz="4" w:space="0" w:color="auto"/>
            </w:tcBorders>
          </w:tcPr>
          <w:p w14:paraId="4092F1EF" w14:textId="22771459" w:rsidR="003954E2" w:rsidRPr="00D024EA" w:rsidRDefault="003954E2" w:rsidP="00EA5D97">
            <w:pPr>
              <w:tabs>
                <w:tab w:val="left" w:pos="284"/>
              </w:tabs>
              <w:autoSpaceDE w:val="0"/>
              <w:autoSpaceDN w:val="0"/>
              <w:adjustRightInd w:val="0"/>
              <w:jc w:val="both"/>
              <w:rPr>
                <w:sz w:val="22"/>
                <w:szCs w:val="22"/>
                <w:lang w:val="sr-Latn-ME"/>
              </w:rPr>
            </w:pPr>
            <w:r w:rsidRPr="00D024EA">
              <w:rPr>
                <w:sz w:val="22"/>
                <w:szCs w:val="22"/>
                <w:lang w:val="sr-Latn-ME"/>
              </w:rPr>
              <w:t>Držite bočicu sa sterilnom vodom i prenosnom kanilom čvrsto u jednoj ruci koristeći produžetak sa obje strane.</w:t>
            </w:r>
          </w:p>
          <w:p w14:paraId="60582574" w14:textId="77777777" w:rsidR="003954E2" w:rsidRPr="00D024EA" w:rsidRDefault="003954E2" w:rsidP="00EA5D97">
            <w:pPr>
              <w:tabs>
                <w:tab w:val="left" w:pos="284"/>
              </w:tabs>
              <w:autoSpaceDE w:val="0"/>
              <w:autoSpaceDN w:val="0"/>
              <w:adjustRightInd w:val="0"/>
              <w:jc w:val="both"/>
              <w:rPr>
                <w:sz w:val="22"/>
                <w:szCs w:val="22"/>
                <w:lang w:val="sr-Latn-ME"/>
              </w:rPr>
            </w:pPr>
          </w:p>
          <w:p w14:paraId="30A1C5DB" w14:textId="6C091FF9" w:rsidR="003954E2" w:rsidRPr="00D024EA" w:rsidRDefault="003954E2" w:rsidP="00EA5D97">
            <w:pPr>
              <w:tabs>
                <w:tab w:val="left" w:pos="284"/>
              </w:tabs>
              <w:autoSpaceDE w:val="0"/>
              <w:autoSpaceDN w:val="0"/>
              <w:adjustRightInd w:val="0"/>
              <w:jc w:val="both"/>
              <w:rPr>
                <w:sz w:val="22"/>
                <w:szCs w:val="22"/>
                <w:lang w:val="sr-Latn-ME"/>
              </w:rPr>
            </w:pPr>
            <w:r w:rsidRPr="00D024EA">
              <w:rPr>
                <w:sz w:val="22"/>
                <w:szCs w:val="22"/>
                <w:lang w:val="sr-Latn-ME"/>
              </w:rPr>
              <w:t xml:space="preserve">Držite bočicu sa praškom Actilyse </w:t>
            </w:r>
            <w:r w:rsidR="00D4534B" w:rsidRPr="00D024EA">
              <w:rPr>
                <w:sz w:val="22"/>
                <w:szCs w:val="22"/>
                <w:lang w:val="sr-Latn-ME"/>
              </w:rPr>
              <w:t xml:space="preserve">vertikalno </w:t>
            </w:r>
            <w:r w:rsidRPr="00D024EA">
              <w:rPr>
                <w:sz w:val="22"/>
                <w:szCs w:val="22"/>
                <w:lang w:val="sr-Latn-ME"/>
              </w:rPr>
              <w:t>iznad prenosne kanile tako da postavite vrh prenosne kanile tačno u centar zapušača.</w:t>
            </w:r>
          </w:p>
          <w:p w14:paraId="49303FEB" w14:textId="77777777" w:rsidR="003954E2" w:rsidRPr="00D024EA" w:rsidRDefault="003954E2" w:rsidP="00EA5D97">
            <w:pPr>
              <w:tabs>
                <w:tab w:val="left" w:pos="284"/>
              </w:tabs>
              <w:autoSpaceDE w:val="0"/>
              <w:autoSpaceDN w:val="0"/>
              <w:adjustRightInd w:val="0"/>
              <w:jc w:val="both"/>
              <w:rPr>
                <w:sz w:val="22"/>
                <w:szCs w:val="22"/>
                <w:lang w:val="sr-Latn-ME"/>
              </w:rPr>
            </w:pPr>
          </w:p>
          <w:p w14:paraId="5B1100A6" w14:textId="77777777" w:rsidR="003954E2" w:rsidRPr="00D024EA" w:rsidRDefault="003954E2" w:rsidP="00EA5D97">
            <w:pPr>
              <w:tabs>
                <w:tab w:val="left" w:pos="284"/>
              </w:tabs>
              <w:autoSpaceDE w:val="0"/>
              <w:autoSpaceDN w:val="0"/>
              <w:adjustRightInd w:val="0"/>
              <w:jc w:val="both"/>
              <w:rPr>
                <w:sz w:val="22"/>
                <w:szCs w:val="22"/>
                <w:lang w:val="sr-Latn-ME"/>
              </w:rPr>
            </w:pPr>
          </w:p>
          <w:p w14:paraId="3652B7D2" w14:textId="77777777" w:rsidR="003954E2" w:rsidRPr="00D024EA" w:rsidRDefault="003954E2" w:rsidP="00EA5D97">
            <w:pPr>
              <w:tabs>
                <w:tab w:val="left" w:pos="284"/>
              </w:tabs>
              <w:autoSpaceDE w:val="0"/>
              <w:autoSpaceDN w:val="0"/>
              <w:adjustRightInd w:val="0"/>
              <w:jc w:val="both"/>
              <w:rPr>
                <w:sz w:val="22"/>
                <w:szCs w:val="22"/>
                <w:lang w:val="sr-Latn-ME"/>
              </w:rPr>
            </w:pPr>
          </w:p>
          <w:p w14:paraId="1E62D320" w14:textId="77777777" w:rsidR="003954E2" w:rsidRPr="00D024EA" w:rsidRDefault="003954E2" w:rsidP="00EA5D97">
            <w:pPr>
              <w:tabs>
                <w:tab w:val="left" w:pos="284"/>
              </w:tabs>
              <w:autoSpaceDE w:val="0"/>
              <w:autoSpaceDN w:val="0"/>
              <w:adjustRightInd w:val="0"/>
              <w:jc w:val="both"/>
              <w:rPr>
                <w:sz w:val="22"/>
                <w:szCs w:val="22"/>
                <w:lang w:val="sr-Latn-ME"/>
              </w:rPr>
            </w:pPr>
          </w:p>
          <w:p w14:paraId="504A3250" w14:textId="77777777" w:rsidR="003954E2" w:rsidRPr="00D024EA" w:rsidRDefault="003954E2" w:rsidP="00EA5D97">
            <w:pPr>
              <w:tabs>
                <w:tab w:val="left" w:pos="284"/>
              </w:tabs>
              <w:autoSpaceDE w:val="0"/>
              <w:autoSpaceDN w:val="0"/>
              <w:adjustRightInd w:val="0"/>
              <w:jc w:val="both"/>
              <w:rPr>
                <w:sz w:val="22"/>
                <w:szCs w:val="22"/>
                <w:lang w:val="sr-Latn-ME"/>
              </w:rPr>
            </w:pPr>
          </w:p>
          <w:p w14:paraId="49791009" w14:textId="77777777" w:rsidR="003954E2" w:rsidRPr="00D024EA" w:rsidRDefault="003954E2" w:rsidP="00EA5D97">
            <w:pPr>
              <w:tabs>
                <w:tab w:val="left" w:pos="284"/>
              </w:tabs>
              <w:autoSpaceDE w:val="0"/>
              <w:autoSpaceDN w:val="0"/>
              <w:adjustRightInd w:val="0"/>
              <w:jc w:val="both"/>
              <w:rPr>
                <w:sz w:val="22"/>
                <w:szCs w:val="22"/>
                <w:lang w:val="sr-Latn-ME"/>
              </w:rPr>
            </w:pPr>
          </w:p>
          <w:p w14:paraId="44691577" w14:textId="77777777" w:rsidR="003954E2" w:rsidRPr="00D024EA" w:rsidRDefault="003954E2" w:rsidP="00EA5D97">
            <w:pPr>
              <w:tabs>
                <w:tab w:val="left" w:pos="284"/>
              </w:tabs>
              <w:autoSpaceDE w:val="0"/>
              <w:autoSpaceDN w:val="0"/>
              <w:adjustRightInd w:val="0"/>
              <w:jc w:val="both"/>
              <w:rPr>
                <w:sz w:val="22"/>
                <w:szCs w:val="22"/>
                <w:lang w:val="sr-Latn-ME"/>
              </w:rPr>
            </w:pPr>
          </w:p>
          <w:p w14:paraId="0E695B2A" w14:textId="351C7AA2" w:rsidR="003954E2" w:rsidRPr="00D024EA" w:rsidRDefault="003954E2" w:rsidP="00EA5D97">
            <w:pPr>
              <w:tabs>
                <w:tab w:val="left" w:pos="284"/>
              </w:tabs>
              <w:autoSpaceDE w:val="0"/>
              <w:autoSpaceDN w:val="0"/>
              <w:adjustRightInd w:val="0"/>
              <w:jc w:val="both"/>
              <w:rPr>
                <w:sz w:val="22"/>
                <w:szCs w:val="22"/>
                <w:lang w:val="sr-Latn-ME"/>
              </w:rPr>
            </w:pPr>
            <w:r w:rsidRPr="00D024EA">
              <w:rPr>
                <w:sz w:val="22"/>
                <w:szCs w:val="22"/>
                <w:lang w:val="sr-Latn-ME"/>
              </w:rPr>
              <w:t>Okrenite bočicu sa praškom nadolje na prenosnu kanilu i direktno odozgo probijte gumeni zapušač u vertikalnom smjeru i lagano, ali čvrsto i bez okretanja.</w:t>
            </w:r>
          </w:p>
          <w:p w14:paraId="7ADB0111" w14:textId="77777777" w:rsidR="003954E2" w:rsidRPr="00D024EA" w:rsidRDefault="003954E2" w:rsidP="00EA5D97">
            <w:pPr>
              <w:tabs>
                <w:tab w:val="left" w:pos="284"/>
              </w:tabs>
              <w:autoSpaceDE w:val="0"/>
              <w:autoSpaceDN w:val="0"/>
              <w:adjustRightInd w:val="0"/>
              <w:jc w:val="both"/>
              <w:rPr>
                <w:sz w:val="22"/>
                <w:szCs w:val="22"/>
                <w:lang w:val="sr-Latn-ME"/>
              </w:rPr>
            </w:pPr>
          </w:p>
          <w:p w14:paraId="3EC4ECD3" w14:textId="77777777" w:rsidR="003954E2" w:rsidRPr="00D024EA" w:rsidRDefault="003954E2" w:rsidP="00EA5D97">
            <w:pPr>
              <w:tabs>
                <w:tab w:val="left" w:pos="284"/>
              </w:tabs>
              <w:autoSpaceDE w:val="0"/>
              <w:autoSpaceDN w:val="0"/>
              <w:adjustRightInd w:val="0"/>
              <w:jc w:val="both"/>
              <w:rPr>
                <w:sz w:val="22"/>
                <w:szCs w:val="22"/>
                <w:lang w:val="sr-Latn-ME"/>
              </w:rPr>
            </w:pPr>
          </w:p>
          <w:p w14:paraId="23BE3A0A" w14:textId="77777777" w:rsidR="003954E2" w:rsidRPr="00D024EA" w:rsidRDefault="003954E2" w:rsidP="00EA5D97">
            <w:pPr>
              <w:tabs>
                <w:tab w:val="left" w:pos="284"/>
              </w:tabs>
              <w:autoSpaceDE w:val="0"/>
              <w:autoSpaceDN w:val="0"/>
              <w:adjustRightInd w:val="0"/>
              <w:jc w:val="both"/>
              <w:rPr>
                <w:sz w:val="22"/>
                <w:szCs w:val="22"/>
                <w:lang w:val="sr-Latn-ME"/>
              </w:rPr>
            </w:pPr>
          </w:p>
          <w:p w14:paraId="53C54DE0" w14:textId="77777777" w:rsidR="003954E2" w:rsidRPr="00D024EA" w:rsidRDefault="003954E2" w:rsidP="00EA5D97">
            <w:pPr>
              <w:tabs>
                <w:tab w:val="left" w:pos="284"/>
              </w:tabs>
              <w:autoSpaceDE w:val="0"/>
              <w:autoSpaceDN w:val="0"/>
              <w:adjustRightInd w:val="0"/>
              <w:jc w:val="both"/>
              <w:rPr>
                <w:sz w:val="22"/>
                <w:szCs w:val="22"/>
                <w:lang w:val="sr-Latn-ME"/>
              </w:rPr>
            </w:pPr>
          </w:p>
        </w:tc>
        <w:tc>
          <w:tcPr>
            <w:tcW w:w="2644" w:type="pct"/>
            <w:tcBorders>
              <w:top w:val="single" w:sz="4" w:space="0" w:color="auto"/>
              <w:left w:val="single" w:sz="4" w:space="0" w:color="auto"/>
              <w:bottom w:val="single" w:sz="4" w:space="0" w:color="auto"/>
              <w:right w:val="single" w:sz="4" w:space="0" w:color="auto"/>
            </w:tcBorders>
          </w:tcPr>
          <w:p w14:paraId="534965B6" w14:textId="77777777" w:rsidR="003954E2" w:rsidRPr="00D024EA" w:rsidRDefault="003954E2" w:rsidP="00B7348D">
            <w:pPr>
              <w:tabs>
                <w:tab w:val="left" w:pos="284"/>
              </w:tabs>
              <w:rPr>
                <w:noProof/>
                <w:sz w:val="22"/>
                <w:szCs w:val="22"/>
                <w:lang w:val="sr-Latn-ME"/>
              </w:rPr>
            </w:pPr>
          </w:p>
          <w:p w14:paraId="41CFE111" w14:textId="77777777" w:rsidR="003954E2" w:rsidRPr="00D024EA" w:rsidRDefault="003954E2" w:rsidP="00B7348D">
            <w:pPr>
              <w:tabs>
                <w:tab w:val="left" w:pos="284"/>
              </w:tabs>
              <w:rPr>
                <w:noProof/>
                <w:sz w:val="22"/>
                <w:szCs w:val="22"/>
                <w:lang w:val="sr-Latn-ME"/>
              </w:rPr>
            </w:pPr>
          </w:p>
          <w:p w14:paraId="5EFA1CDE" w14:textId="77777777" w:rsidR="003954E2" w:rsidRPr="00D024EA" w:rsidRDefault="003954E2" w:rsidP="00B7348D">
            <w:pPr>
              <w:tabs>
                <w:tab w:val="left" w:pos="284"/>
              </w:tabs>
              <w:rPr>
                <w:noProof/>
                <w:sz w:val="22"/>
                <w:szCs w:val="22"/>
                <w:lang w:val="sr-Latn-ME"/>
              </w:rPr>
            </w:pPr>
          </w:p>
          <w:p w14:paraId="3C326CBB" w14:textId="77777777" w:rsidR="003954E2" w:rsidRPr="00D024EA" w:rsidRDefault="003954E2" w:rsidP="00B7348D">
            <w:pPr>
              <w:tabs>
                <w:tab w:val="left" w:pos="284"/>
              </w:tabs>
              <w:rPr>
                <w:noProof/>
                <w:sz w:val="22"/>
                <w:szCs w:val="22"/>
                <w:lang w:val="sr-Latn-ME"/>
              </w:rPr>
            </w:pPr>
          </w:p>
          <w:p w14:paraId="758213FA" w14:textId="77777777" w:rsidR="003954E2" w:rsidRPr="00D024EA" w:rsidRDefault="003954E2" w:rsidP="00B7348D">
            <w:pPr>
              <w:tabs>
                <w:tab w:val="left" w:pos="284"/>
              </w:tabs>
              <w:rPr>
                <w:noProof/>
                <w:sz w:val="22"/>
                <w:szCs w:val="22"/>
                <w:lang w:val="sr-Latn-ME"/>
              </w:rPr>
            </w:pPr>
          </w:p>
          <w:p w14:paraId="1A455A0E" w14:textId="77777777" w:rsidR="003954E2" w:rsidRPr="00D024EA" w:rsidRDefault="003954E2" w:rsidP="00B7348D">
            <w:pPr>
              <w:tabs>
                <w:tab w:val="left" w:pos="284"/>
              </w:tabs>
              <w:rPr>
                <w:noProof/>
                <w:sz w:val="22"/>
                <w:szCs w:val="22"/>
                <w:lang w:val="sr-Latn-ME"/>
              </w:rPr>
            </w:pPr>
          </w:p>
          <w:p w14:paraId="719C84DA" w14:textId="77777777" w:rsidR="003954E2" w:rsidRPr="00D024EA" w:rsidRDefault="003954E2" w:rsidP="00B7348D">
            <w:pPr>
              <w:tabs>
                <w:tab w:val="left" w:pos="284"/>
              </w:tabs>
              <w:rPr>
                <w:noProof/>
                <w:sz w:val="22"/>
                <w:szCs w:val="22"/>
                <w:lang w:val="sr-Latn-ME"/>
              </w:rPr>
            </w:pPr>
            <w:r w:rsidRPr="00D024EA">
              <w:rPr>
                <w:noProof/>
                <w:sz w:val="22"/>
                <w:szCs w:val="22"/>
                <w:lang w:val="sr-Latn-ME" w:eastAsia="sr-Latn-ME"/>
              </w:rPr>
              <w:drawing>
                <wp:anchor distT="0" distB="0" distL="114300" distR="114300" simplePos="0" relativeHeight="251658247" behindDoc="0" locked="0" layoutInCell="1" allowOverlap="1" wp14:anchorId="0CCCF3C4" wp14:editId="2DB05A6E">
                  <wp:simplePos x="0" y="0"/>
                  <wp:positionH relativeFrom="column">
                    <wp:posOffset>0</wp:posOffset>
                  </wp:positionH>
                  <wp:positionV relativeFrom="paragraph">
                    <wp:posOffset>-2120265</wp:posOffset>
                  </wp:positionV>
                  <wp:extent cx="2097405" cy="1943735"/>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97405" cy="1943735"/>
                          </a:xfrm>
                          <a:prstGeom prst="rect">
                            <a:avLst/>
                          </a:prstGeom>
                          <a:noFill/>
                        </pic:spPr>
                      </pic:pic>
                    </a:graphicData>
                  </a:graphic>
                  <wp14:sizeRelH relativeFrom="page">
                    <wp14:pctWidth>0</wp14:pctWidth>
                  </wp14:sizeRelH>
                  <wp14:sizeRelV relativeFrom="page">
                    <wp14:pctHeight>0</wp14:pctHeight>
                  </wp14:sizeRelV>
                </wp:anchor>
              </w:drawing>
            </w:r>
          </w:p>
          <w:p w14:paraId="1CA1A120" w14:textId="77777777" w:rsidR="003954E2" w:rsidRPr="00D024EA" w:rsidRDefault="003954E2" w:rsidP="00B7348D">
            <w:pPr>
              <w:tabs>
                <w:tab w:val="left" w:pos="284"/>
              </w:tabs>
              <w:rPr>
                <w:noProof/>
                <w:sz w:val="22"/>
                <w:szCs w:val="22"/>
                <w:lang w:val="sr-Latn-ME"/>
              </w:rPr>
            </w:pPr>
          </w:p>
          <w:p w14:paraId="7FAEFAE6" w14:textId="77777777" w:rsidR="003954E2" w:rsidRPr="00D024EA" w:rsidRDefault="003954E2" w:rsidP="00B7348D">
            <w:pPr>
              <w:tabs>
                <w:tab w:val="left" w:pos="284"/>
              </w:tabs>
              <w:rPr>
                <w:noProof/>
                <w:sz w:val="22"/>
                <w:szCs w:val="22"/>
                <w:lang w:val="sr-Latn-ME"/>
              </w:rPr>
            </w:pPr>
          </w:p>
          <w:p w14:paraId="76DC452F" w14:textId="77777777" w:rsidR="003954E2" w:rsidRPr="00D024EA" w:rsidRDefault="003954E2" w:rsidP="00B7348D">
            <w:pPr>
              <w:tabs>
                <w:tab w:val="left" w:pos="284"/>
              </w:tabs>
              <w:rPr>
                <w:noProof/>
                <w:sz w:val="22"/>
                <w:szCs w:val="22"/>
                <w:lang w:val="sr-Latn-ME"/>
              </w:rPr>
            </w:pPr>
          </w:p>
          <w:p w14:paraId="7B57112F" w14:textId="77777777" w:rsidR="003954E2" w:rsidRPr="00D024EA" w:rsidRDefault="003954E2" w:rsidP="00B7348D">
            <w:pPr>
              <w:tabs>
                <w:tab w:val="left" w:pos="284"/>
              </w:tabs>
              <w:rPr>
                <w:noProof/>
                <w:sz w:val="22"/>
                <w:szCs w:val="22"/>
                <w:lang w:val="sr-Latn-ME"/>
              </w:rPr>
            </w:pPr>
          </w:p>
          <w:p w14:paraId="563B34AE" w14:textId="77777777" w:rsidR="003954E2" w:rsidRPr="00D024EA" w:rsidRDefault="003954E2" w:rsidP="00B7348D">
            <w:pPr>
              <w:tabs>
                <w:tab w:val="left" w:pos="284"/>
              </w:tabs>
              <w:rPr>
                <w:noProof/>
                <w:sz w:val="22"/>
                <w:szCs w:val="22"/>
                <w:lang w:val="sr-Latn-ME"/>
              </w:rPr>
            </w:pPr>
          </w:p>
          <w:p w14:paraId="3860D3C0" w14:textId="77777777" w:rsidR="003954E2" w:rsidRPr="00D024EA" w:rsidRDefault="003954E2" w:rsidP="00B7348D">
            <w:pPr>
              <w:tabs>
                <w:tab w:val="left" w:pos="284"/>
              </w:tabs>
              <w:rPr>
                <w:noProof/>
                <w:sz w:val="22"/>
                <w:szCs w:val="22"/>
                <w:lang w:val="sr-Latn-ME"/>
              </w:rPr>
            </w:pPr>
            <w:r w:rsidRPr="00D024EA">
              <w:rPr>
                <w:sz w:val="22"/>
                <w:szCs w:val="22"/>
                <w:lang w:val="sr-Latn-ME"/>
              </w:rPr>
              <w:object w:dxaOrig="5412" w:dyaOrig="4236" w14:anchorId="69841120">
                <v:shape id="_x0000_i1026" type="#_x0000_t75" style="width:192.4pt;height:150.9pt" o:ole="">
                  <v:imagedata r:id="rId20" o:title=""/>
                </v:shape>
                <o:OLEObject Type="Embed" ProgID="PBrush" ShapeID="_x0000_i1026" DrawAspect="Content" ObjectID="_1788261999" r:id="rId21"/>
              </w:object>
            </w:r>
          </w:p>
        </w:tc>
      </w:tr>
      <w:tr w:rsidR="003954E2" w:rsidRPr="00D024EA" w14:paraId="42998270" w14:textId="77777777" w:rsidTr="00EA5D97">
        <w:trPr>
          <w:trHeight w:val="7365"/>
        </w:trPr>
        <w:tc>
          <w:tcPr>
            <w:tcW w:w="266" w:type="pct"/>
            <w:tcBorders>
              <w:top w:val="single" w:sz="4" w:space="0" w:color="auto"/>
              <w:left w:val="single" w:sz="4" w:space="0" w:color="auto"/>
              <w:bottom w:val="single" w:sz="4" w:space="0" w:color="auto"/>
              <w:right w:val="single" w:sz="4" w:space="0" w:color="auto"/>
            </w:tcBorders>
            <w:hideMark/>
          </w:tcPr>
          <w:p w14:paraId="4FC92D25" w14:textId="77777777" w:rsidR="003954E2" w:rsidRPr="00D024EA" w:rsidRDefault="003954E2" w:rsidP="00B7348D">
            <w:pPr>
              <w:tabs>
                <w:tab w:val="left" w:pos="284"/>
              </w:tabs>
              <w:autoSpaceDE w:val="0"/>
              <w:autoSpaceDN w:val="0"/>
              <w:adjustRightInd w:val="0"/>
              <w:rPr>
                <w:sz w:val="22"/>
                <w:szCs w:val="22"/>
                <w:lang w:val="sr-Latn-ME"/>
              </w:rPr>
            </w:pPr>
            <w:r w:rsidRPr="00D024EA">
              <w:rPr>
                <w:sz w:val="22"/>
                <w:szCs w:val="22"/>
                <w:lang w:val="sr-Latn-ME"/>
              </w:rPr>
              <w:lastRenderedPageBreak/>
              <w:t>8</w:t>
            </w:r>
          </w:p>
        </w:tc>
        <w:tc>
          <w:tcPr>
            <w:tcW w:w="2090" w:type="pct"/>
            <w:tcBorders>
              <w:top w:val="single" w:sz="4" w:space="0" w:color="auto"/>
              <w:left w:val="single" w:sz="4" w:space="0" w:color="auto"/>
              <w:bottom w:val="single" w:sz="4" w:space="0" w:color="auto"/>
              <w:right w:val="single" w:sz="4" w:space="0" w:color="auto"/>
            </w:tcBorders>
          </w:tcPr>
          <w:p w14:paraId="73D5C03A" w14:textId="4D545633" w:rsidR="003954E2" w:rsidRPr="00D024EA" w:rsidRDefault="003954E2" w:rsidP="00EA5D97">
            <w:pPr>
              <w:tabs>
                <w:tab w:val="left" w:pos="284"/>
              </w:tabs>
              <w:autoSpaceDE w:val="0"/>
              <w:autoSpaceDN w:val="0"/>
              <w:adjustRightInd w:val="0"/>
              <w:jc w:val="both"/>
              <w:rPr>
                <w:sz w:val="22"/>
                <w:szCs w:val="22"/>
                <w:lang w:val="sr-Latn-ME"/>
              </w:rPr>
            </w:pPr>
            <w:r w:rsidRPr="00D024EA">
              <w:rPr>
                <w:sz w:val="22"/>
                <w:szCs w:val="22"/>
                <w:lang w:val="sr-Latn-ME"/>
              </w:rPr>
              <w:t xml:space="preserve">Okrenite obje bočice tako da voda može u potpunosti da istekne u bočicu sa praškom. </w:t>
            </w:r>
          </w:p>
          <w:p w14:paraId="6A3C5E77" w14:textId="77777777" w:rsidR="003954E2" w:rsidRPr="00D024EA" w:rsidRDefault="003954E2" w:rsidP="00EA5D97">
            <w:pPr>
              <w:tabs>
                <w:tab w:val="left" w:pos="284"/>
              </w:tabs>
              <w:autoSpaceDE w:val="0"/>
              <w:autoSpaceDN w:val="0"/>
              <w:adjustRightInd w:val="0"/>
              <w:jc w:val="both"/>
              <w:rPr>
                <w:sz w:val="22"/>
                <w:szCs w:val="22"/>
                <w:lang w:val="sr-Latn-ME"/>
              </w:rPr>
            </w:pPr>
          </w:p>
          <w:p w14:paraId="2900DC90" w14:textId="77777777" w:rsidR="003954E2" w:rsidRPr="00D024EA" w:rsidRDefault="003954E2" w:rsidP="00EA5D97">
            <w:pPr>
              <w:tabs>
                <w:tab w:val="left" w:pos="284"/>
              </w:tabs>
              <w:autoSpaceDE w:val="0"/>
              <w:autoSpaceDN w:val="0"/>
              <w:adjustRightInd w:val="0"/>
              <w:jc w:val="both"/>
              <w:rPr>
                <w:sz w:val="22"/>
                <w:szCs w:val="22"/>
                <w:lang w:val="sr-Latn-ME"/>
              </w:rPr>
            </w:pPr>
          </w:p>
          <w:p w14:paraId="211A5848" w14:textId="77777777" w:rsidR="003954E2" w:rsidRPr="00D024EA" w:rsidRDefault="003954E2" w:rsidP="00EA5D97">
            <w:pPr>
              <w:tabs>
                <w:tab w:val="left" w:pos="284"/>
              </w:tabs>
              <w:autoSpaceDE w:val="0"/>
              <w:autoSpaceDN w:val="0"/>
              <w:adjustRightInd w:val="0"/>
              <w:jc w:val="both"/>
              <w:rPr>
                <w:sz w:val="22"/>
                <w:szCs w:val="22"/>
                <w:lang w:val="sr-Latn-ME"/>
              </w:rPr>
            </w:pPr>
          </w:p>
          <w:p w14:paraId="0AB97F14" w14:textId="77777777" w:rsidR="003954E2" w:rsidRPr="00D024EA" w:rsidRDefault="003954E2" w:rsidP="00EA5D97">
            <w:pPr>
              <w:tabs>
                <w:tab w:val="left" w:pos="284"/>
              </w:tabs>
              <w:autoSpaceDE w:val="0"/>
              <w:autoSpaceDN w:val="0"/>
              <w:adjustRightInd w:val="0"/>
              <w:jc w:val="both"/>
              <w:rPr>
                <w:sz w:val="22"/>
                <w:szCs w:val="22"/>
                <w:lang w:val="sr-Latn-ME"/>
              </w:rPr>
            </w:pPr>
          </w:p>
          <w:p w14:paraId="094CC93B" w14:textId="77777777" w:rsidR="003954E2" w:rsidRPr="00D024EA" w:rsidRDefault="003954E2" w:rsidP="00EA5D97">
            <w:pPr>
              <w:tabs>
                <w:tab w:val="left" w:pos="284"/>
              </w:tabs>
              <w:autoSpaceDE w:val="0"/>
              <w:autoSpaceDN w:val="0"/>
              <w:adjustRightInd w:val="0"/>
              <w:jc w:val="both"/>
              <w:rPr>
                <w:sz w:val="22"/>
                <w:szCs w:val="22"/>
                <w:lang w:val="sr-Latn-ME"/>
              </w:rPr>
            </w:pPr>
          </w:p>
          <w:p w14:paraId="61D0A14A" w14:textId="77777777" w:rsidR="003954E2" w:rsidRPr="00D024EA" w:rsidRDefault="003954E2" w:rsidP="00EA5D97">
            <w:pPr>
              <w:tabs>
                <w:tab w:val="left" w:pos="284"/>
              </w:tabs>
              <w:autoSpaceDE w:val="0"/>
              <w:autoSpaceDN w:val="0"/>
              <w:adjustRightInd w:val="0"/>
              <w:jc w:val="both"/>
              <w:rPr>
                <w:sz w:val="22"/>
                <w:szCs w:val="22"/>
                <w:lang w:val="sr-Latn-ME"/>
              </w:rPr>
            </w:pPr>
          </w:p>
          <w:p w14:paraId="1BC89151" w14:textId="77777777" w:rsidR="003954E2" w:rsidRPr="00D024EA" w:rsidRDefault="003954E2" w:rsidP="00EA5D97">
            <w:pPr>
              <w:tabs>
                <w:tab w:val="left" w:pos="284"/>
              </w:tabs>
              <w:autoSpaceDE w:val="0"/>
              <w:autoSpaceDN w:val="0"/>
              <w:adjustRightInd w:val="0"/>
              <w:jc w:val="both"/>
              <w:rPr>
                <w:sz w:val="22"/>
                <w:szCs w:val="22"/>
                <w:lang w:val="sr-Latn-ME"/>
              </w:rPr>
            </w:pPr>
          </w:p>
          <w:p w14:paraId="787B8672" w14:textId="77777777" w:rsidR="003954E2" w:rsidRPr="00D024EA" w:rsidRDefault="003954E2" w:rsidP="00EA5D97">
            <w:pPr>
              <w:tabs>
                <w:tab w:val="left" w:pos="284"/>
              </w:tabs>
              <w:autoSpaceDE w:val="0"/>
              <w:autoSpaceDN w:val="0"/>
              <w:adjustRightInd w:val="0"/>
              <w:jc w:val="both"/>
              <w:rPr>
                <w:sz w:val="22"/>
                <w:szCs w:val="22"/>
                <w:lang w:val="sr-Latn-ME"/>
              </w:rPr>
            </w:pPr>
          </w:p>
          <w:p w14:paraId="35E1C232" w14:textId="77777777" w:rsidR="003954E2" w:rsidRPr="00D024EA" w:rsidRDefault="003954E2" w:rsidP="00EA5D97">
            <w:pPr>
              <w:tabs>
                <w:tab w:val="left" w:pos="284"/>
              </w:tabs>
              <w:autoSpaceDE w:val="0"/>
              <w:autoSpaceDN w:val="0"/>
              <w:adjustRightInd w:val="0"/>
              <w:jc w:val="both"/>
              <w:rPr>
                <w:sz w:val="22"/>
                <w:szCs w:val="22"/>
                <w:lang w:val="sr-Latn-ME"/>
              </w:rPr>
            </w:pPr>
          </w:p>
          <w:p w14:paraId="30E3B887" w14:textId="77777777" w:rsidR="003954E2" w:rsidRPr="00D024EA" w:rsidRDefault="003954E2" w:rsidP="00EA5D97">
            <w:pPr>
              <w:tabs>
                <w:tab w:val="left" w:pos="284"/>
              </w:tabs>
              <w:autoSpaceDE w:val="0"/>
              <w:autoSpaceDN w:val="0"/>
              <w:adjustRightInd w:val="0"/>
              <w:jc w:val="both"/>
              <w:rPr>
                <w:sz w:val="22"/>
                <w:szCs w:val="22"/>
                <w:lang w:val="sr-Latn-ME"/>
              </w:rPr>
            </w:pPr>
          </w:p>
          <w:p w14:paraId="2B2AEE02" w14:textId="77777777" w:rsidR="003954E2" w:rsidRPr="00D024EA" w:rsidRDefault="003954E2" w:rsidP="00EA5D97">
            <w:pPr>
              <w:tabs>
                <w:tab w:val="left" w:pos="284"/>
              </w:tabs>
              <w:autoSpaceDE w:val="0"/>
              <w:autoSpaceDN w:val="0"/>
              <w:adjustRightInd w:val="0"/>
              <w:jc w:val="both"/>
              <w:rPr>
                <w:sz w:val="22"/>
                <w:szCs w:val="22"/>
                <w:lang w:val="sr-Latn-ME"/>
              </w:rPr>
            </w:pPr>
          </w:p>
          <w:p w14:paraId="28F989D6" w14:textId="77777777" w:rsidR="003954E2" w:rsidRPr="00D024EA" w:rsidRDefault="003954E2" w:rsidP="00EA5D97">
            <w:pPr>
              <w:tabs>
                <w:tab w:val="left" w:pos="284"/>
              </w:tabs>
              <w:autoSpaceDE w:val="0"/>
              <w:autoSpaceDN w:val="0"/>
              <w:adjustRightInd w:val="0"/>
              <w:jc w:val="both"/>
              <w:rPr>
                <w:sz w:val="22"/>
                <w:szCs w:val="22"/>
                <w:lang w:val="sr-Latn-ME"/>
              </w:rPr>
            </w:pPr>
          </w:p>
          <w:p w14:paraId="082998AF" w14:textId="77777777" w:rsidR="003954E2" w:rsidRPr="00D024EA" w:rsidRDefault="003954E2" w:rsidP="00EA5D97">
            <w:pPr>
              <w:tabs>
                <w:tab w:val="left" w:pos="284"/>
              </w:tabs>
              <w:autoSpaceDE w:val="0"/>
              <w:autoSpaceDN w:val="0"/>
              <w:adjustRightInd w:val="0"/>
              <w:jc w:val="both"/>
              <w:rPr>
                <w:sz w:val="22"/>
                <w:szCs w:val="22"/>
                <w:lang w:val="sr-Latn-ME"/>
              </w:rPr>
            </w:pPr>
          </w:p>
          <w:p w14:paraId="3ED31F0E" w14:textId="77777777" w:rsidR="003954E2" w:rsidRPr="00D024EA" w:rsidRDefault="003954E2" w:rsidP="00EA5D97">
            <w:pPr>
              <w:tabs>
                <w:tab w:val="left" w:pos="284"/>
              </w:tabs>
              <w:autoSpaceDE w:val="0"/>
              <w:autoSpaceDN w:val="0"/>
              <w:adjustRightInd w:val="0"/>
              <w:jc w:val="both"/>
              <w:rPr>
                <w:sz w:val="22"/>
                <w:szCs w:val="22"/>
                <w:lang w:val="sr-Latn-ME"/>
              </w:rPr>
            </w:pPr>
          </w:p>
        </w:tc>
        <w:tc>
          <w:tcPr>
            <w:tcW w:w="2644" w:type="pct"/>
            <w:tcBorders>
              <w:top w:val="single" w:sz="4" w:space="0" w:color="auto"/>
              <w:left w:val="single" w:sz="4" w:space="0" w:color="auto"/>
              <w:bottom w:val="single" w:sz="4" w:space="0" w:color="auto"/>
              <w:right w:val="single" w:sz="4" w:space="0" w:color="auto"/>
            </w:tcBorders>
          </w:tcPr>
          <w:p w14:paraId="445B3FBE" w14:textId="77777777" w:rsidR="003954E2" w:rsidRPr="00D024EA" w:rsidRDefault="003954E2" w:rsidP="00B7348D">
            <w:pPr>
              <w:tabs>
                <w:tab w:val="left" w:pos="284"/>
              </w:tabs>
              <w:rPr>
                <w:noProof/>
                <w:sz w:val="22"/>
                <w:szCs w:val="22"/>
                <w:lang w:val="sr-Latn-ME"/>
              </w:rPr>
            </w:pPr>
            <w:r w:rsidRPr="00D024EA">
              <w:rPr>
                <w:noProof/>
                <w:sz w:val="22"/>
                <w:szCs w:val="22"/>
                <w:lang w:val="sr-Latn-ME" w:eastAsia="sr-Latn-ME"/>
              </w:rPr>
              <w:drawing>
                <wp:anchor distT="0" distB="0" distL="114300" distR="114300" simplePos="0" relativeHeight="251658253" behindDoc="0" locked="0" layoutInCell="1" allowOverlap="1" wp14:anchorId="6189F896" wp14:editId="05128F67">
                  <wp:simplePos x="0" y="0"/>
                  <wp:positionH relativeFrom="column">
                    <wp:posOffset>186690</wp:posOffset>
                  </wp:positionH>
                  <wp:positionV relativeFrom="paragraph">
                    <wp:posOffset>159385</wp:posOffset>
                  </wp:positionV>
                  <wp:extent cx="2211705" cy="204851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11705" cy="2048510"/>
                          </a:xfrm>
                          <a:prstGeom prst="rect">
                            <a:avLst/>
                          </a:prstGeom>
                          <a:noFill/>
                        </pic:spPr>
                      </pic:pic>
                    </a:graphicData>
                  </a:graphic>
                  <wp14:sizeRelH relativeFrom="page">
                    <wp14:pctWidth>0</wp14:pctWidth>
                  </wp14:sizeRelH>
                  <wp14:sizeRelV relativeFrom="page">
                    <wp14:pctHeight>0</wp14:pctHeight>
                  </wp14:sizeRelV>
                </wp:anchor>
              </w:drawing>
            </w:r>
          </w:p>
          <w:p w14:paraId="7BA925D3" w14:textId="77777777" w:rsidR="003954E2" w:rsidRPr="00D024EA" w:rsidRDefault="003954E2" w:rsidP="00B7348D">
            <w:pPr>
              <w:tabs>
                <w:tab w:val="left" w:pos="284"/>
              </w:tabs>
              <w:rPr>
                <w:noProof/>
                <w:sz w:val="22"/>
                <w:szCs w:val="22"/>
                <w:lang w:val="sr-Latn-ME"/>
              </w:rPr>
            </w:pPr>
          </w:p>
          <w:p w14:paraId="231D0CA3" w14:textId="77777777" w:rsidR="003954E2" w:rsidRPr="00D024EA" w:rsidRDefault="003954E2" w:rsidP="00B7348D">
            <w:pPr>
              <w:tabs>
                <w:tab w:val="left" w:pos="284"/>
              </w:tabs>
              <w:rPr>
                <w:noProof/>
                <w:sz w:val="22"/>
                <w:szCs w:val="22"/>
                <w:lang w:val="sr-Latn-ME"/>
              </w:rPr>
            </w:pPr>
          </w:p>
          <w:p w14:paraId="2C7A7BCB" w14:textId="77777777" w:rsidR="003954E2" w:rsidRPr="00D024EA" w:rsidRDefault="003954E2" w:rsidP="00B7348D">
            <w:pPr>
              <w:tabs>
                <w:tab w:val="left" w:pos="284"/>
              </w:tabs>
              <w:rPr>
                <w:noProof/>
                <w:sz w:val="22"/>
                <w:szCs w:val="22"/>
                <w:lang w:val="sr-Latn-ME"/>
              </w:rPr>
            </w:pPr>
          </w:p>
          <w:p w14:paraId="71EBE586" w14:textId="77777777" w:rsidR="003954E2" w:rsidRPr="00D024EA" w:rsidRDefault="003954E2" w:rsidP="00B7348D">
            <w:pPr>
              <w:tabs>
                <w:tab w:val="left" w:pos="284"/>
              </w:tabs>
              <w:rPr>
                <w:noProof/>
                <w:sz w:val="22"/>
                <w:szCs w:val="22"/>
                <w:lang w:val="sr-Latn-ME"/>
              </w:rPr>
            </w:pPr>
          </w:p>
          <w:p w14:paraId="01D12A2A" w14:textId="77777777" w:rsidR="003954E2" w:rsidRPr="00D024EA" w:rsidRDefault="003954E2" w:rsidP="00B7348D">
            <w:pPr>
              <w:tabs>
                <w:tab w:val="left" w:pos="284"/>
              </w:tabs>
              <w:rPr>
                <w:noProof/>
                <w:sz w:val="22"/>
                <w:szCs w:val="22"/>
                <w:lang w:val="sr-Latn-ME"/>
              </w:rPr>
            </w:pPr>
          </w:p>
          <w:p w14:paraId="504B30B3" w14:textId="77777777" w:rsidR="003954E2" w:rsidRPr="00D024EA" w:rsidRDefault="003954E2" w:rsidP="00B7348D">
            <w:pPr>
              <w:tabs>
                <w:tab w:val="left" w:pos="284"/>
              </w:tabs>
              <w:rPr>
                <w:noProof/>
                <w:sz w:val="22"/>
                <w:szCs w:val="22"/>
                <w:lang w:val="sr-Latn-ME"/>
              </w:rPr>
            </w:pPr>
          </w:p>
          <w:p w14:paraId="6F9819A5" w14:textId="77777777" w:rsidR="003954E2" w:rsidRPr="00D024EA" w:rsidRDefault="003954E2" w:rsidP="00B7348D">
            <w:pPr>
              <w:tabs>
                <w:tab w:val="left" w:pos="284"/>
              </w:tabs>
              <w:rPr>
                <w:noProof/>
                <w:sz w:val="22"/>
                <w:szCs w:val="22"/>
                <w:lang w:val="sr-Latn-ME"/>
              </w:rPr>
            </w:pPr>
          </w:p>
          <w:p w14:paraId="391CBEE3" w14:textId="77777777" w:rsidR="003954E2" w:rsidRPr="00D024EA" w:rsidRDefault="003954E2" w:rsidP="00B7348D">
            <w:pPr>
              <w:tabs>
                <w:tab w:val="left" w:pos="284"/>
              </w:tabs>
              <w:rPr>
                <w:noProof/>
                <w:sz w:val="22"/>
                <w:szCs w:val="22"/>
                <w:lang w:val="sr-Latn-ME"/>
              </w:rPr>
            </w:pPr>
          </w:p>
          <w:p w14:paraId="1ED3CC54" w14:textId="77777777" w:rsidR="003954E2" w:rsidRPr="00D024EA" w:rsidRDefault="003954E2" w:rsidP="00B7348D">
            <w:pPr>
              <w:tabs>
                <w:tab w:val="left" w:pos="284"/>
              </w:tabs>
              <w:rPr>
                <w:noProof/>
                <w:sz w:val="22"/>
                <w:szCs w:val="22"/>
                <w:lang w:val="sr-Latn-ME"/>
              </w:rPr>
            </w:pPr>
          </w:p>
          <w:p w14:paraId="3E527F64" w14:textId="77777777" w:rsidR="003954E2" w:rsidRPr="00D024EA" w:rsidRDefault="003954E2" w:rsidP="00B7348D">
            <w:pPr>
              <w:tabs>
                <w:tab w:val="left" w:pos="284"/>
              </w:tabs>
              <w:rPr>
                <w:noProof/>
                <w:sz w:val="22"/>
                <w:szCs w:val="22"/>
                <w:lang w:val="sr-Latn-ME"/>
              </w:rPr>
            </w:pPr>
          </w:p>
          <w:p w14:paraId="7DEE071A" w14:textId="77777777" w:rsidR="003954E2" w:rsidRPr="00D024EA" w:rsidRDefault="003954E2" w:rsidP="00B7348D">
            <w:pPr>
              <w:tabs>
                <w:tab w:val="left" w:pos="284"/>
              </w:tabs>
              <w:rPr>
                <w:noProof/>
                <w:sz w:val="22"/>
                <w:szCs w:val="22"/>
                <w:lang w:val="sr-Latn-ME"/>
              </w:rPr>
            </w:pPr>
          </w:p>
          <w:p w14:paraId="2F93603D" w14:textId="77777777" w:rsidR="003954E2" w:rsidRPr="00D024EA" w:rsidRDefault="003954E2" w:rsidP="00B7348D">
            <w:pPr>
              <w:tabs>
                <w:tab w:val="left" w:pos="284"/>
              </w:tabs>
              <w:rPr>
                <w:noProof/>
                <w:sz w:val="22"/>
                <w:szCs w:val="22"/>
                <w:lang w:val="sr-Latn-ME"/>
              </w:rPr>
            </w:pPr>
          </w:p>
          <w:p w14:paraId="43DFDE4D" w14:textId="77777777" w:rsidR="003954E2" w:rsidRPr="00D024EA" w:rsidRDefault="003954E2" w:rsidP="00B7348D">
            <w:pPr>
              <w:tabs>
                <w:tab w:val="left" w:pos="284"/>
              </w:tabs>
              <w:rPr>
                <w:noProof/>
                <w:sz w:val="22"/>
                <w:szCs w:val="22"/>
                <w:lang w:val="sr-Latn-ME"/>
              </w:rPr>
            </w:pPr>
          </w:p>
          <w:p w14:paraId="7E5FF727" w14:textId="77777777" w:rsidR="003954E2" w:rsidRPr="00D024EA" w:rsidRDefault="003954E2" w:rsidP="00B7348D">
            <w:pPr>
              <w:tabs>
                <w:tab w:val="left" w:pos="284"/>
              </w:tabs>
              <w:rPr>
                <w:noProof/>
                <w:sz w:val="22"/>
                <w:szCs w:val="22"/>
                <w:lang w:val="sr-Latn-ME"/>
              </w:rPr>
            </w:pPr>
            <w:r w:rsidRPr="00D024EA">
              <w:rPr>
                <w:sz w:val="22"/>
                <w:szCs w:val="22"/>
                <w:lang w:val="sr-Latn-ME"/>
              </w:rPr>
              <w:object w:dxaOrig="4668" w:dyaOrig="3816" w14:anchorId="0A91EC3E">
                <v:shape id="_x0000_i1027" type="#_x0000_t75" style="width:182pt;height:147.45pt" o:ole="">
                  <v:imagedata r:id="rId23" o:title=""/>
                </v:shape>
                <o:OLEObject Type="Embed" ProgID="PBrush" ShapeID="_x0000_i1027" DrawAspect="Content" ObjectID="_1788262000" r:id="rId24"/>
              </w:object>
            </w:r>
          </w:p>
        </w:tc>
      </w:tr>
      <w:tr w:rsidR="003954E2" w:rsidRPr="00D024EA" w14:paraId="21B070B1" w14:textId="77777777" w:rsidTr="00EA5D97">
        <w:trPr>
          <w:trHeight w:val="2700"/>
        </w:trPr>
        <w:tc>
          <w:tcPr>
            <w:tcW w:w="266" w:type="pct"/>
            <w:tcBorders>
              <w:top w:val="single" w:sz="4" w:space="0" w:color="auto"/>
              <w:left w:val="single" w:sz="4" w:space="0" w:color="auto"/>
              <w:bottom w:val="single" w:sz="4" w:space="0" w:color="auto"/>
              <w:right w:val="single" w:sz="4" w:space="0" w:color="auto"/>
            </w:tcBorders>
            <w:hideMark/>
          </w:tcPr>
          <w:p w14:paraId="162DD27D" w14:textId="77777777" w:rsidR="003954E2" w:rsidRPr="00D024EA" w:rsidRDefault="003954E2" w:rsidP="00B7348D">
            <w:pPr>
              <w:tabs>
                <w:tab w:val="left" w:pos="284"/>
              </w:tabs>
              <w:autoSpaceDE w:val="0"/>
              <w:autoSpaceDN w:val="0"/>
              <w:adjustRightInd w:val="0"/>
              <w:rPr>
                <w:sz w:val="22"/>
                <w:szCs w:val="22"/>
                <w:lang w:val="sr-Latn-ME"/>
              </w:rPr>
            </w:pPr>
            <w:r w:rsidRPr="00D024EA">
              <w:rPr>
                <w:sz w:val="22"/>
                <w:szCs w:val="22"/>
                <w:lang w:val="sr-Latn-ME"/>
              </w:rPr>
              <w:t>9</w:t>
            </w:r>
          </w:p>
        </w:tc>
        <w:tc>
          <w:tcPr>
            <w:tcW w:w="2090" w:type="pct"/>
            <w:tcBorders>
              <w:top w:val="single" w:sz="4" w:space="0" w:color="auto"/>
              <w:left w:val="single" w:sz="4" w:space="0" w:color="auto"/>
              <w:bottom w:val="single" w:sz="4" w:space="0" w:color="auto"/>
              <w:right w:val="single" w:sz="4" w:space="0" w:color="auto"/>
            </w:tcBorders>
          </w:tcPr>
          <w:p w14:paraId="76F0CA0B" w14:textId="77777777" w:rsidR="003954E2" w:rsidRPr="00D024EA" w:rsidRDefault="003954E2" w:rsidP="00EA5D97">
            <w:pPr>
              <w:tabs>
                <w:tab w:val="left" w:pos="284"/>
              </w:tabs>
              <w:autoSpaceDE w:val="0"/>
              <w:autoSpaceDN w:val="0"/>
              <w:adjustRightInd w:val="0"/>
              <w:jc w:val="both"/>
              <w:rPr>
                <w:sz w:val="22"/>
                <w:szCs w:val="22"/>
                <w:lang w:val="sr-Latn-ME"/>
              </w:rPr>
            </w:pPr>
            <w:r w:rsidRPr="00D024EA">
              <w:rPr>
                <w:sz w:val="22"/>
                <w:szCs w:val="22"/>
                <w:lang w:val="sr-Latn-ME"/>
              </w:rPr>
              <w:t xml:space="preserve">Uklonite praznu bočicu od vode i prenosnu kanilu. </w:t>
            </w:r>
          </w:p>
          <w:p w14:paraId="0E83F086" w14:textId="77777777" w:rsidR="003954E2" w:rsidRPr="00D024EA" w:rsidRDefault="003954E2" w:rsidP="00EA5D97">
            <w:pPr>
              <w:tabs>
                <w:tab w:val="left" w:pos="284"/>
              </w:tabs>
              <w:autoSpaceDE w:val="0"/>
              <w:autoSpaceDN w:val="0"/>
              <w:adjustRightInd w:val="0"/>
              <w:jc w:val="both"/>
              <w:rPr>
                <w:sz w:val="22"/>
                <w:szCs w:val="22"/>
                <w:lang w:val="sr-Latn-ME"/>
              </w:rPr>
            </w:pPr>
            <w:r w:rsidRPr="00D024EA">
              <w:rPr>
                <w:sz w:val="22"/>
                <w:szCs w:val="22"/>
                <w:lang w:val="sr-Latn-ME"/>
              </w:rPr>
              <w:t>One se mogu odložiti.</w:t>
            </w:r>
          </w:p>
          <w:p w14:paraId="76AF0723" w14:textId="77777777" w:rsidR="003954E2" w:rsidRPr="00D024EA" w:rsidRDefault="003954E2" w:rsidP="00EA5D97">
            <w:pPr>
              <w:tabs>
                <w:tab w:val="left" w:pos="284"/>
              </w:tabs>
              <w:autoSpaceDE w:val="0"/>
              <w:autoSpaceDN w:val="0"/>
              <w:adjustRightInd w:val="0"/>
              <w:jc w:val="both"/>
              <w:rPr>
                <w:sz w:val="22"/>
                <w:szCs w:val="22"/>
                <w:lang w:val="sr-Latn-ME"/>
              </w:rPr>
            </w:pPr>
          </w:p>
          <w:p w14:paraId="33B1CE57" w14:textId="77777777" w:rsidR="003954E2" w:rsidRPr="00D024EA" w:rsidRDefault="003954E2" w:rsidP="00EA5D97">
            <w:pPr>
              <w:tabs>
                <w:tab w:val="left" w:pos="284"/>
              </w:tabs>
              <w:autoSpaceDE w:val="0"/>
              <w:autoSpaceDN w:val="0"/>
              <w:adjustRightInd w:val="0"/>
              <w:jc w:val="both"/>
              <w:rPr>
                <w:sz w:val="22"/>
                <w:szCs w:val="22"/>
                <w:lang w:val="sr-Latn-ME"/>
              </w:rPr>
            </w:pPr>
          </w:p>
          <w:p w14:paraId="4745A690" w14:textId="77777777" w:rsidR="003954E2" w:rsidRPr="00D024EA" w:rsidRDefault="003954E2" w:rsidP="00EA5D97">
            <w:pPr>
              <w:tabs>
                <w:tab w:val="left" w:pos="284"/>
              </w:tabs>
              <w:autoSpaceDE w:val="0"/>
              <w:autoSpaceDN w:val="0"/>
              <w:adjustRightInd w:val="0"/>
              <w:jc w:val="both"/>
              <w:rPr>
                <w:sz w:val="22"/>
                <w:szCs w:val="22"/>
                <w:lang w:val="sr-Latn-ME"/>
              </w:rPr>
            </w:pPr>
          </w:p>
          <w:p w14:paraId="5613BCAD" w14:textId="77777777" w:rsidR="003954E2" w:rsidRPr="00D024EA" w:rsidRDefault="003954E2" w:rsidP="00EA5D97">
            <w:pPr>
              <w:tabs>
                <w:tab w:val="left" w:pos="284"/>
              </w:tabs>
              <w:autoSpaceDE w:val="0"/>
              <w:autoSpaceDN w:val="0"/>
              <w:adjustRightInd w:val="0"/>
              <w:jc w:val="both"/>
              <w:rPr>
                <w:sz w:val="22"/>
                <w:szCs w:val="22"/>
                <w:lang w:val="sr-Latn-ME"/>
              </w:rPr>
            </w:pPr>
          </w:p>
          <w:p w14:paraId="4E3A14EF" w14:textId="77777777" w:rsidR="003954E2" w:rsidRPr="00D024EA" w:rsidRDefault="003954E2" w:rsidP="00EA5D97">
            <w:pPr>
              <w:tabs>
                <w:tab w:val="left" w:pos="284"/>
              </w:tabs>
              <w:autoSpaceDE w:val="0"/>
              <w:autoSpaceDN w:val="0"/>
              <w:adjustRightInd w:val="0"/>
              <w:jc w:val="both"/>
              <w:rPr>
                <w:sz w:val="22"/>
                <w:szCs w:val="22"/>
                <w:lang w:val="sr-Latn-ME"/>
              </w:rPr>
            </w:pPr>
          </w:p>
        </w:tc>
        <w:tc>
          <w:tcPr>
            <w:tcW w:w="2644" w:type="pct"/>
            <w:tcBorders>
              <w:top w:val="single" w:sz="4" w:space="0" w:color="auto"/>
              <w:left w:val="single" w:sz="4" w:space="0" w:color="auto"/>
              <w:bottom w:val="single" w:sz="4" w:space="0" w:color="auto"/>
              <w:right w:val="single" w:sz="4" w:space="0" w:color="auto"/>
            </w:tcBorders>
          </w:tcPr>
          <w:p w14:paraId="2541F7BB" w14:textId="77777777" w:rsidR="003954E2" w:rsidRPr="00D024EA" w:rsidRDefault="003954E2" w:rsidP="00B7348D">
            <w:pPr>
              <w:tabs>
                <w:tab w:val="left" w:pos="284"/>
              </w:tabs>
              <w:rPr>
                <w:noProof/>
                <w:sz w:val="22"/>
                <w:szCs w:val="22"/>
                <w:lang w:val="sr-Latn-ME"/>
              </w:rPr>
            </w:pPr>
            <w:r w:rsidRPr="00D024EA">
              <w:rPr>
                <w:noProof/>
                <w:sz w:val="22"/>
                <w:szCs w:val="22"/>
                <w:lang w:val="sr-Latn-ME" w:eastAsia="sr-Latn-ME"/>
              </w:rPr>
              <w:drawing>
                <wp:anchor distT="0" distB="0" distL="114300" distR="114300" simplePos="0" relativeHeight="251658248" behindDoc="0" locked="0" layoutInCell="1" allowOverlap="1" wp14:anchorId="34140E07" wp14:editId="006AF172">
                  <wp:simplePos x="0" y="0"/>
                  <wp:positionH relativeFrom="column">
                    <wp:posOffset>409575</wp:posOffset>
                  </wp:positionH>
                  <wp:positionV relativeFrom="paragraph">
                    <wp:posOffset>193040</wp:posOffset>
                  </wp:positionV>
                  <wp:extent cx="2059305" cy="1908175"/>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59305" cy="1908175"/>
                          </a:xfrm>
                          <a:prstGeom prst="rect">
                            <a:avLst/>
                          </a:prstGeom>
                          <a:noFill/>
                        </pic:spPr>
                      </pic:pic>
                    </a:graphicData>
                  </a:graphic>
                  <wp14:sizeRelH relativeFrom="page">
                    <wp14:pctWidth>0</wp14:pctWidth>
                  </wp14:sizeRelH>
                  <wp14:sizeRelV relativeFrom="page">
                    <wp14:pctHeight>0</wp14:pctHeight>
                  </wp14:sizeRelV>
                </wp:anchor>
              </w:drawing>
            </w:r>
          </w:p>
          <w:p w14:paraId="6EC991C7" w14:textId="77777777" w:rsidR="003954E2" w:rsidRPr="00D024EA" w:rsidRDefault="003954E2" w:rsidP="00B7348D">
            <w:pPr>
              <w:tabs>
                <w:tab w:val="left" w:pos="284"/>
              </w:tabs>
              <w:rPr>
                <w:noProof/>
                <w:sz w:val="22"/>
                <w:szCs w:val="22"/>
                <w:lang w:val="sr-Latn-ME"/>
              </w:rPr>
            </w:pPr>
          </w:p>
          <w:p w14:paraId="45EA7F1F" w14:textId="77777777" w:rsidR="003954E2" w:rsidRPr="00D024EA" w:rsidRDefault="003954E2" w:rsidP="00B7348D">
            <w:pPr>
              <w:tabs>
                <w:tab w:val="left" w:pos="284"/>
              </w:tabs>
              <w:rPr>
                <w:noProof/>
                <w:sz w:val="22"/>
                <w:szCs w:val="22"/>
                <w:lang w:val="sr-Latn-ME"/>
              </w:rPr>
            </w:pPr>
          </w:p>
          <w:p w14:paraId="501B9D9B" w14:textId="77777777" w:rsidR="003954E2" w:rsidRPr="00D024EA" w:rsidRDefault="003954E2" w:rsidP="00B7348D">
            <w:pPr>
              <w:tabs>
                <w:tab w:val="left" w:pos="284"/>
              </w:tabs>
              <w:rPr>
                <w:noProof/>
                <w:sz w:val="22"/>
                <w:szCs w:val="22"/>
                <w:lang w:val="sr-Latn-ME"/>
              </w:rPr>
            </w:pPr>
          </w:p>
          <w:p w14:paraId="4E7A18E0" w14:textId="77777777" w:rsidR="003954E2" w:rsidRPr="00D024EA" w:rsidRDefault="003954E2" w:rsidP="00B7348D">
            <w:pPr>
              <w:tabs>
                <w:tab w:val="left" w:pos="284"/>
              </w:tabs>
              <w:rPr>
                <w:noProof/>
                <w:sz w:val="22"/>
                <w:szCs w:val="22"/>
                <w:lang w:val="sr-Latn-ME"/>
              </w:rPr>
            </w:pPr>
          </w:p>
          <w:p w14:paraId="3D1933D9" w14:textId="77777777" w:rsidR="003954E2" w:rsidRPr="00D024EA" w:rsidRDefault="003954E2" w:rsidP="00B7348D">
            <w:pPr>
              <w:tabs>
                <w:tab w:val="left" w:pos="284"/>
              </w:tabs>
              <w:rPr>
                <w:noProof/>
                <w:sz w:val="22"/>
                <w:szCs w:val="22"/>
                <w:lang w:val="sr-Latn-ME"/>
              </w:rPr>
            </w:pPr>
          </w:p>
          <w:p w14:paraId="0AE6E9F2" w14:textId="77777777" w:rsidR="003954E2" w:rsidRPr="00D024EA" w:rsidRDefault="003954E2" w:rsidP="00B7348D">
            <w:pPr>
              <w:tabs>
                <w:tab w:val="left" w:pos="284"/>
              </w:tabs>
              <w:rPr>
                <w:noProof/>
                <w:sz w:val="22"/>
                <w:szCs w:val="22"/>
                <w:lang w:val="sr-Latn-ME"/>
              </w:rPr>
            </w:pPr>
          </w:p>
          <w:p w14:paraId="57A9A1C9" w14:textId="77777777" w:rsidR="003954E2" w:rsidRPr="00D024EA" w:rsidRDefault="003954E2" w:rsidP="00B7348D">
            <w:pPr>
              <w:tabs>
                <w:tab w:val="left" w:pos="284"/>
              </w:tabs>
              <w:rPr>
                <w:noProof/>
                <w:sz w:val="22"/>
                <w:szCs w:val="22"/>
                <w:lang w:val="sr-Latn-ME"/>
              </w:rPr>
            </w:pPr>
          </w:p>
        </w:tc>
      </w:tr>
      <w:tr w:rsidR="003954E2" w:rsidRPr="00D024EA" w14:paraId="4B73FECE" w14:textId="77777777" w:rsidTr="00EA5D97">
        <w:trPr>
          <w:trHeight w:val="2700"/>
        </w:trPr>
        <w:tc>
          <w:tcPr>
            <w:tcW w:w="266" w:type="pct"/>
            <w:tcBorders>
              <w:top w:val="single" w:sz="4" w:space="0" w:color="auto"/>
              <w:left w:val="single" w:sz="4" w:space="0" w:color="auto"/>
              <w:bottom w:val="single" w:sz="4" w:space="0" w:color="auto"/>
              <w:right w:val="single" w:sz="4" w:space="0" w:color="auto"/>
            </w:tcBorders>
            <w:hideMark/>
          </w:tcPr>
          <w:p w14:paraId="08DFF385" w14:textId="77777777" w:rsidR="003954E2" w:rsidRPr="00D024EA" w:rsidRDefault="003954E2" w:rsidP="00B7348D">
            <w:pPr>
              <w:tabs>
                <w:tab w:val="left" w:pos="284"/>
              </w:tabs>
              <w:autoSpaceDE w:val="0"/>
              <w:autoSpaceDN w:val="0"/>
              <w:adjustRightInd w:val="0"/>
              <w:rPr>
                <w:sz w:val="22"/>
                <w:szCs w:val="22"/>
                <w:lang w:val="sr-Latn-ME"/>
              </w:rPr>
            </w:pPr>
            <w:r w:rsidRPr="00D024EA">
              <w:rPr>
                <w:sz w:val="22"/>
                <w:szCs w:val="22"/>
                <w:lang w:val="sr-Latn-ME"/>
              </w:rPr>
              <w:t>10</w:t>
            </w:r>
          </w:p>
        </w:tc>
        <w:tc>
          <w:tcPr>
            <w:tcW w:w="2090" w:type="pct"/>
            <w:tcBorders>
              <w:top w:val="single" w:sz="4" w:space="0" w:color="auto"/>
              <w:left w:val="single" w:sz="4" w:space="0" w:color="auto"/>
              <w:bottom w:val="single" w:sz="4" w:space="0" w:color="auto"/>
              <w:right w:val="single" w:sz="4" w:space="0" w:color="auto"/>
            </w:tcBorders>
          </w:tcPr>
          <w:p w14:paraId="128DF828" w14:textId="3A83F9F4" w:rsidR="003954E2" w:rsidRPr="00D024EA" w:rsidRDefault="003954E2" w:rsidP="00EA5D97">
            <w:pPr>
              <w:tabs>
                <w:tab w:val="left" w:pos="284"/>
              </w:tabs>
              <w:autoSpaceDE w:val="0"/>
              <w:autoSpaceDN w:val="0"/>
              <w:adjustRightInd w:val="0"/>
              <w:jc w:val="both"/>
              <w:rPr>
                <w:sz w:val="22"/>
                <w:szCs w:val="22"/>
                <w:lang w:val="sr-Latn-ME"/>
              </w:rPr>
            </w:pPr>
            <w:r w:rsidRPr="00D024EA">
              <w:rPr>
                <w:sz w:val="22"/>
                <w:szCs w:val="22"/>
                <w:lang w:val="sr-Latn-ME"/>
              </w:rPr>
              <w:t>Uzmite bočicu sa rekonstituisanim lijekom Actilyse i nježno protresite da bi se rastvorio sav preostali prašak, ali izbjegavajte snažnu manipulaciju jer će to dovesti do formiranja pjene.</w:t>
            </w:r>
          </w:p>
          <w:p w14:paraId="6B75CAE7" w14:textId="77777777" w:rsidR="003954E2" w:rsidRPr="00D024EA" w:rsidRDefault="003954E2" w:rsidP="00EA5D97">
            <w:pPr>
              <w:tabs>
                <w:tab w:val="left" w:pos="284"/>
              </w:tabs>
              <w:autoSpaceDE w:val="0"/>
              <w:autoSpaceDN w:val="0"/>
              <w:adjustRightInd w:val="0"/>
              <w:jc w:val="both"/>
              <w:rPr>
                <w:sz w:val="22"/>
                <w:szCs w:val="22"/>
                <w:lang w:val="sr-Latn-ME"/>
              </w:rPr>
            </w:pPr>
          </w:p>
          <w:p w14:paraId="20F5FED9" w14:textId="77777777" w:rsidR="003954E2" w:rsidRPr="00D024EA" w:rsidRDefault="003954E2" w:rsidP="00EA5D97">
            <w:pPr>
              <w:tabs>
                <w:tab w:val="left" w:pos="284"/>
              </w:tabs>
              <w:autoSpaceDE w:val="0"/>
              <w:autoSpaceDN w:val="0"/>
              <w:adjustRightInd w:val="0"/>
              <w:jc w:val="both"/>
              <w:rPr>
                <w:sz w:val="22"/>
                <w:szCs w:val="22"/>
                <w:lang w:val="sr-Latn-ME"/>
              </w:rPr>
            </w:pPr>
          </w:p>
          <w:p w14:paraId="183E9949" w14:textId="77777777" w:rsidR="003954E2" w:rsidRPr="00D024EA" w:rsidRDefault="003954E2" w:rsidP="00EA5D97">
            <w:pPr>
              <w:tabs>
                <w:tab w:val="left" w:pos="284"/>
              </w:tabs>
              <w:autoSpaceDE w:val="0"/>
              <w:autoSpaceDN w:val="0"/>
              <w:adjustRightInd w:val="0"/>
              <w:jc w:val="both"/>
              <w:rPr>
                <w:sz w:val="22"/>
                <w:szCs w:val="22"/>
                <w:lang w:val="sr-Latn-ME"/>
              </w:rPr>
            </w:pPr>
          </w:p>
          <w:p w14:paraId="348B3FD1" w14:textId="77777777" w:rsidR="003954E2" w:rsidRPr="00D024EA" w:rsidRDefault="003954E2" w:rsidP="00EA5D97">
            <w:pPr>
              <w:tabs>
                <w:tab w:val="left" w:pos="284"/>
              </w:tabs>
              <w:jc w:val="both"/>
              <w:rPr>
                <w:strike/>
                <w:sz w:val="22"/>
                <w:szCs w:val="22"/>
                <w:lang w:val="sr-Latn-ME"/>
              </w:rPr>
            </w:pPr>
          </w:p>
          <w:p w14:paraId="5D1BF48A" w14:textId="77777777" w:rsidR="003954E2" w:rsidRPr="00D024EA" w:rsidRDefault="003954E2" w:rsidP="00EA5D97">
            <w:pPr>
              <w:tabs>
                <w:tab w:val="left" w:pos="284"/>
              </w:tabs>
              <w:autoSpaceDE w:val="0"/>
              <w:autoSpaceDN w:val="0"/>
              <w:adjustRightInd w:val="0"/>
              <w:jc w:val="both"/>
              <w:rPr>
                <w:sz w:val="22"/>
                <w:szCs w:val="22"/>
                <w:lang w:val="sr-Latn-ME"/>
              </w:rPr>
            </w:pPr>
          </w:p>
          <w:p w14:paraId="14813424" w14:textId="77777777" w:rsidR="003954E2" w:rsidRPr="00D024EA" w:rsidRDefault="003954E2" w:rsidP="00EA5D97">
            <w:pPr>
              <w:tabs>
                <w:tab w:val="left" w:pos="284"/>
              </w:tabs>
              <w:autoSpaceDE w:val="0"/>
              <w:autoSpaceDN w:val="0"/>
              <w:adjustRightInd w:val="0"/>
              <w:jc w:val="both"/>
              <w:rPr>
                <w:sz w:val="22"/>
                <w:szCs w:val="22"/>
                <w:lang w:val="sr-Latn-ME"/>
              </w:rPr>
            </w:pPr>
          </w:p>
          <w:p w14:paraId="3BBA1308" w14:textId="77777777" w:rsidR="003954E2" w:rsidRPr="00D024EA" w:rsidRDefault="003954E2" w:rsidP="00EA5D97">
            <w:pPr>
              <w:tabs>
                <w:tab w:val="left" w:pos="284"/>
              </w:tabs>
              <w:autoSpaceDE w:val="0"/>
              <w:autoSpaceDN w:val="0"/>
              <w:adjustRightInd w:val="0"/>
              <w:jc w:val="both"/>
              <w:rPr>
                <w:sz w:val="22"/>
                <w:szCs w:val="22"/>
                <w:lang w:val="sr-Latn-ME"/>
              </w:rPr>
            </w:pPr>
          </w:p>
          <w:p w14:paraId="6C78FE75" w14:textId="77777777" w:rsidR="003954E2" w:rsidRPr="00D024EA" w:rsidRDefault="003954E2" w:rsidP="00EA5D97">
            <w:pPr>
              <w:tabs>
                <w:tab w:val="left" w:pos="284"/>
              </w:tabs>
              <w:autoSpaceDE w:val="0"/>
              <w:autoSpaceDN w:val="0"/>
              <w:adjustRightInd w:val="0"/>
              <w:jc w:val="both"/>
              <w:rPr>
                <w:sz w:val="22"/>
                <w:szCs w:val="22"/>
                <w:lang w:val="sr-Latn-ME"/>
              </w:rPr>
            </w:pPr>
          </w:p>
          <w:p w14:paraId="78C6C590" w14:textId="77777777" w:rsidR="003954E2" w:rsidRPr="00D024EA" w:rsidRDefault="003954E2" w:rsidP="00EA5D97">
            <w:pPr>
              <w:tabs>
                <w:tab w:val="left" w:pos="284"/>
              </w:tabs>
              <w:autoSpaceDE w:val="0"/>
              <w:autoSpaceDN w:val="0"/>
              <w:adjustRightInd w:val="0"/>
              <w:jc w:val="both"/>
              <w:rPr>
                <w:sz w:val="22"/>
                <w:szCs w:val="22"/>
                <w:lang w:val="sr-Latn-ME"/>
              </w:rPr>
            </w:pPr>
          </w:p>
          <w:p w14:paraId="7C961746" w14:textId="77777777" w:rsidR="003954E2" w:rsidRPr="00D024EA" w:rsidRDefault="003954E2" w:rsidP="00EA5D97">
            <w:pPr>
              <w:tabs>
                <w:tab w:val="left" w:pos="284"/>
              </w:tabs>
              <w:autoSpaceDE w:val="0"/>
              <w:autoSpaceDN w:val="0"/>
              <w:adjustRightInd w:val="0"/>
              <w:jc w:val="both"/>
              <w:rPr>
                <w:sz w:val="22"/>
                <w:szCs w:val="22"/>
                <w:lang w:val="sr-Latn-ME"/>
              </w:rPr>
            </w:pPr>
            <w:r w:rsidRPr="00D024EA">
              <w:rPr>
                <w:sz w:val="22"/>
                <w:szCs w:val="22"/>
                <w:lang w:val="sr-Latn-ME"/>
              </w:rPr>
              <w:lastRenderedPageBreak/>
              <w:t>Ako se pojave mjehurići, odložite rastvor i ne dirajte ga nekoliko minuta kako bi mjehurići nestali.</w:t>
            </w:r>
          </w:p>
          <w:p w14:paraId="2507E346" w14:textId="77777777" w:rsidR="003954E2" w:rsidRPr="00D024EA" w:rsidRDefault="003954E2" w:rsidP="00EA5D97">
            <w:pPr>
              <w:tabs>
                <w:tab w:val="left" w:pos="284"/>
              </w:tabs>
              <w:autoSpaceDE w:val="0"/>
              <w:autoSpaceDN w:val="0"/>
              <w:adjustRightInd w:val="0"/>
              <w:jc w:val="both"/>
              <w:rPr>
                <w:sz w:val="22"/>
                <w:szCs w:val="22"/>
                <w:lang w:val="sr-Latn-ME"/>
              </w:rPr>
            </w:pPr>
          </w:p>
          <w:p w14:paraId="3AA6BE3C" w14:textId="77777777" w:rsidR="003954E2" w:rsidRPr="00D024EA" w:rsidRDefault="003954E2" w:rsidP="00EA5D97">
            <w:pPr>
              <w:tabs>
                <w:tab w:val="left" w:pos="284"/>
              </w:tabs>
              <w:autoSpaceDE w:val="0"/>
              <w:autoSpaceDN w:val="0"/>
              <w:adjustRightInd w:val="0"/>
              <w:jc w:val="both"/>
              <w:rPr>
                <w:sz w:val="22"/>
                <w:szCs w:val="22"/>
                <w:lang w:val="sr-Latn-ME"/>
              </w:rPr>
            </w:pPr>
          </w:p>
          <w:p w14:paraId="29DCDA6A" w14:textId="77777777" w:rsidR="003954E2" w:rsidRPr="00D024EA" w:rsidRDefault="003954E2" w:rsidP="00EA5D97">
            <w:pPr>
              <w:tabs>
                <w:tab w:val="left" w:pos="284"/>
              </w:tabs>
              <w:autoSpaceDE w:val="0"/>
              <w:autoSpaceDN w:val="0"/>
              <w:adjustRightInd w:val="0"/>
              <w:jc w:val="both"/>
              <w:rPr>
                <w:sz w:val="22"/>
                <w:szCs w:val="22"/>
                <w:lang w:val="sr-Latn-ME"/>
              </w:rPr>
            </w:pPr>
          </w:p>
          <w:p w14:paraId="18B3ED73" w14:textId="77777777" w:rsidR="003954E2" w:rsidRPr="00D024EA" w:rsidRDefault="003954E2" w:rsidP="00EA5D97">
            <w:pPr>
              <w:tabs>
                <w:tab w:val="left" w:pos="284"/>
              </w:tabs>
              <w:autoSpaceDE w:val="0"/>
              <w:autoSpaceDN w:val="0"/>
              <w:adjustRightInd w:val="0"/>
              <w:jc w:val="both"/>
              <w:rPr>
                <w:sz w:val="22"/>
                <w:szCs w:val="22"/>
                <w:lang w:val="sr-Latn-ME"/>
              </w:rPr>
            </w:pPr>
          </w:p>
          <w:p w14:paraId="49A91F8E" w14:textId="77777777" w:rsidR="003954E2" w:rsidRPr="00D024EA" w:rsidRDefault="003954E2" w:rsidP="00EA5D97">
            <w:pPr>
              <w:tabs>
                <w:tab w:val="left" w:pos="284"/>
              </w:tabs>
              <w:autoSpaceDE w:val="0"/>
              <w:autoSpaceDN w:val="0"/>
              <w:adjustRightInd w:val="0"/>
              <w:jc w:val="both"/>
              <w:rPr>
                <w:sz w:val="22"/>
                <w:szCs w:val="22"/>
                <w:lang w:val="sr-Latn-ME"/>
              </w:rPr>
            </w:pPr>
          </w:p>
          <w:p w14:paraId="782C6F10" w14:textId="77777777" w:rsidR="003954E2" w:rsidRPr="00D024EA" w:rsidRDefault="003954E2" w:rsidP="00EA5D97">
            <w:pPr>
              <w:tabs>
                <w:tab w:val="left" w:pos="284"/>
              </w:tabs>
              <w:autoSpaceDE w:val="0"/>
              <w:autoSpaceDN w:val="0"/>
              <w:adjustRightInd w:val="0"/>
              <w:jc w:val="both"/>
              <w:rPr>
                <w:sz w:val="22"/>
                <w:szCs w:val="22"/>
                <w:lang w:val="sr-Latn-ME"/>
              </w:rPr>
            </w:pPr>
          </w:p>
          <w:p w14:paraId="5BADA8E7" w14:textId="77777777" w:rsidR="003954E2" w:rsidRPr="00D024EA" w:rsidRDefault="003954E2" w:rsidP="00EA5D97">
            <w:pPr>
              <w:tabs>
                <w:tab w:val="left" w:pos="284"/>
              </w:tabs>
              <w:autoSpaceDE w:val="0"/>
              <w:autoSpaceDN w:val="0"/>
              <w:adjustRightInd w:val="0"/>
              <w:jc w:val="both"/>
              <w:rPr>
                <w:sz w:val="22"/>
                <w:szCs w:val="22"/>
                <w:lang w:val="sr-Latn-ME"/>
              </w:rPr>
            </w:pPr>
          </w:p>
        </w:tc>
        <w:tc>
          <w:tcPr>
            <w:tcW w:w="2644" w:type="pct"/>
            <w:tcBorders>
              <w:top w:val="single" w:sz="4" w:space="0" w:color="auto"/>
              <w:left w:val="single" w:sz="4" w:space="0" w:color="auto"/>
              <w:bottom w:val="single" w:sz="4" w:space="0" w:color="auto"/>
              <w:right w:val="single" w:sz="4" w:space="0" w:color="auto"/>
            </w:tcBorders>
          </w:tcPr>
          <w:p w14:paraId="30359BEE" w14:textId="77777777" w:rsidR="003954E2" w:rsidRPr="00D024EA" w:rsidRDefault="003954E2" w:rsidP="00B7348D">
            <w:pPr>
              <w:tabs>
                <w:tab w:val="left" w:pos="284"/>
              </w:tabs>
              <w:rPr>
                <w:noProof/>
                <w:sz w:val="22"/>
                <w:szCs w:val="22"/>
                <w:lang w:val="sr-Latn-ME"/>
              </w:rPr>
            </w:pPr>
          </w:p>
          <w:p w14:paraId="13ABD686" w14:textId="77777777" w:rsidR="003954E2" w:rsidRPr="00D024EA" w:rsidRDefault="003954E2" w:rsidP="00B7348D">
            <w:pPr>
              <w:tabs>
                <w:tab w:val="left" w:pos="284"/>
              </w:tabs>
              <w:rPr>
                <w:noProof/>
                <w:sz w:val="22"/>
                <w:szCs w:val="22"/>
                <w:lang w:val="sr-Latn-ME"/>
              </w:rPr>
            </w:pPr>
          </w:p>
          <w:p w14:paraId="42519D15" w14:textId="77777777" w:rsidR="003954E2" w:rsidRPr="00D024EA" w:rsidRDefault="003954E2" w:rsidP="00B7348D">
            <w:pPr>
              <w:tabs>
                <w:tab w:val="left" w:pos="284"/>
              </w:tabs>
              <w:rPr>
                <w:noProof/>
                <w:sz w:val="22"/>
                <w:szCs w:val="22"/>
                <w:lang w:val="sr-Latn-ME"/>
              </w:rPr>
            </w:pPr>
          </w:p>
          <w:p w14:paraId="500416A1" w14:textId="77777777" w:rsidR="003954E2" w:rsidRPr="00D024EA" w:rsidRDefault="003954E2" w:rsidP="00B7348D">
            <w:pPr>
              <w:tabs>
                <w:tab w:val="left" w:pos="284"/>
              </w:tabs>
              <w:rPr>
                <w:noProof/>
                <w:sz w:val="22"/>
                <w:szCs w:val="22"/>
                <w:lang w:val="sr-Latn-ME"/>
              </w:rPr>
            </w:pPr>
          </w:p>
          <w:p w14:paraId="47E4FCD3" w14:textId="77777777" w:rsidR="003954E2" w:rsidRPr="00D024EA" w:rsidRDefault="003954E2" w:rsidP="00B7348D">
            <w:pPr>
              <w:tabs>
                <w:tab w:val="left" w:pos="284"/>
              </w:tabs>
              <w:rPr>
                <w:noProof/>
                <w:sz w:val="22"/>
                <w:szCs w:val="22"/>
                <w:lang w:val="sr-Latn-ME"/>
              </w:rPr>
            </w:pPr>
          </w:p>
          <w:p w14:paraId="36C3F86E" w14:textId="77777777" w:rsidR="003954E2" w:rsidRPr="00D024EA" w:rsidRDefault="003954E2" w:rsidP="00B7348D">
            <w:pPr>
              <w:tabs>
                <w:tab w:val="left" w:pos="284"/>
              </w:tabs>
              <w:rPr>
                <w:noProof/>
                <w:sz w:val="22"/>
                <w:szCs w:val="22"/>
                <w:lang w:val="sr-Latn-ME"/>
              </w:rPr>
            </w:pPr>
            <w:r w:rsidRPr="00D024EA">
              <w:rPr>
                <w:noProof/>
                <w:sz w:val="22"/>
                <w:szCs w:val="22"/>
                <w:lang w:val="sr-Latn-ME" w:eastAsia="sr-Latn-ME"/>
              </w:rPr>
              <w:lastRenderedPageBreak/>
              <w:drawing>
                <wp:anchor distT="0" distB="0" distL="114300" distR="114300" simplePos="0" relativeHeight="251658249" behindDoc="0" locked="0" layoutInCell="1" allowOverlap="1" wp14:anchorId="21BD6028" wp14:editId="791EABC8">
                  <wp:simplePos x="0" y="0"/>
                  <wp:positionH relativeFrom="column">
                    <wp:posOffset>370840</wp:posOffset>
                  </wp:positionH>
                  <wp:positionV relativeFrom="paragraph">
                    <wp:posOffset>212090</wp:posOffset>
                  </wp:positionV>
                  <wp:extent cx="2249170" cy="2087880"/>
                  <wp:effectExtent l="0" t="0" r="0" b="762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49170" cy="2087880"/>
                          </a:xfrm>
                          <a:prstGeom prst="rect">
                            <a:avLst/>
                          </a:prstGeom>
                          <a:noFill/>
                        </pic:spPr>
                      </pic:pic>
                    </a:graphicData>
                  </a:graphic>
                  <wp14:sizeRelH relativeFrom="page">
                    <wp14:pctWidth>0</wp14:pctWidth>
                  </wp14:sizeRelH>
                  <wp14:sizeRelV relativeFrom="page">
                    <wp14:pctHeight>0</wp14:pctHeight>
                  </wp14:sizeRelV>
                </wp:anchor>
              </w:drawing>
            </w:r>
          </w:p>
          <w:p w14:paraId="171E5C45" w14:textId="77777777" w:rsidR="003954E2" w:rsidRPr="00D024EA" w:rsidRDefault="003954E2" w:rsidP="00B7348D">
            <w:pPr>
              <w:tabs>
                <w:tab w:val="left" w:pos="284"/>
              </w:tabs>
              <w:rPr>
                <w:noProof/>
                <w:sz w:val="22"/>
                <w:szCs w:val="22"/>
                <w:lang w:val="sr-Latn-ME"/>
              </w:rPr>
            </w:pPr>
          </w:p>
          <w:p w14:paraId="02C68169" w14:textId="77777777" w:rsidR="003954E2" w:rsidRPr="00D024EA" w:rsidRDefault="003954E2" w:rsidP="00B7348D">
            <w:pPr>
              <w:tabs>
                <w:tab w:val="left" w:pos="284"/>
              </w:tabs>
              <w:rPr>
                <w:noProof/>
                <w:sz w:val="22"/>
                <w:szCs w:val="22"/>
                <w:lang w:val="sr-Latn-ME"/>
              </w:rPr>
            </w:pPr>
          </w:p>
          <w:p w14:paraId="145F516B" w14:textId="77777777" w:rsidR="003954E2" w:rsidRPr="00D024EA" w:rsidRDefault="003954E2" w:rsidP="00B7348D">
            <w:pPr>
              <w:tabs>
                <w:tab w:val="left" w:pos="284"/>
              </w:tabs>
              <w:rPr>
                <w:noProof/>
                <w:sz w:val="22"/>
                <w:szCs w:val="22"/>
                <w:lang w:val="sr-Latn-ME"/>
              </w:rPr>
            </w:pPr>
          </w:p>
          <w:p w14:paraId="27C33929" w14:textId="77777777" w:rsidR="003954E2" w:rsidRPr="00D024EA" w:rsidRDefault="003954E2" w:rsidP="00B7348D">
            <w:pPr>
              <w:tabs>
                <w:tab w:val="left" w:pos="284"/>
              </w:tabs>
              <w:rPr>
                <w:noProof/>
                <w:sz w:val="22"/>
                <w:szCs w:val="22"/>
                <w:lang w:val="sr-Latn-ME"/>
              </w:rPr>
            </w:pPr>
          </w:p>
          <w:p w14:paraId="0774A8B9" w14:textId="77777777" w:rsidR="003954E2" w:rsidRPr="00D024EA" w:rsidRDefault="003954E2" w:rsidP="00B7348D">
            <w:pPr>
              <w:tabs>
                <w:tab w:val="left" w:pos="284"/>
              </w:tabs>
              <w:rPr>
                <w:noProof/>
                <w:sz w:val="22"/>
                <w:szCs w:val="22"/>
                <w:lang w:val="sr-Latn-ME"/>
              </w:rPr>
            </w:pPr>
          </w:p>
          <w:p w14:paraId="217977FB" w14:textId="77777777" w:rsidR="003954E2" w:rsidRPr="00D024EA" w:rsidRDefault="003954E2" w:rsidP="00B7348D">
            <w:pPr>
              <w:tabs>
                <w:tab w:val="left" w:pos="284"/>
              </w:tabs>
              <w:rPr>
                <w:noProof/>
                <w:sz w:val="22"/>
                <w:szCs w:val="22"/>
                <w:lang w:val="sr-Latn-ME"/>
              </w:rPr>
            </w:pPr>
          </w:p>
          <w:p w14:paraId="4BFCA98E" w14:textId="77777777" w:rsidR="003954E2" w:rsidRPr="00D024EA" w:rsidRDefault="003954E2" w:rsidP="00B7348D">
            <w:pPr>
              <w:tabs>
                <w:tab w:val="left" w:pos="284"/>
              </w:tabs>
              <w:rPr>
                <w:noProof/>
                <w:sz w:val="22"/>
                <w:szCs w:val="22"/>
                <w:lang w:val="sr-Latn-ME"/>
              </w:rPr>
            </w:pPr>
          </w:p>
          <w:p w14:paraId="37019077" w14:textId="77777777" w:rsidR="003954E2" w:rsidRPr="00D024EA" w:rsidRDefault="003954E2" w:rsidP="00B7348D">
            <w:pPr>
              <w:tabs>
                <w:tab w:val="left" w:pos="284"/>
              </w:tabs>
              <w:rPr>
                <w:noProof/>
                <w:sz w:val="22"/>
                <w:szCs w:val="22"/>
                <w:lang w:val="sr-Latn-ME"/>
              </w:rPr>
            </w:pPr>
          </w:p>
          <w:p w14:paraId="521003F0" w14:textId="77777777" w:rsidR="003954E2" w:rsidRPr="00D024EA" w:rsidRDefault="003954E2" w:rsidP="00B7348D">
            <w:pPr>
              <w:tabs>
                <w:tab w:val="left" w:pos="284"/>
              </w:tabs>
              <w:rPr>
                <w:noProof/>
                <w:sz w:val="22"/>
                <w:szCs w:val="22"/>
                <w:lang w:val="sr-Latn-ME"/>
              </w:rPr>
            </w:pPr>
            <w:r w:rsidRPr="00D024EA">
              <w:rPr>
                <w:noProof/>
                <w:sz w:val="22"/>
                <w:szCs w:val="22"/>
                <w:lang w:val="sr-Latn-ME" w:eastAsia="sr-Latn-ME"/>
              </w:rPr>
              <w:drawing>
                <wp:anchor distT="0" distB="0" distL="114300" distR="114300" simplePos="0" relativeHeight="251658250" behindDoc="0" locked="0" layoutInCell="1" allowOverlap="1" wp14:anchorId="28B1076A" wp14:editId="2A763105">
                  <wp:simplePos x="0" y="0"/>
                  <wp:positionH relativeFrom="column">
                    <wp:posOffset>408305</wp:posOffset>
                  </wp:positionH>
                  <wp:positionV relativeFrom="paragraph">
                    <wp:posOffset>123190</wp:posOffset>
                  </wp:positionV>
                  <wp:extent cx="2249170" cy="2087880"/>
                  <wp:effectExtent l="0" t="0" r="0" b="762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49170" cy="2087880"/>
                          </a:xfrm>
                          <a:prstGeom prst="rect">
                            <a:avLst/>
                          </a:prstGeom>
                          <a:noFill/>
                        </pic:spPr>
                      </pic:pic>
                    </a:graphicData>
                  </a:graphic>
                  <wp14:sizeRelH relativeFrom="page">
                    <wp14:pctWidth>0</wp14:pctWidth>
                  </wp14:sizeRelH>
                  <wp14:sizeRelV relativeFrom="page">
                    <wp14:pctHeight>0</wp14:pctHeight>
                  </wp14:sizeRelV>
                </wp:anchor>
              </w:drawing>
            </w:r>
          </w:p>
        </w:tc>
      </w:tr>
      <w:tr w:rsidR="003954E2" w:rsidRPr="00D024EA" w14:paraId="67AF4D96" w14:textId="77777777" w:rsidTr="00EA5D97">
        <w:tc>
          <w:tcPr>
            <w:tcW w:w="266" w:type="pct"/>
            <w:tcBorders>
              <w:top w:val="single" w:sz="4" w:space="0" w:color="auto"/>
              <w:left w:val="single" w:sz="4" w:space="0" w:color="auto"/>
              <w:bottom w:val="single" w:sz="4" w:space="0" w:color="auto"/>
              <w:right w:val="single" w:sz="4" w:space="0" w:color="auto"/>
            </w:tcBorders>
            <w:hideMark/>
          </w:tcPr>
          <w:p w14:paraId="3C02FEE6" w14:textId="77777777" w:rsidR="003954E2" w:rsidRPr="00D024EA" w:rsidRDefault="003954E2" w:rsidP="00B7348D">
            <w:pPr>
              <w:tabs>
                <w:tab w:val="left" w:pos="284"/>
              </w:tabs>
              <w:autoSpaceDE w:val="0"/>
              <w:autoSpaceDN w:val="0"/>
              <w:adjustRightInd w:val="0"/>
              <w:rPr>
                <w:sz w:val="22"/>
                <w:szCs w:val="22"/>
                <w:lang w:val="sr-Latn-ME"/>
              </w:rPr>
            </w:pPr>
            <w:r w:rsidRPr="00D024EA">
              <w:rPr>
                <w:sz w:val="22"/>
                <w:szCs w:val="22"/>
                <w:lang w:val="sr-Latn-ME"/>
              </w:rPr>
              <w:lastRenderedPageBreak/>
              <w:t>11</w:t>
            </w:r>
          </w:p>
        </w:tc>
        <w:tc>
          <w:tcPr>
            <w:tcW w:w="4734" w:type="pct"/>
            <w:gridSpan w:val="2"/>
            <w:tcBorders>
              <w:top w:val="single" w:sz="4" w:space="0" w:color="auto"/>
              <w:left w:val="single" w:sz="4" w:space="0" w:color="auto"/>
              <w:bottom w:val="single" w:sz="4" w:space="0" w:color="auto"/>
              <w:right w:val="single" w:sz="4" w:space="0" w:color="auto"/>
            </w:tcBorders>
          </w:tcPr>
          <w:p w14:paraId="59F9A421" w14:textId="21B6CB28" w:rsidR="003954E2" w:rsidRPr="00D024EA" w:rsidRDefault="00D4534B" w:rsidP="00EA5D97">
            <w:pPr>
              <w:tabs>
                <w:tab w:val="left" w:pos="284"/>
              </w:tabs>
              <w:autoSpaceDE w:val="0"/>
              <w:autoSpaceDN w:val="0"/>
              <w:adjustRightInd w:val="0"/>
              <w:jc w:val="both"/>
              <w:rPr>
                <w:sz w:val="22"/>
                <w:szCs w:val="22"/>
                <w:lang w:val="sr-Latn-ME"/>
              </w:rPr>
            </w:pPr>
            <w:r w:rsidRPr="00D024EA">
              <w:rPr>
                <w:sz w:val="22"/>
                <w:szCs w:val="22"/>
                <w:lang w:val="sr-Latn-ME"/>
              </w:rPr>
              <w:t xml:space="preserve">Rekonstituisani rastvor </w:t>
            </w:r>
            <w:r w:rsidR="003954E2" w:rsidRPr="00D024EA">
              <w:rPr>
                <w:sz w:val="22"/>
                <w:szCs w:val="22"/>
                <w:lang w:val="sr-Latn-ME"/>
              </w:rPr>
              <w:t>se sastoji od 1 mg/</w:t>
            </w:r>
            <w:r w:rsidR="00B7348D" w:rsidRPr="00D024EA">
              <w:rPr>
                <w:sz w:val="22"/>
                <w:szCs w:val="22"/>
                <w:lang w:val="sr-Latn-ME"/>
              </w:rPr>
              <w:t>ml</w:t>
            </w:r>
            <w:r w:rsidR="003954E2" w:rsidRPr="00D024EA">
              <w:rPr>
                <w:sz w:val="22"/>
                <w:szCs w:val="22"/>
                <w:lang w:val="sr-Latn-ME"/>
              </w:rPr>
              <w:t xml:space="preserve"> lijeka </w:t>
            </w:r>
            <w:r w:rsidRPr="00D024EA">
              <w:rPr>
                <w:sz w:val="22"/>
                <w:szCs w:val="22"/>
                <w:lang w:val="sr-Latn-ME"/>
              </w:rPr>
              <w:t>alteplaze</w:t>
            </w:r>
            <w:r w:rsidR="003954E2" w:rsidRPr="00D024EA">
              <w:rPr>
                <w:sz w:val="22"/>
                <w:szCs w:val="22"/>
                <w:lang w:val="sr-Latn-ME"/>
              </w:rPr>
              <w:t>. On mora biti bistar i bezbojan do blijedožu</w:t>
            </w:r>
            <w:r w:rsidR="00AD797A" w:rsidRPr="00D024EA">
              <w:rPr>
                <w:sz w:val="22"/>
                <w:szCs w:val="22"/>
                <w:lang w:val="sr-Latn-ME"/>
              </w:rPr>
              <w:t>t</w:t>
            </w:r>
            <w:r w:rsidR="003954E2" w:rsidRPr="00D024EA">
              <w:rPr>
                <w:sz w:val="22"/>
                <w:szCs w:val="22"/>
                <w:lang w:val="sr-Latn-ME"/>
              </w:rPr>
              <w:t xml:space="preserve"> i ne smije sadržavati čestice. </w:t>
            </w:r>
          </w:p>
          <w:p w14:paraId="591A7960" w14:textId="77777777" w:rsidR="003954E2" w:rsidRPr="00D024EA" w:rsidRDefault="003954E2" w:rsidP="00EA5D97">
            <w:pPr>
              <w:tabs>
                <w:tab w:val="left" w:pos="284"/>
              </w:tabs>
              <w:jc w:val="both"/>
              <w:rPr>
                <w:sz w:val="22"/>
                <w:szCs w:val="22"/>
                <w:lang w:val="sr-Latn-ME"/>
              </w:rPr>
            </w:pPr>
          </w:p>
        </w:tc>
      </w:tr>
      <w:tr w:rsidR="003954E2" w:rsidRPr="00D024EA" w14:paraId="7D382930" w14:textId="77777777" w:rsidTr="00EA5D97">
        <w:trPr>
          <w:trHeight w:val="3222"/>
        </w:trPr>
        <w:tc>
          <w:tcPr>
            <w:tcW w:w="266" w:type="pct"/>
            <w:tcBorders>
              <w:top w:val="single" w:sz="4" w:space="0" w:color="auto"/>
              <w:left w:val="single" w:sz="4" w:space="0" w:color="auto"/>
              <w:bottom w:val="single" w:sz="4" w:space="0" w:color="auto"/>
              <w:right w:val="single" w:sz="4" w:space="0" w:color="auto"/>
            </w:tcBorders>
            <w:hideMark/>
          </w:tcPr>
          <w:p w14:paraId="4B405B0B" w14:textId="77777777" w:rsidR="003954E2" w:rsidRPr="00D024EA" w:rsidRDefault="003954E2" w:rsidP="00B7348D">
            <w:pPr>
              <w:tabs>
                <w:tab w:val="left" w:pos="284"/>
              </w:tabs>
              <w:autoSpaceDE w:val="0"/>
              <w:autoSpaceDN w:val="0"/>
              <w:adjustRightInd w:val="0"/>
              <w:rPr>
                <w:sz w:val="22"/>
                <w:szCs w:val="22"/>
                <w:lang w:val="sr-Latn-ME"/>
              </w:rPr>
            </w:pPr>
            <w:r w:rsidRPr="00D024EA">
              <w:rPr>
                <w:sz w:val="22"/>
                <w:szCs w:val="22"/>
                <w:lang w:val="sr-Latn-ME"/>
              </w:rPr>
              <w:t>12</w:t>
            </w:r>
          </w:p>
        </w:tc>
        <w:tc>
          <w:tcPr>
            <w:tcW w:w="2090" w:type="pct"/>
            <w:tcBorders>
              <w:top w:val="single" w:sz="4" w:space="0" w:color="auto"/>
              <w:left w:val="single" w:sz="4" w:space="0" w:color="auto"/>
              <w:bottom w:val="single" w:sz="4" w:space="0" w:color="auto"/>
              <w:right w:val="single" w:sz="4" w:space="0" w:color="auto"/>
            </w:tcBorders>
          </w:tcPr>
          <w:p w14:paraId="7EF18FE1" w14:textId="7C9C8F59" w:rsidR="003954E2" w:rsidRPr="00D024EA" w:rsidRDefault="003954E2" w:rsidP="00EA5D97">
            <w:pPr>
              <w:tabs>
                <w:tab w:val="left" w:pos="284"/>
              </w:tabs>
              <w:autoSpaceDE w:val="0"/>
              <w:autoSpaceDN w:val="0"/>
              <w:adjustRightInd w:val="0"/>
              <w:jc w:val="both"/>
              <w:rPr>
                <w:sz w:val="22"/>
                <w:szCs w:val="22"/>
                <w:lang w:val="sr-Latn-ME"/>
              </w:rPr>
            </w:pPr>
            <w:r w:rsidRPr="00D024EA">
              <w:rPr>
                <w:sz w:val="22"/>
                <w:szCs w:val="22"/>
                <w:lang w:val="sr-Latn-ME"/>
              </w:rPr>
              <w:t>Uzmite potrebnu količinu koristeći</w:t>
            </w:r>
            <w:r w:rsidR="00AD797A" w:rsidRPr="00D024EA">
              <w:rPr>
                <w:sz w:val="22"/>
                <w:szCs w:val="22"/>
                <w:lang w:val="sr-Latn-ME"/>
              </w:rPr>
              <w:t xml:space="preserve"> samo</w:t>
            </w:r>
            <w:r w:rsidRPr="00D024EA">
              <w:rPr>
                <w:sz w:val="22"/>
                <w:szCs w:val="22"/>
                <w:lang w:val="sr-Latn-ME"/>
              </w:rPr>
              <w:t xml:space="preserve"> iglu i špric.</w:t>
            </w:r>
          </w:p>
          <w:p w14:paraId="1429B79B" w14:textId="6B5B7F2D" w:rsidR="003954E2" w:rsidRPr="00D024EA" w:rsidRDefault="003954E2" w:rsidP="00EA5D97">
            <w:pPr>
              <w:tabs>
                <w:tab w:val="left" w:pos="284"/>
              </w:tabs>
              <w:autoSpaceDE w:val="0"/>
              <w:autoSpaceDN w:val="0"/>
              <w:adjustRightInd w:val="0"/>
              <w:jc w:val="both"/>
              <w:rPr>
                <w:sz w:val="22"/>
                <w:szCs w:val="22"/>
                <w:lang w:val="sr-Latn-ME"/>
              </w:rPr>
            </w:pPr>
            <w:r w:rsidRPr="00D024EA">
              <w:rPr>
                <w:sz w:val="22"/>
                <w:szCs w:val="22"/>
                <w:lang w:val="sr-Latn-ME"/>
              </w:rPr>
              <w:t>Nemojte koristiti mjesto proboda prenosne kanile kako biste izb</w:t>
            </w:r>
            <w:r w:rsidR="00AD797A" w:rsidRPr="00D024EA">
              <w:rPr>
                <w:sz w:val="22"/>
                <w:szCs w:val="22"/>
                <w:lang w:val="sr-Latn-ME"/>
              </w:rPr>
              <w:t>j</w:t>
            </w:r>
            <w:r w:rsidRPr="00D024EA">
              <w:rPr>
                <w:sz w:val="22"/>
                <w:szCs w:val="22"/>
                <w:lang w:val="sr-Latn-ME"/>
              </w:rPr>
              <w:t>egli curenje.</w:t>
            </w:r>
          </w:p>
          <w:p w14:paraId="1F757B5E" w14:textId="77777777" w:rsidR="003954E2" w:rsidRPr="00D024EA" w:rsidRDefault="003954E2" w:rsidP="00EA5D97">
            <w:pPr>
              <w:tabs>
                <w:tab w:val="left" w:pos="284"/>
              </w:tabs>
              <w:autoSpaceDE w:val="0"/>
              <w:autoSpaceDN w:val="0"/>
              <w:adjustRightInd w:val="0"/>
              <w:jc w:val="both"/>
              <w:rPr>
                <w:sz w:val="22"/>
                <w:szCs w:val="22"/>
                <w:lang w:val="sr-Latn-ME"/>
              </w:rPr>
            </w:pPr>
          </w:p>
          <w:p w14:paraId="790A989E" w14:textId="77777777" w:rsidR="003954E2" w:rsidRPr="00D024EA" w:rsidRDefault="003954E2" w:rsidP="00EA5D97">
            <w:pPr>
              <w:tabs>
                <w:tab w:val="left" w:pos="284"/>
              </w:tabs>
              <w:autoSpaceDE w:val="0"/>
              <w:autoSpaceDN w:val="0"/>
              <w:adjustRightInd w:val="0"/>
              <w:jc w:val="both"/>
              <w:rPr>
                <w:sz w:val="22"/>
                <w:szCs w:val="22"/>
                <w:lang w:val="sr-Latn-ME"/>
              </w:rPr>
            </w:pPr>
          </w:p>
          <w:p w14:paraId="268DCC94" w14:textId="77777777" w:rsidR="003954E2" w:rsidRPr="00D024EA" w:rsidRDefault="003954E2" w:rsidP="00EA5D97">
            <w:pPr>
              <w:tabs>
                <w:tab w:val="left" w:pos="284"/>
              </w:tabs>
              <w:autoSpaceDE w:val="0"/>
              <w:autoSpaceDN w:val="0"/>
              <w:adjustRightInd w:val="0"/>
              <w:jc w:val="both"/>
              <w:rPr>
                <w:sz w:val="22"/>
                <w:szCs w:val="22"/>
                <w:lang w:val="sr-Latn-ME"/>
              </w:rPr>
            </w:pPr>
          </w:p>
          <w:p w14:paraId="28EE01E3" w14:textId="77777777" w:rsidR="003954E2" w:rsidRPr="00D024EA" w:rsidRDefault="003954E2" w:rsidP="00EA5D97">
            <w:pPr>
              <w:tabs>
                <w:tab w:val="left" w:pos="284"/>
              </w:tabs>
              <w:autoSpaceDE w:val="0"/>
              <w:autoSpaceDN w:val="0"/>
              <w:adjustRightInd w:val="0"/>
              <w:jc w:val="both"/>
              <w:rPr>
                <w:sz w:val="22"/>
                <w:szCs w:val="22"/>
                <w:lang w:val="sr-Latn-ME"/>
              </w:rPr>
            </w:pPr>
          </w:p>
          <w:p w14:paraId="4DCB3D2D" w14:textId="77777777" w:rsidR="003954E2" w:rsidRPr="00D024EA" w:rsidRDefault="003954E2" w:rsidP="00EA5D97">
            <w:pPr>
              <w:tabs>
                <w:tab w:val="left" w:pos="284"/>
              </w:tabs>
              <w:autoSpaceDE w:val="0"/>
              <w:autoSpaceDN w:val="0"/>
              <w:adjustRightInd w:val="0"/>
              <w:jc w:val="both"/>
              <w:rPr>
                <w:sz w:val="22"/>
                <w:szCs w:val="22"/>
                <w:lang w:val="sr-Latn-ME"/>
              </w:rPr>
            </w:pPr>
          </w:p>
          <w:p w14:paraId="08F6CDC7" w14:textId="77777777" w:rsidR="003954E2" w:rsidRPr="00D024EA" w:rsidRDefault="003954E2" w:rsidP="00EA5D97">
            <w:pPr>
              <w:tabs>
                <w:tab w:val="left" w:pos="284"/>
              </w:tabs>
              <w:autoSpaceDE w:val="0"/>
              <w:autoSpaceDN w:val="0"/>
              <w:adjustRightInd w:val="0"/>
              <w:jc w:val="both"/>
              <w:rPr>
                <w:sz w:val="22"/>
                <w:szCs w:val="22"/>
                <w:lang w:val="sr-Latn-ME"/>
              </w:rPr>
            </w:pPr>
          </w:p>
        </w:tc>
        <w:tc>
          <w:tcPr>
            <w:tcW w:w="2644" w:type="pct"/>
            <w:tcBorders>
              <w:top w:val="single" w:sz="4" w:space="0" w:color="auto"/>
              <w:left w:val="single" w:sz="4" w:space="0" w:color="auto"/>
              <w:bottom w:val="single" w:sz="4" w:space="0" w:color="auto"/>
              <w:right w:val="single" w:sz="4" w:space="0" w:color="auto"/>
            </w:tcBorders>
            <w:hideMark/>
          </w:tcPr>
          <w:p w14:paraId="7F410A61" w14:textId="77777777" w:rsidR="003954E2" w:rsidRPr="00D024EA" w:rsidRDefault="003954E2" w:rsidP="00B7348D">
            <w:pPr>
              <w:tabs>
                <w:tab w:val="left" w:pos="284"/>
              </w:tabs>
              <w:rPr>
                <w:sz w:val="22"/>
                <w:szCs w:val="22"/>
                <w:lang w:val="sr-Latn-ME"/>
              </w:rPr>
            </w:pPr>
            <w:r w:rsidRPr="00D024EA">
              <w:rPr>
                <w:noProof/>
                <w:sz w:val="22"/>
                <w:szCs w:val="22"/>
                <w:lang w:val="sr-Latn-ME" w:eastAsia="sr-Latn-ME"/>
              </w:rPr>
              <w:drawing>
                <wp:anchor distT="0" distB="0" distL="114300" distR="114300" simplePos="0" relativeHeight="251658251" behindDoc="0" locked="0" layoutInCell="1" allowOverlap="1" wp14:anchorId="1343598C" wp14:editId="19CF0356">
                  <wp:simplePos x="0" y="0"/>
                  <wp:positionH relativeFrom="column">
                    <wp:posOffset>-8255</wp:posOffset>
                  </wp:positionH>
                  <wp:positionV relativeFrom="paragraph">
                    <wp:posOffset>319405</wp:posOffset>
                  </wp:positionV>
                  <wp:extent cx="2901950" cy="2087880"/>
                  <wp:effectExtent l="0" t="0" r="0" b="762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01950" cy="2087880"/>
                          </a:xfrm>
                          <a:prstGeom prst="rect">
                            <a:avLst/>
                          </a:prstGeom>
                          <a:noFill/>
                        </pic:spPr>
                      </pic:pic>
                    </a:graphicData>
                  </a:graphic>
                  <wp14:sizeRelH relativeFrom="page">
                    <wp14:pctWidth>0</wp14:pctWidth>
                  </wp14:sizeRelH>
                  <wp14:sizeRelV relativeFrom="page">
                    <wp14:pctHeight>0</wp14:pctHeight>
                  </wp14:sizeRelV>
                </wp:anchor>
              </w:drawing>
            </w:r>
          </w:p>
        </w:tc>
      </w:tr>
      <w:tr w:rsidR="003954E2" w:rsidRPr="00D024EA" w14:paraId="3E48E2E3" w14:textId="77777777" w:rsidTr="00EA5D97">
        <w:tc>
          <w:tcPr>
            <w:tcW w:w="266" w:type="pct"/>
            <w:tcBorders>
              <w:top w:val="single" w:sz="4" w:space="0" w:color="auto"/>
              <w:left w:val="single" w:sz="4" w:space="0" w:color="auto"/>
              <w:bottom w:val="single" w:sz="4" w:space="0" w:color="auto"/>
              <w:right w:val="single" w:sz="4" w:space="0" w:color="auto"/>
            </w:tcBorders>
            <w:hideMark/>
          </w:tcPr>
          <w:p w14:paraId="6E9123AD" w14:textId="77777777" w:rsidR="003954E2" w:rsidRPr="00D024EA" w:rsidRDefault="003954E2" w:rsidP="00B7348D">
            <w:pPr>
              <w:tabs>
                <w:tab w:val="left" w:pos="284"/>
              </w:tabs>
              <w:autoSpaceDE w:val="0"/>
              <w:autoSpaceDN w:val="0"/>
              <w:adjustRightInd w:val="0"/>
              <w:rPr>
                <w:sz w:val="22"/>
                <w:szCs w:val="22"/>
                <w:lang w:val="sr-Latn-ME"/>
              </w:rPr>
            </w:pPr>
            <w:r w:rsidRPr="00D024EA">
              <w:rPr>
                <w:sz w:val="22"/>
                <w:szCs w:val="22"/>
                <w:lang w:val="sr-Latn-ME"/>
              </w:rPr>
              <w:t>13</w:t>
            </w:r>
          </w:p>
        </w:tc>
        <w:tc>
          <w:tcPr>
            <w:tcW w:w="4734" w:type="pct"/>
            <w:gridSpan w:val="2"/>
            <w:tcBorders>
              <w:top w:val="single" w:sz="4" w:space="0" w:color="auto"/>
              <w:left w:val="single" w:sz="4" w:space="0" w:color="auto"/>
              <w:bottom w:val="single" w:sz="4" w:space="0" w:color="auto"/>
              <w:right w:val="single" w:sz="4" w:space="0" w:color="auto"/>
            </w:tcBorders>
          </w:tcPr>
          <w:p w14:paraId="51128CD2" w14:textId="77777777" w:rsidR="003954E2" w:rsidRPr="00D024EA" w:rsidRDefault="003954E2" w:rsidP="00EA5D97">
            <w:pPr>
              <w:tabs>
                <w:tab w:val="left" w:pos="284"/>
              </w:tabs>
              <w:autoSpaceDE w:val="0"/>
              <w:autoSpaceDN w:val="0"/>
              <w:adjustRightInd w:val="0"/>
              <w:jc w:val="both"/>
              <w:rPr>
                <w:sz w:val="22"/>
                <w:szCs w:val="22"/>
                <w:lang w:val="sr-Latn-ME"/>
              </w:rPr>
            </w:pPr>
            <w:r w:rsidRPr="00D024EA">
              <w:rPr>
                <w:sz w:val="22"/>
                <w:szCs w:val="22"/>
                <w:lang w:val="sr-Latn-ME"/>
              </w:rPr>
              <w:t xml:space="preserve">Upotrijebite odmah. </w:t>
            </w:r>
          </w:p>
          <w:p w14:paraId="5E0699D8" w14:textId="7B252DA0" w:rsidR="003954E2" w:rsidRPr="00D024EA" w:rsidRDefault="003954E2" w:rsidP="00EA5D97">
            <w:pPr>
              <w:tabs>
                <w:tab w:val="left" w:pos="284"/>
              </w:tabs>
              <w:autoSpaceDE w:val="0"/>
              <w:autoSpaceDN w:val="0"/>
              <w:adjustRightInd w:val="0"/>
              <w:jc w:val="both"/>
              <w:rPr>
                <w:sz w:val="22"/>
                <w:szCs w:val="22"/>
                <w:lang w:val="sr-Latn-ME"/>
              </w:rPr>
            </w:pPr>
            <w:r w:rsidRPr="00D024EA">
              <w:rPr>
                <w:sz w:val="22"/>
                <w:szCs w:val="22"/>
                <w:lang w:val="sr-Latn-ME"/>
              </w:rPr>
              <w:t>Odložite svu neiskorišćenu količinu rastvora.</w:t>
            </w:r>
          </w:p>
        </w:tc>
      </w:tr>
    </w:tbl>
    <w:p w14:paraId="44925B77" w14:textId="5E9D005D" w:rsidR="00A15CEE" w:rsidRPr="00D6708F" w:rsidRDefault="00A15CEE" w:rsidP="005742F8">
      <w:pPr>
        <w:spacing w:before="31"/>
        <w:rPr>
          <w:sz w:val="22"/>
          <w:szCs w:val="22"/>
          <w:lang w:val="de-DE"/>
        </w:rPr>
      </w:pPr>
      <w:r w:rsidRPr="00D6708F">
        <w:rPr>
          <w:w w:val="110"/>
          <w:sz w:val="22"/>
          <w:szCs w:val="22"/>
          <w:lang w:val="de-DE"/>
        </w:rPr>
        <w:t>(*ako</w:t>
      </w:r>
      <w:r w:rsidRPr="00D6708F">
        <w:rPr>
          <w:spacing w:val="-6"/>
          <w:w w:val="110"/>
          <w:sz w:val="22"/>
          <w:szCs w:val="22"/>
          <w:lang w:val="de-DE"/>
        </w:rPr>
        <w:t xml:space="preserve"> </w:t>
      </w:r>
      <w:r w:rsidRPr="00D6708F">
        <w:rPr>
          <w:w w:val="110"/>
          <w:sz w:val="22"/>
          <w:szCs w:val="22"/>
          <w:lang w:val="de-DE"/>
        </w:rPr>
        <w:t>se prenosna</w:t>
      </w:r>
      <w:r w:rsidRPr="00D6708F">
        <w:rPr>
          <w:spacing w:val="4"/>
          <w:w w:val="110"/>
          <w:sz w:val="22"/>
          <w:szCs w:val="22"/>
          <w:lang w:val="de-DE"/>
        </w:rPr>
        <w:t xml:space="preserve"> </w:t>
      </w:r>
      <w:r w:rsidRPr="00D6708F">
        <w:rPr>
          <w:w w:val="110"/>
          <w:sz w:val="22"/>
          <w:szCs w:val="22"/>
          <w:lang w:val="de-DE"/>
        </w:rPr>
        <w:t>kanila</w:t>
      </w:r>
      <w:r w:rsidRPr="00D6708F">
        <w:rPr>
          <w:spacing w:val="5"/>
          <w:w w:val="110"/>
          <w:sz w:val="22"/>
          <w:szCs w:val="22"/>
          <w:lang w:val="de-DE"/>
        </w:rPr>
        <w:t xml:space="preserve"> </w:t>
      </w:r>
      <w:r w:rsidRPr="00D6708F">
        <w:rPr>
          <w:w w:val="110"/>
          <w:sz w:val="22"/>
          <w:szCs w:val="22"/>
          <w:lang w:val="de-DE"/>
        </w:rPr>
        <w:t>nalazi</w:t>
      </w:r>
      <w:r w:rsidRPr="00D6708F">
        <w:rPr>
          <w:spacing w:val="9"/>
          <w:w w:val="110"/>
          <w:sz w:val="22"/>
          <w:szCs w:val="22"/>
          <w:lang w:val="de-DE"/>
        </w:rPr>
        <w:t xml:space="preserve"> </w:t>
      </w:r>
      <w:r w:rsidRPr="00D6708F">
        <w:rPr>
          <w:w w:val="110"/>
          <w:sz w:val="22"/>
          <w:szCs w:val="22"/>
          <w:lang w:val="de-DE"/>
        </w:rPr>
        <w:t>u</w:t>
      </w:r>
      <w:r w:rsidRPr="00D6708F">
        <w:rPr>
          <w:spacing w:val="9"/>
          <w:w w:val="110"/>
          <w:sz w:val="22"/>
          <w:szCs w:val="22"/>
          <w:lang w:val="de-DE"/>
        </w:rPr>
        <w:t xml:space="preserve"> </w:t>
      </w:r>
      <w:r w:rsidRPr="00D6708F">
        <w:rPr>
          <w:w w:val="110"/>
          <w:sz w:val="22"/>
          <w:szCs w:val="22"/>
          <w:lang w:val="de-DE"/>
        </w:rPr>
        <w:t>pakovanju.</w:t>
      </w:r>
      <w:r w:rsidRPr="00D6708F">
        <w:rPr>
          <w:spacing w:val="14"/>
          <w:w w:val="110"/>
          <w:sz w:val="22"/>
          <w:szCs w:val="22"/>
          <w:lang w:val="de-DE"/>
        </w:rPr>
        <w:t xml:space="preserve"> </w:t>
      </w:r>
      <w:r w:rsidRPr="00D6708F">
        <w:rPr>
          <w:w w:val="110"/>
          <w:sz w:val="22"/>
          <w:szCs w:val="22"/>
          <w:lang w:val="de-DE"/>
        </w:rPr>
        <w:t>Rekons</w:t>
      </w:r>
      <w:r w:rsidR="00E638E0" w:rsidRPr="00D6708F">
        <w:rPr>
          <w:w w:val="110"/>
          <w:sz w:val="22"/>
          <w:szCs w:val="22"/>
          <w:lang w:val="de-DE"/>
        </w:rPr>
        <w:t>tituc</w:t>
      </w:r>
      <w:r w:rsidRPr="00D6708F">
        <w:rPr>
          <w:w w:val="110"/>
          <w:sz w:val="22"/>
          <w:szCs w:val="22"/>
          <w:lang w:val="de-DE"/>
        </w:rPr>
        <w:t>ija se</w:t>
      </w:r>
      <w:r w:rsidRPr="00D6708F">
        <w:rPr>
          <w:spacing w:val="-7"/>
          <w:w w:val="110"/>
          <w:sz w:val="22"/>
          <w:szCs w:val="22"/>
          <w:lang w:val="de-DE"/>
        </w:rPr>
        <w:t xml:space="preserve"> </w:t>
      </w:r>
      <w:r w:rsidRPr="00D6708F">
        <w:rPr>
          <w:w w:val="110"/>
          <w:sz w:val="22"/>
          <w:szCs w:val="22"/>
          <w:lang w:val="de-DE"/>
        </w:rPr>
        <w:t>tako</w:t>
      </w:r>
      <w:r w:rsidR="00E638E0" w:rsidRPr="00D6708F">
        <w:rPr>
          <w:w w:val="110"/>
          <w:sz w:val="22"/>
          <w:szCs w:val="22"/>
          <w:lang w:val="de-DE"/>
        </w:rPr>
        <w:t>đe može</w:t>
      </w:r>
      <w:r w:rsidRPr="00D6708F">
        <w:rPr>
          <w:w w:val="110"/>
          <w:sz w:val="22"/>
          <w:szCs w:val="22"/>
          <w:lang w:val="de-DE"/>
        </w:rPr>
        <w:t xml:space="preserve"> uraditi</w:t>
      </w:r>
      <w:r w:rsidRPr="00D6708F">
        <w:rPr>
          <w:spacing w:val="13"/>
          <w:w w:val="110"/>
          <w:sz w:val="22"/>
          <w:szCs w:val="22"/>
          <w:lang w:val="de-DE"/>
        </w:rPr>
        <w:t xml:space="preserve"> </w:t>
      </w:r>
      <w:r w:rsidRPr="00D6708F">
        <w:rPr>
          <w:w w:val="110"/>
          <w:sz w:val="22"/>
          <w:szCs w:val="22"/>
          <w:lang w:val="de-DE"/>
        </w:rPr>
        <w:t>uz</w:t>
      </w:r>
      <w:r w:rsidRPr="00D6708F">
        <w:rPr>
          <w:spacing w:val="-4"/>
          <w:w w:val="110"/>
          <w:sz w:val="22"/>
          <w:szCs w:val="22"/>
          <w:lang w:val="de-DE"/>
        </w:rPr>
        <w:t xml:space="preserve"> </w:t>
      </w:r>
      <w:r w:rsidRPr="00D6708F">
        <w:rPr>
          <w:w w:val="110"/>
          <w:sz w:val="22"/>
          <w:szCs w:val="22"/>
          <w:lang w:val="de-DE"/>
        </w:rPr>
        <w:t>pomo</w:t>
      </w:r>
      <w:r w:rsidR="00E638E0" w:rsidRPr="00D6708F">
        <w:rPr>
          <w:w w:val="110"/>
          <w:sz w:val="22"/>
          <w:szCs w:val="22"/>
          <w:lang w:val="de-DE"/>
        </w:rPr>
        <w:t>ć šprica il</w:t>
      </w:r>
      <w:r w:rsidRPr="00D6708F">
        <w:rPr>
          <w:w w:val="110"/>
          <w:sz w:val="22"/>
          <w:szCs w:val="22"/>
          <w:lang w:val="de-DE"/>
        </w:rPr>
        <w:t>i</w:t>
      </w:r>
      <w:r w:rsidRPr="00D6708F">
        <w:rPr>
          <w:spacing w:val="2"/>
          <w:w w:val="110"/>
          <w:sz w:val="22"/>
          <w:szCs w:val="22"/>
          <w:lang w:val="de-DE"/>
        </w:rPr>
        <w:t xml:space="preserve"> </w:t>
      </w:r>
      <w:r w:rsidR="00D6708F">
        <w:rPr>
          <w:spacing w:val="-2"/>
          <w:w w:val="110"/>
          <w:sz w:val="22"/>
          <w:szCs w:val="22"/>
          <w:lang w:val="de-DE"/>
        </w:rPr>
        <w:t>igle</w:t>
      </w:r>
      <w:r w:rsidRPr="00D6708F">
        <w:rPr>
          <w:spacing w:val="-2"/>
          <w:w w:val="110"/>
          <w:sz w:val="22"/>
          <w:szCs w:val="22"/>
          <w:lang w:val="de-DE"/>
        </w:rPr>
        <w:t>)</w:t>
      </w:r>
    </w:p>
    <w:p w14:paraId="0F9DD613" w14:textId="77777777" w:rsidR="00B7348D" w:rsidRPr="00D024EA" w:rsidRDefault="00B7348D" w:rsidP="00B7348D">
      <w:pPr>
        <w:tabs>
          <w:tab w:val="left" w:pos="540"/>
          <w:tab w:val="left" w:pos="569"/>
        </w:tabs>
        <w:rPr>
          <w:b/>
          <w:bCs/>
          <w:sz w:val="22"/>
          <w:szCs w:val="22"/>
          <w:lang w:val="sr-Latn-ME"/>
        </w:rPr>
      </w:pPr>
    </w:p>
    <w:p w14:paraId="08D5650C" w14:textId="77777777" w:rsidR="00B7348D" w:rsidRPr="00D024EA" w:rsidRDefault="00B7348D" w:rsidP="00B7348D">
      <w:pPr>
        <w:tabs>
          <w:tab w:val="left" w:pos="540"/>
          <w:tab w:val="left" w:pos="569"/>
        </w:tabs>
        <w:rPr>
          <w:b/>
          <w:bCs/>
          <w:sz w:val="22"/>
          <w:szCs w:val="22"/>
          <w:lang w:val="sr-Latn-ME"/>
        </w:rPr>
      </w:pPr>
    </w:p>
    <w:p w14:paraId="0661647C" w14:textId="6E1DD085" w:rsidR="00F8570A" w:rsidRPr="00D024EA" w:rsidRDefault="0072020E" w:rsidP="00B7348D">
      <w:pPr>
        <w:tabs>
          <w:tab w:val="left" w:pos="540"/>
          <w:tab w:val="left" w:pos="569"/>
        </w:tabs>
        <w:rPr>
          <w:b/>
          <w:bCs/>
          <w:sz w:val="22"/>
          <w:szCs w:val="22"/>
          <w:lang w:val="sr-Latn-ME"/>
        </w:rPr>
      </w:pPr>
      <w:r w:rsidRPr="00D024EA">
        <w:rPr>
          <w:b/>
          <w:bCs/>
          <w:sz w:val="22"/>
          <w:szCs w:val="22"/>
          <w:lang w:val="sr-Latn-ME"/>
        </w:rPr>
        <w:t xml:space="preserve">7. </w:t>
      </w:r>
      <w:r w:rsidR="00480FB1" w:rsidRPr="00D024EA">
        <w:rPr>
          <w:b/>
          <w:bCs/>
          <w:sz w:val="22"/>
          <w:szCs w:val="22"/>
          <w:lang w:val="sr-Latn-ME"/>
        </w:rPr>
        <w:tab/>
      </w:r>
      <w:r w:rsidRPr="00D024EA">
        <w:rPr>
          <w:b/>
          <w:bCs/>
          <w:sz w:val="22"/>
          <w:szCs w:val="22"/>
          <w:lang w:val="sr-Latn-ME"/>
        </w:rPr>
        <w:t>NOSILAC DOZVOLE</w:t>
      </w:r>
      <w:r w:rsidR="00483928" w:rsidRPr="00D024EA">
        <w:rPr>
          <w:b/>
          <w:bCs/>
          <w:sz w:val="22"/>
          <w:szCs w:val="22"/>
          <w:lang w:val="sr-Latn-ME"/>
        </w:rPr>
        <w:t xml:space="preserve"> </w:t>
      </w:r>
    </w:p>
    <w:p w14:paraId="525F188F" w14:textId="253E03D6" w:rsidR="003954E2" w:rsidRPr="00D024EA" w:rsidRDefault="003954E2" w:rsidP="00B7348D">
      <w:pPr>
        <w:tabs>
          <w:tab w:val="left" w:pos="540"/>
          <w:tab w:val="left" w:pos="569"/>
        </w:tabs>
        <w:rPr>
          <w:b/>
          <w:bCs/>
          <w:sz w:val="22"/>
          <w:szCs w:val="22"/>
          <w:lang w:val="sr-Latn-ME"/>
        </w:rPr>
      </w:pPr>
    </w:p>
    <w:p w14:paraId="5725F312" w14:textId="2B725B50" w:rsidR="003954E2" w:rsidRPr="00D024EA" w:rsidRDefault="003954E2" w:rsidP="00B7348D">
      <w:pPr>
        <w:tabs>
          <w:tab w:val="left" w:pos="540"/>
          <w:tab w:val="left" w:pos="569"/>
        </w:tabs>
        <w:rPr>
          <w:sz w:val="22"/>
          <w:szCs w:val="22"/>
          <w:lang w:val="sr-Latn-ME"/>
        </w:rPr>
      </w:pPr>
      <w:r w:rsidRPr="00D024EA">
        <w:rPr>
          <w:sz w:val="22"/>
          <w:szCs w:val="22"/>
          <w:lang w:val="sr-Latn-ME"/>
        </w:rPr>
        <w:t>Glosarij d.o.o.</w:t>
      </w:r>
      <w:r w:rsidR="00E245C7" w:rsidRPr="00D024EA">
        <w:rPr>
          <w:sz w:val="22"/>
          <w:szCs w:val="22"/>
          <w:lang w:val="sr-Latn-ME"/>
        </w:rPr>
        <w:t>,</w:t>
      </w:r>
      <w:r w:rsidRPr="00D024EA">
        <w:rPr>
          <w:sz w:val="22"/>
          <w:szCs w:val="22"/>
          <w:lang w:val="sr-Latn-ME"/>
        </w:rPr>
        <w:t xml:space="preserve"> Vojislavljevića 76, Podgorica, Crna Gora</w:t>
      </w:r>
    </w:p>
    <w:p w14:paraId="1CEA2FD7" w14:textId="713438A3" w:rsidR="00C37FD7" w:rsidRPr="00D024EA" w:rsidRDefault="00C37FD7" w:rsidP="00B7348D">
      <w:pPr>
        <w:tabs>
          <w:tab w:val="left" w:pos="540"/>
          <w:tab w:val="left" w:pos="569"/>
        </w:tabs>
        <w:rPr>
          <w:bCs/>
          <w:sz w:val="22"/>
          <w:szCs w:val="22"/>
          <w:lang w:val="sr-Latn-ME"/>
        </w:rPr>
      </w:pPr>
    </w:p>
    <w:p w14:paraId="7B6DC830" w14:textId="77777777" w:rsidR="00B7348D" w:rsidRPr="00D024EA" w:rsidRDefault="00B7348D" w:rsidP="00B7348D">
      <w:pPr>
        <w:tabs>
          <w:tab w:val="left" w:pos="540"/>
          <w:tab w:val="left" w:pos="569"/>
        </w:tabs>
        <w:rPr>
          <w:bCs/>
          <w:sz w:val="22"/>
          <w:szCs w:val="22"/>
          <w:lang w:val="sr-Latn-ME"/>
        </w:rPr>
      </w:pPr>
    </w:p>
    <w:p w14:paraId="5F3A1103" w14:textId="77777777" w:rsidR="0072020E" w:rsidRPr="00D024EA" w:rsidRDefault="0072020E" w:rsidP="00B7348D">
      <w:pPr>
        <w:tabs>
          <w:tab w:val="left" w:pos="540"/>
          <w:tab w:val="left" w:pos="569"/>
        </w:tabs>
        <w:rPr>
          <w:b/>
          <w:bCs/>
          <w:sz w:val="22"/>
          <w:szCs w:val="22"/>
          <w:lang w:val="sr-Latn-ME"/>
        </w:rPr>
      </w:pPr>
      <w:r w:rsidRPr="00D024EA">
        <w:rPr>
          <w:b/>
          <w:bCs/>
          <w:sz w:val="22"/>
          <w:szCs w:val="22"/>
          <w:lang w:val="sr-Latn-ME"/>
        </w:rPr>
        <w:t xml:space="preserve">8. </w:t>
      </w:r>
      <w:r w:rsidR="00480FB1" w:rsidRPr="00D024EA">
        <w:rPr>
          <w:b/>
          <w:bCs/>
          <w:sz w:val="22"/>
          <w:szCs w:val="22"/>
          <w:lang w:val="sr-Latn-ME"/>
        </w:rPr>
        <w:tab/>
      </w:r>
      <w:r w:rsidRPr="00D024EA">
        <w:rPr>
          <w:b/>
          <w:bCs/>
          <w:sz w:val="22"/>
          <w:szCs w:val="22"/>
          <w:lang w:val="sr-Latn-ME"/>
        </w:rPr>
        <w:t>BROJ DOZVOLE</w:t>
      </w:r>
      <w:r w:rsidR="008A6D43" w:rsidRPr="00D024EA">
        <w:rPr>
          <w:b/>
          <w:bCs/>
          <w:sz w:val="22"/>
          <w:szCs w:val="22"/>
          <w:lang w:val="sr-Latn-ME"/>
        </w:rPr>
        <w:t xml:space="preserve"> ZA STAVLJANJE LIJEKA U PROMET</w:t>
      </w:r>
    </w:p>
    <w:p w14:paraId="2E00E78C" w14:textId="77777777" w:rsidR="00DE5B40" w:rsidRPr="00D024EA" w:rsidRDefault="00DE5B40" w:rsidP="00B7348D">
      <w:pPr>
        <w:tabs>
          <w:tab w:val="left" w:pos="540"/>
          <w:tab w:val="left" w:pos="569"/>
        </w:tabs>
        <w:rPr>
          <w:bCs/>
          <w:sz w:val="22"/>
          <w:szCs w:val="22"/>
          <w:lang w:val="sr-Latn-ME"/>
        </w:rPr>
      </w:pPr>
    </w:p>
    <w:p w14:paraId="6A12EB8F" w14:textId="57162C53" w:rsidR="00D024EA" w:rsidRPr="00D024EA" w:rsidRDefault="00D024EA" w:rsidP="00D024EA">
      <w:pPr>
        <w:jc w:val="both"/>
        <w:rPr>
          <w:bCs/>
          <w:sz w:val="22"/>
          <w:szCs w:val="22"/>
          <w:lang w:val="sr-Latn-ME"/>
        </w:rPr>
      </w:pPr>
      <w:r w:rsidRPr="00D024EA">
        <w:rPr>
          <w:bCs/>
          <w:sz w:val="22"/>
          <w:szCs w:val="22"/>
          <w:lang w:val="sr-Latn-ME"/>
        </w:rPr>
        <w:t xml:space="preserve">2030/24/4719 – 4177 </w:t>
      </w:r>
    </w:p>
    <w:p w14:paraId="3D2631F7" w14:textId="183ACF85" w:rsidR="00F45F77" w:rsidRPr="00D024EA" w:rsidRDefault="00F45F77" w:rsidP="00B7348D">
      <w:pPr>
        <w:tabs>
          <w:tab w:val="left" w:pos="540"/>
          <w:tab w:val="left" w:pos="569"/>
        </w:tabs>
        <w:rPr>
          <w:bCs/>
          <w:sz w:val="22"/>
          <w:szCs w:val="22"/>
          <w:lang w:val="sr-Latn-ME"/>
        </w:rPr>
      </w:pPr>
    </w:p>
    <w:p w14:paraId="2337E128" w14:textId="77777777" w:rsidR="00B7348D" w:rsidRPr="00D024EA" w:rsidRDefault="00B7348D" w:rsidP="00B7348D">
      <w:pPr>
        <w:tabs>
          <w:tab w:val="left" w:pos="540"/>
          <w:tab w:val="left" w:pos="569"/>
        </w:tabs>
        <w:rPr>
          <w:bCs/>
          <w:sz w:val="22"/>
          <w:szCs w:val="22"/>
          <w:lang w:val="sr-Latn-ME"/>
        </w:rPr>
      </w:pPr>
    </w:p>
    <w:p w14:paraId="7D57AE63" w14:textId="19390DB7" w:rsidR="0072020E" w:rsidRPr="00D024EA" w:rsidRDefault="0072020E" w:rsidP="00B7348D">
      <w:pPr>
        <w:tabs>
          <w:tab w:val="left" w:pos="540"/>
          <w:tab w:val="left" w:pos="569"/>
        </w:tabs>
        <w:rPr>
          <w:b/>
          <w:bCs/>
          <w:sz w:val="22"/>
          <w:szCs w:val="22"/>
          <w:lang w:val="sr-Latn-ME"/>
        </w:rPr>
      </w:pPr>
      <w:r w:rsidRPr="00D024EA">
        <w:rPr>
          <w:b/>
          <w:bCs/>
          <w:sz w:val="22"/>
          <w:szCs w:val="22"/>
          <w:lang w:val="sr-Latn-ME"/>
        </w:rPr>
        <w:lastRenderedPageBreak/>
        <w:t xml:space="preserve">9. </w:t>
      </w:r>
      <w:r w:rsidR="00480FB1" w:rsidRPr="00D024EA">
        <w:rPr>
          <w:b/>
          <w:bCs/>
          <w:sz w:val="22"/>
          <w:szCs w:val="22"/>
          <w:lang w:val="sr-Latn-ME"/>
        </w:rPr>
        <w:tab/>
      </w:r>
      <w:r w:rsidRPr="00D024EA">
        <w:rPr>
          <w:b/>
          <w:bCs/>
          <w:sz w:val="22"/>
          <w:szCs w:val="22"/>
          <w:lang w:val="sr-Latn-ME"/>
        </w:rPr>
        <w:t xml:space="preserve">DATUM </w:t>
      </w:r>
      <w:r w:rsidR="00C05DF8" w:rsidRPr="00D024EA">
        <w:rPr>
          <w:b/>
          <w:bCs/>
          <w:sz w:val="22"/>
          <w:szCs w:val="22"/>
          <w:lang w:val="sr-Latn-ME"/>
        </w:rPr>
        <w:t xml:space="preserve">PRVE </w:t>
      </w:r>
      <w:r w:rsidR="008A6D43" w:rsidRPr="00D024EA">
        <w:rPr>
          <w:b/>
          <w:bCs/>
          <w:sz w:val="22"/>
          <w:szCs w:val="22"/>
          <w:lang w:val="sr-Latn-ME"/>
        </w:rPr>
        <w:t>DOZVOLE</w:t>
      </w:r>
      <w:r w:rsidR="00C05DF8" w:rsidRPr="00D024EA">
        <w:rPr>
          <w:b/>
          <w:bCs/>
          <w:sz w:val="22"/>
          <w:szCs w:val="22"/>
          <w:lang w:val="sr-Latn-ME"/>
        </w:rPr>
        <w:t>/OBNOVE DOZVOLE</w:t>
      </w:r>
      <w:r w:rsidR="008A6D43" w:rsidRPr="00D024EA">
        <w:rPr>
          <w:b/>
          <w:bCs/>
          <w:sz w:val="22"/>
          <w:szCs w:val="22"/>
          <w:lang w:val="sr-Latn-ME"/>
        </w:rPr>
        <w:t xml:space="preserve"> ZA STAVLJANJE LIJEKA U PROMET</w:t>
      </w:r>
    </w:p>
    <w:p w14:paraId="3CCFD37D" w14:textId="77777777" w:rsidR="00B7348D" w:rsidRPr="00D024EA" w:rsidRDefault="00B7348D" w:rsidP="00B7348D">
      <w:pPr>
        <w:tabs>
          <w:tab w:val="left" w:pos="540"/>
          <w:tab w:val="left" w:pos="569"/>
        </w:tabs>
        <w:rPr>
          <w:b/>
          <w:bCs/>
          <w:sz w:val="22"/>
          <w:szCs w:val="22"/>
          <w:lang w:val="sr-Latn-ME"/>
        </w:rPr>
      </w:pPr>
    </w:p>
    <w:p w14:paraId="330736A4" w14:textId="3CB45974" w:rsidR="003954E2" w:rsidRPr="00D024EA" w:rsidRDefault="00AD797A" w:rsidP="00B7348D">
      <w:pPr>
        <w:tabs>
          <w:tab w:val="left" w:pos="540"/>
          <w:tab w:val="left" w:pos="569"/>
        </w:tabs>
        <w:rPr>
          <w:bCs/>
          <w:sz w:val="22"/>
          <w:szCs w:val="22"/>
          <w:lang w:val="sr-Latn-ME"/>
        </w:rPr>
      </w:pPr>
      <w:r w:rsidRPr="00D024EA">
        <w:rPr>
          <w:bCs/>
          <w:sz w:val="22"/>
          <w:szCs w:val="22"/>
          <w:lang w:val="sr-Latn-ME"/>
        </w:rPr>
        <w:t xml:space="preserve">Datum prve dozvole: </w:t>
      </w:r>
      <w:r w:rsidR="003954E2" w:rsidRPr="00D024EA">
        <w:rPr>
          <w:bCs/>
          <w:sz w:val="22"/>
          <w:szCs w:val="22"/>
          <w:lang w:val="sr-Latn-ME"/>
        </w:rPr>
        <w:t xml:space="preserve">08.04.2016. </w:t>
      </w:r>
      <w:r w:rsidRPr="00D024EA">
        <w:rPr>
          <w:bCs/>
          <w:sz w:val="22"/>
          <w:szCs w:val="22"/>
          <w:lang w:val="sr-Latn-ME"/>
        </w:rPr>
        <w:t>godine</w:t>
      </w:r>
    </w:p>
    <w:p w14:paraId="0FB174ED" w14:textId="7343D42C" w:rsidR="00D024EA" w:rsidRPr="00D024EA" w:rsidRDefault="00AD797A" w:rsidP="00D024EA">
      <w:pPr>
        <w:jc w:val="both"/>
        <w:rPr>
          <w:bCs/>
          <w:sz w:val="22"/>
          <w:szCs w:val="22"/>
          <w:lang w:val="sr-Latn-ME"/>
        </w:rPr>
      </w:pPr>
      <w:r w:rsidRPr="00D024EA">
        <w:rPr>
          <w:bCs/>
          <w:sz w:val="22"/>
          <w:szCs w:val="22"/>
          <w:lang w:val="sr-Latn-ME"/>
        </w:rPr>
        <w:t>Datum posljednje obnove dozvole:</w:t>
      </w:r>
      <w:r w:rsidR="00D024EA" w:rsidRPr="00D024EA">
        <w:rPr>
          <w:bCs/>
          <w:sz w:val="22"/>
          <w:szCs w:val="22"/>
          <w:lang w:val="sr-Latn-ME"/>
        </w:rPr>
        <w:t xml:space="preserve"> 19.09.2024. godine</w:t>
      </w:r>
    </w:p>
    <w:p w14:paraId="6DD891E0" w14:textId="69082519" w:rsidR="00AD797A" w:rsidRPr="00D024EA" w:rsidRDefault="00AD797A" w:rsidP="00B7348D">
      <w:pPr>
        <w:tabs>
          <w:tab w:val="left" w:pos="540"/>
          <w:tab w:val="left" w:pos="569"/>
        </w:tabs>
        <w:rPr>
          <w:bCs/>
          <w:sz w:val="22"/>
          <w:szCs w:val="22"/>
          <w:lang w:val="sr-Latn-ME"/>
        </w:rPr>
      </w:pPr>
    </w:p>
    <w:p w14:paraId="377BD8BC" w14:textId="77777777" w:rsidR="00B7348D" w:rsidRPr="00D024EA" w:rsidRDefault="00B7348D" w:rsidP="00B7348D">
      <w:pPr>
        <w:tabs>
          <w:tab w:val="left" w:pos="540"/>
          <w:tab w:val="left" w:pos="569"/>
        </w:tabs>
        <w:rPr>
          <w:bCs/>
          <w:sz w:val="22"/>
          <w:szCs w:val="22"/>
          <w:lang w:val="sr-Latn-ME"/>
        </w:rPr>
      </w:pPr>
    </w:p>
    <w:p w14:paraId="5CB27AA9" w14:textId="760C0068" w:rsidR="003F6A59" w:rsidRPr="00D024EA" w:rsidRDefault="0072020E" w:rsidP="00B7348D">
      <w:pPr>
        <w:tabs>
          <w:tab w:val="left" w:pos="540"/>
          <w:tab w:val="left" w:pos="569"/>
        </w:tabs>
        <w:ind w:left="540" w:hanging="540"/>
        <w:rPr>
          <w:b/>
          <w:bCs/>
          <w:sz w:val="22"/>
          <w:szCs w:val="22"/>
          <w:lang w:val="sr-Latn-ME"/>
        </w:rPr>
      </w:pPr>
      <w:r w:rsidRPr="00D024EA">
        <w:rPr>
          <w:b/>
          <w:bCs/>
          <w:sz w:val="22"/>
          <w:szCs w:val="22"/>
          <w:lang w:val="sr-Latn-ME"/>
        </w:rPr>
        <w:t xml:space="preserve">10. </w:t>
      </w:r>
      <w:r w:rsidR="00480FB1" w:rsidRPr="00D024EA">
        <w:rPr>
          <w:b/>
          <w:bCs/>
          <w:sz w:val="22"/>
          <w:szCs w:val="22"/>
          <w:lang w:val="sr-Latn-ME"/>
        </w:rPr>
        <w:tab/>
      </w:r>
      <w:r w:rsidR="002846DB" w:rsidRPr="00D024EA">
        <w:rPr>
          <w:b/>
          <w:bCs/>
          <w:sz w:val="22"/>
          <w:szCs w:val="22"/>
          <w:lang w:val="sr-Latn-ME"/>
        </w:rPr>
        <w:t>D</w:t>
      </w:r>
      <w:r w:rsidR="00EC2532" w:rsidRPr="00D024EA">
        <w:rPr>
          <w:b/>
          <w:bCs/>
          <w:sz w:val="22"/>
          <w:szCs w:val="22"/>
          <w:lang w:val="sr-Latn-ME"/>
        </w:rPr>
        <w:t xml:space="preserve">ATUM REVIZIJE TEKSTA </w:t>
      </w:r>
    </w:p>
    <w:p w14:paraId="457891F0" w14:textId="77777777" w:rsidR="00954F0E" w:rsidRPr="00D024EA" w:rsidRDefault="00954F0E" w:rsidP="00B7348D">
      <w:pPr>
        <w:tabs>
          <w:tab w:val="left" w:pos="540"/>
          <w:tab w:val="left" w:pos="569"/>
        </w:tabs>
        <w:ind w:left="540" w:hanging="540"/>
        <w:rPr>
          <w:bCs/>
          <w:sz w:val="22"/>
          <w:szCs w:val="22"/>
          <w:lang w:val="sr-Latn-ME"/>
        </w:rPr>
      </w:pPr>
    </w:p>
    <w:p w14:paraId="4B6D31D2" w14:textId="67881AC7" w:rsidR="003F6A59" w:rsidRPr="00D024EA" w:rsidRDefault="00D024EA" w:rsidP="00B7348D">
      <w:pPr>
        <w:rPr>
          <w:sz w:val="22"/>
          <w:szCs w:val="22"/>
          <w:lang w:val="sr-Latn-ME"/>
        </w:rPr>
      </w:pPr>
      <w:r w:rsidRPr="00D024EA">
        <w:rPr>
          <w:sz w:val="22"/>
          <w:szCs w:val="22"/>
          <w:lang w:val="sr-Latn-ME"/>
        </w:rPr>
        <w:t>Septembar, 2024. godine</w:t>
      </w:r>
      <w:bookmarkStart w:id="2" w:name="_GoBack"/>
      <w:bookmarkEnd w:id="2"/>
    </w:p>
    <w:sectPr w:rsidR="003F6A59" w:rsidRPr="00D024EA" w:rsidSect="00EA5D97">
      <w:footerReference w:type="default" r:id="rId29"/>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EE3EB" w14:textId="77777777" w:rsidR="00591D87" w:rsidRDefault="00591D87">
      <w:r>
        <w:separator/>
      </w:r>
    </w:p>
  </w:endnote>
  <w:endnote w:type="continuationSeparator" w:id="0">
    <w:p w14:paraId="7F0D41F4" w14:textId="77777777" w:rsidR="00591D87" w:rsidRDefault="00591D87">
      <w:r>
        <w:continuationSeparator/>
      </w:r>
    </w:p>
  </w:endnote>
  <w:endnote w:type="continuationNotice" w:id="1">
    <w:p w14:paraId="622CDB0B" w14:textId="77777777" w:rsidR="00591D87" w:rsidRDefault="00591D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7AA9B" w14:textId="64B39E55" w:rsidR="00B9091D" w:rsidRPr="00B23F69" w:rsidRDefault="00B9091D"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D6708F">
      <w:rPr>
        <w:noProof/>
        <w:sz w:val="22"/>
        <w:szCs w:val="22"/>
      </w:rPr>
      <w:t>22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D6708F">
      <w:rPr>
        <w:noProof/>
        <w:sz w:val="22"/>
        <w:szCs w:val="22"/>
      </w:rPr>
      <w:t>22</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FD16B" w14:textId="77777777" w:rsidR="00591D87" w:rsidRDefault="00591D87">
      <w:r>
        <w:separator/>
      </w:r>
    </w:p>
  </w:footnote>
  <w:footnote w:type="continuationSeparator" w:id="0">
    <w:p w14:paraId="1432DA00" w14:textId="77777777" w:rsidR="00591D87" w:rsidRDefault="00591D87">
      <w:r>
        <w:continuationSeparator/>
      </w:r>
    </w:p>
  </w:footnote>
  <w:footnote w:type="continuationNotice" w:id="1">
    <w:p w14:paraId="5FCB385E" w14:textId="77777777" w:rsidR="00591D87" w:rsidRDefault="00591D8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6" type="#_x0000_t75" style="width:15.55pt;height:14.4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0A5E53"/>
    <w:multiLevelType w:val="hybridMultilevel"/>
    <w:tmpl w:val="E320E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0E55196"/>
    <w:multiLevelType w:val="hybridMultilevel"/>
    <w:tmpl w:val="4ED003AE"/>
    <w:lvl w:ilvl="0" w:tplc="806C2360">
      <w:start w:val="3"/>
      <w:numFmt w:val="bullet"/>
      <w:lvlText w:val="•"/>
      <w:lvlJc w:val="left"/>
      <w:pPr>
        <w:ind w:left="720" w:hanging="360"/>
      </w:pPr>
      <w:rPr>
        <w:rFonts w:ascii="Times New Roman" w:eastAsia="MS Mincho" w:hAnsi="Times New Roman" w:cs="Times New Roman" w:hint="default"/>
        <w:b w:val="0"/>
        <w:i w:val="0"/>
        <w:iCs w:val="0"/>
        <w:color w:val="0000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56273"/>
    <w:multiLevelType w:val="hybridMultilevel"/>
    <w:tmpl w:val="3A6E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DC668D"/>
    <w:multiLevelType w:val="hybridMultilevel"/>
    <w:tmpl w:val="A1D04C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47CB7AFE"/>
    <w:multiLevelType w:val="hybridMultilevel"/>
    <w:tmpl w:val="797269DA"/>
    <w:lvl w:ilvl="0" w:tplc="806C2360">
      <w:start w:val="3"/>
      <w:numFmt w:val="bullet"/>
      <w:lvlText w:val="•"/>
      <w:lvlJc w:val="left"/>
      <w:pPr>
        <w:ind w:left="720" w:hanging="360"/>
      </w:pPr>
      <w:rPr>
        <w:rFonts w:ascii="Times New Roman" w:eastAsia="MS Mincho" w:hAnsi="Times New Roman" w:cs="Times New Roman" w:hint="default"/>
        <w:b w:val="0"/>
        <w:i w:val="0"/>
        <w:iCs w:val="0"/>
        <w:color w:val="0000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0E4C1E"/>
    <w:multiLevelType w:val="hybridMultilevel"/>
    <w:tmpl w:val="96E8ACD8"/>
    <w:lvl w:ilvl="0" w:tplc="806C2360">
      <w:start w:val="3"/>
      <w:numFmt w:val="bullet"/>
      <w:lvlText w:val="•"/>
      <w:lvlJc w:val="left"/>
      <w:pPr>
        <w:ind w:left="720" w:hanging="360"/>
      </w:pPr>
      <w:rPr>
        <w:rFonts w:ascii="Times New Roman" w:eastAsia="MS Mincho" w:hAnsi="Times New Roman" w:cs="Times New Roman" w:hint="default"/>
        <w:b w:val="0"/>
        <w:i w:val="0"/>
        <w:iCs w:val="0"/>
        <w:color w:val="000000"/>
        <w:sz w:val="24"/>
        <w:szCs w:val="24"/>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4"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3BC662E"/>
    <w:multiLevelType w:val="hybridMultilevel"/>
    <w:tmpl w:val="154A0C0C"/>
    <w:lvl w:ilvl="0" w:tplc="04090001">
      <w:start w:val="1"/>
      <w:numFmt w:val="bullet"/>
      <w:lvlText w:val=""/>
      <w:lvlJc w:val="left"/>
      <w:pPr>
        <w:tabs>
          <w:tab w:val="num" w:pos="720"/>
        </w:tabs>
        <w:ind w:left="720" w:hanging="360"/>
      </w:pPr>
      <w:rPr>
        <w:rFonts w:ascii="Symbol" w:hAnsi="Symbol" w:hint="default"/>
      </w:rPr>
    </w:lvl>
    <w:lvl w:ilvl="1" w:tplc="806C2360">
      <w:start w:val="3"/>
      <w:numFmt w:val="bullet"/>
      <w:lvlText w:val="•"/>
      <w:lvlJc w:val="left"/>
      <w:pPr>
        <w:ind w:left="1440" w:hanging="360"/>
      </w:pPr>
      <w:rPr>
        <w:rFonts w:ascii="Times New Roman" w:eastAsia="MS Mincho"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EB72210"/>
    <w:multiLevelType w:val="hybridMultilevel"/>
    <w:tmpl w:val="2E7CA2CE"/>
    <w:lvl w:ilvl="0" w:tplc="04090001">
      <w:start w:val="1"/>
      <w:numFmt w:val="bullet"/>
      <w:lvlText w:val=""/>
      <w:lvlJc w:val="left"/>
      <w:pPr>
        <w:ind w:left="720" w:hanging="360"/>
      </w:pPr>
      <w:rPr>
        <w:rFonts w:ascii="Symbol" w:hAnsi="Symbol" w:hint="default"/>
        <w:b w:val="0"/>
        <w:i w:val="0"/>
        <w:iCs w:val="0"/>
        <w:color w:val="000000"/>
        <w:sz w:val="24"/>
        <w:szCs w:val="24"/>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8"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0"/>
  </w:num>
  <w:num w:numId="4">
    <w:abstractNumId w:val="14"/>
  </w:num>
  <w:num w:numId="5">
    <w:abstractNumId w:val="7"/>
  </w:num>
  <w:num w:numId="6">
    <w:abstractNumId w:val="2"/>
  </w:num>
  <w:num w:numId="7">
    <w:abstractNumId w:val="11"/>
  </w:num>
  <w:num w:numId="8">
    <w:abstractNumId w:val="6"/>
  </w:num>
  <w:num w:numId="9">
    <w:abstractNumId w:val="10"/>
  </w:num>
  <w:num w:numId="10">
    <w:abstractNumId w:val="18"/>
  </w:num>
  <w:num w:numId="11">
    <w:abstractNumId w:val="8"/>
  </w:num>
  <w:num w:numId="12">
    <w:abstractNumId w:val="17"/>
  </w:num>
  <w:num w:numId="13">
    <w:abstractNumId w:val="9"/>
  </w:num>
  <w:num w:numId="14">
    <w:abstractNumId w:val="4"/>
  </w:num>
  <w:num w:numId="15">
    <w:abstractNumId w:val="15"/>
  </w:num>
  <w:num w:numId="16">
    <w:abstractNumId w:val="1"/>
  </w:num>
  <w:num w:numId="17">
    <w:abstractNumId w:val="13"/>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46FB"/>
    <w:rsid w:val="000176CA"/>
    <w:rsid w:val="00036FA0"/>
    <w:rsid w:val="0003793F"/>
    <w:rsid w:val="00057E35"/>
    <w:rsid w:val="00075550"/>
    <w:rsid w:val="00076726"/>
    <w:rsid w:val="00080303"/>
    <w:rsid w:val="00080B5D"/>
    <w:rsid w:val="00085ED0"/>
    <w:rsid w:val="000903BA"/>
    <w:rsid w:val="00091681"/>
    <w:rsid w:val="000919DB"/>
    <w:rsid w:val="000A3F58"/>
    <w:rsid w:val="000C5D9F"/>
    <w:rsid w:val="000D2343"/>
    <w:rsid w:val="000D3449"/>
    <w:rsid w:val="000D425A"/>
    <w:rsid w:val="000D60CC"/>
    <w:rsid w:val="000E2084"/>
    <w:rsid w:val="000E6F55"/>
    <w:rsid w:val="000F77FA"/>
    <w:rsid w:val="00105A6E"/>
    <w:rsid w:val="00107BF7"/>
    <w:rsid w:val="00126F53"/>
    <w:rsid w:val="001376DA"/>
    <w:rsid w:val="0014165C"/>
    <w:rsid w:val="0014766D"/>
    <w:rsid w:val="001536CC"/>
    <w:rsid w:val="00174D00"/>
    <w:rsid w:val="00192BBB"/>
    <w:rsid w:val="001A3FBA"/>
    <w:rsid w:val="001A5518"/>
    <w:rsid w:val="001A5C61"/>
    <w:rsid w:val="001B03B3"/>
    <w:rsid w:val="001B1C6A"/>
    <w:rsid w:val="001C1263"/>
    <w:rsid w:val="001C1417"/>
    <w:rsid w:val="001C1893"/>
    <w:rsid w:val="001E390B"/>
    <w:rsid w:val="001F42FB"/>
    <w:rsid w:val="001F719A"/>
    <w:rsid w:val="002031B3"/>
    <w:rsid w:val="002034B5"/>
    <w:rsid w:val="00215931"/>
    <w:rsid w:val="00221C4A"/>
    <w:rsid w:val="00227BDB"/>
    <w:rsid w:val="0023485C"/>
    <w:rsid w:val="00234CB1"/>
    <w:rsid w:val="002352F8"/>
    <w:rsid w:val="002510A5"/>
    <w:rsid w:val="00254A0A"/>
    <w:rsid w:val="0026354B"/>
    <w:rsid w:val="00266046"/>
    <w:rsid w:val="002846DB"/>
    <w:rsid w:val="00284CCD"/>
    <w:rsid w:val="002A03D7"/>
    <w:rsid w:val="002A7327"/>
    <w:rsid w:val="002B1BE3"/>
    <w:rsid w:val="002C6637"/>
    <w:rsid w:val="002E0135"/>
    <w:rsid w:val="002E3097"/>
    <w:rsid w:val="002E37A5"/>
    <w:rsid w:val="00310F03"/>
    <w:rsid w:val="00311348"/>
    <w:rsid w:val="003119E1"/>
    <w:rsid w:val="003247D2"/>
    <w:rsid w:val="00334879"/>
    <w:rsid w:val="003445C1"/>
    <w:rsid w:val="00355B61"/>
    <w:rsid w:val="00362686"/>
    <w:rsid w:val="00371510"/>
    <w:rsid w:val="00374804"/>
    <w:rsid w:val="00387530"/>
    <w:rsid w:val="003954E2"/>
    <w:rsid w:val="00396DFD"/>
    <w:rsid w:val="003A0893"/>
    <w:rsid w:val="003A7059"/>
    <w:rsid w:val="003B7A36"/>
    <w:rsid w:val="003C17AB"/>
    <w:rsid w:val="003C7823"/>
    <w:rsid w:val="003E1DCC"/>
    <w:rsid w:val="003F6A59"/>
    <w:rsid w:val="004065C8"/>
    <w:rsid w:val="004109FA"/>
    <w:rsid w:val="00411B4B"/>
    <w:rsid w:val="00415BEE"/>
    <w:rsid w:val="00427F85"/>
    <w:rsid w:val="00436F42"/>
    <w:rsid w:val="004378B4"/>
    <w:rsid w:val="004511EB"/>
    <w:rsid w:val="00451314"/>
    <w:rsid w:val="00452E9D"/>
    <w:rsid w:val="004534C7"/>
    <w:rsid w:val="00461D0A"/>
    <w:rsid w:val="004671AA"/>
    <w:rsid w:val="00480FB1"/>
    <w:rsid w:val="00483928"/>
    <w:rsid w:val="00493C0F"/>
    <w:rsid w:val="004B199B"/>
    <w:rsid w:val="004B1BE0"/>
    <w:rsid w:val="004B73A6"/>
    <w:rsid w:val="004C69F7"/>
    <w:rsid w:val="004D6103"/>
    <w:rsid w:val="004E3BCE"/>
    <w:rsid w:val="004F0E97"/>
    <w:rsid w:val="00501DD1"/>
    <w:rsid w:val="00515C21"/>
    <w:rsid w:val="00530BD7"/>
    <w:rsid w:val="00545CD2"/>
    <w:rsid w:val="005476F3"/>
    <w:rsid w:val="00560C63"/>
    <w:rsid w:val="00572527"/>
    <w:rsid w:val="00573E40"/>
    <w:rsid w:val="005742F8"/>
    <w:rsid w:val="00576348"/>
    <w:rsid w:val="00582F13"/>
    <w:rsid w:val="00591D87"/>
    <w:rsid w:val="005A0AA9"/>
    <w:rsid w:val="005A0B2E"/>
    <w:rsid w:val="005A23D2"/>
    <w:rsid w:val="005A36CB"/>
    <w:rsid w:val="005A6FDD"/>
    <w:rsid w:val="005B49B8"/>
    <w:rsid w:val="005B6B48"/>
    <w:rsid w:val="005C0741"/>
    <w:rsid w:val="005C29B3"/>
    <w:rsid w:val="005C5EF4"/>
    <w:rsid w:val="005D35E0"/>
    <w:rsid w:val="005E2E0B"/>
    <w:rsid w:val="005E7A7D"/>
    <w:rsid w:val="005F5EAB"/>
    <w:rsid w:val="00602457"/>
    <w:rsid w:val="00604D03"/>
    <w:rsid w:val="00646BD1"/>
    <w:rsid w:val="006561C2"/>
    <w:rsid w:val="00671CB3"/>
    <w:rsid w:val="00674BAF"/>
    <w:rsid w:val="0068078E"/>
    <w:rsid w:val="00682200"/>
    <w:rsid w:val="00692BF6"/>
    <w:rsid w:val="006A04FD"/>
    <w:rsid w:val="006A1497"/>
    <w:rsid w:val="006B0BD1"/>
    <w:rsid w:val="006C41F6"/>
    <w:rsid w:val="006D20A5"/>
    <w:rsid w:val="006D37BF"/>
    <w:rsid w:val="006E22E7"/>
    <w:rsid w:val="006F124D"/>
    <w:rsid w:val="00702E22"/>
    <w:rsid w:val="0072020E"/>
    <w:rsid w:val="00766525"/>
    <w:rsid w:val="00786071"/>
    <w:rsid w:val="007869E3"/>
    <w:rsid w:val="007A3ECB"/>
    <w:rsid w:val="00823823"/>
    <w:rsid w:val="00824AB9"/>
    <w:rsid w:val="00830156"/>
    <w:rsid w:val="00836B35"/>
    <w:rsid w:val="00843BDE"/>
    <w:rsid w:val="00850BC8"/>
    <w:rsid w:val="00886B8B"/>
    <w:rsid w:val="0089705C"/>
    <w:rsid w:val="008A154A"/>
    <w:rsid w:val="008A6D43"/>
    <w:rsid w:val="008B491E"/>
    <w:rsid w:val="008B5C4E"/>
    <w:rsid w:val="008C1A28"/>
    <w:rsid w:val="008C2E98"/>
    <w:rsid w:val="008D54E3"/>
    <w:rsid w:val="008E49BD"/>
    <w:rsid w:val="008E53E9"/>
    <w:rsid w:val="008E5771"/>
    <w:rsid w:val="008F4ACF"/>
    <w:rsid w:val="0093121C"/>
    <w:rsid w:val="00940B9B"/>
    <w:rsid w:val="00954F0E"/>
    <w:rsid w:val="0095676E"/>
    <w:rsid w:val="00956983"/>
    <w:rsid w:val="00963CF0"/>
    <w:rsid w:val="00964BB1"/>
    <w:rsid w:val="009775D9"/>
    <w:rsid w:val="00986C8D"/>
    <w:rsid w:val="0099018C"/>
    <w:rsid w:val="00997175"/>
    <w:rsid w:val="009A1847"/>
    <w:rsid w:val="009B062A"/>
    <w:rsid w:val="009D3AB4"/>
    <w:rsid w:val="009E7C6F"/>
    <w:rsid w:val="009F1793"/>
    <w:rsid w:val="009F2789"/>
    <w:rsid w:val="009F2D23"/>
    <w:rsid w:val="00A01D69"/>
    <w:rsid w:val="00A02335"/>
    <w:rsid w:val="00A15CEE"/>
    <w:rsid w:val="00A2465B"/>
    <w:rsid w:val="00A363FC"/>
    <w:rsid w:val="00A46C9A"/>
    <w:rsid w:val="00A51B83"/>
    <w:rsid w:val="00A619F3"/>
    <w:rsid w:val="00A62A73"/>
    <w:rsid w:val="00A87F0A"/>
    <w:rsid w:val="00A87FF6"/>
    <w:rsid w:val="00AA0A3B"/>
    <w:rsid w:val="00AA2763"/>
    <w:rsid w:val="00AA33B6"/>
    <w:rsid w:val="00AB50CA"/>
    <w:rsid w:val="00AB6D64"/>
    <w:rsid w:val="00AC53CE"/>
    <w:rsid w:val="00AD2193"/>
    <w:rsid w:val="00AD797A"/>
    <w:rsid w:val="00AF2AC7"/>
    <w:rsid w:val="00AF74CE"/>
    <w:rsid w:val="00B03B9A"/>
    <w:rsid w:val="00B208DB"/>
    <w:rsid w:val="00B23F69"/>
    <w:rsid w:val="00B5242D"/>
    <w:rsid w:val="00B60619"/>
    <w:rsid w:val="00B66A70"/>
    <w:rsid w:val="00B67366"/>
    <w:rsid w:val="00B7348D"/>
    <w:rsid w:val="00B80EE1"/>
    <w:rsid w:val="00B8135B"/>
    <w:rsid w:val="00B84135"/>
    <w:rsid w:val="00B853A0"/>
    <w:rsid w:val="00B876D6"/>
    <w:rsid w:val="00B87852"/>
    <w:rsid w:val="00B9091D"/>
    <w:rsid w:val="00BB39A6"/>
    <w:rsid w:val="00BE5A14"/>
    <w:rsid w:val="00C02F50"/>
    <w:rsid w:val="00C04D34"/>
    <w:rsid w:val="00C05DF8"/>
    <w:rsid w:val="00C06864"/>
    <w:rsid w:val="00C10F54"/>
    <w:rsid w:val="00C16674"/>
    <w:rsid w:val="00C23D8D"/>
    <w:rsid w:val="00C33C19"/>
    <w:rsid w:val="00C371B5"/>
    <w:rsid w:val="00C37AA3"/>
    <w:rsid w:val="00C37FD7"/>
    <w:rsid w:val="00C43419"/>
    <w:rsid w:val="00C44CF3"/>
    <w:rsid w:val="00C46C31"/>
    <w:rsid w:val="00C61BE0"/>
    <w:rsid w:val="00C65313"/>
    <w:rsid w:val="00C70B0E"/>
    <w:rsid w:val="00C773CA"/>
    <w:rsid w:val="00C83785"/>
    <w:rsid w:val="00C94C0D"/>
    <w:rsid w:val="00CA1F02"/>
    <w:rsid w:val="00CA1FEB"/>
    <w:rsid w:val="00CA616D"/>
    <w:rsid w:val="00CD4F85"/>
    <w:rsid w:val="00CD6F02"/>
    <w:rsid w:val="00CE246D"/>
    <w:rsid w:val="00CF07A0"/>
    <w:rsid w:val="00CF33F6"/>
    <w:rsid w:val="00CF3E03"/>
    <w:rsid w:val="00D0082A"/>
    <w:rsid w:val="00D024EA"/>
    <w:rsid w:val="00D042DD"/>
    <w:rsid w:val="00D21455"/>
    <w:rsid w:val="00D4534B"/>
    <w:rsid w:val="00D47634"/>
    <w:rsid w:val="00D51C01"/>
    <w:rsid w:val="00D6708F"/>
    <w:rsid w:val="00D709B3"/>
    <w:rsid w:val="00DA2ED6"/>
    <w:rsid w:val="00DB76B8"/>
    <w:rsid w:val="00DC2EA1"/>
    <w:rsid w:val="00DD6AAF"/>
    <w:rsid w:val="00DE360F"/>
    <w:rsid w:val="00DE3F5C"/>
    <w:rsid w:val="00DE5B40"/>
    <w:rsid w:val="00DF1D20"/>
    <w:rsid w:val="00E04583"/>
    <w:rsid w:val="00E14A1A"/>
    <w:rsid w:val="00E21324"/>
    <w:rsid w:val="00E245C7"/>
    <w:rsid w:val="00E246B9"/>
    <w:rsid w:val="00E31FEA"/>
    <w:rsid w:val="00E32235"/>
    <w:rsid w:val="00E45169"/>
    <w:rsid w:val="00E47787"/>
    <w:rsid w:val="00E4798C"/>
    <w:rsid w:val="00E51C30"/>
    <w:rsid w:val="00E613FA"/>
    <w:rsid w:val="00E638E0"/>
    <w:rsid w:val="00E64180"/>
    <w:rsid w:val="00E74AEE"/>
    <w:rsid w:val="00E868E5"/>
    <w:rsid w:val="00E9237A"/>
    <w:rsid w:val="00E939FA"/>
    <w:rsid w:val="00E949CB"/>
    <w:rsid w:val="00E94B05"/>
    <w:rsid w:val="00EA46F1"/>
    <w:rsid w:val="00EA5765"/>
    <w:rsid w:val="00EA5D97"/>
    <w:rsid w:val="00EB1A06"/>
    <w:rsid w:val="00EC2532"/>
    <w:rsid w:val="00ED25BD"/>
    <w:rsid w:val="00ED7812"/>
    <w:rsid w:val="00EE797A"/>
    <w:rsid w:val="00EF218C"/>
    <w:rsid w:val="00EF3B86"/>
    <w:rsid w:val="00F317E9"/>
    <w:rsid w:val="00F34554"/>
    <w:rsid w:val="00F45F77"/>
    <w:rsid w:val="00F5167F"/>
    <w:rsid w:val="00F52258"/>
    <w:rsid w:val="00F8570A"/>
    <w:rsid w:val="00F91C7B"/>
    <w:rsid w:val="00FB4D39"/>
    <w:rsid w:val="00FC50CF"/>
    <w:rsid w:val="00FD528C"/>
    <w:rsid w:val="00FE6D29"/>
    <w:rsid w:val="00FE6F91"/>
    <w:rsid w:val="00FF48AE"/>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FE6FD"/>
  <w15:docId w15:val="{6072BF3B-C41F-4C13-88FC-C0DDECB39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table" w:styleId="TableGrid">
    <w:name w:val="Table Grid"/>
    <w:basedOn w:val="TableNormal"/>
    <w:rsid w:val="006E22E7"/>
    <w:pPr>
      <w:tabs>
        <w:tab w:val="left" w:pos="284"/>
      </w:tabs>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C50CF"/>
    <w:rPr>
      <w:color w:val="0563C1" w:themeColor="hyperlink"/>
      <w:u w:val="single"/>
    </w:rPr>
  </w:style>
  <w:style w:type="character" w:customStyle="1" w:styleId="UnresolvedMention1">
    <w:name w:val="Unresolved Mention1"/>
    <w:basedOn w:val="DefaultParagraphFont"/>
    <w:uiPriority w:val="99"/>
    <w:semiHidden/>
    <w:unhideWhenUsed/>
    <w:rsid w:val="00FC50CF"/>
    <w:rPr>
      <w:color w:val="605E5C"/>
      <w:shd w:val="clear" w:color="auto" w:fill="E1DFDD"/>
    </w:rPr>
  </w:style>
  <w:style w:type="paragraph" w:styleId="Revision">
    <w:name w:val="Revision"/>
    <w:hidden/>
    <w:uiPriority w:val="99"/>
    <w:semiHidden/>
    <w:rsid w:val="008B5C4E"/>
    <w:rPr>
      <w:sz w:val="24"/>
      <w:szCs w:val="24"/>
      <w:lang w:val="en-US" w:eastAsia="en-US"/>
    </w:rPr>
  </w:style>
  <w:style w:type="paragraph" w:styleId="ListParagraph">
    <w:name w:val="List Paragraph"/>
    <w:basedOn w:val="Normal"/>
    <w:uiPriority w:val="34"/>
    <w:qFormat/>
    <w:rsid w:val="006A04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7.png"/><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FF275-A591-4E76-A924-89FB5939FC4E}">
  <ds:schemaRefs>
    <ds:schemaRef ds:uri="http://schemas.openxmlformats.org/officeDocument/2006/bibliography"/>
  </ds:schemaRefs>
</ds:datastoreItem>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22</Pages>
  <Words>7685</Words>
  <Characters>43810</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51393</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dc:description/>
  <cp:lastModifiedBy>Gordana Boljević</cp:lastModifiedBy>
  <cp:revision>2</cp:revision>
  <dcterms:created xsi:type="dcterms:W3CDTF">2024-09-19T12:36:00Z</dcterms:created>
  <dcterms:modified xsi:type="dcterms:W3CDTF">2024-09-19T12:36:00Z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