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47303" w14:textId="77777777" w:rsidR="006140B9" w:rsidRPr="00012278" w:rsidRDefault="006140B9" w:rsidP="006140B9">
      <w:pPr>
        <w:jc w:val="center"/>
        <w:rPr>
          <w:b/>
          <w:bCs/>
          <w:iCs/>
          <w:szCs w:val="22"/>
          <w:u w:val="single"/>
          <w:lang w:val="sr-Latn-ME"/>
        </w:rPr>
      </w:pPr>
      <w:r w:rsidRPr="00012278">
        <w:rPr>
          <w:b/>
          <w:bCs/>
          <w:iCs/>
          <w:szCs w:val="22"/>
          <w:u w:val="single"/>
          <w:lang w:val="sr-Latn-ME"/>
        </w:rPr>
        <w:t>SAŽETAK KARAKTERISTIKA LIJEKA</w:t>
      </w:r>
    </w:p>
    <w:p w14:paraId="16AD0984" w14:textId="77777777" w:rsidR="0060414B" w:rsidRPr="00012278" w:rsidRDefault="0060414B" w:rsidP="006140B9">
      <w:pPr>
        <w:jc w:val="center"/>
        <w:rPr>
          <w:b/>
          <w:bCs/>
          <w:iCs/>
          <w:szCs w:val="22"/>
          <w:u w:val="single"/>
          <w:lang w:val="sr-Latn-ME"/>
        </w:rPr>
      </w:pPr>
    </w:p>
    <w:p w14:paraId="0752D51D" w14:textId="77777777" w:rsidR="006140B9" w:rsidRPr="00012278" w:rsidRDefault="006140B9" w:rsidP="006140B9">
      <w:pPr>
        <w:rPr>
          <w:b/>
          <w:bCs/>
          <w:szCs w:val="22"/>
          <w:lang w:val="sr-Latn-ME"/>
        </w:rPr>
      </w:pPr>
    </w:p>
    <w:p w14:paraId="0FC669F1" w14:textId="77777777" w:rsidR="006140B9" w:rsidRPr="00012278" w:rsidRDefault="006140B9" w:rsidP="006140B9">
      <w:pPr>
        <w:rPr>
          <w:b/>
          <w:bCs/>
          <w:szCs w:val="22"/>
          <w:lang w:val="sr-Latn-ME"/>
        </w:rPr>
      </w:pPr>
      <w:r w:rsidRPr="00012278">
        <w:rPr>
          <w:b/>
          <w:bCs/>
          <w:szCs w:val="22"/>
          <w:lang w:val="sr-Latn-ME"/>
        </w:rPr>
        <w:t xml:space="preserve">1. </w:t>
      </w:r>
      <w:r w:rsidRPr="00012278">
        <w:rPr>
          <w:b/>
          <w:bCs/>
          <w:szCs w:val="22"/>
          <w:lang w:val="sr-Latn-ME"/>
        </w:rPr>
        <w:tab/>
        <w:t xml:space="preserve">   NAZIV LIJEKA</w:t>
      </w:r>
    </w:p>
    <w:p w14:paraId="49DB0310" w14:textId="77777777" w:rsidR="006140B9" w:rsidRPr="00012278" w:rsidRDefault="006140B9" w:rsidP="006140B9">
      <w:pPr>
        <w:rPr>
          <w:szCs w:val="22"/>
          <w:lang w:val="sr-Latn-ME"/>
        </w:rPr>
      </w:pPr>
    </w:p>
    <w:p w14:paraId="721165B6" w14:textId="2A478C76" w:rsidR="006140B9" w:rsidRPr="00012278" w:rsidRDefault="006140B9" w:rsidP="006140B9">
      <w:pPr>
        <w:rPr>
          <w:szCs w:val="22"/>
          <w:lang w:val="sr-Latn-ME"/>
        </w:rPr>
      </w:pPr>
      <w:r w:rsidRPr="00012278">
        <w:rPr>
          <w:szCs w:val="22"/>
          <w:lang w:val="sr-Latn-ME"/>
        </w:rPr>
        <w:t>Ecansya, 150 mg, film tableta</w:t>
      </w:r>
    </w:p>
    <w:p w14:paraId="2077DC59" w14:textId="15E463E3" w:rsidR="006140B9" w:rsidRPr="00012278" w:rsidRDefault="006140B9" w:rsidP="006140B9">
      <w:pPr>
        <w:rPr>
          <w:szCs w:val="22"/>
          <w:lang w:val="sr-Latn-ME"/>
        </w:rPr>
      </w:pPr>
      <w:r w:rsidRPr="00012278">
        <w:rPr>
          <w:szCs w:val="22"/>
          <w:lang w:val="sr-Latn-ME"/>
        </w:rPr>
        <w:t xml:space="preserve">Ecansya, 500 mg, film tableta </w:t>
      </w:r>
    </w:p>
    <w:p w14:paraId="314D0518" w14:textId="77777777" w:rsidR="006140B9" w:rsidRPr="00012278" w:rsidRDefault="006140B9" w:rsidP="006140B9">
      <w:pPr>
        <w:rPr>
          <w:szCs w:val="22"/>
          <w:lang w:val="sr-Latn-ME"/>
        </w:rPr>
      </w:pPr>
    </w:p>
    <w:p w14:paraId="72C93D7C" w14:textId="77777777" w:rsidR="006140B9" w:rsidRPr="00012278" w:rsidRDefault="006140B9" w:rsidP="006140B9">
      <w:pPr>
        <w:rPr>
          <w:szCs w:val="22"/>
          <w:lang w:val="sr-Latn-ME"/>
        </w:rPr>
      </w:pPr>
      <w:r w:rsidRPr="00012278">
        <w:rPr>
          <w:szCs w:val="22"/>
          <w:lang w:val="sr-Latn-ME"/>
        </w:rPr>
        <w:t>INN: kapecitabin</w:t>
      </w:r>
    </w:p>
    <w:p w14:paraId="2D48C119" w14:textId="77777777" w:rsidR="006140B9" w:rsidRPr="00012278" w:rsidRDefault="006140B9" w:rsidP="006140B9">
      <w:pPr>
        <w:rPr>
          <w:szCs w:val="22"/>
          <w:lang w:val="sr-Latn-ME"/>
        </w:rPr>
      </w:pPr>
    </w:p>
    <w:p w14:paraId="5B24AA15" w14:textId="77777777" w:rsidR="00835DFB" w:rsidRPr="00012278" w:rsidRDefault="00835DFB" w:rsidP="006140B9">
      <w:pPr>
        <w:rPr>
          <w:szCs w:val="22"/>
          <w:lang w:val="sr-Latn-ME"/>
        </w:rPr>
      </w:pPr>
    </w:p>
    <w:p w14:paraId="289DC4D7" w14:textId="77777777" w:rsidR="006140B9" w:rsidRPr="00012278" w:rsidRDefault="006140B9" w:rsidP="006140B9">
      <w:pPr>
        <w:rPr>
          <w:b/>
          <w:bCs/>
          <w:szCs w:val="22"/>
          <w:lang w:val="sr-Latn-ME"/>
        </w:rPr>
      </w:pPr>
      <w:r w:rsidRPr="00012278">
        <w:rPr>
          <w:b/>
          <w:bCs/>
          <w:szCs w:val="22"/>
          <w:lang w:val="sr-Latn-ME"/>
        </w:rPr>
        <w:t>2.     KVALITATIVNI I KVANTITATIVNI SASTAV</w:t>
      </w:r>
    </w:p>
    <w:p w14:paraId="47954472" w14:textId="77777777" w:rsidR="006140B9" w:rsidRPr="00012278" w:rsidRDefault="006140B9" w:rsidP="006140B9">
      <w:pPr>
        <w:rPr>
          <w:szCs w:val="22"/>
          <w:lang w:val="sr-Latn-ME"/>
        </w:rPr>
      </w:pPr>
    </w:p>
    <w:p w14:paraId="36FA0EE7" w14:textId="77777777" w:rsidR="00A0423B" w:rsidRPr="00012278" w:rsidRDefault="00A0423B" w:rsidP="00A0423B">
      <w:pPr>
        <w:rPr>
          <w:szCs w:val="22"/>
          <w:u w:val="single"/>
          <w:lang w:val="sr-Latn-ME"/>
        </w:rPr>
      </w:pPr>
      <w:r w:rsidRPr="00012278">
        <w:rPr>
          <w:szCs w:val="22"/>
          <w:u w:val="single"/>
          <w:lang w:val="sr-Latn-ME"/>
        </w:rPr>
        <w:t>Ecansya, 150 mg, film tableta</w:t>
      </w:r>
    </w:p>
    <w:p w14:paraId="321A8E0F" w14:textId="4F5870E6" w:rsidR="00A0423B" w:rsidRPr="00012278" w:rsidRDefault="00A0423B" w:rsidP="00A0423B">
      <w:pPr>
        <w:rPr>
          <w:szCs w:val="22"/>
          <w:lang w:val="sr-Latn-ME"/>
        </w:rPr>
      </w:pPr>
      <w:r w:rsidRPr="00012278">
        <w:rPr>
          <w:szCs w:val="22"/>
          <w:lang w:val="sr-Latn-ME"/>
        </w:rPr>
        <w:t>Svaka film tableta sadrži 150 mg kapecitabina.</w:t>
      </w:r>
    </w:p>
    <w:p w14:paraId="3FC89CA2" w14:textId="77777777" w:rsidR="00A0423B" w:rsidRPr="00012278" w:rsidRDefault="00A0423B" w:rsidP="00A0423B">
      <w:pPr>
        <w:rPr>
          <w:szCs w:val="22"/>
          <w:lang w:val="sr-Latn-ME"/>
        </w:rPr>
      </w:pPr>
    </w:p>
    <w:p w14:paraId="0E2DBBC3" w14:textId="77777777" w:rsidR="00A0423B" w:rsidRPr="00012278" w:rsidRDefault="00A0423B" w:rsidP="00A0423B">
      <w:pPr>
        <w:rPr>
          <w:szCs w:val="22"/>
          <w:u w:val="single"/>
          <w:lang w:val="sr-Latn-ME"/>
        </w:rPr>
      </w:pPr>
      <w:r w:rsidRPr="00012278">
        <w:rPr>
          <w:szCs w:val="22"/>
          <w:u w:val="single"/>
          <w:lang w:val="sr-Latn-ME"/>
        </w:rPr>
        <w:t>Ecansya, 500 mg, film tableta</w:t>
      </w:r>
    </w:p>
    <w:p w14:paraId="161E5482" w14:textId="77777777" w:rsidR="00A0423B" w:rsidRPr="00012278" w:rsidRDefault="00A0423B" w:rsidP="006140B9">
      <w:pPr>
        <w:rPr>
          <w:szCs w:val="22"/>
          <w:lang w:val="sr-Latn-ME"/>
        </w:rPr>
      </w:pPr>
      <w:r w:rsidRPr="00012278">
        <w:rPr>
          <w:szCs w:val="22"/>
          <w:lang w:val="sr-Latn-ME"/>
        </w:rPr>
        <w:t>Svaka film tableta sadrži 500 mg kapecitabina.</w:t>
      </w:r>
    </w:p>
    <w:p w14:paraId="0AB9DC12" w14:textId="77777777" w:rsidR="006140B9" w:rsidRPr="00012278" w:rsidRDefault="006140B9" w:rsidP="006140B9">
      <w:pPr>
        <w:rPr>
          <w:szCs w:val="22"/>
          <w:lang w:val="sr-Latn-ME"/>
        </w:rPr>
      </w:pPr>
    </w:p>
    <w:p w14:paraId="173C6546" w14:textId="048BD827" w:rsidR="006140B9" w:rsidRPr="00012278" w:rsidRDefault="006140B9" w:rsidP="006140B9">
      <w:pPr>
        <w:rPr>
          <w:szCs w:val="22"/>
          <w:lang w:val="sr-Latn-ME"/>
        </w:rPr>
      </w:pPr>
      <w:r w:rsidRPr="00012278">
        <w:rPr>
          <w:szCs w:val="22"/>
          <w:lang w:val="sr-Latn-ME"/>
        </w:rPr>
        <w:t>Pomoćn</w:t>
      </w:r>
      <w:r w:rsidR="00A0423B" w:rsidRPr="00012278">
        <w:rPr>
          <w:szCs w:val="22"/>
          <w:lang w:val="sr-Latn-ME"/>
        </w:rPr>
        <w:t>a</w:t>
      </w:r>
      <w:r w:rsidRPr="00012278">
        <w:rPr>
          <w:szCs w:val="22"/>
          <w:lang w:val="sr-Latn-ME"/>
        </w:rPr>
        <w:t xml:space="preserve"> supstanc</w:t>
      </w:r>
      <w:r w:rsidR="00A0423B" w:rsidRPr="00012278">
        <w:rPr>
          <w:szCs w:val="22"/>
          <w:lang w:val="sr-Latn-ME"/>
        </w:rPr>
        <w:t>a</w:t>
      </w:r>
      <w:r w:rsidRPr="00012278">
        <w:rPr>
          <w:szCs w:val="22"/>
          <w:lang w:val="sr-Latn-ME"/>
        </w:rPr>
        <w:t xml:space="preserve"> sa potvrđenim dejstvom: </w:t>
      </w:r>
    </w:p>
    <w:p w14:paraId="0305F3E4" w14:textId="77777777" w:rsidR="006140B9" w:rsidRPr="00012278" w:rsidRDefault="006140B9" w:rsidP="006140B9">
      <w:pPr>
        <w:rPr>
          <w:szCs w:val="22"/>
          <w:lang w:val="sr-Latn-ME"/>
        </w:rPr>
      </w:pPr>
    </w:p>
    <w:p w14:paraId="791631D4" w14:textId="2BB14CA1" w:rsidR="00A0423B" w:rsidRPr="00012278" w:rsidRDefault="006140B9" w:rsidP="00A0423B">
      <w:pPr>
        <w:rPr>
          <w:szCs w:val="22"/>
          <w:u w:val="single"/>
          <w:lang w:val="sr-Latn-ME"/>
        </w:rPr>
      </w:pPr>
      <w:r w:rsidRPr="00012278">
        <w:rPr>
          <w:szCs w:val="22"/>
          <w:u w:val="single"/>
          <w:lang w:val="sr-Latn-ME"/>
        </w:rPr>
        <w:t>Ecansya</w:t>
      </w:r>
      <w:r w:rsidR="00A0423B" w:rsidRPr="00012278">
        <w:rPr>
          <w:szCs w:val="22"/>
          <w:u w:val="single"/>
          <w:lang w:val="sr-Latn-ME"/>
        </w:rPr>
        <w:t>,</w:t>
      </w:r>
      <w:r w:rsidRPr="00012278">
        <w:rPr>
          <w:szCs w:val="22"/>
          <w:u w:val="single"/>
          <w:lang w:val="sr-Latn-ME"/>
        </w:rPr>
        <w:t xml:space="preserve"> </w:t>
      </w:r>
      <w:r w:rsidR="00A0423B" w:rsidRPr="00012278">
        <w:rPr>
          <w:szCs w:val="22"/>
          <w:u w:val="single"/>
          <w:lang w:val="sr-Latn-ME"/>
        </w:rPr>
        <w:t xml:space="preserve">150 mg, </w:t>
      </w:r>
      <w:r w:rsidRPr="00012278">
        <w:rPr>
          <w:szCs w:val="22"/>
          <w:u w:val="single"/>
          <w:lang w:val="sr-Latn-ME"/>
        </w:rPr>
        <w:t>film tablet</w:t>
      </w:r>
      <w:r w:rsidR="00A0423B" w:rsidRPr="00012278">
        <w:rPr>
          <w:szCs w:val="22"/>
          <w:u w:val="single"/>
          <w:lang w:val="sr-Latn-ME"/>
        </w:rPr>
        <w:t>a</w:t>
      </w:r>
      <w:r w:rsidRPr="00012278">
        <w:rPr>
          <w:szCs w:val="22"/>
          <w:u w:val="single"/>
          <w:lang w:val="sr-Latn-ME"/>
        </w:rPr>
        <w:t xml:space="preserve"> </w:t>
      </w:r>
    </w:p>
    <w:p w14:paraId="166A33EB" w14:textId="5A62784B" w:rsidR="006140B9" w:rsidRPr="00012278" w:rsidRDefault="00A0423B" w:rsidP="00A0423B">
      <w:pPr>
        <w:rPr>
          <w:szCs w:val="22"/>
          <w:lang w:val="sr-Latn-ME"/>
        </w:rPr>
      </w:pPr>
      <w:r w:rsidRPr="00012278">
        <w:rPr>
          <w:szCs w:val="22"/>
          <w:lang w:val="sr-Latn-ME"/>
        </w:rPr>
        <w:t>S</w:t>
      </w:r>
      <w:r w:rsidR="000A3B08" w:rsidRPr="00012278">
        <w:rPr>
          <w:szCs w:val="22"/>
          <w:lang w:val="sr-Latn-ME"/>
        </w:rPr>
        <w:t xml:space="preserve">vaka </w:t>
      </w:r>
      <w:r w:rsidR="006140B9" w:rsidRPr="00012278">
        <w:rPr>
          <w:szCs w:val="22"/>
          <w:lang w:val="sr-Latn-ME"/>
        </w:rPr>
        <w:t>film tableta sadrži 7 mg laktoze.</w:t>
      </w:r>
    </w:p>
    <w:p w14:paraId="72A3482C" w14:textId="77777777" w:rsidR="00A0423B" w:rsidRPr="00012278" w:rsidRDefault="00A0423B" w:rsidP="00A0423B">
      <w:pPr>
        <w:rPr>
          <w:szCs w:val="22"/>
          <w:lang w:val="sr-Latn-ME"/>
        </w:rPr>
      </w:pPr>
    </w:p>
    <w:p w14:paraId="52A99683" w14:textId="384AEEDB" w:rsidR="00A0423B" w:rsidRPr="00012278" w:rsidRDefault="006140B9" w:rsidP="006140B9">
      <w:pPr>
        <w:rPr>
          <w:szCs w:val="22"/>
          <w:u w:val="single"/>
          <w:lang w:val="sr-Latn-ME"/>
        </w:rPr>
      </w:pPr>
      <w:r w:rsidRPr="00012278">
        <w:rPr>
          <w:szCs w:val="22"/>
          <w:u w:val="single"/>
          <w:lang w:val="sr-Latn-ME"/>
        </w:rPr>
        <w:t>Ecansya</w:t>
      </w:r>
      <w:r w:rsidR="0051340B" w:rsidRPr="00012278">
        <w:rPr>
          <w:szCs w:val="22"/>
          <w:u w:val="single"/>
          <w:lang w:val="sr-Latn-ME"/>
        </w:rPr>
        <w:t>,</w:t>
      </w:r>
      <w:r w:rsidRPr="00012278">
        <w:rPr>
          <w:szCs w:val="22"/>
          <w:u w:val="single"/>
          <w:lang w:val="sr-Latn-ME"/>
        </w:rPr>
        <w:t xml:space="preserve"> </w:t>
      </w:r>
      <w:r w:rsidR="00A0423B" w:rsidRPr="00012278">
        <w:rPr>
          <w:szCs w:val="22"/>
          <w:u w:val="single"/>
          <w:lang w:val="sr-Latn-ME"/>
        </w:rPr>
        <w:t xml:space="preserve">500 mg, </w:t>
      </w:r>
      <w:r w:rsidRPr="00012278">
        <w:rPr>
          <w:szCs w:val="22"/>
          <w:u w:val="single"/>
          <w:lang w:val="sr-Latn-ME"/>
        </w:rPr>
        <w:t>film tablet</w:t>
      </w:r>
      <w:r w:rsidR="00A0423B" w:rsidRPr="00012278">
        <w:rPr>
          <w:szCs w:val="22"/>
          <w:u w:val="single"/>
          <w:lang w:val="sr-Latn-ME"/>
        </w:rPr>
        <w:t>a</w:t>
      </w:r>
      <w:r w:rsidRPr="00012278">
        <w:rPr>
          <w:szCs w:val="22"/>
          <w:u w:val="single"/>
          <w:lang w:val="sr-Latn-ME"/>
        </w:rPr>
        <w:t xml:space="preserve"> </w:t>
      </w:r>
    </w:p>
    <w:p w14:paraId="035679CC" w14:textId="2DBA0D9E" w:rsidR="006140B9" w:rsidRPr="00012278" w:rsidRDefault="00A0423B" w:rsidP="006140B9">
      <w:pPr>
        <w:rPr>
          <w:szCs w:val="22"/>
          <w:lang w:val="sr-Latn-ME"/>
        </w:rPr>
      </w:pPr>
      <w:r w:rsidRPr="00012278">
        <w:rPr>
          <w:szCs w:val="22"/>
          <w:lang w:val="sr-Latn-ME"/>
        </w:rPr>
        <w:t>S</w:t>
      </w:r>
      <w:r w:rsidR="000A3B08" w:rsidRPr="00012278">
        <w:rPr>
          <w:szCs w:val="22"/>
          <w:lang w:val="sr-Latn-ME"/>
        </w:rPr>
        <w:t xml:space="preserve">vaka </w:t>
      </w:r>
      <w:r w:rsidR="006140B9" w:rsidRPr="00012278">
        <w:rPr>
          <w:szCs w:val="22"/>
          <w:lang w:val="sr-Latn-ME"/>
        </w:rPr>
        <w:t>film tableta sadrži 25 mg laktoze.</w:t>
      </w:r>
    </w:p>
    <w:p w14:paraId="278B2CCD" w14:textId="77777777" w:rsidR="006140B9" w:rsidRPr="00012278" w:rsidRDefault="006140B9" w:rsidP="006140B9">
      <w:pPr>
        <w:rPr>
          <w:szCs w:val="22"/>
          <w:lang w:val="sr-Latn-ME"/>
        </w:rPr>
      </w:pPr>
    </w:p>
    <w:p w14:paraId="214275F6" w14:textId="77777777" w:rsidR="006140B9" w:rsidRPr="00012278" w:rsidRDefault="006140B9" w:rsidP="006140B9">
      <w:pPr>
        <w:rPr>
          <w:szCs w:val="22"/>
          <w:lang w:val="sr-Latn-ME"/>
        </w:rPr>
      </w:pPr>
      <w:r w:rsidRPr="00012278">
        <w:rPr>
          <w:szCs w:val="22"/>
          <w:lang w:val="sr-Latn-ME"/>
        </w:rPr>
        <w:t>Za spisak svih ekscipijenasa, pogledati dio 6.1.</w:t>
      </w:r>
    </w:p>
    <w:p w14:paraId="0DB42EC5" w14:textId="77777777" w:rsidR="006140B9" w:rsidRPr="00012278" w:rsidRDefault="006140B9" w:rsidP="006140B9">
      <w:pPr>
        <w:rPr>
          <w:b/>
          <w:bCs/>
          <w:szCs w:val="22"/>
          <w:lang w:val="sr-Latn-ME"/>
        </w:rPr>
      </w:pPr>
    </w:p>
    <w:p w14:paraId="5472EB38" w14:textId="77777777" w:rsidR="00835DFB" w:rsidRPr="00012278" w:rsidRDefault="00835DFB" w:rsidP="006140B9">
      <w:pPr>
        <w:rPr>
          <w:b/>
          <w:bCs/>
          <w:szCs w:val="22"/>
          <w:lang w:val="sr-Latn-ME"/>
        </w:rPr>
      </w:pPr>
    </w:p>
    <w:p w14:paraId="57B6B143" w14:textId="77777777" w:rsidR="006140B9" w:rsidRPr="00012278" w:rsidRDefault="006140B9" w:rsidP="006140B9">
      <w:pPr>
        <w:rPr>
          <w:b/>
          <w:bCs/>
          <w:szCs w:val="22"/>
          <w:lang w:val="sr-Latn-ME"/>
        </w:rPr>
      </w:pPr>
      <w:r w:rsidRPr="00012278">
        <w:rPr>
          <w:b/>
          <w:bCs/>
          <w:szCs w:val="22"/>
          <w:lang w:val="sr-Latn-ME"/>
        </w:rPr>
        <w:t>3.     FARMACEUTSKI OBLIK</w:t>
      </w:r>
    </w:p>
    <w:p w14:paraId="16BB4317" w14:textId="77777777" w:rsidR="006140B9" w:rsidRPr="00012278" w:rsidRDefault="006140B9" w:rsidP="006140B9">
      <w:pPr>
        <w:rPr>
          <w:szCs w:val="22"/>
          <w:lang w:val="sr-Latn-ME"/>
        </w:rPr>
      </w:pPr>
    </w:p>
    <w:p w14:paraId="2909847A" w14:textId="77777777" w:rsidR="006140B9" w:rsidRPr="00012278" w:rsidRDefault="006140B9" w:rsidP="002B4BD7">
      <w:pPr>
        <w:jc w:val="both"/>
        <w:rPr>
          <w:szCs w:val="22"/>
          <w:lang w:val="sr-Latn-ME"/>
        </w:rPr>
      </w:pPr>
      <w:r w:rsidRPr="00012278">
        <w:rPr>
          <w:szCs w:val="22"/>
          <w:lang w:val="sr-Latn-ME"/>
        </w:rPr>
        <w:t>Film tableta.</w:t>
      </w:r>
    </w:p>
    <w:p w14:paraId="6D2BFBDB" w14:textId="77777777" w:rsidR="006140B9" w:rsidRPr="00012278" w:rsidRDefault="006140B9" w:rsidP="002B4BD7">
      <w:pPr>
        <w:jc w:val="both"/>
        <w:rPr>
          <w:szCs w:val="22"/>
          <w:lang w:val="sr-Latn-ME"/>
        </w:rPr>
      </w:pPr>
    </w:p>
    <w:p w14:paraId="4405D585" w14:textId="55A939DE" w:rsidR="00A0423B" w:rsidRPr="00012278" w:rsidRDefault="006140B9" w:rsidP="002B4BD7">
      <w:pPr>
        <w:jc w:val="both"/>
        <w:rPr>
          <w:szCs w:val="22"/>
          <w:u w:val="single"/>
          <w:lang w:val="sr-Latn-ME"/>
        </w:rPr>
      </w:pPr>
      <w:r w:rsidRPr="00012278">
        <w:rPr>
          <w:szCs w:val="22"/>
          <w:u w:val="single"/>
          <w:lang w:val="sr-Latn-ME"/>
        </w:rPr>
        <w:t>Ecansya</w:t>
      </w:r>
      <w:r w:rsidR="00A0423B" w:rsidRPr="00012278">
        <w:rPr>
          <w:szCs w:val="22"/>
          <w:u w:val="single"/>
          <w:lang w:val="sr-Latn-ME"/>
        </w:rPr>
        <w:t>,</w:t>
      </w:r>
      <w:r w:rsidRPr="00012278">
        <w:rPr>
          <w:szCs w:val="22"/>
          <w:u w:val="single"/>
          <w:lang w:val="sr-Latn-ME"/>
        </w:rPr>
        <w:t xml:space="preserve"> 150 mg</w:t>
      </w:r>
      <w:r w:rsidR="00A0423B" w:rsidRPr="00012278">
        <w:rPr>
          <w:szCs w:val="22"/>
          <w:u w:val="single"/>
          <w:lang w:val="sr-Latn-ME"/>
        </w:rPr>
        <w:t>,</w:t>
      </w:r>
      <w:r w:rsidRPr="00012278">
        <w:rPr>
          <w:szCs w:val="22"/>
          <w:u w:val="single"/>
          <w:lang w:val="sr-Latn-ME"/>
        </w:rPr>
        <w:t xml:space="preserve"> film tablet</w:t>
      </w:r>
      <w:r w:rsidR="00A0423B" w:rsidRPr="00012278">
        <w:rPr>
          <w:szCs w:val="22"/>
          <w:u w:val="single"/>
          <w:lang w:val="sr-Latn-ME"/>
        </w:rPr>
        <w:t>a</w:t>
      </w:r>
      <w:r w:rsidRPr="00012278">
        <w:rPr>
          <w:szCs w:val="22"/>
          <w:u w:val="single"/>
          <w:lang w:val="sr-Latn-ME"/>
        </w:rPr>
        <w:t xml:space="preserve"> </w:t>
      </w:r>
    </w:p>
    <w:p w14:paraId="3CDA0885" w14:textId="43A4F661" w:rsidR="006140B9" w:rsidRPr="00012278" w:rsidRDefault="00A0423B" w:rsidP="002B4BD7">
      <w:pPr>
        <w:jc w:val="both"/>
        <w:rPr>
          <w:szCs w:val="22"/>
          <w:lang w:val="sr-Latn-ME"/>
        </w:rPr>
      </w:pPr>
      <w:r w:rsidRPr="00012278">
        <w:rPr>
          <w:szCs w:val="22"/>
          <w:lang w:val="sr-Latn-ME"/>
        </w:rPr>
        <w:t>D</w:t>
      </w:r>
      <w:r w:rsidR="006140B9" w:rsidRPr="00012278">
        <w:rPr>
          <w:szCs w:val="22"/>
          <w:lang w:val="sr-Latn-ME"/>
        </w:rPr>
        <w:t>uguljast</w:t>
      </w:r>
      <w:r w:rsidRPr="00012278">
        <w:rPr>
          <w:szCs w:val="22"/>
          <w:lang w:val="sr-Latn-ME"/>
        </w:rPr>
        <w:t>a</w:t>
      </w:r>
      <w:r w:rsidR="006140B9" w:rsidRPr="00012278">
        <w:rPr>
          <w:szCs w:val="22"/>
          <w:lang w:val="sr-Latn-ME"/>
        </w:rPr>
        <w:t>, bikonveksn</w:t>
      </w:r>
      <w:r w:rsidRPr="00012278">
        <w:rPr>
          <w:szCs w:val="22"/>
          <w:lang w:val="sr-Latn-ME"/>
        </w:rPr>
        <w:t>a</w:t>
      </w:r>
      <w:r w:rsidR="006140B9" w:rsidRPr="00012278">
        <w:rPr>
          <w:szCs w:val="22"/>
          <w:lang w:val="sr-Latn-ME"/>
        </w:rPr>
        <w:t xml:space="preserve"> </w:t>
      </w:r>
      <w:r w:rsidR="00B73935" w:rsidRPr="00012278">
        <w:rPr>
          <w:szCs w:val="22"/>
          <w:lang w:val="sr-Latn-ME"/>
        </w:rPr>
        <w:t xml:space="preserve">film </w:t>
      </w:r>
      <w:r w:rsidR="006140B9" w:rsidRPr="00012278">
        <w:rPr>
          <w:szCs w:val="22"/>
          <w:lang w:val="sr-Latn-ME"/>
        </w:rPr>
        <w:t>tablet</w:t>
      </w:r>
      <w:r w:rsidRPr="00012278">
        <w:rPr>
          <w:szCs w:val="22"/>
          <w:lang w:val="sr-Latn-ME"/>
        </w:rPr>
        <w:t xml:space="preserve">a, svijetle boje breskve, dužine </w:t>
      </w:r>
      <w:r w:rsidR="006140B9" w:rsidRPr="00012278">
        <w:rPr>
          <w:szCs w:val="22"/>
          <w:lang w:val="sr-Latn-ME"/>
        </w:rPr>
        <w:t xml:space="preserve">11,4 mm i </w:t>
      </w:r>
      <w:r w:rsidRPr="00012278">
        <w:rPr>
          <w:szCs w:val="22"/>
          <w:lang w:val="sr-Latn-ME"/>
        </w:rPr>
        <w:t xml:space="preserve">širine </w:t>
      </w:r>
      <w:r w:rsidR="006140B9" w:rsidRPr="00012278">
        <w:rPr>
          <w:szCs w:val="22"/>
          <w:lang w:val="sr-Latn-ME"/>
        </w:rPr>
        <w:t xml:space="preserve">5,3 mm, sa </w:t>
      </w:r>
      <w:r w:rsidRPr="00012278">
        <w:rPr>
          <w:szCs w:val="22"/>
          <w:lang w:val="sr-Latn-ME"/>
        </w:rPr>
        <w:t xml:space="preserve">utisnutom </w:t>
      </w:r>
      <w:r w:rsidR="006140B9" w:rsidRPr="00012278">
        <w:rPr>
          <w:szCs w:val="22"/>
          <w:lang w:val="sr-Latn-ME"/>
        </w:rPr>
        <w:t xml:space="preserve">oznakom „150“ na jednoj strani i </w:t>
      </w:r>
      <w:r w:rsidRPr="00012278">
        <w:rPr>
          <w:szCs w:val="22"/>
          <w:lang w:val="sr-Latn-ME"/>
        </w:rPr>
        <w:t xml:space="preserve">bez oznake </w:t>
      </w:r>
      <w:r w:rsidR="006140B9" w:rsidRPr="00012278">
        <w:rPr>
          <w:szCs w:val="22"/>
          <w:lang w:val="sr-Latn-ME"/>
        </w:rPr>
        <w:t>na drugoj strani</w:t>
      </w:r>
      <w:r w:rsidRPr="00012278">
        <w:rPr>
          <w:szCs w:val="22"/>
          <w:lang w:val="sr-Latn-ME"/>
        </w:rPr>
        <w:t xml:space="preserve"> tablete</w:t>
      </w:r>
      <w:r w:rsidR="006140B9" w:rsidRPr="00012278">
        <w:rPr>
          <w:szCs w:val="22"/>
          <w:lang w:val="sr-Latn-ME"/>
        </w:rPr>
        <w:t>.</w:t>
      </w:r>
    </w:p>
    <w:p w14:paraId="13859B1B" w14:textId="77777777" w:rsidR="006140B9" w:rsidRPr="00012278" w:rsidRDefault="006140B9" w:rsidP="002B4BD7">
      <w:pPr>
        <w:jc w:val="both"/>
        <w:rPr>
          <w:szCs w:val="22"/>
          <w:lang w:val="sr-Latn-ME"/>
        </w:rPr>
      </w:pPr>
    </w:p>
    <w:p w14:paraId="084BAB60" w14:textId="5DBB761E" w:rsidR="00A0423B" w:rsidRPr="00012278" w:rsidRDefault="006140B9" w:rsidP="002B4BD7">
      <w:pPr>
        <w:jc w:val="both"/>
        <w:rPr>
          <w:szCs w:val="22"/>
          <w:u w:val="single"/>
          <w:lang w:val="sr-Latn-ME"/>
        </w:rPr>
      </w:pPr>
      <w:r w:rsidRPr="00012278">
        <w:rPr>
          <w:szCs w:val="22"/>
          <w:u w:val="single"/>
          <w:lang w:val="sr-Latn-ME"/>
        </w:rPr>
        <w:t>Ecansya</w:t>
      </w:r>
      <w:r w:rsidR="00A0423B" w:rsidRPr="00012278">
        <w:rPr>
          <w:szCs w:val="22"/>
          <w:u w:val="single"/>
          <w:lang w:val="sr-Latn-ME"/>
        </w:rPr>
        <w:t>,</w:t>
      </w:r>
      <w:r w:rsidRPr="00012278">
        <w:rPr>
          <w:szCs w:val="22"/>
          <w:u w:val="single"/>
          <w:lang w:val="sr-Latn-ME"/>
        </w:rPr>
        <w:t xml:space="preserve"> 500 mg</w:t>
      </w:r>
      <w:r w:rsidR="00A0423B" w:rsidRPr="00012278">
        <w:rPr>
          <w:szCs w:val="22"/>
          <w:u w:val="single"/>
          <w:lang w:val="sr-Latn-ME"/>
        </w:rPr>
        <w:t>,</w:t>
      </w:r>
      <w:r w:rsidRPr="00012278">
        <w:rPr>
          <w:szCs w:val="22"/>
          <w:u w:val="single"/>
          <w:lang w:val="sr-Latn-ME"/>
        </w:rPr>
        <w:t xml:space="preserve"> film tablet</w:t>
      </w:r>
      <w:r w:rsidR="00A0423B" w:rsidRPr="00012278">
        <w:rPr>
          <w:szCs w:val="22"/>
          <w:u w:val="single"/>
          <w:lang w:val="sr-Latn-ME"/>
        </w:rPr>
        <w:t>a</w:t>
      </w:r>
    </w:p>
    <w:p w14:paraId="07672902" w14:textId="78F3904D" w:rsidR="006140B9" w:rsidRPr="00012278" w:rsidRDefault="00A0423B" w:rsidP="002B4BD7">
      <w:pPr>
        <w:jc w:val="both"/>
        <w:rPr>
          <w:szCs w:val="22"/>
          <w:lang w:val="sr-Latn-ME"/>
        </w:rPr>
      </w:pPr>
      <w:r w:rsidRPr="00012278">
        <w:rPr>
          <w:szCs w:val="22"/>
          <w:lang w:val="sr-Latn-ME"/>
        </w:rPr>
        <w:t>D</w:t>
      </w:r>
      <w:r w:rsidR="006140B9" w:rsidRPr="00012278">
        <w:rPr>
          <w:szCs w:val="22"/>
          <w:lang w:val="sr-Latn-ME"/>
        </w:rPr>
        <w:t>uguljast</w:t>
      </w:r>
      <w:r w:rsidRPr="00012278">
        <w:rPr>
          <w:szCs w:val="22"/>
          <w:lang w:val="sr-Latn-ME"/>
        </w:rPr>
        <w:t>a</w:t>
      </w:r>
      <w:r w:rsidR="006140B9" w:rsidRPr="00012278">
        <w:rPr>
          <w:szCs w:val="22"/>
          <w:lang w:val="sr-Latn-ME"/>
        </w:rPr>
        <w:t>, bikonveksn</w:t>
      </w:r>
      <w:r w:rsidRPr="00012278">
        <w:rPr>
          <w:szCs w:val="22"/>
          <w:lang w:val="sr-Latn-ME"/>
        </w:rPr>
        <w:t>a</w:t>
      </w:r>
      <w:r w:rsidR="00B73935" w:rsidRPr="00012278">
        <w:rPr>
          <w:szCs w:val="22"/>
          <w:lang w:val="sr-Latn-ME"/>
        </w:rPr>
        <w:t xml:space="preserve"> film</w:t>
      </w:r>
      <w:r w:rsidR="006140B9" w:rsidRPr="00012278">
        <w:rPr>
          <w:szCs w:val="22"/>
          <w:lang w:val="sr-Latn-ME"/>
        </w:rPr>
        <w:t xml:space="preserve"> tablet</w:t>
      </w:r>
      <w:r w:rsidRPr="00012278">
        <w:rPr>
          <w:szCs w:val="22"/>
          <w:lang w:val="sr-Latn-ME"/>
        </w:rPr>
        <w:t>a, boje breskve,</w:t>
      </w:r>
      <w:r w:rsidR="006140B9" w:rsidRPr="00012278">
        <w:rPr>
          <w:szCs w:val="22"/>
          <w:lang w:val="sr-Latn-ME"/>
        </w:rPr>
        <w:t xml:space="preserve"> </w:t>
      </w:r>
      <w:r w:rsidRPr="00012278">
        <w:rPr>
          <w:szCs w:val="22"/>
          <w:lang w:val="sr-Latn-ME"/>
        </w:rPr>
        <w:t xml:space="preserve">dužine </w:t>
      </w:r>
      <w:r w:rsidR="006140B9" w:rsidRPr="00012278">
        <w:rPr>
          <w:szCs w:val="22"/>
          <w:lang w:val="sr-Latn-ME"/>
        </w:rPr>
        <w:t>15,9 mm</w:t>
      </w:r>
      <w:r w:rsidR="005E7374" w:rsidRPr="00012278">
        <w:rPr>
          <w:szCs w:val="22"/>
          <w:lang w:val="sr-Latn-ME"/>
        </w:rPr>
        <w:t xml:space="preserve"> </w:t>
      </w:r>
      <w:r w:rsidR="006140B9" w:rsidRPr="00012278">
        <w:rPr>
          <w:szCs w:val="22"/>
          <w:lang w:val="sr-Latn-ME"/>
        </w:rPr>
        <w:t xml:space="preserve">i </w:t>
      </w:r>
      <w:r w:rsidRPr="00012278">
        <w:rPr>
          <w:szCs w:val="22"/>
          <w:lang w:val="sr-Latn-ME"/>
        </w:rPr>
        <w:t xml:space="preserve">širine </w:t>
      </w:r>
      <w:r w:rsidR="006140B9" w:rsidRPr="00012278">
        <w:rPr>
          <w:szCs w:val="22"/>
          <w:lang w:val="sr-Latn-ME"/>
        </w:rPr>
        <w:t xml:space="preserve">8,4 mm, sa </w:t>
      </w:r>
      <w:r w:rsidRPr="00012278">
        <w:rPr>
          <w:szCs w:val="22"/>
          <w:lang w:val="sr-Latn-ME"/>
        </w:rPr>
        <w:t xml:space="preserve">utisnutom </w:t>
      </w:r>
      <w:r w:rsidR="006140B9" w:rsidRPr="00012278">
        <w:rPr>
          <w:szCs w:val="22"/>
          <w:lang w:val="sr-Latn-ME"/>
        </w:rPr>
        <w:t xml:space="preserve">oznakom „500“ na jednoj strani i </w:t>
      </w:r>
      <w:r w:rsidRPr="00012278">
        <w:rPr>
          <w:szCs w:val="22"/>
          <w:lang w:val="sr-Latn-ME"/>
        </w:rPr>
        <w:t xml:space="preserve">bez oznake </w:t>
      </w:r>
      <w:r w:rsidR="006140B9" w:rsidRPr="00012278">
        <w:rPr>
          <w:szCs w:val="22"/>
          <w:lang w:val="sr-Latn-ME"/>
        </w:rPr>
        <w:t>na drugoj strani</w:t>
      </w:r>
      <w:r w:rsidRPr="00012278">
        <w:rPr>
          <w:szCs w:val="22"/>
          <w:lang w:val="sr-Latn-ME"/>
        </w:rPr>
        <w:t xml:space="preserve"> tablete</w:t>
      </w:r>
      <w:r w:rsidR="006140B9" w:rsidRPr="00012278">
        <w:rPr>
          <w:szCs w:val="22"/>
          <w:lang w:val="sr-Latn-ME"/>
        </w:rPr>
        <w:t>.</w:t>
      </w:r>
    </w:p>
    <w:p w14:paraId="1B9CE368" w14:textId="77777777" w:rsidR="006140B9" w:rsidRPr="00012278" w:rsidRDefault="006140B9" w:rsidP="006140B9">
      <w:pPr>
        <w:rPr>
          <w:b/>
          <w:bCs/>
          <w:szCs w:val="22"/>
          <w:lang w:val="sr-Latn-ME"/>
        </w:rPr>
      </w:pPr>
    </w:p>
    <w:p w14:paraId="6CCCD0AA" w14:textId="77777777" w:rsidR="00835DFB" w:rsidRPr="00012278" w:rsidRDefault="00835DFB" w:rsidP="006140B9">
      <w:pPr>
        <w:rPr>
          <w:b/>
          <w:bCs/>
          <w:szCs w:val="22"/>
          <w:lang w:val="sr-Latn-ME"/>
        </w:rPr>
      </w:pPr>
    </w:p>
    <w:p w14:paraId="086DF954" w14:textId="77777777" w:rsidR="006140B9" w:rsidRPr="00012278" w:rsidRDefault="006140B9" w:rsidP="006140B9">
      <w:pPr>
        <w:rPr>
          <w:b/>
          <w:bCs/>
          <w:szCs w:val="22"/>
          <w:lang w:val="sr-Latn-ME"/>
        </w:rPr>
      </w:pPr>
      <w:r w:rsidRPr="00012278">
        <w:rPr>
          <w:b/>
          <w:bCs/>
          <w:szCs w:val="22"/>
          <w:lang w:val="sr-Latn-ME"/>
        </w:rPr>
        <w:t>4.      KLINIČKI PODACI</w:t>
      </w:r>
    </w:p>
    <w:p w14:paraId="7E02D0D2" w14:textId="77777777" w:rsidR="006140B9" w:rsidRPr="00012278" w:rsidRDefault="006140B9" w:rsidP="006140B9">
      <w:pPr>
        <w:rPr>
          <w:b/>
          <w:bCs/>
          <w:szCs w:val="22"/>
          <w:lang w:val="sr-Latn-ME"/>
        </w:rPr>
      </w:pPr>
    </w:p>
    <w:p w14:paraId="4D12092A" w14:textId="77777777" w:rsidR="006140B9" w:rsidRPr="00012278" w:rsidRDefault="006140B9" w:rsidP="005112A3">
      <w:pPr>
        <w:pStyle w:val="Heading1"/>
        <w:rPr>
          <w:szCs w:val="22"/>
        </w:rPr>
      </w:pPr>
      <w:r w:rsidRPr="00012278">
        <w:rPr>
          <w:szCs w:val="22"/>
        </w:rPr>
        <w:t>4.1.   Terapijske indikacije</w:t>
      </w:r>
    </w:p>
    <w:p w14:paraId="47F67A48" w14:textId="77777777" w:rsidR="005112A3" w:rsidRPr="00012278" w:rsidRDefault="005112A3" w:rsidP="006140B9">
      <w:pPr>
        <w:rPr>
          <w:szCs w:val="22"/>
          <w:lang w:val="sr-Latn-ME"/>
        </w:rPr>
      </w:pPr>
    </w:p>
    <w:p w14:paraId="55BDF6D2" w14:textId="77777777" w:rsidR="006140B9" w:rsidRPr="00012278" w:rsidRDefault="006140B9" w:rsidP="002B4BD7">
      <w:pPr>
        <w:jc w:val="both"/>
        <w:rPr>
          <w:szCs w:val="22"/>
          <w:lang w:val="sr-Latn-ME"/>
        </w:rPr>
      </w:pPr>
      <w:r w:rsidRPr="00012278">
        <w:rPr>
          <w:szCs w:val="22"/>
          <w:lang w:val="sr-Latn-ME"/>
        </w:rPr>
        <w:t>Lijek Ecansya je indikovan za:</w:t>
      </w:r>
    </w:p>
    <w:p w14:paraId="73B2A7E2" w14:textId="77777777" w:rsidR="006140B9" w:rsidRPr="00012278" w:rsidRDefault="006140B9" w:rsidP="002B4BD7">
      <w:pPr>
        <w:jc w:val="both"/>
        <w:rPr>
          <w:szCs w:val="22"/>
          <w:lang w:val="sr-Latn-ME"/>
        </w:rPr>
      </w:pPr>
    </w:p>
    <w:p w14:paraId="27DF81E3" w14:textId="190720B9" w:rsidR="006140B9" w:rsidRPr="00012278" w:rsidRDefault="006140B9" w:rsidP="002B4BD7">
      <w:pPr>
        <w:tabs>
          <w:tab w:val="clear" w:pos="567"/>
        </w:tabs>
        <w:ind w:left="270" w:hanging="270"/>
        <w:jc w:val="both"/>
        <w:rPr>
          <w:szCs w:val="22"/>
          <w:lang w:val="sr-Latn-ME"/>
        </w:rPr>
      </w:pPr>
      <w:r w:rsidRPr="00012278">
        <w:rPr>
          <w:szCs w:val="22"/>
          <w:lang w:val="sr-Latn-ME"/>
        </w:rPr>
        <w:t>-   adjuvantno liječenje pacijenata nakon operacije karcinoma kolona stadijuma III (</w:t>
      </w:r>
      <w:r w:rsidR="000E5E30" w:rsidRPr="00012278">
        <w:rPr>
          <w:szCs w:val="22"/>
          <w:lang w:val="sr-Latn-ME"/>
        </w:rPr>
        <w:t xml:space="preserve">stadijum C prema </w:t>
      </w:r>
      <w:r w:rsidRPr="00012278">
        <w:rPr>
          <w:szCs w:val="22"/>
          <w:lang w:val="sr-Latn-ME"/>
        </w:rPr>
        <w:t>D</w:t>
      </w:r>
      <w:r w:rsidR="000E5E30" w:rsidRPr="00012278">
        <w:rPr>
          <w:szCs w:val="22"/>
          <w:lang w:val="sr-Latn-ME"/>
        </w:rPr>
        <w:t>ukes klasifikaciji</w:t>
      </w:r>
      <w:r w:rsidRPr="00012278">
        <w:rPr>
          <w:szCs w:val="22"/>
          <w:lang w:val="sr-Latn-ME"/>
        </w:rPr>
        <w:t xml:space="preserve">) (vidjeti </w:t>
      </w:r>
      <w:r w:rsidR="000E5E30" w:rsidRPr="00012278">
        <w:rPr>
          <w:szCs w:val="22"/>
          <w:lang w:val="sr-Latn-ME"/>
        </w:rPr>
        <w:t xml:space="preserve">dio </w:t>
      </w:r>
      <w:r w:rsidRPr="00012278">
        <w:rPr>
          <w:szCs w:val="22"/>
          <w:lang w:val="sr-Latn-ME"/>
        </w:rPr>
        <w:t xml:space="preserve">5.1).  </w:t>
      </w:r>
    </w:p>
    <w:p w14:paraId="4486B3D0" w14:textId="77777777" w:rsidR="006140B9" w:rsidRPr="00012278" w:rsidRDefault="006140B9" w:rsidP="002B4BD7">
      <w:pPr>
        <w:tabs>
          <w:tab w:val="clear" w:pos="567"/>
        </w:tabs>
        <w:ind w:left="270" w:hanging="270"/>
        <w:jc w:val="both"/>
        <w:rPr>
          <w:szCs w:val="22"/>
          <w:lang w:val="sr-Latn-ME"/>
        </w:rPr>
      </w:pPr>
    </w:p>
    <w:p w14:paraId="7EACFDF0" w14:textId="4517A17B" w:rsidR="006140B9" w:rsidRPr="00012278" w:rsidRDefault="000E5E30" w:rsidP="002B4BD7">
      <w:pPr>
        <w:numPr>
          <w:ilvl w:val="0"/>
          <w:numId w:val="41"/>
        </w:numPr>
        <w:tabs>
          <w:tab w:val="clear" w:pos="567"/>
        </w:tabs>
        <w:ind w:left="270" w:hanging="270"/>
        <w:jc w:val="both"/>
        <w:rPr>
          <w:szCs w:val="22"/>
          <w:lang w:val="sr-Latn-ME"/>
        </w:rPr>
      </w:pPr>
      <w:r w:rsidRPr="00012278">
        <w:rPr>
          <w:szCs w:val="22"/>
          <w:lang w:val="sr-Latn-ME"/>
        </w:rPr>
        <w:t xml:space="preserve">liječenje </w:t>
      </w:r>
      <w:r w:rsidR="006140B9" w:rsidRPr="00012278">
        <w:rPr>
          <w:szCs w:val="22"/>
          <w:lang w:val="sr-Latn-ME"/>
        </w:rPr>
        <w:t xml:space="preserve">metastatskog kolorektalnog karcinoma (vidjeti </w:t>
      </w:r>
      <w:r w:rsidRPr="00012278">
        <w:rPr>
          <w:szCs w:val="22"/>
          <w:lang w:val="sr-Latn-ME"/>
        </w:rPr>
        <w:t xml:space="preserve">dio </w:t>
      </w:r>
      <w:r w:rsidR="006140B9" w:rsidRPr="00012278">
        <w:rPr>
          <w:szCs w:val="22"/>
          <w:lang w:val="sr-Latn-ME"/>
        </w:rPr>
        <w:t xml:space="preserve">5.1).  </w:t>
      </w:r>
    </w:p>
    <w:p w14:paraId="4D96D60D" w14:textId="77777777" w:rsidR="006140B9" w:rsidRPr="00012278" w:rsidRDefault="006140B9" w:rsidP="002B4BD7">
      <w:pPr>
        <w:tabs>
          <w:tab w:val="clear" w:pos="567"/>
        </w:tabs>
        <w:ind w:left="270" w:hanging="270"/>
        <w:jc w:val="both"/>
        <w:rPr>
          <w:szCs w:val="22"/>
          <w:lang w:val="sr-Latn-ME"/>
        </w:rPr>
      </w:pPr>
    </w:p>
    <w:p w14:paraId="2E9E7FEC" w14:textId="51C03D99" w:rsidR="006140B9" w:rsidRPr="00012278" w:rsidRDefault="006140B9" w:rsidP="002B4BD7">
      <w:pPr>
        <w:tabs>
          <w:tab w:val="clear" w:pos="567"/>
        </w:tabs>
        <w:ind w:left="270" w:hanging="270"/>
        <w:jc w:val="both"/>
        <w:rPr>
          <w:szCs w:val="22"/>
          <w:lang w:val="sr-Latn-ME"/>
        </w:rPr>
      </w:pPr>
      <w:r w:rsidRPr="00012278">
        <w:rPr>
          <w:szCs w:val="22"/>
          <w:lang w:val="sr-Latn-ME"/>
        </w:rPr>
        <w:t>-    prv</w:t>
      </w:r>
      <w:r w:rsidR="000E5E30" w:rsidRPr="00012278">
        <w:rPr>
          <w:szCs w:val="22"/>
          <w:lang w:val="sr-Latn-ME"/>
        </w:rPr>
        <w:t>u</w:t>
      </w:r>
      <w:r w:rsidRPr="00012278">
        <w:rPr>
          <w:szCs w:val="22"/>
          <w:lang w:val="sr-Latn-ME"/>
        </w:rPr>
        <w:t xml:space="preserve"> liniji liječenja uznapredovalog karcinoma želuca u kombinaciji sa terapijskim </w:t>
      </w:r>
      <w:r w:rsidR="000E5E30" w:rsidRPr="00012278">
        <w:rPr>
          <w:szCs w:val="22"/>
          <w:lang w:val="sr-Latn-ME"/>
        </w:rPr>
        <w:t>protokolom</w:t>
      </w:r>
      <w:r w:rsidRPr="00012278">
        <w:rPr>
          <w:szCs w:val="22"/>
          <w:lang w:val="sr-Latn-ME"/>
        </w:rPr>
        <w:t xml:space="preserve"> na bazi platine (vidjeti </w:t>
      </w:r>
      <w:r w:rsidR="000E5E30" w:rsidRPr="00012278">
        <w:rPr>
          <w:szCs w:val="22"/>
          <w:lang w:val="sr-Latn-ME"/>
        </w:rPr>
        <w:t xml:space="preserve">dio </w:t>
      </w:r>
      <w:r w:rsidRPr="00012278">
        <w:rPr>
          <w:szCs w:val="22"/>
          <w:lang w:val="sr-Latn-ME"/>
        </w:rPr>
        <w:t>5.1).</w:t>
      </w:r>
      <w:bookmarkStart w:id="0" w:name="_GoBack"/>
      <w:bookmarkEnd w:id="0"/>
    </w:p>
    <w:p w14:paraId="119E5A5A" w14:textId="77777777" w:rsidR="006140B9" w:rsidRPr="00012278" w:rsidRDefault="006140B9" w:rsidP="002B4BD7">
      <w:pPr>
        <w:tabs>
          <w:tab w:val="clear" w:pos="567"/>
        </w:tabs>
        <w:ind w:left="270" w:hanging="270"/>
        <w:jc w:val="both"/>
        <w:rPr>
          <w:szCs w:val="22"/>
          <w:lang w:val="sr-Latn-ME"/>
        </w:rPr>
      </w:pPr>
    </w:p>
    <w:p w14:paraId="02FCEB77" w14:textId="17F3E050" w:rsidR="006140B9" w:rsidRPr="00012278" w:rsidRDefault="006140B9" w:rsidP="002B4BD7">
      <w:pPr>
        <w:tabs>
          <w:tab w:val="clear" w:pos="567"/>
        </w:tabs>
        <w:ind w:left="270" w:hanging="270"/>
        <w:jc w:val="both"/>
        <w:rPr>
          <w:szCs w:val="22"/>
          <w:lang w:val="sr-Latn-ME"/>
        </w:rPr>
      </w:pPr>
      <w:r w:rsidRPr="00012278">
        <w:rPr>
          <w:szCs w:val="22"/>
          <w:lang w:val="sr-Latn-ME"/>
        </w:rPr>
        <w:t xml:space="preserve">-   u kombinaciji sa docetakselom (vidjeti </w:t>
      </w:r>
      <w:r w:rsidR="000E5E30" w:rsidRPr="00012278">
        <w:rPr>
          <w:szCs w:val="22"/>
          <w:lang w:val="sr-Latn-ME"/>
        </w:rPr>
        <w:t xml:space="preserve">dio </w:t>
      </w:r>
      <w:r w:rsidRPr="00012278">
        <w:rPr>
          <w:szCs w:val="22"/>
          <w:lang w:val="sr-Latn-ME"/>
        </w:rPr>
        <w:t>5.1) je indikovan za terapiju pacijenata sa lokalno uznapredovalim ili metastatskim karcinomom dojke</w:t>
      </w:r>
      <w:r w:rsidR="000E5E30" w:rsidRPr="00012278">
        <w:rPr>
          <w:szCs w:val="22"/>
          <w:lang w:val="sr-Latn-ME"/>
        </w:rPr>
        <w:t>,</w:t>
      </w:r>
      <w:r w:rsidRPr="00012278">
        <w:rPr>
          <w:szCs w:val="22"/>
          <w:lang w:val="sr-Latn-ME"/>
        </w:rPr>
        <w:t xml:space="preserve"> nakon neuspjeha citotoksične hem</w:t>
      </w:r>
      <w:r w:rsidR="005A34B4" w:rsidRPr="00012278">
        <w:rPr>
          <w:szCs w:val="22"/>
          <w:lang w:val="sr-Latn-ME"/>
        </w:rPr>
        <w:t>i</w:t>
      </w:r>
      <w:r w:rsidRPr="00012278">
        <w:rPr>
          <w:szCs w:val="22"/>
          <w:lang w:val="sr-Latn-ME"/>
        </w:rPr>
        <w:t xml:space="preserve">oterapije. Prethodna terapija </w:t>
      </w:r>
      <w:r w:rsidR="000E5E30" w:rsidRPr="00012278">
        <w:rPr>
          <w:szCs w:val="22"/>
          <w:lang w:val="sr-Latn-ME"/>
        </w:rPr>
        <w:t>je morala</w:t>
      </w:r>
      <w:r w:rsidRPr="00012278">
        <w:rPr>
          <w:szCs w:val="22"/>
          <w:lang w:val="sr-Latn-ME"/>
        </w:rPr>
        <w:t xml:space="preserve"> uključ</w:t>
      </w:r>
      <w:r w:rsidR="000E5E30" w:rsidRPr="00012278">
        <w:rPr>
          <w:szCs w:val="22"/>
          <w:lang w:val="sr-Latn-ME"/>
        </w:rPr>
        <w:t>ivati</w:t>
      </w:r>
      <w:r w:rsidRPr="00012278">
        <w:rPr>
          <w:szCs w:val="22"/>
          <w:lang w:val="sr-Latn-ME"/>
        </w:rPr>
        <w:t xml:space="preserve"> antraciklin. </w:t>
      </w:r>
    </w:p>
    <w:p w14:paraId="3BE1F39F" w14:textId="77777777" w:rsidR="006140B9" w:rsidRPr="00012278" w:rsidRDefault="006140B9" w:rsidP="002B4BD7">
      <w:pPr>
        <w:tabs>
          <w:tab w:val="clear" w:pos="567"/>
        </w:tabs>
        <w:ind w:left="270" w:hanging="270"/>
        <w:jc w:val="both"/>
        <w:rPr>
          <w:szCs w:val="22"/>
          <w:lang w:val="sr-Latn-ME"/>
        </w:rPr>
      </w:pPr>
    </w:p>
    <w:p w14:paraId="664BE7DD" w14:textId="77777777" w:rsidR="006140B9" w:rsidRPr="00012278" w:rsidRDefault="006140B9" w:rsidP="002B4BD7">
      <w:pPr>
        <w:tabs>
          <w:tab w:val="clear" w:pos="567"/>
        </w:tabs>
        <w:ind w:left="270" w:hanging="270"/>
        <w:jc w:val="both"/>
        <w:rPr>
          <w:szCs w:val="22"/>
          <w:lang w:val="sr-Latn-ME"/>
        </w:rPr>
      </w:pPr>
      <w:r w:rsidRPr="00012278">
        <w:rPr>
          <w:szCs w:val="22"/>
          <w:lang w:val="sr-Latn-ME"/>
        </w:rPr>
        <w:t xml:space="preserve">-  </w:t>
      </w:r>
      <w:r w:rsidR="005112A3" w:rsidRPr="00012278">
        <w:rPr>
          <w:szCs w:val="22"/>
          <w:lang w:val="sr-Latn-ME"/>
        </w:rPr>
        <w:tab/>
      </w:r>
      <w:r w:rsidRPr="00012278">
        <w:rPr>
          <w:szCs w:val="22"/>
          <w:lang w:val="sr-Latn-ME"/>
        </w:rPr>
        <w:t>kao monoterapija u liječenju pacijenata sa lokalno uznapredovalim ili metastatskim karcinomom dojke nakon neuspjeha hem</w:t>
      </w:r>
      <w:r w:rsidR="005A34B4" w:rsidRPr="00012278">
        <w:rPr>
          <w:szCs w:val="22"/>
          <w:lang w:val="sr-Latn-ME"/>
        </w:rPr>
        <w:t>i</w:t>
      </w:r>
      <w:r w:rsidRPr="00012278">
        <w:rPr>
          <w:szCs w:val="22"/>
          <w:lang w:val="sr-Latn-ME"/>
        </w:rPr>
        <w:t xml:space="preserve">oterapijskog liječenja kombinacijom taksana i antraciklina ili u slučajevima u kojima dalja terapija antraciklinima nije indikovana.   </w:t>
      </w:r>
    </w:p>
    <w:p w14:paraId="090AF69C" w14:textId="77777777" w:rsidR="006140B9" w:rsidRPr="00012278" w:rsidRDefault="006140B9" w:rsidP="002B4BD7">
      <w:pPr>
        <w:jc w:val="both"/>
        <w:rPr>
          <w:szCs w:val="22"/>
          <w:lang w:val="sr-Latn-ME"/>
        </w:rPr>
      </w:pPr>
    </w:p>
    <w:p w14:paraId="04A372AD" w14:textId="77777777" w:rsidR="006140B9" w:rsidRPr="00012278" w:rsidRDefault="006140B9" w:rsidP="005112A3">
      <w:pPr>
        <w:pStyle w:val="Heading1"/>
        <w:rPr>
          <w:szCs w:val="22"/>
        </w:rPr>
      </w:pPr>
      <w:r w:rsidRPr="00012278">
        <w:rPr>
          <w:szCs w:val="22"/>
        </w:rPr>
        <w:t>4.2.    Doziranje i način primjene</w:t>
      </w:r>
    </w:p>
    <w:p w14:paraId="0D730C93" w14:textId="77777777" w:rsidR="006140B9" w:rsidRPr="00012278" w:rsidRDefault="006140B9" w:rsidP="006140B9">
      <w:pPr>
        <w:rPr>
          <w:szCs w:val="22"/>
          <w:lang w:val="sr-Latn-ME"/>
        </w:rPr>
      </w:pPr>
    </w:p>
    <w:p w14:paraId="11B61FF3" w14:textId="01F10E5F" w:rsidR="006140B9" w:rsidRPr="00012278" w:rsidRDefault="00183A6F" w:rsidP="002B4BD7">
      <w:pPr>
        <w:jc w:val="both"/>
        <w:rPr>
          <w:szCs w:val="22"/>
          <w:lang w:val="sr-Latn-ME"/>
        </w:rPr>
      </w:pPr>
      <w:r w:rsidRPr="00012278">
        <w:rPr>
          <w:szCs w:val="22"/>
          <w:lang w:val="sr-Latn-ME"/>
        </w:rPr>
        <w:t>Lijek Ecansya</w:t>
      </w:r>
      <w:r w:rsidR="006140B9" w:rsidRPr="00012278">
        <w:rPr>
          <w:szCs w:val="22"/>
          <w:lang w:val="sr-Latn-ME"/>
        </w:rPr>
        <w:t xml:space="preserve"> može propisati samo ljekar specijalista sa iskustvom u primjeni antineoplastičnih ljekova. Preporučuje se pažljivo praćenje tokom prvog ciklusa liječenja za sve pacijente.  U slučaju progresije bolesti ili nepodnošljive toksičnosti lijeka, terapiju treba prekinuti. Izračunavanja standardnih i smanjenih doza prema  površini tijela za početne doze </w:t>
      </w:r>
      <w:r w:rsidR="00F313FE" w:rsidRPr="00012278">
        <w:rPr>
          <w:szCs w:val="22"/>
          <w:lang w:val="sr-Latn-ME"/>
        </w:rPr>
        <w:t>l</w:t>
      </w:r>
      <w:r w:rsidR="00BF544B" w:rsidRPr="00012278">
        <w:rPr>
          <w:szCs w:val="22"/>
          <w:lang w:val="sr-Latn-ME"/>
        </w:rPr>
        <w:t>ijeka Ecansya</w:t>
      </w:r>
      <w:r w:rsidR="00F313FE" w:rsidRPr="00012278">
        <w:rPr>
          <w:szCs w:val="22"/>
          <w:lang w:val="sr-Latn-ME"/>
        </w:rPr>
        <w:t xml:space="preserve"> </w:t>
      </w:r>
      <w:r w:rsidR="006140B9" w:rsidRPr="00012278">
        <w:rPr>
          <w:szCs w:val="22"/>
          <w:lang w:val="sr-Latn-ME"/>
        </w:rPr>
        <w:t>od 1250 mg/m</w:t>
      </w:r>
      <w:r w:rsidR="006140B9" w:rsidRPr="00012278">
        <w:rPr>
          <w:szCs w:val="22"/>
          <w:vertAlign w:val="superscript"/>
          <w:lang w:val="sr-Latn-ME"/>
        </w:rPr>
        <w:t>2</w:t>
      </w:r>
      <w:r w:rsidR="006140B9" w:rsidRPr="00012278">
        <w:rPr>
          <w:szCs w:val="22"/>
          <w:lang w:val="sr-Latn-ME"/>
        </w:rPr>
        <w:t xml:space="preserve"> i 1000 mg/m</w:t>
      </w:r>
      <w:r w:rsidR="006140B9" w:rsidRPr="00012278">
        <w:rPr>
          <w:szCs w:val="22"/>
          <w:vertAlign w:val="superscript"/>
          <w:lang w:val="sr-Latn-ME"/>
        </w:rPr>
        <w:t>2</w:t>
      </w:r>
      <w:r w:rsidR="006140B9" w:rsidRPr="00012278">
        <w:rPr>
          <w:szCs w:val="22"/>
          <w:lang w:val="sr-Latn-ME"/>
        </w:rPr>
        <w:t xml:space="preserve"> prikazana su u Tabeli 1, odnosno Tabeli 2.  </w:t>
      </w:r>
    </w:p>
    <w:p w14:paraId="12F457C4" w14:textId="77777777" w:rsidR="006140B9" w:rsidRPr="00012278" w:rsidRDefault="006140B9" w:rsidP="002B4BD7">
      <w:pPr>
        <w:jc w:val="both"/>
        <w:rPr>
          <w:szCs w:val="22"/>
          <w:lang w:val="sr-Latn-ME"/>
        </w:rPr>
      </w:pPr>
    </w:p>
    <w:p w14:paraId="42D7AD4E" w14:textId="77777777" w:rsidR="006140B9" w:rsidRPr="00012278" w:rsidRDefault="006140B9" w:rsidP="002B4BD7">
      <w:pPr>
        <w:jc w:val="both"/>
        <w:rPr>
          <w:szCs w:val="22"/>
          <w:u w:val="single"/>
          <w:lang w:val="sr-Latn-ME"/>
        </w:rPr>
      </w:pPr>
      <w:r w:rsidRPr="00012278">
        <w:rPr>
          <w:szCs w:val="22"/>
          <w:u w:val="single"/>
          <w:lang w:val="sr-Latn-ME"/>
        </w:rPr>
        <w:t>Doziranje</w:t>
      </w:r>
    </w:p>
    <w:p w14:paraId="67205E87" w14:textId="17C0F38F" w:rsidR="006140B9" w:rsidRPr="00012278" w:rsidRDefault="006140B9" w:rsidP="002B4BD7">
      <w:pPr>
        <w:jc w:val="both"/>
        <w:rPr>
          <w:szCs w:val="22"/>
          <w:lang w:val="sr-Latn-ME"/>
        </w:rPr>
      </w:pPr>
      <w:r w:rsidRPr="00012278">
        <w:rPr>
          <w:szCs w:val="22"/>
          <w:lang w:val="sr-Latn-ME"/>
        </w:rPr>
        <w:t xml:space="preserve">Preporučeno doziranje (vidjeti </w:t>
      </w:r>
      <w:r w:rsidR="000E5E30" w:rsidRPr="00012278">
        <w:rPr>
          <w:szCs w:val="22"/>
          <w:lang w:val="sr-Latn-ME"/>
        </w:rPr>
        <w:t xml:space="preserve">dio </w:t>
      </w:r>
      <w:r w:rsidRPr="00012278">
        <w:rPr>
          <w:szCs w:val="22"/>
          <w:lang w:val="sr-Latn-ME"/>
        </w:rPr>
        <w:t>5.1)</w:t>
      </w:r>
    </w:p>
    <w:p w14:paraId="5FD74F09" w14:textId="77777777" w:rsidR="006140B9" w:rsidRPr="00012278" w:rsidRDefault="006140B9" w:rsidP="002B4BD7">
      <w:pPr>
        <w:jc w:val="both"/>
        <w:rPr>
          <w:szCs w:val="22"/>
          <w:lang w:val="sr-Latn-ME"/>
        </w:rPr>
      </w:pPr>
    </w:p>
    <w:p w14:paraId="61FFFEFC" w14:textId="77777777" w:rsidR="006140B9" w:rsidRPr="00012278" w:rsidRDefault="006140B9" w:rsidP="002B4BD7">
      <w:pPr>
        <w:jc w:val="both"/>
        <w:rPr>
          <w:i/>
          <w:szCs w:val="22"/>
          <w:u w:val="single"/>
          <w:lang w:val="sr-Latn-ME"/>
        </w:rPr>
      </w:pPr>
      <w:r w:rsidRPr="00012278">
        <w:rPr>
          <w:i/>
          <w:szCs w:val="22"/>
          <w:u w:val="single"/>
          <w:lang w:val="sr-Latn-ME"/>
        </w:rPr>
        <w:t>Monoterapija</w:t>
      </w:r>
    </w:p>
    <w:p w14:paraId="34E5E6E9" w14:textId="77777777" w:rsidR="006140B9" w:rsidRPr="00012278" w:rsidRDefault="006140B9" w:rsidP="002B4BD7">
      <w:pPr>
        <w:jc w:val="both"/>
        <w:rPr>
          <w:i/>
          <w:szCs w:val="22"/>
          <w:lang w:val="sr-Latn-ME"/>
        </w:rPr>
      </w:pPr>
      <w:r w:rsidRPr="00012278">
        <w:rPr>
          <w:i/>
          <w:szCs w:val="22"/>
          <w:lang w:val="sr-Latn-ME"/>
        </w:rPr>
        <w:t>Karcinom kolona, kolorektalni karcinom i karcinom dojke</w:t>
      </w:r>
    </w:p>
    <w:p w14:paraId="72D8388E" w14:textId="77777777" w:rsidR="006140B9" w:rsidRPr="00012278" w:rsidRDefault="006140B9" w:rsidP="002B4BD7">
      <w:pPr>
        <w:jc w:val="both"/>
        <w:rPr>
          <w:i/>
          <w:szCs w:val="22"/>
          <w:lang w:val="sr-Latn-ME"/>
        </w:rPr>
      </w:pPr>
      <w:r w:rsidRPr="00012278">
        <w:rPr>
          <w:szCs w:val="22"/>
          <w:lang w:val="sr-Latn-ME"/>
        </w:rPr>
        <w:t>Preporučena početna doza kapecitabina primijenjenog kao monoterapija u adjuvantnom liječenju</w:t>
      </w:r>
      <w:r w:rsidRPr="00012278">
        <w:rPr>
          <w:i/>
          <w:szCs w:val="22"/>
          <w:lang w:val="sr-Latn-ME"/>
        </w:rPr>
        <w:t xml:space="preserve"> </w:t>
      </w:r>
      <w:r w:rsidRPr="00012278">
        <w:rPr>
          <w:szCs w:val="22"/>
          <w:lang w:val="sr-Latn-ME"/>
        </w:rPr>
        <w:t>karcinoma kolona, liječenju metastatskog kolorektalnog karcinoma ili u liječenju lokalno uznapredovalog ili metastatskog karcinoma dojke iznosi  1250 mg/m</w:t>
      </w:r>
      <w:r w:rsidRPr="00012278">
        <w:rPr>
          <w:szCs w:val="22"/>
          <w:vertAlign w:val="superscript"/>
          <w:lang w:val="sr-Latn-ME"/>
        </w:rPr>
        <w:t>2</w:t>
      </w:r>
      <w:r w:rsidRPr="00012278">
        <w:rPr>
          <w:szCs w:val="22"/>
          <w:lang w:val="sr-Latn-ME"/>
        </w:rPr>
        <w:t xml:space="preserve"> i daje se dva puta dnevno (ujutru i uveče; što odgovara ukupnoj dnevnoj dozi od 2500 mg/m</w:t>
      </w:r>
      <w:r w:rsidRPr="00012278">
        <w:rPr>
          <w:szCs w:val="22"/>
          <w:vertAlign w:val="superscript"/>
          <w:lang w:val="sr-Latn-ME"/>
        </w:rPr>
        <w:t>2</w:t>
      </w:r>
      <w:r w:rsidRPr="00012278">
        <w:rPr>
          <w:szCs w:val="22"/>
          <w:lang w:val="sr-Latn-ME"/>
        </w:rPr>
        <w:t xml:space="preserve">) tokom 14 dana poslije čega slijedi sedam dana odmora, tj. neuzimanja lijeka. </w:t>
      </w:r>
    </w:p>
    <w:p w14:paraId="6BFE9D77" w14:textId="77777777" w:rsidR="006140B9" w:rsidRPr="00012278" w:rsidRDefault="006140B9" w:rsidP="002B4BD7">
      <w:pPr>
        <w:jc w:val="both"/>
        <w:rPr>
          <w:szCs w:val="22"/>
          <w:lang w:val="sr-Latn-ME"/>
        </w:rPr>
      </w:pPr>
      <w:r w:rsidRPr="00012278">
        <w:rPr>
          <w:szCs w:val="22"/>
          <w:lang w:val="sr-Latn-ME"/>
        </w:rPr>
        <w:t xml:space="preserve">Preporučeno trajanje adjuvantnog liječenja pacijenata sa karcinomom kolona trećeg stadijuma je 6 mjeseci. </w:t>
      </w:r>
    </w:p>
    <w:p w14:paraId="21EBBE11" w14:textId="77777777" w:rsidR="006140B9" w:rsidRPr="00012278" w:rsidRDefault="006140B9" w:rsidP="002B4BD7">
      <w:pPr>
        <w:jc w:val="both"/>
        <w:rPr>
          <w:szCs w:val="22"/>
          <w:lang w:val="sr-Latn-ME"/>
        </w:rPr>
      </w:pPr>
    </w:p>
    <w:p w14:paraId="6BE751F0" w14:textId="77777777" w:rsidR="006140B9" w:rsidRPr="00012278" w:rsidRDefault="006140B9" w:rsidP="002B4BD7">
      <w:pPr>
        <w:jc w:val="both"/>
        <w:rPr>
          <w:i/>
          <w:szCs w:val="22"/>
          <w:u w:val="single"/>
          <w:lang w:val="sr-Latn-ME"/>
        </w:rPr>
      </w:pPr>
      <w:r w:rsidRPr="00012278">
        <w:rPr>
          <w:i/>
          <w:szCs w:val="22"/>
          <w:u w:val="single"/>
          <w:lang w:val="sr-Latn-ME"/>
        </w:rPr>
        <w:t>Kombinovana terapija</w:t>
      </w:r>
    </w:p>
    <w:p w14:paraId="243F5422" w14:textId="77777777" w:rsidR="006140B9" w:rsidRPr="00012278" w:rsidRDefault="006140B9" w:rsidP="002B4BD7">
      <w:pPr>
        <w:jc w:val="both"/>
        <w:rPr>
          <w:i/>
          <w:szCs w:val="22"/>
          <w:lang w:val="sr-Latn-ME"/>
        </w:rPr>
      </w:pPr>
      <w:r w:rsidRPr="00012278">
        <w:rPr>
          <w:i/>
          <w:szCs w:val="22"/>
          <w:lang w:val="sr-Latn-ME"/>
        </w:rPr>
        <w:t>Karcinom kolona, kolorektalni karcinom i karcinom želuca</w:t>
      </w:r>
    </w:p>
    <w:p w14:paraId="2C8B5E37" w14:textId="77777777" w:rsidR="006140B9" w:rsidRPr="00012278" w:rsidRDefault="006140B9" w:rsidP="002B4BD7">
      <w:pPr>
        <w:jc w:val="both"/>
        <w:rPr>
          <w:szCs w:val="22"/>
          <w:lang w:val="sr-Latn-ME"/>
        </w:rPr>
      </w:pPr>
      <w:r w:rsidRPr="00012278">
        <w:rPr>
          <w:szCs w:val="22"/>
          <w:lang w:val="sr-Latn-ME"/>
        </w:rPr>
        <w:t>U kombinovanoj terapiji, preporučenu početnu dozu kapecitabina treba smanjiti na 800-1000 mg/m</w:t>
      </w:r>
      <w:r w:rsidRPr="00012278">
        <w:rPr>
          <w:szCs w:val="22"/>
          <w:vertAlign w:val="superscript"/>
          <w:lang w:val="sr-Latn-ME"/>
        </w:rPr>
        <w:t>2</w:t>
      </w:r>
      <w:r w:rsidRPr="00012278">
        <w:rPr>
          <w:szCs w:val="22"/>
          <w:lang w:val="sr-Latn-ME"/>
        </w:rPr>
        <w:t xml:space="preserve">  i uzimati dva puta dnevno tokom 14 dana, nakon čega slijedi 7 dana pauze ili na 625 mg/m</w:t>
      </w:r>
      <w:r w:rsidRPr="00012278">
        <w:rPr>
          <w:szCs w:val="22"/>
          <w:vertAlign w:val="superscript"/>
          <w:lang w:val="sr-Latn-ME"/>
        </w:rPr>
        <w:t xml:space="preserve">2 </w:t>
      </w:r>
      <w:r w:rsidRPr="00012278">
        <w:rPr>
          <w:szCs w:val="22"/>
          <w:lang w:val="sr-Latn-ME"/>
        </w:rPr>
        <w:t xml:space="preserve">dva puta dnevno pri  kontinuiranoj (svakodnevnoj) primjeni (vidjeti odjeljak 5.1). Kada se primjenjuje u kombinaciji sa irinotekanom, preporučena početna doza je 800 mg/m² dva puta dnevno tokom 14 dana, nakon čega slijedi 7 dana pauze uz primjenu irinotekana u dozi od 200 mg/m² 1. dana. Primjena bevacizumaba u kombinovanoj terapiji ne utiče na početnu dozu kapecitabina. Kod pacijenata koji uzimaju kapecitabin u kombinaciji sa cisplatinom, prije primjene cisplatina potrebno je započeti premedikaciju kako bi se održala primjerena hidracija i spriječilo povraćanje, kao što je opisano u Sažetku karakteristika lijeka za cisplatin. Za pacijente koji primaju kombinaciju kapecitabina i oksaliplatina preporučuje se premedikacija antiemeticima u skladu sa Sažetkom karakteristika lijeka za oksaliplatin. Kod pacijenata sa karcinomom kolona stadijuma III, preporučeno trajanje adjuvantnog liječenja je 6 mjeseci. </w:t>
      </w:r>
    </w:p>
    <w:p w14:paraId="79AA30DB" w14:textId="77777777" w:rsidR="006140B9" w:rsidRPr="00012278" w:rsidRDefault="006140B9" w:rsidP="002B4BD7">
      <w:pPr>
        <w:jc w:val="both"/>
        <w:rPr>
          <w:szCs w:val="22"/>
          <w:lang w:val="sr-Latn-ME"/>
        </w:rPr>
      </w:pPr>
    </w:p>
    <w:p w14:paraId="11212956" w14:textId="77777777" w:rsidR="006140B9" w:rsidRPr="00012278" w:rsidRDefault="006140B9" w:rsidP="002B4BD7">
      <w:pPr>
        <w:jc w:val="both"/>
        <w:rPr>
          <w:i/>
          <w:szCs w:val="22"/>
          <w:lang w:val="sr-Latn-ME"/>
        </w:rPr>
      </w:pPr>
      <w:r w:rsidRPr="00012278">
        <w:rPr>
          <w:i/>
          <w:szCs w:val="22"/>
          <w:lang w:val="sr-Latn-ME"/>
        </w:rPr>
        <w:t>Karcinom dojke</w:t>
      </w:r>
    </w:p>
    <w:p w14:paraId="403B91BF" w14:textId="77777777" w:rsidR="006140B9" w:rsidRPr="00012278" w:rsidRDefault="006140B9" w:rsidP="002B4BD7">
      <w:pPr>
        <w:jc w:val="both"/>
        <w:rPr>
          <w:szCs w:val="22"/>
          <w:lang w:val="sr-Latn-ME"/>
        </w:rPr>
      </w:pPr>
      <w:r w:rsidRPr="00012278">
        <w:rPr>
          <w:szCs w:val="22"/>
          <w:lang w:val="sr-Latn-ME"/>
        </w:rPr>
        <w:t xml:space="preserve">U kombinaciji sa docetakselom, preporučena </w:t>
      </w:r>
      <w:r w:rsidR="007A0208" w:rsidRPr="00012278">
        <w:rPr>
          <w:szCs w:val="22"/>
          <w:lang w:val="sr-Latn-ME"/>
        </w:rPr>
        <w:t xml:space="preserve">početna </w:t>
      </w:r>
      <w:r w:rsidRPr="00012278">
        <w:rPr>
          <w:szCs w:val="22"/>
          <w:lang w:val="sr-Latn-ME"/>
        </w:rPr>
        <w:t>doza kapecitabina za liječenje metastatskog karcinoma dojke iznosi 1250 mg/m</w:t>
      </w:r>
      <w:r w:rsidRPr="00012278">
        <w:rPr>
          <w:szCs w:val="22"/>
          <w:vertAlign w:val="superscript"/>
          <w:lang w:val="sr-Latn-ME"/>
        </w:rPr>
        <w:t>2</w:t>
      </w:r>
      <w:r w:rsidRPr="00012278">
        <w:rPr>
          <w:szCs w:val="22"/>
          <w:lang w:val="sr-Latn-ME"/>
        </w:rPr>
        <w:t xml:space="preserve"> i uzima se dva puta dnevno tokom 14 dana, poslije čega slijedi sedam dana pauze, dok je doza docetaksela 75 mg/m</w:t>
      </w:r>
      <w:r w:rsidRPr="00012278">
        <w:rPr>
          <w:szCs w:val="22"/>
          <w:vertAlign w:val="superscript"/>
          <w:lang w:val="sr-Latn-ME"/>
        </w:rPr>
        <w:t>2</w:t>
      </w:r>
      <w:r w:rsidRPr="00012278">
        <w:rPr>
          <w:szCs w:val="22"/>
          <w:lang w:val="sr-Latn-ME"/>
        </w:rPr>
        <w:t xml:space="preserve"> i primjenjuje se svake 3 nedjelje u vidu jednosatne intravenske infuzije. Premedikacija oralnim kortikosteroidima, kao što je deksametazon, mora započeti prije primjene docetaksela kod pacijenata liječenih kombinacijom kapecitabina i docetaksela, prema Sažetku karakteristika lijeka za docetaksel.</w:t>
      </w:r>
    </w:p>
    <w:p w14:paraId="48532D7E" w14:textId="77777777" w:rsidR="006140B9" w:rsidRPr="00012278" w:rsidRDefault="006140B9" w:rsidP="002B4BD7">
      <w:pPr>
        <w:jc w:val="both"/>
        <w:rPr>
          <w:szCs w:val="22"/>
          <w:lang w:val="sr-Latn-ME"/>
        </w:rPr>
      </w:pPr>
      <w:r w:rsidRPr="00012278">
        <w:rPr>
          <w:szCs w:val="22"/>
          <w:lang w:val="sr-Latn-ME"/>
        </w:rPr>
        <w:t xml:space="preserve"> </w:t>
      </w:r>
    </w:p>
    <w:p w14:paraId="3A052433" w14:textId="77777777" w:rsidR="006140B9" w:rsidRPr="00012278" w:rsidRDefault="006140B9" w:rsidP="002B4BD7">
      <w:pPr>
        <w:jc w:val="both"/>
        <w:rPr>
          <w:szCs w:val="22"/>
          <w:u w:val="single"/>
          <w:lang w:val="sr-Latn-ME"/>
        </w:rPr>
      </w:pPr>
      <w:r w:rsidRPr="00012278">
        <w:rPr>
          <w:szCs w:val="22"/>
          <w:u w:val="single"/>
          <w:lang w:val="sr-Latn-ME"/>
        </w:rPr>
        <w:t>Izračunavanje doze lijeka Ecansya</w:t>
      </w:r>
    </w:p>
    <w:p w14:paraId="724A81CE" w14:textId="77777777" w:rsidR="006140B9" w:rsidRPr="00012278" w:rsidRDefault="006140B9" w:rsidP="002B4BD7">
      <w:pPr>
        <w:jc w:val="both"/>
        <w:rPr>
          <w:szCs w:val="22"/>
          <w:u w:val="single"/>
          <w:lang w:val="sr-Latn-ME"/>
        </w:rPr>
      </w:pPr>
    </w:p>
    <w:p w14:paraId="2F62AE67" w14:textId="349FF732" w:rsidR="006140B9" w:rsidRPr="00012278" w:rsidRDefault="006140B9" w:rsidP="002B4BD7">
      <w:pPr>
        <w:jc w:val="both"/>
        <w:rPr>
          <w:szCs w:val="22"/>
          <w:lang w:val="sr-Latn-ME"/>
        </w:rPr>
      </w:pPr>
      <w:r w:rsidRPr="00012278">
        <w:rPr>
          <w:szCs w:val="22"/>
          <w:lang w:val="sr-Latn-ME"/>
        </w:rPr>
        <w:lastRenderedPageBreak/>
        <w:t>Tabela 1: Izračunavanje standardnih i smanjenih doza prema površini tijela za početnu dozu kapecitabina od  1250 mg/m</w:t>
      </w:r>
      <w:r w:rsidRPr="00012278">
        <w:rPr>
          <w:szCs w:val="22"/>
          <w:vertAlign w:val="superscript"/>
          <w:lang w:val="sr-Latn-ME"/>
        </w:rPr>
        <w:t>2</w:t>
      </w:r>
    </w:p>
    <w:p w14:paraId="77C974EA" w14:textId="77777777" w:rsidR="006140B9" w:rsidRPr="00012278" w:rsidRDefault="006140B9" w:rsidP="002B4BD7">
      <w:pPr>
        <w:jc w:val="both"/>
        <w:rPr>
          <w:szCs w:val="22"/>
          <w:lang w:val="sr-Latn-ME"/>
        </w:rPr>
      </w:pPr>
    </w:p>
    <w:tbl>
      <w:tblPr>
        <w:tblW w:w="4837" w:type="pct"/>
        <w:tblLook w:val="04A0" w:firstRow="1" w:lastRow="0" w:firstColumn="1" w:lastColumn="0" w:noHBand="0" w:noVBand="1"/>
      </w:tblPr>
      <w:tblGrid>
        <w:gridCol w:w="1412"/>
        <w:gridCol w:w="1521"/>
        <w:gridCol w:w="1319"/>
        <w:gridCol w:w="1288"/>
        <w:gridCol w:w="1738"/>
        <w:gridCol w:w="1482"/>
      </w:tblGrid>
      <w:tr w:rsidR="006140B9" w:rsidRPr="00012278" w14:paraId="4CCB0BE8" w14:textId="77777777" w:rsidTr="00183A6F">
        <w:tc>
          <w:tcPr>
            <w:tcW w:w="806" w:type="pct"/>
            <w:tcBorders>
              <w:top w:val="single" w:sz="6" w:space="0" w:color="000000"/>
              <w:left w:val="single" w:sz="6" w:space="0" w:color="000000"/>
              <w:bottom w:val="nil"/>
              <w:right w:val="single" w:sz="6" w:space="0" w:color="000000"/>
            </w:tcBorders>
          </w:tcPr>
          <w:p w14:paraId="06972A80" w14:textId="77777777" w:rsidR="006140B9" w:rsidRPr="00012278" w:rsidRDefault="006140B9" w:rsidP="0012640D">
            <w:pPr>
              <w:keepNext/>
              <w:rPr>
                <w:szCs w:val="22"/>
                <w:lang w:val="sr-Latn-ME"/>
              </w:rPr>
            </w:pPr>
          </w:p>
        </w:tc>
        <w:tc>
          <w:tcPr>
            <w:tcW w:w="4194" w:type="pct"/>
            <w:gridSpan w:val="5"/>
            <w:tcBorders>
              <w:top w:val="single" w:sz="6" w:space="0" w:color="000000"/>
              <w:left w:val="single" w:sz="6" w:space="0" w:color="000000"/>
              <w:bottom w:val="nil"/>
              <w:right w:val="single" w:sz="6" w:space="0" w:color="000000"/>
            </w:tcBorders>
            <w:hideMark/>
          </w:tcPr>
          <w:p w14:paraId="70461CC8" w14:textId="77777777" w:rsidR="006140B9" w:rsidRPr="00012278" w:rsidRDefault="006140B9" w:rsidP="005112A3">
            <w:pPr>
              <w:keepNext/>
              <w:jc w:val="center"/>
              <w:rPr>
                <w:szCs w:val="22"/>
                <w:lang w:val="sr-Latn-ME"/>
              </w:rPr>
            </w:pPr>
            <w:r w:rsidRPr="00012278">
              <w:rPr>
                <w:szCs w:val="22"/>
                <w:lang w:val="sr-Latn-ME"/>
              </w:rPr>
              <w:t>Doza 1250 mg/m</w:t>
            </w:r>
            <w:r w:rsidRPr="00012278">
              <w:rPr>
                <w:szCs w:val="22"/>
                <w:vertAlign w:val="superscript"/>
                <w:lang w:val="sr-Latn-ME"/>
              </w:rPr>
              <w:t>2</w:t>
            </w:r>
            <w:r w:rsidRPr="00012278">
              <w:rPr>
                <w:szCs w:val="22"/>
                <w:lang w:val="sr-Latn-ME"/>
              </w:rPr>
              <w:t xml:space="preserve"> (dva puta dnevno)</w:t>
            </w:r>
          </w:p>
        </w:tc>
      </w:tr>
      <w:tr w:rsidR="006140B9" w:rsidRPr="00012278" w14:paraId="5F1A9972" w14:textId="77777777" w:rsidTr="00183A6F">
        <w:tc>
          <w:tcPr>
            <w:tcW w:w="806" w:type="pct"/>
            <w:tcBorders>
              <w:top w:val="single" w:sz="6" w:space="0" w:color="000000"/>
              <w:left w:val="single" w:sz="6" w:space="0" w:color="000000"/>
              <w:bottom w:val="nil"/>
              <w:right w:val="single" w:sz="6" w:space="0" w:color="000000"/>
            </w:tcBorders>
          </w:tcPr>
          <w:p w14:paraId="2494A8D0" w14:textId="77777777" w:rsidR="006140B9" w:rsidRPr="00012278" w:rsidRDefault="006140B9" w:rsidP="0012640D">
            <w:pPr>
              <w:keepNext/>
              <w:rPr>
                <w:szCs w:val="22"/>
                <w:lang w:val="sr-Latn-ME"/>
              </w:rPr>
            </w:pPr>
          </w:p>
        </w:tc>
        <w:tc>
          <w:tcPr>
            <w:tcW w:w="868" w:type="pct"/>
            <w:tcBorders>
              <w:top w:val="single" w:sz="6" w:space="0" w:color="000000"/>
              <w:left w:val="single" w:sz="6" w:space="0" w:color="000000"/>
              <w:bottom w:val="nil"/>
              <w:right w:val="single" w:sz="6" w:space="0" w:color="000000"/>
            </w:tcBorders>
          </w:tcPr>
          <w:p w14:paraId="761CEBC1" w14:textId="77777777" w:rsidR="006140B9" w:rsidRPr="00012278" w:rsidRDefault="006140B9" w:rsidP="005112A3">
            <w:pPr>
              <w:keepNext/>
              <w:jc w:val="center"/>
              <w:rPr>
                <w:szCs w:val="22"/>
                <w:lang w:val="sr-Latn-ME"/>
              </w:rPr>
            </w:pPr>
          </w:p>
          <w:p w14:paraId="4E8D5428" w14:textId="77777777" w:rsidR="006140B9" w:rsidRPr="00012278" w:rsidRDefault="006140B9" w:rsidP="005112A3">
            <w:pPr>
              <w:keepNext/>
              <w:jc w:val="center"/>
              <w:rPr>
                <w:szCs w:val="22"/>
                <w:lang w:val="sr-Latn-ME"/>
              </w:rPr>
            </w:pPr>
            <w:r w:rsidRPr="00012278">
              <w:rPr>
                <w:szCs w:val="22"/>
                <w:lang w:val="sr-Latn-ME"/>
              </w:rPr>
              <w:t>Puna doza</w:t>
            </w:r>
          </w:p>
          <w:p w14:paraId="1EE264EA" w14:textId="77777777" w:rsidR="006140B9" w:rsidRPr="00012278" w:rsidRDefault="006140B9" w:rsidP="005112A3">
            <w:pPr>
              <w:keepNext/>
              <w:jc w:val="center"/>
              <w:rPr>
                <w:szCs w:val="22"/>
                <w:lang w:val="sr-Latn-ME"/>
              </w:rPr>
            </w:pPr>
          </w:p>
          <w:p w14:paraId="6E462B70" w14:textId="77777777" w:rsidR="006140B9" w:rsidRPr="00012278" w:rsidRDefault="006140B9" w:rsidP="005112A3">
            <w:pPr>
              <w:keepNext/>
              <w:jc w:val="center"/>
              <w:rPr>
                <w:szCs w:val="22"/>
                <w:lang w:val="sr-Latn-ME"/>
              </w:rPr>
            </w:pPr>
            <w:r w:rsidRPr="00012278">
              <w:rPr>
                <w:szCs w:val="22"/>
                <w:lang w:val="sr-Latn-ME"/>
              </w:rPr>
              <w:t>1250 mg/m</w:t>
            </w:r>
            <w:r w:rsidRPr="00012278">
              <w:rPr>
                <w:szCs w:val="22"/>
                <w:vertAlign w:val="superscript"/>
                <w:lang w:val="sr-Latn-ME"/>
              </w:rPr>
              <w:t>2</w:t>
            </w:r>
          </w:p>
        </w:tc>
        <w:tc>
          <w:tcPr>
            <w:tcW w:w="1488" w:type="pct"/>
            <w:gridSpan w:val="2"/>
            <w:tcBorders>
              <w:top w:val="single" w:sz="6" w:space="0" w:color="000000"/>
              <w:left w:val="single" w:sz="6" w:space="0" w:color="000000"/>
              <w:bottom w:val="nil"/>
              <w:right w:val="single" w:sz="6" w:space="0" w:color="000000"/>
            </w:tcBorders>
            <w:hideMark/>
          </w:tcPr>
          <w:p w14:paraId="14FD5E01" w14:textId="77777777" w:rsidR="006140B9" w:rsidRPr="00012278" w:rsidRDefault="006140B9" w:rsidP="005112A3">
            <w:pPr>
              <w:keepNext/>
              <w:jc w:val="center"/>
              <w:rPr>
                <w:szCs w:val="22"/>
                <w:lang w:val="sr-Latn-ME"/>
              </w:rPr>
            </w:pPr>
            <w:r w:rsidRPr="00012278">
              <w:rPr>
                <w:szCs w:val="22"/>
                <w:lang w:val="sr-Latn-ME"/>
              </w:rPr>
              <w:t>Broj tableta od 150 mg i/ili 500 mg po jednoj primjeni lijeka (svaka doza se uzima ujutru i uveče)</w:t>
            </w:r>
          </w:p>
        </w:tc>
        <w:tc>
          <w:tcPr>
            <w:tcW w:w="992" w:type="pct"/>
            <w:tcBorders>
              <w:top w:val="single" w:sz="6" w:space="0" w:color="000000"/>
              <w:left w:val="single" w:sz="6" w:space="0" w:color="000000"/>
              <w:bottom w:val="nil"/>
              <w:right w:val="single" w:sz="6" w:space="0" w:color="000000"/>
            </w:tcBorders>
          </w:tcPr>
          <w:p w14:paraId="570BF8A5" w14:textId="77777777" w:rsidR="006140B9" w:rsidRPr="00012278" w:rsidRDefault="006140B9" w:rsidP="005112A3">
            <w:pPr>
              <w:keepNext/>
              <w:jc w:val="center"/>
              <w:rPr>
                <w:szCs w:val="22"/>
                <w:lang w:val="sr-Latn-ME"/>
              </w:rPr>
            </w:pPr>
            <w:r w:rsidRPr="00012278">
              <w:rPr>
                <w:szCs w:val="22"/>
                <w:lang w:val="sr-Latn-ME"/>
              </w:rPr>
              <w:t>Smanjena doza (75 %)</w:t>
            </w:r>
          </w:p>
          <w:p w14:paraId="014EB932" w14:textId="77777777" w:rsidR="006140B9" w:rsidRPr="00012278" w:rsidRDefault="006140B9" w:rsidP="005112A3">
            <w:pPr>
              <w:keepNext/>
              <w:jc w:val="center"/>
              <w:rPr>
                <w:szCs w:val="22"/>
                <w:lang w:val="sr-Latn-ME"/>
              </w:rPr>
            </w:pPr>
          </w:p>
          <w:p w14:paraId="4423722E" w14:textId="77777777" w:rsidR="006140B9" w:rsidRPr="00012278" w:rsidRDefault="006140B9" w:rsidP="005112A3">
            <w:pPr>
              <w:keepNext/>
              <w:jc w:val="center"/>
              <w:rPr>
                <w:szCs w:val="22"/>
                <w:vertAlign w:val="superscript"/>
                <w:lang w:val="sr-Latn-ME"/>
              </w:rPr>
            </w:pPr>
            <w:r w:rsidRPr="00012278">
              <w:rPr>
                <w:szCs w:val="22"/>
                <w:lang w:val="sr-Latn-ME"/>
              </w:rPr>
              <w:t>950 mg/m</w:t>
            </w:r>
            <w:r w:rsidRPr="00012278">
              <w:rPr>
                <w:szCs w:val="22"/>
                <w:vertAlign w:val="superscript"/>
                <w:lang w:val="sr-Latn-ME"/>
              </w:rPr>
              <w:t>2</w:t>
            </w:r>
          </w:p>
        </w:tc>
        <w:tc>
          <w:tcPr>
            <w:tcW w:w="846" w:type="pct"/>
            <w:tcBorders>
              <w:top w:val="single" w:sz="6" w:space="0" w:color="000000"/>
              <w:left w:val="single" w:sz="6" w:space="0" w:color="000000"/>
              <w:bottom w:val="nil"/>
              <w:right w:val="single" w:sz="6" w:space="0" w:color="000000"/>
            </w:tcBorders>
          </w:tcPr>
          <w:p w14:paraId="1EE01F56" w14:textId="77777777" w:rsidR="006140B9" w:rsidRPr="00012278" w:rsidRDefault="006140B9" w:rsidP="005112A3">
            <w:pPr>
              <w:keepNext/>
              <w:jc w:val="center"/>
              <w:rPr>
                <w:szCs w:val="22"/>
                <w:lang w:val="sr-Latn-ME"/>
              </w:rPr>
            </w:pPr>
            <w:r w:rsidRPr="00012278">
              <w:rPr>
                <w:szCs w:val="22"/>
                <w:lang w:val="sr-Latn-ME"/>
              </w:rPr>
              <w:t>Smanjena doza</w:t>
            </w:r>
          </w:p>
          <w:p w14:paraId="171EF645" w14:textId="77777777" w:rsidR="006140B9" w:rsidRPr="00012278" w:rsidRDefault="006140B9" w:rsidP="005112A3">
            <w:pPr>
              <w:keepNext/>
              <w:jc w:val="center"/>
              <w:rPr>
                <w:szCs w:val="22"/>
                <w:lang w:val="sr-Latn-ME"/>
              </w:rPr>
            </w:pPr>
            <w:r w:rsidRPr="00012278">
              <w:rPr>
                <w:szCs w:val="22"/>
                <w:lang w:val="sr-Latn-ME"/>
              </w:rPr>
              <w:t>(50 %)</w:t>
            </w:r>
          </w:p>
          <w:p w14:paraId="19DA683F" w14:textId="77777777" w:rsidR="006140B9" w:rsidRPr="00012278" w:rsidRDefault="006140B9" w:rsidP="005112A3">
            <w:pPr>
              <w:keepNext/>
              <w:jc w:val="center"/>
              <w:rPr>
                <w:szCs w:val="22"/>
                <w:lang w:val="sr-Latn-ME"/>
              </w:rPr>
            </w:pPr>
          </w:p>
          <w:p w14:paraId="6ADDEEAF" w14:textId="77777777" w:rsidR="006140B9" w:rsidRPr="00012278" w:rsidRDefault="006140B9" w:rsidP="005112A3">
            <w:pPr>
              <w:keepNext/>
              <w:jc w:val="center"/>
              <w:rPr>
                <w:szCs w:val="22"/>
                <w:lang w:val="sr-Latn-ME"/>
              </w:rPr>
            </w:pPr>
            <w:r w:rsidRPr="00012278">
              <w:rPr>
                <w:szCs w:val="22"/>
                <w:lang w:val="sr-Latn-ME"/>
              </w:rPr>
              <w:t>625 mg/m</w:t>
            </w:r>
            <w:r w:rsidRPr="00012278">
              <w:rPr>
                <w:szCs w:val="22"/>
                <w:vertAlign w:val="superscript"/>
                <w:lang w:val="sr-Latn-ME"/>
              </w:rPr>
              <w:t>2</w:t>
            </w:r>
          </w:p>
        </w:tc>
      </w:tr>
      <w:tr w:rsidR="006140B9" w:rsidRPr="00012278" w14:paraId="02D230F9" w14:textId="77777777" w:rsidTr="00183A6F">
        <w:tc>
          <w:tcPr>
            <w:tcW w:w="806" w:type="pct"/>
            <w:tcBorders>
              <w:top w:val="single" w:sz="6" w:space="0" w:color="000000"/>
              <w:left w:val="single" w:sz="6" w:space="0" w:color="000000"/>
              <w:bottom w:val="single" w:sz="6" w:space="0" w:color="000000"/>
              <w:right w:val="single" w:sz="6" w:space="0" w:color="000000"/>
            </w:tcBorders>
            <w:hideMark/>
          </w:tcPr>
          <w:p w14:paraId="1A7D9D95" w14:textId="77777777" w:rsidR="006140B9" w:rsidRPr="00012278" w:rsidRDefault="006140B9" w:rsidP="0012640D">
            <w:pPr>
              <w:keepNext/>
              <w:rPr>
                <w:szCs w:val="22"/>
                <w:lang w:val="sr-Latn-ME"/>
              </w:rPr>
            </w:pPr>
            <w:r w:rsidRPr="00012278">
              <w:rPr>
                <w:szCs w:val="22"/>
                <w:lang w:val="sr-Latn-ME"/>
              </w:rPr>
              <w:t>Tjelesna površina (m</w:t>
            </w:r>
            <w:r w:rsidRPr="00012278">
              <w:rPr>
                <w:szCs w:val="22"/>
                <w:vertAlign w:val="superscript"/>
                <w:lang w:val="sr-Latn-ME"/>
              </w:rPr>
              <w:t>2</w:t>
            </w:r>
            <w:r w:rsidRPr="00012278">
              <w:rPr>
                <w:szCs w:val="22"/>
                <w:lang w:val="sr-Latn-ME"/>
              </w:rPr>
              <w:t>)</w:t>
            </w:r>
          </w:p>
        </w:tc>
        <w:tc>
          <w:tcPr>
            <w:tcW w:w="868" w:type="pct"/>
            <w:tcBorders>
              <w:top w:val="single" w:sz="6" w:space="0" w:color="000000"/>
              <w:left w:val="single" w:sz="6" w:space="0" w:color="000000"/>
              <w:bottom w:val="single" w:sz="6" w:space="0" w:color="000000"/>
              <w:right w:val="single" w:sz="6" w:space="0" w:color="000000"/>
            </w:tcBorders>
            <w:hideMark/>
          </w:tcPr>
          <w:p w14:paraId="60131792" w14:textId="77777777" w:rsidR="006140B9" w:rsidRPr="00012278" w:rsidRDefault="006140B9" w:rsidP="005112A3">
            <w:pPr>
              <w:keepNext/>
              <w:jc w:val="center"/>
              <w:rPr>
                <w:szCs w:val="22"/>
                <w:lang w:val="sr-Latn-ME"/>
              </w:rPr>
            </w:pPr>
            <w:r w:rsidRPr="00012278">
              <w:rPr>
                <w:szCs w:val="22"/>
                <w:lang w:val="sr-Latn-ME"/>
              </w:rPr>
              <w:t>Doza po jednoj primjeni (mg)</w:t>
            </w:r>
          </w:p>
        </w:tc>
        <w:tc>
          <w:tcPr>
            <w:tcW w:w="753" w:type="pct"/>
            <w:tcBorders>
              <w:top w:val="single" w:sz="6" w:space="0" w:color="000000"/>
              <w:left w:val="single" w:sz="6" w:space="0" w:color="000000"/>
              <w:bottom w:val="single" w:sz="6" w:space="0" w:color="000000"/>
              <w:right w:val="single" w:sz="6" w:space="0" w:color="000000"/>
            </w:tcBorders>
            <w:hideMark/>
          </w:tcPr>
          <w:p w14:paraId="577C2FF4" w14:textId="77777777" w:rsidR="006140B9" w:rsidRPr="00012278" w:rsidRDefault="006140B9" w:rsidP="005112A3">
            <w:pPr>
              <w:keepNext/>
              <w:jc w:val="center"/>
              <w:rPr>
                <w:szCs w:val="22"/>
                <w:lang w:val="sr-Latn-ME"/>
              </w:rPr>
            </w:pPr>
          </w:p>
          <w:p w14:paraId="52487D67" w14:textId="77777777" w:rsidR="006140B9" w:rsidRPr="00012278" w:rsidRDefault="006140B9" w:rsidP="005112A3">
            <w:pPr>
              <w:keepNext/>
              <w:jc w:val="center"/>
              <w:rPr>
                <w:szCs w:val="22"/>
                <w:lang w:val="sr-Latn-ME"/>
              </w:rPr>
            </w:pPr>
            <w:r w:rsidRPr="00012278">
              <w:rPr>
                <w:szCs w:val="22"/>
                <w:lang w:val="sr-Latn-ME"/>
              </w:rPr>
              <w:t>150 mg</w:t>
            </w:r>
          </w:p>
        </w:tc>
        <w:tc>
          <w:tcPr>
            <w:tcW w:w="735" w:type="pct"/>
            <w:tcBorders>
              <w:top w:val="single" w:sz="6" w:space="0" w:color="000000"/>
              <w:left w:val="single" w:sz="6" w:space="0" w:color="000000"/>
              <w:bottom w:val="single" w:sz="6" w:space="0" w:color="000000"/>
              <w:right w:val="single" w:sz="6" w:space="0" w:color="000000"/>
            </w:tcBorders>
            <w:hideMark/>
          </w:tcPr>
          <w:p w14:paraId="41FFC97C" w14:textId="77777777" w:rsidR="006140B9" w:rsidRPr="00012278" w:rsidRDefault="006140B9" w:rsidP="005112A3">
            <w:pPr>
              <w:keepNext/>
              <w:jc w:val="center"/>
              <w:rPr>
                <w:szCs w:val="22"/>
                <w:lang w:val="sr-Latn-ME"/>
              </w:rPr>
            </w:pPr>
          </w:p>
          <w:p w14:paraId="0CE17790" w14:textId="77777777" w:rsidR="006140B9" w:rsidRPr="00012278" w:rsidRDefault="006140B9" w:rsidP="005112A3">
            <w:pPr>
              <w:keepNext/>
              <w:jc w:val="center"/>
              <w:rPr>
                <w:szCs w:val="22"/>
                <w:lang w:val="sr-Latn-ME"/>
              </w:rPr>
            </w:pPr>
            <w:r w:rsidRPr="00012278">
              <w:rPr>
                <w:szCs w:val="22"/>
                <w:lang w:val="sr-Latn-ME"/>
              </w:rPr>
              <w:t>500 mg</w:t>
            </w:r>
          </w:p>
        </w:tc>
        <w:tc>
          <w:tcPr>
            <w:tcW w:w="992" w:type="pct"/>
            <w:tcBorders>
              <w:top w:val="single" w:sz="6" w:space="0" w:color="000000"/>
              <w:left w:val="single" w:sz="6" w:space="0" w:color="000000"/>
              <w:bottom w:val="single" w:sz="6" w:space="0" w:color="000000"/>
              <w:right w:val="single" w:sz="6" w:space="0" w:color="000000"/>
            </w:tcBorders>
            <w:hideMark/>
          </w:tcPr>
          <w:p w14:paraId="40B476CD" w14:textId="77777777" w:rsidR="006140B9" w:rsidRPr="00012278" w:rsidRDefault="006140B9" w:rsidP="005112A3">
            <w:pPr>
              <w:keepNext/>
              <w:jc w:val="center"/>
              <w:rPr>
                <w:szCs w:val="22"/>
                <w:lang w:val="sr-Latn-ME"/>
              </w:rPr>
            </w:pPr>
            <w:r w:rsidRPr="00012278">
              <w:rPr>
                <w:szCs w:val="22"/>
                <w:lang w:val="sr-Latn-ME"/>
              </w:rPr>
              <w:t>Doza po jednoj primjeni (mg)</w:t>
            </w:r>
          </w:p>
        </w:tc>
        <w:tc>
          <w:tcPr>
            <w:tcW w:w="846" w:type="pct"/>
            <w:tcBorders>
              <w:top w:val="single" w:sz="6" w:space="0" w:color="000000"/>
              <w:left w:val="single" w:sz="6" w:space="0" w:color="000000"/>
              <w:bottom w:val="single" w:sz="6" w:space="0" w:color="000000"/>
              <w:right w:val="single" w:sz="6" w:space="0" w:color="000000"/>
            </w:tcBorders>
            <w:hideMark/>
          </w:tcPr>
          <w:p w14:paraId="663E65BF" w14:textId="77777777" w:rsidR="006140B9" w:rsidRPr="00012278" w:rsidRDefault="006140B9" w:rsidP="005112A3">
            <w:pPr>
              <w:keepNext/>
              <w:jc w:val="center"/>
              <w:rPr>
                <w:szCs w:val="22"/>
                <w:lang w:val="sr-Latn-ME"/>
              </w:rPr>
            </w:pPr>
            <w:r w:rsidRPr="00012278">
              <w:rPr>
                <w:szCs w:val="22"/>
                <w:lang w:val="sr-Latn-ME"/>
              </w:rPr>
              <w:t>Doza po jednoj primjeni (mg)</w:t>
            </w:r>
          </w:p>
        </w:tc>
      </w:tr>
      <w:tr w:rsidR="006140B9" w:rsidRPr="00012278" w14:paraId="2D9A9BAD" w14:textId="77777777" w:rsidTr="00183A6F">
        <w:trPr>
          <w:trHeight w:val="246"/>
        </w:trPr>
        <w:tc>
          <w:tcPr>
            <w:tcW w:w="806" w:type="pct"/>
            <w:tcBorders>
              <w:top w:val="single" w:sz="6" w:space="0" w:color="000000"/>
              <w:left w:val="single" w:sz="6" w:space="0" w:color="000000"/>
              <w:bottom w:val="single" w:sz="6" w:space="0" w:color="000000"/>
              <w:right w:val="single" w:sz="6" w:space="0" w:color="000000"/>
            </w:tcBorders>
            <w:hideMark/>
          </w:tcPr>
          <w:p w14:paraId="54AD791A" w14:textId="77777777" w:rsidR="006140B9" w:rsidRPr="00012278" w:rsidRDefault="006140B9" w:rsidP="0012640D">
            <w:pPr>
              <w:keepNext/>
              <w:rPr>
                <w:szCs w:val="22"/>
                <w:lang w:val="sr-Latn-ME"/>
              </w:rPr>
            </w:pPr>
            <w:r w:rsidRPr="00012278">
              <w:rPr>
                <w:szCs w:val="22"/>
                <w:lang w:val="sr-Latn-ME"/>
              </w:rPr>
              <w:sym w:font="Symbol" w:char="F0A3"/>
            </w:r>
            <w:r w:rsidRPr="00012278">
              <w:rPr>
                <w:szCs w:val="22"/>
                <w:lang w:val="sr-Latn-ME"/>
              </w:rPr>
              <w:t> 1,26</w:t>
            </w:r>
          </w:p>
        </w:tc>
        <w:tc>
          <w:tcPr>
            <w:tcW w:w="868" w:type="pct"/>
            <w:tcBorders>
              <w:top w:val="single" w:sz="6" w:space="0" w:color="000000"/>
              <w:left w:val="single" w:sz="6" w:space="0" w:color="000000"/>
              <w:bottom w:val="single" w:sz="6" w:space="0" w:color="000000"/>
              <w:right w:val="single" w:sz="6" w:space="0" w:color="000000"/>
            </w:tcBorders>
            <w:hideMark/>
          </w:tcPr>
          <w:p w14:paraId="1E0BC094" w14:textId="77777777" w:rsidR="006140B9" w:rsidRPr="00012278" w:rsidRDefault="006140B9" w:rsidP="005112A3">
            <w:pPr>
              <w:keepNext/>
              <w:jc w:val="center"/>
              <w:rPr>
                <w:szCs w:val="22"/>
                <w:lang w:val="sr-Latn-ME"/>
              </w:rPr>
            </w:pPr>
            <w:r w:rsidRPr="00012278">
              <w:rPr>
                <w:szCs w:val="22"/>
                <w:lang w:val="sr-Latn-ME"/>
              </w:rPr>
              <w:t>1500</w:t>
            </w:r>
          </w:p>
        </w:tc>
        <w:tc>
          <w:tcPr>
            <w:tcW w:w="753" w:type="pct"/>
            <w:tcBorders>
              <w:top w:val="single" w:sz="6" w:space="0" w:color="000000"/>
              <w:left w:val="single" w:sz="6" w:space="0" w:color="000000"/>
              <w:bottom w:val="single" w:sz="6" w:space="0" w:color="000000"/>
              <w:right w:val="single" w:sz="6" w:space="0" w:color="000000"/>
            </w:tcBorders>
            <w:hideMark/>
          </w:tcPr>
          <w:p w14:paraId="43E7A7FC" w14:textId="77777777" w:rsidR="006140B9" w:rsidRPr="00012278" w:rsidRDefault="006140B9" w:rsidP="005112A3">
            <w:pPr>
              <w:keepNext/>
              <w:jc w:val="center"/>
              <w:rPr>
                <w:szCs w:val="22"/>
                <w:lang w:val="sr-Latn-ME"/>
              </w:rPr>
            </w:pPr>
            <w:r w:rsidRPr="00012278">
              <w:rPr>
                <w:szCs w:val="22"/>
                <w:lang w:val="sr-Latn-ME"/>
              </w:rPr>
              <w:t>-</w:t>
            </w:r>
          </w:p>
        </w:tc>
        <w:tc>
          <w:tcPr>
            <w:tcW w:w="735" w:type="pct"/>
            <w:tcBorders>
              <w:top w:val="single" w:sz="6" w:space="0" w:color="000000"/>
              <w:left w:val="single" w:sz="6" w:space="0" w:color="000000"/>
              <w:bottom w:val="single" w:sz="6" w:space="0" w:color="000000"/>
              <w:right w:val="single" w:sz="6" w:space="0" w:color="000000"/>
            </w:tcBorders>
            <w:hideMark/>
          </w:tcPr>
          <w:p w14:paraId="29244D8F" w14:textId="77777777" w:rsidR="006140B9" w:rsidRPr="00012278" w:rsidRDefault="006140B9" w:rsidP="005112A3">
            <w:pPr>
              <w:keepNext/>
              <w:jc w:val="center"/>
              <w:rPr>
                <w:szCs w:val="22"/>
                <w:lang w:val="sr-Latn-ME"/>
              </w:rPr>
            </w:pPr>
            <w:r w:rsidRPr="00012278">
              <w:rPr>
                <w:szCs w:val="22"/>
                <w:lang w:val="sr-Latn-ME"/>
              </w:rPr>
              <w:t>3</w:t>
            </w:r>
          </w:p>
        </w:tc>
        <w:tc>
          <w:tcPr>
            <w:tcW w:w="992" w:type="pct"/>
            <w:tcBorders>
              <w:top w:val="single" w:sz="6" w:space="0" w:color="000000"/>
              <w:left w:val="single" w:sz="6" w:space="0" w:color="000000"/>
              <w:bottom w:val="single" w:sz="6" w:space="0" w:color="000000"/>
              <w:right w:val="single" w:sz="6" w:space="0" w:color="000000"/>
            </w:tcBorders>
            <w:hideMark/>
          </w:tcPr>
          <w:p w14:paraId="70C026B6" w14:textId="77777777" w:rsidR="006140B9" w:rsidRPr="00012278" w:rsidRDefault="006140B9" w:rsidP="005112A3">
            <w:pPr>
              <w:keepNext/>
              <w:jc w:val="center"/>
              <w:rPr>
                <w:szCs w:val="22"/>
                <w:lang w:val="sr-Latn-ME"/>
              </w:rPr>
            </w:pPr>
            <w:r w:rsidRPr="00012278">
              <w:rPr>
                <w:szCs w:val="22"/>
                <w:lang w:val="sr-Latn-ME"/>
              </w:rPr>
              <w:t>1150</w:t>
            </w:r>
          </w:p>
        </w:tc>
        <w:tc>
          <w:tcPr>
            <w:tcW w:w="846" w:type="pct"/>
            <w:tcBorders>
              <w:top w:val="single" w:sz="6" w:space="0" w:color="000000"/>
              <w:left w:val="single" w:sz="6" w:space="0" w:color="000000"/>
              <w:bottom w:val="single" w:sz="6" w:space="0" w:color="000000"/>
              <w:right w:val="single" w:sz="6" w:space="0" w:color="000000"/>
            </w:tcBorders>
            <w:hideMark/>
          </w:tcPr>
          <w:p w14:paraId="169A0410" w14:textId="77777777" w:rsidR="006140B9" w:rsidRPr="00012278" w:rsidRDefault="006140B9" w:rsidP="005112A3">
            <w:pPr>
              <w:keepNext/>
              <w:jc w:val="center"/>
              <w:rPr>
                <w:szCs w:val="22"/>
                <w:lang w:val="sr-Latn-ME"/>
              </w:rPr>
            </w:pPr>
            <w:r w:rsidRPr="00012278">
              <w:rPr>
                <w:szCs w:val="22"/>
                <w:lang w:val="sr-Latn-ME"/>
              </w:rPr>
              <w:t>800</w:t>
            </w:r>
          </w:p>
        </w:tc>
      </w:tr>
      <w:tr w:rsidR="006140B9" w:rsidRPr="00012278" w14:paraId="13F94BB7" w14:textId="77777777" w:rsidTr="00183A6F">
        <w:tc>
          <w:tcPr>
            <w:tcW w:w="806" w:type="pct"/>
            <w:tcBorders>
              <w:top w:val="single" w:sz="6" w:space="0" w:color="000000"/>
              <w:left w:val="single" w:sz="6" w:space="0" w:color="000000"/>
              <w:bottom w:val="single" w:sz="6" w:space="0" w:color="000000"/>
              <w:right w:val="single" w:sz="6" w:space="0" w:color="000000"/>
            </w:tcBorders>
            <w:hideMark/>
          </w:tcPr>
          <w:p w14:paraId="1F5308BA" w14:textId="77777777" w:rsidR="006140B9" w:rsidRPr="00012278" w:rsidRDefault="006140B9" w:rsidP="0012640D">
            <w:pPr>
              <w:keepNext/>
              <w:rPr>
                <w:szCs w:val="22"/>
                <w:lang w:val="sr-Latn-ME"/>
              </w:rPr>
            </w:pPr>
            <w:r w:rsidRPr="00012278">
              <w:rPr>
                <w:szCs w:val="22"/>
                <w:lang w:val="sr-Latn-ME"/>
              </w:rPr>
              <w:t>1,27–1,38</w:t>
            </w:r>
          </w:p>
        </w:tc>
        <w:tc>
          <w:tcPr>
            <w:tcW w:w="868" w:type="pct"/>
            <w:tcBorders>
              <w:top w:val="single" w:sz="6" w:space="0" w:color="000000"/>
              <w:left w:val="single" w:sz="6" w:space="0" w:color="000000"/>
              <w:bottom w:val="single" w:sz="6" w:space="0" w:color="000000"/>
              <w:right w:val="single" w:sz="6" w:space="0" w:color="000000"/>
            </w:tcBorders>
            <w:hideMark/>
          </w:tcPr>
          <w:p w14:paraId="4F8288FB" w14:textId="77777777" w:rsidR="006140B9" w:rsidRPr="00012278" w:rsidRDefault="006140B9" w:rsidP="005112A3">
            <w:pPr>
              <w:keepNext/>
              <w:jc w:val="center"/>
              <w:rPr>
                <w:szCs w:val="22"/>
                <w:lang w:val="sr-Latn-ME"/>
              </w:rPr>
            </w:pPr>
            <w:r w:rsidRPr="00012278">
              <w:rPr>
                <w:szCs w:val="22"/>
                <w:lang w:val="sr-Latn-ME"/>
              </w:rPr>
              <w:t>1650</w:t>
            </w:r>
          </w:p>
        </w:tc>
        <w:tc>
          <w:tcPr>
            <w:tcW w:w="753" w:type="pct"/>
            <w:tcBorders>
              <w:top w:val="single" w:sz="6" w:space="0" w:color="000000"/>
              <w:left w:val="single" w:sz="6" w:space="0" w:color="000000"/>
              <w:bottom w:val="single" w:sz="6" w:space="0" w:color="000000"/>
              <w:right w:val="single" w:sz="6" w:space="0" w:color="000000"/>
            </w:tcBorders>
            <w:hideMark/>
          </w:tcPr>
          <w:p w14:paraId="5DCDF4FA" w14:textId="77777777" w:rsidR="006140B9" w:rsidRPr="00012278" w:rsidRDefault="006140B9" w:rsidP="005112A3">
            <w:pPr>
              <w:keepNext/>
              <w:jc w:val="center"/>
              <w:rPr>
                <w:szCs w:val="22"/>
                <w:lang w:val="sr-Latn-ME"/>
              </w:rPr>
            </w:pPr>
            <w:r w:rsidRPr="00012278">
              <w:rPr>
                <w:szCs w:val="22"/>
                <w:lang w:val="sr-Latn-ME"/>
              </w:rPr>
              <w:t>1</w:t>
            </w:r>
          </w:p>
        </w:tc>
        <w:tc>
          <w:tcPr>
            <w:tcW w:w="735" w:type="pct"/>
            <w:tcBorders>
              <w:top w:val="single" w:sz="6" w:space="0" w:color="000000"/>
              <w:left w:val="single" w:sz="6" w:space="0" w:color="000000"/>
              <w:bottom w:val="single" w:sz="6" w:space="0" w:color="000000"/>
              <w:right w:val="single" w:sz="6" w:space="0" w:color="000000"/>
            </w:tcBorders>
          </w:tcPr>
          <w:p w14:paraId="413BF4F6" w14:textId="77777777" w:rsidR="006140B9" w:rsidRPr="00012278" w:rsidRDefault="006140B9" w:rsidP="005112A3">
            <w:pPr>
              <w:keepNext/>
              <w:jc w:val="center"/>
              <w:rPr>
                <w:szCs w:val="22"/>
                <w:lang w:val="sr-Latn-ME"/>
              </w:rPr>
            </w:pPr>
            <w:r w:rsidRPr="00012278">
              <w:rPr>
                <w:szCs w:val="22"/>
                <w:lang w:val="sr-Latn-ME"/>
              </w:rPr>
              <w:t>3</w:t>
            </w:r>
          </w:p>
        </w:tc>
        <w:tc>
          <w:tcPr>
            <w:tcW w:w="992" w:type="pct"/>
            <w:tcBorders>
              <w:top w:val="single" w:sz="6" w:space="0" w:color="000000"/>
              <w:left w:val="single" w:sz="6" w:space="0" w:color="000000"/>
              <w:bottom w:val="single" w:sz="6" w:space="0" w:color="000000"/>
              <w:right w:val="single" w:sz="6" w:space="0" w:color="000000"/>
            </w:tcBorders>
            <w:hideMark/>
          </w:tcPr>
          <w:p w14:paraId="3431488D" w14:textId="77777777" w:rsidR="006140B9" w:rsidRPr="00012278" w:rsidRDefault="006140B9" w:rsidP="005112A3">
            <w:pPr>
              <w:keepNext/>
              <w:jc w:val="center"/>
              <w:rPr>
                <w:szCs w:val="22"/>
                <w:lang w:val="sr-Latn-ME"/>
              </w:rPr>
            </w:pPr>
            <w:r w:rsidRPr="00012278">
              <w:rPr>
                <w:szCs w:val="22"/>
                <w:lang w:val="sr-Latn-ME"/>
              </w:rPr>
              <w:t>1300</w:t>
            </w:r>
          </w:p>
        </w:tc>
        <w:tc>
          <w:tcPr>
            <w:tcW w:w="846" w:type="pct"/>
            <w:tcBorders>
              <w:top w:val="single" w:sz="6" w:space="0" w:color="000000"/>
              <w:left w:val="single" w:sz="6" w:space="0" w:color="000000"/>
              <w:bottom w:val="single" w:sz="6" w:space="0" w:color="000000"/>
              <w:right w:val="single" w:sz="6" w:space="0" w:color="000000"/>
            </w:tcBorders>
            <w:hideMark/>
          </w:tcPr>
          <w:p w14:paraId="61B91220" w14:textId="77777777" w:rsidR="006140B9" w:rsidRPr="00012278" w:rsidRDefault="006140B9" w:rsidP="005112A3">
            <w:pPr>
              <w:keepNext/>
              <w:jc w:val="center"/>
              <w:rPr>
                <w:szCs w:val="22"/>
                <w:lang w:val="sr-Latn-ME"/>
              </w:rPr>
            </w:pPr>
            <w:r w:rsidRPr="00012278">
              <w:rPr>
                <w:szCs w:val="22"/>
                <w:lang w:val="sr-Latn-ME"/>
              </w:rPr>
              <w:t>800</w:t>
            </w:r>
          </w:p>
        </w:tc>
      </w:tr>
      <w:tr w:rsidR="006140B9" w:rsidRPr="00012278" w14:paraId="379C7354" w14:textId="77777777" w:rsidTr="00183A6F">
        <w:tc>
          <w:tcPr>
            <w:tcW w:w="806" w:type="pct"/>
            <w:tcBorders>
              <w:top w:val="single" w:sz="6" w:space="0" w:color="000000"/>
              <w:left w:val="single" w:sz="6" w:space="0" w:color="000000"/>
              <w:bottom w:val="single" w:sz="6" w:space="0" w:color="000000"/>
              <w:right w:val="single" w:sz="6" w:space="0" w:color="000000"/>
            </w:tcBorders>
            <w:hideMark/>
          </w:tcPr>
          <w:p w14:paraId="5DDA6925" w14:textId="77777777" w:rsidR="006140B9" w:rsidRPr="00012278" w:rsidRDefault="006140B9" w:rsidP="0012640D">
            <w:pPr>
              <w:keepNext/>
              <w:rPr>
                <w:szCs w:val="22"/>
                <w:lang w:val="sr-Latn-ME"/>
              </w:rPr>
            </w:pPr>
            <w:r w:rsidRPr="00012278">
              <w:rPr>
                <w:szCs w:val="22"/>
                <w:lang w:val="sr-Latn-ME"/>
              </w:rPr>
              <w:t>1,39–1,52</w:t>
            </w:r>
          </w:p>
        </w:tc>
        <w:tc>
          <w:tcPr>
            <w:tcW w:w="868" w:type="pct"/>
            <w:tcBorders>
              <w:top w:val="single" w:sz="6" w:space="0" w:color="000000"/>
              <w:left w:val="single" w:sz="6" w:space="0" w:color="000000"/>
              <w:bottom w:val="single" w:sz="6" w:space="0" w:color="000000"/>
              <w:right w:val="single" w:sz="6" w:space="0" w:color="000000"/>
            </w:tcBorders>
            <w:hideMark/>
          </w:tcPr>
          <w:p w14:paraId="1F009D17" w14:textId="77777777" w:rsidR="006140B9" w:rsidRPr="00012278" w:rsidRDefault="006140B9" w:rsidP="005112A3">
            <w:pPr>
              <w:keepNext/>
              <w:jc w:val="center"/>
              <w:rPr>
                <w:szCs w:val="22"/>
                <w:lang w:val="sr-Latn-ME"/>
              </w:rPr>
            </w:pPr>
            <w:r w:rsidRPr="00012278">
              <w:rPr>
                <w:szCs w:val="22"/>
                <w:lang w:val="sr-Latn-ME"/>
              </w:rPr>
              <w:t>1800</w:t>
            </w:r>
          </w:p>
        </w:tc>
        <w:tc>
          <w:tcPr>
            <w:tcW w:w="753" w:type="pct"/>
            <w:tcBorders>
              <w:top w:val="single" w:sz="6" w:space="0" w:color="000000"/>
              <w:left w:val="single" w:sz="6" w:space="0" w:color="000000"/>
              <w:bottom w:val="single" w:sz="6" w:space="0" w:color="000000"/>
              <w:right w:val="single" w:sz="6" w:space="0" w:color="000000"/>
            </w:tcBorders>
            <w:hideMark/>
          </w:tcPr>
          <w:p w14:paraId="75973D5D" w14:textId="77777777" w:rsidR="006140B9" w:rsidRPr="00012278" w:rsidRDefault="006140B9" w:rsidP="005112A3">
            <w:pPr>
              <w:keepNext/>
              <w:jc w:val="center"/>
              <w:rPr>
                <w:szCs w:val="22"/>
                <w:lang w:val="sr-Latn-ME"/>
              </w:rPr>
            </w:pPr>
            <w:r w:rsidRPr="00012278">
              <w:rPr>
                <w:szCs w:val="22"/>
                <w:lang w:val="sr-Latn-ME"/>
              </w:rPr>
              <w:t>2</w:t>
            </w:r>
          </w:p>
        </w:tc>
        <w:tc>
          <w:tcPr>
            <w:tcW w:w="735" w:type="pct"/>
            <w:tcBorders>
              <w:top w:val="single" w:sz="6" w:space="0" w:color="000000"/>
              <w:left w:val="single" w:sz="6" w:space="0" w:color="000000"/>
              <w:bottom w:val="single" w:sz="6" w:space="0" w:color="000000"/>
              <w:right w:val="single" w:sz="6" w:space="0" w:color="000000"/>
            </w:tcBorders>
          </w:tcPr>
          <w:p w14:paraId="461A19F6" w14:textId="77777777" w:rsidR="006140B9" w:rsidRPr="00012278" w:rsidRDefault="006140B9" w:rsidP="005112A3">
            <w:pPr>
              <w:keepNext/>
              <w:jc w:val="center"/>
              <w:rPr>
                <w:szCs w:val="22"/>
                <w:lang w:val="sr-Latn-ME"/>
              </w:rPr>
            </w:pPr>
            <w:r w:rsidRPr="00012278">
              <w:rPr>
                <w:szCs w:val="22"/>
                <w:lang w:val="sr-Latn-ME"/>
              </w:rPr>
              <w:t>3</w:t>
            </w:r>
          </w:p>
        </w:tc>
        <w:tc>
          <w:tcPr>
            <w:tcW w:w="992" w:type="pct"/>
            <w:tcBorders>
              <w:top w:val="single" w:sz="6" w:space="0" w:color="000000"/>
              <w:left w:val="single" w:sz="6" w:space="0" w:color="000000"/>
              <w:bottom w:val="single" w:sz="6" w:space="0" w:color="000000"/>
              <w:right w:val="single" w:sz="6" w:space="0" w:color="000000"/>
            </w:tcBorders>
            <w:hideMark/>
          </w:tcPr>
          <w:p w14:paraId="7262D1E6" w14:textId="77777777" w:rsidR="006140B9" w:rsidRPr="00012278" w:rsidRDefault="006140B9" w:rsidP="005112A3">
            <w:pPr>
              <w:keepNext/>
              <w:jc w:val="center"/>
              <w:rPr>
                <w:szCs w:val="22"/>
                <w:lang w:val="sr-Latn-ME"/>
              </w:rPr>
            </w:pPr>
            <w:r w:rsidRPr="00012278">
              <w:rPr>
                <w:szCs w:val="22"/>
                <w:lang w:val="sr-Latn-ME"/>
              </w:rPr>
              <w:t>1450</w:t>
            </w:r>
          </w:p>
        </w:tc>
        <w:tc>
          <w:tcPr>
            <w:tcW w:w="846" w:type="pct"/>
            <w:tcBorders>
              <w:top w:val="single" w:sz="6" w:space="0" w:color="000000"/>
              <w:left w:val="single" w:sz="6" w:space="0" w:color="000000"/>
              <w:bottom w:val="single" w:sz="6" w:space="0" w:color="000000"/>
              <w:right w:val="single" w:sz="6" w:space="0" w:color="000000"/>
            </w:tcBorders>
            <w:hideMark/>
          </w:tcPr>
          <w:p w14:paraId="541B5519" w14:textId="77777777" w:rsidR="006140B9" w:rsidRPr="00012278" w:rsidRDefault="006140B9" w:rsidP="005112A3">
            <w:pPr>
              <w:keepNext/>
              <w:jc w:val="center"/>
              <w:rPr>
                <w:szCs w:val="22"/>
                <w:lang w:val="sr-Latn-ME"/>
              </w:rPr>
            </w:pPr>
            <w:r w:rsidRPr="00012278">
              <w:rPr>
                <w:szCs w:val="22"/>
                <w:lang w:val="sr-Latn-ME"/>
              </w:rPr>
              <w:t>950</w:t>
            </w:r>
          </w:p>
        </w:tc>
      </w:tr>
      <w:tr w:rsidR="006140B9" w:rsidRPr="00012278" w14:paraId="28029089" w14:textId="77777777" w:rsidTr="00183A6F">
        <w:tc>
          <w:tcPr>
            <w:tcW w:w="806" w:type="pct"/>
            <w:tcBorders>
              <w:top w:val="single" w:sz="6" w:space="0" w:color="000000"/>
              <w:left w:val="single" w:sz="6" w:space="0" w:color="000000"/>
              <w:bottom w:val="single" w:sz="6" w:space="0" w:color="000000"/>
              <w:right w:val="single" w:sz="6" w:space="0" w:color="000000"/>
            </w:tcBorders>
            <w:hideMark/>
          </w:tcPr>
          <w:p w14:paraId="08012FCA" w14:textId="77777777" w:rsidR="006140B9" w:rsidRPr="00012278" w:rsidRDefault="006140B9" w:rsidP="0012640D">
            <w:pPr>
              <w:keepNext/>
              <w:rPr>
                <w:szCs w:val="22"/>
                <w:lang w:val="sr-Latn-ME"/>
              </w:rPr>
            </w:pPr>
            <w:r w:rsidRPr="00012278">
              <w:rPr>
                <w:szCs w:val="22"/>
                <w:lang w:val="sr-Latn-ME"/>
              </w:rPr>
              <w:t>1,53–1,66</w:t>
            </w:r>
          </w:p>
        </w:tc>
        <w:tc>
          <w:tcPr>
            <w:tcW w:w="868" w:type="pct"/>
            <w:tcBorders>
              <w:top w:val="single" w:sz="6" w:space="0" w:color="000000"/>
              <w:left w:val="single" w:sz="6" w:space="0" w:color="000000"/>
              <w:bottom w:val="single" w:sz="6" w:space="0" w:color="000000"/>
              <w:right w:val="single" w:sz="6" w:space="0" w:color="000000"/>
            </w:tcBorders>
            <w:hideMark/>
          </w:tcPr>
          <w:p w14:paraId="30931CCB" w14:textId="77777777" w:rsidR="006140B9" w:rsidRPr="00012278" w:rsidRDefault="006140B9" w:rsidP="005112A3">
            <w:pPr>
              <w:keepNext/>
              <w:jc w:val="center"/>
              <w:rPr>
                <w:szCs w:val="22"/>
                <w:lang w:val="sr-Latn-ME"/>
              </w:rPr>
            </w:pPr>
            <w:r w:rsidRPr="00012278">
              <w:rPr>
                <w:szCs w:val="22"/>
                <w:lang w:val="sr-Latn-ME"/>
              </w:rPr>
              <w:t>2000</w:t>
            </w:r>
          </w:p>
        </w:tc>
        <w:tc>
          <w:tcPr>
            <w:tcW w:w="753" w:type="pct"/>
            <w:tcBorders>
              <w:top w:val="single" w:sz="6" w:space="0" w:color="000000"/>
              <w:left w:val="single" w:sz="6" w:space="0" w:color="000000"/>
              <w:bottom w:val="single" w:sz="6" w:space="0" w:color="000000"/>
              <w:right w:val="single" w:sz="6" w:space="0" w:color="000000"/>
            </w:tcBorders>
            <w:hideMark/>
          </w:tcPr>
          <w:p w14:paraId="16C46B5E" w14:textId="77777777" w:rsidR="006140B9" w:rsidRPr="00012278" w:rsidRDefault="006140B9" w:rsidP="005112A3">
            <w:pPr>
              <w:keepNext/>
              <w:jc w:val="center"/>
              <w:rPr>
                <w:szCs w:val="22"/>
                <w:lang w:val="sr-Latn-ME"/>
              </w:rPr>
            </w:pPr>
            <w:r w:rsidRPr="00012278">
              <w:rPr>
                <w:szCs w:val="22"/>
                <w:lang w:val="sr-Latn-ME"/>
              </w:rPr>
              <w:t>-</w:t>
            </w:r>
          </w:p>
        </w:tc>
        <w:tc>
          <w:tcPr>
            <w:tcW w:w="735" w:type="pct"/>
            <w:tcBorders>
              <w:top w:val="single" w:sz="6" w:space="0" w:color="000000"/>
              <w:left w:val="single" w:sz="6" w:space="0" w:color="000000"/>
              <w:bottom w:val="single" w:sz="6" w:space="0" w:color="000000"/>
              <w:right w:val="single" w:sz="6" w:space="0" w:color="000000"/>
            </w:tcBorders>
          </w:tcPr>
          <w:p w14:paraId="0857C3E7" w14:textId="77777777" w:rsidR="006140B9" w:rsidRPr="00012278" w:rsidRDefault="006140B9" w:rsidP="005112A3">
            <w:pPr>
              <w:keepNext/>
              <w:jc w:val="center"/>
              <w:rPr>
                <w:szCs w:val="22"/>
                <w:lang w:val="sr-Latn-ME"/>
              </w:rPr>
            </w:pPr>
            <w:r w:rsidRPr="00012278">
              <w:rPr>
                <w:szCs w:val="22"/>
                <w:lang w:val="sr-Latn-ME"/>
              </w:rPr>
              <w:t>4</w:t>
            </w:r>
          </w:p>
        </w:tc>
        <w:tc>
          <w:tcPr>
            <w:tcW w:w="992" w:type="pct"/>
            <w:tcBorders>
              <w:top w:val="single" w:sz="6" w:space="0" w:color="000000"/>
              <w:left w:val="single" w:sz="6" w:space="0" w:color="000000"/>
              <w:bottom w:val="single" w:sz="6" w:space="0" w:color="000000"/>
              <w:right w:val="single" w:sz="6" w:space="0" w:color="000000"/>
            </w:tcBorders>
            <w:hideMark/>
          </w:tcPr>
          <w:p w14:paraId="2A0324B9" w14:textId="77777777" w:rsidR="006140B9" w:rsidRPr="00012278" w:rsidRDefault="006140B9" w:rsidP="005112A3">
            <w:pPr>
              <w:keepNext/>
              <w:jc w:val="center"/>
              <w:rPr>
                <w:szCs w:val="22"/>
                <w:lang w:val="sr-Latn-ME"/>
              </w:rPr>
            </w:pPr>
            <w:r w:rsidRPr="00012278">
              <w:rPr>
                <w:szCs w:val="22"/>
                <w:lang w:val="sr-Latn-ME"/>
              </w:rPr>
              <w:t>1500</w:t>
            </w:r>
          </w:p>
        </w:tc>
        <w:tc>
          <w:tcPr>
            <w:tcW w:w="846" w:type="pct"/>
            <w:tcBorders>
              <w:top w:val="single" w:sz="6" w:space="0" w:color="000000"/>
              <w:left w:val="single" w:sz="6" w:space="0" w:color="000000"/>
              <w:bottom w:val="single" w:sz="6" w:space="0" w:color="000000"/>
              <w:right w:val="single" w:sz="6" w:space="0" w:color="000000"/>
            </w:tcBorders>
            <w:hideMark/>
          </w:tcPr>
          <w:p w14:paraId="55A4A2B3" w14:textId="77777777" w:rsidR="006140B9" w:rsidRPr="00012278" w:rsidRDefault="006140B9" w:rsidP="005112A3">
            <w:pPr>
              <w:keepNext/>
              <w:jc w:val="center"/>
              <w:rPr>
                <w:szCs w:val="22"/>
                <w:lang w:val="sr-Latn-ME"/>
              </w:rPr>
            </w:pPr>
            <w:r w:rsidRPr="00012278">
              <w:rPr>
                <w:szCs w:val="22"/>
                <w:lang w:val="sr-Latn-ME"/>
              </w:rPr>
              <w:t>1000</w:t>
            </w:r>
          </w:p>
        </w:tc>
      </w:tr>
      <w:tr w:rsidR="006140B9" w:rsidRPr="00012278" w14:paraId="39A9E2B3" w14:textId="77777777" w:rsidTr="00183A6F">
        <w:tc>
          <w:tcPr>
            <w:tcW w:w="806" w:type="pct"/>
            <w:tcBorders>
              <w:top w:val="single" w:sz="6" w:space="0" w:color="000000"/>
              <w:left w:val="single" w:sz="6" w:space="0" w:color="000000"/>
              <w:bottom w:val="single" w:sz="6" w:space="0" w:color="000000"/>
              <w:right w:val="single" w:sz="6" w:space="0" w:color="000000"/>
            </w:tcBorders>
            <w:hideMark/>
          </w:tcPr>
          <w:p w14:paraId="056F93A4" w14:textId="77777777" w:rsidR="006140B9" w:rsidRPr="00012278" w:rsidRDefault="006140B9" w:rsidP="0012640D">
            <w:pPr>
              <w:keepNext/>
              <w:rPr>
                <w:szCs w:val="22"/>
                <w:lang w:val="sr-Latn-ME"/>
              </w:rPr>
            </w:pPr>
            <w:r w:rsidRPr="00012278">
              <w:rPr>
                <w:szCs w:val="22"/>
                <w:lang w:val="sr-Latn-ME"/>
              </w:rPr>
              <w:t>1,67–1,78</w:t>
            </w:r>
          </w:p>
        </w:tc>
        <w:tc>
          <w:tcPr>
            <w:tcW w:w="868" w:type="pct"/>
            <w:tcBorders>
              <w:top w:val="single" w:sz="6" w:space="0" w:color="000000"/>
              <w:left w:val="single" w:sz="6" w:space="0" w:color="000000"/>
              <w:bottom w:val="single" w:sz="6" w:space="0" w:color="000000"/>
              <w:right w:val="single" w:sz="6" w:space="0" w:color="000000"/>
            </w:tcBorders>
            <w:hideMark/>
          </w:tcPr>
          <w:p w14:paraId="247FB313" w14:textId="77777777" w:rsidR="006140B9" w:rsidRPr="00012278" w:rsidRDefault="006140B9" w:rsidP="005112A3">
            <w:pPr>
              <w:keepNext/>
              <w:jc w:val="center"/>
              <w:rPr>
                <w:szCs w:val="22"/>
                <w:lang w:val="sr-Latn-ME"/>
              </w:rPr>
            </w:pPr>
            <w:r w:rsidRPr="00012278">
              <w:rPr>
                <w:szCs w:val="22"/>
                <w:lang w:val="sr-Latn-ME"/>
              </w:rPr>
              <w:t>2150</w:t>
            </w:r>
          </w:p>
        </w:tc>
        <w:tc>
          <w:tcPr>
            <w:tcW w:w="753" w:type="pct"/>
            <w:tcBorders>
              <w:top w:val="single" w:sz="6" w:space="0" w:color="000000"/>
              <w:left w:val="single" w:sz="6" w:space="0" w:color="000000"/>
              <w:bottom w:val="single" w:sz="6" w:space="0" w:color="000000"/>
              <w:right w:val="single" w:sz="6" w:space="0" w:color="000000"/>
            </w:tcBorders>
            <w:hideMark/>
          </w:tcPr>
          <w:p w14:paraId="5205B818" w14:textId="77777777" w:rsidR="006140B9" w:rsidRPr="00012278" w:rsidRDefault="006140B9" w:rsidP="005112A3">
            <w:pPr>
              <w:keepNext/>
              <w:jc w:val="center"/>
              <w:rPr>
                <w:szCs w:val="22"/>
                <w:lang w:val="sr-Latn-ME"/>
              </w:rPr>
            </w:pPr>
            <w:r w:rsidRPr="00012278">
              <w:rPr>
                <w:szCs w:val="22"/>
                <w:lang w:val="sr-Latn-ME"/>
              </w:rPr>
              <w:t>1</w:t>
            </w:r>
          </w:p>
        </w:tc>
        <w:tc>
          <w:tcPr>
            <w:tcW w:w="735" w:type="pct"/>
            <w:tcBorders>
              <w:top w:val="single" w:sz="6" w:space="0" w:color="000000"/>
              <w:left w:val="single" w:sz="6" w:space="0" w:color="000000"/>
              <w:bottom w:val="single" w:sz="6" w:space="0" w:color="000000"/>
              <w:right w:val="single" w:sz="6" w:space="0" w:color="000000"/>
            </w:tcBorders>
          </w:tcPr>
          <w:p w14:paraId="4074428A" w14:textId="77777777" w:rsidR="006140B9" w:rsidRPr="00012278" w:rsidRDefault="006140B9" w:rsidP="005112A3">
            <w:pPr>
              <w:keepNext/>
              <w:jc w:val="center"/>
              <w:rPr>
                <w:szCs w:val="22"/>
                <w:lang w:val="sr-Latn-ME"/>
              </w:rPr>
            </w:pPr>
            <w:r w:rsidRPr="00012278">
              <w:rPr>
                <w:szCs w:val="22"/>
                <w:lang w:val="sr-Latn-ME"/>
              </w:rPr>
              <w:t>4</w:t>
            </w:r>
          </w:p>
        </w:tc>
        <w:tc>
          <w:tcPr>
            <w:tcW w:w="992" w:type="pct"/>
            <w:tcBorders>
              <w:top w:val="single" w:sz="6" w:space="0" w:color="000000"/>
              <w:left w:val="single" w:sz="6" w:space="0" w:color="000000"/>
              <w:bottom w:val="single" w:sz="6" w:space="0" w:color="000000"/>
              <w:right w:val="single" w:sz="6" w:space="0" w:color="000000"/>
            </w:tcBorders>
            <w:hideMark/>
          </w:tcPr>
          <w:p w14:paraId="47298F75" w14:textId="77777777" w:rsidR="006140B9" w:rsidRPr="00012278" w:rsidRDefault="006140B9" w:rsidP="005112A3">
            <w:pPr>
              <w:keepNext/>
              <w:jc w:val="center"/>
              <w:rPr>
                <w:szCs w:val="22"/>
                <w:lang w:val="sr-Latn-ME"/>
              </w:rPr>
            </w:pPr>
            <w:r w:rsidRPr="00012278">
              <w:rPr>
                <w:szCs w:val="22"/>
                <w:lang w:val="sr-Latn-ME"/>
              </w:rPr>
              <w:t>1650</w:t>
            </w:r>
          </w:p>
        </w:tc>
        <w:tc>
          <w:tcPr>
            <w:tcW w:w="846" w:type="pct"/>
            <w:tcBorders>
              <w:top w:val="single" w:sz="6" w:space="0" w:color="000000"/>
              <w:left w:val="single" w:sz="6" w:space="0" w:color="000000"/>
              <w:bottom w:val="single" w:sz="6" w:space="0" w:color="000000"/>
              <w:right w:val="single" w:sz="6" w:space="0" w:color="000000"/>
            </w:tcBorders>
            <w:hideMark/>
          </w:tcPr>
          <w:p w14:paraId="207167DA" w14:textId="77777777" w:rsidR="006140B9" w:rsidRPr="00012278" w:rsidRDefault="006140B9" w:rsidP="005112A3">
            <w:pPr>
              <w:keepNext/>
              <w:jc w:val="center"/>
              <w:rPr>
                <w:szCs w:val="22"/>
                <w:lang w:val="sr-Latn-ME"/>
              </w:rPr>
            </w:pPr>
            <w:r w:rsidRPr="00012278">
              <w:rPr>
                <w:szCs w:val="22"/>
                <w:lang w:val="sr-Latn-ME"/>
              </w:rPr>
              <w:t>1000</w:t>
            </w:r>
          </w:p>
        </w:tc>
      </w:tr>
      <w:tr w:rsidR="006140B9" w:rsidRPr="00012278" w14:paraId="4A8D68D5" w14:textId="77777777" w:rsidTr="00183A6F">
        <w:tc>
          <w:tcPr>
            <w:tcW w:w="806" w:type="pct"/>
            <w:tcBorders>
              <w:top w:val="single" w:sz="6" w:space="0" w:color="000000"/>
              <w:left w:val="single" w:sz="6" w:space="0" w:color="000000"/>
              <w:bottom w:val="single" w:sz="6" w:space="0" w:color="000000"/>
              <w:right w:val="single" w:sz="6" w:space="0" w:color="000000"/>
            </w:tcBorders>
            <w:hideMark/>
          </w:tcPr>
          <w:p w14:paraId="456AB1F6" w14:textId="77777777" w:rsidR="006140B9" w:rsidRPr="00012278" w:rsidRDefault="006140B9" w:rsidP="0012640D">
            <w:pPr>
              <w:keepNext/>
              <w:rPr>
                <w:szCs w:val="22"/>
                <w:lang w:val="sr-Latn-ME"/>
              </w:rPr>
            </w:pPr>
            <w:r w:rsidRPr="00012278">
              <w:rPr>
                <w:szCs w:val="22"/>
                <w:lang w:val="sr-Latn-ME"/>
              </w:rPr>
              <w:t>1,79–1,92</w:t>
            </w:r>
          </w:p>
        </w:tc>
        <w:tc>
          <w:tcPr>
            <w:tcW w:w="868" w:type="pct"/>
            <w:tcBorders>
              <w:top w:val="single" w:sz="6" w:space="0" w:color="000000"/>
              <w:left w:val="single" w:sz="6" w:space="0" w:color="000000"/>
              <w:bottom w:val="single" w:sz="6" w:space="0" w:color="000000"/>
              <w:right w:val="single" w:sz="6" w:space="0" w:color="000000"/>
            </w:tcBorders>
            <w:hideMark/>
          </w:tcPr>
          <w:p w14:paraId="293A0867" w14:textId="77777777" w:rsidR="006140B9" w:rsidRPr="00012278" w:rsidRDefault="006140B9" w:rsidP="005112A3">
            <w:pPr>
              <w:keepNext/>
              <w:jc w:val="center"/>
              <w:rPr>
                <w:szCs w:val="22"/>
                <w:lang w:val="sr-Latn-ME"/>
              </w:rPr>
            </w:pPr>
            <w:r w:rsidRPr="00012278">
              <w:rPr>
                <w:szCs w:val="22"/>
                <w:lang w:val="sr-Latn-ME"/>
              </w:rPr>
              <w:t>2300</w:t>
            </w:r>
          </w:p>
        </w:tc>
        <w:tc>
          <w:tcPr>
            <w:tcW w:w="753" w:type="pct"/>
            <w:tcBorders>
              <w:top w:val="single" w:sz="6" w:space="0" w:color="000000"/>
              <w:left w:val="single" w:sz="6" w:space="0" w:color="000000"/>
              <w:bottom w:val="single" w:sz="6" w:space="0" w:color="000000"/>
              <w:right w:val="single" w:sz="6" w:space="0" w:color="000000"/>
            </w:tcBorders>
            <w:hideMark/>
          </w:tcPr>
          <w:p w14:paraId="32612FAF" w14:textId="77777777" w:rsidR="006140B9" w:rsidRPr="00012278" w:rsidRDefault="006140B9" w:rsidP="005112A3">
            <w:pPr>
              <w:keepNext/>
              <w:jc w:val="center"/>
              <w:rPr>
                <w:szCs w:val="22"/>
                <w:lang w:val="sr-Latn-ME"/>
              </w:rPr>
            </w:pPr>
            <w:r w:rsidRPr="00012278">
              <w:rPr>
                <w:szCs w:val="22"/>
                <w:lang w:val="sr-Latn-ME"/>
              </w:rPr>
              <w:t>2</w:t>
            </w:r>
          </w:p>
        </w:tc>
        <w:tc>
          <w:tcPr>
            <w:tcW w:w="735" w:type="pct"/>
            <w:tcBorders>
              <w:top w:val="single" w:sz="6" w:space="0" w:color="000000"/>
              <w:left w:val="single" w:sz="6" w:space="0" w:color="000000"/>
              <w:bottom w:val="single" w:sz="6" w:space="0" w:color="000000"/>
              <w:right w:val="single" w:sz="6" w:space="0" w:color="000000"/>
            </w:tcBorders>
          </w:tcPr>
          <w:p w14:paraId="556F255D" w14:textId="77777777" w:rsidR="006140B9" w:rsidRPr="00012278" w:rsidRDefault="006140B9" w:rsidP="005112A3">
            <w:pPr>
              <w:keepNext/>
              <w:jc w:val="center"/>
              <w:rPr>
                <w:szCs w:val="22"/>
                <w:lang w:val="sr-Latn-ME"/>
              </w:rPr>
            </w:pPr>
            <w:r w:rsidRPr="00012278">
              <w:rPr>
                <w:szCs w:val="22"/>
                <w:lang w:val="sr-Latn-ME"/>
              </w:rPr>
              <w:t>4</w:t>
            </w:r>
          </w:p>
        </w:tc>
        <w:tc>
          <w:tcPr>
            <w:tcW w:w="992" w:type="pct"/>
            <w:tcBorders>
              <w:top w:val="single" w:sz="6" w:space="0" w:color="000000"/>
              <w:left w:val="single" w:sz="6" w:space="0" w:color="000000"/>
              <w:bottom w:val="single" w:sz="6" w:space="0" w:color="000000"/>
              <w:right w:val="single" w:sz="6" w:space="0" w:color="000000"/>
            </w:tcBorders>
            <w:hideMark/>
          </w:tcPr>
          <w:p w14:paraId="23F943FE" w14:textId="77777777" w:rsidR="006140B9" w:rsidRPr="00012278" w:rsidRDefault="006140B9" w:rsidP="005112A3">
            <w:pPr>
              <w:keepNext/>
              <w:jc w:val="center"/>
              <w:rPr>
                <w:szCs w:val="22"/>
                <w:lang w:val="sr-Latn-ME"/>
              </w:rPr>
            </w:pPr>
            <w:r w:rsidRPr="00012278">
              <w:rPr>
                <w:szCs w:val="22"/>
                <w:lang w:val="sr-Latn-ME"/>
              </w:rPr>
              <w:t>1800</w:t>
            </w:r>
          </w:p>
        </w:tc>
        <w:tc>
          <w:tcPr>
            <w:tcW w:w="846" w:type="pct"/>
            <w:tcBorders>
              <w:top w:val="single" w:sz="6" w:space="0" w:color="000000"/>
              <w:left w:val="single" w:sz="6" w:space="0" w:color="000000"/>
              <w:bottom w:val="single" w:sz="6" w:space="0" w:color="000000"/>
              <w:right w:val="single" w:sz="6" w:space="0" w:color="000000"/>
            </w:tcBorders>
            <w:hideMark/>
          </w:tcPr>
          <w:p w14:paraId="2CB22DA2" w14:textId="77777777" w:rsidR="006140B9" w:rsidRPr="00012278" w:rsidRDefault="006140B9" w:rsidP="005112A3">
            <w:pPr>
              <w:keepNext/>
              <w:jc w:val="center"/>
              <w:rPr>
                <w:szCs w:val="22"/>
                <w:lang w:val="sr-Latn-ME"/>
              </w:rPr>
            </w:pPr>
            <w:r w:rsidRPr="00012278">
              <w:rPr>
                <w:szCs w:val="22"/>
                <w:lang w:val="sr-Latn-ME"/>
              </w:rPr>
              <w:t>1150</w:t>
            </w:r>
          </w:p>
        </w:tc>
      </w:tr>
      <w:tr w:rsidR="006140B9" w:rsidRPr="00012278" w14:paraId="58D1CC3A" w14:textId="77777777" w:rsidTr="00183A6F">
        <w:tc>
          <w:tcPr>
            <w:tcW w:w="806" w:type="pct"/>
            <w:tcBorders>
              <w:top w:val="single" w:sz="6" w:space="0" w:color="000000"/>
              <w:left w:val="single" w:sz="6" w:space="0" w:color="000000"/>
              <w:bottom w:val="single" w:sz="6" w:space="0" w:color="000000"/>
              <w:right w:val="single" w:sz="6" w:space="0" w:color="000000"/>
            </w:tcBorders>
            <w:hideMark/>
          </w:tcPr>
          <w:p w14:paraId="2DFB8A13" w14:textId="77777777" w:rsidR="006140B9" w:rsidRPr="00012278" w:rsidRDefault="006140B9" w:rsidP="0012640D">
            <w:pPr>
              <w:keepNext/>
              <w:rPr>
                <w:szCs w:val="22"/>
                <w:lang w:val="sr-Latn-ME"/>
              </w:rPr>
            </w:pPr>
            <w:r w:rsidRPr="00012278">
              <w:rPr>
                <w:szCs w:val="22"/>
                <w:lang w:val="sr-Latn-ME"/>
              </w:rPr>
              <w:t>1,93–2,06</w:t>
            </w:r>
          </w:p>
        </w:tc>
        <w:tc>
          <w:tcPr>
            <w:tcW w:w="868" w:type="pct"/>
            <w:tcBorders>
              <w:top w:val="single" w:sz="6" w:space="0" w:color="000000"/>
              <w:left w:val="single" w:sz="6" w:space="0" w:color="000000"/>
              <w:bottom w:val="single" w:sz="6" w:space="0" w:color="000000"/>
              <w:right w:val="single" w:sz="6" w:space="0" w:color="000000"/>
            </w:tcBorders>
            <w:hideMark/>
          </w:tcPr>
          <w:p w14:paraId="25ECB473" w14:textId="77777777" w:rsidR="006140B9" w:rsidRPr="00012278" w:rsidRDefault="006140B9" w:rsidP="005112A3">
            <w:pPr>
              <w:keepNext/>
              <w:jc w:val="center"/>
              <w:rPr>
                <w:szCs w:val="22"/>
                <w:lang w:val="sr-Latn-ME"/>
              </w:rPr>
            </w:pPr>
            <w:r w:rsidRPr="00012278">
              <w:rPr>
                <w:szCs w:val="22"/>
                <w:lang w:val="sr-Latn-ME"/>
              </w:rPr>
              <w:t>2500</w:t>
            </w:r>
          </w:p>
        </w:tc>
        <w:tc>
          <w:tcPr>
            <w:tcW w:w="753" w:type="pct"/>
            <w:tcBorders>
              <w:top w:val="single" w:sz="6" w:space="0" w:color="000000"/>
              <w:left w:val="single" w:sz="6" w:space="0" w:color="000000"/>
              <w:bottom w:val="single" w:sz="6" w:space="0" w:color="000000"/>
              <w:right w:val="single" w:sz="6" w:space="0" w:color="000000"/>
            </w:tcBorders>
            <w:hideMark/>
          </w:tcPr>
          <w:p w14:paraId="04D36670" w14:textId="77777777" w:rsidR="006140B9" w:rsidRPr="00012278" w:rsidRDefault="006140B9" w:rsidP="005112A3">
            <w:pPr>
              <w:keepNext/>
              <w:jc w:val="center"/>
              <w:rPr>
                <w:szCs w:val="22"/>
                <w:lang w:val="sr-Latn-ME"/>
              </w:rPr>
            </w:pPr>
            <w:r w:rsidRPr="00012278">
              <w:rPr>
                <w:szCs w:val="22"/>
                <w:lang w:val="sr-Latn-ME"/>
              </w:rPr>
              <w:t>-</w:t>
            </w:r>
          </w:p>
        </w:tc>
        <w:tc>
          <w:tcPr>
            <w:tcW w:w="735" w:type="pct"/>
            <w:tcBorders>
              <w:top w:val="single" w:sz="6" w:space="0" w:color="000000"/>
              <w:left w:val="single" w:sz="6" w:space="0" w:color="000000"/>
              <w:bottom w:val="single" w:sz="6" w:space="0" w:color="000000"/>
              <w:right w:val="single" w:sz="6" w:space="0" w:color="000000"/>
            </w:tcBorders>
          </w:tcPr>
          <w:p w14:paraId="3D0D952E" w14:textId="77777777" w:rsidR="006140B9" w:rsidRPr="00012278" w:rsidRDefault="006140B9" w:rsidP="005112A3">
            <w:pPr>
              <w:keepNext/>
              <w:jc w:val="center"/>
              <w:rPr>
                <w:szCs w:val="22"/>
                <w:lang w:val="sr-Latn-ME"/>
              </w:rPr>
            </w:pPr>
            <w:r w:rsidRPr="00012278">
              <w:rPr>
                <w:szCs w:val="22"/>
                <w:lang w:val="sr-Latn-ME"/>
              </w:rPr>
              <w:t>5</w:t>
            </w:r>
          </w:p>
        </w:tc>
        <w:tc>
          <w:tcPr>
            <w:tcW w:w="992" w:type="pct"/>
            <w:tcBorders>
              <w:top w:val="single" w:sz="6" w:space="0" w:color="000000"/>
              <w:left w:val="single" w:sz="6" w:space="0" w:color="000000"/>
              <w:bottom w:val="single" w:sz="6" w:space="0" w:color="000000"/>
              <w:right w:val="single" w:sz="6" w:space="0" w:color="000000"/>
            </w:tcBorders>
            <w:hideMark/>
          </w:tcPr>
          <w:p w14:paraId="4D20CBEB" w14:textId="77777777" w:rsidR="006140B9" w:rsidRPr="00012278" w:rsidRDefault="006140B9" w:rsidP="005112A3">
            <w:pPr>
              <w:keepNext/>
              <w:jc w:val="center"/>
              <w:rPr>
                <w:szCs w:val="22"/>
                <w:lang w:val="sr-Latn-ME"/>
              </w:rPr>
            </w:pPr>
            <w:r w:rsidRPr="00012278">
              <w:rPr>
                <w:szCs w:val="22"/>
                <w:lang w:val="sr-Latn-ME"/>
              </w:rPr>
              <w:t>1950</w:t>
            </w:r>
          </w:p>
        </w:tc>
        <w:tc>
          <w:tcPr>
            <w:tcW w:w="846" w:type="pct"/>
            <w:tcBorders>
              <w:top w:val="single" w:sz="6" w:space="0" w:color="000000"/>
              <w:left w:val="single" w:sz="6" w:space="0" w:color="000000"/>
              <w:bottom w:val="single" w:sz="6" w:space="0" w:color="000000"/>
              <w:right w:val="single" w:sz="6" w:space="0" w:color="000000"/>
            </w:tcBorders>
            <w:hideMark/>
          </w:tcPr>
          <w:p w14:paraId="7E3BD7C6" w14:textId="77777777" w:rsidR="006140B9" w:rsidRPr="00012278" w:rsidRDefault="006140B9" w:rsidP="005112A3">
            <w:pPr>
              <w:keepNext/>
              <w:jc w:val="center"/>
              <w:rPr>
                <w:szCs w:val="22"/>
                <w:lang w:val="sr-Latn-ME"/>
              </w:rPr>
            </w:pPr>
            <w:r w:rsidRPr="00012278">
              <w:rPr>
                <w:szCs w:val="22"/>
                <w:lang w:val="sr-Latn-ME"/>
              </w:rPr>
              <w:t>1300</w:t>
            </w:r>
          </w:p>
        </w:tc>
      </w:tr>
      <w:tr w:rsidR="006140B9" w:rsidRPr="00012278" w14:paraId="3F6D4A16" w14:textId="77777777" w:rsidTr="00183A6F">
        <w:tc>
          <w:tcPr>
            <w:tcW w:w="806" w:type="pct"/>
            <w:tcBorders>
              <w:top w:val="single" w:sz="6" w:space="0" w:color="000000"/>
              <w:left w:val="single" w:sz="6" w:space="0" w:color="000000"/>
              <w:bottom w:val="single" w:sz="6" w:space="0" w:color="000000"/>
              <w:right w:val="single" w:sz="6" w:space="0" w:color="000000"/>
            </w:tcBorders>
            <w:hideMark/>
          </w:tcPr>
          <w:p w14:paraId="0394AC4F" w14:textId="77777777" w:rsidR="006140B9" w:rsidRPr="00012278" w:rsidRDefault="006140B9" w:rsidP="0012640D">
            <w:pPr>
              <w:keepNext/>
              <w:rPr>
                <w:szCs w:val="22"/>
                <w:lang w:val="sr-Latn-ME"/>
              </w:rPr>
            </w:pPr>
            <w:r w:rsidRPr="00012278">
              <w:rPr>
                <w:szCs w:val="22"/>
                <w:lang w:val="sr-Latn-ME"/>
              </w:rPr>
              <w:t>2,07–2,18</w:t>
            </w:r>
          </w:p>
        </w:tc>
        <w:tc>
          <w:tcPr>
            <w:tcW w:w="868" w:type="pct"/>
            <w:tcBorders>
              <w:top w:val="single" w:sz="6" w:space="0" w:color="000000"/>
              <w:left w:val="single" w:sz="6" w:space="0" w:color="000000"/>
              <w:bottom w:val="single" w:sz="6" w:space="0" w:color="000000"/>
              <w:right w:val="single" w:sz="6" w:space="0" w:color="000000"/>
            </w:tcBorders>
            <w:hideMark/>
          </w:tcPr>
          <w:p w14:paraId="79A30100" w14:textId="77777777" w:rsidR="006140B9" w:rsidRPr="00012278" w:rsidRDefault="006140B9" w:rsidP="005112A3">
            <w:pPr>
              <w:keepNext/>
              <w:jc w:val="center"/>
              <w:rPr>
                <w:szCs w:val="22"/>
                <w:lang w:val="sr-Latn-ME"/>
              </w:rPr>
            </w:pPr>
            <w:r w:rsidRPr="00012278">
              <w:rPr>
                <w:szCs w:val="22"/>
                <w:lang w:val="sr-Latn-ME"/>
              </w:rPr>
              <w:t>2650</w:t>
            </w:r>
          </w:p>
        </w:tc>
        <w:tc>
          <w:tcPr>
            <w:tcW w:w="753" w:type="pct"/>
            <w:tcBorders>
              <w:top w:val="single" w:sz="6" w:space="0" w:color="000000"/>
              <w:left w:val="single" w:sz="6" w:space="0" w:color="000000"/>
              <w:bottom w:val="single" w:sz="6" w:space="0" w:color="000000"/>
              <w:right w:val="single" w:sz="6" w:space="0" w:color="000000"/>
            </w:tcBorders>
            <w:hideMark/>
          </w:tcPr>
          <w:p w14:paraId="7D6A66F1" w14:textId="77777777" w:rsidR="006140B9" w:rsidRPr="00012278" w:rsidRDefault="006140B9" w:rsidP="005112A3">
            <w:pPr>
              <w:keepNext/>
              <w:jc w:val="center"/>
              <w:rPr>
                <w:szCs w:val="22"/>
                <w:lang w:val="sr-Latn-ME"/>
              </w:rPr>
            </w:pPr>
            <w:r w:rsidRPr="00012278">
              <w:rPr>
                <w:szCs w:val="22"/>
                <w:lang w:val="sr-Latn-ME"/>
              </w:rPr>
              <w:t>1</w:t>
            </w:r>
          </w:p>
        </w:tc>
        <w:tc>
          <w:tcPr>
            <w:tcW w:w="735" w:type="pct"/>
            <w:tcBorders>
              <w:top w:val="single" w:sz="6" w:space="0" w:color="000000"/>
              <w:left w:val="single" w:sz="6" w:space="0" w:color="000000"/>
              <w:bottom w:val="single" w:sz="6" w:space="0" w:color="000000"/>
              <w:right w:val="single" w:sz="6" w:space="0" w:color="000000"/>
            </w:tcBorders>
          </w:tcPr>
          <w:p w14:paraId="75FC14D2" w14:textId="77777777" w:rsidR="006140B9" w:rsidRPr="00012278" w:rsidRDefault="006140B9" w:rsidP="005112A3">
            <w:pPr>
              <w:keepNext/>
              <w:jc w:val="center"/>
              <w:rPr>
                <w:szCs w:val="22"/>
                <w:lang w:val="sr-Latn-ME"/>
              </w:rPr>
            </w:pPr>
            <w:r w:rsidRPr="00012278">
              <w:rPr>
                <w:szCs w:val="22"/>
                <w:lang w:val="sr-Latn-ME"/>
              </w:rPr>
              <w:t>5</w:t>
            </w:r>
          </w:p>
        </w:tc>
        <w:tc>
          <w:tcPr>
            <w:tcW w:w="992" w:type="pct"/>
            <w:tcBorders>
              <w:top w:val="single" w:sz="6" w:space="0" w:color="000000"/>
              <w:left w:val="single" w:sz="6" w:space="0" w:color="000000"/>
              <w:bottom w:val="single" w:sz="6" w:space="0" w:color="000000"/>
              <w:right w:val="single" w:sz="6" w:space="0" w:color="000000"/>
            </w:tcBorders>
            <w:hideMark/>
          </w:tcPr>
          <w:p w14:paraId="62B7C46F" w14:textId="77777777" w:rsidR="006140B9" w:rsidRPr="00012278" w:rsidRDefault="006140B9" w:rsidP="005112A3">
            <w:pPr>
              <w:keepNext/>
              <w:jc w:val="center"/>
              <w:rPr>
                <w:szCs w:val="22"/>
                <w:lang w:val="sr-Latn-ME"/>
              </w:rPr>
            </w:pPr>
            <w:r w:rsidRPr="00012278">
              <w:rPr>
                <w:szCs w:val="22"/>
                <w:lang w:val="sr-Latn-ME"/>
              </w:rPr>
              <w:t>2000</w:t>
            </w:r>
          </w:p>
        </w:tc>
        <w:tc>
          <w:tcPr>
            <w:tcW w:w="846" w:type="pct"/>
            <w:tcBorders>
              <w:top w:val="single" w:sz="6" w:space="0" w:color="000000"/>
              <w:left w:val="single" w:sz="6" w:space="0" w:color="000000"/>
              <w:bottom w:val="single" w:sz="6" w:space="0" w:color="000000"/>
              <w:right w:val="single" w:sz="6" w:space="0" w:color="000000"/>
            </w:tcBorders>
            <w:hideMark/>
          </w:tcPr>
          <w:p w14:paraId="3EF7B1D0" w14:textId="77777777" w:rsidR="006140B9" w:rsidRPr="00012278" w:rsidRDefault="006140B9" w:rsidP="005112A3">
            <w:pPr>
              <w:keepNext/>
              <w:jc w:val="center"/>
              <w:rPr>
                <w:szCs w:val="22"/>
                <w:lang w:val="sr-Latn-ME"/>
              </w:rPr>
            </w:pPr>
            <w:r w:rsidRPr="00012278">
              <w:rPr>
                <w:szCs w:val="22"/>
                <w:lang w:val="sr-Latn-ME"/>
              </w:rPr>
              <w:t>1300</w:t>
            </w:r>
          </w:p>
        </w:tc>
      </w:tr>
      <w:tr w:rsidR="006140B9" w:rsidRPr="00012278" w14:paraId="7109BE63" w14:textId="77777777" w:rsidTr="00183A6F">
        <w:tc>
          <w:tcPr>
            <w:tcW w:w="806" w:type="pct"/>
            <w:tcBorders>
              <w:top w:val="single" w:sz="6" w:space="0" w:color="000000"/>
              <w:left w:val="single" w:sz="6" w:space="0" w:color="000000"/>
              <w:bottom w:val="single" w:sz="6" w:space="0" w:color="000000"/>
              <w:right w:val="single" w:sz="6" w:space="0" w:color="000000"/>
            </w:tcBorders>
            <w:hideMark/>
          </w:tcPr>
          <w:p w14:paraId="5EBFF972" w14:textId="77777777" w:rsidR="006140B9" w:rsidRPr="00012278" w:rsidRDefault="006140B9" w:rsidP="0012640D">
            <w:pPr>
              <w:keepNext/>
              <w:rPr>
                <w:szCs w:val="22"/>
                <w:lang w:val="sr-Latn-ME"/>
              </w:rPr>
            </w:pPr>
            <w:r w:rsidRPr="00012278">
              <w:rPr>
                <w:szCs w:val="22"/>
                <w:lang w:val="sr-Latn-ME"/>
              </w:rPr>
              <w:sym w:font="Symbol" w:char="F0B3"/>
            </w:r>
            <w:r w:rsidRPr="00012278">
              <w:rPr>
                <w:szCs w:val="22"/>
                <w:lang w:val="sr-Latn-ME"/>
              </w:rPr>
              <w:t> 2,19</w:t>
            </w:r>
          </w:p>
        </w:tc>
        <w:tc>
          <w:tcPr>
            <w:tcW w:w="868" w:type="pct"/>
            <w:tcBorders>
              <w:top w:val="single" w:sz="6" w:space="0" w:color="000000"/>
              <w:left w:val="single" w:sz="6" w:space="0" w:color="000000"/>
              <w:bottom w:val="single" w:sz="6" w:space="0" w:color="000000"/>
              <w:right w:val="single" w:sz="6" w:space="0" w:color="000000"/>
            </w:tcBorders>
            <w:hideMark/>
          </w:tcPr>
          <w:p w14:paraId="05D160E3" w14:textId="77777777" w:rsidR="006140B9" w:rsidRPr="00012278" w:rsidRDefault="006140B9" w:rsidP="005112A3">
            <w:pPr>
              <w:keepNext/>
              <w:jc w:val="center"/>
              <w:rPr>
                <w:szCs w:val="22"/>
                <w:lang w:val="sr-Latn-ME"/>
              </w:rPr>
            </w:pPr>
            <w:r w:rsidRPr="00012278">
              <w:rPr>
                <w:szCs w:val="22"/>
                <w:lang w:val="sr-Latn-ME"/>
              </w:rPr>
              <w:t>2800</w:t>
            </w:r>
          </w:p>
        </w:tc>
        <w:tc>
          <w:tcPr>
            <w:tcW w:w="753" w:type="pct"/>
            <w:tcBorders>
              <w:top w:val="single" w:sz="6" w:space="0" w:color="000000"/>
              <w:left w:val="single" w:sz="6" w:space="0" w:color="000000"/>
              <w:bottom w:val="single" w:sz="6" w:space="0" w:color="000000"/>
              <w:right w:val="single" w:sz="6" w:space="0" w:color="000000"/>
            </w:tcBorders>
            <w:hideMark/>
          </w:tcPr>
          <w:p w14:paraId="4C7E891B" w14:textId="77777777" w:rsidR="006140B9" w:rsidRPr="00012278" w:rsidRDefault="006140B9" w:rsidP="005112A3">
            <w:pPr>
              <w:keepNext/>
              <w:jc w:val="center"/>
              <w:rPr>
                <w:szCs w:val="22"/>
                <w:lang w:val="sr-Latn-ME"/>
              </w:rPr>
            </w:pPr>
            <w:r w:rsidRPr="00012278">
              <w:rPr>
                <w:szCs w:val="22"/>
                <w:lang w:val="sr-Latn-ME"/>
              </w:rPr>
              <w:t>2</w:t>
            </w:r>
          </w:p>
        </w:tc>
        <w:tc>
          <w:tcPr>
            <w:tcW w:w="735" w:type="pct"/>
            <w:tcBorders>
              <w:top w:val="single" w:sz="6" w:space="0" w:color="000000"/>
              <w:left w:val="single" w:sz="6" w:space="0" w:color="000000"/>
              <w:bottom w:val="single" w:sz="6" w:space="0" w:color="000000"/>
              <w:right w:val="single" w:sz="6" w:space="0" w:color="000000"/>
            </w:tcBorders>
          </w:tcPr>
          <w:p w14:paraId="2D5EA3D5" w14:textId="77777777" w:rsidR="006140B9" w:rsidRPr="00012278" w:rsidRDefault="006140B9" w:rsidP="005112A3">
            <w:pPr>
              <w:keepNext/>
              <w:jc w:val="center"/>
              <w:rPr>
                <w:szCs w:val="22"/>
                <w:lang w:val="sr-Latn-ME"/>
              </w:rPr>
            </w:pPr>
            <w:r w:rsidRPr="00012278">
              <w:rPr>
                <w:szCs w:val="22"/>
                <w:lang w:val="sr-Latn-ME"/>
              </w:rPr>
              <w:t>5</w:t>
            </w:r>
          </w:p>
        </w:tc>
        <w:tc>
          <w:tcPr>
            <w:tcW w:w="992" w:type="pct"/>
            <w:tcBorders>
              <w:top w:val="single" w:sz="6" w:space="0" w:color="000000"/>
              <w:left w:val="single" w:sz="6" w:space="0" w:color="000000"/>
              <w:bottom w:val="single" w:sz="6" w:space="0" w:color="000000"/>
              <w:right w:val="single" w:sz="6" w:space="0" w:color="000000"/>
            </w:tcBorders>
            <w:hideMark/>
          </w:tcPr>
          <w:p w14:paraId="22BFDFBF" w14:textId="77777777" w:rsidR="006140B9" w:rsidRPr="00012278" w:rsidRDefault="006140B9" w:rsidP="005112A3">
            <w:pPr>
              <w:keepNext/>
              <w:jc w:val="center"/>
              <w:rPr>
                <w:szCs w:val="22"/>
                <w:lang w:val="sr-Latn-ME"/>
              </w:rPr>
            </w:pPr>
            <w:r w:rsidRPr="00012278">
              <w:rPr>
                <w:szCs w:val="22"/>
                <w:lang w:val="sr-Latn-ME"/>
              </w:rPr>
              <w:t>2150</w:t>
            </w:r>
          </w:p>
        </w:tc>
        <w:tc>
          <w:tcPr>
            <w:tcW w:w="846" w:type="pct"/>
            <w:tcBorders>
              <w:top w:val="single" w:sz="6" w:space="0" w:color="000000"/>
              <w:left w:val="single" w:sz="6" w:space="0" w:color="000000"/>
              <w:bottom w:val="single" w:sz="6" w:space="0" w:color="000000"/>
              <w:right w:val="single" w:sz="6" w:space="0" w:color="000000"/>
            </w:tcBorders>
            <w:hideMark/>
          </w:tcPr>
          <w:p w14:paraId="35F77329" w14:textId="77777777" w:rsidR="006140B9" w:rsidRPr="00012278" w:rsidRDefault="006140B9" w:rsidP="005112A3">
            <w:pPr>
              <w:keepNext/>
              <w:jc w:val="center"/>
              <w:rPr>
                <w:szCs w:val="22"/>
                <w:lang w:val="sr-Latn-ME"/>
              </w:rPr>
            </w:pPr>
            <w:r w:rsidRPr="00012278">
              <w:rPr>
                <w:szCs w:val="22"/>
                <w:lang w:val="sr-Latn-ME"/>
              </w:rPr>
              <w:t>1450</w:t>
            </w:r>
          </w:p>
        </w:tc>
      </w:tr>
    </w:tbl>
    <w:p w14:paraId="1DD9DBA5" w14:textId="77777777" w:rsidR="006140B9" w:rsidRPr="00012278" w:rsidRDefault="006140B9" w:rsidP="006140B9">
      <w:pPr>
        <w:rPr>
          <w:szCs w:val="22"/>
          <w:lang w:val="sr-Latn-ME"/>
        </w:rPr>
      </w:pPr>
    </w:p>
    <w:p w14:paraId="49CC1033" w14:textId="39CCF028" w:rsidR="006140B9" w:rsidRPr="00012278" w:rsidRDefault="006140B9" w:rsidP="006140B9">
      <w:pPr>
        <w:rPr>
          <w:szCs w:val="22"/>
          <w:lang w:val="sr-Latn-ME"/>
        </w:rPr>
      </w:pPr>
      <w:r w:rsidRPr="00012278">
        <w:rPr>
          <w:szCs w:val="22"/>
          <w:lang w:val="sr-Latn-ME"/>
        </w:rPr>
        <w:t>Tabela 2: Izračunavanje standardnih i smanjenih doza prema površini tijela za početnu dozu kapecitabina od 1000 mg/m</w:t>
      </w:r>
      <w:r w:rsidRPr="00012278">
        <w:rPr>
          <w:szCs w:val="22"/>
          <w:vertAlign w:val="superscript"/>
          <w:lang w:val="sr-Latn-ME"/>
        </w:rPr>
        <w:t>2</w:t>
      </w:r>
    </w:p>
    <w:p w14:paraId="34964467" w14:textId="77777777" w:rsidR="006140B9" w:rsidRPr="00012278" w:rsidRDefault="006140B9" w:rsidP="006140B9">
      <w:pPr>
        <w:rPr>
          <w:szCs w:val="22"/>
          <w:lang w:val="sr-Latn-ME"/>
        </w:rPr>
      </w:pPr>
    </w:p>
    <w:tbl>
      <w:tblPr>
        <w:tblW w:w="4837" w:type="pct"/>
        <w:tblLook w:val="04A0" w:firstRow="1" w:lastRow="0" w:firstColumn="1" w:lastColumn="0" w:noHBand="0" w:noVBand="1"/>
      </w:tblPr>
      <w:tblGrid>
        <w:gridCol w:w="1140"/>
        <w:gridCol w:w="1510"/>
        <w:gridCol w:w="1570"/>
        <w:gridCol w:w="1472"/>
        <w:gridCol w:w="1475"/>
        <w:gridCol w:w="1593"/>
      </w:tblGrid>
      <w:tr w:rsidR="006140B9" w:rsidRPr="00012278" w14:paraId="132A8879" w14:textId="77777777" w:rsidTr="00183A6F">
        <w:tc>
          <w:tcPr>
            <w:tcW w:w="651" w:type="pct"/>
            <w:tcBorders>
              <w:top w:val="single" w:sz="6" w:space="0" w:color="000000"/>
              <w:left w:val="single" w:sz="6" w:space="0" w:color="000000"/>
              <w:bottom w:val="nil"/>
              <w:right w:val="single" w:sz="6" w:space="0" w:color="000000"/>
            </w:tcBorders>
          </w:tcPr>
          <w:p w14:paraId="03CAEF06" w14:textId="77777777" w:rsidR="006140B9" w:rsidRPr="00012278" w:rsidRDefault="006140B9" w:rsidP="006140B9">
            <w:pPr>
              <w:rPr>
                <w:szCs w:val="22"/>
                <w:lang w:val="sr-Latn-ME"/>
              </w:rPr>
            </w:pPr>
          </w:p>
        </w:tc>
        <w:tc>
          <w:tcPr>
            <w:tcW w:w="4349" w:type="pct"/>
            <w:gridSpan w:val="5"/>
            <w:tcBorders>
              <w:top w:val="single" w:sz="6" w:space="0" w:color="000000"/>
              <w:left w:val="single" w:sz="6" w:space="0" w:color="000000"/>
              <w:bottom w:val="nil"/>
              <w:right w:val="single" w:sz="6" w:space="0" w:color="000000"/>
            </w:tcBorders>
            <w:hideMark/>
          </w:tcPr>
          <w:p w14:paraId="1B407739" w14:textId="77777777" w:rsidR="006140B9" w:rsidRPr="00012278" w:rsidRDefault="006140B9" w:rsidP="005112A3">
            <w:pPr>
              <w:jc w:val="center"/>
              <w:rPr>
                <w:szCs w:val="22"/>
                <w:lang w:val="sr-Latn-ME"/>
              </w:rPr>
            </w:pPr>
            <w:r w:rsidRPr="00012278">
              <w:rPr>
                <w:szCs w:val="22"/>
                <w:lang w:val="sr-Latn-ME"/>
              </w:rPr>
              <w:t>Doza 1000 mg/m</w:t>
            </w:r>
            <w:r w:rsidRPr="00012278">
              <w:rPr>
                <w:szCs w:val="22"/>
                <w:vertAlign w:val="superscript"/>
                <w:lang w:val="sr-Latn-ME"/>
              </w:rPr>
              <w:t>2</w:t>
            </w:r>
            <w:r w:rsidRPr="00012278">
              <w:rPr>
                <w:szCs w:val="22"/>
                <w:lang w:val="sr-Latn-ME"/>
              </w:rPr>
              <w:t xml:space="preserve"> (dva put na dan)</w:t>
            </w:r>
          </w:p>
        </w:tc>
      </w:tr>
      <w:tr w:rsidR="006140B9" w:rsidRPr="00012278" w14:paraId="61FC062F" w14:textId="77777777" w:rsidTr="00183A6F">
        <w:trPr>
          <w:trHeight w:val="1146"/>
        </w:trPr>
        <w:tc>
          <w:tcPr>
            <w:tcW w:w="651" w:type="pct"/>
            <w:tcBorders>
              <w:top w:val="single" w:sz="6" w:space="0" w:color="000000"/>
              <w:left w:val="single" w:sz="6" w:space="0" w:color="000000"/>
              <w:bottom w:val="nil"/>
              <w:right w:val="single" w:sz="6" w:space="0" w:color="000000"/>
            </w:tcBorders>
          </w:tcPr>
          <w:p w14:paraId="61C2375D" w14:textId="77777777" w:rsidR="006140B9" w:rsidRPr="00012278" w:rsidRDefault="006140B9" w:rsidP="006140B9">
            <w:pPr>
              <w:rPr>
                <w:szCs w:val="22"/>
                <w:lang w:val="sr-Latn-ME"/>
              </w:rPr>
            </w:pPr>
          </w:p>
        </w:tc>
        <w:tc>
          <w:tcPr>
            <w:tcW w:w="862" w:type="pct"/>
            <w:tcBorders>
              <w:top w:val="single" w:sz="6" w:space="0" w:color="000000"/>
              <w:left w:val="single" w:sz="6" w:space="0" w:color="000000"/>
              <w:bottom w:val="nil"/>
              <w:right w:val="single" w:sz="6" w:space="0" w:color="000000"/>
            </w:tcBorders>
          </w:tcPr>
          <w:p w14:paraId="72D2C778" w14:textId="77777777" w:rsidR="006140B9" w:rsidRPr="00012278" w:rsidRDefault="006140B9" w:rsidP="005112A3">
            <w:pPr>
              <w:jc w:val="center"/>
              <w:rPr>
                <w:szCs w:val="22"/>
                <w:lang w:val="sr-Latn-ME"/>
              </w:rPr>
            </w:pPr>
            <w:r w:rsidRPr="00012278">
              <w:rPr>
                <w:szCs w:val="22"/>
                <w:lang w:val="sr-Latn-ME"/>
              </w:rPr>
              <w:t>Puna doza</w:t>
            </w:r>
          </w:p>
          <w:p w14:paraId="1B3B3AE3" w14:textId="77777777" w:rsidR="006140B9" w:rsidRPr="00012278" w:rsidRDefault="006140B9" w:rsidP="005112A3">
            <w:pPr>
              <w:jc w:val="center"/>
              <w:rPr>
                <w:szCs w:val="22"/>
                <w:lang w:val="sr-Latn-ME"/>
              </w:rPr>
            </w:pPr>
          </w:p>
          <w:p w14:paraId="4A4EC658" w14:textId="77777777" w:rsidR="006140B9" w:rsidRPr="00012278" w:rsidRDefault="006140B9" w:rsidP="005112A3">
            <w:pPr>
              <w:jc w:val="center"/>
              <w:rPr>
                <w:szCs w:val="22"/>
                <w:lang w:val="sr-Latn-ME"/>
              </w:rPr>
            </w:pPr>
          </w:p>
          <w:p w14:paraId="4B1BFA6E" w14:textId="77777777" w:rsidR="006140B9" w:rsidRPr="00012278" w:rsidRDefault="006140B9" w:rsidP="005112A3">
            <w:pPr>
              <w:jc w:val="center"/>
              <w:rPr>
                <w:szCs w:val="22"/>
                <w:lang w:val="sr-Latn-ME"/>
              </w:rPr>
            </w:pPr>
            <w:r w:rsidRPr="00012278">
              <w:rPr>
                <w:szCs w:val="22"/>
                <w:lang w:val="sr-Latn-ME"/>
              </w:rPr>
              <w:t>1000 mg/m</w:t>
            </w:r>
            <w:r w:rsidRPr="00012278">
              <w:rPr>
                <w:szCs w:val="22"/>
                <w:vertAlign w:val="superscript"/>
                <w:lang w:val="sr-Latn-ME"/>
              </w:rPr>
              <w:t>2</w:t>
            </w:r>
          </w:p>
        </w:tc>
        <w:tc>
          <w:tcPr>
            <w:tcW w:w="1736" w:type="pct"/>
            <w:gridSpan w:val="2"/>
            <w:tcBorders>
              <w:top w:val="single" w:sz="6" w:space="0" w:color="000000"/>
              <w:left w:val="single" w:sz="6" w:space="0" w:color="000000"/>
              <w:bottom w:val="nil"/>
              <w:right w:val="single" w:sz="6" w:space="0" w:color="000000"/>
            </w:tcBorders>
            <w:hideMark/>
          </w:tcPr>
          <w:p w14:paraId="0B632D59" w14:textId="77777777" w:rsidR="006140B9" w:rsidRPr="00012278" w:rsidRDefault="006140B9" w:rsidP="005112A3">
            <w:pPr>
              <w:jc w:val="center"/>
              <w:rPr>
                <w:szCs w:val="22"/>
                <w:lang w:val="sr-Latn-ME"/>
              </w:rPr>
            </w:pPr>
            <w:r w:rsidRPr="00012278">
              <w:rPr>
                <w:szCs w:val="22"/>
                <w:lang w:val="sr-Latn-ME"/>
              </w:rPr>
              <w:t>Broj tableta od 150 mg</w:t>
            </w:r>
          </w:p>
          <w:p w14:paraId="76CF6B92" w14:textId="77777777" w:rsidR="006140B9" w:rsidRPr="00012278" w:rsidRDefault="006140B9" w:rsidP="005112A3">
            <w:pPr>
              <w:jc w:val="center"/>
              <w:rPr>
                <w:szCs w:val="22"/>
                <w:lang w:val="sr-Latn-ME"/>
              </w:rPr>
            </w:pPr>
            <w:r w:rsidRPr="00012278">
              <w:rPr>
                <w:szCs w:val="22"/>
                <w:lang w:val="sr-Latn-ME"/>
              </w:rPr>
              <w:t>i/ili 500 mg po jednoj primjeni (svaka doza uzima se ujutro i uveče)</w:t>
            </w:r>
          </w:p>
        </w:tc>
        <w:tc>
          <w:tcPr>
            <w:tcW w:w="842" w:type="pct"/>
            <w:tcBorders>
              <w:top w:val="single" w:sz="6" w:space="0" w:color="000000"/>
              <w:left w:val="single" w:sz="6" w:space="0" w:color="000000"/>
              <w:bottom w:val="nil"/>
              <w:right w:val="single" w:sz="6" w:space="0" w:color="000000"/>
            </w:tcBorders>
          </w:tcPr>
          <w:p w14:paraId="0E5EC1BE" w14:textId="77777777" w:rsidR="006140B9" w:rsidRPr="00012278" w:rsidRDefault="006140B9" w:rsidP="005112A3">
            <w:pPr>
              <w:jc w:val="center"/>
              <w:rPr>
                <w:szCs w:val="22"/>
                <w:lang w:val="sr-Latn-ME"/>
              </w:rPr>
            </w:pPr>
            <w:r w:rsidRPr="00012278">
              <w:rPr>
                <w:szCs w:val="22"/>
                <w:lang w:val="sr-Latn-ME"/>
              </w:rPr>
              <w:t>Smanjena doza</w:t>
            </w:r>
          </w:p>
          <w:p w14:paraId="643B59AF" w14:textId="77777777" w:rsidR="006140B9" w:rsidRPr="00012278" w:rsidRDefault="006140B9" w:rsidP="005112A3">
            <w:pPr>
              <w:jc w:val="center"/>
              <w:rPr>
                <w:szCs w:val="22"/>
                <w:lang w:val="sr-Latn-ME"/>
              </w:rPr>
            </w:pPr>
            <w:r w:rsidRPr="00012278">
              <w:rPr>
                <w:szCs w:val="22"/>
                <w:lang w:val="sr-Latn-ME"/>
              </w:rPr>
              <w:t>(75 %)</w:t>
            </w:r>
          </w:p>
          <w:p w14:paraId="53EC693D" w14:textId="77777777" w:rsidR="006140B9" w:rsidRPr="00012278" w:rsidRDefault="006140B9" w:rsidP="005112A3">
            <w:pPr>
              <w:jc w:val="center"/>
              <w:rPr>
                <w:szCs w:val="22"/>
                <w:lang w:val="sr-Latn-ME"/>
              </w:rPr>
            </w:pPr>
          </w:p>
          <w:p w14:paraId="2F8E1AC2" w14:textId="77777777" w:rsidR="006140B9" w:rsidRPr="00012278" w:rsidRDefault="006140B9" w:rsidP="005112A3">
            <w:pPr>
              <w:jc w:val="center"/>
              <w:rPr>
                <w:szCs w:val="22"/>
                <w:vertAlign w:val="superscript"/>
                <w:lang w:val="sr-Latn-ME"/>
              </w:rPr>
            </w:pPr>
            <w:r w:rsidRPr="00012278">
              <w:rPr>
                <w:szCs w:val="22"/>
                <w:lang w:val="sr-Latn-ME"/>
              </w:rPr>
              <w:t>750 mg/m</w:t>
            </w:r>
            <w:r w:rsidRPr="00012278">
              <w:rPr>
                <w:szCs w:val="22"/>
                <w:vertAlign w:val="superscript"/>
                <w:lang w:val="sr-Latn-ME"/>
              </w:rPr>
              <w:t>2</w:t>
            </w:r>
          </w:p>
        </w:tc>
        <w:tc>
          <w:tcPr>
            <w:tcW w:w="909" w:type="pct"/>
            <w:tcBorders>
              <w:top w:val="single" w:sz="6" w:space="0" w:color="000000"/>
              <w:left w:val="single" w:sz="6" w:space="0" w:color="000000"/>
              <w:bottom w:val="nil"/>
              <w:right w:val="single" w:sz="6" w:space="0" w:color="000000"/>
            </w:tcBorders>
          </w:tcPr>
          <w:p w14:paraId="79A556E5" w14:textId="77777777" w:rsidR="006140B9" w:rsidRPr="00012278" w:rsidRDefault="006140B9" w:rsidP="005112A3">
            <w:pPr>
              <w:jc w:val="center"/>
              <w:rPr>
                <w:szCs w:val="22"/>
                <w:lang w:val="sr-Latn-ME"/>
              </w:rPr>
            </w:pPr>
            <w:r w:rsidRPr="00012278">
              <w:rPr>
                <w:szCs w:val="22"/>
                <w:lang w:val="sr-Latn-ME"/>
              </w:rPr>
              <w:t>Smanjena doza</w:t>
            </w:r>
          </w:p>
          <w:p w14:paraId="570387E6" w14:textId="77777777" w:rsidR="006140B9" w:rsidRPr="00012278" w:rsidRDefault="006140B9" w:rsidP="005112A3">
            <w:pPr>
              <w:jc w:val="center"/>
              <w:rPr>
                <w:szCs w:val="22"/>
                <w:lang w:val="sr-Latn-ME"/>
              </w:rPr>
            </w:pPr>
            <w:r w:rsidRPr="00012278">
              <w:rPr>
                <w:szCs w:val="22"/>
                <w:lang w:val="sr-Latn-ME"/>
              </w:rPr>
              <w:t>(50 %)</w:t>
            </w:r>
          </w:p>
          <w:p w14:paraId="3D81745F" w14:textId="77777777" w:rsidR="006140B9" w:rsidRPr="00012278" w:rsidRDefault="006140B9" w:rsidP="005112A3">
            <w:pPr>
              <w:jc w:val="center"/>
              <w:rPr>
                <w:szCs w:val="22"/>
                <w:lang w:val="sr-Latn-ME"/>
              </w:rPr>
            </w:pPr>
          </w:p>
          <w:p w14:paraId="2A5A36FB" w14:textId="77777777" w:rsidR="006140B9" w:rsidRPr="00012278" w:rsidRDefault="006140B9" w:rsidP="005112A3">
            <w:pPr>
              <w:jc w:val="center"/>
              <w:rPr>
                <w:szCs w:val="22"/>
                <w:lang w:val="sr-Latn-ME"/>
              </w:rPr>
            </w:pPr>
            <w:r w:rsidRPr="00012278">
              <w:rPr>
                <w:szCs w:val="22"/>
                <w:lang w:val="sr-Latn-ME"/>
              </w:rPr>
              <w:t>500 mg/m</w:t>
            </w:r>
            <w:r w:rsidRPr="00012278">
              <w:rPr>
                <w:szCs w:val="22"/>
                <w:vertAlign w:val="superscript"/>
                <w:lang w:val="sr-Latn-ME"/>
              </w:rPr>
              <w:t>2</w:t>
            </w:r>
          </w:p>
        </w:tc>
      </w:tr>
      <w:tr w:rsidR="006140B9" w:rsidRPr="00012278" w14:paraId="78720279" w14:textId="77777777" w:rsidTr="00183A6F">
        <w:tc>
          <w:tcPr>
            <w:tcW w:w="651" w:type="pct"/>
            <w:tcBorders>
              <w:top w:val="single" w:sz="6" w:space="0" w:color="000000"/>
              <w:left w:val="single" w:sz="6" w:space="0" w:color="000000"/>
              <w:bottom w:val="single" w:sz="6" w:space="0" w:color="000000"/>
              <w:right w:val="single" w:sz="6" w:space="0" w:color="000000"/>
            </w:tcBorders>
            <w:hideMark/>
          </w:tcPr>
          <w:p w14:paraId="1C863276" w14:textId="77777777" w:rsidR="006140B9" w:rsidRPr="00012278" w:rsidRDefault="006140B9" w:rsidP="006140B9">
            <w:pPr>
              <w:rPr>
                <w:szCs w:val="22"/>
                <w:lang w:val="sr-Latn-ME"/>
              </w:rPr>
            </w:pPr>
            <w:r w:rsidRPr="00012278">
              <w:rPr>
                <w:szCs w:val="22"/>
                <w:lang w:val="sr-Latn-ME"/>
              </w:rPr>
              <w:t>Tjelesna površina (m</w:t>
            </w:r>
            <w:r w:rsidRPr="00012278">
              <w:rPr>
                <w:szCs w:val="22"/>
                <w:vertAlign w:val="superscript"/>
                <w:lang w:val="sr-Latn-ME"/>
              </w:rPr>
              <w:t>2</w:t>
            </w:r>
            <w:r w:rsidRPr="00012278">
              <w:rPr>
                <w:szCs w:val="22"/>
                <w:lang w:val="sr-Latn-ME"/>
              </w:rPr>
              <w:t>)</w:t>
            </w:r>
          </w:p>
        </w:tc>
        <w:tc>
          <w:tcPr>
            <w:tcW w:w="862" w:type="pct"/>
            <w:tcBorders>
              <w:top w:val="single" w:sz="6" w:space="0" w:color="000000"/>
              <w:left w:val="single" w:sz="6" w:space="0" w:color="000000"/>
              <w:bottom w:val="single" w:sz="6" w:space="0" w:color="000000"/>
              <w:right w:val="single" w:sz="6" w:space="0" w:color="000000"/>
            </w:tcBorders>
            <w:hideMark/>
          </w:tcPr>
          <w:p w14:paraId="634A963B" w14:textId="77777777" w:rsidR="006140B9" w:rsidRPr="00012278" w:rsidRDefault="006140B9" w:rsidP="005112A3">
            <w:pPr>
              <w:jc w:val="center"/>
              <w:rPr>
                <w:szCs w:val="22"/>
                <w:lang w:val="sr-Latn-ME"/>
              </w:rPr>
            </w:pPr>
            <w:r w:rsidRPr="00012278">
              <w:rPr>
                <w:szCs w:val="22"/>
                <w:lang w:val="sr-Latn-ME"/>
              </w:rPr>
              <w:t>Doza po jednoj primjeni (mg)</w:t>
            </w:r>
          </w:p>
        </w:tc>
        <w:tc>
          <w:tcPr>
            <w:tcW w:w="896" w:type="pct"/>
            <w:tcBorders>
              <w:top w:val="single" w:sz="6" w:space="0" w:color="000000"/>
              <w:left w:val="single" w:sz="6" w:space="0" w:color="000000"/>
              <w:bottom w:val="single" w:sz="6" w:space="0" w:color="000000"/>
              <w:right w:val="single" w:sz="6" w:space="0" w:color="000000"/>
            </w:tcBorders>
            <w:hideMark/>
          </w:tcPr>
          <w:p w14:paraId="3F724C92" w14:textId="77777777" w:rsidR="006140B9" w:rsidRPr="00012278" w:rsidRDefault="006140B9" w:rsidP="005112A3">
            <w:pPr>
              <w:jc w:val="center"/>
              <w:rPr>
                <w:szCs w:val="22"/>
                <w:lang w:val="sr-Latn-ME"/>
              </w:rPr>
            </w:pPr>
          </w:p>
          <w:p w14:paraId="1EF04F8A" w14:textId="77777777" w:rsidR="006140B9" w:rsidRPr="00012278" w:rsidRDefault="006140B9" w:rsidP="005112A3">
            <w:pPr>
              <w:jc w:val="center"/>
              <w:rPr>
                <w:szCs w:val="22"/>
                <w:lang w:val="sr-Latn-ME"/>
              </w:rPr>
            </w:pPr>
            <w:r w:rsidRPr="00012278">
              <w:rPr>
                <w:szCs w:val="22"/>
                <w:lang w:val="sr-Latn-ME"/>
              </w:rPr>
              <w:t>150 mg</w:t>
            </w:r>
          </w:p>
        </w:tc>
        <w:tc>
          <w:tcPr>
            <w:tcW w:w="840" w:type="pct"/>
            <w:tcBorders>
              <w:top w:val="single" w:sz="6" w:space="0" w:color="000000"/>
              <w:left w:val="single" w:sz="6" w:space="0" w:color="000000"/>
              <w:bottom w:val="single" w:sz="6" w:space="0" w:color="000000"/>
              <w:right w:val="single" w:sz="6" w:space="0" w:color="000000"/>
            </w:tcBorders>
            <w:hideMark/>
          </w:tcPr>
          <w:p w14:paraId="04281417" w14:textId="77777777" w:rsidR="006140B9" w:rsidRPr="00012278" w:rsidRDefault="006140B9" w:rsidP="005112A3">
            <w:pPr>
              <w:jc w:val="center"/>
              <w:rPr>
                <w:szCs w:val="22"/>
                <w:lang w:val="sr-Latn-ME"/>
              </w:rPr>
            </w:pPr>
          </w:p>
          <w:p w14:paraId="10975741" w14:textId="77777777" w:rsidR="006140B9" w:rsidRPr="00012278" w:rsidRDefault="006140B9" w:rsidP="005112A3">
            <w:pPr>
              <w:jc w:val="center"/>
              <w:rPr>
                <w:szCs w:val="22"/>
                <w:lang w:val="sr-Latn-ME"/>
              </w:rPr>
            </w:pPr>
            <w:r w:rsidRPr="00012278">
              <w:rPr>
                <w:szCs w:val="22"/>
                <w:lang w:val="sr-Latn-ME"/>
              </w:rPr>
              <w:t>500 mg</w:t>
            </w:r>
          </w:p>
        </w:tc>
        <w:tc>
          <w:tcPr>
            <w:tcW w:w="842" w:type="pct"/>
            <w:tcBorders>
              <w:top w:val="single" w:sz="6" w:space="0" w:color="000000"/>
              <w:left w:val="single" w:sz="6" w:space="0" w:color="000000"/>
              <w:bottom w:val="single" w:sz="6" w:space="0" w:color="000000"/>
              <w:right w:val="single" w:sz="6" w:space="0" w:color="000000"/>
            </w:tcBorders>
            <w:hideMark/>
          </w:tcPr>
          <w:p w14:paraId="18FB0220" w14:textId="77777777" w:rsidR="006140B9" w:rsidRPr="00012278" w:rsidRDefault="006140B9" w:rsidP="005112A3">
            <w:pPr>
              <w:jc w:val="center"/>
              <w:rPr>
                <w:szCs w:val="22"/>
                <w:lang w:val="sr-Latn-ME"/>
              </w:rPr>
            </w:pPr>
            <w:r w:rsidRPr="00012278">
              <w:rPr>
                <w:szCs w:val="22"/>
                <w:lang w:val="sr-Latn-ME"/>
              </w:rPr>
              <w:t>Doza po jednoj primjeni (mg)</w:t>
            </w:r>
          </w:p>
        </w:tc>
        <w:tc>
          <w:tcPr>
            <w:tcW w:w="909" w:type="pct"/>
            <w:tcBorders>
              <w:top w:val="single" w:sz="6" w:space="0" w:color="000000"/>
              <w:left w:val="single" w:sz="6" w:space="0" w:color="000000"/>
              <w:bottom w:val="single" w:sz="6" w:space="0" w:color="000000"/>
              <w:right w:val="single" w:sz="6" w:space="0" w:color="000000"/>
            </w:tcBorders>
            <w:hideMark/>
          </w:tcPr>
          <w:p w14:paraId="708D513A" w14:textId="77777777" w:rsidR="006140B9" w:rsidRPr="00012278" w:rsidRDefault="006140B9" w:rsidP="005112A3">
            <w:pPr>
              <w:jc w:val="center"/>
              <w:rPr>
                <w:szCs w:val="22"/>
                <w:lang w:val="sr-Latn-ME"/>
              </w:rPr>
            </w:pPr>
            <w:r w:rsidRPr="00012278">
              <w:rPr>
                <w:szCs w:val="22"/>
                <w:lang w:val="sr-Latn-ME"/>
              </w:rPr>
              <w:t>Doza po jednoj primjeni (mg)</w:t>
            </w:r>
          </w:p>
        </w:tc>
      </w:tr>
      <w:tr w:rsidR="006140B9" w:rsidRPr="00012278" w14:paraId="4C52EB95" w14:textId="77777777" w:rsidTr="00183A6F">
        <w:tc>
          <w:tcPr>
            <w:tcW w:w="651" w:type="pct"/>
            <w:tcBorders>
              <w:top w:val="single" w:sz="6" w:space="0" w:color="000000"/>
              <w:left w:val="single" w:sz="6" w:space="0" w:color="000000"/>
              <w:bottom w:val="single" w:sz="6" w:space="0" w:color="000000"/>
              <w:right w:val="single" w:sz="6" w:space="0" w:color="000000"/>
            </w:tcBorders>
            <w:hideMark/>
          </w:tcPr>
          <w:p w14:paraId="48D5C515" w14:textId="77777777" w:rsidR="006140B9" w:rsidRPr="00012278" w:rsidRDefault="006140B9" w:rsidP="006140B9">
            <w:pPr>
              <w:rPr>
                <w:szCs w:val="22"/>
                <w:lang w:val="sr-Latn-ME"/>
              </w:rPr>
            </w:pPr>
            <w:r w:rsidRPr="00012278">
              <w:rPr>
                <w:szCs w:val="22"/>
                <w:lang w:val="sr-Latn-ME"/>
              </w:rPr>
              <w:sym w:font="Symbol" w:char="F0A3"/>
            </w:r>
            <w:r w:rsidRPr="00012278">
              <w:rPr>
                <w:szCs w:val="22"/>
                <w:lang w:val="sr-Latn-ME"/>
              </w:rPr>
              <w:t> 1,26</w:t>
            </w:r>
          </w:p>
        </w:tc>
        <w:tc>
          <w:tcPr>
            <w:tcW w:w="862" w:type="pct"/>
            <w:tcBorders>
              <w:top w:val="single" w:sz="6" w:space="0" w:color="000000"/>
              <w:left w:val="single" w:sz="6" w:space="0" w:color="000000"/>
              <w:bottom w:val="single" w:sz="6" w:space="0" w:color="000000"/>
              <w:right w:val="single" w:sz="6" w:space="0" w:color="000000"/>
            </w:tcBorders>
            <w:hideMark/>
          </w:tcPr>
          <w:p w14:paraId="4BF68A79" w14:textId="77777777" w:rsidR="006140B9" w:rsidRPr="00012278" w:rsidRDefault="006140B9" w:rsidP="005112A3">
            <w:pPr>
              <w:jc w:val="center"/>
              <w:rPr>
                <w:szCs w:val="22"/>
                <w:lang w:val="sr-Latn-ME"/>
              </w:rPr>
            </w:pPr>
            <w:r w:rsidRPr="00012278">
              <w:rPr>
                <w:szCs w:val="22"/>
                <w:lang w:val="sr-Latn-ME"/>
              </w:rPr>
              <w:t>1150</w:t>
            </w:r>
          </w:p>
        </w:tc>
        <w:tc>
          <w:tcPr>
            <w:tcW w:w="896" w:type="pct"/>
            <w:tcBorders>
              <w:top w:val="single" w:sz="6" w:space="0" w:color="000000"/>
              <w:left w:val="single" w:sz="6" w:space="0" w:color="000000"/>
              <w:bottom w:val="single" w:sz="6" w:space="0" w:color="000000"/>
              <w:right w:val="single" w:sz="6" w:space="0" w:color="000000"/>
            </w:tcBorders>
            <w:hideMark/>
          </w:tcPr>
          <w:p w14:paraId="4C2B279C" w14:textId="77777777" w:rsidR="006140B9" w:rsidRPr="00012278" w:rsidRDefault="006140B9" w:rsidP="005112A3">
            <w:pPr>
              <w:jc w:val="center"/>
              <w:rPr>
                <w:szCs w:val="22"/>
                <w:lang w:val="sr-Latn-ME"/>
              </w:rPr>
            </w:pPr>
            <w:r w:rsidRPr="00012278">
              <w:rPr>
                <w:szCs w:val="22"/>
                <w:lang w:val="sr-Latn-ME"/>
              </w:rPr>
              <w:t>1</w:t>
            </w:r>
          </w:p>
        </w:tc>
        <w:tc>
          <w:tcPr>
            <w:tcW w:w="840" w:type="pct"/>
            <w:tcBorders>
              <w:top w:val="single" w:sz="6" w:space="0" w:color="000000"/>
              <w:left w:val="single" w:sz="6" w:space="0" w:color="000000"/>
              <w:bottom w:val="single" w:sz="6" w:space="0" w:color="000000"/>
              <w:right w:val="single" w:sz="6" w:space="0" w:color="000000"/>
            </w:tcBorders>
            <w:hideMark/>
          </w:tcPr>
          <w:p w14:paraId="2E9B7BD7" w14:textId="77777777" w:rsidR="006140B9" w:rsidRPr="00012278" w:rsidRDefault="006140B9" w:rsidP="005112A3">
            <w:pPr>
              <w:jc w:val="center"/>
              <w:rPr>
                <w:szCs w:val="22"/>
                <w:lang w:val="sr-Latn-ME"/>
              </w:rPr>
            </w:pPr>
            <w:r w:rsidRPr="00012278">
              <w:rPr>
                <w:szCs w:val="22"/>
                <w:lang w:val="sr-Latn-ME"/>
              </w:rPr>
              <w:t>2</w:t>
            </w:r>
          </w:p>
        </w:tc>
        <w:tc>
          <w:tcPr>
            <w:tcW w:w="842" w:type="pct"/>
            <w:tcBorders>
              <w:top w:val="single" w:sz="6" w:space="0" w:color="000000"/>
              <w:left w:val="single" w:sz="6" w:space="0" w:color="000000"/>
              <w:bottom w:val="single" w:sz="6" w:space="0" w:color="000000"/>
              <w:right w:val="single" w:sz="6" w:space="0" w:color="000000"/>
            </w:tcBorders>
            <w:hideMark/>
          </w:tcPr>
          <w:p w14:paraId="1DEABDBA" w14:textId="77777777" w:rsidR="006140B9" w:rsidRPr="00012278" w:rsidRDefault="006140B9" w:rsidP="005112A3">
            <w:pPr>
              <w:jc w:val="center"/>
              <w:rPr>
                <w:szCs w:val="22"/>
                <w:lang w:val="sr-Latn-ME"/>
              </w:rPr>
            </w:pPr>
            <w:r w:rsidRPr="00012278">
              <w:rPr>
                <w:szCs w:val="22"/>
                <w:lang w:val="sr-Latn-ME"/>
              </w:rPr>
              <w:t>800</w:t>
            </w:r>
          </w:p>
        </w:tc>
        <w:tc>
          <w:tcPr>
            <w:tcW w:w="909" w:type="pct"/>
            <w:tcBorders>
              <w:top w:val="single" w:sz="6" w:space="0" w:color="000000"/>
              <w:left w:val="single" w:sz="6" w:space="0" w:color="000000"/>
              <w:bottom w:val="single" w:sz="6" w:space="0" w:color="000000"/>
              <w:right w:val="single" w:sz="6" w:space="0" w:color="000000"/>
            </w:tcBorders>
            <w:hideMark/>
          </w:tcPr>
          <w:p w14:paraId="517D3B25" w14:textId="77777777" w:rsidR="006140B9" w:rsidRPr="00012278" w:rsidRDefault="006140B9" w:rsidP="005112A3">
            <w:pPr>
              <w:jc w:val="center"/>
              <w:rPr>
                <w:szCs w:val="22"/>
                <w:lang w:val="sr-Latn-ME"/>
              </w:rPr>
            </w:pPr>
            <w:r w:rsidRPr="00012278">
              <w:rPr>
                <w:szCs w:val="22"/>
                <w:lang w:val="sr-Latn-ME"/>
              </w:rPr>
              <w:t>600</w:t>
            </w:r>
          </w:p>
        </w:tc>
      </w:tr>
      <w:tr w:rsidR="006140B9" w:rsidRPr="00012278" w14:paraId="0848E267" w14:textId="77777777" w:rsidTr="00183A6F">
        <w:tc>
          <w:tcPr>
            <w:tcW w:w="651" w:type="pct"/>
            <w:tcBorders>
              <w:top w:val="single" w:sz="6" w:space="0" w:color="000000"/>
              <w:left w:val="single" w:sz="6" w:space="0" w:color="000000"/>
              <w:bottom w:val="single" w:sz="6" w:space="0" w:color="000000"/>
              <w:right w:val="single" w:sz="6" w:space="0" w:color="000000"/>
            </w:tcBorders>
            <w:hideMark/>
          </w:tcPr>
          <w:p w14:paraId="2424979C" w14:textId="77777777" w:rsidR="006140B9" w:rsidRPr="00012278" w:rsidRDefault="006140B9" w:rsidP="006140B9">
            <w:pPr>
              <w:rPr>
                <w:szCs w:val="22"/>
                <w:lang w:val="sr-Latn-ME"/>
              </w:rPr>
            </w:pPr>
            <w:r w:rsidRPr="00012278">
              <w:rPr>
                <w:szCs w:val="22"/>
                <w:lang w:val="sr-Latn-ME"/>
              </w:rPr>
              <w:t>1,27–1,38</w:t>
            </w:r>
          </w:p>
        </w:tc>
        <w:tc>
          <w:tcPr>
            <w:tcW w:w="862" w:type="pct"/>
            <w:tcBorders>
              <w:top w:val="single" w:sz="6" w:space="0" w:color="000000"/>
              <w:left w:val="single" w:sz="6" w:space="0" w:color="000000"/>
              <w:bottom w:val="single" w:sz="6" w:space="0" w:color="000000"/>
              <w:right w:val="single" w:sz="6" w:space="0" w:color="000000"/>
            </w:tcBorders>
            <w:hideMark/>
          </w:tcPr>
          <w:p w14:paraId="2AD90567" w14:textId="77777777" w:rsidR="006140B9" w:rsidRPr="00012278" w:rsidRDefault="006140B9" w:rsidP="005112A3">
            <w:pPr>
              <w:jc w:val="center"/>
              <w:rPr>
                <w:szCs w:val="22"/>
                <w:lang w:val="sr-Latn-ME"/>
              </w:rPr>
            </w:pPr>
            <w:r w:rsidRPr="00012278">
              <w:rPr>
                <w:szCs w:val="22"/>
                <w:lang w:val="sr-Latn-ME"/>
              </w:rPr>
              <w:t>1300</w:t>
            </w:r>
          </w:p>
        </w:tc>
        <w:tc>
          <w:tcPr>
            <w:tcW w:w="896" w:type="pct"/>
            <w:tcBorders>
              <w:top w:val="single" w:sz="6" w:space="0" w:color="000000"/>
              <w:left w:val="single" w:sz="6" w:space="0" w:color="000000"/>
              <w:bottom w:val="single" w:sz="6" w:space="0" w:color="000000"/>
              <w:right w:val="single" w:sz="6" w:space="0" w:color="000000"/>
            </w:tcBorders>
            <w:hideMark/>
          </w:tcPr>
          <w:p w14:paraId="62B11011" w14:textId="77777777" w:rsidR="006140B9" w:rsidRPr="00012278" w:rsidRDefault="006140B9" w:rsidP="005112A3">
            <w:pPr>
              <w:jc w:val="center"/>
              <w:rPr>
                <w:szCs w:val="22"/>
                <w:lang w:val="sr-Latn-ME"/>
              </w:rPr>
            </w:pPr>
            <w:r w:rsidRPr="00012278">
              <w:rPr>
                <w:szCs w:val="22"/>
                <w:lang w:val="sr-Latn-ME"/>
              </w:rPr>
              <w:t>2</w:t>
            </w:r>
          </w:p>
        </w:tc>
        <w:tc>
          <w:tcPr>
            <w:tcW w:w="840" w:type="pct"/>
            <w:tcBorders>
              <w:top w:val="single" w:sz="6" w:space="0" w:color="000000"/>
              <w:left w:val="single" w:sz="6" w:space="0" w:color="000000"/>
              <w:bottom w:val="single" w:sz="6" w:space="0" w:color="000000"/>
              <w:right w:val="single" w:sz="6" w:space="0" w:color="000000"/>
            </w:tcBorders>
          </w:tcPr>
          <w:p w14:paraId="3DC2393D" w14:textId="77777777" w:rsidR="006140B9" w:rsidRPr="00012278" w:rsidRDefault="006140B9" w:rsidP="005112A3">
            <w:pPr>
              <w:jc w:val="center"/>
              <w:rPr>
                <w:szCs w:val="22"/>
                <w:lang w:val="sr-Latn-ME"/>
              </w:rPr>
            </w:pPr>
            <w:r w:rsidRPr="00012278">
              <w:rPr>
                <w:szCs w:val="22"/>
                <w:lang w:val="sr-Latn-ME"/>
              </w:rPr>
              <w:t>2</w:t>
            </w:r>
          </w:p>
        </w:tc>
        <w:tc>
          <w:tcPr>
            <w:tcW w:w="842" w:type="pct"/>
            <w:tcBorders>
              <w:top w:val="single" w:sz="6" w:space="0" w:color="000000"/>
              <w:left w:val="single" w:sz="6" w:space="0" w:color="000000"/>
              <w:bottom w:val="single" w:sz="6" w:space="0" w:color="000000"/>
              <w:right w:val="single" w:sz="6" w:space="0" w:color="000000"/>
            </w:tcBorders>
            <w:hideMark/>
          </w:tcPr>
          <w:p w14:paraId="5F1AA390" w14:textId="77777777" w:rsidR="006140B9" w:rsidRPr="00012278" w:rsidRDefault="006140B9" w:rsidP="005112A3">
            <w:pPr>
              <w:jc w:val="center"/>
              <w:rPr>
                <w:szCs w:val="22"/>
                <w:lang w:val="sr-Latn-ME"/>
              </w:rPr>
            </w:pPr>
            <w:r w:rsidRPr="00012278">
              <w:rPr>
                <w:szCs w:val="22"/>
                <w:lang w:val="sr-Latn-ME"/>
              </w:rPr>
              <w:t>1000</w:t>
            </w:r>
          </w:p>
        </w:tc>
        <w:tc>
          <w:tcPr>
            <w:tcW w:w="909" w:type="pct"/>
            <w:tcBorders>
              <w:top w:val="single" w:sz="6" w:space="0" w:color="000000"/>
              <w:left w:val="single" w:sz="6" w:space="0" w:color="000000"/>
              <w:bottom w:val="single" w:sz="6" w:space="0" w:color="000000"/>
              <w:right w:val="single" w:sz="6" w:space="0" w:color="000000"/>
            </w:tcBorders>
            <w:hideMark/>
          </w:tcPr>
          <w:p w14:paraId="1C01B351" w14:textId="77777777" w:rsidR="006140B9" w:rsidRPr="00012278" w:rsidRDefault="006140B9" w:rsidP="005112A3">
            <w:pPr>
              <w:jc w:val="center"/>
              <w:rPr>
                <w:szCs w:val="22"/>
                <w:lang w:val="sr-Latn-ME"/>
              </w:rPr>
            </w:pPr>
            <w:r w:rsidRPr="00012278">
              <w:rPr>
                <w:szCs w:val="22"/>
                <w:lang w:val="sr-Latn-ME"/>
              </w:rPr>
              <w:t>600</w:t>
            </w:r>
          </w:p>
        </w:tc>
      </w:tr>
      <w:tr w:rsidR="006140B9" w:rsidRPr="00012278" w14:paraId="15320943" w14:textId="77777777" w:rsidTr="00183A6F">
        <w:tc>
          <w:tcPr>
            <w:tcW w:w="651" w:type="pct"/>
            <w:tcBorders>
              <w:top w:val="single" w:sz="6" w:space="0" w:color="000000"/>
              <w:left w:val="single" w:sz="6" w:space="0" w:color="000000"/>
              <w:bottom w:val="single" w:sz="6" w:space="0" w:color="000000"/>
              <w:right w:val="single" w:sz="6" w:space="0" w:color="000000"/>
            </w:tcBorders>
            <w:hideMark/>
          </w:tcPr>
          <w:p w14:paraId="6F2230D4" w14:textId="77777777" w:rsidR="006140B9" w:rsidRPr="00012278" w:rsidRDefault="006140B9" w:rsidP="006140B9">
            <w:pPr>
              <w:rPr>
                <w:szCs w:val="22"/>
                <w:lang w:val="sr-Latn-ME"/>
              </w:rPr>
            </w:pPr>
            <w:r w:rsidRPr="00012278">
              <w:rPr>
                <w:szCs w:val="22"/>
                <w:lang w:val="sr-Latn-ME"/>
              </w:rPr>
              <w:t>1,39–1,52</w:t>
            </w:r>
          </w:p>
        </w:tc>
        <w:tc>
          <w:tcPr>
            <w:tcW w:w="862" w:type="pct"/>
            <w:tcBorders>
              <w:top w:val="single" w:sz="6" w:space="0" w:color="000000"/>
              <w:left w:val="single" w:sz="6" w:space="0" w:color="000000"/>
              <w:bottom w:val="single" w:sz="6" w:space="0" w:color="000000"/>
              <w:right w:val="single" w:sz="6" w:space="0" w:color="000000"/>
            </w:tcBorders>
            <w:hideMark/>
          </w:tcPr>
          <w:p w14:paraId="0DB823B0" w14:textId="77777777" w:rsidR="006140B9" w:rsidRPr="00012278" w:rsidRDefault="006140B9" w:rsidP="005112A3">
            <w:pPr>
              <w:jc w:val="center"/>
              <w:rPr>
                <w:szCs w:val="22"/>
                <w:lang w:val="sr-Latn-ME"/>
              </w:rPr>
            </w:pPr>
            <w:r w:rsidRPr="00012278">
              <w:rPr>
                <w:szCs w:val="22"/>
                <w:lang w:val="sr-Latn-ME"/>
              </w:rPr>
              <w:t>1450</w:t>
            </w:r>
          </w:p>
        </w:tc>
        <w:tc>
          <w:tcPr>
            <w:tcW w:w="896" w:type="pct"/>
            <w:tcBorders>
              <w:top w:val="single" w:sz="6" w:space="0" w:color="000000"/>
              <w:left w:val="single" w:sz="6" w:space="0" w:color="000000"/>
              <w:bottom w:val="single" w:sz="6" w:space="0" w:color="000000"/>
              <w:right w:val="single" w:sz="6" w:space="0" w:color="000000"/>
            </w:tcBorders>
            <w:hideMark/>
          </w:tcPr>
          <w:p w14:paraId="6C3DD55A" w14:textId="77777777" w:rsidR="006140B9" w:rsidRPr="00012278" w:rsidRDefault="006140B9" w:rsidP="005112A3">
            <w:pPr>
              <w:jc w:val="center"/>
              <w:rPr>
                <w:szCs w:val="22"/>
                <w:lang w:val="sr-Latn-ME"/>
              </w:rPr>
            </w:pPr>
            <w:r w:rsidRPr="00012278">
              <w:rPr>
                <w:szCs w:val="22"/>
                <w:lang w:val="sr-Latn-ME"/>
              </w:rPr>
              <w:t>3</w:t>
            </w:r>
          </w:p>
        </w:tc>
        <w:tc>
          <w:tcPr>
            <w:tcW w:w="840" w:type="pct"/>
            <w:tcBorders>
              <w:top w:val="single" w:sz="6" w:space="0" w:color="000000"/>
              <w:left w:val="single" w:sz="6" w:space="0" w:color="000000"/>
              <w:bottom w:val="single" w:sz="6" w:space="0" w:color="000000"/>
              <w:right w:val="single" w:sz="6" w:space="0" w:color="000000"/>
            </w:tcBorders>
          </w:tcPr>
          <w:p w14:paraId="1B2EC34D" w14:textId="77777777" w:rsidR="006140B9" w:rsidRPr="00012278" w:rsidRDefault="006140B9" w:rsidP="005112A3">
            <w:pPr>
              <w:jc w:val="center"/>
              <w:rPr>
                <w:szCs w:val="22"/>
                <w:lang w:val="sr-Latn-ME"/>
              </w:rPr>
            </w:pPr>
            <w:r w:rsidRPr="00012278">
              <w:rPr>
                <w:szCs w:val="22"/>
                <w:lang w:val="sr-Latn-ME"/>
              </w:rPr>
              <w:t>2</w:t>
            </w:r>
          </w:p>
        </w:tc>
        <w:tc>
          <w:tcPr>
            <w:tcW w:w="842" w:type="pct"/>
            <w:tcBorders>
              <w:top w:val="single" w:sz="6" w:space="0" w:color="000000"/>
              <w:left w:val="single" w:sz="6" w:space="0" w:color="000000"/>
              <w:bottom w:val="single" w:sz="6" w:space="0" w:color="000000"/>
              <w:right w:val="single" w:sz="6" w:space="0" w:color="000000"/>
            </w:tcBorders>
            <w:hideMark/>
          </w:tcPr>
          <w:p w14:paraId="6C072023" w14:textId="77777777" w:rsidR="006140B9" w:rsidRPr="00012278" w:rsidRDefault="006140B9" w:rsidP="005112A3">
            <w:pPr>
              <w:jc w:val="center"/>
              <w:rPr>
                <w:szCs w:val="22"/>
                <w:lang w:val="sr-Latn-ME"/>
              </w:rPr>
            </w:pPr>
            <w:r w:rsidRPr="00012278">
              <w:rPr>
                <w:szCs w:val="22"/>
                <w:lang w:val="sr-Latn-ME"/>
              </w:rPr>
              <w:t>1100</w:t>
            </w:r>
          </w:p>
        </w:tc>
        <w:tc>
          <w:tcPr>
            <w:tcW w:w="909" w:type="pct"/>
            <w:tcBorders>
              <w:top w:val="single" w:sz="6" w:space="0" w:color="000000"/>
              <w:left w:val="single" w:sz="6" w:space="0" w:color="000000"/>
              <w:bottom w:val="single" w:sz="6" w:space="0" w:color="000000"/>
              <w:right w:val="single" w:sz="6" w:space="0" w:color="000000"/>
            </w:tcBorders>
            <w:hideMark/>
          </w:tcPr>
          <w:p w14:paraId="6868BD46" w14:textId="77777777" w:rsidR="006140B9" w:rsidRPr="00012278" w:rsidRDefault="006140B9" w:rsidP="005112A3">
            <w:pPr>
              <w:jc w:val="center"/>
              <w:rPr>
                <w:szCs w:val="22"/>
                <w:lang w:val="sr-Latn-ME"/>
              </w:rPr>
            </w:pPr>
            <w:r w:rsidRPr="00012278">
              <w:rPr>
                <w:szCs w:val="22"/>
                <w:lang w:val="sr-Latn-ME"/>
              </w:rPr>
              <w:t>750</w:t>
            </w:r>
          </w:p>
        </w:tc>
      </w:tr>
      <w:tr w:rsidR="006140B9" w:rsidRPr="00012278" w14:paraId="63F88CD6" w14:textId="77777777" w:rsidTr="00183A6F">
        <w:tc>
          <w:tcPr>
            <w:tcW w:w="651" w:type="pct"/>
            <w:tcBorders>
              <w:top w:val="single" w:sz="6" w:space="0" w:color="000000"/>
              <w:left w:val="single" w:sz="6" w:space="0" w:color="000000"/>
              <w:bottom w:val="single" w:sz="6" w:space="0" w:color="000000"/>
              <w:right w:val="single" w:sz="6" w:space="0" w:color="000000"/>
            </w:tcBorders>
            <w:hideMark/>
          </w:tcPr>
          <w:p w14:paraId="3B9A1938" w14:textId="77777777" w:rsidR="006140B9" w:rsidRPr="00012278" w:rsidRDefault="006140B9" w:rsidP="006140B9">
            <w:pPr>
              <w:rPr>
                <w:szCs w:val="22"/>
                <w:lang w:val="sr-Latn-ME"/>
              </w:rPr>
            </w:pPr>
            <w:r w:rsidRPr="00012278">
              <w:rPr>
                <w:szCs w:val="22"/>
                <w:lang w:val="sr-Latn-ME"/>
              </w:rPr>
              <w:t>1,53–1,66</w:t>
            </w:r>
          </w:p>
        </w:tc>
        <w:tc>
          <w:tcPr>
            <w:tcW w:w="862" w:type="pct"/>
            <w:tcBorders>
              <w:top w:val="single" w:sz="6" w:space="0" w:color="000000"/>
              <w:left w:val="single" w:sz="6" w:space="0" w:color="000000"/>
              <w:bottom w:val="single" w:sz="6" w:space="0" w:color="000000"/>
              <w:right w:val="single" w:sz="6" w:space="0" w:color="000000"/>
            </w:tcBorders>
            <w:hideMark/>
          </w:tcPr>
          <w:p w14:paraId="21C656EE" w14:textId="77777777" w:rsidR="006140B9" w:rsidRPr="00012278" w:rsidRDefault="006140B9" w:rsidP="005112A3">
            <w:pPr>
              <w:jc w:val="center"/>
              <w:rPr>
                <w:szCs w:val="22"/>
                <w:lang w:val="sr-Latn-ME"/>
              </w:rPr>
            </w:pPr>
            <w:r w:rsidRPr="00012278">
              <w:rPr>
                <w:szCs w:val="22"/>
                <w:lang w:val="sr-Latn-ME"/>
              </w:rPr>
              <w:t>1600</w:t>
            </w:r>
          </w:p>
        </w:tc>
        <w:tc>
          <w:tcPr>
            <w:tcW w:w="896" w:type="pct"/>
            <w:tcBorders>
              <w:top w:val="single" w:sz="6" w:space="0" w:color="000000"/>
              <w:left w:val="single" w:sz="6" w:space="0" w:color="000000"/>
              <w:bottom w:val="single" w:sz="6" w:space="0" w:color="000000"/>
              <w:right w:val="single" w:sz="6" w:space="0" w:color="000000"/>
            </w:tcBorders>
            <w:hideMark/>
          </w:tcPr>
          <w:p w14:paraId="5101BD47" w14:textId="77777777" w:rsidR="006140B9" w:rsidRPr="00012278" w:rsidRDefault="006140B9" w:rsidP="005112A3">
            <w:pPr>
              <w:jc w:val="center"/>
              <w:rPr>
                <w:szCs w:val="22"/>
                <w:lang w:val="sr-Latn-ME"/>
              </w:rPr>
            </w:pPr>
            <w:r w:rsidRPr="00012278">
              <w:rPr>
                <w:szCs w:val="22"/>
                <w:lang w:val="sr-Latn-ME"/>
              </w:rPr>
              <w:t>4</w:t>
            </w:r>
          </w:p>
        </w:tc>
        <w:tc>
          <w:tcPr>
            <w:tcW w:w="840" w:type="pct"/>
            <w:tcBorders>
              <w:top w:val="single" w:sz="6" w:space="0" w:color="000000"/>
              <w:left w:val="single" w:sz="6" w:space="0" w:color="000000"/>
              <w:bottom w:val="single" w:sz="6" w:space="0" w:color="000000"/>
              <w:right w:val="single" w:sz="6" w:space="0" w:color="000000"/>
            </w:tcBorders>
          </w:tcPr>
          <w:p w14:paraId="4AC73E4F" w14:textId="77777777" w:rsidR="006140B9" w:rsidRPr="00012278" w:rsidRDefault="006140B9" w:rsidP="005112A3">
            <w:pPr>
              <w:jc w:val="center"/>
              <w:rPr>
                <w:szCs w:val="22"/>
                <w:lang w:val="sr-Latn-ME"/>
              </w:rPr>
            </w:pPr>
            <w:r w:rsidRPr="00012278">
              <w:rPr>
                <w:szCs w:val="22"/>
                <w:lang w:val="sr-Latn-ME"/>
              </w:rPr>
              <w:t>2</w:t>
            </w:r>
          </w:p>
        </w:tc>
        <w:tc>
          <w:tcPr>
            <w:tcW w:w="842" w:type="pct"/>
            <w:tcBorders>
              <w:top w:val="single" w:sz="6" w:space="0" w:color="000000"/>
              <w:left w:val="single" w:sz="6" w:space="0" w:color="000000"/>
              <w:bottom w:val="single" w:sz="6" w:space="0" w:color="000000"/>
              <w:right w:val="single" w:sz="6" w:space="0" w:color="000000"/>
            </w:tcBorders>
            <w:hideMark/>
          </w:tcPr>
          <w:p w14:paraId="58AE3DA8" w14:textId="77777777" w:rsidR="006140B9" w:rsidRPr="00012278" w:rsidRDefault="006140B9" w:rsidP="005112A3">
            <w:pPr>
              <w:jc w:val="center"/>
              <w:rPr>
                <w:szCs w:val="22"/>
                <w:lang w:val="sr-Latn-ME"/>
              </w:rPr>
            </w:pPr>
            <w:r w:rsidRPr="00012278">
              <w:rPr>
                <w:szCs w:val="22"/>
                <w:lang w:val="sr-Latn-ME"/>
              </w:rPr>
              <w:t>1200</w:t>
            </w:r>
          </w:p>
        </w:tc>
        <w:tc>
          <w:tcPr>
            <w:tcW w:w="909" w:type="pct"/>
            <w:tcBorders>
              <w:top w:val="single" w:sz="6" w:space="0" w:color="000000"/>
              <w:left w:val="single" w:sz="6" w:space="0" w:color="000000"/>
              <w:bottom w:val="single" w:sz="6" w:space="0" w:color="000000"/>
              <w:right w:val="single" w:sz="6" w:space="0" w:color="000000"/>
            </w:tcBorders>
            <w:hideMark/>
          </w:tcPr>
          <w:p w14:paraId="2F803185" w14:textId="77777777" w:rsidR="006140B9" w:rsidRPr="00012278" w:rsidRDefault="006140B9" w:rsidP="005112A3">
            <w:pPr>
              <w:jc w:val="center"/>
              <w:rPr>
                <w:szCs w:val="22"/>
                <w:lang w:val="sr-Latn-ME"/>
              </w:rPr>
            </w:pPr>
            <w:r w:rsidRPr="00012278">
              <w:rPr>
                <w:szCs w:val="22"/>
                <w:lang w:val="sr-Latn-ME"/>
              </w:rPr>
              <w:t>800</w:t>
            </w:r>
          </w:p>
        </w:tc>
      </w:tr>
      <w:tr w:rsidR="006140B9" w:rsidRPr="00012278" w14:paraId="338FC739" w14:textId="77777777" w:rsidTr="00183A6F">
        <w:tc>
          <w:tcPr>
            <w:tcW w:w="651" w:type="pct"/>
            <w:tcBorders>
              <w:top w:val="single" w:sz="6" w:space="0" w:color="000000"/>
              <w:left w:val="single" w:sz="6" w:space="0" w:color="000000"/>
              <w:bottom w:val="single" w:sz="6" w:space="0" w:color="000000"/>
              <w:right w:val="single" w:sz="6" w:space="0" w:color="000000"/>
            </w:tcBorders>
            <w:hideMark/>
          </w:tcPr>
          <w:p w14:paraId="513FDF8F" w14:textId="77777777" w:rsidR="006140B9" w:rsidRPr="00012278" w:rsidRDefault="006140B9" w:rsidP="006140B9">
            <w:pPr>
              <w:rPr>
                <w:szCs w:val="22"/>
                <w:lang w:val="sr-Latn-ME"/>
              </w:rPr>
            </w:pPr>
            <w:r w:rsidRPr="00012278">
              <w:rPr>
                <w:szCs w:val="22"/>
                <w:lang w:val="sr-Latn-ME"/>
              </w:rPr>
              <w:t>1,67–1,78</w:t>
            </w:r>
          </w:p>
        </w:tc>
        <w:tc>
          <w:tcPr>
            <w:tcW w:w="862" w:type="pct"/>
            <w:tcBorders>
              <w:top w:val="single" w:sz="6" w:space="0" w:color="000000"/>
              <w:left w:val="single" w:sz="6" w:space="0" w:color="000000"/>
              <w:bottom w:val="single" w:sz="6" w:space="0" w:color="000000"/>
              <w:right w:val="single" w:sz="6" w:space="0" w:color="000000"/>
            </w:tcBorders>
            <w:hideMark/>
          </w:tcPr>
          <w:p w14:paraId="1A70476B" w14:textId="77777777" w:rsidR="006140B9" w:rsidRPr="00012278" w:rsidRDefault="006140B9" w:rsidP="005112A3">
            <w:pPr>
              <w:jc w:val="center"/>
              <w:rPr>
                <w:szCs w:val="22"/>
                <w:lang w:val="sr-Latn-ME"/>
              </w:rPr>
            </w:pPr>
            <w:r w:rsidRPr="00012278">
              <w:rPr>
                <w:szCs w:val="22"/>
                <w:lang w:val="sr-Latn-ME"/>
              </w:rPr>
              <w:t>1750</w:t>
            </w:r>
          </w:p>
        </w:tc>
        <w:tc>
          <w:tcPr>
            <w:tcW w:w="896" w:type="pct"/>
            <w:tcBorders>
              <w:top w:val="single" w:sz="6" w:space="0" w:color="000000"/>
              <w:left w:val="single" w:sz="6" w:space="0" w:color="000000"/>
              <w:bottom w:val="single" w:sz="6" w:space="0" w:color="000000"/>
              <w:right w:val="single" w:sz="6" w:space="0" w:color="000000"/>
            </w:tcBorders>
            <w:hideMark/>
          </w:tcPr>
          <w:p w14:paraId="60709EDF" w14:textId="77777777" w:rsidR="006140B9" w:rsidRPr="00012278" w:rsidRDefault="006140B9" w:rsidP="005112A3">
            <w:pPr>
              <w:jc w:val="center"/>
              <w:rPr>
                <w:szCs w:val="22"/>
                <w:lang w:val="sr-Latn-ME"/>
              </w:rPr>
            </w:pPr>
            <w:r w:rsidRPr="00012278">
              <w:rPr>
                <w:szCs w:val="22"/>
                <w:lang w:val="sr-Latn-ME"/>
              </w:rPr>
              <w:t>5</w:t>
            </w:r>
          </w:p>
        </w:tc>
        <w:tc>
          <w:tcPr>
            <w:tcW w:w="840" w:type="pct"/>
            <w:tcBorders>
              <w:top w:val="single" w:sz="6" w:space="0" w:color="000000"/>
              <w:left w:val="single" w:sz="6" w:space="0" w:color="000000"/>
              <w:bottom w:val="single" w:sz="6" w:space="0" w:color="000000"/>
              <w:right w:val="single" w:sz="6" w:space="0" w:color="000000"/>
            </w:tcBorders>
          </w:tcPr>
          <w:p w14:paraId="5B8BCA65" w14:textId="77777777" w:rsidR="006140B9" w:rsidRPr="00012278" w:rsidRDefault="006140B9" w:rsidP="005112A3">
            <w:pPr>
              <w:jc w:val="center"/>
              <w:rPr>
                <w:szCs w:val="22"/>
                <w:lang w:val="sr-Latn-ME"/>
              </w:rPr>
            </w:pPr>
            <w:r w:rsidRPr="00012278">
              <w:rPr>
                <w:szCs w:val="22"/>
                <w:lang w:val="sr-Latn-ME"/>
              </w:rPr>
              <w:t>2</w:t>
            </w:r>
          </w:p>
        </w:tc>
        <w:tc>
          <w:tcPr>
            <w:tcW w:w="842" w:type="pct"/>
            <w:tcBorders>
              <w:top w:val="single" w:sz="6" w:space="0" w:color="000000"/>
              <w:left w:val="single" w:sz="6" w:space="0" w:color="000000"/>
              <w:bottom w:val="single" w:sz="6" w:space="0" w:color="000000"/>
              <w:right w:val="single" w:sz="6" w:space="0" w:color="000000"/>
            </w:tcBorders>
            <w:hideMark/>
          </w:tcPr>
          <w:p w14:paraId="1CE0686C" w14:textId="77777777" w:rsidR="006140B9" w:rsidRPr="00012278" w:rsidRDefault="006140B9" w:rsidP="005112A3">
            <w:pPr>
              <w:jc w:val="center"/>
              <w:rPr>
                <w:szCs w:val="22"/>
                <w:lang w:val="sr-Latn-ME"/>
              </w:rPr>
            </w:pPr>
            <w:r w:rsidRPr="00012278">
              <w:rPr>
                <w:szCs w:val="22"/>
                <w:lang w:val="sr-Latn-ME"/>
              </w:rPr>
              <w:t>1300</w:t>
            </w:r>
          </w:p>
        </w:tc>
        <w:tc>
          <w:tcPr>
            <w:tcW w:w="909" w:type="pct"/>
            <w:tcBorders>
              <w:top w:val="single" w:sz="6" w:space="0" w:color="000000"/>
              <w:left w:val="single" w:sz="6" w:space="0" w:color="000000"/>
              <w:bottom w:val="single" w:sz="6" w:space="0" w:color="000000"/>
              <w:right w:val="single" w:sz="6" w:space="0" w:color="000000"/>
            </w:tcBorders>
            <w:hideMark/>
          </w:tcPr>
          <w:p w14:paraId="6812C801" w14:textId="77777777" w:rsidR="006140B9" w:rsidRPr="00012278" w:rsidRDefault="006140B9" w:rsidP="005112A3">
            <w:pPr>
              <w:jc w:val="center"/>
              <w:rPr>
                <w:szCs w:val="22"/>
                <w:lang w:val="sr-Latn-ME"/>
              </w:rPr>
            </w:pPr>
            <w:r w:rsidRPr="00012278">
              <w:rPr>
                <w:szCs w:val="22"/>
                <w:lang w:val="sr-Latn-ME"/>
              </w:rPr>
              <w:t>800</w:t>
            </w:r>
          </w:p>
        </w:tc>
      </w:tr>
      <w:tr w:rsidR="006140B9" w:rsidRPr="00012278" w14:paraId="294115BB" w14:textId="77777777" w:rsidTr="00183A6F">
        <w:tc>
          <w:tcPr>
            <w:tcW w:w="651" w:type="pct"/>
            <w:tcBorders>
              <w:top w:val="single" w:sz="6" w:space="0" w:color="000000"/>
              <w:left w:val="single" w:sz="6" w:space="0" w:color="000000"/>
              <w:bottom w:val="single" w:sz="6" w:space="0" w:color="000000"/>
              <w:right w:val="single" w:sz="6" w:space="0" w:color="000000"/>
            </w:tcBorders>
            <w:hideMark/>
          </w:tcPr>
          <w:p w14:paraId="2DDAAF06" w14:textId="77777777" w:rsidR="006140B9" w:rsidRPr="00012278" w:rsidRDefault="006140B9" w:rsidP="006140B9">
            <w:pPr>
              <w:rPr>
                <w:szCs w:val="22"/>
                <w:lang w:val="sr-Latn-ME"/>
              </w:rPr>
            </w:pPr>
            <w:r w:rsidRPr="00012278">
              <w:rPr>
                <w:szCs w:val="22"/>
                <w:lang w:val="sr-Latn-ME"/>
              </w:rPr>
              <w:t>1,79–1,92</w:t>
            </w:r>
          </w:p>
        </w:tc>
        <w:tc>
          <w:tcPr>
            <w:tcW w:w="862" w:type="pct"/>
            <w:tcBorders>
              <w:top w:val="single" w:sz="6" w:space="0" w:color="000000"/>
              <w:left w:val="single" w:sz="6" w:space="0" w:color="000000"/>
              <w:bottom w:val="single" w:sz="6" w:space="0" w:color="000000"/>
              <w:right w:val="single" w:sz="6" w:space="0" w:color="000000"/>
            </w:tcBorders>
            <w:hideMark/>
          </w:tcPr>
          <w:p w14:paraId="39794070" w14:textId="77777777" w:rsidR="006140B9" w:rsidRPr="00012278" w:rsidRDefault="006140B9" w:rsidP="005112A3">
            <w:pPr>
              <w:jc w:val="center"/>
              <w:rPr>
                <w:szCs w:val="22"/>
                <w:lang w:val="sr-Latn-ME"/>
              </w:rPr>
            </w:pPr>
            <w:r w:rsidRPr="00012278">
              <w:rPr>
                <w:szCs w:val="22"/>
                <w:lang w:val="sr-Latn-ME"/>
              </w:rPr>
              <w:t>1800</w:t>
            </w:r>
          </w:p>
        </w:tc>
        <w:tc>
          <w:tcPr>
            <w:tcW w:w="896" w:type="pct"/>
            <w:tcBorders>
              <w:top w:val="single" w:sz="6" w:space="0" w:color="000000"/>
              <w:left w:val="single" w:sz="6" w:space="0" w:color="000000"/>
              <w:bottom w:val="single" w:sz="6" w:space="0" w:color="000000"/>
              <w:right w:val="single" w:sz="6" w:space="0" w:color="000000"/>
            </w:tcBorders>
            <w:hideMark/>
          </w:tcPr>
          <w:p w14:paraId="7BA9D88F" w14:textId="77777777" w:rsidR="006140B9" w:rsidRPr="00012278" w:rsidRDefault="006140B9" w:rsidP="005112A3">
            <w:pPr>
              <w:jc w:val="center"/>
              <w:rPr>
                <w:szCs w:val="22"/>
                <w:lang w:val="sr-Latn-ME"/>
              </w:rPr>
            </w:pPr>
            <w:r w:rsidRPr="00012278">
              <w:rPr>
                <w:szCs w:val="22"/>
                <w:lang w:val="sr-Latn-ME"/>
              </w:rPr>
              <w:t>2</w:t>
            </w:r>
          </w:p>
        </w:tc>
        <w:tc>
          <w:tcPr>
            <w:tcW w:w="840" w:type="pct"/>
            <w:tcBorders>
              <w:top w:val="single" w:sz="6" w:space="0" w:color="000000"/>
              <w:left w:val="single" w:sz="6" w:space="0" w:color="000000"/>
              <w:bottom w:val="single" w:sz="6" w:space="0" w:color="000000"/>
              <w:right w:val="single" w:sz="6" w:space="0" w:color="000000"/>
            </w:tcBorders>
          </w:tcPr>
          <w:p w14:paraId="3DE5D7EA" w14:textId="77777777" w:rsidR="006140B9" w:rsidRPr="00012278" w:rsidRDefault="006140B9" w:rsidP="005112A3">
            <w:pPr>
              <w:jc w:val="center"/>
              <w:rPr>
                <w:szCs w:val="22"/>
                <w:lang w:val="sr-Latn-ME"/>
              </w:rPr>
            </w:pPr>
            <w:r w:rsidRPr="00012278">
              <w:rPr>
                <w:szCs w:val="22"/>
                <w:lang w:val="sr-Latn-ME"/>
              </w:rPr>
              <w:t>3</w:t>
            </w:r>
          </w:p>
        </w:tc>
        <w:tc>
          <w:tcPr>
            <w:tcW w:w="842" w:type="pct"/>
            <w:tcBorders>
              <w:top w:val="single" w:sz="6" w:space="0" w:color="000000"/>
              <w:left w:val="single" w:sz="6" w:space="0" w:color="000000"/>
              <w:bottom w:val="single" w:sz="6" w:space="0" w:color="000000"/>
              <w:right w:val="single" w:sz="6" w:space="0" w:color="000000"/>
            </w:tcBorders>
            <w:hideMark/>
          </w:tcPr>
          <w:p w14:paraId="3599107D" w14:textId="77777777" w:rsidR="006140B9" w:rsidRPr="00012278" w:rsidRDefault="006140B9" w:rsidP="005112A3">
            <w:pPr>
              <w:jc w:val="center"/>
              <w:rPr>
                <w:szCs w:val="22"/>
                <w:lang w:val="sr-Latn-ME"/>
              </w:rPr>
            </w:pPr>
            <w:r w:rsidRPr="00012278">
              <w:rPr>
                <w:szCs w:val="22"/>
                <w:lang w:val="sr-Latn-ME"/>
              </w:rPr>
              <w:t>1400</w:t>
            </w:r>
          </w:p>
        </w:tc>
        <w:tc>
          <w:tcPr>
            <w:tcW w:w="909" w:type="pct"/>
            <w:tcBorders>
              <w:top w:val="single" w:sz="6" w:space="0" w:color="000000"/>
              <w:left w:val="single" w:sz="6" w:space="0" w:color="000000"/>
              <w:bottom w:val="single" w:sz="6" w:space="0" w:color="000000"/>
              <w:right w:val="single" w:sz="6" w:space="0" w:color="000000"/>
            </w:tcBorders>
            <w:hideMark/>
          </w:tcPr>
          <w:p w14:paraId="4C1A5524" w14:textId="77777777" w:rsidR="006140B9" w:rsidRPr="00012278" w:rsidRDefault="006140B9" w:rsidP="005112A3">
            <w:pPr>
              <w:jc w:val="center"/>
              <w:rPr>
                <w:szCs w:val="22"/>
                <w:lang w:val="sr-Latn-ME"/>
              </w:rPr>
            </w:pPr>
            <w:r w:rsidRPr="00012278">
              <w:rPr>
                <w:szCs w:val="22"/>
                <w:lang w:val="sr-Latn-ME"/>
              </w:rPr>
              <w:t>900</w:t>
            </w:r>
          </w:p>
        </w:tc>
      </w:tr>
      <w:tr w:rsidR="006140B9" w:rsidRPr="00012278" w14:paraId="0D5332E3" w14:textId="77777777" w:rsidTr="00183A6F">
        <w:tc>
          <w:tcPr>
            <w:tcW w:w="651" w:type="pct"/>
            <w:tcBorders>
              <w:top w:val="single" w:sz="6" w:space="0" w:color="000000"/>
              <w:left w:val="single" w:sz="6" w:space="0" w:color="000000"/>
              <w:bottom w:val="single" w:sz="6" w:space="0" w:color="000000"/>
              <w:right w:val="single" w:sz="6" w:space="0" w:color="000000"/>
            </w:tcBorders>
            <w:hideMark/>
          </w:tcPr>
          <w:p w14:paraId="40EB5DA2" w14:textId="77777777" w:rsidR="006140B9" w:rsidRPr="00012278" w:rsidRDefault="006140B9" w:rsidP="006140B9">
            <w:pPr>
              <w:rPr>
                <w:szCs w:val="22"/>
                <w:lang w:val="sr-Latn-ME"/>
              </w:rPr>
            </w:pPr>
            <w:r w:rsidRPr="00012278">
              <w:rPr>
                <w:szCs w:val="22"/>
                <w:lang w:val="sr-Latn-ME"/>
              </w:rPr>
              <w:t>1,93–2,06</w:t>
            </w:r>
          </w:p>
        </w:tc>
        <w:tc>
          <w:tcPr>
            <w:tcW w:w="862" w:type="pct"/>
            <w:tcBorders>
              <w:top w:val="single" w:sz="6" w:space="0" w:color="000000"/>
              <w:left w:val="single" w:sz="6" w:space="0" w:color="000000"/>
              <w:bottom w:val="single" w:sz="6" w:space="0" w:color="000000"/>
              <w:right w:val="single" w:sz="6" w:space="0" w:color="000000"/>
            </w:tcBorders>
            <w:hideMark/>
          </w:tcPr>
          <w:p w14:paraId="2073DA42" w14:textId="77777777" w:rsidR="006140B9" w:rsidRPr="00012278" w:rsidRDefault="006140B9" w:rsidP="005112A3">
            <w:pPr>
              <w:jc w:val="center"/>
              <w:rPr>
                <w:szCs w:val="22"/>
                <w:lang w:val="sr-Latn-ME"/>
              </w:rPr>
            </w:pPr>
            <w:r w:rsidRPr="00012278">
              <w:rPr>
                <w:szCs w:val="22"/>
                <w:lang w:val="sr-Latn-ME"/>
              </w:rPr>
              <w:t>2000</w:t>
            </w:r>
          </w:p>
        </w:tc>
        <w:tc>
          <w:tcPr>
            <w:tcW w:w="896" w:type="pct"/>
            <w:tcBorders>
              <w:top w:val="single" w:sz="6" w:space="0" w:color="000000"/>
              <w:left w:val="single" w:sz="6" w:space="0" w:color="000000"/>
              <w:bottom w:val="single" w:sz="6" w:space="0" w:color="000000"/>
              <w:right w:val="single" w:sz="6" w:space="0" w:color="000000"/>
            </w:tcBorders>
            <w:hideMark/>
          </w:tcPr>
          <w:p w14:paraId="1788D79E" w14:textId="77777777" w:rsidR="006140B9" w:rsidRPr="00012278" w:rsidRDefault="006140B9" w:rsidP="005112A3">
            <w:pPr>
              <w:jc w:val="center"/>
              <w:rPr>
                <w:szCs w:val="22"/>
                <w:lang w:val="sr-Latn-ME"/>
              </w:rPr>
            </w:pPr>
            <w:r w:rsidRPr="00012278">
              <w:rPr>
                <w:szCs w:val="22"/>
                <w:lang w:val="sr-Latn-ME"/>
              </w:rPr>
              <w:t>-</w:t>
            </w:r>
          </w:p>
        </w:tc>
        <w:tc>
          <w:tcPr>
            <w:tcW w:w="840" w:type="pct"/>
            <w:tcBorders>
              <w:top w:val="single" w:sz="6" w:space="0" w:color="000000"/>
              <w:left w:val="single" w:sz="6" w:space="0" w:color="000000"/>
              <w:bottom w:val="single" w:sz="6" w:space="0" w:color="000000"/>
              <w:right w:val="single" w:sz="6" w:space="0" w:color="000000"/>
            </w:tcBorders>
          </w:tcPr>
          <w:p w14:paraId="77C4805E" w14:textId="77777777" w:rsidR="006140B9" w:rsidRPr="00012278" w:rsidRDefault="006140B9" w:rsidP="005112A3">
            <w:pPr>
              <w:jc w:val="center"/>
              <w:rPr>
                <w:szCs w:val="22"/>
                <w:lang w:val="sr-Latn-ME"/>
              </w:rPr>
            </w:pPr>
            <w:r w:rsidRPr="00012278">
              <w:rPr>
                <w:szCs w:val="22"/>
                <w:lang w:val="sr-Latn-ME"/>
              </w:rPr>
              <w:t>4</w:t>
            </w:r>
          </w:p>
        </w:tc>
        <w:tc>
          <w:tcPr>
            <w:tcW w:w="842" w:type="pct"/>
            <w:tcBorders>
              <w:top w:val="single" w:sz="6" w:space="0" w:color="000000"/>
              <w:left w:val="single" w:sz="6" w:space="0" w:color="000000"/>
              <w:bottom w:val="single" w:sz="6" w:space="0" w:color="000000"/>
              <w:right w:val="single" w:sz="6" w:space="0" w:color="000000"/>
            </w:tcBorders>
            <w:hideMark/>
          </w:tcPr>
          <w:p w14:paraId="487D8A4A" w14:textId="77777777" w:rsidR="006140B9" w:rsidRPr="00012278" w:rsidRDefault="006140B9" w:rsidP="005112A3">
            <w:pPr>
              <w:jc w:val="center"/>
              <w:rPr>
                <w:szCs w:val="22"/>
                <w:lang w:val="sr-Latn-ME"/>
              </w:rPr>
            </w:pPr>
            <w:r w:rsidRPr="00012278">
              <w:rPr>
                <w:szCs w:val="22"/>
                <w:lang w:val="sr-Latn-ME"/>
              </w:rPr>
              <w:t>1500</w:t>
            </w:r>
          </w:p>
        </w:tc>
        <w:tc>
          <w:tcPr>
            <w:tcW w:w="909" w:type="pct"/>
            <w:tcBorders>
              <w:top w:val="single" w:sz="6" w:space="0" w:color="000000"/>
              <w:left w:val="single" w:sz="6" w:space="0" w:color="000000"/>
              <w:bottom w:val="single" w:sz="6" w:space="0" w:color="000000"/>
              <w:right w:val="single" w:sz="6" w:space="0" w:color="000000"/>
            </w:tcBorders>
            <w:hideMark/>
          </w:tcPr>
          <w:p w14:paraId="132F0157" w14:textId="77777777" w:rsidR="006140B9" w:rsidRPr="00012278" w:rsidRDefault="006140B9" w:rsidP="005112A3">
            <w:pPr>
              <w:jc w:val="center"/>
              <w:rPr>
                <w:szCs w:val="22"/>
                <w:lang w:val="sr-Latn-ME"/>
              </w:rPr>
            </w:pPr>
            <w:r w:rsidRPr="00012278">
              <w:rPr>
                <w:szCs w:val="22"/>
                <w:lang w:val="sr-Latn-ME"/>
              </w:rPr>
              <w:t>1000</w:t>
            </w:r>
          </w:p>
        </w:tc>
      </w:tr>
      <w:tr w:rsidR="006140B9" w:rsidRPr="00012278" w14:paraId="0B9261AE" w14:textId="77777777" w:rsidTr="00183A6F">
        <w:tc>
          <w:tcPr>
            <w:tcW w:w="651" w:type="pct"/>
            <w:tcBorders>
              <w:top w:val="single" w:sz="6" w:space="0" w:color="000000"/>
              <w:left w:val="single" w:sz="6" w:space="0" w:color="000000"/>
              <w:bottom w:val="single" w:sz="6" w:space="0" w:color="000000"/>
              <w:right w:val="single" w:sz="6" w:space="0" w:color="000000"/>
            </w:tcBorders>
            <w:hideMark/>
          </w:tcPr>
          <w:p w14:paraId="4BD3DE7E" w14:textId="77777777" w:rsidR="006140B9" w:rsidRPr="00012278" w:rsidRDefault="006140B9" w:rsidP="006140B9">
            <w:pPr>
              <w:rPr>
                <w:szCs w:val="22"/>
                <w:lang w:val="sr-Latn-ME"/>
              </w:rPr>
            </w:pPr>
            <w:r w:rsidRPr="00012278">
              <w:rPr>
                <w:szCs w:val="22"/>
                <w:lang w:val="sr-Latn-ME"/>
              </w:rPr>
              <w:t>2,07–2,18</w:t>
            </w:r>
          </w:p>
        </w:tc>
        <w:tc>
          <w:tcPr>
            <w:tcW w:w="862" w:type="pct"/>
            <w:tcBorders>
              <w:top w:val="single" w:sz="6" w:space="0" w:color="000000"/>
              <w:left w:val="single" w:sz="6" w:space="0" w:color="000000"/>
              <w:bottom w:val="single" w:sz="6" w:space="0" w:color="000000"/>
              <w:right w:val="single" w:sz="6" w:space="0" w:color="000000"/>
            </w:tcBorders>
            <w:hideMark/>
          </w:tcPr>
          <w:p w14:paraId="1A0B722D" w14:textId="77777777" w:rsidR="006140B9" w:rsidRPr="00012278" w:rsidRDefault="006140B9" w:rsidP="005112A3">
            <w:pPr>
              <w:jc w:val="center"/>
              <w:rPr>
                <w:szCs w:val="22"/>
                <w:lang w:val="sr-Latn-ME"/>
              </w:rPr>
            </w:pPr>
            <w:r w:rsidRPr="00012278">
              <w:rPr>
                <w:szCs w:val="22"/>
                <w:lang w:val="sr-Latn-ME"/>
              </w:rPr>
              <w:t>2150</w:t>
            </w:r>
          </w:p>
        </w:tc>
        <w:tc>
          <w:tcPr>
            <w:tcW w:w="896" w:type="pct"/>
            <w:tcBorders>
              <w:top w:val="single" w:sz="6" w:space="0" w:color="000000"/>
              <w:left w:val="single" w:sz="6" w:space="0" w:color="000000"/>
              <w:bottom w:val="single" w:sz="6" w:space="0" w:color="000000"/>
              <w:right w:val="single" w:sz="6" w:space="0" w:color="000000"/>
            </w:tcBorders>
            <w:hideMark/>
          </w:tcPr>
          <w:p w14:paraId="4427D920" w14:textId="77777777" w:rsidR="006140B9" w:rsidRPr="00012278" w:rsidRDefault="006140B9" w:rsidP="005112A3">
            <w:pPr>
              <w:jc w:val="center"/>
              <w:rPr>
                <w:szCs w:val="22"/>
                <w:lang w:val="sr-Latn-ME"/>
              </w:rPr>
            </w:pPr>
            <w:r w:rsidRPr="00012278">
              <w:rPr>
                <w:szCs w:val="22"/>
                <w:lang w:val="sr-Latn-ME"/>
              </w:rPr>
              <w:t>1</w:t>
            </w:r>
          </w:p>
        </w:tc>
        <w:tc>
          <w:tcPr>
            <w:tcW w:w="840" w:type="pct"/>
            <w:tcBorders>
              <w:top w:val="single" w:sz="6" w:space="0" w:color="000000"/>
              <w:left w:val="single" w:sz="6" w:space="0" w:color="000000"/>
              <w:bottom w:val="single" w:sz="6" w:space="0" w:color="000000"/>
              <w:right w:val="single" w:sz="6" w:space="0" w:color="000000"/>
            </w:tcBorders>
          </w:tcPr>
          <w:p w14:paraId="47C183FB" w14:textId="77777777" w:rsidR="006140B9" w:rsidRPr="00012278" w:rsidRDefault="006140B9" w:rsidP="005112A3">
            <w:pPr>
              <w:jc w:val="center"/>
              <w:rPr>
                <w:szCs w:val="22"/>
                <w:lang w:val="sr-Latn-ME"/>
              </w:rPr>
            </w:pPr>
            <w:r w:rsidRPr="00012278">
              <w:rPr>
                <w:szCs w:val="22"/>
                <w:lang w:val="sr-Latn-ME"/>
              </w:rPr>
              <w:t>4</w:t>
            </w:r>
          </w:p>
        </w:tc>
        <w:tc>
          <w:tcPr>
            <w:tcW w:w="842" w:type="pct"/>
            <w:tcBorders>
              <w:top w:val="single" w:sz="6" w:space="0" w:color="000000"/>
              <w:left w:val="single" w:sz="6" w:space="0" w:color="000000"/>
              <w:bottom w:val="single" w:sz="6" w:space="0" w:color="000000"/>
              <w:right w:val="single" w:sz="6" w:space="0" w:color="000000"/>
            </w:tcBorders>
            <w:hideMark/>
          </w:tcPr>
          <w:p w14:paraId="65F1087A" w14:textId="77777777" w:rsidR="006140B9" w:rsidRPr="00012278" w:rsidRDefault="006140B9" w:rsidP="005112A3">
            <w:pPr>
              <w:jc w:val="center"/>
              <w:rPr>
                <w:szCs w:val="22"/>
                <w:lang w:val="sr-Latn-ME"/>
              </w:rPr>
            </w:pPr>
            <w:r w:rsidRPr="00012278">
              <w:rPr>
                <w:szCs w:val="22"/>
                <w:lang w:val="sr-Latn-ME"/>
              </w:rPr>
              <w:t>1600</w:t>
            </w:r>
          </w:p>
        </w:tc>
        <w:tc>
          <w:tcPr>
            <w:tcW w:w="909" w:type="pct"/>
            <w:tcBorders>
              <w:top w:val="single" w:sz="6" w:space="0" w:color="000000"/>
              <w:left w:val="single" w:sz="6" w:space="0" w:color="000000"/>
              <w:bottom w:val="single" w:sz="6" w:space="0" w:color="000000"/>
              <w:right w:val="single" w:sz="6" w:space="0" w:color="000000"/>
            </w:tcBorders>
            <w:hideMark/>
          </w:tcPr>
          <w:p w14:paraId="6ADF176B" w14:textId="77777777" w:rsidR="006140B9" w:rsidRPr="00012278" w:rsidRDefault="006140B9" w:rsidP="005112A3">
            <w:pPr>
              <w:jc w:val="center"/>
              <w:rPr>
                <w:szCs w:val="22"/>
                <w:lang w:val="sr-Latn-ME"/>
              </w:rPr>
            </w:pPr>
            <w:r w:rsidRPr="00012278">
              <w:rPr>
                <w:szCs w:val="22"/>
                <w:lang w:val="sr-Latn-ME"/>
              </w:rPr>
              <w:t>1050</w:t>
            </w:r>
          </w:p>
        </w:tc>
      </w:tr>
      <w:tr w:rsidR="006140B9" w:rsidRPr="00012278" w14:paraId="27764274" w14:textId="77777777" w:rsidTr="00183A6F">
        <w:tc>
          <w:tcPr>
            <w:tcW w:w="651" w:type="pct"/>
            <w:tcBorders>
              <w:top w:val="single" w:sz="6" w:space="0" w:color="000000"/>
              <w:left w:val="single" w:sz="6" w:space="0" w:color="000000"/>
              <w:bottom w:val="single" w:sz="6" w:space="0" w:color="000000"/>
              <w:right w:val="single" w:sz="6" w:space="0" w:color="000000"/>
            </w:tcBorders>
            <w:hideMark/>
          </w:tcPr>
          <w:p w14:paraId="09BA02CB" w14:textId="77777777" w:rsidR="006140B9" w:rsidRPr="00012278" w:rsidRDefault="006140B9" w:rsidP="006140B9">
            <w:pPr>
              <w:rPr>
                <w:szCs w:val="22"/>
                <w:lang w:val="sr-Latn-ME"/>
              </w:rPr>
            </w:pPr>
            <w:r w:rsidRPr="00012278">
              <w:rPr>
                <w:szCs w:val="22"/>
                <w:lang w:val="sr-Latn-ME"/>
              </w:rPr>
              <w:sym w:font="Symbol" w:char="F0B3"/>
            </w:r>
            <w:r w:rsidRPr="00012278">
              <w:rPr>
                <w:szCs w:val="22"/>
                <w:lang w:val="sr-Latn-ME"/>
              </w:rPr>
              <w:t> 2,19</w:t>
            </w:r>
          </w:p>
        </w:tc>
        <w:tc>
          <w:tcPr>
            <w:tcW w:w="862" w:type="pct"/>
            <w:tcBorders>
              <w:top w:val="single" w:sz="6" w:space="0" w:color="000000"/>
              <w:left w:val="single" w:sz="6" w:space="0" w:color="000000"/>
              <w:bottom w:val="single" w:sz="6" w:space="0" w:color="000000"/>
              <w:right w:val="single" w:sz="6" w:space="0" w:color="000000"/>
            </w:tcBorders>
            <w:hideMark/>
          </w:tcPr>
          <w:p w14:paraId="4009CA29" w14:textId="77777777" w:rsidR="006140B9" w:rsidRPr="00012278" w:rsidRDefault="006140B9" w:rsidP="005112A3">
            <w:pPr>
              <w:jc w:val="center"/>
              <w:rPr>
                <w:szCs w:val="22"/>
                <w:lang w:val="sr-Latn-ME"/>
              </w:rPr>
            </w:pPr>
            <w:r w:rsidRPr="00012278">
              <w:rPr>
                <w:szCs w:val="22"/>
                <w:lang w:val="sr-Latn-ME"/>
              </w:rPr>
              <w:t>2300</w:t>
            </w:r>
          </w:p>
        </w:tc>
        <w:tc>
          <w:tcPr>
            <w:tcW w:w="896" w:type="pct"/>
            <w:tcBorders>
              <w:top w:val="single" w:sz="6" w:space="0" w:color="000000"/>
              <w:left w:val="single" w:sz="6" w:space="0" w:color="000000"/>
              <w:bottom w:val="single" w:sz="6" w:space="0" w:color="000000"/>
              <w:right w:val="single" w:sz="6" w:space="0" w:color="000000"/>
            </w:tcBorders>
            <w:hideMark/>
          </w:tcPr>
          <w:p w14:paraId="529D6B5F" w14:textId="77777777" w:rsidR="006140B9" w:rsidRPr="00012278" w:rsidRDefault="006140B9" w:rsidP="005112A3">
            <w:pPr>
              <w:jc w:val="center"/>
              <w:rPr>
                <w:szCs w:val="22"/>
                <w:lang w:val="sr-Latn-ME"/>
              </w:rPr>
            </w:pPr>
            <w:r w:rsidRPr="00012278">
              <w:rPr>
                <w:szCs w:val="22"/>
                <w:lang w:val="sr-Latn-ME"/>
              </w:rPr>
              <w:t>2</w:t>
            </w:r>
          </w:p>
        </w:tc>
        <w:tc>
          <w:tcPr>
            <w:tcW w:w="840" w:type="pct"/>
            <w:tcBorders>
              <w:top w:val="single" w:sz="6" w:space="0" w:color="000000"/>
              <w:left w:val="single" w:sz="6" w:space="0" w:color="000000"/>
              <w:bottom w:val="single" w:sz="6" w:space="0" w:color="000000"/>
              <w:right w:val="single" w:sz="6" w:space="0" w:color="000000"/>
            </w:tcBorders>
          </w:tcPr>
          <w:p w14:paraId="7C2D0B9A" w14:textId="77777777" w:rsidR="006140B9" w:rsidRPr="00012278" w:rsidRDefault="006140B9" w:rsidP="005112A3">
            <w:pPr>
              <w:jc w:val="center"/>
              <w:rPr>
                <w:szCs w:val="22"/>
                <w:lang w:val="sr-Latn-ME"/>
              </w:rPr>
            </w:pPr>
            <w:r w:rsidRPr="00012278">
              <w:rPr>
                <w:szCs w:val="22"/>
                <w:lang w:val="sr-Latn-ME"/>
              </w:rPr>
              <w:t>4</w:t>
            </w:r>
          </w:p>
        </w:tc>
        <w:tc>
          <w:tcPr>
            <w:tcW w:w="842" w:type="pct"/>
            <w:tcBorders>
              <w:top w:val="single" w:sz="6" w:space="0" w:color="000000"/>
              <w:left w:val="single" w:sz="6" w:space="0" w:color="000000"/>
              <w:bottom w:val="single" w:sz="6" w:space="0" w:color="000000"/>
              <w:right w:val="single" w:sz="6" w:space="0" w:color="000000"/>
            </w:tcBorders>
            <w:hideMark/>
          </w:tcPr>
          <w:p w14:paraId="672308F5" w14:textId="77777777" w:rsidR="006140B9" w:rsidRPr="00012278" w:rsidRDefault="006140B9" w:rsidP="005112A3">
            <w:pPr>
              <w:jc w:val="center"/>
              <w:rPr>
                <w:szCs w:val="22"/>
                <w:lang w:val="sr-Latn-ME"/>
              </w:rPr>
            </w:pPr>
            <w:r w:rsidRPr="00012278">
              <w:rPr>
                <w:szCs w:val="22"/>
                <w:lang w:val="sr-Latn-ME"/>
              </w:rPr>
              <w:t>1750</w:t>
            </w:r>
          </w:p>
        </w:tc>
        <w:tc>
          <w:tcPr>
            <w:tcW w:w="909" w:type="pct"/>
            <w:tcBorders>
              <w:top w:val="single" w:sz="6" w:space="0" w:color="000000"/>
              <w:left w:val="single" w:sz="6" w:space="0" w:color="000000"/>
              <w:bottom w:val="single" w:sz="6" w:space="0" w:color="000000"/>
              <w:right w:val="single" w:sz="6" w:space="0" w:color="000000"/>
            </w:tcBorders>
            <w:hideMark/>
          </w:tcPr>
          <w:p w14:paraId="461B7C24" w14:textId="77777777" w:rsidR="006140B9" w:rsidRPr="00012278" w:rsidRDefault="006140B9" w:rsidP="005112A3">
            <w:pPr>
              <w:jc w:val="center"/>
              <w:rPr>
                <w:szCs w:val="22"/>
                <w:lang w:val="sr-Latn-ME"/>
              </w:rPr>
            </w:pPr>
            <w:r w:rsidRPr="00012278">
              <w:rPr>
                <w:szCs w:val="22"/>
                <w:lang w:val="sr-Latn-ME"/>
              </w:rPr>
              <w:t>1100</w:t>
            </w:r>
          </w:p>
        </w:tc>
      </w:tr>
    </w:tbl>
    <w:p w14:paraId="7EE019A7" w14:textId="77777777" w:rsidR="006140B9" w:rsidRPr="00012278" w:rsidRDefault="006140B9" w:rsidP="006140B9">
      <w:pPr>
        <w:rPr>
          <w:szCs w:val="22"/>
          <w:lang w:val="sr-Latn-ME"/>
        </w:rPr>
      </w:pPr>
    </w:p>
    <w:p w14:paraId="764520BD" w14:textId="77777777" w:rsidR="006140B9" w:rsidRPr="00012278" w:rsidRDefault="006140B9" w:rsidP="006140B9">
      <w:pPr>
        <w:rPr>
          <w:i/>
          <w:szCs w:val="22"/>
          <w:u w:val="single"/>
          <w:lang w:val="sr-Latn-ME"/>
        </w:rPr>
      </w:pPr>
      <w:r w:rsidRPr="00012278">
        <w:rPr>
          <w:i/>
          <w:szCs w:val="22"/>
          <w:u w:val="single"/>
          <w:lang w:val="sr-Latn-ME"/>
        </w:rPr>
        <w:t>Prilagođavanje doze tokom liječenja:</w:t>
      </w:r>
    </w:p>
    <w:p w14:paraId="5505E347" w14:textId="77777777" w:rsidR="006140B9" w:rsidRPr="00012278" w:rsidRDefault="006140B9" w:rsidP="006140B9">
      <w:pPr>
        <w:rPr>
          <w:szCs w:val="22"/>
          <w:lang w:val="sr-Latn-ME"/>
        </w:rPr>
      </w:pPr>
    </w:p>
    <w:p w14:paraId="5DECF4EE" w14:textId="77777777" w:rsidR="006140B9" w:rsidRPr="00012278" w:rsidRDefault="006140B9" w:rsidP="002B4BD7">
      <w:pPr>
        <w:jc w:val="both"/>
        <w:rPr>
          <w:i/>
          <w:szCs w:val="22"/>
          <w:lang w:val="sr-Latn-ME"/>
        </w:rPr>
      </w:pPr>
      <w:r w:rsidRPr="00012278">
        <w:rPr>
          <w:i/>
          <w:szCs w:val="22"/>
          <w:lang w:val="sr-Latn-ME"/>
        </w:rPr>
        <w:t>Opšti principi</w:t>
      </w:r>
    </w:p>
    <w:p w14:paraId="667D3C01" w14:textId="77777777" w:rsidR="006140B9" w:rsidRPr="00012278" w:rsidRDefault="006140B9" w:rsidP="002B4BD7">
      <w:pPr>
        <w:jc w:val="both"/>
        <w:rPr>
          <w:szCs w:val="22"/>
          <w:lang w:val="sr-Latn-ME"/>
        </w:rPr>
      </w:pPr>
      <w:r w:rsidRPr="00012278">
        <w:rPr>
          <w:szCs w:val="22"/>
          <w:lang w:val="sr-Latn-ME"/>
        </w:rPr>
        <w:t xml:space="preserve">Toksičnost koja se javlja kao posljedica liječenja kapecitabinom je moguće kontrolisati simptomatskim liječenjem i/ili prilagođavanjem doze (prekid liječenja ili smanjenje doze). Nakon smanjenja doze, ona se ne smije ponovo povećavati. Kod pojave toksičnih reakcija za koje ordinirajući ljekar smatra da vjerovatno neće postati ozbiljne ili opasne po život, npr. kod alopecije, poremećaja ukusa ili promjena na noktima, liječenje se može nastaviti istom dozom bez njenog smanjenja ili prekida liječenja. Pacijentima koji uzimaju kapecitabin potrebno je naglasiti da u slučaju pojave znakova umjerene ili </w:t>
      </w:r>
      <w:r w:rsidRPr="00012278">
        <w:rPr>
          <w:szCs w:val="22"/>
          <w:lang w:val="sr-Latn-ME"/>
        </w:rPr>
        <w:lastRenderedPageBreak/>
        <w:t>teške toksičnosti odmah prekinu liječenje. Doze kapecitabina koje su izostavljene zbog toksičnosti ne smiju se nadoknađivati. Sljedeća tabela pokazuje preporučeno prilagođavanje doze zbog toksičnosti:</w:t>
      </w:r>
    </w:p>
    <w:p w14:paraId="6D73E1A1" w14:textId="77777777" w:rsidR="006140B9" w:rsidRPr="00012278" w:rsidRDefault="006140B9" w:rsidP="002B4BD7">
      <w:pPr>
        <w:jc w:val="both"/>
        <w:rPr>
          <w:szCs w:val="22"/>
          <w:lang w:val="sr-Latn-ME"/>
        </w:rPr>
      </w:pPr>
    </w:p>
    <w:p w14:paraId="11A3D394" w14:textId="77777777" w:rsidR="006140B9" w:rsidRPr="00012278" w:rsidRDefault="006140B9" w:rsidP="006140B9">
      <w:pPr>
        <w:rPr>
          <w:szCs w:val="22"/>
          <w:lang w:val="sr-Latn-ME"/>
        </w:rPr>
      </w:pPr>
      <w:r w:rsidRPr="00012278">
        <w:rPr>
          <w:szCs w:val="22"/>
          <w:lang w:val="sr-Latn-ME"/>
        </w:rPr>
        <w:t>Tabela 3: Raspored smanjenja doze lijeka kapecitabin (tronedjeljni ciklus ili kontinuirana terapija)</w:t>
      </w:r>
    </w:p>
    <w:p w14:paraId="54F8926E" w14:textId="77777777" w:rsidR="006140B9" w:rsidRPr="00012278" w:rsidRDefault="006140B9" w:rsidP="006140B9">
      <w:pPr>
        <w:rPr>
          <w:szCs w:val="22"/>
          <w:lang w:val="sr-Latn-ME"/>
        </w:rPr>
      </w:pPr>
      <w:r w:rsidRPr="00012278">
        <w:rPr>
          <w:szCs w:val="22"/>
          <w:lang w:val="sr-Latn-M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308"/>
        <w:gridCol w:w="2671"/>
      </w:tblGrid>
      <w:tr w:rsidR="006140B9" w:rsidRPr="00012278" w14:paraId="7A3EE57F" w14:textId="77777777" w:rsidTr="00183A6F">
        <w:tc>
          <w:tcPr>
            <w:tcW w:w="1149" w:type="pct"/>
            <w:shd w:val="clear" w:color="auto" w:fill="auto"/>
          </w:tcPr>
          <w:p w14:paraId="5F16729B" w14:textId="77777777" w:rsidR="006140B9" w:rsidRPr="00012278" w:rsidRDefault="006140B9" w:rsidP="006140B9">
            <w:pPr>
              <w:rPr>
                <w:b/>
                <w:szCs w:val="22"/>
                <w:lang w:val="sr-Latn-ME"/>
              </w:rPr>
            </w:pPr>
            <w:r w:rsidRPr="00012278">
              <w:rPr>
                <w:b/>
                <w:szCs w:val="22"/>
                <w:lang w:val="sr-Latn-ME"/>
              </w:rPr>
              <w:t>Stepen toksičnosti *</w:t>
            </w:r>
          </w:p>
        </w:tc>
        <w:tc>
          <w:tcPr>
            <w:tcW w:w="2377" w:type="pct"/>
            <w:shd w:val="clear" w:color="auto" w:fill="auto"/>
          </w:tcPr>
          <w:p w14:paraId="7B378CAE" w14:textId="77777777" w:rsidR="006140B9" w:rsidRPr="00012278" w:rsidRDefault="006140B9" w:rsidP="006140B9">
            <w:pPr>
              <w:rPr>
                <w:b/>
                <w:szCs w:val="22"/>
                <w:lang w:val="sr-Latn-ME"/>
              </w:rPr>
            </w:pPr>
            <w:r w:rsidRPr="00012278">
              <w:rPr>
                <w:b/>
                <w:szCs w:val="22"/>
                <w:lang w:val="sr-Latn-ME"/>
              </w:rPr>
              <w:t>Promjene doze tokom liječenja u 3-nedjeljnim ciklusima</w:t>
            </w:r>
          </w:p>
        </w:tc>
        <w:tc>
          <w:tcPr>
            <w:tcW w:w="1474" w:type="pct"/>
            <w:shd w:val="clear" w:color="auto" w:fill="auto"/>
          </w:tcPr>
          <w:p w14:paraId="1D1CF064" w14:textId="77777777" w:rsidR="006140B9" w:rsidRPr="00012278" w:rsidRDefault="006140B9" w:rsidP="006140B9">
            <w:pPr>
              <w:rPr>
                <w:b/>
                <w:szCs w:val="22"/>
                <w:lang w:val="sr-Latn-ME"/>
              </w:rPr>
            </w:pPr>
            <w:r w:rsidRPr="00012278">
              <w:rPr>
                <w:b/>
                <w:szCs w:val="22"/>
                <w:lang w:val="sr-Latn-ME"/>
              </w:rPr>
              <w:t>Podešavanje doze za naredni ciklus/dozu  (% početne doze)</w:t>
            </w:r>
          </w:p>
        </w:tc>
      </w:tr>
      <w:tr w:rsidR="006140B9" w:rsidRPr="00012278" w14:paraId="3EC1ABDA" w14:textId="77777777" w:rsidTr="00183A6F">
        <w:tc>
          <w:tcPr>
            <w:tcW w:w="1149" w:type="pct"/>
            <w:shd w:val="clear" w:color="auto" w:fill="auto"/>
          </w:tcPr>
          <w:p w14:paraId="59F729AE" w14:textId="77777777" w:rsidR="006140B9" w:rsidRPr="00012278" w:rsidRDefault="006140B9" w:rsidP="006140B9">
            <w:pPr>
              <w:numPr>
                <w:ilvl w:val="0"/>
                <w:numId w:val="32"/>
              </w:numPr>
              <w:rPr>
                <w:i/>
                <w:szCs w:val="22"/>
                <w:lang w:val="sr-Latn-ME"/>
              </w:rPr>
            </w:pPr>
            <w:r w:rsidRPr="00012278">
              <w:rPr>
                <w:i/>
                <w:szCs w:val="22"/>
                <w:lang w:val="sr-Latn-ME"/>
              </w:rPr>
              <w:t>Stepen I</w:t>
            </w:r>
          </w:p>
        </w:tc>
        <w:tc>
          <w:tcPr>
            <w:tcW w:w="2377" w:type="pct"/>
            <w:shd w:val="clear" w:color="auto" w:fill="auto"/>
          </w:tcPr>
          <w:p w14:paraId="7A06CB74" w14:textId="77777777" w:rsidR="006140B9" w:rsidRPr="00012278" w:rsidRDefault="006140B9" w:rsidP="006140B9">
            <w:pPr>
              <w:rPr>
                <w:szCs w:val="22"/>
                <w:lang w:val="sr-Latn-ME"/>
              </w:rPr>
            </w:pPr>
            <w:r w:rsidRPr="00012278">
              <w:rPr>
                <w:szCs w:val="22"/>
                <w:lang w:val="sr-Latn-ME"/>
              </w:rPr>
              <w:t>Zadržati istu dozu</w:t>
            </w:r>
          </w:p>
        </w:tc>
        <w:tc>
          <w:tcPr>
            <w:tcW w:w="1474" w:type="pct"/>
            <w:tcBorders>
              <w:bottom w:val="single" w:sz="4" w:space="0" w:color="auto"/>
            </w:tcBorders>
            <w:shd w:val="clear" w:color="auto" w:fill="auto"/>
          </w:tcPr>
          <w:p w14:paraId="71B819C6" w14:textId="77777777" w:rsidR="006140B9" w:rsidRPr="00012278" w:rsidRDefault="006140B9" w:rsidP="006140B9">
            <w:pPr>
              <w:rPr>
                <w:szCs w:val="22"/>
                <w:lang w:val="sr-Latn-ME"/>
              </w:rPr>
            </w:pPr>
            <w:r w:rsidRPr="00012278">
              <w:rPr>
                <w:szCs w:val="22"/>
                <w:lang w:val="sr-Latn-ME"/>
              </w:rPr>
              <w:t>Zadržati istu dozu</w:t>
            </w:r>
          </w:p>
        </w:tc>
      </w:tr>
      <w:tr w:rsidR="006140B9" w:rsidRPr="00012278" w14:paraId="7B7C0191" w14:textId="77777777" w:rsidTr="00183A6F">
        <w:tc>
          <w:tcPr>
            <w:tcW w:w="3526" w:type="pct"/>
            <w:gridSpan w:val="2"/>
            <w:tcBorders>
              <w:right w:val="nil"/>
            </w:tcBorders>
            <w:shd w:val="clear" w:color="auto" w:fill="auto"/>
          </w:tcPr>
          <w:p w14:paraId="26EAABD4" w14:textId="77777777" w:rsidR="006140B9" w:rsidRPr="00012278" w:rsidRDefault="006140B9" w:rsidP="006140B9">
            <w:pPr>
              <w:numPr>
                <w:ilvl w:val="0"/>
                <w:numId w:val="32"/>
              </w:numPr>
              <w:rPr>
                <w:szCs w:val="22"/>
                <w:lang w:val="sr-Latn-ME"/>
              </w:rPr>
            </w:pPr>
            <w:r w:rsidRPr="00012278">
              <w:rPr>
                <w:i/>
                <w:szCs w:val="22"/>
                <w:lang w:val="sr-Latn-ME"/>
              </w:rPr>
              <w:t>Stepen II</w:t>
            </w:r>
          </w:p>
        </w:tc>
        <w:tc>
          <w:tcPr>
            <w:tcW w:w="1474" w:type="pct"/>
            <w:tcBorders>
              <w:left w:val="nil"/>
            </w:tcBorders>
            <w:shd w:val="clear" w:color="auto" w:fill="auto"/>
          </w:tcPr>
          <w:p w14:paraId="13CEB17F" w14:textId="77777777" w:rsidR="006140B9" w:rsidRPr="00012278" w:rsidRDefault="006140B9" w:rsidP="006140B9">
            <w:pPr>
              <w:rPr>
                <w:szCs w:val="22"/>
                <w:lang w:val="sr-Latn-ME"/>
              </w:rPr>
            </w:pPr>
          </w:p>
        </w:tc>
      </w:tr>
      <w:tr w:rsidR="006140B9" w:rsidRPr="00012278" w14:paraId="65E1E10F" w14:textId="77777777" w:rsidTr="00183A6F">
        <w:tc>
          <w:tcPr>
            <w:tcW w:w="1149" w:type="pct"/>
            <w:shd w:val="clear" w:color="auto" w:fill="auto"/>
          </w:tcPr>
          <w:p w14:paraId="5F550CDD" w14:textId="77777777" w:rsidR="006140B9" w:rsidRPr="00012278" w:rsidRDefault="006140B9" w:rsidP="006140B9">
            <w:pPr>
              <w:rPr>
                <w:szCs w:val="22"/>
                <w:lang w:val="sr-Latn-ME"/>
              </w:rPr>
            </w:pPr>
            <w:r w:rsidRPr="00012278">
              <w:rPr>
                <w:szCs w:val="22"/>
                <w:lang w:val="sr-Latn-ME"/>
              </w:rPr>
              <w:t>Prva pojava</w:t>
            </w:r>
          </w:p>
        </w:tc>
        <w:tc>
          <w:tcPr>
            <w:tcW w:w="2377" w:type="pct"/>
            <w:vMerge w:val="restart"/>
            <w:shd w:val="clear" w:color="auto" w:fill="auto"/>
          </w:tcPr>
          <w:p w14:paraId="5CDB576B" w14:textId="77777777" w:rsidR="006140B9" w:rsidRPr="00012278" w:rsidRDefault="006140B9" w:rsidP="006140B9">
            <w:pPr>
              <w:rPr>
                <w:szCs w:val="22"/>
                <w:lang w:val="sr-Latn-ME"/>
              </w:rPr>
            </w:pPr>
            <w:r w:rsidRPr="00012278">
              <w:rPr>
                <w:szCs w:val="22"/>
                <w:lang w:val="sr-Latn-ME"/>
              </w:rPr>
              <w:t>Prekinuti dok se povuče do stepena 0-1</w:t>
            </w:r>
          </w:p>
          <w:p w14:paraId="65B59B9B" w14:textId="77777777" w:rsidR="006140B9" w:rsidRPr="00012278" w:rsidRDefault="006140B9" w:rsidP="006140B9">
            <w:pPr>
              <w:rPr>
                <w:szCs w:val="22"/>
                <w:lang w:val="sr-Latn-ME"/>
              </w:rPr>
            </w:pPr>
          </w:p>
        </w:tc>
        <w:tc>
          <w:tcPr>
            <w:tcW w:w="1474" w:type="pct"/>
            <w:shd w:val="clear" w:color="auto" w:fill="auto"/>
          </w:tcPr>
          <w:p w14:paraId="031F6D31" w14:textId="77777777" w:rsidR="006140B9" w:rsidRPr="00012278" w:rsidRDefault="006140B9" w:rsidP="006140B9">
            <w:pPr>
              <w:rPr>
                <w:szCs w:val="22"/>
                <w:lang w:val="sr-Latn-ME"/>
              </w:rPr>
            </w:pPr>
            <w:r w:rsidRPr="00012278">
              <w:rPr>
                <w:szCs w:val="22"/>
                <w:lang w:val="sr-Latn-ME"/>
              </w:rPr>
              <w:t xml:space="preserve">100% </w:t>
            </w:r>
          </w:p>
          <w:p w14:paraId="67ACA925" w14:textId="77777777" w:rsidR="006140B9" w:rsidRPr="00012278" w:rsidRDefault="006140B9" w:rsidP="006140B9">
            <w:pPr>
              <w:rPr>
                <w:szCs w:val="22"/>
                <w:lang w:val="sr-Latn-ME"/>
              </w:rPr>
            </w:pPr>
          </w:p>
        </w:tc>
      </w:tr>
      <w:tr w:rsidR="006140B9" w:rsidRPr="00012278" w14:paraId="269159E8" w14:textId="77777777" w:rsidTr="00183A6F">
        <w:tc>
          <w:tcPr>
            <w:tcW w:w="1149" w:type="pct"/>
            <w:shd w:val="clear" w:color="auto" w:fill="auto"/>
          </w:tcPr>
          <w:p w14:paraId="2583ED85" w14:textId="77777777" w:rsidR="006140B9" w:rsidRPr="00012278" w:rsidRDefault="006140B9" w:rsidP="006140B9">
            <w:pPr>
              <w:rPr>
                <w:szCs w:val="22"/>
                <w:lang w:val="sr-Latn-ME"/>
              </w:rPr>
            </w:pPr>
            <w:r w:rsidRPr="00012278">
              <w:rPr>
                <w:szCs w:val="22"/>
                <w:lang w:val="sr-Latn-ME"/>
              </w:rPr>
              <w:t>Druga pojava</w:t>
            </w:r>
          </w:p>
        </w:tc>
        <w:tc>
          <w:tcPr>
            <w:tcW w:w="2377" w:type="pct"/>
            <w:vMerge/>
            <w:shd w:val="clear" w:color="auto" w:fill="auto"/>
          </w:tcPr>
          <w:p w14:paraId="513BBE77" w14:textId="77777777" w:rsidR="006140B9" w:rsidRPr="00012278" w:rsidRDefault="006140B9" w:rsidP="006140B9">
            <w:pPr>
              <w:rPr>
                <w:szCs w:val="22"/>
                <w:lang w:val="sr-Latn-ME"/>
              </w:rPr>
            </w:pPr>
          </w:p>
        </w:tc>
        <w:tc>
          <w:tcPr>
            <w:tcW w:w="1474" w:type="pct"/>
            <w:shd w:val="clear" w:color="auto" w:fill="auto"/>
          </w:tcPr>
          <w:p w14:paraId="7C06A914" w14:textId="77777777" w:rsidR="006140B9" w:rsidRPr="00012278" w:rsidRDefault="006140B9" w:rsidP="006140B9">
            <w:pPr>
              <w:rPr>
                <w:szCs w:val="22"/>
                <w:lang w:val="sr-Latn-ME"/>
              </w:rPr>
            </w:pPr>
            <w:r w:rsidRPr="00012278">
              <w:rPr>
                <w:szCs w:val="22"/>
                <w:lang w:val="sr-Latn-ME"/>
              </w:rPr>
              <w:t>75%</w:t>
            </w:r>
          </w:p>
        </w:tc>
      </w:tr>
      <w:tr w:rsidR="006140B9" w:rsidRPr="00012278" w14:paraId="07759E0C" w14:textId="77777777" w:rsidTr="00183A6F">
        <w:tc>
          <w:tcPr>
            <w:tcW w:w="1149" w:type="pct"/>
            <w:shd w:val="clear" w:color="auto" w:fill="auto"/>
          </w:tcPr>
          <w:p w14:paraId="3132D3A7" w14:textId="77777777" w:rsidR="006140B9" w:rsidRPr="00012278" w:rsidRDefault="006140B9" w:rsidP="006140B9">
            <w:pPr>
              <w:rPr>
                <w:szCs w:val="22"/>
                <w:lang w:val="sr-Latn-ME"/>
              </w:rPr>
            </w:pPr>
            <w:r w:rsidRPr="00012278">
              <w:rPr>
                <w:szCs w:val="22"/>
                <w:lang w:val="sr-Latn-ME"/>
              </w:rPr>
              <w:t>Treća pojava</w:t>
            </w:r>
          </w:p>
        </w:tc>
        <w:tc>
          <w:tcPr>
            <w:tcW w:w="2377" w:type="pct"/>
            <w:vMerge/>
            <w:shd w:val="clear" w:color="auto" w:fill="auto"/>
          </w:tcPr>
          <w:p w14:paraId="05EE7441" w14:textId="77777777" w:rsidR="006140B9" w:rsidRPr="00012278" w:rsidRDefault="006140B9" w:rsidP="006140B9">
            <w:pPr>
              <w:rPr>
                <w:szCs w:val="22"/>
                <w:lang w:val="sr-Latn-ME"/>
              </w:rPr>
            </w:pPr>
          </w:p>
        </w:tc>
        <w:tc>
          <w:tcPr>
            <w:tcW w:w="1474" w:type="pct"/>
            <w:shd w:val="clear" w:color="auto" w:fill="auto"/>
          </w:tcPr>
          <w:p w14:paraId="27EE9923" w14:textId="77777777" w:rsidR="006140B9" w:rsidRPr="00012278" w:rsidRDefault="006140B9" w:rsidP="006140B9">
            <w:pPr>
              <w:rPr>
                <w:szCs w:val="22"/>
                <w:lang w:val="sr-Latn-ME"/>
              </w:rPr>
            </w:pPr>
            <w:r w:rsidRPr="00012278">
              <w:rPr>
                <w:szCs w:val="22"/>
                <w:lang w:val="sr-Latn-ME"/>
              </w:rPr>
              <w:t>50%</w:t>
            </w:r>
          </w:p>
        </w:tc>
      </w:tr>
      <w:tr w:rsidR="006140B9" w:rsidRPr="00012278" w14:paraId="7CECFC3E" w14:textId="77777777" w:rsidTr="00183A6F">
        <w:tc>
          <w:tcPr>
            <w:tcW w:w="1149" w:type="pct"/>
            <w:shd w:val="clear" w:color="auto" w:fill="auto"/>
          </w:tcPr>
          <w:p w14:paraId="463CED07" w14:textId="77777777" w:rsidR="006140B9" w:rsidRPr="00012278" w:rsidRDefault="006140B9" w:rsidP="006140B9">
            <w:pPr>
              <w:rPr>
                <w:szCs w:val="22"/>
                <w:lang w:val="sr-Latn-ME"/>
              </w:rPr>
            </w:pPr>
            <w:r w:rsidRPr="00012278">
              <w:rPr>
                <w:szCs w:val="22"/>
                <w:lang w:val="sr-Latn-ME"/>
              </w:rPr>
              <w:t>Četvrta pojava</w:t>
            </w:r>
          </w:p>
        </w:tc>
        <w:tc>
          <w:tcPr>
            <w:tcW w:w="2377" w:type="pct"/>
            <w:shd w:val="clear" w:color="auto" w:fill="auto"/>
          </w:tcPr>
          <w:p w14:paraId="2A5E0800" w14:textId="77777777" w:rsidR="006140B9" w:rsidRPr="00012278" w:rsidRDefault="006140B9" w:rsidP="006140B9">
            <w:pPr>
              <w:rPr>
                <w:szCs w:val="22"/>
                <w:lang w:val="sr-Latn-ME"/>
              </w:rPr>
            </w:pPr>
            <w:r w:rsidRPr="00012278">
              <w:rPr>
                <w:szCs w:val="22"/>
                <w:lang w:val="sr-Latn-ME"/>
              </w:rPr>
              <w:t>Trajno prekinuti terapiju</w:t>
            </w:r>
          </w:p>
        </w:tc>
        <w:tc>
          <w:tcPr>
            <w:tcW w:w="1474" w:type="pct"/>
            <w:shd w:val="clear" w:color="auto" w:fill="auto"/>
          </w:tcPr>
          <w:p w14:paraId="7465B566" w14:textId="77777777" w:rsidR="006140B9" w:rsidRPr="00012278" w:rsidRDefault="006140B9" w:rsidP="006140B9">
            <w:pPr>
              <w:rPr>
                <w:szCs w:val="22"/>
                <w:lang w:val="sr-Latn-ME"/>
              </w:rPr>
            </w:pPr>
            <w:r w:rsidRPr="00012278">
              <w:rPr>
                <w:szCs w:val="22"/>
                <w:lang w:val="sr-Latn-ME"/>
              </w:rPr>
              <w:t xml:space="preserve">Nije primjenljivo </w:t>
            </w:r>
          </w:p>
        </w:tc>
      </w:tr>
      <w:tr w:rsidR="006140B9" w:rsidRPr="00012278" w14:paraId="1A7C48D8" w14:textId="77777777" w:rsidTr="00183A6F">
        <w:tc>
          <w:tcPr>
            <w:tcW w:w="3526" w:type="pct"/>
            <w:gridSpan w:val="2"/>
            <w:shd w:val="clear" w:color="auto" w:fill="auto"/>
          </w:tcPr>
          <w:p w14:paraId="2A95CFD5" w14:textId="77777777" w:rsidR="006140B9" w:rsidRPr="00012278" w:rsidRDefault="006140B9" w:rsidP="006140B9">
            <w:pPr>
              <w:numPr>
                <w:ilvl w:val="0"/>
                <w:numId w:val="32"/>
              </w:numPr>
              <w:rPr>
                <w:szCs w:val="22"/>
                <w:lang w:val="sr-Latn-ME"/>
              </w:rPr>
            </w:pPr>
            <w:r w:rsidRPr="00012278">
              <w:rPr>
                <w:i/>
                <w:szCs w:val="22"/>
                <w:lang w:val="sr-Latn-ME"/>
              </w:rPr>
              <w:t>Stepen III</w:t>
            </w:r>
          </w:p>
        </w:tc>
        <w:tc>
          <w:tcPr>
            <w:tcW w:w="1474" w:type="pct"/>
            <w:shd w:val="clear" w:color="auto" w:fill="auto"/>
          </w:tcPr>
          <w:p w14:paraId="5052FB37" w14:textId="77777777" w:rsidR="006140B9" w:rsidRPr="00012278" w:rsidRDefault="006140B9" w:rsidP="006140B9">
            <w:pPr>
              <w:rPr>
                <w:szCs w:val="22"/>
                <w:lang w:val="sr-Latn-ME"/>
              </w:rPr>
            </w:pPr>
          </w:p>
        </w:tc>
      </w:tr>
      <w:tr w:rsidR="006140B9" w:rsidRPr="00012278" w14:paraId="3DF3ABC4" w14:textId="77777777" w:rsidTr="00183A6F">
        <w:tc>
          <w:tcPr>
            <w:tcW w:w="1149" w:type="pct"/>
            <w:shd w:val="clear" w:color="auto" w:fill="auto"/>
          </w:tcPr>
          <w:p w14:paraId="2D035478" w14:textId="77777777" w:rsidR="006140B9" w:rsidRPr="00012278" w:rsidRDefault="006140B9" w:rsidP="006140B9">
            <w:pPr>
              <w:rPr>
                <w:szCs w:val="22"/>
                <w:lang w:val="sr-Latn-ME"/>
              </w:rPr>
            </w:pPr>
            <w:r w:rsidRPr="00012278">
              <w:rPr>
                <w:szCs w:val="22"/>
                <w:lang w:val="sr-Latn-ME"/>
              </w:rPr>
              <w:t>Prva pojava</w:t>
            </w:r>
          </w:p>
        </w:tc>
        <w:tc>
          <w:tcPr>
            <w:tcW w:w="2377" w:type="pct"/>
            <w:vMerge w:val="restart"/>
            <w:shd w:val="clear" w:color="auto" w:fill="auto"/>
          </w:tcPr>
          <w:p w14:paraId="73CC5CCD" w14:textId="77777777" w:rsidR="006140B9" w:rsidRPr="00012278" w:rsidRDefault="006140B9" w:rsidP="006140B9">
            <w:pPr>
              <w:rPr>
                <w:szCs w:val="22"/>
                <w:lang w:val="sr-Latn-ME"/>
              </w:rPr>
            </w:pPr>
            <w:r w:rsidRPr="00012278">
              <w:rPr>
                <w:szCs w:val="22"/>
                <w:lang w:val="sr-Latn-ME"/>
              </w:rPr>
              <w:t xml:space="preserve">Prekinuti dok se </w:t>
            </w:r>
            <w:r w:rsidR="005F1D8B" w:rsidRPr="00012278">
              <w:rPr>
                <w:szCs w:val="22"/>
                <w:lang w:val="sr-Latn-ME"/>
              </w:rPr>
              <w:t xml:space="preserve">ne </w:t>
            </w:r>
            <w:r w:rsidRPr="00012278">
              <w:rPr>
                <w:szCs w:val="22"/>
                <w:lang w:val="sr-Latn-ME"/>
              </w:rPr>
              <w:t>povuče do stepena 0-1</w:t>
            </w:r>
          </w:p>
          <w:p w14:paraId="0211232E" w14:textId="77777777" w:rsidR="006140B9" w:rsidRPr="00012278" w:rsidRDefault="006140B9" w:rsidP="006140B9">
            <w:pPr>
              <w:rPr>
                <w:szCs w:val="22"/>
                <w:lang w:val="sr-Latn-ME"/>
              </w:rPr>
            </w:pPr>
          </w:p>
        </w:tc>
        <w:tc>
          <w:tcPr>
            <w:tcW w:w="1474" w:type="pct"/>
            <w:shd w:val="clear" w:color="auto" w:fill="auto"/>
          </w:tcPr>
          <w:p w14:paraId="667F552E" w14:textId="77777777" w:rsidR="006140B9" w:rsidRPr="00012278" w:rsidRDefault="006140B9" w:rsidP="006140B9">
            <w:pPr>
              <w:rPr>
                <w:szCs w:val="22"/>
                <w:lang w:val="sr-Latn-ME"/>
              </w:rPr>
            </w:pPr>
            <w:r w:rsidRPr="00012278">
              <w:rPr>
                <w:szCs w:val="22"/>
                <w:lang w:val="sr-Latn-ME"/>
              </w:rPr>
              <w:t>75%</w:t>
            </w:r>
          </w:p>
        </w:tc>
      </w:tr>
      <w:tr w:rsidR="006140B9" w:rsidRPr="00012278" w14:paraId="56789B35" w14:textId="77777777" w:rsidTr="00183A6F">
        <w:tc>
          <w:tcPr>
            <w:tcW w:w="1149" w:type="pct"/>
            <w:shd w:val="clear" w:color="auto" w:fill="auto"/>
          </w:tcPr>
          <w:p w14:paraId="481157D1" w14:textId="77777777" w:rsidR="006140B9" w:rsidRPr="00012278" w:rsidRDefault="006140B9" w:rsidP="006140B9">
            <w:pPr>
              <w:rPr>
                <w:szCs w:val="22"/>
                <w:lang w:val="sr-Latn-ME"/>
              </w:rPr>
            </w:pPr>
            <w:r w:rsidRPr="00012278">
              <w:rPr>
                <w:szCs w:val="22"/>
                <w:lang w:val="sr-Latn-ME"/>
              </w:rPr>
              <w:t>Druga pojava</w:t>
            </w:r>
          </w:p>
        </w:tc>
        <w:tc>
          <w:tcPr>
            <w:tcW w:w="2377" w:type="pct"/>
            <w:vMerge/>
            <w:shd w:val="clear" w:color="auto" w:fill="auto"/>
          </w:tcPr>
          <w:p w14:paraId="5C62D00E" w14:textId="77777777" w:rsidR="006140B9" w:rsidRPr="00012278" w:rsidRDefault="006140B9" w:rsidP="006140B9">
            <w:pPr>
              <w:rPr>
                <w:szCs w:val="22"/>
                <w:lang w:val="sr-Latn-ME"/>
              </w:rPr>
            </w:pPr>
          </w:p>
        </w:tc>
        <w:tc>
          <w:tcPr>
            <w:tcW w:w="1474" w:type="pct"/>
            <w:shd w:val="clear" w:color="auto" w:fill="auto"/>
          </w:tcPr>
          <w:p w14:paraId="55D48ED6" w14:textId="77777777" w:rsidR="006140B9" w:rsidRPr="00012278" w:rsidRDefault="006140B9" w:rsidP="006140B9">
            <w:pPr>
              <w:rPr>
                <w:szCs w:val="22"/>
                <w:lang w:val="sr-Latn-ME"/>
              </w:rPr>
            </w:pPr>
            <w:r w:rsidRPr="00012278">
              <w:rPr>
                <w:szCs w:val="22"/>
                <w:lang w:val="sr-Latn-ME"/>
              </w:rPr>
              <w:t>50%</w:t>
            </w:r>
          </w:p>
        </w:tc>
      </w:tr>
      <w:tr w:rsidR="006140B9" w:rsidRPr="00012278" w14:paraId="04DBA46A" w14:textId="77777777" w:rsidTr="00183A6F">
        <w:tc>
          <w:tcPr>
            <w:tcW w:w="1149" w:type="pct"/>
            <w:shd w:val="clear" w:color="auto" w:fill="auto"/>
          </w:tcPr>
          <w:p w14:paraId="6BE71692" w14:textId="77777777" w:rsidR="006140B9" w:rsidRPr="00012278" w:rsidRDefault="006140B9" w:rsidP="006140B9">
            <w:pPr>
              <w:rPr>
                <w:szCs w:val="22"/>
                <w:lang w:val="sr-Latn-ME"/>
              </w:rPr>
            </w:pPr>
            <w:r w:rsidRPr="00012278">
              <w:rPr>
                <w:szCs w:val="22"/>
                <w:lang w:val="sr-Latn-ME"/>
              </w:rPr>
              <w:t>Treća pojava</w:t>
            </w:r>
          </w:p>
        </w:tc>
        <w:tc>
          <w:tcPr>
            <w:tcW w:w="2377" w:type="pct"/>
            <w:shd w:val="clear" w:color="auto" w:fill="auto"/>
          </w:tcPr>
          <w:p w14:paraId="1B59C279" w14:textId="77777777" w:rsidR="006140B9" w:rsidRPr="00012278" w:rsidRDefault="006140B9" w:rsidP="006140B9">
            <w:pPr>
              <w:rPr>
                <w:szCs w:val="22"/>
                <w:lang w:val="sr-Latn-ME"/>
              </w:rPr>
            </w:pPr>
            <w:r w:rsidRPr="00012278">
              <w:rPr>
                <w:szCs w:val="22"/>
                <w:lang w:val="sr-Latn-ME"/>
              </w:rPr>
              <w:t>Trajno prekinuti terapiju</w:t>
            </w:r>
          </w:p>
        </w:tc>
        <w:tc>
          <w:tcPr>
            <w:tcW w:w="1474" w:type="pct"/>
            <w:tcBorders>
              <w:bottom w:val="single" w:sz="4" w:space="0" w:color="auto"/>
            </w:tcBorders>
            <w:shd w:val="clear" w:color="auto" w:fill="auto"/>
          </w:tcPr>
          <w:p w14:paraId="5D8650EE" w14:textId="77777777" w:rsidR="006140B9" w:rsidRPr="00012278" w:rsidRDefault="006140B9" w:rsidP="006140B9">
            <w:pPr>
              <w:rPr>
                <w:szCs w:val="22"/>
                <w:lang w:val="sr-Latn-ME"/>
              </w:rPr>
            </w:pPr>
            <w:r w:rsidRPr="00012278">
              <w:rPr>
                <w:szCs w:val="22"/>
                <w:lang w:val="sr-Latn-ME"/>
              </w:rPr>
              <w:t>Nije primjenljivo</w:t>
            </w:r>
          </w:p>
        </w:tc>
      </w:tr>
      <w:tr w:rsidR="006140B9" w:rsidRPr="00012278" w14:paraId="16E1A4B4" w14:textId="77777777" w:rsidTr="00183A6F">
        <w:tc>
          <w:tcPr>
            <w:tcW w:w="3526" w:type="pct"/>
            <w:gridSpan w:val="2"/>
            <w:tcBorders>
              <w:right w:val="nil"/>
            </w:tcBorders>
            <w:shd w:val="clear" w:color="auto" w:fill="auto"/>
          </w:tcPr>
          <w:p w14:paraId="793F23D6" w14:textId="77777777" w:rsidR="006140B9" w:rsidRPr="00012278" w:rsidRDefault="006140B9" w:rsidP="006140B9">
            <w:pPr>
              <w:numPr>
                <w:ilvl w:val="0"/>
                <w:numId w:val="32"/>
              </w:numPr>
              <w:rPr>
                <w:szCs w:val="22"/>
                <w:lang w:val="sr-Latn-ME"/>
              </w:rPr>
            </w:pPr>
            <w:r w:rsidRPr="00012278">
              <w:rPr>
                <w:i/>
                <w:szCs w:val="22"/>
                <w:lang w:val="sr-Latn-ME"/>
              </w:rPr>
              <w:t>Stepen IV</w:t>
            </w:r>
          </w:p>
        </w:tc>
        <w:tc>
          <w:tcPr>
            <w:tcW w:w="1474" w:type="pct"/>
            <w:tcBorders>
              <w:left w:val="nil"/>
            </w:tcBorders>
            <w:shd w:val="clear" w:color="auto" w:fill="auto"/>
          </w:tcPr>
          <w:p w14:paraId="064EC4D4" w14:textId="77777777" w:rsidR="006140B9" w:rsidRPr="00012278" w:rsidRDefault="006140B9" w:rsidP="006140B9">
            <w:pPr>
              <w:rPr>
                <w:szCs w:val="22"/>
                <w:lang w:val="sr-Latn-ME"/>
              </w:rPr>
            </w:pPr>
          </w:p>
        </w:tc>
      </w:tr>
      <w:tr w:rsidR="006140B9" w:rsidRPr="00012278" w14:paraId="490B307D" w14:textId="77777777" w:rsidTr="00183A6F">
        <w:tc>
          <w:tcPr>
            <w:tcW w:w="1149" w:type="pct"/>
            <w:shd w:val="clear" w:color="auto" w:fill="auto"/>
          </w:tcPr>
          <w:p w14:paraId="69783CE5" w14:textId="77777777" w:rsidR="006140B9" w:rsidRPr="00012278" w:rsidRDefault="006140B9" w:rsidP="006140B9">
            <w:pPr>
              <w:rPr>
                <w:szCs w:val="22"/>
                <w:lang w:val="sr-Latn-ME"/>
              </w:rPr>
            </w:pPr>
            <w:r w:rsidRPr="00012278">
              <w:rPr>
                <w:szCs w:val="22"/>
                <w:lang w:val="sr-Latn-ME"/>
              </w:rPr>
              <w:t>Prva pojava</w:t>
            </w:r>
          </w:p>
        </w:tc>
        <w:tc>
          <w:tcPr>
            <w:tcW w:w="2377" w:type="pct"/>
            <w:shd w:val="clear" w:color="auto" w:fill="auto"/>
          </w:tcPr>
          <w:p w14:paraId="44C4FD2D" w14:textId="77777777" w:rsidR="006140B9" w:rsidRPr="00012278" w:rsidRDefault="006140B9" w:rsidP="006140B9">
            <w:pPr>
              <w:rPr>
                <w:szCs w:val="22"/>
                <w:lang w:val="sr-Latn-ME"/>
              </w:rPr>
            </w:pPr>
            <w:r w:rsidRPr="00012278">
              <w:rPr>
                <w:szCs w:val="22"/>
                <w:lang w:val="sr-Latn-ME"/>
              </w:rPr>
              <w:t>Trajno prekinuti terapiju</w:t>
            </w:r>
          </w:p>
          <w:p w14:paraId="543174F9" w14:textId="77777777" w:rsidR="006140B9" w:rsidRPr="00012278" w:rsidRDefault="006140B9" w:rsidP="006140B9">
            <w:pPr>
              <w:rPr>
                <w:i/>
                <w:szCs w:val="22"/>
                <w:lang w:val="sr-Latn-ME"/>
              </w:rPr>
            </w:pPr>
            <w:r w:rsidRPr="00012278">
              <w:rPr>
                <w:i/>
                <w:szCs w:val="22"/>
                <w:lang w:val="sr-Latn-ME"/>
              </w:rPr>
              <w:t>ili</w:t>
            </w:r>
          </w:p>
          <w:p w14:paraId="08615531" w14:textId="77777777" w:rsidR="006140B9" w:rsidRPr="00012278" w:rsidRDefault="006140B9" w:rsidP="006140B9">
            <w:pPr>
              <w:rPr>
                <w:szCs w:val="22"/>
                <w:lang w:val="sr-Latn-ME"/>
              </w:rPr>
            </w:pPr>
            <w:r w:rsidRPr="00012278">
              <w:rPr>
                <w:szCs w:val="22"/>
                <w:lang w:val="sr-Latn-ME"/>
              </w:rPr>
              <w:t>ako ljekar smatra da je nastavak liječenja u interesu pacijenta, prekinuti dok se ne povuče do stepena 0-1</w:t>
            </w:r>
          </w:p>
        </w:tc>
        <w:tc>
          <w:tcPr>
            <w:tcW w:w="1474" w:type="pct"/>
            <w:shd w:val="clear" w:color="auto" w:fill="auto"/>
          </w:tcPr>
          <w:p w14:paraId="190DFF63" w14:textId="77777777" w:rsidR="006140B9" w:rsidRPr="00012278" w:rsidRDefault="006140B9" w:rsidP="006140B9">
            <w:pPr>
              <w:rPr>
                <w:szCs w:val="22"/>
                <w:lang w:val="sr-Latn-ME"/>
              </w:rPr>
            </w:pPr>
            <w:r w:rsidRPr="00012278">
              <w:rPr>
                <w:szCs w:val="22"/>
                <w:lang w:val="sr-Latn-ME"/>
              </w:rPr>
              <w:t>50%</w:t>
            </w:r>
          </w:p>
        </w:tc>
      </w:tr>
      <w:tr w:rsidR="006140B9" w:rsidRPr="00012278" w14:paraId="05E27BE2" w14:textId="77777777" w:rsidTr="00183A6F">
        <w:trPr>
          <w:trHeight w:val="96"/>
        </w:trPr>
        <w:tc>
          <w:tcPr>
            <w:tcW w:w="1149" w:type="pct"/>
            <w:shd w:val="clear" w:color="auto" w:fill="auto"/>
          </w:tcPr>
          <w:p w14:paraId="4D4FF5BD" w14:textId="77777777" w:rsidR="006140B9" w:rsidRPr="00012278" w:rsidRDefault="006140B9" w:rsidP="006140B9">
            <w:pPr>
              <w:rPr>
                <w:szCs w:val="22"/>
                <w:lang w:val="sr-Latn-ME"/>
              </w:rPr>
            </w:pPr>
            <w:r w:rsidRPr="00012278">
              <w:rPr>
                <w:szCs w:val="22"/>
                <w:lang w:val="sr-Latn-ME"/>
              </w:rPr>
              <w:t>Druga pojava</w:t>
            </w:r>
          </w:p>
        </w:tc>
        <w:tc>
          <w:tcPr>
            <w:tcW w:w="2377" w:type="pct"/>
            <w:shd w:val="clear" w:color="auto" w:fill="auto"/>
          </w:tcPr>
          <w:p w14:paraId="0F9334B2" w14:textId="77777777" w:rsidR="006140B9" w:rsidRPr="00012278" w:rsidRDefault="006140B9" w:rsidP="006140B9">
            <w:pPr>
              <w:rPr>
                <w:szCs w:val="22"/>
                <w:lang w:val="sr-Latn-ME"/>
              </w:rPr>
            </w:pPr>
            <w:r w:rsidRPr="00012278">
              <w:rPr>
                <w:szCs w:val="22"/>
                <w:lang w:val="sr-Latn-ME"/>
              </w:rPr>
              <w:t>Trajno prekinuti terapiju</w:t>
            </w:r>
          </w:p>
        </w:tc>
        <w:tc>
          <w:tcPr>
            <w:tcW w:w="1474" w:type="pct"/>
            <w:shd w:val="clear" w:color="auto" w:fill="auto"/>
          </w:tcPr>
          <w:p w14:paraId="1D594CC2" w14:textId="77777777" w:rsidR="006140B9" w:rsidRPr="00012278" w:rsidRDefault="006140B9" w:rsidP="006140B9">
            <w:pPr>
              <w:rPr>
                <w:szCs w:val="22"/>
                <w:lang w:val="sr-Latn-ME"/>
              </w:rPr>
            </w:pPr>
            <w:r w:rsidRPr="00012278">
              <w:rPr>
                <w:szCs w:val="22"/>
                <w:lang w:val="sr-Latn-ME"/>
              </w:rPr>
              <w:t>Nije primjenljivo</w:t>
            </w:r>
          </w:p>
        </w:tc>
      </w:tr>
    </w:tbl>
    <w:p w14:paraId="5CB73290" w14:textId="604C6C66" w:rsidR="006140B9" w:rsidRPr="00012278" w:rsidRDefault="006140B9" w:rsidP="002B4BD7">
      <w:pPr>
        <w:jc w:val="both"/>
        <w:rPr>
          <w:szCs w:val="22"/>
          <w:lang w:val="sr-Latn-ME"/>
        </w:rPr>
      </w:pPr>
      <w:r w:rsidRPr="00012278">
        <w:rPr>
          <w:szCs w:val="22"/>
          <w:lang w:val="sr-Latn-ME"/>
        </w:rPr>
        <w:t xml:space="preserve">*prema opštim kriterijumima toksičnosti grupe za klinička ispitivanja Kanadskog nacionalnog instituta za rak (National Cancer Institute of Canada Clinical Trial Group - NCIC CTG), verzija 1 ili opštim kriterijumima terminologije za neželjene događaje prema programu evaluacije terapije karcinoma Američkog nacionalnog instituta za rak (Common Terminology Criteria for Adverse Events (CTCAE) of the Cancer Therapy Evaluation Program, US National Cancer Institute), verzija 4.0. Za sindrom šaka-stopalo i hiperbilirubinemiju vidjeti </w:t>
      </w:r>
      <w:r w:rsidR="005F1D8B" w:rsidRPr="00012278">
        <w:rPr>
          <w:szCs w:val="22"/>
          <w:lang w:val="sr-Latn-ME"/>
        </w:rPr>
        <w:t xml:space="preserve">dio </w:t>
      </w:r>
      <w:r w:rsidRPr="00012278">
        <w:rPr>
          <w:szCs w:val="22"/>
          <w:lang w:val="sr-Latn-ME"/>
        </w:rPr>
        <w:t xml:space="preserve">4.4.  </w:t>
      </w:r>
    </w:p>
    <w:p w14:paraId="7B1BB79E" w14:textId="77777777" w:rsidR="006140B9" w:rsidRPr="00012278" w:rsidRDefault="006140B9" w:rsidP="006140B9">
      <w:pPr>
        <w:rPr>
          <w:szCs w:val="22"/>
          <w:lang w:val="sr-Latn-ME"/>
        </w:rPr>
      </w:pPr>
    </w:p>
    <w:p w14:paraId="71602B85" w14:textId="77777777" w:rsidR="006140B9" w:rsidRPr="00012278" w:rsidRDefault="006140B9" w:rsidP="006140B9">
      <w:pPr>
        <w:rPr>
          <w:szCs w:val="22"/>
          <w:lang w:val="sr-Latn-ME"/>
        </w:rPr>
      </w:pPr>
      <w:r w:rsidRPr="00012278">
        <w:rPr>
          <w:i/>
          <w:szCs w:val="22"/>
          <w:lang w:val="sr-Latn-ME"/>
        </w:rPr>
        <w:t>Hematologija</w:t>
      </w:r>
    </w:p>
    <w:p w14:paraId="117288BA" w14:textId="77777777" w:rsidR="006140B9" w:rsidRPr="00012278" w:rsidRDefault="006140B9" w:rsidP="002B4BD7">
      <w:pPr>
        <w:jc w:val="both"/>
        <w:rPr>
          <w:szCs w:val="22"/>
          <w:lang w:val="sr-Latn-ME"/>
        </w:rPr>
      </w:pPr>
      <w:r w:rsidRPr="00012278">
        <w:rPr>
          <w:szCs w:val="22"/>
          <w:lang w:val="sr-Latn-ME"/>
        </w:rPr>
        <w:t>Pacijente sa početnim brojem neutrofila &lt;1,5 x 10</w:t>
      </w:r>
      <w:r w:rsidRPr="00012278">
        <w:rPr>
          <w:szCs w:val="22"/>
          <w:vertAlign w:val="superscript"/>
          <w:lang w:val="sr-Latn-ME"/>
        </w:rPr>
        <w:t>9</w:t>
      </w:r>
      <w:r w:rsidRPr="00012278">
        <w:rPr>
          <w:szCs w:val="22"/>
          <w:lang w:val="sr-Latn-ME"/>
        </w:rPr>
        <w:t>/L i/ili brojem trombocita &lt;100 x 10</w:t>
      </w:r>
      <w:r w:rsidRPr="00012278">
        <w:rPr>
          <w:szCs w:val="22"/>
          <w:vertAlign w:val="superscript"/>
          <w:lang w:val="sr-Latn-ME"/>
        </w:rPr>
        <w:t>9</w:t>
      </w:r>
      <w:r w:rsidRPr="00012278">
        <w:rPr>
          <w:szCs w:val="22"/>
          <w:lang w:val="sr-Latn-ME"/>
        </w:rPr>
        <w:t>/L ne bi trebalo liječiti kapecitabinom. Ako neplanirana laboratorijska procjena tokom ciklusa liječenja pokaže pad broja neutrofila ispod 1,0 x 10</w:t>
      </w:r>
      <w:r w:rsidRPr="00012278">
        <w:rPr>
          <w:szCs w:val="22"/>
          <w:vertAlign w:val="superscript"/>
          <w:lang w:val="sr-Latn-ME"/>
        </w:rPr>
        <w:t>9</w:t>
      </w:r>
      <w:r w:rsidRPr="00012278">
        <w:rPr>
          <w:szCs w:val="22"/>
          <w:lang w:val="sr-Latn-ME"/>
        </w:rPr>
        <w:t>/L ili pad broja trombocita ispod 75 x 10</w:t>
      </w:r>
      <w:r w:rsidRPr="00012278">
        <w:rPr>
          <w:szCs w:val="22"/>
          <w:vertAlign w:val="superscript"/>
          <w:lang w:val="sr-Latn-ME"/>
        </w:rPr>
        <w:t>9</w:t>
      </w:r>
      <w:r w:rsidRPr="00012278">
        <w:rPr>
          <w:szCs w:val="22"/>
          <w:lang w:val="sr-Latn-ME"/>
        </w:rPr>
        <w:t>/L, potrebno je prekinuti liječenje kapecitabinom.</w:t>
      </w:r>
    </w:p>
    <w:p w14:paraId="71F40156" w14:textId="77777777" w:rsidR="006140B9" w:rsidRPr="00012278" w:rsidRDefault="006140B9" w:rsidP="002B4BD7">
      <w:pPr>
        <w:jc w:val="both"/>
        <w:rPr>
          <w:szCs w:val="22"/>
          <w:lang w:val="sr-Latn-ME"/>
        </w:rPr>
      </w:pPr>
    </w:p>
    <w:p w14:paraId="38E4422B" w14:textId="77777777" w:rsidR="006140B9" w:rsidRPr="00012278" w:rsidRDefault="006140B9" w:rsidP="002B4BD7">
      <w:pPr>
        <w:jc w:val="both"/>
        <w:rPr>
          <w:i/>
          <w:szCs w:val="22"/>
          <w:lang w:val="sr-Latn-ME"/>
        </w:rPr>
      </w:pPr>
      <w:r w:rsidRPr="00012278">
        <w:rPr>
          <w:i/>
          <w:szCs w:val="22"/>
          <w:lang w:val="sr-Latn-ME"/>
        </w:rPr>
        <w:t>Prilagođavanje doze zbog toksičnosti kada se kapecitabin primjenjuje u ciklusima od 3 nedjelje u kombinaciji sa drugim ljekovima</w:t>
      </w:r>
    </w:p>
    <w:p w14:paraId="27CB4443" w14:textId="77777777" w:rsidR="006140B9" w:rsidRPr="00012278" w:rsidRDefault="006140B9" w:rsidP="002B4BD7">
      <w:pPr>
        <w:jc w:val="both"/>
        <w:rPr>
          <w:szCs w:val="22"/>
          <w:lang w:val="sr-Latn-ME"/>
        </w:rPr>
      </w:pPr>
      <w:r w:rsidRPr="00012278">
        <w:rPr>
          <w:szCs w:val="22"/>
          <w:lang w:val="sr-Latn-ME"/>
        </w:rPr>
        <w:t xml:space="preserve">Prilagođavanje doze zbog toksičnosti kada se kapecitabin koristi u ciklusima od 3 nedjelje u kombinaciji sa drugim ljekovima treba vršiti u skladu sa gore navedenom Tabelom 3 za kapecitabin i u skladu sa odgovarajućim Sažetkom karakteristika lijeka za drugi lijek (druge ljekove). </w:t>
      </w:r>
    </w:p>
    <w:p w14:paraId="3C06939C" w14:textId="77777777" w:rsidR="006140B9" w:rsidRPr="00012278" w:rsidRDefault="006140B9" w:rsidP="002B4BD7">
      <w:pPr>
        <w:jc w:val="both"/>
        <w:rPr>
          <w:szCs w:val="22"/>
          <w:lang w:val="sr-Latn-ME"/>
        </w:rPr>
      </w:pPr>
    </w:p>
    <w:p w14:paraId="63599645" w14:textId="77777777" w:rsidR="006140B9" w:rsidRPr="00012278" w:rsidRDefault="006140B9" w:rsidP="002B4BD7">
      <w:pPr>
        <w:jc w:val="both"/>
        <w:rPr>
          <w:szCs w:val="22"/>
          <w:lang w:val="sr-Latn-ME"/>
        </w:rPr>
      </w:pPr>
      <w:r w:rsidRPr="00012278">
        <w:rPr>
          <w:szCs w:val="22"/>
          <w:lang w:val="sr-Latn-ME"/>
        </w:rPr>
        <w:t>Ako je na početku liječenja indikovano odlaganje liječenja bilo kapecitabinom, bilo drugim lijekom (ljekovima), primjena svih ljekova se mora odložiti dok ne budu zadovoljeni uslovi za početak liječenja svim ljekovima.</w:t>
      </w:r>
    </w:p>
    <w:p w14:paraId="7EE6C3A8" w14:textId="77777777" w:rsidR="006140B9" w:rsidRPr="00012278" w:rsidRDefault="006140B9" w:rsidP="002B4BD7">
      <w:pPr>
        <w:jc w:val="both"/>
        <w:rPr>
          <w:szCs w:val="22"/>
          <w:lang w:val="sr-Latn-ME"/>
        </w:rPr>
      </w:pPr>
    </w:p>
    <w:p w14:paraId="75ED0820" w14:textId="77777777" w:rsidR="006140B9" w:rsidRPr="00012278" w:rsidRDefault="006140B9" w:rsidP="002B4BD7">
      <w:pPr>
        <w:jc w:val="both"/>
        <w:rPr>
          <w:szCs w:val="22"/>
          <w:lang w:val="sr-Latn-ME"/>
        </w:rPr>
      </w:pPr>
      <w:r w:rsidRPr="00012278">
        <w:rPr>
          <w:szCs w:val="22"/>
          <w:lang w:val="sr-Latn-ME"/>
        </w:rPr>
        <w:t xml:space="preserve">Ako se tokom liječenja razviju toksične reakcije koje prema mišljenju ordinirajućeg ljekara nisu povezane sa primjenom kapecitabina, liječenje kapecitabinom treba nastaviti, a dozu drugog lijeka treba prilagoditi prema Sažetku karakteristika tog lijeka. </w:t>
      </w:r>
    </w:p>
    <w:p w14:paraId="215DBCD2" w14:textId="77777777" w:rsidR="006140B9" w:rsidRPr="00012278" w:rsidRDefault="006140B9" w:rsidP="002B4BD7">
      <w:pPr>
        <w:jc w:val="both"/>
        <w:rPr>
          <w:szCs w:val="22"/>
          <w:lang w:val="sr-Latn-ME"/>
        </w:rPr>
      </w:pPr>
    </w:p>
    <w:p w14:paraId="24218E3F" w14:textId="77777777" w:rsidR="006140B9" w:rsidRPr="00012278" w:rsidRDefault="006140B9" w:rsidP="002B4BD7">
      <w:pPr>
        <w:jc w:val="both"/>
        <w:rPr>
          <w:szCs w:val="22"/>
          <w:lang w:val="sr-Latn-ME"/>
        </w:rPr>
      </w:pPr>
      <w:r w:rsidRPr="00012278">
        <w:rPr>
          <w:szCs w:val="22"/>
          <w:lang w:val="sr-Latn-ME"/>
        </w:rPr>
        <w:t>Ukoliko je liječenje drugim lijekom ili ljekovima potrebno trajno prekinuti, liječenje kapecitabinom može se nastaviti kada se zadovolje uslovi za nastavak liječenja kapecitabinom.</w:t>
      </w:r>
    </w:p>
    <w:p w14:paraId="365AC514" w14:textId="77777777" w:rsidR="006140B9" w:rsidRPr="00012278" w:rsidRDefault="006140B9" w:rsidP="002B4BD7">
      <w:pPr>
        <w:jc w:val="both"/>
        <w:rPr>
          <w:szCs w:val="22"/>
          <w:lang w:val="sr-Latn-ME"/>
        </w:rPr>
      </w:pPr>
    </w:p>
    <w:p w14:paraId="534760F6" w14:textId="77777777" w:rsidR="006140B9" w:rsidRPr="00012278" w:rsidRDefault="006140B9" w:rsidP="006140B9">
      <w:pPr>
        <w:rPr>
          <w:szCs w:val="22"/>
          <w:lang w:val="sr-Latn-ME"/>
        </w:rPr>
      </w:pPr>
      <w:r w:rsidRPr="00012278">
        <w:rPr>
          <w:szCs w:val="22"/>
          <w:lang w:val="sr-Latn-ME"/>
        </w:rPr>
        <w:t>Preporuka se odnosi na sve indikacije i sve grupe pacijenata.</w:t>
      </w:r>
    </w:p>
    <w:p w14:paraId="745FAF41" w14:textId="77777777" w:rsidR="006140B9" w:rsidRPr="00012278" w:rsidRDefault="006140B9" w:rsidP="006140B9">
      <w:pPr>
        <w:rPr>
          <w:szCs w:val="22"/>
          <w:lang w:val="sr-Latn-ME"/>
        </w:rPr>
      </w:pPr>
    </w:p>
    <w:p w14:paraId="15D3546A" w14:textId="77777777" w:rsidR="006140B9" w:rsidRPr="00012278" w:rsidRDefault="006140B9" w:rsidP="006140B9">
      <w:pPr>
        <w:rPr>
          <w:i/>
          <w:szCs w:val="22"/>
          <w:lang w:val="sr-Latn-ME"/>
        </w:rPr>
      </w:pPr>
      <w:r w:rsidRPr="00012278">
        <w:rPr>
          <w:i/>
          <w:szCs w:val="22"/>
          <w:lang w:val="sr-Latn-ME"/>
        </w:rPr>
        <w:t xml:space="preserve">Prilagođavanje doze zbog toksičnosti kada se kapecitabin primjenjuje kontinuirano u kombinaciji sa drugim ljekovima: </w:t>
      </w:r>
    </w:p>
    <w:p w14:paraId="675A2D76" w14:textId="6EE75F6A" w:rsidR="006140B9" w:rsidRPr="00012278" w:rsidRDefault="006140B9" w:rsidP="002B4BD7">
      <w:pPr>
        <w:jc w:val="both"/>
        <w:rPr>
          <w:szCs w:val="22"/>
          <w:lang w:val="sr-Latn-ME"/>
        </w:rPr>
      </w:pPr>
      <w:r w:rsidRPr="00012278">
        <w:rPr>
          <w:szCs w:val="22"/>
          <w:lang w:val="sr-Latn-ME"/>
        </w:rPr>
        <w:t xml:space="preserve">Prilagođavanje doze zbog toksičnosti kada se kapecitabin primjenjuje kontinuirano u kombinaciji sa drugim ljekovima treba vršiti u skladu sa gore navedenom Tabelom 3 za kapecitabin i u skladu sa odgovarajućim Sažetkom karakteristika za drugi lijek (druge ljekove). </w:t>
      </w:r>
    </w:p>
    <w:p w14:paraId="098F0899" w14:textId="77777777" w:rsidR="006140B9" w:rsidRPr="00012278" w:rsidRDefault="006140B9" w:rsidP="002B4BD7">
      <w:pPr>
        <w:jc w:val="both"/>
        <w:rPr>
          <w:szCs w:val="22"/>
          <w:lang w:val="sr-Latn-ME"/>
        </w:rPr>
      </w:pPr>
    </w:p>
    <w:p w14:paraId="4F498B4E" w14:textId="77777777" w:rsidR="006140B9" w:rsidRPr="00012278" w:rsidRDefault="006140B9" w:rsidP="002B4BD7">
      <w:pPr>
        <w:jc w:val="both"/>
        <w:rPr>
          <w:i/>
          <w:szCs w:val="22"/>
          <w:u w:val="single"/>
          <w:lang w:val="sr-Latn-ME"/>
        </w:rPr>
      </w:pPr>
      <w:r w:rsidRPr="00012278">
        <w:rPr>
          <w:i/>
          <w:szCs w:val="22"/>
          <w:u w:val="single"/>
          <w:lang w:val="sr-Latn-ME"/>
        </w:rPr>
        <w:t xml:space="preserve">Prilagođavanje doze za posebne grupe pacijenata </w:t>
      </w:r>
    </w:p>
    <w:p w14:paraId="5372123E" w14:textId="77777777" w:rsidR="006140B9" w:rsidRPr="00012278" w:rsidRDefault="006140B9" w:rsidP="002B4BD7">
      <w:pPr>
        <w:jc w:val="both"/>
        <w:rPr>
          <w:szCs w:val="22"/>
          <w:u w:val="single"/>
          <w:lang w:val="sr-Latn-ME"/>
        </w:rPr>
      </w:pPr>
    </w:p>
    <w:p w14:paraId="5A32A55F" w14:textId="77777777" w:rsidR="006140B9" w:rsidRPr="00012278" w:rsidRDefault="006140B9" w:rsidP="002B4BD7">
      <w:pPr>
        <w:jc w:val="both"/>
        <w:rPr>
          <w:i/>
          <w:szCs w:val="22"/>
          <w:lang w:val="sr-Latn-ME"/>
        </w:rPr>
      </w:pPr>
      <w:r w:rsidRPr="00012278">
        <w:rPr>
          <w:i/>
          <w:szCs w:val="22"/>
          <w:lang w:val="sr-Latn-ME"/>
        </w:rPr>
        <w:t xml:space="preserve">Hepatička insuficijencija </w:t>
      </w:r>
    </w:p>
    <w:p w14:paraId="63FF06F9" w14:textId="77777777" w:rsidR="006140B9" w:rsidRPr="00012278" w:rsidRDefault="006140B9" w:rsidP="002B4BD7">
      <w:pPr>
        <w:jc w:val="both"/>
        <w:rPr>
          <w:szCs w:val="22"/>
          <w:lang w:val="sr-Latn-ME"/>
        </w:rPr>
      </w:pPr>
      <w:r w:rsidRPr="00012278">
        <w:rPr>
          <w:szCs w:val="22"/>
          <w:lang w:val="sr-Latn-ME"/>
        </w:rPr>
        <w:t>Nema dovoljno podataka o bezbjednosti i efikasnosti primjene ovog lijeka kod pacijenata sa oštećenjem funkcije jetre da bi se mogle dati preporuke o prilagođavanju doze. Nisu dostupne informacije za pacijente sa oštećenjem funkcije jetre izazvano cirozom ili hepatitisom.</w:t>
      </w:r>
    </w:p>
    <w:p w14:paraId="49BB7A03" w14:textId="77777777" w:rsidR="006140B9" w:rsidRPr="00012278" w:rsidRDefault="006140B9" w:rsidP="002B4BD7">
      <w:pPr>
        <w:jc w:val="both"/>
        <w:rPr>
          <w:szCs w:val="22"/>
          <w:lang w:val="sr-Latn-ME"/>
        </w:rPr>
      </w:pPr>
    </w:p>
    <w:p w14:paraId="3844B316" w14:textId="77777777" w:rsidR="006140B9" w:rsidRPr="00012278" w:rsidRDefault="006140B9" w:rsidP="002B4BD7">
      <w:pPr>
        <w:jc w:val="both"/>
        <w:rPr>
          <w:i/>
          <w:szCs w:val="22"/>
          <w:lang w:val="sr-Latn-ME"/>
        </w:rPr>
      </w:pPr>
      <w:r w:rsidRPr="00012278">
        <w:rPr>
          <w:i/>
          <w:szCs w:val="22"/>
          <w:lang w:val="sr-Latn-ME"/>
        </w:rPr>
        <w:t>Bubrežna insuficijencija</w:t>
      </w:r>
    </w:p>
    <w:p w14:paraId="3E971F58" w14:textId="3D4467F5" w:rsidR="006140B9" w:rsidRPr="00012278" w:rsidRDefault="006140B9" w:rsidP="002B4BD7">
      <w:pPr>
        <w:jc w:val="both"/>
        <w:rPr>
          <w:szCs w:val="22"/>
          <w:lang w:val="sr-Latn-ME"/>
        </w:rPr>
      </w:pPr>
      <w:r w:rsidRPr="00012278">
        <w:rPr>
          <w:szCs w:val="22"/>
          <w:lang w:val="sr-Latn-ME"/>
        </w:rPr>
        <w:t>Primjena kapecitabina je kontraindikovana kod pacijenata sa teškom bubrežnom insuficijencijom (klirens kreatinina ispod 30 ml/min, izračunat prema Cockroft-Gault-ovoj formuli). Incidencija  neželjenih događaja stepena 3 ili 4 kod pacijenata sa umjerenom bubrežnom insuficijencijom (početni klirens kreatinina 30-50 ml/min) povećana je u odnosu na ukupnu populaciju. Kod pacijenata sa umjerenom bubrežnom insuficijencijom na početku liječenja, preporučuje se smanjenje doze na 75% početne doze od 1250 mg/m</w:t>
      </w:r>
      <w:r w:rsidRPr="00012278">
        <w:rPr>
          <w:szCs w:val="22"/>
          <w:vertAlign w:val="superscript"/>
          <w:lang w:val="sr-Latn-ME"/>
        </w:rPr>
        <w:t>2</w:t>
      </w:r>
      <w:r w:rsidRPr="00012278">
        <w:rPr>
          <w:szCs w:val="22"/>
          <w:lang w:val="sr-Latn-ME"/>
        </w:rPr>
        <w:t>. Kod pacijenata sa umjerenom  bubrežnom insuficijencijom  na početku liječenja, nije potrebno smanjenje početne doze ako ona iznosi 1000 mg/m</w:t>
      </w:r>
      <w:r w:rsidRPr="00012278">
        <w:rPr>
          <w:szCs w:val="22"/>
          <w:vertAlign w:val="superscript"/>
          <w:lang w:val="sr-Latn-ME"/>
        </w:rPr>
        <w:t>2</w:t>
      </w:r>
      <w:r w:rsidRPr="00012278">
        <w:rPr>
          <w:szCs w:val="22"/>
          <w:lang w:val="sr-Latn-ME"/>
        </w:rPr>
        <w:t>. Kod pacijenata sa blagom bubrežnom insuficijencijom (početnim klirensom kreatinina 51-80 ml/min) ne preporučuje se nikakvo podešavanje početne doze. Pažljivo praćenje i odgovarajući prekid terapije se preporučuju ako pacijent razvije neželjene događaje stepena 2., 3. ili 4. tokom terapije, pa se poslije toga preporučuje podešavanje doze kako je navedeno u Tabeli 3. Ako se izračunati klirens kreatinina smanji tokom terapije na vrijednost ispod 30 ml</w:t>
      </w:r>
      <w:r w:rsidR="000734A2" w:rsidRPr="00012278">
        <w:rPr>
          <w:szCs w:val="22"/>
          <w:lang w:val="sr-Latn-ME"/>
        </w:rPr>
        <w:t>/min, liječenje lijekom Ecansya</w:t>
      </w:r>
      <w:r w:rsidRPr="00012278">
        <w:rPr>
          <w:szCs w:val="22"/>
          <w:lang w:val="sr-Latn-ME"/>
        </w:rPr>
        <w:t xml:space="preserve"> treba prekinuti. Preporuke za podešavanje doze u slučaju bubrežne insuficijencije odnose se i na monoterapiju i na kombinovanu primjenu (vidjeti ispod </w:t>
      </w:r>
      <w:r w:rsidR="00271DB4" w:rsidRPr="00012278">
        <w:rPr>
          <w:szCs w:val="22"/>
          <w:lang w:val="sr-Latn-ME"/>
        </w:rPr>
        <w:t xml:space="preserve">dio </w:t>
      </w:r>
      <w:r w:rsidRPr="00012278">
        <w:rPr>
          <w:szCs w:val="22"/>
          <w:lang w:val="sr-Latn-ME"/>
        </w:rPr>
        <w:t>„</w:t>
      </w:r>
      <w:r w:rsidRPr="00012278">
        <w:rPr>
          <w:i/>
          <w:szCs w:val="22"/>
          <w:lang w:val="sr-Latn-ME"/>
        </w:rPr>
        <w:t>Starije osobe</w:t>
      </w:r>
      <w:r w:rsidRPr="00012278">
        <w:rPr>
          <w:szCs w:val="22"/>
          <w:lang w:val="sr-Latn-ME"/>
        </w:rPr>
        <w:t xml:space="preserve">“). </w:t>
      </w:r>
    </w:p>
    <w:p w14:paraId="469A5054" w14:textId="77777777" w:rsidR="006140B9" w:rsidRPr="00012278" w:rsidRDefault="006140B9" w:rsidP="002B4BD7">
      <w:pPr>
        <w:jc w:val="both"/>
        <w:rPr>
          <w:szCs w:val="22"/>
          <w:lang w:val="sr-Latn-ME"/>
        </w:rPr>
      </w:pPr>
    </w:p>
    <w:p w14:paraId="29088CCB" w14:textId="77777777" w:rsidR="006140B9" w:rsidRPr="00012278" w:rsidRDefault="006140B9" w:rsidP="002B4BD7">
      <w:pPr>
        <w:jc w:val="both"/>
        <w:rPr>
          <w:i/>
          <w:iCs/>
          <w:szCs w:val="22"/>
          <w:lang w:val="sr-Latn-ME"/>
        </w:rPr>
      </w:pPr>
      <w:r w:rsidRPr="00012278">
        <w:rPr>
          <w:i/>
          <w:iCs/>
          <w:szCs w:val="22"/>
          <w:lang w:val="sr-Latn-ME"/>
        </w:rPr>
        <w:t>Starije osobe</w:t>
      </w:r>
    </w:p>
    <w:p w14:paraId="480E1F43" w14:textId="77777777" w:rsidR="006140B9" w:rsidRPr="00012278" w:rsidRDefault="006140B9" w:rsidP="002B4BD7">
      <w:pPr>
        <w:jc w:val="both"/>
        <w:rPr>
          <w:szCs w:val="22"/>
          <w:lang w:val="sr-Latn-ME"/>
        </w:rPr>
      </w:pPr>
      <w:r w:rsidRPr="00012278">
        <w:rPr>
          <w:szCs w:val="22"/>
          <w:lang w:val="sr-Latn-ME"/>
        </w:rPr>
        <w:t>U monoterapiji kapecitabinom nije potrebno prilagođavanje početne doze. Međutim, kod pacijenata starosti od ≥ 60 godina češće se razvijaju neželjene reakcije 3. ili 4. stepena nego kod mlađih pacijenata.</w:t>
      </w:r>
    </w:p>
    <w:p w14:paraId="60D22D2C" w14:textId="77777777" w:rsidR="006140B9" w:rsidRPr="00012278" w:rsidRDefault="006140B9" w:rsidP="002B4BD7">
      <w:pPr>
        <w:jc w:val="both"/>
        <w:rPr>
          <w:szCs w:val="22"/>
          <w:lang w:val="sr-Latn-ME"/>
        </w:rPr>
      </w:pPr>
      <w:r w:rsidRPr="00012278">
        <w:rPr>
          <w:szCs w:val="22"/>
          <w:lang w:val="sr-Latn-ME"/>
        </w:rPr>
        <w:t>Pri primjeni kapecitabina u kombinaciji sa drugim ljekovima, stariji pacijenti (≥65 godina) su imali više neželjenih događaja 3. i 4. stepena nego mlađi, uključujući i one zbog kojih je trebalo prekinuti liječenje.</w:t>
      </w:r>
    </w:p>
    <w:p w14:paraId="7A1BD709" w14:textId="045504FD" w:rsidR="006140B9" w:rsidRPr="00012278" w:rsidRDefault="006140B9" w:rsidP="002B4BD7">
      <w:pPr>
        <w:jc w:val="both"/>
        <w:rPr>
          <w:szCs w:val="22"/>
          <w:lang w:val="sr-Latn-ME"/>
        </w:rPr>
      </w:pPr>
      <w:r w:rsidRPr="00012278">
        <w:rPr>
          <w:szCs w:val="22"/>
          <w:lang w:val="sr-Latn-ME"/>
        </w:rPr>
        <w:t xml:space="preserve">Savjetuje se pažljivo praćenje pacijenata </w:t>
      </w:r>
      <w:r w:rsidR="00271DB4" w:rsidRPr="00012278">
        <w:rPr>
          <w:szCs w:val="22"/>
          <w:lang w:val="sr-Latn-ME"/>
        </w:rPr>
        <w:t xml:space="preserve">uzrasta </w:t>
      </w:r>
      <w:r w:rsidRPr="00012278">
        <w:rPr>
          <w:szCs w:val="22"/>
          <w:lang w:val="sr-Latn-ME"/>
        </w:rPr>
        <w:t>≥60 godina.</w:t>
      </w:r>
    </w:p>
    <w:p w14:paraId="19155D3F" w14:textId="15FD1F8F" w:rsidR="006140B9" w:rsidRPr="00012278" w:rsidRDefault="006140B9" w:rsidP="002B4BD7">
      <w:pPr>
        <w:jc w:val="both"/>
        <w:rPr>
          <w:szCs w:val="22"/>
          <w:lang w:val="sr-Latn-ME"/>
        </w:rPr>
      </w:pPr>
      <w:r w:rsidRPr="00012278">
        <w:rPr>
          <w:szCs w:val="22"/>
          <w:lang w:val="sr-Latn-ME"/>
        </w:rPr>
        <w:t xml:space="preserve">-       U </w:t>
      </w:r>
      <w:r w:rsidRPr="00012278">
        <w:rPr>
          <w:i/>
          <w:szCs w:val="22"/>
          <w:lang w:val="sr-Latn-ME"/>
        </w:rPr>
        <w:t>kombinaciji sa docetakselom</w:t>
      </w:r>
      <w:r w:rsidRPr="00012278">
        <w:rPr>
          <w:szCs w:val="22"/>
          <w:lang w:val="sr-Latn-ME"/>
        </w:rPr>
        <w:t xml:space="preserve">: kod pacijenata </w:t>
      </w:r>
      <w:r w:rsidR="00271DB4" w:rsidRPr="00012278">
        <w:rPr>
          <w:szCs w:val="22"/>
          <w:lang w:val="sr-Latn-ME"/>
        </w:rPr>
        <w:t xml:space="preserve">uzrasta </w:t>
      </w:r>
      <w:r w:rsidRPr="00012278">
        <w:rPr>
          <w:szCs w:val="22"/>
          <w:lang w:val="sr-Latn-ME"/>
        </w:rPr>
        <w:t xml:space="preserve">60 ili više godina primijećena je povećana incidenca neželjenih događaja 3. ili 4. stepena i ozbiljnih neželjenih dejstava povezanih sa liječenjem (vidjeti </w:t>
      </w:r>
      <w:r w:rsidR="00271DB4" w:rsidRPr="00012278">
        <w:rPr>
          <w:szCs w:val="22"/>
          <w:lang w:val="sr-Latn-ME"/>
        </w:rPr>
        <w:t xml:space="preserve">dio </w:t>
      </w:r>
      <w:r w:rsidRPr="00012278">
        <w:rPr>
          <w:szCs w:val="22"/>
          <w:lang w:val="sr-Latn-ME"/>
        </w:rPr>
        <w:t xml:space="preserve">5.1). Pacijentima </w:t>
      </w:r>
      <w:r w:rsidR="00271DB4" w:rsidRPr="00012278">
        <w:rPr>
          <w:szCs w:val="22"/>
          <w:lang w:val="sr-Latn-ME"/>
        </w:rPr>
        <w:t>uzrasta</w:t>
      </w:r>
      <w:r w:rsidRPr="00012278">
        <w:rPr>
          <w:szCs w:val="22"/>
          <w:lang w:val="sr-Latn-ME"/>
        </w:rPr>
        <w:t xml:space="preserve"> 60 ili više godina preporučuje se smanjenje početne doze kapecitabina na 75% (950 mg/m</w:t>
      </w:r>
      <w:r w:rsidRPr="00012278">
        <w:rPr>
          <w:szCs w:val="22"/>
          <w:vertAlign w:val="superscript"/>
          <w:lang w:val="sr-Latn-ME"/>
        </w:rPr>
        <w:t>2</w:t>
      </w:r>
      <w:r w:rsidRPr="00012278">
        <w:rPr>
          <w:szCs w:val="22"/>
          <w:lang w:val="sr-Latn-ME"/>
        </w:rPr>
        <w:t xml:space="preserve"> dva puta dnevno). Ako se kod tih pacijenata ne uoče znaci toksičnosti pri primjeni smanjene početne doze kapecitabina u kombinaciji sa docetakselom, doza kapecitabina može se oprezno povećavati do 1250 mg/m</w:t>
      </w:r>
      <w:r w:rsidRPr="00012278">
        <w:rPr>
          <w:szCs w:val="22"/>
          <w:vertAlign w:val="superscript"/>
          <w:lang w:val="sr-Latn-ME"/>
        </w:rPr>
        <w:t>2</w:t>
      </w:r>
      <w:r w:rsidRPr="00012278">
        <w:rPr>
          <w:szCs w:val="22"/>
          <w:lang w:val="sr-Latn-ME"/>
        </w:rPr>
        <w:t xml:space="preserve"> dva puta dnevno.</w:t>
      </w:r>
    </w:p>
    <w:p w14:paraId="63A6FFCB" w14:textId="77777777" w:rsidR="006140B9" w:rsidRPr="00012278" w:rsidRDefault="006140B9" w:rsidP="002B4BD7">
      <w:pPr>
        <w:jc w:val="both"/>
        <w:rPr>
          <w:szCs w:val="22"/>
          <w:lang w:val="sr-Latn-ME"/>
        </w:rPr>
      </w:pPr>
    </w:p>
    <w:p w14:paraId="18AFFAA5" w14:textId="77777777" w:rsidR="006140B9" w:rsidRPr="00012278" w:rsidRDefault="006140B9" w:rsidP="002B4BD7">
      <w:pPr>
        <w:jc w:val="both"/>
        <w:rPr>
          <w:i/>
          <w:szCs w:val="22"/>
          <w:lang w:val="sr-Latn-ME"/>
        </w:rPr>
      </w:pPr>
      <w:r w:rsidRPr="00012278">
        <w:rPr>
          <w:i/>
          <w:szCs w:val="22"/>
          <w:lang w:val="sr-Latn-ME"/>
        </w:rPr>
        <w:t>Pedijatrijska populacija</w:t>
      </w:r>
    </w:p>
    <w:p w14:paraId="322F54FF" w14:textId="2AB07510" w:rsidR="006140B9" w:rsidRPr="00012278" w:rsidRDefault="006140B9" w:rsidP="002B4BD7">
      <w:pPr>
        <w:jc w:val="both"/>
        <w:rPr>
          <w:szCs w:val="22"/>
          <w:lang w:val="sr-Latn-ME"/>
        </w:rPr>
      </w:pPr>
      <w:r w:rsidRPr="00012278">
        <w:rPr>
          <w:szCs w:val="22"/>
          <w:lang w:val="sr-Latn-ME"/>
        </w:rPr>
        <w:t xml:space="preserve">Nema odgovarajućih podataka o primjeni lijeka </w:t>
      </w:r>
      <w:r w:rsidR="00271DB4" w:rsidRPr="00012278">
        <w:rPr>
          <w:szCs w:val="22"/>
          <w:lang w:val="sr-Latn-ME"/>
        </w:rPr>
        <w:t>kapecitabin</w:t>
      </w:r>
      <w:r w:rsidRPr="00012278">
        <w:rPr>
          <w:szCs w:val="22"/>
          <w:lang w:val="sr-Latn-ME"/>
        </w:rPr>
        <w:t xml:space="preserve"> u pedijatrijskoj populaciji za indikacije: karcinom kolona, kolorektalni karcinom, karcinom želuca i </w:t>
      </w:r>
      <w:r w:rsidR="00271DB4" w:rsidRPr="00012278">
        <w:rPr>
          <w:szCs w:val="22"/>
          <w:lang w:val="sr-Latn-ME"/>
        </w:rPr>
        <w:t xml:space="preserve">karcinom </w:t>
      </w:r>
      <w:r w:rsidRPr="00012278">
        <w:rPr>
          <w:szCs w:val="22"/>
          <w:lang w:val="sr-Latn-ME"/>
        </w:rPr>
        <w:t>dojke.</w:t>
      </w:r>
    </w:p>
    <w:p w14:paraId="5CDC984C" w14:textId="77777777" w:rsidR="006140B9" w:rsidRPr="00012278" w:rsidRDefault="006140B9" w:rsidP="002B4BD7">
      <w:pPr>
        <w:jc w:val="both"/>
        <w:rPr>
          <w:szCs w:val="22"/>
          <w:lang w:val="sr-Latn-ME"/>
        </w:rPr>
      </w:pPr>
    </w:p>
    <w:p w14:paraId="15CB7766" w14:textId="77777777" w:rsidR="006140B9" w:rsidRPr="00012278" w:rsidRDefault="006140B9" w:rsidP="002B4BD7">
      <w:pPr>
        <w:jc w:val="both"/>
        <w:rPr>
          <w:szCs w:val="22"/>
          <w:u w:val="single"/>
          <w:lang w:val="sr-Latn-ME"/>
        </w:rPr>
      </w:pPr>
      <w:r w:rsidRPr="00012278">
        <w:rPr>
          <w:szCs w:val="22"/>
          <w:u w:val="single"/>
          <w:lang w:val="sr-Latn-ME"/>
        </w:rPr>
        <w:t>Način primjene</w:t>
      </w:r>
    </w:p>
    <w:p w14:paraId="39B04B16" w14:textId="77777777" w:rsidR="006140B9" w:rsidRPr="00012278" w:rsidRDefault="0060414B" w:rsidP="002B4BD7">
      <w:pPr>
        <w:jc w:val="both"/>
        <w:rPr>
          <w:szCs w:val="22"/>
          <w:lang w:val="sr-Latn-ME"/>
        </w:rPr>
      </w:pPr>
      <w:r w:rsidRPr="00012278">
        <w:rPr>
          <w:szCs w:val="22"/>
          <w:lang w:val="sr-Latn-ME"/>
        </w:rPr>
        <w:t>Lijek Ecansya</w:t>
      </w:r>
      <w:r w:rsidR="006140B9" w:rsidRPr="00012278">
        <w:rPr>
          <w:szCs w:val="22"/>
          <w:lang w:val="sr-Latn-ME"/>
        </w:rPr>
        <w:t xml:space="preserve"> tablete treba progutati sa vodom, do 30 minuta nakon jela. </w:t>
      </w:r>
    </w:p>
    <w:p w14:paraId="3B3D6C53" w14:textId="77777777" w:rsidR="006140B9" w:rsidRPr="00012278" w:rsidRDefault="0060414B" w:rsidP="002B4BD7">
      <w:pPr>
        <w:jc w:val="both"/>
        <w:rPr>
          <w:szCs w:val="22"/>
          <w:lang w:val="sr-Latn-ME"/>
        </w:rPr>
      </w:pPr>
      <w:r w:rsidRPr="00012278">
        <w:rPr>
          <w:szCs w:val="22"/>
          <w:lang w:val="sr-Latn-ME"/>
        </w:rPr>
        <w:t>Lijek Ecansya</w:t>
      </w:r>
      <w:r w:rsidR="006140B9" w:rsidRPr="00012278">
        <w:rPr>
          <w:szCs w:val="22"/>
          <w:lang w:val="sr-Latn-ME"/>
        </w:rPr>
        <w:t xml:space="preserve"> tablete ne treba mrviti niti lomiti.</w:t>
      </w:r>
    </w:p>
    <w:p w14:paraId="3E71841E" w14:textId="77777777" w:rsidR="006140B9" w:rsidRPr="00012278" w:rsidRDefault="006140B9" w:rsidP="006140B9">
      <w:pPr>
        <w:rPr>
          <w:szCs w:val="22"/>
          <w:lang w:val="sr-Latn-ME"/>
        </w:rPr>
      </w:pPr>
    </w:p>
    <w:p w14:paraId="23E6562E" w14:textId="77777777" w:rsidR="006140B9" w:rsidRPr="00012278" w:rsidRDefault="006140B9" w:rsidP="005112A3">
      <w:pPr>
        <w:pStyle w:val="Heading1"/>
        <w:rPr>
          <w:szCs w:val="22"/>
        </w:rPr>
      </w:pPr>
      <w:r w:rsidRPr="00012278">
        <w:rPr>
          <w:szCs w:val="22"/>
        </w:rPr>
        <w:t>4.3.   Kontraindikacije</w:t>
      </w:r>
    </w:p>
    <w:p w14:paraId="5684F009" w14:textId="77777777" w:rsidR="006140B9" w:rsidRPr="00012278" w:rsidRDefault="006140B9" w:rsidP="006140B9">
      <w:pPr>
        <w:rPr>
          <w:szCs w:val="22"/>
          <w:lang w:val="sr-Latn-ME"/>
        </w:rPr>
      </w:pPr>
    </w:p>
    <w:p w14:paraId="44F9747E" w14:textId="77777777" w:rsidR="006140B9" w:rsidRPr="00012278" w:rsidRDefault="006140B9" w:rsidP="006140B9">
      <w:pPr>
        <w:numPr>
          <w:ilvl w:val="0"/>
          <w:numId w:val="32"/>
        </w:numPr>
        <w:rPr>
          <w:szCs w:val="22"/>
          <w:lang w:val="sr-Latn-ME"/>
        </w:rPr>
      </w:pPr>
      <w:r w:rsidRPr="00012278">
        <w:rPr>
          <w:szCs w:val="22"/>
          <w:lang w:val="sr-Latn-ME"/>
        </w:rPr>
        <w:t>Istorija teških i neočekivanih reakcija na terapiju fluoropirimidinom,</w:t>
      </w:r>
    </w:p>
    <w:p w14:paraId="30F6DCD7" w14:textId="4E879E8F" w:rsidR="006140B9" w:rsidRPr="00012278" w:rsidRDefault="006140B9" w:rsidP="00271DB4">
      <w:pPr>
        <w:numPr>
          <w:ilvl w:val="0"/>
          <w:numId w:val="32"/>
        </w:numPr>
        <w:tabs>
          <w:tab w:val="clear" w:pos="720"/>
        </w:tabs>
        <w:ind w:left="567" w:hanging="283"/>
        <w:rPr>
          <w:szCs w:val="22"/>
          <w:lang w:val="sr-Latn-ME"/>
        </w:rPr>
      </w:pPr>
      <w:r w:rsidRPr="00012278">
        <w:rPr>
          <w:szCs w:val="22"/>
          <w:lang w:val="sr-Latn-ME"/>
        </w:rPr>
        <w:lastRenderedPageBreak/>
        <w:t>Preosjetljivost na kapecitabin ili bilo koju od pomoćnih supstanci navedenu u dijelu 6.1 il</w:t>
      </w:r>
      <w:r w:rsidR="00271DB4" w:rsidRPr="00012278">
        <w:rPr>
          <w:szCs w:val="22"/>
          <w:lang w:val="sr-Latn-ME"/>
        </w:rPr>
        <w:t xml:space="preserve">i na </w:t>
      </w:r>
      <w:r w:rsidRPr="00012278">
        <w:rPr>
          <w:szCs w:val="22"/>
          <w:lang w:val="sr-Latn-ME"/>
        </w:rPr>
        <w:t>fluorouracil,</w:t>
      </w:r>
    </w:p>
    <w:p w14:paraId="0983007F" w14:textId="43DAB32F" w:rsidR="006140B9" w:rsidRPr="00012278" w:rsidRDefault="006140B9" w:rsidP="006140B9">
      <w:pPr>
        <w:numPr>
          <w:ilvl w:val="0"/>
          <w:numId w:val="32"/>
        </w:numPr>
        <w:rPr>
          <w:szCs w:val="22"/>
          <w:lang w:val="sr-Latn-ME"/>
        </w:rPr>
      </w:pPr>
      <w:r w:rsidRPr="00012278">
        <w:rPr>
          <w:szCs w:val="22"/>
          <w:lang w:val="sr-Latn-ME"/>
        </w:rPr>
        <w:t xml:space="preserve">Poznata potpuna deficijencija dihidropirimidin dehidrogenaze (DPD) (vidjeti </w:t>
      </w:r>
      <w:r w:rsidR="00271DB4" w:rsidRPr="00012278">
        <w:rPr>
          <w:szCs w:val="22"/>
          <w:lang w:val="sr-Latn-ME"/>
        </w:rPr>
        <w:t>dio</w:t>
      </w:r>
      <w:r w:rsidRPr="00012278">
        <w:rPr>
          <w:szCs w:val="22"/>
          <w:lang w:val="sr-Latn-ME"/>
        </w:rPr>
        <w:t xml:space="preserve"> 4.4),</w:t>
      </w:r>
    </w:p>
    <w:p w14:paraId="01B6BA31" w14:textId="77777777" w:rsidR="006140B9" w:rsidRPr="00012278" w:rsidRDefault="006140B9" w:rsidP="006140B9">
      <w:pPr>
        <w:numPr>
          <w:ilvl w:val="0"/>
          <w:numId w:val="32"/>
        </w:numPr>
        <w:rPr>
          <w:szCs w:val="22"/>
          <w:lang w:val="sr-Latn-ME"/>
        </w:rPr>
      </w:pPr>
      <w:r w:rsidRPr="00012278">
        <w:rPr>
          <w:szCs w:val="22"/>
          <w:lang w:val="sr-Latn-ME"/>
        </w:rPr>
        <w:t>Trudnoća i dojenje,</w:t>
      </w:r>
    </w:p>
    <w:p w14:paraId="5A11AA2A" w14:textId="77777777" w:rsidR="006140B9" w:rsidRPr="00012278" w:rsidRDefault="006140B9" w:rsidP="006140B9">
      <w:pPr>
        <w:numPr>
          <w:ilvl w:val="0"/>
          <w:numId w:val="32"/>
        </w:numPr>
        <w:rPr>
          <w:szCs w:val="22"/>
          <w:lang w:val="sr-Latn-ME"/>
        </w:rPr>
      </w:pPr>
      <w:r w:rsidRPr="00012278">
        <w:rPr>
          <w:szCs w:val="22"/>
          <w:lang w:val="sr-Latn-ME"/>
        </w:rPr>
        <w:t>Pacijenti sa teškom leukopenijom, neutropenijom ili trombocitopenijom,</w:t>
      </w:r>
    </w:p>
    <w:p w14:paraId="72B9E838" w14:textId="77777777" w:rsidR="006140B9" w:rsidRPr="00012278" w:rsidRDefault="006140B9" w:rsidP="006140B9">
      <w:pPr>
        <w:numPr>
          <w:ilvl w:val="0"/>
          <w:numId w:val="32"/>
        </w:numPr>
        <w:rPr>
          <w:szCs w:val="22"/>
          <w:lang w:val="sr-Latn-ME"/>
        </w:rPr>
      </w:pPr>
      <w:r w:rsidRPr="00012278">
        <w:rPr>
          <w:szCs w:val="22"/>
          <w:lang w:val="sr-Latn-ME"/>
        </w:rPr>
        <w:t>Pacijenti sa teškom hepatičkom insuficijencijom,</w:t>
      </w:r>
    </w:p>
    <w:p w14:paraId="610EB0D1" w14:textId="77777777" w:rsidR="006140B9" w:rsidRPr="00012278" w:rsidRDefault="006140B9" w:rsidP="006140B9">
      <w:pPr>
        <w:numPr>
          <w:ilvl w:val="0"/>
          <w:numId w:val="32"/>
        </w:numPr>
        <w:rPr>
          <w:szCs w:val="22"/>
          <w:lang w:val="sr-Latn-ME"/>
        </w:rPr>
      </w:pPr>
      <w:r w:rsidRPr="00012278">
        <w:rPr>
          <w:szCs w:val="22"/>
          <w:lang w:val="sr-Latn-ME"/>
        </w:rPr>
        <w:t>Pacijenti sa teškom bubrežnom insuficijencijom (klirens kreatinina &lt;30 ml/min),</w:t>
      </w:r>
    </w:p>
    <w:p w14:paraId="0BA2212A" w14:textId="2E58EA9B" w:rsidR="006140B9" w:rsidRPr="00012278" w:rsidRDefault="006140B9" w:rsidP="00271DB4">
      <w:pPr>
        <w:numPr>
          <w:ilvl w:val="0"/>
          <w:numId w:val="32"/>
        </w:numPr>
        <w:tabs>
          <w:tab w:val="clear" w:pos="720"/>
        </w:tabs>
        <w:rPr>
          <w:szCs w:val="22"/>
          <w:lang w:val="sr-Latn-ME"/>
        </w:rPr>
      </w:pPr>
      <w:r w:rsidRPr="00012278">
        <w:rPr>
          <w:szCs w:val="22"/>
          <w:lang w:val="sr-Latn-ME"/>
        </w:rPr>
        <w:t xml:space="preserve">Nedavna ili istovremena terapija brivudinom (vidjeti </w:t>
      </w:r>
      <w:r w:rsidR="00271DB4" w:rsidRPr="00012278">
        <w:rPr>
          <w:szCs w:val="22"/>
          <w:lang w:val="sr-Latn-ME"/>
        </w:rPr>
        <w:t xml:space="preserve">dio </w:t>
      </w:r>
      <w:r w:rsidRPr="00012278">
        <w:rPr>
          <w:szCs w:val="22"/>
          <w:lang w:val="sr-Latn-ME"/>
        </w:rPr>
        <w:t>4.4 i 4.5 za interakcije sa drugim</w:t>
      </w:r>
      <w:r w:rsidR="00271DB4" w:rsidRPr="00012278">
        <w:rPr>
          <w:szCs w:val="22"/>
          <w:lang w:val="sr-Latn-ME"/>
        </w:rPr>
        <w:t xml:space="preserve"> </w:t>
      </w:r>
      <w:r w:rsidRPr="00012278">
        <w:rPr>
          <w:szCs w:val="22"/>
          <w:lang w:val="sr-Latn-ME"/>
        </w:rPr>
        <w:t>ljekovima),</w:t>
      </w:r>
    </w:p>
    <w:p w14:paraId="65DEF690" w14:textId="77777777" w:rsidR="006140B9" w:rsidRPr="00012278" w:rsidRDefault="006140B9" w:rsidP="006140B9">
      <w:pPr>
        <w:numPr>
          <w:ilvl w:val="0"/>
          <w:numId w:val="32"/>
        </w:numPr>
        <w:rPr>
          <w:szCs w:val="22"/>
          <w:lang w:val="sr-Latn-ME"/>
        </w:rPr>
      </w:pPr>
      <w:r w:rsidRPr="00012278">
        <w:rPr>
          <w:szCs w:val="22"/>
          <w:lang w:val="sr-Latn-ME"/>
        </w:rPr>
        <w:t>Ako postoje kontraindikacije za bilo koji od ljekova koji se primjenjuju u kombinovanom liječenju, taj lijek se ne smije koristiti.</w:t>
      </w:r>
    </w:p>
    <w:p w14:paraId="35A5D5E5" w14:textId="77777777" w:rsidR="006140B9" w:rsidRPr="00012278" w:rsidRDefault="006140B9" w:rsidP="006140B9">
      <w:pPr>
        <w:rPr>
          <w:szCs w:val="22"/>
          <w:lang w:val="sr-Latn-ME"/>
        </w:rPr>
      </w:pPr>
    </w:p>
    <w:p w14:paraId="360B7507" w14:textId="77777777" w:rsidR="006140B9" w:rsidRPr="00012278" w:rsidRDefault="006140B9" w:rsidP="005112A3">
      <w:pPr>
        <w:pStyle w:val="Heading1"/>
        <w:rPr>
          <w:szCs w:val="22"/>
        </w:rPr>
      </w:pPr>
      <w:r w:rsidRPr="00012278">
        <w:rPr>
          <w:szCs w:val="22"/>
        </w:rPr>
        <w:t>4.4.   Posebna upozorenja i mjere opreza pri upotrebi lijeka</w:t>
      </w:r>
    </w:p>
    <w:p w14:paraId="70956847" w14:textId="77777777" w:rsidR="006140B9" w:rsidRPr="00012278" w:rsidRDefault="006140B9" w:rsidP="006140B9">
      <w:pPr>
        <w:rPr>
          <w:szCs w:val="22"/>
          <w:u w:val="single"/>
          <w:lang w:val="sr-Latn-ME"/>
        </w:rPr>
      </w:pPr>
    </w:p>
    <w:p w14:paraId="2ECE6AB9" w14:textId="77777777" w:rsidR="006140B9" w:rsidRPr="00012278" w:rsidRDefault="006140B9" w:rsidP="002B4BD7">
      <w:pPr>
        <w:jc w:val="both"/>
        <w:rPr>
          <w:szCs w:val="22"/>
          <w:u w:val="single"/>
          <w:lang w:val="sr-Latn-ME"/>
        </w:rPr>
      </w:pPr>
      <w:r w:rsidRPr="00012278">
        <w:rPr>
          <w:szCs w:val="22"/>
          <w:u w:val="single"/>
          <w:lang w:val="sr-Latn-ME"/>
        </w:rPr>
        <w:t xml:space="preserve">Toksičnost koja ograničava dozu </w:t>
      </w:r>
    </w:p>
    <w:p w14:paraId="3FE109A8" w14:textId="77777777" w:rsidR="006140B9" w:rsidRPr="00012278" w:rsidRDefault="006140B9" w:rsidP="002B4BD7">
      <w:pPr>
        <w:jc w:val="both"/>
        <w:rPr>
          <w:szCs w:val="22"/>
          <w:lang w:val="sr-Latn-ME"/>
        </w:rPr>
      </w:pPr>
      <w:r w:rsidRPr="00012278">
        <w:rPr>
          <w:szCs w:val="22"/>
          <w:lang w:val="sr-Latn-ME"/>
        </w:rPr>
        <w:t xml:space="preserve">Toksičnost koja ograničava dozu uključuje dijareju, abdominalni bol, mučninu, stomatitis i sindrom šaka-stopalo (kožna reakcija na šakama i stopalima, palmarno-plantarna eritrodizestezija). Većina ovih neželjenih reakcija je reverzibilna i ne zahtijeva trajni prekid terapije, iako može biti potrebno da se izostavi ili smanji doza. </w:t>
      </w:r>
    </w:p>
    <w:p w14:paraId="373C52B1" w14:textId="77777777" w:rsidR="006140B9" w:rsidRPr="00012278" w:rsidRDefault="006140B9" w:rsidP="002B4BD7">
      <w:pPr>
        <w:jc w:val="both"/>
        <w:rPr>
          <w:szCs w:val="22"/>
          <w:lang w:val="sr-Latn-ME"/>
        </w:rPr>
      </w:pPr>
    </w:p>
    <w:p w14:paraId="203D0FEB" w14:textId="77777777" w:rsidR="006140B9" w:rsidRPr="00012278" w:rsidRDefault="006140B9" w:rsidP="002B4BD7">
      <w:pPr>
        <w:jc w:val="both"/>
        <w:rPr>
          <w:szCs w:val="22"/>
          <w:lang w:val="sr-Latn-ME"/>
        </w:rPr>
      </w:pPr>
      <w:r w:rsidRPr="00012278">
        <w:rPr>
          <w:i/>
          <w:szCs w:val="22"/>
          <w:lang w:val="sr-Latn-ME"/>
        </w:rPr>
        <w:t>Dijareja</w:t>
      </w:r>
    </w:p>
    <w:p w14:paraId="61986603" w14:textId="242CFF26" w:rsidR="006140B9" w:rsidRPr="00012278" w:rsidRDefault="006140B9" w:rsidP="002B4BD7">
      <w:pPr>
        <w:jc w:val="both"/>
        <w:rPr>
          <w:szCs w:val="22"/>
          <w:lang w:val="sr-Latn-ME"/>
        </w:rPr>
      </w:pPr>
      <w:r w:rsidRPr="00012278">
        <w:rPr>
          <w:szCs w:val="22"/>
          <w:lang w:val="sr-Latn-ME"/>
        </w:rPr>
        <w:t xml:space="preserve">Pacijente sa teškom dijarejom treba pažljivo pratiti, i u slučaju dehidracije nadoknađivati tečnost i elektrolite. Može se koristiti standardna terapija protiv dijareje (npr. loperamid). Dijareja stepena 2 po NCIC CTC definiše se kao povećanje na 4 do 6 stolica dnevno ili pojava noćnih stolica, a dijareja stepena 3 kao povećanje na 7 do 9  stolica dnevno ili inkontinencija i malapsorpcija. Dijareja stepena 4 se definiše kao  povećanje na ≥10 stolica dnevno ili pojava izrazito krvavih dijareja ili potreba za parenteralnom nadoknadom tečnosti. Doza se smanjuje prema potrebi (vidjeti </w:t>
      </w:r>
      <w:r w:rsidR="00271DB4" w:rsidRPr="00012278">
        <w:rPr>
          <w:szCs w:val="22"/>
          <w:lang w:val="sr-Latn-ME"/>
        </w:rPr>
        <w:t xml:space="preserve">dio </w:t>
      </w:r>
      <w:r w:rsidRPr="00012278">
        <w:rPr>
          <w:szCs w:val="22"/>
          <w:lang w:val="sr-Latn-ME"/>
        </w:rPr>
        <w:t xml:space="preserve">4.2). </w:t>
      </w:r>
    </w:p>
    <w:p w14:paraId="2E8E7169" w14:textId="77777777" w:rsidR="006140B9" w:rsidRPr="00012278" w:rsidRDefault="006140B9" w:rsidP="002B4BD7">
      <w:pPr>
        <w:jc w:val="both"/>
        <w:rPr>
          <w:i/>
          <w:szCs w:val="22"/>
          <w:lang w:val="sr-Latn-ME"/>
        </w:rPr>
      </w:pPr>
    </w:p>
    <w:p w14:paraId="29A18756" w14:textId="77777777" w:rsidR="006140B9" w:rsidRPr="00012278" w:rsidRDefault="006140B9" w:rsidP="002B4BD7">
      <w:pPr>
        <w:jc w:val="both"/>
        <w:rPr>
          <w:szCs w:val="22"/>
          <w:lang w:val="sr-Latn-ME"/>
        </w:rPr>
      </w:pPr>
      <w:r w:rsidRPr="00012278">
        <w:rPr>
          <w:i/>
          <w:szCs w:val="22"/>
          <w:lang w:val="sr-Latn-ME"/>
        </w:rPr>
        <w:t>Dehidracija</w:t>
      </w:r>
      <w:r w:rsidRPr="00012278">
        <w:rPr>
          <w:szCs w:val="22"/>
          <w:lang w:val="sr-Latn-ME"/>
        </w:rPr>
        <w:t xml:space="preserve"> </w:t>
      </w:r>
    </w:p>
    <w:p w14:paraId="34D1BEF1" w14:textId="6D45092D" w:rsidR="006140B9" w:rsidRPr="00012278" w:rsidRDefault="006140B9" w:rsidP="002B4BD7">
      <w:pPr>
        <w:jc w:val="both"/>
        <w:rPr>
          <w:szCs w:val="22"/>
          <w:lang w:val="sr-Latn-ME"/>
        </w:rPr>
      </w:pPr>
      <w:r w:rsidRPr="00012278">
        <w:rPr>
          <w:szCs w:val="22"/>
          <w:lang w:val="sr-Latn-ME"/>
        </w:rPr>
        <w:t xml:space="preserve">Dehidraciju treba spriječiti ili korigovati čim se pojavi. Pacijenti sa anoreksijom, astenijom, mučninom, povraćanjem ili dijarejom podložni su brzoj dehidraciji. Dehidracija može izazvati akutnu insuficijenciju bubrega, posebno kod pacijenata sa od prije kompromitovanom bubrežnom funkcijom ili kada se kapecitabin daje istovremeno sa poznatim nefrotoksičnim lijekovima. Akutna insuficijencija bubrega kao posljedica dehidracije može biti smrtonosna. Ako dođe do dehidracije stepena 2 (ili još teže) potrebno je odmah prekinuti liječenje kapecitabinom i nadoknaditi tečnost. Liječenje ne bi trebalo ponovo započeti dok se pacijent ne rehidrira i dok uzroci dehidracije ne budu uklonjeni ili pod kontrolom. Ukoliko je potrebno, dozu treba prilagoditi u zavisnosti od neželjene reakcije (vidjeti </w:t>
      </w:r>
      <w:r w:rsidR="005C51D2" w:rsidRPr="00012278">
        <w:rPr>
          <w:szCs w:val="22"/>
          <w:lang w:val="sr-Latn-ME"/>
        </w:rPr>
        <w:t xml:space="preserve">dio </w:t>
      </w:r>
      <w:r w:rsidRPr="00012278">
        <w:rPr>
          <w:szCs w:val="22"/>
          <w:lang w:val="sr-Latn-ME"/>
        </w:rPr>
        <w:t xml:space="preserve">4.2). </w:t>
      </w:r>
    </w:p>
    <w:p w14:paraId="6D96EF13" w14:textId="77777777" w:rsidR="006140B9" w:rsidRPr="00012278" w:rsidRDefault="006140B9" w:rsidP="002B4BD7">
      <w:pPr>
        <w:jc w:val="both"/>
        <w:rPr>
          <w:szCs w:val="22"/>
          <w:lang w:val="sr-Latn-ME"/>
        </w:rPr>
      </w:pPr>
    </w:p>
    <w:p w14:paraId="525EAFB3" w14:textId="77777777" w:rsidR="006140B9" w:rsidRPr="00012278" w:rsidRDefault="006140B9" w:rsidP="002B4BD7">
      <w:pPr>
        <w:jc w:val="both"/>
        <w:rPr>
          <w:i/>
          <w:szCs w:val="22"/>
          <w:lang w:val="sr-Latn-ME"/>
        </w:rPr>
      </w:pPr>
      <w:r w:rsidRPr="00012278">
        <w:rPr>
          <w:i/>
          <w:szCs w:val="22"/>
          <w:lang w:val="sr-Latn-ME"/>
        </w:rPr>
        <w:t>Sindrom šaka-stopalo</w:t>
      </w:r>
    </w:p>
    <w:p w14:paraId="1587535A" w14:textId="0C7E0248" w:rsidR="006140B9" w:rsidRPr="00012278" w:rsidRDefault="006140B9" w:rsidP="002B4BD7">
      <w:pPr>
        <w:jc w:val="both"/>
        <w:rPr>
          <w:szCs w:val="22"/>
          <w:lang w:val="sr-Latn-ME"/>
        </w:rPr>
      </w:pPr>
      <w:r w:rsidRPr="00012278">
        <w:rPr>
          <w:szCs w:val="22"/>
          <w:lang w:val="sr-Latn-ME"/>
        </w:rPr>
        <w:t xml:space="preserve">Sindrom šaka-stopalo (poznat i kao kožna reakcija na šakama i stopalima ili palmarno-plantarna eritrodizestezija ili akralni eritem izazvan </w:t>
      </w:r>
      <w:r w:rsidR="005A34B4" w:rsidRPr="00012278">
        <w:rPr>
          <w:szCs w:val="22"/>
          <w:lang w:val="sr-Latn-ME"/>
        </w:rPr>
        <w:t>hemioterapijom</w:t>
      </w:r>
      <w:r w:rsidRPr="00012278">
        <w:rPr>
          <w:szCs w:val="22"/>
          <w:lang w:val="sr-Latn-ME"/>
        </w:rPr>
        <w:t xml:space="preserve">). Sindrom šaka-stopalo 1. stepena definiše se kao utrnulost, dizestezija/parestezija, peckanje, bezbolni otok ili eritem šaka i/ili stopala i/ili neprijatnost koja ne utiče na aktivnosti pacijenta u njegovom svakodnevnom životu. </w:t>
      </w:r>
    </w:p>
    <w:p w14:paraId="039557B3" w14:textId="77777777" w:rsidR="006140B9" w:rsidRPr="00012278" w:rsidRDefault="006140B9" w:rsidP="002B4BD7">
      <w:pPr>
        <w:jc w:val="both"/>
        <w:rPr>
          <w:szCs w:val="22"/>
          <w:lang w:val="sr-Latn-ME"/>
        </w:rPr>
      </w:pPr>
      <w:r w:rsidRPr="00012278">
        <w:rPr>
          <w:szCs w:val="22"/>
          <w:lang w:val="sr-Latn-ME"/>
        </w:rPr>
        <w:t>Sindrom šaka-stopalo 2. stepena definiše se kao bolni eritem i oticanje šaka i/ili stopala i/ili neprijatnost koja utiče na aktivnosti pacijenta u njegovom svakodnevnom životu.</w:t>
      </w:r>
    </w:p>
    <w:p w14:paraId="135223C1" w14:textId="41F0272E" w:rsidR="006140B9" w:rsidRPr="00012278" w:rsidRDefault="006140B9" w:rsidP="002B4BD7">
      <w:pPr>
        <w:jc w:val="both"/>
        <w:rPr>
          <w:szCs w:val="22"/>
          <w:lang w:val="sr-Latn-ME"/>
        </w:rPr>
      </w:pPr>
      <w:r w:rsidRPr="00012278">
        <w:rPr>
          <w:szCs w:val="22"/>
          <w:lang w:val="sr-Latn-ME"/>
        </w:rPr>
        <w:t xml:space="preserve">Sindrom šaka-stopalo 3. stepena je vlažna deskvamacija, ulceracija, pojava plikova i jak bol u šakama i/ili stopalima i/ili izražena neprijatnost koja pacijenta onemogućava da obavlja aktivnosti u njegovom svakodnevnom životu. Uporni ili teški šaka-stopalo sindrom (gradusa 2 ili višeg) može dovesti do gubitka otiska prsta, što može ugroziti identifikaciju pacijenta. Ako se razvije sindrom šaka-stopalo 2. ili 3. stepena, liječenje kapecitabinom se mora prekinuti do povlačenja tegoba ili smanjenja njihovog intenziteta na 1. stepen. Ako se nakon sindroma šaka-stopalo 3. stepena nastavlja liječenje kapecitabinom, dozu je potrebno smanjiti. Kada se kapecitabin i cisplatin primjenjuju u kombinaciji, ne preporučuje se upotreba vitamina B6 (piridoksin) za simptomatsko liječenje ili sekundarnu profilaktičku terapiju sindroma šaka-stopalo, zbog objavljenih </w:t>
      </w:r>
      <w:r w:rsidR="005C51D2" w:rsidRPr="00012278">
        <w:rPr>
          <w:szCs w:val="22"/>
          <w:lang w:val="sr-Latn-ME"/>
        </w:rPr>
        <w:t xml:space="preserve">izvještaja </w:t>
      </w:r>
      <w:r w:rsidRPr="00012278">
        <w:rPr>
          <w:szCs w:val="22"/>
          <w:lang w:val="sr-Latn-ME"/>
        </w:rPr>
        <w:t xml:space="preserve">da to može smanjiti efikasnost cisplatina. </w:t>
      </w:r>
      <w:r w:rsidRPr="00012278">
        <w:rPr>
          <w:szCs w:val="22"/>
          <w:lang w:val="sr-Latn-ME"/>
        </w:rPr>
        <w:lastRenderedPageBreak/>
        <w:t xml:space="preserve">Postoje dokazi o tome da je deksapantenol efikasan u profilaksi sindroma šaka-stopalo kod pacijenata liječenih </w:t>
      </w:r>
      <w:r w:rsidR="00BF544B" w:rsidRPr="00012278">
        <w:rPr>
          <w:szCs w:val="22"/>
          <w:lang w:val="sr-Latn-ME"/>
        </w:rPr>
        <w:t>lijekom Ecansya</w:t>
      </w:r>
      <w:r w:rsidRPr="00012278">
        <w:rPr>
          <w:szCs w:val="22"/>
          <w:lang w:val="sr-Latn-ME"/>
        </w:rPr>
        <w:t>.</w:t>
      </w:r>
    </w:p>
    <w:p w14:paraId="51325FA8" w14:textId="77777777" w:rsidR="006140B9" w:rsidRPr="00012278" w:rsidRDefault="006140B9" w:rsidP="006140B9">
      <w:pPr>
        <w:rPr>
          <w:szCs w:val="22"/>
          <w:lang w:val="sr-Latn-ME"/>
        </w:rPr>
      </w:pPr>
    </w:p>
    <w:p w14:paraId="148C80E2" w14:textId="77777777" w:rsidR="006140B9" w:rsidRPr="00012278" w:rsidRDefault="006140B9" w:rsidP="002B4BD7">
      <w:pPr>
        <w:jc w:val="both"/>
        <w:rPr>
          <w:szCs w:val="22"/>
          <w:lang w:val="sr-Latn-ME"/>
        </w:rPr>
      </w:pPr>
      <w:r w:rsidRPr="00012278">
        <w:rPr>
          <w:i/>
          <w:szCs w:val="22"/>
          <w:lang w:val="sr-Latn-ME"/>
        </w:rPr>
        <w:t>Kardiotoksičnost</w:t>
      </w:r>
      <w:r w:rsidRPr="00012278">
        <w:rPr>
          <w:szCs w:val="22"/>
          <w:lang w:val="sr-Latn-ME"/>
        </w:rPr>
        <w:t xml:space="preserve"> </w:t>
      </w:r>
    </w:p>
    <w:p w14:paraId="6D391133" w14:textId="351BF5B0" w:rsidR="006140B9" w:rsidRPr="00012278" w:rsidRDefault="006140B9" w:rsidP="002B4BD7">
      <w:pPr>
        <w:jc w:val="both"/>
        <w:rPr>
          <w:szCs w:val="22"/>
          <w:lang w:val="sr-Latn-ME"/>
        </w:rPr>
      </w:pPr>
      <w:r w:rsidRPr="00012278">
        <w:rPr>
          <w:szCs w:val="22"/>
          <w:lang w:val="sr-Latn-ME"/>
        </w:rPr>
        <w:t xml:space="preserve">Kardiotoksičnost se povezuje sa terapijom fluoropirimidinom, i uključuje infarkt miokarda, anginu pektoris, disritmije, kardiogeni šok, iznenadnu smrt i elektrokardiografske promjene (uključujući veoma rijetke slučajeve produženja QT intervala). Ove neželjene reakcije mogu biti češće kod pacijenata sa prethodnom istorijom koronarne bolesti. Kod pacijenata koji su primali kapecitabin zabilježena je pojava srčanih aritmija (uključujući ventrikularne fibrilacije, torsade de pointes i bradikardije), angine pektoris, infarkta miokarda, srčane insuficijencije i kardiomiopatije. Posebno se mora biti oprezan kod pacijenata sa značajnijim srčanim oboljenjima, aritmijama i anginom pektoris u anamnezi (vidjeti </w:t>
      </w:r>
      <w:r w:rsidR="005C51D2" w:rsidRPr="00012278">
        <w:rPr>
          <w:szCs w:val="22"/>
          <w:lang w:val="sr-Latn-ME"/>
        </w:rPr>
        <w:t xml:space="preserve">dio </w:t>
      </w:r>
      <w:r w:rsidRPr="00012278">
        <w:rPr>
          <w:szCs w:val="22"/>
          <w:lang w:val="sr-Latn-ME"/>
        </w:rPr>
        <w:t xml:space="preserve">4.8). </w:t>
      </w:r>
    </w:p>
    <w:p w14:paraId="4155CD16" w14:textId="77777777" w:rsidR="006140B9" w:rsidRPr="00012278" w:rsidRDefault="006140B9" w:rsidP="002B4BD7">
      <w:pPr>
        <w:jc w:val="both"/>
        <w:rPr>
          <w:szCs w:val="22"/>
          <w:lang w:val="sr-Latn-ME"/>
        </w:rPr>
      </w:pPr>
    </w:p>
    <w:p w14:paraId="13A98CB4" w14:textId="77777777" w:rsidR="006140B9" w:rsidRPr="00012278" w:rsidRDefault="006140B9" w:rsidP="002B4BD7">
      <w:pPr>
        <w:jc w:val="both"/>
        <w:rPr>
          <w:szCs w:val="22"/>
          <w:lang w:val="sr-Latn-ME"/>
        </w:rPr>
      </w:pPr>
      <w:r w:rsidRPr="00012278">
        <w:rPr>
          <w:i/>
          <w:szCs w:val="22"/>
          <w:lang w:val="sr-Latn-ME"/>
        </w:rPr>
        <w:t>Hipokalcijemija ili hiperkalcijemija</w:t>
      </w:r>
    </w:p>
    <w:p w14:paraId="6A878258" w14:textId="0CAD42F2" w:rsidR="006140B9" w:rsidRPr="00012278" w:rsidRDefault="006140B9" w:rsidP="002B4BD7">
      <w:pPr>
        <w:jc w:val="both"/>
        <w:rPr>
          <w:szCs w:val="22"/>
          <w:lang w:val="sr-Latn-ME"/>
        </w:rPr>
      </w:pPr>
      <w:r w:rsidRPr="00012278">
        <w:rPr>
          <w:szCs w:val="22"/>
          <w:lang w:val="sr-Latn-ME"/>
        </w:rPr>
        <w:t xml:space="preserve">Pojava hipokalcijemije ili hiperkalcijemije je zabilježena tokom liječenja kapecitabinom. Mora se biti posebno oprezan kod pacijenata koji su već imali hipokalcijemiju ili hiperkalcijemiju (vidjeti </w:t>
      </w:r>
      <w:r w:rsidR="007362D1" w:rsidRPr="00012278">
        <w:rPr>
          <w:szCs w:val="22"/>
          <w:lang w:val="sr-Latn-ME"/>
        </w:rPr>
        <w:t xml:space="preserve">dio </w:t>
      </w:r>
      <w:r w:rsidRPr="00012278">
        <w:rPr>
          <w:szCs w:val="22"/>
          <w:lang w:val="sr-Latn-ME"/>
        </w:rPr>
        <w:t xml:space="preserve">4.8). </w:t>
      </w:r>
    </w:p>
    <w:p w14:paraId="6BA06992" w14:textId="77777777" w:rsidR="006140B9" w:rsidRPr="00012278" w:rsidRDefault="006140B9" w:rsidP="002B4BD7">
      <w:pPr>
        <w:jc w:val="both"/>
        <w:rPr>
          <w:szCs w:val="22"/>
          <w:lang w:val="sr-Latn-ME"/>
        </w:rPr>
      </w:pPr>
    </w:p>
    <w:p w14:paraId="03FEECB2" w14:textId="77777777" w:rsidR="006140B9" w:rsidRPr="00012278" w:rsidRDefault="006140B9" w:rsidP="002B4BD7">
      <w:pPr>
        <w:jc w:val="both"/>
        <w:rPr>
          <w:szCs w:val="22"/>
          <w:lang w:val="sr-Latn-ME"/>
        </w:rPr>
      </w:pPr>
      <w:r w:rsidRPr="00012278">
        <w:rPr>
          <w:i/>
          <w:szCs w:val="22"/>
          <w:lang w:val="sr-Latn-ME"/>
        </w:rPr>
        <w:t>Oboljenja centralnog ili perifernog nervnog sistema</w:t>
      </w:r>
    </w:p>
    <w:p w14:paraId="65CB1671" w14:textId="5FB0B433" w:rsidR="006140B9" w:rsidRPr="00012278" w:rsidRDefault="007362D1" w:rsidP="002B4BD7">
      <w:pPr>
        <w:jc w:val="both"/>
        <w:rPr>
          <w:szCs w:val="22"/>
          <w:lang w:val="sr-Latn-ME"/>
        </w:rPr>
      </w:pPr>
      <w:r w:rsidRPr="00012278">
        <w:rPr>
          <w:szCs w:val="22"/>
          <w:lang w:val="sr-Latn-ME"/>
        </w:rPr>
        <w:t xml:space="preserve">Mora </w:t>
      </w:r>
      <w:r w:rsidR="006140B9" w:rsidRPr="00012278">
        <w:rPr>
          <w:szCs w:val="22"/>
          <w:lang w:val="sr-Latn-ME"/>
        </w:rPr>
        <w:t xml:space="preserve">se biti oprezan kod pacijenata sa oboljenjima centralnog ili perifernog nervnog sistema, npr. sa metastazama u mozgu ili neuropatijom (vidjeti </w:t>
      </w:r>
      <w:r w:rsidRPr="00012278">
        <w:rPr>
          <w:szCs w:val="22"/>
          <w:lang w:val="sr-Latn-ME"/>
        </w:rPr>
        <w:t xml:space="preserve">dio </w:t>
      </w:r>
      <w:r w:rsidR="006140B9" w:rsidRPr="00012278">
        <w:rPr>
          <w:szCs w:val="22"/>
          <w:lang w:val="sr-Latn-ME"/>
        </w:rPr>
        <w:t>4.8).</w:t>
      </w:r>
    </w:p>
    <w:p w14:paraId="3B28EC94" w14:textId="77777777" w:rsidR="006140B9" w:rsidRPr="00012278" w:rsidRDefault="006140B9" w:rsidP="002B4BD7">
      <w:pPr>
        <w:jc w:val="both"/>
        <w:rPr>
          <w:szCs w:val="22"/>
          <w:lang w:val="sr-Latn-ME"/>
        </w:rPr>
      </w:pPr>
    </w:p>
    <w:p w14:paraId="2C08C973" w14:textId="77777777" w:rsidR="006140B9" w:rsidRPr="00012278" w:rsidRDefault="006140B9" w:rsidP="002B4BD7">
      <w:pPr>
        <w:jc w:val="both"/>
        <w:rPr>
          <w:szCs w:val="22"/>
          <w:lang w:val="sr-Latn-ME"/>
        </w:rPr>
      </w:pPr>
      <w:r w:rsidRPr="00012278">
        <w:rPr>
          <w:i/>
          <w:szCs w:val="22"/>
          <w:lang w:val="sr-Latn-ME"/>
        </w:rPr>
        <w:t>Dijabetes melitus ili poremećaji elektrolita</w:t>
      </w:r>
    </w:p>
    <w:p w14:paraId="682518E4" w14:textId="7B3ED3D1" w:rsidR="006140B9" w:rsidRPr="00012278" w:rsidRDefault="007362D1" w:rsidP="002B4BD7">
      <w:pPr>
        <w:jc w:val="both"/>
        <w:rPr>
          <w:szCs w:val="22"/>
          <w:lang w:val="sr-Latn-ME"/>
        </w:rPr>
      </w:pPr>
      <w:r w:rsidRPr="00012278">
        <w:rPr>
          <w:szCs w:val="22"/>
          <w:lang w:val="sr-Latn-ME"/>
        </w:rPr>
        <w:t xml:space="preserve">Mora </w:t>
      </w:r>
      <w:r w:rsidR="006140B9" w:rsidRPr="00012278">
        <w:rPr>
          <w:szCs w:val="22"/>
          <w:lang w:val="sr-Latn-ME"/>
        </w:rPr>
        <w:t xml:space="preserve">se biti oprezan kod pacijenata sa dijabetes melitusom ili poremećajem elektrolita, jer se mogu pogoršati tokom  liječenja kapecitabinom. </w:t>
      </w:r>
    </w:p>
    <w:p w14:paraId="7238D40B" w14:textId="77777777" w:rsidR="006140B9" w:rsidRPr="00012278" w:rsidRDefault="006140B9" w:rsidP="002B4BD7">
      <w:pPr>
        <w:jc w:val="both"/>
        <w:rPr>
          <w:szCs w:val="22"/>
          <w:lang w:val="sr-Latn-ME"/>
        </w:rPr>
      </w:pPr>
    </w:p>
    <w:p w14:paraId="092B9572" w14:textId="77777777" w:rsidR="006140B9" w:rsidRPr="00012278" w:rsidRDefault="006140B9" w:rsidP="002B4BD7">
      <w:pPr>
        <w:jc w:val="both"/>
        <w:rPr>
          <w:szCs w:val="22"/>
          <w:lang w:val="sr-Latn-ME"/>
        </w:rPr>
      </w:pPr>
      <w:r w:rsidRPr="00012278">
        <w:rPr>
          <w:i/>
          <w:szCs w:val="22"/>
          <w:lang w:val="sr-Latn-ME"/>
        </w:rPr>
        <w:t>Antikoagulaciona terapija derivatima kumarina</w:t>
      </w:r>
    </w:p>
    <w:p w14:paraId="6810FC2C" w14:textId="3450E6EC" w:rsidR="006140B9" w:rsidRPr="00012278" w:rsidRDefault="006140B9" w:rsidP="002B4BD7">
      <w:pPr>
        <w:jc w:val="both"/>
        <w:rPr>
          <w:szCs w:val="22"/>
          <w:lang w:val="sr-Latn-ME"/>
        </w:rPr>
      </w:pPr>
      <w:r w:rsidRPr="00012278">
        <w:rPr>
          <w:szCs w:val="22"/>
          <w:lang w:val="sr-Latn-ME"/>
        </w:rPr>
        <w:t xml:space="preserve">Tokom ispitivanja interakcije sa pojedinačnom dozom varfarina, uočeno je značajno povećanje srednje vrijednosti PIK (+57%) S-varfarina. Ovi rezultati ukazuju na interakciju koja je vjerovatno posljedica inhibicije sistema izoenzima citohroma P450 2C9 izazvane kapecitabinom. Kod pacijenata koji istovremeno primaju kapecitabin i oralnu antikoagulacionu terapiju derivatima kumarina, treba pažljivo pratiti antikoagulacioni odgovor (INR ili protrombinsko vrijeme) i u skladu sa njim prilagoditi dozu antikoagulansa (vidjeti </w:t>
      </w:r>
      <w:r w:rsidR="007362D1" w:rsidRPr="00012278">
        <w:rPr>
          <w:szCs w:val="22"/>
          <w:lang w:val="sr-Latn-ME"/>
        </w:rPr>
        <w:t xml:space="preserve">dio </w:t>
      </w:r>
      <w:r w:rsidRPr="00012278">
        <w:rPr>
          <w:szCs w:val="22"/>
          <w:lang w:val="sr-Latn-ME"/>
        </w:rPr>
        <w:t xml:space="preserve">4.5). </w:t>
      </w:r>
    </w:p>
    <w:p w14:paraId="6EA701F1" w14:textId="77777777" w:rsidR="006140B9" w:rsidRPr="00012278" w:rsidRDefault="006140B9" w:rsidP="002B4BD7">
      <w:pPr>
        <w:jc w:val="both"/>
        <w:rPr>
          <w:szCs w:val="22"/>
          <w:lang w:val="sr-Latn-ME"/>
        </w:rPr>
      </w:pPr>
    </w:p>
    <w:p w14:paraId="18027237" w14:textId="77777777" w:rsidR="006140B9" w:rsidRPr="00012278" w:rsidRDefault="006140B9" w:rsidP="002B4BD7">
      <w:pPr>
        <w:jc w:val="both"/>
        <w:rPr>
          <w:i/>
          <w:szCs w:val="22"/>
          <w:lang w:val="sr-Latn-ME"/>
        </w:rPr>
      </w:pPr>
      <w:r w:rsidRPr="00012278">
        <w:rPr>
          <w:i/>
          <w:szCs w:val="22"/>
          <w:lang w:val="sr-Latn-ME"/>
        </w:rPr>
        <w:t xml:space="preserve">Brivudin </w:t>
      </w:r>
    </w:p>
    <w:p w14:paraId="30E45E9B" w14:textId="5F26BFF9" w:rsidR="006140B9" w:rsidRPr="00012278" w:rsidRDefault="006140B9" w:rsidP="002B4BD7">
      <w:pPr>
        <w:jc w:val="both"/>
        <w:rPr>
          <w:szCs w:val="22"/>
          <w:lang w:val="sr-Latn-ME"/>
        </w:rPr>
      </w:pPr>
      <w:r w:rsidRPr="00012278">
        <w:rPr>
          <w:szCs w:val="22"/>
          <w:lang w:val="sr-Latn-ME"/>
        </w:rPr>
        <w:t>Brivudin se ne smije davati istovremeno sa kapecitabinom. Prijavljeni su fatalni slučajevi usljed  interakcije</w:t>
      </w:r>
      <w:r w:rsidR="007362D1" w:rsidRPr="00012278">
        <w:rPr>
          <w:szCs w:val="22"/>
          <w:lang w:val="sr-Latn-ME"/>
        </w:rPr>
        <w:t xml:space="preserve"> ovih</w:t>
      </w:r>
      <w:r w:rsidRPr="00012278">
        <w:rPr>
          <w:szCs w:val="22"/>
          <w:lang w:val="sr-Latn-ME"/>
        </w:rPr>
        <w:t xml:space="preserve"> ljekova. Mora postojati period od najmanje 4 nedjelje pauze između završetka </w:t>
      </w:r>
      <w:r w:rsidR="007362D1" w:rsidRPr="00012278">
        <w:rPr>
          <w:szCs w:val="22"/>
          <w:lang w:val="sr-Latn-ME"/>
        </w:rPr>
        <w:t xml:space="preserve">liječenja </w:t>
      </w:r>
      <w:r w:rsidRPr="00012278">
        <w:rPr>
          <w:szCs w:val="22"/>
          <w:lang w:val="sr-Latn-ME"/>
        </w:rPr>
        <w:t xml:space="preserve">brivudinom i početka terapije kapecitabinom. Sa liječenjem brivudinom se može započeti 24 sata poslije posljednje doze kapecitabina (vidjeti </w:t>
      </w:r>
      <w:r w:rsidR="007362D1" w:rsidRPr="00012278">
        <w:rPr>
          <w:szCs w:val="22"/>
          <w:lang w:val="sr-Latn-ME"/>
        </w:rPr>
        <w:t>djelove</w:t>
      </w:r>
      <w:r w:rsidRPr="00012278">
        <w:rPr>
          <w:szCs w:val="22"/>
          <w:lang w:val="sr-Latn-ME"/>
        </w:rPr>
        <w:t xml:space="preserve"> 4.3 i 4.5). </w:t>
      </w:r>
    </w:p>
    <w:p w14:paraId="440E23BE" w14:textId="77777777" w:rsidR="006140B9" w:rsidRPr="00012278" w:rsidRDefault="006140B9" w:rsidP="002B4BD7">
      <w:pPr>
        <w:jc w:val="both"/>
        <w:rPr>
          <w:i/>
          <w:szCs w:val="22"/>
          <w:lang w:val="sr-Latn-ME"/>
        </w:rPr>
      </w:pPr>
      <w:r w:rsidRPr="00012278">
        <w:rPr>
          <w:i/>
          <w:szCs w:val="22"/>
          <w:lang w:val="sr-Latn-ME"/>
        </w:rPr>
        <w:t>Ukoliko dođe do slučajne primjene brivudina pacijentima koji se liječe kapecitabinom, treba preduzeti efikasne mjere za smanjenje toksičnosti kapecitabina. Preporučuje se hitna hospitalizacija. Treba preduzeti sve mjere da se spriječe sistemske infekcije i dehidratacija.</w:t>
      </w:r>
    </w:p>
    <w:p w14:paraId="6D7E1C24" w14:textId="77777777" w:rsidR="006140B9" w:rsidRPr="00012278" w:rsidRDefault="006140B9" w:rsidP="002B4BD7">
      <w:pPr>
        <w:jc w:val="both"/>
        <w:rPr>
          <w:szCs w:val="22"/>
          <w:lang w:val="sr-Latn-ME"/>
        </w:rPr>
      </w:pPr>
    </w:p>
    <w:p w14:paraId="1A0A9567" w14:textId="77777777" w:rsidR="006140B9" w:rsidRPr="00012278" w:rsidRDefault="006140B9" w:rsidP="002B4BD7">
      <w:pPr>
        <w:jc w:val="both"/>
        <w:rPr>
          <w:szCs w:val="22"/>
          <w:lang w:val="sr-Latn-ME"/>
        </w:rPr>
      </w:pPr>
      <w:r w:rsidRPr="00012278">
        <w:rPr>
          <w:i/>
          <w:szCs w:val="22"/>
          <w:lang w:val="sr-Latn-ME"/>
        </w:rPr>
        <w:t>Hepatička insuficijencija</w:t>
      </w:r>
    </w:p>
    <w:p w14:paraId="231261DE" w14:textId="77777777" w:rsidR="006140B9" w:rsidRPr="00012278" w:rsidRDefault="006140B9" w:rsidP="002B4BD7">
      <w:pPr>
        <w:jc w:val="both"/>
        <w:rPr>
          <w:szCs w:val="22"/>
          <w:lang w:val="sr-Latn-ME"/>
        </w:rPr>
      </w:pPr>
      <w:r w:rsidRPr="00012278">
        <w:rPr>
          <w:szCs w:val="22"/>
          <w:lang w:val="sr-Latn-ME"/>
        </w:rPr>
        <w:t xml:space="preserve">U odsustvu podataka o bezbjednosti i efikasnosti kod pacijenata sa hepatičkom insuficijencijom, primjenu kapecitabina treba pažljivo pratiti kod pacijenata sa blagom do umjerenom hepatičkom insuficijencijom, nezavisno od prisustva ili odsustva metastaza na jetri. Primjenu kapecitabina treba prekinuti ako uzimanje lijeka izazove povećanje bilirubina  od &gt;3,0 x gornje granične vrijednosti (GGV) ili hepatičkih aminotransferaza (ALT, AST) od &gt; 2,5 x GGV. Monoterapija kapecitabinom može se nastaviti kada bilirubin padne na ≤3 x GGV, odnosno hepatičke aminotransferaze padnu na ≤2,5 x GGV. </w:t>
      </w:r>
    </w:p>
    <w:p w14:paraId="13414623" w14:textId="77777777" w:rsidR="006140B9" w:rsidRPr="00012278" w:rsidRDefault="006140B9" w:rsidP="002B4BD7">
      <w:pPr>
        <w:jc w:val="both"/>
        <w:rPr>
          <w:szCs w:val="22"/>
          <w:lang w:val="sr-Latn-ME"/>
        </w:rPr>
      </w:pPr>
    </w:p>
    <w:p w14:paraId="4A2C60F1" w14:textId="77777777" w:rsidR="006140B9" w:rsidRPr="00012278" w:rsidRDefault="006140B9" w:rsidP="002B4BD7">
      <w:pPr>
        <w:jc w:val="both"/>
        <w:rPr>
          <w:szCs w:val="22"/>
          <w:lang w:val="sr-Latn-ME"/>
        </w:rPr>
      </w:pPr>
      <w:r w:rsidRPr="00012278">
        <w:rPr>
          <w:i/>
          <w:szCs w:val="22"/>
          <w:lang w:val="sr-Latn-ME"/>
        </w:rPr>
        <w:t>Bubrežna insuficijencija</w:t>
      </w:r>
    </w:p>
    <w:p w14:paraId="238FC82E" w14:textId="6C9F8AF9" w:rsidR="006140B9" w:rsidRPr="00012278" w:rsidRDefault="006140B9" w:rsidP="002B4BD7">
      <w:pPr>
        <w:jc w:val="both"/>
        <w:rPr>
          <w:szCs w:val="22"/>
          <w:lang w:val="sr-Latn-ME"/>
        </w:rPr>
      </w:pPr>
      <w:r w:rsidRPr="00012278">
        <w:rPr>
          <w:szCs w:val="22"/>
          <w:lang w:val="sr-Latn-ME"/>
        </w:rPr>
        <w:t xml:space="preserve">Incidencija neželjenih dejstava 3. ili 4. stepena kod pacijenata sa umjerenom bubrežnom insuficijencijom (klirens kreatinina 30-50 ml/min) je povećana u poređenju sa ukupnom populacijom (vidjeti </w:t>
      </w:r>
      <w:r w:rsidR="007362D1" w:rsidRPr="00012278">
        <w:rPr>
          <w:szCs w:val="22"/>
          <w:lang w:val="sr-Latn-ME"/>
        </w:rPr>
        <w:t xml:space="preserve">djelove </w:t>
      </w:r>
      <w:r w:rsidRPr="00012278">
        <w:rPr>
          <w:szCs w:val="22"/>
          <w:lang w:val="sr-Latn-ME"/>
        </w:rPr>
        <w:t xml:space="preserve">4.2 i 4.3). </w:t>
      </w:r>
    </w:p>
    <w:p w14:paraId="5DFF6340" w14:textId="77777777" w:rsidR="006140B9" w:rsidRPr="00012278" w:rsidRDefault="006140B9" w:rsidP="002B4BD7">
      <w:pPr>
        <w:jc w:val="both"/>
        <w:rPr>
          <w:szCs w:val="22"/>
          <w:lang w:val="sr-Latn-ME"/>
        </w:rPr>
      </w:pPr>
    </w:p>
    <w:p w14:paraId="298F8696" w14:textId="77777777" w:rsidR="006140B9" w:rsidRPr="00012278" w:rsidRDefault="006140B9" w:rsidP="002B4BD7">
      <w:pPr>
        <w:jc w:val="both"/>
        <w:rPr>
          <w:i/>
          <w:iCs/>
          <w:szCs w:val="22"/>
          <w:lang w:val="sr-Latn-ME"/>
        </w:rPr>
      </w:pPr>
      <w:r w:rsidRPr="00012278">
        <w:rPr>
          <w:i/>
          <w:iCs/>
          <w:szCs w:val="22"/>
          <w:lang w:val="sr-Latn-ME"/>
        </w:rPr>
        <w:t>Deficit dihidropirimidin dehidrogenaze (DPD)</w:t>
      </w:r>
    </w:p>
    <w:p w14:paraId="022AF765" w14:textId="3B1787AC" w:rsidR="006140B9" w:rsidRPr="00012278" w:rsidRDefault="006140B9" w:rsidP="002B4BD7">
      <w:pPr>
        <w:jc w:val="both"/>
        <w:rPr>
          <w:iCs/>
          <w:szCs w:val="22"/>
          <w:lang w:val="sr-Latn-ME"/>
        </w:rPr>
      </w:pPr>
      <w:bookmarkStart w:id="1" w:name="_Hlk36046221"/>
      <w:r w:rsidRPr="00012278">
        <w:rPr>
          <w:iCs/>
          <w:szCs w:val="22"/>
          <w:lang w:val="sr-Latn-ME"/>
        </w:rPr>
        <w:lastRenderedPageBreak/>
        <w:t>Aktivnost DPD-a ograničava brzinu  katabolizm</w:t>
      </w:r>
      <w:r w:rsidR="007362D1" w:rsidRPr="00012278">
        <w:rPr>
          <w:iCs/>
          <w:szCs w:val="22"/>
          <w:lang w:val="sr-Latn-ME"/>
        </w:rPr>
        <w:t>a</w:t>
      </w:r>
      <w:r w:rsidRPr="00012278">
        <w:rPr>
          <w:iCs/>
          <w:szCs w:val="22"/>
          <w:lang w:val="sr-Latn-ME"/>
        </w:rPr>
        <w:t xml:space="preserve"> 5-fluorouracila (vidjeti </w:t>
      </w:r>
      <w:r w:rsidR="007362D1" w:rsidRPr="00012278">
        <w:rPr>
          <w:iCs/>
          <w:szCs w:val="22"/>
          <w:lang w:val="sr-Latn-ME"/>
        </w:rPr>
        <w:t xml:space="preserve">dio </w:t>
      </w:r>
      <w:r w:rsidRPr="00012278">
        <w:rPr>
          <w:iCs/>
          <w:szCs w:val="22"/>
          <w:lang w:val="sr-Latn-ME"/>
        </w:rPr>
        <w:t>5.2). Pacijenti sa nedostatkom DPD-a su stoga pod povećanom rizikom od toksičnosti povezane sa fluoropirimidinima, uključujući na primjer stomatitis, dijareju, upalu sluznice, neutropeniju i neurotoksičnost.</w:t>
      </w:r>
    </w:p>
    <w:bookmarkEnd w:id="1"/>
    <w:p w14:paraId="45619B6F" w14:textId="77777777" w:rsidR="006140B9" w:rsidRPr="00012278" w:rsidRDefault="006140B9" w:rsidP="002B4BD7">
      <w:pPr>
        <w:jc w:val="both"/>
        <w:rPr>
          <w:iCs/>
          <w:szCs w:val="22"/>
          <w:lang w:val="sr-Latn-ME"/>
        </w:rPr>
      </w:pPr>
    </w:p>
    <w:p w14:paraId="4C94BE94" w14:textId="77777777" w:rsidR="006140B9" w:rsidRPr="00012278" w:rsidRDefault="006140B9" w:rsidP="002B4BD7">
      <w:pPr>
        <w:jc w:val="both"/>
        <w:rPr>
          <w:iCs/>
          <w:szCs w:val="22"/>
          <w:lang w:val="sr-Latn-ME"/>
        </w:rPr>
      </w:pPr>
      <w:r w:rsidRPr="00012278">
        <w:rPr>
          <w:iCs/>
          <w:szCs w:val="22"/>
          <w:lang w:val="sr-Latn-ME"/>
        </w:rPr>
        <w:t>Toksičnost povezana sa nedostatkom DPD obično se javlja tokom prvog ciklusa liječenja ili nakon povećanja doze.</w:t>
      </w:r>
    </w:p>
    <w:p w14:paraId="016008AA" w14:textId="77777777" w:rsidR="006140B9" w:rsidRPr="00012278" w:rsidRDefault="006140B9" w:rsidP="006140B9">
      <w:pPr>
        <w:rPr>
          <w:i/>
          <w:iCs/>
          <w:szCs w:val="22"/>
          <w:u w:val="single"/>
          <w:lang w:val="sr-Latn-ME"/>
        </w:rPr>
      </w:pPr>
    </w:p>
    <w:p w14:paraId="5C390D84" w14:textId="77777777" w:rsidR="006140B9" w:rsidRPr="00012278" w:rsidRDefault="006140B9" w:rsidP="002B4BD7">
      <w:pPr>
        <w:jc w:val="both"/>
        <w:rPr>
          <w:i/>
          <w:iCs/>
          <w:szCs w:val="22"/>
          <w:u w:val="single"/>
          <w:lang w:val="sr-Latn-ME"/>
        </w:rPr>
      </w:pPr>
      <w:r w:rsidRPr="00012278">
        <w:rPr>
          <w:i/>
          <w:iCs/>
          <w:szCs w:val="22"/>
          <w:u w:val="single"/>
          <w:lang w:val="sr-Latn-ME"/>
        </w:rPr>
        <w:t>Potpuni nedostatak DPD-a</w:t>
      </w:r>
    </w:p>
    <w:p w14:paraId="13C85DCB" w14:textId="5E5BFB07" w:rsidR="006140B9" w:rsidRPr="00012278" w:rsidRDefault="006140B9" w:rsidP="002B4BD7">
      <w:pPr>
        <w:jc w:val="both"/>
        <w:rPr>
          <w:iCs/>
          <w:szCs w:val="22"/>
          <w:lang w:val="sr-Latn-ME"/>
        </w:rPr>
      </w:pPr>
      <w:r w:rsidRPr="00012278">
        <w:rPr>
          <w:iCs/>
          <w:szCs w:val="22"/>
          <w:lang w:val="sr-Latn-ME"/>
        </w:rPr>
        <w:t>Potpuni nedostatak DPD-a je rijedak (0,01-0,5% bijelaca). Pacijenti sa potpunim nedostatkom DPD-a su pod visokim rizikom od po život opasne ili smrtne toksičnosti i ne smiju se liječiti lijekom Ecansya</w:t>
      </w:r>
      <w:r w:rsidRPr="00012278">
        <w:rPr>
          <w:szCs w:val="22"/>
          <w:lang w:val="sr-Latn-ME"/>
        </w:rPr>
        <w:t xml:space="preserve"> </w:t>
      </w:r>
      <w:r w:rsidRPr="00012278">
        <w:rPr>
          <w:iCs/>
          <w:szCs w:val="22"/>
          <w:lang w:val="sr-Latn-ME"/>
        </w:rPr>
        <w:t xml:space="preserve"> (vidjeti </w:t>
      </w:r>
      <w:r w:rsidR="007362D1" w:rsidRPr="00012278">
        <w:rPr>
          <w:iCs/>
          <w:szCs w:val="22"/>
          <w:lang w:val="sr-Latn-ME"/>
        </w:rPr>
        <w:t xml:space="preserve">dio </w:t>
      </w:r>
      <w:r w:rsidRPr="00012278">
        <w:rPr>
          <w:iCs/>
          <w:szCs w:val="22"/>
          <w:lang w:val="sr-Latn-ME"/>
        </w:rPr>
        <w:t>4.3).</w:t>
      </w:r>
    </w:p>
    <w:p w14:paraId="08C2F5B6" w14:textId="77777777" w:rsidR="006140B9" w:rsidRPr="00012278" w:rsidRDefault="006140B9" w:rsidP="002B4BD7">
      <w:pPr>
        <w:jc w:val="both"/>
        <w:rPr>
          <w:i/>
          <w:iCs/>
          <w:szCs w:val="22"/>
          <w:u w:val="single"/>
          <w:lang w:val="sr-Latn-ME"/>
        </w:rPr>
      </w:pPr>
    </w:p>
    <w:p w14:paraId="3A590D1A" w14:textId="77777777" w:rsidR="006140B9" w:rsidRPr="00012278" w:rsidRDefault="006140B9" w:rsidP="002B4BD7">
      <w:pPr>
        <w:jc w:val="both"/>
        <w:rPr>
          <w:i/>
          <w:iCs/>
          <w:szCs w:val="22"/>
          <w:u w:val="single"/>
          <w:lang w:val="sr-Latn-ME"/>
        </w:rPr>
      </w:pPr>
      <w:r w:rsidRPr="00012278">
        <w:rPr>
          <w:i/>
          <w:iCs/>
          <w:szCs w:val="22"/>
          <w:u w:val="single"/>
          <w:lang w:val="sr-Latn-ME"/>
        </w:rPr>
        <w:t>Djelimični nedostatak DPD-a</w:t>
      </w:r>
    </w:p>
    <w:p w14:paraId="05586AF3" w14:textId="77777777" w:rsidR="006140B9" w:rsidRPr="00012278" w:rsidRDefault="006140B9" w:rsidP="002B4BD7">
      <w:pPr>
        <w:jc w:val="both"/>
        <w:rPr>
          <w:iCs/>
          <w:szCs w:val="22"/>
          <w:lang w:val="sr-Latn-ME"/>
        </w:rPr>
      </w:pPr>
      <w:bookmarkStart w:id="2" w:name="_Hlk36050752"/>
      <w:r w:rsidRPr="00012278">
        <w:rPr>
          <w:iCs/>
          <w:szCs w:val="22"/>
          <w:lang w:val="sr-Latn-ME"/>
        </w:rPr>
        <w:t>Procjenjuje se da djelimični nedostatak DPD-a pogađa 3-9% bijelaca. Pacijenti sa djelimičnim nedostatkom DPD-a su pod povećanim rizikom od ozbiljne i potencijalno životno ugrožavajuće toksičnosti. Treba razmotriti smanjenu početnu dozu kako bi se ograničila ova toksičnost. Nedostatak DPD-a treba smatrati parametrom koji se uzima u obzir zajedno sa drugim rutinskim mjerama za smanjenje doze. Inicijalno smanjenje doze može uticati na efikasnost liječenja. U odsustvu ozbiljne toksičnosti naknadne doze se mogu povećati uz pažljivo praćenje.</w:t>
      </w:r>
    </w:p>
    <w:bookmarkEnd w:id="2"/>
    <w:p w14:paraId="2C0BB137" w14:textId="77777777" w:rsidR="006140B9" w:rsidRPr="00012278" w:rsidRDefault="006140B9" w:rsidP="002B4BD7">
      <w:pPr>
        <w:jc w:val="both"/>
        <w:rPr>
          <w:i/>
          <w:iCs/>
          <w:szCs w:val="22"/>
          <w:u w:val="single"/>
          <w:lang w:val="sr-Latn-ME"/>
        </w:rPr>
      </w:pPr>
    </w:p>
    <w:p w14:paraId="579A42A7" w14:textId="77777777" w:rsidR="006140B9" w:rsidRPr="00012278" w:rsidRDefault="006140B9" w:rsidP="002B4BD7">
      <w:pPr>
        <w:jc w:val="both"/>
        <w:rPr>
          <w:i/>
          <w:iCs/>
          <w:szCs w:val="22"/>
          <w:u w:val="single"/>
          <w:lang w:val="sr-Latn-ME"/>
        </w:rPr>
      </w:pPr>
      <w:r w:rsidRPr="00012278">
        <w:rPr>
          <w:i/>
          <w:iCs/>
          <w:szCs w:val="22"/>
          <w:u w:val="single"/>
          <w:lang w:val="sr-Latn-ME"/>
        </w:rPr>
        <w:t>Testiranje na nedostatak DPD-a</w:t>
      </w:r>
    </w:p>
    <w:p w14:paraId="53FBD8EF" w14:textId="77777777" w:rsidR="006140B9" w:rsidRPr="00012278" w:rsidRDefault="006140B9" w:rsidP="002B4BD7">
      <w:pPr>
        <w:jc w:val="both"/>
        <w:rPr>
          <w:iCs/>
          <w:szCs w:val="22"/>
          <w:lang w:val="sr-Latn-ME"/>
        </w:rPr>
      </w:pPr>
      <w:r w:rsidRPr="00012278">
        <w:rPr>
          <w:iCs/>
          <w:szCs w:val="22"/>
          <w:lang w:val="sr-Latn-ME"/>
        </w:rPr>
        <w:t>Preporučuje se ispitivanje fenotipa i/ili genotipa prije početka liječenja lijekom Ecansya, uprkos nesigurnostima u pogledu optimalnih metodologija ispitivanja prije liječenja. Treba uzeti u obzir primjenljive kliničke smjernice.</w:t>
      </w:r>
    </w:p>
    <w:p w14:paraId="7FBE219C" w14:textId="77777777" w:rsidR="006140B9" w:rsidRPr="00012278" w:rsidRDefault="006140B9" w:rsidP="002B4BD7">
      <w:pPr>
        <w:jc w:val="both"/>
        <w:rPr>
          <w:i/>
          <w:iCs/>
          <w:szCs w:val="22"/>
          <w:u w:val="single"/>
          <w:lang w:val="sr-Latn-ME"/>
        </w:rPr>
      </w:pPr>
    </w:p>
    <w:p w14:paraId="3C1C673E" w14:textId="77777777" w:rsidR="006140B9" w:rsidRPr="00012278" w:rsidRDefault="006140B9" w:rsidP="002B4BD7">
      <w:pPr>
        <w:jc w:val="both"/>
        <w:rPr>
          <w:i/>
          <w:iCs/>
          <w:szCs w:val="22"/>
          <w:u w:val="single"/>
          <w:lang w:val="sr-Latn-ME"/>
        </w:rPr>
      </w:pPr>
      <w:r w:rsidRPr="00012278">
        <w:rPr>
          <w:i/>
          <w:iCs/>
          <w:szCs w:val="22"/>
          <w:u w:val="single"/>
          <w:lang w:val="sr-Latn-ME"/>
        </w:rPr>
        <w:t xml:space="preserve">Genotipska karakterizacija nedostatka DPD-a </w:t>
      </w:r>
    </w:p>
    <w:p w14:paraId="28B17BE2" w14:textId="77777777" w:rsidR="006140B9" w:rsidRPr="00012278" w:rsidRDefault="006140B9" w:rsidP="002B4BD7">
      <w:pPr>
        <w:jc w:val="both"/>
        <w:rPr>
          <w:iCs/>
          <w:szCs w:val="22"/>
          <w:lang w:val="sr-Latn-ME"/>
        </w:rPr>
      </w:pPr>
      <w:r w:rsidRPr="00012278">
        <w:rPr>
          <w:iCs/>
          <w:szCs w:val="22"/>
          <w:lang w:val="sr-Latn-ME"/>
        </w:rPr>
        <w:t>Ispitivanje rijetkih mutacija gena DPYD prije liječenja može poslužiti za identifikaciju pacijenata sa nedostatkom DPD-a.</w:t>
      </w:r>
    </w:p>
    <w:p w14:paraId="3BEA5615" w14:textId="77777777" w:rsidR="006140B9" w:rsidRPr="00012278" w:rsidRDefault="006140B9" w:rsidP="002B4BD7">
      <w:pPr>
        <w:jc w:val="both"/>
        <w:rPr>
          <w:iCs/>
          <w:szCs w:val="22"/>
          <w:lang w:val="sr-Latn-ME"/>
        </w:rPr>
      </w:pPr>
    </w:p>
    <w:p w14:paraId="27F53A53" w14:textId="77777777" w:rsidR="006140B9" w:rsidRPr="00012278" w:rsidRDefault="006140B9" w:rsidP="002B4BD7">
      <w:pPr>
        <w:jc w:val="both"/>
        <w:rPr>
          <w:iCs/>
          <w:szCs w:val="22"/>
          <w:lang w:val="sr-Latn-ME"/>
        </w:rPr>
      </w:pPr>
      <w:r w:rsidRPr="00012278">
        <w:rPr>
          <w:iCs/>
          <w:szCs w:val="22"/>
          <w:lang w:val="sr-Latn-ME"/>
        </w:rPr>
        <w:t>Četiri varijante DPYD c.1905+1G&gt;A [poznata i kao DPYD*2A], c.1679T&gt;G [DPYD*13], c.2846A&gt;T i c.1236G&gt;A/HapB3 mogu izazvati potpuno odsustvo ili smanjenje enzimske aktivnosti DPD. Druge rijetke varijante mogu biti povezane sa povećanim rizikom od teške ili po život opasne toksičnosti.</w:t>
      </w:r>
    </w:p>
    <w:p w14:paraId="05CB3BB3" w14:textId="77777777" w:rsidR="006140B9" w:rsidRPr="00012278" w:rsidRDefault="006140B9" w:rsidP="002B4BD7">
      <w:pPr>
        <w:jc w:val="both"/>
        <w:rPr>
          <w:iCs/>
          <w:szCs w:val="22"/>
          <w:lang w:val="sr-Latn-ME"/>
        </w:rPr>
      </w:pPr>
    </w:p>
    <w:p w14:paraId="60BE08AF" w14:textId="77777777" w:rsidR="006140B9" w:rsidRPr="00012278" w:rsidRDefault="006140B9" w:rsidP="002B4BD7">
      <w:pPr>
        <w:jc w:val="both"/>
        <w:rPr>
          <w:iCs/>
          <w:szCs w:val="22"/>
          <w:lang w:val="sr-Latn-ME"/>
        </w:rPr>
      </w:pPr>
      <w:r w:rsidRPr="00012278">
        <w:rPr>
          <w:iCs/>
          <w:szCs w:val="22"/>
          <w:lang w:val="sr-Latn-ME"/>
        </w:rPr>
        <w:t>Poznato je da određene homozigotne i složene heterozigotne mutacije u lokusu gena DPYD (npr. kombinacije četiri varijante sa najmanje jednim alelom c.1905+1G&gt;A ili c.1679T&gt;G) uzrokuju potpuno ili gotovo potpuno odsustvo DPD enzimske aktivnosti.</w:t>
      </w:r>
    </w:p>
    <w:p w14:paraId="7560066D" w14:textId="77777777" w:rsidR="006140B9" w:rsidRPr="00012278" w:rsidRDefault="006140B9" w:rsidP="002B4BD7">
      <w:pPr>
        <w:jc w:val="both"/>
        <w:rPr>
          <w:iCs/>
          <w:szCs w:val="22"/>
          <w:lang w:val="sr-Latn-ME"/>
        </w:rPr>
      </w:pPr>
    </w:p>
    <w:p w14:paraId="7FE3702A" w14:textId="77777777" w:rsidR="006140B9" w:rsidRPr="00012278" w:rsidRDefault="006140B9" w:rsidP="002B4BD7">
      <w:pPr>
        <w:jc w:val="both"/>
        <w:rPr>
          <w:iCs/>
          <w:szCs w:val="22"/>
          <w:lang w:val="sr-Latn-ME"/>
        </w:rPr>
      </w:pPr>
      <w:r w:rsidRPr="00012278">
        <w:rPr>
          <w:iCs/>
          <w:szCs w:val="22"/>
          <w:lang w:val="sr-Latn-ME"/>
        </w:rPr>
        <w:t>Pacijenti sa određenim heterozigotnim varijantama DPYD (uključujući varijante c.1905+1G&gt;A, c.1679T&gt;G, c.2846A&gt;T i c.1236G&gt;A/HapB3) su pod povećanim rizikom od teške toksičnosti kada se liječe fluoropirimidinima.</w:t>
      </w:r>
    </w:p>
    <w:p w14:paraId="5353031A" w14:textId="77777777" w:rsidR="006140B9" w:rsidRPr="00012278" w:rsidRDefault="006140B9" w:rsidP="002B4BD7">
      <w:pPr>
        <w:jc w:val="both"/>
        <w:rPr>
          <w:iCs/>
          <w:szCs w:val="22"/>
          <w:lang w:val="sr-Latn-ME"/>
        </w:rPr>
      </w:pPr>
    </w:p>
    <w:p w14:paraId="32AAE26D" w14:textId="65A201EC" w:rsidR="006140B9" w:rsidRPr="00012278" w:rsidRDefault="006140B9" w:rsidP="002B4BD7">
      <w:pPr>
        <w:jc w:val="both"/>
        <w:rPr>
          <w:iCs/>
          <w:szCs w:val="22"/>
          <w:lang w:val="sr-Latn-ME"/>
        </w:rPr>
      </w:pPr>
      <w:r w:rsidRPr="00012278">
        <w:rPr>
          <w:iCs/>
          <w:szCs w:val="22"/>
          <w:lang w:val="sr-Latn-ME"/>
        </w:rPr>
        <w:t>Učestalost heterozigotn</w:t>
      </w:r>
      <w:r w:rsidR="003B76AE" w:rsidRPr="00012278">
        <w:rPr>
          <w:iCs/>
          <w:szCs w:val="22"/>
          <w:lang w:val="sr-Latn-ME"/>
        </w:rPr>
        <w:t>og</w:t>
      </w:r>
      <w:r w:rsidRPr="00012278">
        <w:rPr>
          <w:iCs/>
          <w:szCs w:val="22"/>
          <w:lang w:val="sr-Latn-ME"/>
        </w:rPr>
        <w:t xml:space="preserve"> </w:t>
      </w:r>
      <w:r w:rsidR="003B76AE" w:rsidRPr="00012278">
        <w:rPr>
          <w:iCs/>
          <w:szCs w:val="22"/>
          <w:lang w:val="sr-Latn-ME"/>
        </w:rPr>
        <w:t xml:space="preserve">genotipa </w:t>
      </w:r>
      <w:r w:rsidRPr="00012278">
        <w:rPr>
          <w:iCs/>
          <w:szCs w:val="22"/>
          <w:lang w:val="sr-Latn-ME"/>
        </w:rPr>
        <w:t>c.1905+1G&gt;A u genu DPYD kod pacijenata bijele rase iznosi oko 1%, 1,1% za</w:t>
      </w:r>
      <w:r w:rsidR="003B76AE" w:rsidRPr="00012278">
        <w:rPr>
          <w:iCs/>
          <w:szCs w:val="22"/>
          <w:lang w:val="sr-Latn-ME"/>
        </w:rPr>
        <w:t xml:space="preserve"> genotip</w:t>
      </w:r>
      <w:r w:rsidRPr="00012278">
        <w:rPr>
          <w:iCs/>
          <w:szCs w:val="22"/>
          <w:lang w:val="sr-Latn-ME"/>
        </w:rPr>
        <w:t xml:space="preserve"> c.2846A&gt;T, 2,6-6,3% za c.1236G&gt;A/HapB3 varijante i 0,07 do 0,1% za c.1679T&gt;G.</w:t>
      </w:r>
    </w:p>
    <w:p w14:paraId="60BD2B3D" w14:textId="77777777" w:rsidR="006140B9" w:rsidRPr="00012278" w:rsidRDefault="006140B9" w:rsidP="002B4BD7">
      <w:pPr>
        <w:jc w:val="both"/>
        <w:rPr>
          <w:iCs/>
          <w:szCs w:val="22"/>
          <w:lang w:val="sr-Latn-ME"/>
        </w:rPr>
      </w:pPr>
    </w:p>
    <w:p w14:paraId="5430B37A" w14:textId="1330B0E6" w:rsidR="006140B9" w:rsidRPr="00012278" w:rsidRDefault="006140B9" w:rsidP="002B4BD7">
      <w:pPr>
        <w:jc w:val="both"/>
        <w:rPr>
          <w:iCs/>
          <w:szCs w:val="22"/>
          <w:lang w:val="sr-Latn-ME"/>
        </w:rPr>
      </w:pPr>
      <w:r w:rsidRPr="00012278">
        <w:rPr>
          <w:iCs/>
          <w:szCs w:val="22"/>
          <w:lang w:val="sr-Latn-ME"/>
        </w:rPr>
        <w:t xml:space="preserve">Podaci o učestalosti </w:t>
      </w:r>
      <w:r w:rsidR="003B76AE" w:rsidRPr="00012278">
        <w:rPr>
          <w:iCs/>
          <w:szCs w:val="22"/>
          <w:lang w:val="sr-Latn-ME"/>
        </w:rPr>
        <w:t xml:space="preserve">ove </w:t>
      </w:r>
      <w:r w:rsidRPr="00012278">
        <w:rPr>
          <w:iCs/>
          <w:szCs w:val="22"/>
          <w:lang w:val="sr-Latn-ME"/>
        </w:rPr>
        <w:t xml:space="preserve">četiri varijante </w:t>
      </w:r>
      <w:r w:rsidR="003B76AE" w:rsidRPr="00012278">
        <w:rPr>
          <w:iCs/>
          <w:szCs w:val="22"/>
          <w:lang w:val="sr-Latn-ME"/>
        </w:rPr>
        <w:t xml:space="preserve">gena </w:t>
      </w:r>
      <w:r w:rsidRPr="00012278">
        <w:rPr>
          <w:iCs/>
          <w:szCs w:val="22"/>
          <w:lang w:val="sr-Latn-ME"/>
        </w:rPr>
        <w:t xml:space="preserve">DPYD kod ostalih populacija pored bijelaca su ograničeni. Trenutno se četiri varijante </w:t>
      </w:r>
      <w:r w:rsidR="003B76AE" w:rsidRPr="00012278">
        <w:rPr>
          <w:iCs/>
          <w:szCs w:val="22"/>
          <w:lang w:val="sr-Latn-ME"/>
        </w:rPr>
        <w:t xml:space="preserve">gena </w:t>
      </w:r>
      <w:r w:rsidRPr="00012278">
        <w:rPr>
          <w:iCs/>
          <w:szCs w:val="22"/>
          <w:lang w:val="sr-Latn-ME"/>
        </w:rPr>
        <w:t>DPYD (c.1905+1G&gt;A, c.1679T&gt;G, c.2846A&gt;T i c.1236G&gt;A/HapB3) smatraju praktično odsutnim kod populacija afričko (</w:t>
      </w:r>
      <w:r w:rsidR="003B76AE" w:rsidRPr="00012278">
        <w:rPr>
          <w:iCs/>
          <w:szCs w:val="22"/>
          <w:lang w:val="sr-Latn-ME"/>
        </w:rPr>
        <w:t>afro</w:t>
      </w:r>
      <w:r w:rsidRPr="00012278">
        <w:rPr>
          <w:iCs/>
          <w:szCs w:val="22"/>
          <w:lang w:val="sr-Latn-ME"/>
        </w:rPr>
        <w:t>američkog) ili azijskog porijekla.</w:t>
      </w:r>
    </w:p>
    <w:p w14:paraId="6B6233DF" w14:textId="77777777" w:rsidR="006140B9" w:rsidRPr="00012278" w:rsidRDefault="006140B9" w:rsidP="002B4BD7">
      <w:pPr>
        <w:jc w:val="both"/>
        <w:rPr>
          <w:i/>
          <w:iCs/>
          <w:szCs w:val="22"/>
          <w:u w:val="single"/>
          <w:lang w:val="sr-Latn-ME"/>
        </w:rPr>
      </w:pPr>
    </w:p>
    <w:p w14:paraId="316CE913" w14:textId="77777777" w:rsidR="006140B9" w:rsidRPr="00012278" w:rsidRDefault="006140B9" w:rsidP="002B4BD7">
      <w:pPr>
        <w:jc w:val="both"/>
        <w:rPr>
          <w:i/>
          <w:iCs/>
          <w:szCs w:val="22"/>
          <w:u w:val="single"/>
          <w:lang w:val="sr-Latn-ME"/>
        </w:rPr>
      </w:pPr>
      <w:r w:rsidRPr="00012278">
        <w:rPr>
          <w:i/>
          <w:iCs/>
          <w:szCs w:val="22"/>
          <w:u w:val="single"/>
          <w:lang w:val="sr-Latn-ME"/>
        </w:rPr>
        <w:t>Fenotipska karakterizacija nedostatka DPD-a</w:t>
      </w:r>
    </w:p>
    <w:p w14:paraId="3A364981" w14:textId="045A3FBC" w:rsidR="006140B9" w:rsidRPr="00012278" w:rsidRDefault="006140B9" w:rsidP="002B4BD7">
      <w:pPr>
        <w:jc w:val="both"/>
        <w:rPr>
          <w:iCs/>
          <w:szCs w:val="22"/>
          <w:lang w:val="sr-Latn-ME"/>
        </w:rPr>
      </w:pPr>
      <w:r w:rsidRPr="00012278">
        <w:rPr>
          <w:iCs/>
          <w:szCs w:val="22"/>
          <w:lang w:val="sr-Latn-ME"/>
        </w:rPr>
        <w:t xml:space="preserve">Za fenotipsku karakterizaciju nedostatka DPD-a, preporučuje se mjerenje nivoa </w:t>
      </w:r>
      <w:r w:rsidR="001C1B42" w:rsidRPr="00012278">
        <w:rPr>
          <w:iCs/>
          <w:szCs w:val="22"/>
          <w:lang w:val="sr-Latn-ME"/>
        </w:rPr>
        <w:t xml:space="preserve">uracila (U), koji je </w:t>
      </w:r>
      <w:r w:rsidRPr="00012278">
        <w:rPr>
          <w:iCs/>
          <w:szCs w:val="22"/>
          <w:lang w:val="sr-Latn-ME"/>
        </w:rPr>
        <w:t>endogen</w:t>
      </w:r>
      <w:r w:rsidR="001C1B42" w:rsidRPr="00012278">
        <w:rPr>
          <w:iCs/>
          <w:szCs w:val="22"/>
          <w:lang w:val="sr-Latn-ME"/>
        </w:rPr>
        <w:t>i</w:t>
      </w:r>
      <w:r w:rsidRPr="00012278">
        <w:rPr>
          <w:iCs/>
          <w:szCs w:val="22"/>
          <w:lang w:val="sr-Latn-ME"/>
        </w:rPr>
        <w:t xml:space="preserve"> supstrat</w:t>
      </w:r>
      <w:r w:rsidR="001C1B42" w:rsidRPr="00012278">
        <w:rPr>
          <w:iCs/>
          <w:szCs w:val="22"/>
          <w:lang w:val="sr-Latn-ME"/>
        </w:rPr>
        <w:t xml:space="preserve"> za </w:t>
      </w:r>
      <w:r w:rsidRPr="00012278">
        <w:rPr>
          <w:iCs/>
          <w:szCs w:val="22"/>
          <w:lang w:val="sr-Latn-ME"/>
        </w:rPr>
        <w:t>DPD-a,  u plazmi prije započinjanja terapije.</w:t>
      </w:r>
    </w:p>
    <w:p w14:paraId="4FAEBE44" w14:textId="77777777" w:rsidR="006140B9" w:rsidRPr="00012278" w:rsidRDefault="006140B9" w:rsidP="002B4BD7">
      <w:pPr>
        <w:jc w:val="both"/>
        <w:rPr>
          <w:iCs/>
          <w:szCs w:val="22"/>
          <w:lang w:val="sr-Latn-ME"/>
        </w:rPr>
      </w:pPr>
    </w:p>
    <w:p w14:paraId="7DC61FD3" w14:textId="6A3A8C73" w:rsidR="006140B9" w:rsidRPr="00012278" w:rsidRDefault="006140B9" w:rsidP="002B4BD7">
      <w:pPr>
        <w:jc w:val="both"/>
        <w:rPr>
          <w:iCs/>
          <w:szCs w:val="22"/>
          <w:lang w:val="sr-Latn-ME"/>
        </w:rPr>
      </w:pPr>
      <w:r w:rsidRPr="00012278">
        <w:rPr>
          <w:iCs/>
          <w:szCs w:val="22"/>
          <w:lang w:val="sr-Latn-ME"/>
        </w:rPr>
        <w:t xml:space="preserve">Povišene koncentracije uracila prije terapije povezane su sa povećanim rizikom od toksičnosti. Uprkos nesigurnostima oko pragova uracila koji definišu potpuni i djelimični nedostatak DPD-a, nivo uracila u krvi ≥ 16 ng/ml i &lt; 150 ng/ml treba smatrati indikativnim za djelimični nedostatak DPD-a </w:t>
      </w:r>
      <w:r w:rsidR="001C1B42" w:rsidRPr="00012278">
        <w:rPr>
          <w:iCs/>
          <w:szCs w:val="22"/>
          <w:lang w:val="sr-Latn-ME"/>
        </w:rPr>
        <w:t xml:space="preserve">koji je </w:t>
      </w:r>
      <w:r w:rsidRPr="00012278">
        <w:rPr>
          <w:iCs/>
          <w:szCs w:val="22"/>
          <w:lang w:val="sr-Latn-ME"/>
        </w:rPr>
        <w:lastRenderedPageBreak/>
        <w:t xml:space="preserve">povezan sa povećanim rizikom od toksičnosti fluoropirimidina. Nivo uracila u krvi ≥ 150 ng/ml treba smatrati pokazateljem potpunog nedostatka DPD-a </w:t>
      </w:r>
      <w:r w:rsidR="001C1B42" w:rsidRPr="00012278">
        <w:rPr>
          <w:iCs/>
          <w:szCs w:val="22"/>
          <w:lang w:val="sr-Latn-ME"/>
        </w:rPr>
        <w:t>koji je povezan</w:t>
      </w:r>
      <w:r w:rsidRPr="00012278">
        <w:rPr>
          <w:iCs/>
          <w:szCs w:val="22"/>
          <w:lang w:val="sr-Latn-ME"/>
        </w:rPr>
        <w:t xml:space="preserve"> sa rizikom od po život opasne ili smrtne toksičnosti fluoropirimidina.</w:t>
      </w:r>
    </w:p>
    <w:p w14:paraId="34BFDBC9" w14:textId="77777777" w:rsidR="006140B9" w:rsidRPr="00012278" w:rsidRDefault="006140B9" w:rsidP="002B4BD7">
      <w:pPr>
        <w:jc w:val="both"/>
        <w:rPr>
          <w:iCs/>
          <w:szCs w:val="22"/>
          <w:lang w:val="sr-Latn-ME"/>
        </w:rPr>
      </w:pPr>
    </w:p>
    <w:p w14:paraId="3F5F8ADB" w14:textId="77777777" w:rsidR="006140B9" w:rsidRPr="00012278" w:rsidRDefault="006140B9" w:rsidP="006140B9">
      <w:pPr>
        <w:rPr>
          <w:i/>
          <w:iCs/>
          <w:szCs w:val="22"/>
          <w:lang w:val="sr-Latn-ME"/>
        </w:rPr>
      </w:pPr>
      <w:r w:rsidRPr="00012278">
        <w:rPr>
          <w:i/>
          <w:iCs/>
          <w:szCs w:val="22"/>
          <w:lang w:val="sr-Latn-ME"/>
        </w:rPr>
        <w:t>Oftalmološke komplikacije</w:t>
      </w:r>
    </w:p>
    <w:p w14:paraId="4F5ECF6C" w14:textId="32F3D54E" w:rsidR="006140B9" w:rsidRPr="00012278" w:rsidRDefault="006140B9" w:rsidP="002B4BD7">
      <w:pPr>
        <w:jc w:val="both"/>
        <w:rPr>
          <w:szCs w:val="22"/>
          <w:lang w:val="sr-Latn-ME"/>
        </w:rPr>
      </w:pPr>
      <w:r w:rsidRPr="00012278">
        <w:rPr>
          <w:szCs w:val="22"/>
          <w:lang w:val="sr-Latn-ME"/>
        </w:rPr>
        <w:t>Pacijente treba pažljivo pratiti zbog moguće pojave oftalmoloških komplikacija, kao što su keratitis i kornealni poremećaji, pos</w:t>
      </w:r>
      <w:r w:rsidR="00A0423B" w:rsidRPr="00012278">
        <w:rPr>
          <w:szCs w:val="22"/>
          <w:lang w:val="sr-Latn-ME"/>
        </w:rPr>
        <w:t>e</w:t>
      </w:r>
      <w:r w:rsidRPr="00012278">
        <w:rPr>
          <w:szCs w:val="22"/>
          <w:lang w:val="sr-Latn-ME"/>
        </w:rPr>
        <w:t>bno ako imaju poremećaje oka u anamnezi. Liječenje poremećaja na nivou oka treba započeti u skladu sa kliničkim preporukama.</w:t>
      </w:r>
    </w:p>
    <w:p w14:paraId="0348303D" w14:textId="77777777" w:rsidR="006140B9" w:rsidRPr="00012278" w:rsidRDefault="006140B9" w:rsidP="002B4BD7">
      <w:pPr>
        <w:jc w:val="both"/>
        <w:rPr>
          <w:szCs w:val="22"/>
          <w:lang w:val="sr-Latn-ME"/>
        </w:rPr>
      </w:pPr>
    </w:p>
    <w:p w14:paraId="036F4B03" w14:textId="77777777" w:rsidR="006140B9" w:rsidRPr="00012278" w:rsidRDefault="006140B9" w:rsidP="002B4BD7">
      <w:pPr>
        <w:jc w:val="both"/>
        <w:rPr>
          <w:i/>
          <w:iCs/>
          <w:szCs w:val="22"/>
          <w:lang w:val="sr-Latn-ME"/>
        </w:rPr>
      </w:pPr>
      <w:r w:rsidRPr="00012278">
        <w:rPr>
          <w:i/>
          <w:iCs/>
          <w:szCs w:val="22"/>
          <w:lang w:val="sr-Latn-ME"/>
        </w:rPr>
        <w:t>Teške kožne reakcije</w:t>
      </w:r>
    </w:p>
    <w:p w14:paraId="5F9D6411" w14:textId="06B13074" w:rsidR="006140B9" w:rsidRPr="00012278" w:rsidRDefault="00BF544B" w:rsidP="002B4BD7">
      <w:pPr>
        <w:jc w:val="both"/>
        <w:rPr>
          <w:szCs w:val="22"/>
          <w:lang w:val="sr-Latn-ME"/>
        </w:rPr>
      </w:pPr>
      <w:r w:rsidRPr="00012278">
        <w:rPr>
          <w:szCs w:val="22"/>
          <w:lang w:val="sr-Latn-ME"/>
        </w:rPr>
        <w:t xml:space="preserve">Lijek Ecansya </w:t>
      </w:r>
      <w:r w:rsidR="006140B9" w:rsidRPr="00012278">
        <w:rPr>
          <w:szCs w:val="22"/>
          <w:lang w:val="sr-Latn-ME"/>
        </w:rPr>
        <w:t xml:space="preserve">može izazvati  teške kožne reakcije, kao što su </w:t>
      </w:r>
      <w:r w:rsidR="006140B9" w:rsidRPr="00012278">
        <w:rPr>
          <w:i/>
          <w:szCs w:val="22"/>
          <w:lang w:val="sr-Latn-ME"/>
        </w:rPr>
        <w:t>Stevens- Johnson-ov</w:t>
      </w:r>
      <w:r w:rsidR="006140B9" w:rsidRPr="00012278">
        <w:rPr>
          <w:szCs w:val="22"/>
          <w:lang w:val="sr-Latn-ME"/>
        </w:rPr>
        <w:t xml:space="preserve"> sindrom i toksična epidermalna nekroliza. </w:t>
      </w:r>
      <w:r w:rsidRPr="00012278">
        <w:rPr>
          <w:szCs w:val="22"/>
          <w:lang w:val="sr-Latn-ME"/>
        </w:rPr>
        <w:t xml:space="preserve">Lijek Ecansya </w:t>
      </w:r>
      <w:r w:rsidR="006140B9" w:rsidRPr="00012278">
        <w:rPr>
          <w:szCs w:val="22"/>
          <w:lang w:val="sr-Latn-ME"/>
        </w:rPr>
        <w:t>treba trajno obustaviti kod pacijenata koji dožive tešku kožnu reakciju tokom liječenja.</w:t>
      </w:r>
    </w:p>
    <w:p w14:paraId="3414D6EE" w14:textId="77777777" w:rsidR="006140B9" w:rsidRPr="00012278" w:rsidRDefault="006140B9" w:rsidP="002B4BD7">
      <w:pPr>
        <w:jc w:val="both"/>
        <w:rPr>
          <w:szCs w:val="22"/>
          <w:lang w:val="sr-Latn-ME"/>
        </w:rPr>
      </w:pPr>
    </w:p>
    <w:p w14:paraId="1E862F32" w14:textId="1FFDF7CD" w:rsidR="006140B9" w:rsidRPr="00012278" w:rsidRDefault="006140B9" w:rsidP="002B4BD7">
      <w:pPr>
        <w:jc w:val="both"/>
        <w:rPr>
          <w:szCs w:val="22"/>
          <w:lang w:val="sr-Latn-ME"/>
        </w:rPr>
      </w:pPr>
      <w:r w:rsidRPr="00012278">
        <w:rPr>
          <w:szCs w:val="22"/>
          <w:lang w:val="sr-Latn-ME"/>
        </w:rPr>
        <w:t>S obzirom na to da ovaj lijek kao pomoćnu supstancu sadrži laktozu, pacijenti koji boluju od rijetkog nasljednog oboljenja intolerancije galaktoz</w:t>
      </w:r>
      <w:r w:rsidR="00892233" w:rsidRPr="00012278">
        <w:rPr>
          <w:szCs w:val="22"/>
          <w:lang w:val="sr-Latn-ME"/>
        </w:rPr>
        <w:t>e</w:t>
      </w:r>
      <w:r w:rsidRPr="00012278">
        <w:rPr>
          <w:szCs w:val="22"/>
          <w:lang w:val="sr-Latn-ME"/>
        </w:rPr>
        <w:t>, potpune deficijencije laktaze ili glukozno-galaktozne malapsorpcije ne smiju koristiti ovaj lijek.</w:t>
      </w:r>
    </w:p>
    <w:p w14:paraId="1CCD56A0" w14:textId="77777777" w:rsidR="006140B9" w:rsidRPr="00012278" w:rsidRDefault="006140B9" w:rsidP="002B4BD7">
      <w:pPr>
        <w:jc w:val="both"/>
        <w:rPr>
          <w:szCs w:val="22"/>
          <w:lang w:val="sr-Latn-ME"/>
        </w:rPr>
      </w:pPr>
    </w:p>
    <w:p w14:paraId="0C80FA37" w14:textId="05402712" w:rsidR="006140B9" w:rsidRPr="00012278" w:rsidRDefault="0060414B" w:rsidP="002B4BD7">
      <w:pPr>
        <w:jc w:val="both"/>
        <w:rPr>
          <w:szCs w:val="22"/>
          <w:lang w:val="sr-Latn-ME"/>
        </w:rPr>
      </w:pPr>
      <w:r w:rsidRPr="00012278">
        <w:rPr>
          <w:szCs w:val="22"/>
          <w:lang w:val="sr-Latn-ME"/>
        </w:rPr>
        <w:t>Lijek Ecansya</w:t>
      </w:r>
      <w:r w:rsidR="006140B9" w:rsidRPr="00012278">
        <w:rPr>
          <w:szCs w:val="22"/>
          <w:lang w:val="sr-Latn-ME"/>
        </w:rPr>
        <w:t xml:space="preserve"> tablete se ne smiju drobiti ili sjeći. U slučaju izloženosti pacijenta ili njegovatelja izdrobljen</w:t>
      </w:r>
      <w:r w:rsidRPr="00012278">
        <w:rPr>
          <w:szCs w:val="22"/>
          <w:lang w:val="sr-Latn-ME"/>
        </w:rPr>
        <w:t xml:space="preserve">om ili </w:t>
      </w:r>
      <w:r w:rsidR="00892233" w:rsidRPr="00012278">
        <w:rPr>
          <w:szCs w:val="22"/>
          <w:lang w:val="sr-Latn-ME"/>
        </w:rPr>
        <w:t>prelomljenim</w:t>
      </w:r>
      <w:r w:rsidRPr="00012278">
        <w:rPr>
          <w:szCs w:val="22"/>
          <w:lang w:val="sr-Latn-ME"/>
        </w:rPr>
        <w:t xml:space="preserve">  Ecansya</w:t>
      </w:r>
      <w:r w:rsidR="006140B9" w:rsidRPr="00012278">
        <w:rPr>
          <w:szCs w:val="22"/>
          <w:lang w:val="sr-Latn-ME"/>
        </w:rPr>
        <w:t xml:space="preserve"> tableta</w:t>
      </w:r>
      <w:r w:rsidR="00892233" w:rsidRPr="00012278">
        <w:rPr>
          <w:szCs w:val="22"/>
          <w:lang w:val="sr-Latn-ME"/>
        </w:rPr>
        <w:t>ma</w:t>
      </w:r>
      <w:r w:rsidR="006140B9" w:rsidRPr="00012278">
        <w:rPr>
          <w:szCs w:val="22"/>
          <w:lang w:val="sr-Latn-ME"/>
        </w:rPr>
        <w:t xml:space="preserve">, mogu se pojaviti neželjene reakcije (vidjeti </w:t>
      </w:r>
      <w:r w:rsidR="00892233" w:rsidRPr="00012278">
        <w:rPr>
          <w:szCs w:val="22"/>
          <w:lang w:val="sr-Latn-ME"/>
        </w:rPr>
        <w:t xml:space="preserve">dio </w:t>
      </w:r>
      <w:r w:rsidR="006140B9" w:rsidRPr="00012278">
        <w:rPr>
          <w:szCs w:val="22"/>
          <w:lang w:val="sr-Latn-ME"/>
        </w:rPr>
        <w:t>4.8).</w:t>
      </w:r>
    </w:p>
    <w:p w14:paraId="4B0BCB66" w14:textId="77777777" w:rsidR="006140B9" w:rsidRPr="00012278" w:rsidRDefault="006140B9" w:rsidP="002B4BD7">
      <w:pPr>
        <w:jc w:val="both"/>
        <w:rPr>
          <w:b/>
          <w:bCs/>
          <w:szCs w:val="22"/>
          <w:lang w:val="sr-Latn-ME"/>
        </w:rPr>
      </w:pPr>
    </w:p>
    <w:p w14:paraId="1E86E378" w14:textId="77777777" w:rsidR="006140B9" w:rsidRPr="00012278" w:rsidRDefault="006140B9" w:rsidP="002B4BD7">
      <w:pPr>
        <w:pStyle w:val="Heading1"/>
        <w:jc w:val="both"/>
        <w:rPr>
          <w:szCs w:val="22"/>
        </w:rPr>
      </w:pPr>
      <w:r w:rsidRPr="00012278">
        <w:rPr>
          <w:szCs w:val="22"/>
        </w:rPr>
        <w:t>4.5.    Interakcije sa drugim ljekovima i druge vrste interakcija</w:t>
      </w:r>
    </w:p>
    <w:p w14:paraId="37D13D26" w14:textId="77777777" w:rsidR="006140B9" w:rsidRPr="00012278" w:rsidRDefault="006140B9" w:rsidP="002B4BD7">
      <w:pPr>
        <w:jc w:val="both"/>
        <w:rPr>
          <w:szCs w:val="22"/>
          <w:lang w:val="sr-Latn-ME"/>
        </w:rPr>
      </w:pPr>
    </w:p>
    <w:p w14:paraId="7123AA60" w14:textId="77777777" w:rsidR="006140B9" w:rsidRPr="00012278" w:rsidRDefault="006140B9" w:rsidP="002B4BD7">
      <w:pPr>
        <w:jc w:val="both"/>
        <w:rPr>
          <w:szCs w:val="22"/>
          <w:lang w:val="sr-Latn-ME"/>
        </w:rPr>
      </w:pPr>
      <w:r w:rsidRPr="00012278">
        <w:rPr>
          <w:szCs w:val="22"/>
          <w:lang w:val="sr-Latn-ME"/>
        </w:rPr>
        <w:t>Ispitivanja interakcija rađena su samo na odraslim pacijentima.</w:t>
      </w:r>
    </w:p>
    <w:p w14:paraId="004C2156" w14:textId="77777777" w:rsidR="006140B9" w:rsidRPr="00012278" w:rsidRDefault="006140B9" w:rsidP="002B4BD7">
      <w:pPr>
        <w:jc w:val="both"/>
        <w:rPr>
          <w:szCs w:val="22"/>
          <w:lang w:val="sr-Latn-ME"/>
        </w:rPr>
      </w:pPr>
    </w:p>
    <w:p w14:paraId="03A7887C" w14:textId="77777777" w:rsidR="006140B9" w:rsidRPr="00012278" w:rsidRDefault="006140B9" w:rsidP="002B4BD7">
      <w:pPr>
        <w:jc w:val="both"/>
        <w:rPr>
          <w:i/>
          <w:szCs w:val="22"/>
          <w:lang w:val="sr-Latn-ME"/>
        </w:rPr>
      </w:pPr>
      <w:r w:rsidRPr="00012278">
        <w:rPr>
          <w:szCs w:val="22"/>
          <w:u w:val="single"/>
          <w:lang w:val="sr-Latn-ME"/>
        </w:rPr>
        <w:t>Interakcije sa drugim ljekovima</w:t>
      </w:r>
      <w:r w:rsidRPr="00012278">
        <w:rPr>
          <w:i/>
          <w:szCs w:val="22"/>
          <w:lang w:val="sr-Latn-ME"/>
        </w:rPr>
        <w:t xml:space="preserve"> </w:t>
      </w:r>
    </w:p>
    <w:p w14:paraId="4D2B9EEA" w14:textId="77777777" w:rsidR="006140B9" w:rsidRPr="00012278" w:rsidRDefault="006140B9" w:rsidP="002B4BD7">
      <w:pPr>
        <w:jc w:val="both"/>
        <w:rPr>
          <w:i/>
          <w:szCs w:val="22"/>
          <w:lang w:val="sr-Latn-ME"/>
        </w:rPr>
      </w:pPr>
    </w:p>
    <w:p w14:paraId="1D7C631E" w14:textId="6737B0EB" w:rsidR="006140B9" w:rsidRPr="00012278" w:rsidRDefault="006140B9" w:rsidP="002B4BD7">
      <w:pPr>
        <w:jc w:val="both"/>
        <w:rPr>
          <w:szCs w:val="22"/>
          <w:lang w:val="sr-Latn-ME"/>
        </w:rPr>
      </w:pPr>
      <w:r w:rsidRPr="00012278">
        <w:rPr>
          <w:i/>
          <w:szCs w:val="22"/>
          <w:lang w:val="sr-Latn-ME"/>
        </w:rPr>
        <w:t xml:space="preserve">Brivudin: </w:t>
      </w:r>
      <w:r w:rsidRPr="00012278">
        <w:rPr>
          <w:szCs w:val="22"/>
          <w:lang w:val="sr-Latn-ME"/>
        </w:rPr>
        <w:t>opisana je</w:t>
      </w:r>
      <w:r w:rsidR="00892233" w:rsidRPr="00012278">
        <w:rPr>
          <w:szCs w:val="22"/>
          <w:lang w:val="sr-Latn-ME"/>
        </w:rPr>
        <w:t xml:space="preserve"> u literaturi</w:t>
      </w:r>
      <w:r w:rsidRPr="00012278">
        <w:rPr>
          <w:szCs w:val="22"/>
          <w:lang w:val="sr-Latn-ME"/>
        </w:rPr>
        <w:t xml:space="preserve"> klinički značajna interakcija između brivudina i fluoropirimidina (npr. kapecitabin, 5-fluorouracil, tegafur), kao rezultat inhibicije dihidropirimidin dehidrogenaze od strane brivudina. Ova interakcija, koja dovodi do povećane toksičnost</w:t>
      </w:r>
      <w:r w:rsidR="00892233" w:rsidRPr="00012278">
        <w:rPr>
          <w:szCs w:val="22"/>
          <w:lang w:val="sr-Latn-ME"/>
        </w:rPr>
        <w:t>i</w:t>
      </w:r>
      <w:r w:rsidRPr="00012278">
        <w:rPr>
          <w:szCs w:val="22"/>
          <w:lang w:val="sr-Latn-ME"/>
        </w:rPr>
        <w:t xml:space="preserve"> fluoropirimidina, potencijalno je fatalna. Stoga</w:t>
      </w:r>
      <w:r w:rsidR="00892233" w:rsidRPr="00012278">
        <w:rPr>
          <w:szCs w:val="22"/>
          <w:lang w:val="sr-Latn-ME"/>
        </w:rPr>
        <w:t xml:space="preserve"> se </w:t>
      </w:r>
      <w:r w:rsidRPr="00012278">
        <w:rPr>
          <w:szCs w:val="22"/>
          <w:lang w:val="sr-Latn-ME"/>
        </w:rPr>
        <w:t xml:space="preserve"> brivudin  ne smije primjenjivati istovremeno sa kapecitabinom (vidjeti </w:t>
      </w:r>
      <w:r w:rsidR="00892233" w:rsidRPr="00012278">
        <w:rPr>
          <w:szCs w:val="22"/>
          <w:lang w:val="sr-Latn-ME"/>
        </w:rPr>
        <w:t xml:space="preserve">djelove </w:t>
      </w:r>
      <w:r w:rsidRPr="00012278">
        <w:rPr>
          <w:szCs w:val="22"/>
          <w:lang w:val="sr-Latn-ME"/>
        </w:rPr>
        <w:t xml:space="preserve">4.3 i 4.4). Mora postojati period od najmanje 4 nedjelje pauze između završetka tretmana brivudinom i početka terapije kapecitabinom. </w:t>
      </w:r>
      <w:r w:rsidR="00892233" w:rsidRPr="00012278">
        <w:rPr>
          <w:szCs w:val="22"/>
          <w:lang w:val="sr-Latn-ME"/>
        </w:rPr>
        <w:t xml:space="preserve">Liječenje </w:t>
      </w:r>
      <w:r w:rsidRPr="00012278">
        <w:rPr>
          <w:szCs w:val="22"/>
          <w:lang w:val="sr-Latn-ME"/>
        </w:rPr>
        <w:t>brivudinom se može započeti 24 sata nakon posljednje doze kapecitabina.</w:t>
      </w:r>
    </w:p>
    <w:p w14:paraId="47F33D01" w14:textId="77777777" w:rsidR="006140B9" w:rsidRPr="00012278" w:rsidRDefault="006140B9" w:rsidP="002B4BD7">
      <w:pPr>
        <w:jc w:val="both"/>
        <w:rPr>
          <w:i/>
          <w:iCs/>
          <w:szCs w:val="22"/>
          <w:lang w:val="sr-Latn-ME"/>
        </w:rPr>
      </w:pPr>
    </w:p>
    <w:p w14:paraId="597837AA" w14:textId="5E8B2852" w:rsidR="006140B9" w:rsidRPr="00012278" w:rsidRDefault="006140B9" w:rsidP="002B4BD7">
      <w:pPr>
        <w:jc w:val="both"/>
        <w:rPr>
          <w:szCs w:val="22"/>
          <w:lang w:val="sr-Latn-ME"/>
        </w:rPr>
      </w:pPr>
      <w:r w:rsidRPr="00012278">
        <w:rPr>
          <w:i/>
          <w:iCs/>
          <w:szCs w:val="22"/>
          <w:lang w:val="sr-Latn-ME"/>
        </w:rPr>
        <w:t xml:space="preserve">Supstrati izoenzima 2C9 citohroma P450: </w:t>
      </w:r>
      <w:r w:rsidRPr="00012278">
        <w:rPr>
          <w:szCs w:val="22"/>
          <w:lang w:val="sr-Latn-ME"/>
        </w:rPr>
        <w:t>osim sa varfarinom, nema sprovedenih ispitivanja interakcije između kapecitabina i drugih CYP2C9 supstrata. Potrebno je obratiti pažnju kada se kapecitabin primjenjuje istovremeno sa 2C9 supstratima (npr. fenitoinom). Vidjeti takođe interakcije sa antikoagulansima koji su derivati kumarina</w:t>
      </w:r>
      <w:r w:rsidR="00892233" w:rsidRPr="00012278">
        <w:rPr>
          <w:szCs w:val="22"/>
          <w:lang w:val="sr-Latn-ME"/>
        </w:rPr>
        <w:t>,</w:t>
      </w:r>
      <w:r w:rsidRPr="00012278">
        <w:rPr>
          <w:szCs w:val="22"/>
          <w:lang w:val="sr-Latn-ME"/>
        </w:rPr>
        <w:t xml:space="preserve"> niže navedene, i </w:t>
      </w:r>
      <w:r w:rsidR="00892233" w:rsidRPr="00012278">
        <w:rPr>
          <w:szCs w:val="22"/>
          <w:lang w:val="sr-Latn-ME"/>
        </w:rPr>
        <w:t xml:space="preserve">dio </w:t>
      </w:r>
      <w:r w:rsidRPr="00012278">
        <w:rPr>
          <w:szCs w:val="22"/>
          <w:lang w:val="sr-Latn-ME"/>
        </w:rPr>
        <w:t xml:space="preserve">4.4. </w:t>
      </w:r>
    </w:p>
    <w:p w14:paraId="73FC489A" w14:textId="77777777" w:rsidR="006140B9" w:rsidRPr="00012278" w:rsidRDefault="006140B9" w:rsidP="002B4BD7">
      <w:pPr>
        <w:jc w:val="both"/>
        <w:rPr>
          <w:szCs w:val="22"/>
          <w:lang w:val="sr-Latn-ME"/>
        </w:rPr>
      </w:pPr>
    </w:p>
    <w:p w14:paraId="307A1F9A" w14:textId="08F3FB81" w:rsidR="006140B9" w:rsidRPr="00012278" w:rsidRDefault="006140B9" w:rsidP="002B4BD7">
      <w:pPr>
        <w:jc w:val="both"/>
        <w:rPr>
          <w:szCs w:val="22"/>
          <w:lang w:val="sr-Latn-ME"/>
        </w:rPr>
      </w:pPr>
      <w:r w:rsidRPr="00012278">
        <w:rPr>
          <w:i/>
          <w:szCs w:val="22"/>
          <w:lang w:val="sr-Latn-ME"/>
        </w:rPr>
        <w:t>Kumarinski antikoagulansi</w:t>
      </w:r>
      <w:r w:rsidRPr="00012278">
        <w:rPr>
          <w:szCs w:val="22"/>
          <w:lang w:val="sr-Latn-ME"/>
        </w:rPr>
        <w:t>: promijenjeni parametri koagulacije i/ili krvarenja zabilježeni su kod pacijenata koji uzimaju kapecitabin istovremeno sa antikoagulansima koji su derivati kumarina, kao što su varfarin i fenprokumon. Ove reakcije su se javljale nekoliko dana do nekoliko mjeseci po započinjanju terapije kapecitabinom i, u nekoliko slučajeva, u roku od mjesec dana nakon prestanka primjene kapecitabina. U jednom kliničkom ispitivanju farmakokineti</w:t>
      </w:r>
      <w:r w:rsidR="00892233" w:rsidRPr="00012278">
        <w:rPr>
          <w:szCs w:val="22"/>
          <w:lang w:val="sr-Latn-ME"/>
        </w:rPr>
        <w:t>čke</w:t>
      </w:r>
      <w:r w:rsidRPr="00012278">
        <w:rPr>
          <w:szCs w:val="22"/>
          <w:lang w:val="sr-Latn-ME"/>
        </w:rPr>
        <w:t xml:space="preserve"> interakcij</w:t>
      </w:r>
      <w:r w:rsidR="00892233" w:rsidRPr="00012278">
        <w:rPr>
          <w:szCs w:val="22"/>
          <w:lang w:val="sr-Latn-ME"/>
        </w:rPr>
        <w:t>e</w:t>
      </w:r>
      <w:r w:rsidRPr="00012278">
        <w:rPr>
          <w:szCs w:val="22"/>
          <w:lang w:val="sr-Latn-ME"/>
        </w:rPr>
        <w:t>, nakon jednokratne doze varfarina od 20 mg, terapija kapecitabinom poveća</w:t>
      </w:r>
      <w:r w:rsidR="00892233" w:rsidRPr="00012278">
        <w:rPr>
          <w:szCs w:val="22"/>
          <w:lang w:val="sr-Latn-ME"/>
        </w:rPr>
        <w:t xml:space="preserve">la je </w:t>
      </w:r>
      <w:r w:rsidRPr="00012278">
        <w:rPr>
          <w:szCs w:val="22"/>
          <w:lang w:val="sr-Latn-ME"/>
        </w:rPr>
        <w:t xml:space="preserve"> PIK S-varfarina za 57%, a vrijednost INR za 91%. Budući da metabolizam R-varfarina nije promijenjen, ovi rezultati govore da kapecitabin suprimira izoenzim 2C9, ali nema dejstva na izoenzime 1A2 i 3A4. Pacijentima koji uzimaju antikoagulanse koji su derivati kumarina paralelno sa kapecitabinom, treba redovno pratiti promjene u parametrima koagulacije (PT ili INR) i u skladu sa tim prilagoditi dozu antikoagulansa. </w:t>
      </w:r>
    </w:p>
    <w:p w14:paraId="581B20E6" w14:textId="77777777" w:rsidR="006140B9" w:rsidRPr="00012278" w:rsidRDefault="006140B9" w:rsidP="002B4BD7">
      <w:pPr>
        <w:jc w:val="both"/>
        <w:rPr>
          <w:szCs w:val="22"/>
          <w:lang w:val="sr-Latn-ME"/>
        </w:rPr>
      </w:pPr>
    </w:p>
    <w:p w14:paraId="23C9FC1C" w14:textId="77777777" w:rsidR="006140B9" w:rsidRPr="00012278" w:rsidRDefault="006140B9" w:rsidP="002B4BD7">
      <w:pPr>
        <w:jc w:val="both"/>
        <w:rPr>
          <w:szCs w:val="22"/>
          <w:lang w:val="sr-Latn-ME"/>
        </w:rPr>
      </w:pPr>
      <w:r w:rsidRPr="00012278">
        <w:rPr>
          <w:i/>
          <w:szCs w:val="22"/>
          <w:lang w:val="sr-Latn-ME"/>
        </w:rPr>
        <w:t>Fenitoin</w:t>
      </w:r>
      <w:r w:rsidRPr="00012278">
        <w:rPr>
          <w:szCs w:val="22"/>
          <w:lang w:val="sr-Latn-ME"/>
        </w:rPr>
        <w:t xml:space="preserve">: povećana koncentracija fenitoina u plazmi koja je u izolovanim slučajevima dovela do simptoma intoksikacije fenitoinom zabilježena je tokom istovremene upotrebe kapecitabina i fenitoina. Pacijentima koji uzimaju paralelno kapecitabin i fenitoin treba redovno pratiti porast koncentracije fenitoina u plazmi. </w:t>
      </w:r>
    </w:p>
    <w:p w14:paraId="16D98EDF" w14:textId="77777777" w:rsidR="006140B9" w:rsidRPr="00012278" w:rsidRDefault="006140B9" w:rsidP="002B4BD7">
      <w:pPr>
        <w:jc w:val="both"/>
        <w:rPr>
          <w:szCs w:val="22"/>
          <w:lang w:val="sr-Latn-ME"/>
        </w:rPr>
      </w:pPr>
    </w:p>
    <w:p w14:paraId="334ACC8A" w14:textId="7D31F377" w:rsidR="006140B9" w:rsidRPr="00012278" w:rsidRDefault="006140B9" w:rsidP="002B4BD7">
      <w:pPr>
        <w:jc w:val="both"/>
        <w:rPr>
          <w:szCs w:val="22"/>
          <w:lang w:val="sr-Latn-ME"/>
        </w:rPr>
      </w:pPr>
      <w:r w:rsidRPr="00012278">
        <w:rPr>
          <w:i/>
          <w:szCs w:val="22"/>
          <w:lang w:val="sr-Latn-ME"/>
        </w:rPr>
        <w:lastRenderedPageBreak/>
        <w:t>Folinska kiselina/folna kiselina</w:t>
      </w:r>
      <w:r w:rsidRPr="00012278">
        <w:rPr>
          <w:szCs w:val="22"/>
          <w:lang w:val="sr-Latn-ME"/>
        </w:rPr>
        <w:t>: ispitivanje kombinovane primjene kapecitabina i folinske kiseline govore da folinska kiselina nema većeg uticaja na farmakokinetiku kapecitabina i nje</w:t>
      </w:r>
      <w:r w:rsidR="00892233" w:rsidRPr="00012278">
        <w:rPr>
          <w:szCs w:val="22"/>
          <w:lang w:val="sr-Latn-ME"/>
        </w:rPr>
        <w:t>govih</w:t>
      </w:r>
      <w:r w:rsidRPr="00012278">
        <w:rPr>
          <w:szCs w:val="22"/>
          <w:lang w:val="sr-Latn-ME"/>
        </w:rPr>
        <w:t xml:space="preserve"> metabolita. Međutim, folinska kiselina ima dejstva na farmakodinamiku kapecitabina</w:t>
      </w:r>
      <w:r w:rsidR="002B158D" w:rsidRPr="00012278">
        <w:rPr>
          <w:szCs w:val="22"/>
          <w:lang w:val="sr-Latn-ME"/>
        </w:rPr>
        <w:t>, te njegova toksičnost može biti povećana folinskom kiselinom</w:t>
      </w:r>
      <w:r w:rsidRPr="00012278">
        <w:rPr>
          <w:szCs w:val="22"/>
          <w:lang w:val="sr-Latn-ME"/>
        </w:rPr>
        <w:t>: maksimalna tolerisana doza (MTD-</w:t>
      </w:r>
      <w:r w:rsidRPr="00012278">
        <w:rPr>
          <w:i/>
          <w:szCs w:val="22"/>
          <w:lang w:val="sr-Latn-ME"/>
        </w:rPr>
        <w:t>Maximum tolerated</w:t>
      </w:r>
      <w:r w:rsidRPr="00012278">
        <w:rPr>
          <w:szCs w:val="22"/>
          <w:lang w:val="sr-Latn-ME"/>
        </w:rPr>
        <w:t xml:space="preserve"> </w:t>
      </w:r>
      <w:r w:rsidRPr="00012278">
        <w:rPr>
          <w:i/>
          <w:szCs w:val="22"/>
          <w:lang w:val="sr-Latn-ME"/>
        </w:rPr>
        <w:t>dose</w:t>
      </w:r>
      <w:r w:rsidRPr="00012278">
        <w:rPr>
          <w:szCs w:val="22"/>
          <w:lang w:val="sr-Latn-ME"/>
        </w:rPr>
        <w:t>) kapecitabina u monoterapiji i intermitentnom liječenju iznosi 3000 mg/m</w:t>
      </w:r>
      <w:r w:rsidRPr="00012278">
        <w:rPr>
          <w:szCs w:val="22"/>
          <w:vertAlign w:val="superscript"/>
          <w:lang w:val="sr-Latn-ME"/>
        </w:rPr>
        <w:t>2</w:t>
      </w:r>
      <w:r w:rsidRPr="00012278">
        <w:rPr>
          <w:szCs w:val="22"/>
          <w:lang w:val="sr-Latn-ME"/>
        </w:rPr>
        <w:t xml:space="preserve"> dnevno, dok je 2000 mg/m</w:t>
      </w:r>
      <w:r w:rsidRPr="00012278">
        <w:rPr>
          <w:szCs w:val="22"/>
          <w:vertAlign w:val="superscript"/>
          <w:lang w:val="sr-Latn-ME"/>
        </w:rPr>
        <w:t>2</w:t>
      </w:r>
      <w:r w:rsidRPr="00012278">
        <w:rPr>
          <w:szCs w:val="22"/>
          <w:lang w:val="sr-Latn-ME"/>
        </w:rPr>
        <w:t xml:space="preserve"> dnevno kada se kapecitabin kombinuje sa folinskom kiselinom (30 mg oralno dva puta dnevno). Povećana toksičnost može biti od značaja kada se prelazi sa režima 5-FU/LV na </w:t>
      </w:r>
      <w:r w:rsidR="002B158D" w:rsidRPr="00012278">
        <w:rPr>
          <w:szCs w:val="22"/>
          <w:lang w:val="sr-Latn-ME"/>
        </w:rPr>
        <w:t>protokol</w:t>
      </w:r>
      <w:r w:rsidRPr="00012278">
        <w:rPr>
          <w:szCs w:val="22"/>
          <w:lang w:val="sr-Latn-ME"/>
        </w:rPr>
        <w:t xml:space="preserve"> sa kapecitabinom. Ovo takođe može biti od značaja i kod primjene suplemenata folne kiseline zbog deficijencije folata, usljed sličnosti između folinske i folne kiseline.</w:t>
      </w:r>
    </w:p>
    <w:p w14:paraId="5795A791" w14:textId="77777777" w:rsidR="006140B9" w:rsidRPr="00012278" w:rsidRDefault="006140B9" w:rsidP="002B4BD7">
      <w:pPr>
        <w:jc w:val="both"/>
        <w:rPr>
          <w:szCs w:val="22"/>
          <w:lang w:val="sr-Latn-ME"/>
        </w:rPr>
      </w:pPr>
    </w:p>
    <w:p w14:paraId="234A52EC" w14:textId="77777777" w:rsidR="006140B9" w:rsidRPr="00012278" w:rsidRDefault="006140B9" w:rsidP="002B4BD7">
      <w:pPr>
        <w:jc w:val="both"/>
        <w:rPr>
          <w:szCs w:val="22"/>
          <w:lang w:val="sr-Latn-ME"/>
        </w:rPr>
      </w:pPr>
      <w:r w:rsidRPr="00012278">
        <w:rPr>
          <w:i/>
          <w:szCs w:val="22"/>
          <w:lang w:val="sr-Latn-ME"/>
        </w:rPr>
        <w:t>Antacidi</w:t>
      </w:r>
      <w:r w:rsidRPr="00012278">
        <w:rPr>
          <w:szCs w:val="22"/>
          <w:lang w:val="sr-Latn-ME"/>
        </w:rPr>
        <w:t xml:space="preserve">: ispitivano je dejstvo antacida koji sadrže aluminijum hidroksid i magnezijum hidroksid na farmakokinetiku kapecitabina. Uočeno je malo povećanje koncentracije kapecitabina i jednog metabolita (5'-DFCR) u plazmi. Na  ostala tri glavna metabolita (5'-DFUR, 5-FU i FBAL) nije bilo dejstva. </w:t>
      </w:r>
    </w:p>
    <w:p w14:paraId="755BFB20" w14:textId="77777777" w:rsidR="006140B9" w:rsidRPr="00012278" w:rsidRDefault="006140B9" w:rsidP="002B4BD7">
      <w:pPr>
        <w:jc w:val="both"/>
        <w:rPr>
          <w:szCs w:val="22"/>
          <w:lang w:val="sr-Latn-ME"/>
        </w:rPr>
      </w:pPr>
    </w:p>
    <w:p w14:paraId="64BE0132" w14:textId="77777777" w:rsidR="006140B9" w:rsidRPr="00012278" w:rsidRDefault="006140B9" w:rsidP="002B4BD7">
      <w:pPr>
        <w:jc w:val="both"/>
        <w:rPr>
          <w:szCs w:val="22"/>
          <w:lang w:val="sr-Latn-ME"/>
        </w:rPr>
      </w:pPr>
      <w:r w:rsidRPr="00012278">
        <w:rPr>
          <w:i/>
          <w:iCs/>
          <w:szCs w:val="22"/>
          <w:lang w:val="sr-Latn-ME"/>
        </w:rPr>
        <w:t xml:space="preserve">Alopurinol: </w:t>
      </w:r>
      <w:r w:rsidRPr="00012278">
        <w:rPr>
          <w:iCs/>
          <w:szCs w:val="22"/>
          <w:lang w:val="sr-Latn-ME"/>
        </w:rPr>
        <w:t>zabilježene su</w:t>
      </w:r>
      <w:r w:rsidRPr="00012278">
        <w:rPr>
          <w:i/>
          <w:iCs/>
          <w:szCs w:val="22"/>
          <w:lang w:val="sr-Latn-ME"/>
        </w:rPr>
        <w:t xml:space="preserve"> </w:t>
      </w:r>
      <w:r w:rsidRPr="00012278">
        <w:rPr>
          <w:szCs w:val="22"/>
          <w:lang w:val="sr-Latn-ME"/>
        </w:rPr>
        <w:t>interakcije alopurinola sa 5-FU, sa mogućnošću smanjene efikasnosti 5-FU. Treba izbjegavati istovremenu primjenu alopurinola i kapecitabina.</w:t>
      </w:r>
    </w:p>
    <w:p w14:paraId="6840BDB1" w14:textId="77777777" w:rsidR="006140B9" w:rsidRPr="00012278" w:rsidRDefault="006140B9" w:rsidP="002B4BD7">
      <w:pPr>
        <w:jc w:val="both"/>
        <w:rPr>
          <w:szCs w:val="22"/>
          <w:lang w:val="sr-Latn-ME"/>
        </w:rPr>
      </w:pPr>
    </w:p>
    <w:p w14:paraId="16BA2A09" w14:textId="77777777" w:rsidR="006140B9" w:rsidRPr="00012278" w:rsidRDefault="006140B9" w:rsidP="002B4BD7">
      <w:pPr>
        <w:jc w:val="both"/>
        <w:rPr>
          <w:szCs w:val="22"/>
          <w:lang w:val="sr-Latn-ME"/>
        </w:rPr>
      </w:pPr>
      <w:r w:rsidRPr="00012278">
        <w:rPr>
          <w:i/>
          <w:szCs w:val="22"/>
          <w:lang w:val="sr-Latn-ME"/>
        </w:rPr>
        <w:t>Interferon alfa</w:t>
      </w:r>
      <w:r w:rsidRPr="00012278">
        <w:rPr>
          <w:szCs w:val="22"/>
          <w:lang w:val="sr-Latn-ME"/>
        </w:rPr>
        <w:t>: MTD kapecitabina je iznosila 2000 mg/m</w:t>
      </w:r>
      <w:r w:rsidRPr="00012278">
        <w:rPr>
          <w:szCs w:val="22"/>
          <w:vertAlign w:val="superscript"/>
          <w:lang w:val="sr-Latn-ME"/>
        </w:rPr>
        <w:t>2</w:t>
      </w:r>
      <w:r w:rsidRPr="00012278">
        <w:rPr>
          <w:szCs w:val="22"/>
          <w:lang w:val="sr-Latn-ME"/>
        </w:rPr>
        <w:t xml:space="preserve"> dnevno u kombinaciji sa interferonom alfa-2a (3 MIU/m</w:t>
      </w:r>
      <w:r w:rsidRPr="00012278">
        <w:rPr>
          <w:szCs w:val="22"/>
          <w:vertAlign w:val="superscript"/>
          <w:lang w:val="sr-Latn-ME"/>
        </w:rPr>
        <w:t>2</w:t>
      </w:r>
      <w:r w:rsidRPr="00012278">
        <w:rPr>
          <w:szCs w:val="22"/>
          <w:lang w:val="sr-Latn-ME"/>
        </w:rPr>
        <w:t xml:space="preserve"> dnevno), u poređenju sa 3000  mg/m</w:t>
      </w:r>
      <w:r w:rsidRPr="00012278">
        <w:rPr>
          <w:szCs w:val="22"/>
          <w:vertAlign w:val="superscript"/>
          <w:lang w:val="sr-Latn-ME"/>
        </w:rPr>
        <w:t>2</w:t>
      </w:r>
      <w:r w:rsidRPr="00012278">
        <w:rPr>
          <w:szCs w:val="22"/>
          <w:lang w:val="sr-Latn-ME"/>
        </w:rPr>
        <w:t xml:space="preserve"> dnevno kada se kapecitabin primjenjivao sam. </w:t>
      </w:r>
    </w:p>
    <w:p w14:paraId="7EEB62F9" w14:textId="77777777" w:rsidR="006140B9" w:rsidRPr="00012278" w:rsidRDefault="006140B9" w:rsidP="002B4BD7">
      <w:pPr>
        <w:jc w:val="both"/>
        <w:rPr>
          <w:szCs w:val="22"/>
          <w:lang w:val="sr-Latn-ME"/>
        </w:rPr>
      </w:pPr>
    </w:p>
    <w:p w14:paraId="2740E424" w14:textId="77777777" w:rsidR="006140B9" w:rsidRPr="00012278" w:rsidRDefault="006140B9" w:rsidP="002B4BD7">
      <w:pPr>
        <w:jc w:val="both"/>
        <w:rPr>
          <w:szCs w:val="22"/>
          <w:lang w:val="sr-Latn-ME"/>
        </w:rPr>
      </w:pPr>
      <w:r w:rsidRPr="00012278">
        <w:rPr>
          <w:i/>
          <w:szCs w:val="22"/>
          <w:lang w:val="sr-Latn-ME"/>
        </w:rPr>
        <w:t>Radioterapija</w:t>
      </w:r>
      <w:r w:rsidRPr="00012278">
        <w:rPr>
          <w:szCs w:val="22"/>
          <w:lang w:val="sr-Latn-ME"/>
        </w:rPr>
        <w:t>: MTD kapecitabina u monoterapiji i intermitentnom režimu iznosi 3000  mg/m</w:t>
      </w:r>
      <w:r w:rsidRPr="00012278">
        <w:rPr>
          <w:szCs w:val="22"/>
          <w:vertAlign w:val="superscript"/>
          <w:lang w:val="sr-Latn-ME"/>
        </w:rPr>
        <w:t>2</w:t>
      </w:r>
      <w:r w:rsidRPr="00012278">
        <w:rPr>
          <w:szCs w:val="22"/>
          <w:lang w:val="sr-Latn-ME"/>
        </w:rPr>
        <w:t xml:space="preserve"> dnevno, dok u kombinaciji sa radioterapijom rektalnog kancera MTD kapecitabina iznosi 2000 mg/m</w:t>
      </w:r>
      <w:r w:rsidRPr="00012278">
        <w:rPr>
          <w:szCs w:val="22"/>
          <w:vertAlign w:val="superscript"/>
          <w:lang w:val="sr-Latn-ME"/>
        </w:rPr>
        <w:t>2</w:t>
      </w:r>
      <w:r w:rsidRPr="00012278">
        <w:rPr>
          <w:szCs w:val="22"/>
          <w:lang w:val="sr-Latn-ME"/>
        </w:rPr>
        <w:t xml:space="preserve"> dnevno pri kontinuiranoj (svakodnevnoj) primjeni ili pri uzimanju tokom 5 dana od ponedjeljka do petka, uz radioterapiju u trajanju od 6 nedjelja. </w:t>
      </w:r>
    </w:p>
    <w:p w14:paraId="7F7D1250" w14:textId="77777777" w:rsidR="006140B9" w:rsidRPr="00012278" w:rsidRDefault="006140B9" w:rsidP="002B4BD7">
      <w:pPr>
        <w:jc w:val="both"/>
        <w:rPr>
          <w:szCs w:val="22"/>
          <w:lang w:val="sr-Latn-ME"/>
        </w:rPr>
      </w:pPr>
    </w:p>
    <w:p w14:paraId="7C349413" w14:textId="77777777" w:rsidR="006140B9" w:rsidRPr="00012278" w:rsidRDefault="006140B9" w:rsidP="002B4BD7">
      <w:pPr>
        <w:jc w:val="both"/>
        <w:rPr>
          <w:szCs w:val="22"/>
          <w:lang w:val="sr-Latn-ME"/>
        </w:rPr>
      </w:pPr>
      <w:r w:rsidRPr="00012278">
        <w:rPr>
          <w:i/>
          <w:szCs w:val="22"/>
          <w:lang w:val="sr-Latn-ME"/>
        </w:rPr>
        <w:t>Oksaliplatin</w:t>
      </w:r>
      <w:r w:rsidRPr="00012278">
        <w:rPr>
          <w:szCs w:val="22"/>
          <w:lang w:val="sr-Latn-ME"/>
        </w:rPr>
        <w:t>: nisu zabilježene klinički značajne razlike u izlaganju kapecitabinu ili njegovim metabolitima, slobodnoj platini ili ukupnoj platini kada je kapecitabin davan u kombinaciji sa oksaliplatinom ili u kombinaciji sa oksaliplatinom i bevacizumabom.</w:t>
      </w:r>
    </w:p>
    <w:p w14:paraId="0821976A" w14:textId="77777777" w:rsidR="006140B9" w:rsidRPr="00012278" w:rsidRDefault="006140B9" w:rsidP="002B4BD7">
      <w:pPr>
        <w:jc w:val="both"/>
        <w:rPr>
          <w:szCs w:val="22"/>
          <w:lang w:val="sr-Latn-ME"/>
        </w:rPr>
      </w:pPr>
    </w:p>
    <w:p w14:paraId="0BBA7063" w14:textId="77777777" w:rsidR="006140B9" w:rsidRPr="00012278" w:rsidRDefault="006140B9" w:rsidP="002B4BD7">
      <w:pPr>
        <w:jc w:val="both"/>
        <w:rPr>
          <w:szCs w:val="22"/>
          <w:lang w:val="sr-Latn-ME"/>
        </w:rPr>
      </w:pPr>
      <w:r w:rsidRPr="00012278">
        <w:rPr>
          <w:i/>
          <w:szCs w:val="22"/>
          <w:lang w:val="sr-Latn-ME"/>
        </w:rPr>
        <w:t>Bevacizumab</w:t>
      </w:r>
      <w:r w:rsidRPr="00012278">
        <w:rPr>
          <w:szCs w:val="22"/>
          <w:lang w:val="sr-Latn-ME"/>
        </w:rPr>
        <w:t xml:space="preserve">: nisu uočena klinički značajna dejstva bevacizumaba na farmakokinetičke parametre kapecitabina ili njegovih metabolita u prisustvu oksaliplatina. </w:t>
      </w:r>
    </w:p>
    <w:p w14:paraId="0A764642" w14:textId="77777777" w:rsidR="006140B9" w:rsidRPr="00012278" w:rsidRDefault="006140B9" w:rsidP="002B4BD7">
      <w:pPr>
        <w:jc w:val="both"/>
        <w:rPr>
          <w:szCs w:val="22"/>
          <w:lang w:val="sr-Latn-ME"/>
        </w:rPr>
      </w:pPr>
    </w:p>
    <w:p w14:paraId="7671FF9B" w14:textId="77777777" w:rsidR="006140B9" w:rsidRPr="00012278" w:rsidRDefault="006140B9" w:rsidP="002B4BD7">
      <w:pPr>
        <w:jc w:val="both"/>
        <w:rPr>
          <w:szCs w:val="22"/>
          <w:lang w:val="sr-Latn-ME"/>
        </w:rPr>
      </w:pPr>
      <w:r w:rsidRPr="00012278">
        <w:rPr>
          <w:szCs w:val="22"/>
          <w:u w:val="single"/>
          <w:lang w:val="sr-Latn-ME"/>
        </w:rPr>
        <w:t>Interakcije sa hranom</w:t>
      </w:r>
    </w:p>
    <w:p w14:paraId="0E67CEE7" w14:textId="01921B5B" w:rsidR="006140B9" w:rsidRPr="00012278" w:rsidRDefault="006140B9" w:rsidP="002B4BD7">
      <w:pPr>
        <w:jc w:val="both"/>
        <w:rPr>
          <w:szCs w:val="22"/>
          <w:lang w:val="sr-Latn-ME"/>
        </w:rPr>
      </w:pPr>
      <w:r w:rsidRPr="00012278">
        <w:rPr>
          <w:szCs w:val="22"/>
          <w:lang w:val="sr-Latn-ME"/>
        </w:rPr>
        <w:t xml:space="preserve">U svim kliničkim ispitivanjima, pacijentima je savjetovano da kapecitabin uzimaju u roku od 30 minuta po obroku. Budući da su svi postojeći podaci o bezbjednosti i efikasnosti bazirani na primjeni </w:t>
      </w:r>
      <w:r w:rsidR="002B158D" w:rsidRPr="00012278">
        <w:rPr>
          <w:szCs w:val="22"/>
          <w:lang w:val="sr-Latn-ME"/>
        </w:rPr>
        <w:t xml:space="preserve">kapecitabina </w:t>
      </w:r>
      <w:r w:rsidRPr="00012278">
        <w:rPr>
          <w:szCs w:val="22"/>
          <w:lang w:val="sr-Latn-ME"/>
        </w:rPr>
        <w:t xml:space="preserve">sa hranom, preporučuje se da se kapecitabin uzima sa hranom. Uzimanje sa hranom usporava brzinu resorpcije kapecitabina (vidjeti </w:t>
      </w:r>
      <w:r w:rsidR="002B158D" w:rsidRPr="00012278">
        <w:rPr>
          <w:szCs w:val="22"/>
          <w:lang w:val="sr-Latn-ME"/>
        </w:rPr>
        <w:t xml:space="preserve">dio </w:t>
      </w:r>
      <w:r w:rsidRPr="00012278">
        <w:rPr>
          <w:szCs w:val="22"/>
          <w:lang w:val="sr-Latn-ME"/>
        </w:rPr>
        <w:t>5.2).</w:t>
      </w:r>
    </w:p>
    <w:p w14:paraId="3F79357B" w14:textId="77777777" w:rsidR="006140B9" w:rsidRPr="00012278" w:rsidRDefault="006140B9" w:rsidP="002B4BD7">
      <w:pPr>
        <w:jc w:val="both"/>
        <w:rPr>
          <w:szCs w:val="22"/>
          <w:lang w:val="sr-Latn-ME"/>
        </w:rPr>
      </w:pPr>
    </w:p>
    <w:p w14:paraId="2805870D" w14:textId="77777777" w:rsidR="006140B9" w:rsidRPr="00012278" w:rsidRDefault="006140B9" w:rsidP="005112A3">
      <w:pPr>
        <w:pStyle w:val="Heading1"/>
        <w:rPr>
          <w:szCs w:val="22"/>
        </w:rPr>
      </w:pPr>
      <w:r w:rsidRPr="00012278">
        <w:rPr>
          <w:szCs w:val="22"/>
        </w:rPr>
        <w:t>4.6.   Plodnost, trudnoća i dojenje</w:t>
      </w:r>
    </w:p>
    <w:p w14:paraId="771ACF9E" w14:textId="77777777" w:rsidR="006140B9" w:rsidRPr="00012278" w:rsidRDefault="006140B9" w:rsidP="006140B9">
      <w:pPr>
        <w:rPr>
          <w:szCs w:val="22"/>
          <w:u w:val="single"/>
          <w:lang w:val="sr-Latn-ME"/>
        </w:rPr>
      </w:pPr>
    </w:p>
    <w:p w14:paraId="5A9BCEB1" w14:textId="77777777" w:rsidR="006140B9" w:rsidRPr="00012278" w:rsidRDefault="006140B9" w:rsidP="002B4BD7">
      <w:pPr>
        <w:jc w:val="both"/>
        <w:rPr>
          <w:szCs w:val="22"/>
          <w:u w:val="single"/>
          <w:lang w:val="sr-Latn-ME"/>
        </w:rPr>
      </w:pPr>
      <w:r w:rsidRPr="00012278">
        <w:rPr>
          <w:szCs w:val="22"/>
          <w:u w:val="single"/>
          <w:lang w:val="sr-Latn-ME"/>
        </w:rPr>
        <w:t>Žene u reproduktivnom periodu/kontracepcija kod muškaraca i žena</w:t>
      </w:r>
    </w:p>
    <w:p w14:paraId="26554487" w14:textId="77777777" w:rsidR="006140B9" w:rsidRPr="00012278" w:rsidRDefault="006140B9" w:rsidP="002B4BD7">
      <w:pPr>
        <w:jc w:val="both"/>
        <w:rPr>
          <w:szCs w:val="22"/>
          <w:lang w:val="sr-Latn-ME"/>
        </w:rPr>
      </w:pPr>
      <w:r w:rsidRPr="00012278">
        <w:rPr>
          <w:szCs w:val="22"/>
          <w:lang w:val="sr-Latn-ME"/>
        </w:rPr>
        <w:t>Ženama u reproduktivnom periodu treba savjetovati da tokom liječenja kapecitabinom izbjegavaju trudnoću. Ukoliko ostanu trudne tokom liječenja kapecitabinom, mora im se ukazati na potencijalni rizik za fetus. Efikasna metoda kontracepcije mora se primjenjivati tokom liječenja i 6 mjeseci nakon posljednje doze kapecitabina.</w:t>
      </w:r>
    </w:p>
    <w:p w14:paraId="3032BBEC" w14:textId="5D301187" w:rsidR="006140B9" w:rsidRPr="00012278" w:rsidRDefault="006140B9" w:rsidP="002B4BD7">
      <w:pPr>
        <w:jc w:val="both"/>
        <w:rPr>
          <w:szCs w:val="22"/>
          <w:lang w:val="sr-Latn-ME"/>
        </w:rPr>
      </w:pPr>
      <w:r w:rsidRPr="00012278">
        <w:rPr>
          <w:szCs w:val="22"/>
          <w:lang w:val="sr-Latn-ME"/>
        </w:rPr>
        <w:t>Na osnovu nalaza gen</w:t>
      </w:r>
      <w:r w:rsidR="00F313FE" w:rsidRPr="00012278">
        <w:rPr>
          <w:szCs w:val="22"/>
          <w:lang w:val="sr-Latn-ME"/>
        </w:rPr>
        <w:t>o</w:t>
      </w:r>
      <w:r w:rsidRPr="00012278">
        <w:rPr>
          <w:szCs w:val="22"/>
          <w:lang w:val="sr-Latn-ME"/>
        </w:rPr>
        <w:t>toksičnosti, pacijenti muškog pola sa partnerkama u reproduktivnom periodu treba da koriste efikasnu kontracepciju tokom liječenja i 3 mjeseca poslije posljednje doze kapecitabina.</w:t>
      </w:r>
    </w:p>
    <w:p w14:paraId="25600E26" w14:textId="77777777" w:rsidR="006140B9" w:rsidRPr="00012278" w:rsidRDefault="006140B9" w:rsidP="002B4BD7">
      <w:pPr>
        <w:jc w:val="both"/>
        <w:rPr>
          <w:szCs w:val="22"/>
          <w:lang w:val="sr-Latn-ME"/>
        </w:rPr>
      </w:pPr>
    </w:p>
    <w:p w14:paraId="710B913B" w14:textId="77777777" w:rsidR="006140B9" w:rsidRPr="00012278" w:rsidRDefault="006140B9" w:rsidP="002B4BD7">
      <w:pPr>
        <w:jc w:val="both"/>
        <w:rPr>
          <w:szCs w:val="22"/>
          <w:u w:val="single"/>
          <w:lang w:val="sr-Latn-ME"/>
        </w:rPr>
      </w:pPr>
      <w:r w:rsidRPr="00012278">
        <w:rPr>
          <w:szCs w:val="22"/>
          <w:u w:val="single"/>
          <w:lang w:val="sr-Latn-ME"/>
        </w:rPr>
        <w:t>Trudnoća</w:t>
      </w:r>
    </w:p>
    <w:p w14:paraId="63CF84EF" w14:textId="77777777" w:rsidR="006140B9" w:rsidRPr="00012278" w:rsidRDefault="006140B9" w:rsidP="002B4BD7">
      <w:pPr>
        <w:jc w:val="both"/>
        <w:rPr>
          <w:szCs w:val="22"/>
          <w:lang w:val="sr-Latn-ME"/>
        </w:rPr>
      </w:pPr>
      <w:r w:rsidRPr="00012278">
        <w:rPr>
          <w:szCs w:val="22"/>
          <w:lang w:val="sr-Latn-ME"/>
        </w:rPr>
        <w:t xml:space="preserve">Nisu rađena ispitivanja o djelovanju kapecitabina kod trudnica. Može se pretpostaviti da kapecitabin može da nanese štetu fetusu ako se daje trudnicama. U ispitivanjima reproduktivne toksičnosti na životinjama, primjena kapecitabina djelovala je embrioletalno i teratogeno. Ovi nalazi su očekivana dejstva derivata fluoropirimidina. Kapecitabin se ne smije primjenjivati tokom trudnoće. </w:t>
      </w:r>
    </w:p>
    <w:p w14:paraId="2B2BB272" w14:textId="77777777" w:rsidR="006140B9" w:rsidRPr="00012278" w:rsidRDefault="006140B9" w:rsidP="002B4BD7">
      <w:pPr>
        <w:jc w:val="both"/>
        <w:rPr>
          <w:szCs w:val="22"/>
          <w:lang w:val="sr-Latn-ME"/>
        </w:rPr>
      </w:pPr>
    </w:p>
    <w:p w14:paraId="46698F4A" w14:textId="77777777" w:rsidR="006140B9" w:rsidRPr="00012278" w:rsidRDefault="006140B9" w:rsidP="002B4BD7">
      <w:pPr>
        <w:jc w:val="both"/>
        <w:rPr>
          <w:szCs w:val="22"/>
          <w:u w:val="single"/>
          <w:lang w:val="sr-Latn-ME"/>
        </w:rPr>
      </w:pPr>
      <w:r w:rsidRPr="00012278">
        <w:rPr>
          <w:szCs w:val="22"/>
          <w:u w:val="single"/>
          <w:lang w:val="sr-Latn-ME"/>
        </w:rPr>
        <w:t>Dojenje</w:t>
      </w:r>
    </w:p>
    <w:p w14:paraId="5AAAD57C" w14:textId="181D5B59" w:rsidR="006140B9" w:rsidRPr="00012278" w:rsidRDefault="006140B9" w:rsidP="002B4BD7">
      <w:pPr>
        <w:jc w:val="both"/>
        <w:rPr>
          <w:szCs w:val="22"/>
          <w:lang w:val="sr-Latn-ME"/>
        </w:rPr>
      </w:pPr>
      <w:r w:rsidRPr="00012278">
        <w:rPr>
          <w:szCs w:val="22"/>
          <w:lang w:val="sr-Latn-ME"/>
        </w:rPr>
        <w:lastRenderedPageBreak/>
        <w:t xml:space="preserve">Nije poznato da li se kapecitabin izlučuje u majčino mlijeko. Nisu sprovedene studije procjene uticaja kapecitabina na laktaciju ili njegovog prisustva u </w:t>
      </w:r>
      <w:r w:rsidR="00F313FE" w:rsidRPr="00012278">
        <w:rPr>
          <w:szCs w:val="22"/>
          <w:lang w:val="sr-Latn-ME"/>
        </w:rPr>
        <w:t xml:space="preserve">majčinom </w:t>
      </w:r>
      <w:r w:rsidRPr="00012278">
        <w:rPr>
          <w:szCs w:val="22"/>
          <w:lang w:val="sr-Latn-ME"/>
        </w:rPr>
        <w:t>mlijeku. U mlijeku ženki miševa u fazi laktacije je nađena znatna količine kapecitabina i njegovih metabolita.</w:t>
      </w:r>
      <w:r w:rsidR="00F313FE" w:rsidRPr="00012278">
        <w:rPr>
          <w:szCs w:val="22"/>
          <w:lang w:val="sr-Latn-ME"/>
        </w:rPr>
        <w:t xml:space="preserve"> </w:t>
      </w:r>
      <w:r w:rsidRPr="00012278">
        <w:rPr>
          <w:szCs w:val="22"/>
          <w:lang w:val="sr-Latn-ME"/>
        </w:rPr>
        <w:t>S obzirom na to da je nepoznat potencijal za štetan uticaj kod odojčeta, pacijentkinje treba da prestanu da doje dok su na terapiji kapecitabinom i 2 nedjelje nakon posljednje doze.</w:t>
      </w:r>
    </w:p>
    <w:p w14:paraId="66CCDA73" w14:textId="77777777" w:rsidR="006140B9" w:rsidRPr="00012278" w:rsidRDefault="006140B9" w:rsidP="006140B9">
      <w:pPr>
        <w:rPr>
          <w:szCs w:val="22"/>
          <w:lang w:val="sr-Latn-ME"/>
        </w:rPr>
      </w:pPr>
    </w:p>
    <w:p w14:paraId="5BE556E6" w14:textId="77777777" w:rsidR="006140B9" w:rsidRPr="00012278" w:rsidRDefault="006140B9" w:rsidP="002B4BD7">
      <w:pPr>
        <w:jc w:val="both"/>
        <w:rPr>
          <w:szCs w:val="22"/>
          <w:u w:val="single"/>
          <w:lang w:val="sr-Latn-ME"/>
        </w:rPr>
      </w:pPr>
      <w:r w:rsidRPr="00012278">
        <w:rPr>
          <w:szCs w:val="22"/>
          <w:u w:val="single"/>
          <w:lang w:val="sr-Latn-ME"/>
        </w:rPr>
        <w:t>Plodnost</w:t>
      </w:r>
    </w:p>
    <w:p w14:paraId="0843AFB1" w14:textId="39462253" w:rsidR="006140B9" w:rsidRPr="00012278" w:rsidRDefault="006140B9" w:rsidP="002B4BD7">
      <w:pPr>
        <w:jc w:val="both"/>
        <w:rPr>
          <w:szCs w:val="22"/>
          <w:lang w:val="sr-Latn-ME"/>
        </w:rPr>
      </w:pPr>
      <w:r w:rsidRPr="00012278">
        <w:rPr>
          <w:szCs w:val="22"/>
          <w:lang w:val="sr-Latn-ME"/>
        </w:rPr>
        <w:t xml:space="preserve">Nema podataka o uticaju </w:t>
      </w:r>
      <w:r w:rsidR="00BF544B" w:rsidRPr="00012278">
        <w:rPr>
          <w:szCs w:val="22"/>
          <w:lang w:val="sr-Latn-ME"/>
        </w:rPr>
        <w:t xml:space="preserve">lijeka Ecansya </w:t>
      </w:r>
      <w:r w:rsidRPr="00012278">
        <w:rPr>
          <w:szCs w:val="22"/>
          <w:lang w:val="sr-Latn-ME"/>
        </w:rPr>
        <w:t xml:space="preserve">na plodnost. Pivotalne studije sa kapecitabinom uključivale su samo pacijente u reproduktivnom periodu koji su prihvatili metod kontrole rađanja tj. pacijentkinje koje su izbjegavale trudnoću tokom trajanja studija i u razumnom roku nakon toga. </w:t>
      </w:r>
    </w:p>
    <w:p w14:paraId="27B7CFA0" w14:textId="529F9E72" w:rsidR="006140B9" w:rsidRPr="00012278" w:rsidRDefault="006140B9" w:rsidP="002B4BD7">
      <w:pPr>
        <w:jc w:val="both"/>
        <w:rPr>
          <w:szCs w:val="22"/>
          <w:lang w:val="sr-Latn-ME"/>
        </w:rPr>
      </w:pPr>
      <w:r w:rsidRPr="00012278">
        <w:rPr>
          <w:szCs w:val="22"/>
          <w:lang w:val="sr-Latn-ME"/>
        </w:rPr>
        <w:t xml:space="preserve">U ispitivanjima na životinjama uočen je uticaj lijeka na fertilitet (vidjeti </w:t>
      </w:r>
      <w:r w:rsidR="00F313FE" w:rsidRPr="00012278">
        <w:rPr>
          <w:szCs w:val="22"/>
          <w:lang w:val="sr-Latn-ME"/>
        </w:rPr>
        <w:t xml:space="preserve">dio </w:t>
      </w:r>
      <w:r w:rsidRPr="00012278">
        <w:rPr>
          <w:szCs w:val="22"/>
          <w:lang w:val="sr-Latn-ME"/>
        </w:rPr>
        <w:t>5.3).</w:t>
      </w:r>
    </w:p>
    <w:p w14:paraId="51A4FB0D" w14:textId="77777777" w:rsidR="006140B9" w:rsidRPr="00012278" w:rsidRDefault="006140B9" w:rsidP="002B4BD7">
      <w:pPr>
        <w:jc w:val="both"/>
        <w:rPr>
          <w:b/>
          <w:bCs/>
          <w:szCs w:val="22"/>
          <w:lang w:val="sr-Latn-ME"/>
        </w:rPr>
      </w:pPr>
    </w:p>
    <w:p w14:paraId="413FF7F7" w14:textId="77777777" w:rsidR="006140B9" w:rsidRPr="00012278" w:rsidRDefault="006140B9" w:rsidP="005112A3">
      <w:pPr>
        <w:pStyle w:val="Heading1"/>
        <w:rPr>
          <w:szCs w:val="22"/>
        </w:rPr>
      </w:pPr>
      <w:r w:rsidRPr="00012278">
        <w:rPr>
          <w:szCs w:val="22"/>
        </w:rPr>
        <w:t xml:space="preserve">4.7. </w:t>
      </w:r>
      <w:r w:rsidRPr="00012278">
        <w:rPr>
          <w:szCs w:val="22"/>
        </w:rPr>
        <w:tab/>
        <w:t>Uticaj na sposobnost upravljanja vozilima i rukovanje mašinama</w:t>
      </w:r>
    </w:p>
    <w:p w14:paraId="4E189B31" w14:textId="77777777" w:rsidR="006140B9" w:rsidRPr="00012278" w:rsidRDefault="006140B9" w:rsidP="006140B9">
      <w:pPr>
        <w:rPr>
          <w:szCs w:val="22"/>
          <w:lang w:val="sr-Latn-ME"/>
        </w:rPr>
      </w:pPr>
    </w:p>
    <w:p w14:paraId="21068630" w14:textId="508E6284" w:rsidR="006140B9" w:rsidRPr="00012278" w:rsidRDefault="00BF544B" w:rsidP="002B4BD7">
      <w:pPr>
        <w:jc w:val="both"/>
        <w:rPr>
          <w:szCs w:val="22"/>
          <w:lang w:val="sr-Latn-ME"/>
        </w:rPr>
      </w:pPr>
      <w:r w:rsidRPr="00012278">
        <w:rPr>
          <w:szCs w:val="22"/>
          <w:lang w:val="sr-Latn-ME"/>
        </w:rPr>
        <w:t>Lijek Ecansya</w:t>
      </w:r>
      <w:r w:rsidR="006140B9" w:rsidRPr="00012278">
        <w:rPr>
          <w:szCs w:val="22"/>
          <w:lang w:val="sr-Latn-ME"/>
        </w:rPr>
        <w:t xml:space="preserve"> ima mali do umjereni uticaj na sposobnost za upravljanje vozilima i rada na mašinama. </w:t>
      </w:r>
    </w:p>
    <w:p w14:paraId="12569BAF" w14:textId="77777777" w:rsidR="006140B9" w:rsidRPr="00012278" w:rsidRDefault="006140B9" w:rsidP="002B4BD7">
      <w:pPr>
        <w:jc w:val="both"/>
        <w:rPr>
          <w:szCs w:val="22"/>
          <w:lang w:val="sr-Latn-ME"/>
        </w:rPr>
      </w:pPr>
      <w:r w:rsidRPr="00012278">
        <w:rPr>
          <w:szCs w:val="22"/>
          <w:lang w:val="sr-Latn-ME"/>
        </w:rPr>
        <w:t>Kapecitabin može da izazove vrtoglavicu, umor i mučninu.</w:t>
      </w:r>
    </w:p>
    <w:p w14:paraId="1F9F3D8D" w14:textId="77777777" w:rsidR="006140B9" w:rsidRPr="00012278" w:rsidRDefault="006140B9" w:rsidP="006140B9">
      <w:pPr>
        <w:rPr>
          <w:szCs w:val="22"/>
          <w:lang w:val="sr-Latn-ME"/>
        </w:rPr>
      </w:pPr>
    </w:p>
    <w:p w14:paraId="3B090DCF" w14:textId="77777777" w:rsidR="006140B9" w:rsidRPr="00012278" w:rsidRDefault="006140B9" w:rsidP="005112A3">
      <w:pPr>
        <w:pStyle w:val="Heading1"/>
        <w:rPr>
          <w:szCs w:val="22"/>
        </w:rPr>
      </w:pPr>
      <w:r w:rsidRPr="00012278">
        <w:rPr>
          <w:szCs w:val="22"/>
        </w:rPr>
        <w:t>4.8.     Neželjena dejstva</w:t>
      </w:r>
    </w:p>
    <w:p w14:paraId="656391E4" w14:textId="77777777" w:rsidR="006140B9" w:rsidRPr="00012278" w:rsidRDefault="006140B9" w:rsidP="006140B9">
      <w:pPr>
        <w:rPr>
          <w:i/>
          <w:iCs/>
          <w:szCs w:val="22"/>
          <w:lang w:val="sr-Latn-ME"/>
        </w:rPr>
      </w:pPr>
    </w:p>
    <w:p w14:paraId="37E0D3E9" w14:textId="77777777" w:rsidR="006140B9" w:rsidRPr="00012278" w:rsidRDefault="006140B9" w:rsidP="006140B9">
      <w:pPr>
        <w:rPr>
          <w:iCs/>
          <w:szCs w:val="22"/>
          <w:u w:val="single"/>
          <w:lang w:val="sr-Latn-ME"/>
        </w:rPr>
      </w:pPr>
      <w:r w:rsidRPr="00012278">
        <w:rPr>
          <w:iCs/>
          <w:szCs w:val="22"/>
          <w:u w:val="single"/>
          <w:lang w:val="sr-Latn-ME"/>
        </w:rPr>
        <w:t xml:space="preserve">Sažetak bezbjednosnog profila </w:t>
      </w:r>
    </w:p>
    <w:p w14:paraId="472E63B1" w14:textId="77777777" w:rsidR="006140B9" w:rsidRPr="00012278" w:rsidRDefault="006140B9" w:rsidP="006140B9">
      <w:pPr>
        <w:rPr>
          <w:i/>
          <w:iCs/>
          <w:szCs w:val="22"/>
          <w:lang w:val="sr-Latn-ME"/>
        </w:rPr>
      </w:pPr>
    </w:p>
    <w:p w14:paraId="59B3532B" w14:textId="49B4B08E" w:rsidR="006140B9" w:rsidRPr="00012278" w:rsidRDefault="006140B9" w:rsidP="002B4BD7">
      <w:pPr>
        <w:jc w:val="both"/>
        <w:rPr>
          <w:szCs w:val="22"/>
          <w:lang w:val="sr-Latn-ME"/>
        </w:rPr>
      </w:pPr>
      <w:r w:rsidRPr="00012278">
        <w:rPr>
          <w:szCs w:val="22"/>
          <w:lang w:val="sr-Latn-ME"/>
        </w:rPr>
        <w:t>Ukupan bezbjednosni profil lijeka kapecitabin zasnovan je na podacima od preko 3000 pacijenata liječenih kapecitabinom kao monoterapijom ili kapecitabinom u kombinaciji sa različitim hemioterapijskim</w:t>
      </w:r>
      <w:r w:rsidR="00BF544B" w:rsidRPr="00012278">
        <w:rPr>
          <w:szCs w:val="22"/>
          <w:lang w:val="sr-Latn-ME"/>
        </w:rPr>
        <w:t xml:space="preserve"> protokolima,</w:t>
      </w:r>
      <w:r w:rsidRPr="00012278">
        <w:rPr>
          <w:szCs w:val="22"/>
          <w:lang w:val="sr-Latn-ME"/>
        </w:rPr>
        <w:t xml:space="preserve"> u različitim indikacijama. Ukupni bezbjednosni profili kapecitabin monoterapije za populacije pacijenata sa metastatskim karcinomom dojke, metastatskim kolorektalnim karcinomom i adjuvantnim karcinomom kolona su uporedivi. Vidjeti </w:t>
      </w:r>
      <w:r w:rsidR="00BF544B" w:rsidRPr="00012278">
        <w:rPr>
          <w:szCs w:val="22"/>
          <w:lang w:val="sr-Latn-ME"/>
        </w:rPr>
        <w:t xml:space="preserve">dio </w:t>
      </w:r>
      <w:r w:rsidRPr="00012278">
        <w:rPr>
          <w:szCs w:val="22"/>
          <w:lang w:val="sr-Latn-ME"/>
        </w:rPr>
        <w:t xml:space="preserve">5.1 za detalje najvažnijih studija, uključujući njihov dizajn i glavne rezultate efikasnosti.  </w:t>
      </w:r>
    </w:p>
    <w:p w14:paraId="4F8A789B" w14:textId="77777777" w:rsidR="006140B9" w:rsidRPr="00012278" w:rsidRDefault="006140B9" w:rsidP="002B4BD7">
      <w:pPr>
        <w:jc w:val="both"/>
        <w:rPr>
          <w:szCs w:val="22"/>
          <w:lang w:val="sr-Latn-ME"/>
        </w:rPr>
      </w:pPr>
    </w:p>
    <w:p w14:paraId="0E419FF0" w14:textId="33E621C3" w:rsidR="006140B9" w:rsidRPr="00012278" w:rsidRDefault="006140B9" w:rsidP="002B4BD7">
      <w:pPr>
        <w:jc w:val="both"/>
        <w:rPr>
          <w:szCs w:val="22"/>
          <w:lang w:val="sr-Latn-ME"/>
        </w:rPr>
      </w:pPr>
      <w:r w:rsidRPr="00012278">
        <w:rPr>
          <w:szCs w:val="22"/>
          <w:lang w:val="sr-Latn-ME"/>
        </w:rPr>
        <w:t>Najčešće prijavljene i/ili klinički relevantne neželjene reakcije na lijek povezane sa terapijom bil</w:t>
      </w:r>
      <w:r w:rsidR="00BF544B" w:rsidRPr="00012278">
        <w:rPr>
          <w:szCs w:val="22"/>
          <w:lang w:val="sr-Latn-ME"/>
        </w:rPr>
        <w:t>e</w:t>
      </w:r>
      <w:r w:rsidRPr="00012278">
        <w:rPr>
          <w:szCs w:val="22"/>
          <w:lang w:val="sr-Latn-ME"/>
        </w:rPr>
        <w:t xml:space="preserve"> su gastrointestinalni poremećaji (naročito dijareja, mučnina, povraćanje, bol u abdomenu, stomatitis), sindrom šaka-stopalo (palmarno-plantarna eritrodisestezija), umor, astenija, anoreksija,</w:t>
      </w:r>
      <w:r w:rsidRPr="00012278">
        <w:rPr>
          <w:i/>
          <w:iCs/>
          <w:szCs w:val="22"/>
          <w:lang w:val="sr-Latn-ME"/>
        </w:rPr>
        <w:t xml:space="preserve"> </w:t>
      </w:r>
      <w:r w:rsidRPr="00012278">
        <w:rPr>
          <w:szCs w:val="22"/>
          <w:lang w:val="sr-Latn-ME"/>
        </w:rPr>
        <w:t xml:space="preserve">kardiotoksičnost, pogoršanje bubrežne funkcije kod pacijenata sa već postojećom kompromitovanom bubrežnom funkcijom, i tromboza/embolija. </w:t>
      </w:r>
    </w:p>
    <w:p w14:paraId="06A1748F" w14:textId="77777777" w:rsidR="006140B9" w:rsidRPr="00012278" w:rsidRDefault="006140B9" w:rsidP="002B4BD7">
      <w:pPr>
        <w:jc w:val="both"/>
        <w:rPr>
          <w:szCs w:val="22"/>
          <w:lang w:val="sr-Latn-ME"/>
        </w:rPr>
      </w:pPr>
    </w:p>
    <w:p w14:paraId="7B015887" w14:textId="77777777" w:rsidR="006140B9" w:rsidRPr="00012278" w:rsidRDefault="006140B9" w:rsidP="002B4BD7">
      <w:pPr>
        <w:jc w:val="both"/>
        <w:rPr>
          <w:iCs/>
          <w:szCs w:val="22"/>
          <w:u w:val="single"/>
          <w:lang w:val="sr-Latn-ME"/>
        </w:rPr>
      </w:pPr>
      <w:r w:rsidRPr="00012278">
        <w:rPr>
          <w:iCs/>
          <w:szCs w:val="22"/>
          <w:u w:val="single"/>
          <w:lang w:val="sr-Latn-ME"/>
        </w:rPr>
        <w:t xml:space="preserve">Tabelarni prikaz neželjenih reakcija </w:t>
      </w:r>
    </w:p>
    <w:p w14:paraId="7DAE374A" w14:textId="77777777" w:rsidR="00A07DCB" w:rsidRPr="00012278" w:rsidRDefault="00A07DCB" w:rsidP="002B4BD7">
      <w:pPr>
        <w:jc w:val="both"/>
        <w:rPr>
          <w:iCs/>
          <w:szCs w:val="22"/>
          <w:u w:val="single"/>
          <w:lang w:val="sr-Latn-ME"/>
        </w:rPr>
      </w:pPr>
    </w:p>
    <w:p w14:paraId="1F8C02A7" w14:textId="7B56ACD5" w:rsidR="006140B9" w:rsidRPr="00012278" w:rsidRDefault="006140B9" w:rsidP="002B4BD7">
      <w:pPr>
        <w:jc w:val="both"/>
        <w:rPr>
          <w:szCs w:val="22"/>
          <w:lang w:val="sr-Latn-ME"/>
        </w:rPr>
      </w:pPr>
      <w:r w:rsidRPr="00012278">
        <w:rPr>
          <w:szCs w:val="22"/>
          <w:lang w:val="sr-Latn-ME"/>
        </w:rPr>
        <w:t>Neželjene reakcije na lijek  koje su istraživači naveli kao moguće, vjerovatno ili slabo povezane sa primjenom kapecitabina prikazane su u tabeli 4 za kapecitabin u monoterapiji i u tabeli 5 za kapecitabin u kombinaciji sa različitim hem</w:t>
      </w:r>
      <w:r w:rsidR="00BF544B" w:rsidRPr="00012278">
        <w:rPr>
          <w:szCs w:val="22"/>
          <w:lang w:val="sr-Latn-ME"/>
        </w:rPr>
        <w:t>i</w:t>
      </w:r>
      <w:r w:rsidRPr="00012278">
        <w:rPr>
          <w:szCs w:val="22"/>
          <w:lang w:val="sr-Latn-ME"/>
        </w:rPr>
        <w:t xml:space="preserve">oterapijskim </w:t>
      </w:r>
      <w:r w:rsidR="00BF544B" w:rsidRPr="00012278">
        <w:rPr>
          <w:szCs w:val="22"/>
          <w:lang w:val="sr-Latn-ME"/>
        </w:rPr>
        <w:t>protokolima,</w:t>
      </w:r>
      <w:r w:rsidRPr="00012278">
        <w:rPr>
          <w:szCs w:val="22"/>
          <w:lang w:val="sr-Latn-ME"/>
        </w:rPr>
        <w:t xml:space="preserve"> u različitim indikacijama. </w:t>
      </w:r>
    </w:p>
    <w:p w14:paraId="594E8261" w14:textId="49DEB93A" w:rsidR="006140B9" w:rsidRPr="00012278" w:rsidRDefault="006140B9" w:rsidP="002B4BD7">
      <w:pPr>
        <w:jc w:val="both"/>
        <w:rPr>
          <w:szCs w:val="22"/>
          <w:lang w:val="sr-Latn-ME"/>
        </w:rPr>
      </w:pPr>
      <w:r w:rsidRPr="00012278">
        <w:rPr>
          <w:szCs w:val="22"/>
          <w:lang w:val="sr-Latn-ME"/>
        </w:rPr>
        <w:t xml:space="preserve">Neželjena dejstva prema učestalosti </w:t>
      </w:r>
      <w:r w:rsidR="00BF544B" w:rsidRPr="00012278">
        <w:rPr>
          <w:szCs w:val="22"/>
          <w:lang w:val="sr-Latn-ME"/>
        </w:rPr>
        <w:t>ispoljavanja</w:t>
      </w:r>
      <w:r w:rsidRPr="00012278">
        <w:rPr>
          <w:szCs w:val="22"/>
          <w:lang w:val="sr-Latn-ME"/>
        </w:rPr>
        <w:t xml:space="preserve"> razvrstana su na sljedeći način: veoma često (</w:t>
      </w:r>
      <w:r w:rsidRPr="00012278">
        <w:rPr>
          <w:szCs w:val="22"/>
          <w:lang w:val="sr-Latn-ME"/>
        </w:rPr>
        <w:sym w:font="Symbol" w:char="F0B3"/>
      </w:r>
      <w:r w:rsidRPr="00012278">
        <w:rPr>
          <w:szCs w:val="22"/>
          <w:lang w:val="sr-Latn-ME"/>
        </w:rPr>
        <w:t> 1/10), često (</w:t>
      </w:r>
      <w:r w:rsidRPr="00012278">
        <w:rPr>
          <w:szCs w:val="22"/>
          <w:lang w:val="sr-Latn-ME"/>
        </w:rPr>
        <w:sym w:font="Symbol" w:char="F0B3"/>
      </w:r>
      <w:r w:rsidRPr="00012278">
        <w:rPr>
          <w:szCs w:val="22"/>
          <w:lang w:val="sr-Latn-ME"/>
        </w:rPr>
        <w:t> 1/100, &lt; 1/10), povremeno (</w:t>
      </w:r>
      <w:r w:rsidRPr="00012278">
        <w:rPr>
          <w:szCs w:val="22"/>
          <w:lang w:val="sr-Latn-ME"/>
        </w:rPr>
        <w:sym w:font="Symbol" w:char="F0B3"/>
      </w:r>
      <w:r w:rsidRPr="00012278">
        <w:rPr>
          <w:szCs w:val="22"/>
          <w:lang w:val="sr-Latn-ME"/>
        </w:rPr>
        <w:t> 1/1000, &lt; 1/100), rijetko (≥1/10 000, &lt;1/1000) i veoma rijetko (&lt;1/10 000). Unutar svake grupe učestalosti, neželjena dejstva su prikazana po opadajuć</w:t>
      </w:r>
      <w:r w:rsidR="00BF544B" w:rsidRPr="00012278">
        <w:rPr>
          <w:szCs w:val="22"/>
          <w:lang w:val="sr-Latn-ME"/>
        </w:rPr>
        <w:t xml:space="preserve">oj </w:t>
      </w:r>
      <w:r w:rsidRPr="00012278">
        <w:rPr>
          <w:szCs w:val="22"/>
          <w:lang w:val="sr-Latn-ME"/>
        </w:rPr>
        <w:t xml:space="preserve">ozbiljnosti. </w:t>
      </w:r>
    </w:p>
    <w:p w14:paraId="33ECA88B" w14:textId="77777777" w:rsidR="006140B9" w:rsidRPr="00012278" w:rsidRDefault="006140B9" w:rsidP="002B4BD7">
      <w:pPr>
        <w:jc w:val="both"/>
        <w:rPr>
          <w:szCs w:val="22"/>
          <w:lang w:val="sr-Latn-ME"/>
        </w:rPr>
      </w:pPr>
    </w:p>
    <w:p w14:paraId="190AA627" w14:textId="77777777" w:rsidR="006140B9" w:rsidRPr="00012278" w:rsidRDefault="006140B9" w:rsidP="006140B9">
      <w:pPr>
        <w:rPr>
          <w:i/>
          <w:szCs w:val="22"/>
          <w:lang w:val="sr-Latn-ME"/>
        </w:rPr>
      </w:pPr>
      <w:r w:rsidRPr="00012278">
        <w:rPr>
          <w:i/>
          <w:szCs w:val="22"/>
          <w:lang w:val="sr-Latn-ME"/>
        </w:rPr>
        <w:t>Monoterapija kapecitabinom</w:t>
      </w:r>
    </w:p>
    <w:p w14:paraId="4894EED9" w14:textId="77777777" w:rsidR="006140B9" w:rsidRPr="00012278" w:rsidRDefault="006140B9" w:rsidP="006140B9">
      <w:pPr>
        <w:rPr>
          <w:szCs w:val="22"/>
          <w:lang w:val="sr-Latn-ME"/>
        </w:rPr>
      </w:pPr>
    </w:p>
    <w:p w14:paraId="149BDC04" w14:textId="77777777" w:rsidR="006140B9" w:rsidRPr="00012278" w:rsidRDefault="006140B9" w:rsidP="002B4BD7">
      <w:pPr>
        <w:jc w:val="both"/>
        <w:rPr>
          <w:szCs w:val="22"/>
          <w:lang w:val="sr-Latn-ME"/>
        </w:rPr>
      </w:pPr>
      <w:r w:rsidRPr="00012278">
        <w:rPr>
          <w:szCs w:val="22"/>
          <w:lang w:val="sr-Latn-ME"/>
        </w:rPr>
        <w:t>U Tabeli 4 prikazana su neželjena dejstva povezana sa primjenom monoterapije kapecitabinom, a na osnovu zbirne analize bezbjednosnih podataka iz tri velike studije koje su obuhvatile preko 1900 pacijenata (studije M66001, SO14695, i SO14796). Neželjena dejstva su svrstana u odgovarajuću grupu učestalosti na osnovu ukupne incidence iz zbirne analize.</w:t>
      </w:r>
    </w:p>
    <w:p w14:paraId="3A544F7C" w14:textId="77777777" w:rsidR="006140B9" w:rsidRPr="00012278" w:rsidRDefault="006140B9" w:rsidP="002B4BD7">
      <w:pPr>
        <w:jc w:val="both"/>
        <w:rPr>
          <w:szCs w:val="22"/>
          <w:lang w:val="sr-Latn-ME"/>
        </w:rPr>
      </w:pPr>
    </w:p>
    <w:p w14:paraId="185976D5" w14:textId="190D84B3" w:rsidR="006140B9" w:rsidRPr="00012278" w:rsidRDefault="006140B9" w:rsidP="002B4BD7">
      <w:pPr>
        <w:jc w:val="both"/>
        <w:rPr>
          <w:szCs w:val="22"/>
          <w:lang w:val="sr-Latn-ME"/>
        </w:rPr>
      </w:pPr>
      <w:r w:rsidRPr="00012278">
        <w:rPr>
          <w:szCs w:val="22"/>
          <w:lang w:val="sr-Latn-ME"/>
        </w:rPr>
        <w:t xml:space="preserve">Tabela 4. </w:t>
      </w:r>
      <w:r w:rsidR="00BF544B" w:rsidRPr="00012278">
        <w:rPr>
          <w:szCs w:val="22"/>
          <w:lang w:val="sr-Latn-ME"/>
        </w:rPr>
        <w:t>Sažetak</w:t>
      </w:r>
      <w:r w:rsidRPr="00012278">
        <w:rPr>
          <w:szCs w:val="22"/>
          <w:lang w:val="sr-Latn-ME"/>
        </w:rPr>
        <w:t xml:space="preserve"> neželjenih reakcija </w:t>
      </w:r>
      <w:r w:rsidR="009D2A3C" w:rsidRPr="00012278">
        <w:rPr>
          <w:szCs w:val="22"/>
          <w:lang w:val="sr-Latn-ME"/>
        </w:rPr>
        <w:t>u vezi sa primjenom lijeka</w:t>
      </w:r>
      <w:r w:rsidRPr="00012278">
        <w:rPr>
          <w:szCs w:val="22"/>
          <w:lang w:val="sr-Latn-ME"/>
        </w:rPr>
        <w:t xml:space="preserve"> </w:t>
      </w:r>
      <w:r w:rsidR="009D2A3C" w:rsidRPr="00012278">
        <w:rPr>
          <w:szCs w:val="22"/>
          <w:lang w:val="sr-Latn-ME"/>
        </w:rPr>
        <w:t>prijavljenih</w:t>
      </w:r>
      <w:r w:rsidRPr="00012278">
        <w:rPr>
          <w:szCs w:val="22"/>
          <w:lang w:val="sr-Latn-ME"/>
        </w:rPr>
        <w:t xml:space="preserve"> kod pacijenata koji su liječeni kapecitabinom kao monoterapijom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770"/>
        <w:gridCol w:w="1735"/>
        <w:gridCol w:w="1945"/>
        <w:gridCol w:w="1863"/>
      </w:tblGrid>
      <w:tr w:rsidR="00983B65" w:rsidRPr="00012278" w14:paraId="6751ECEA" w14:textId="77777777" w:rsidTr="002B4BD7">
        <w:tc>
          <w:tcPr>
            <w:tcW w:w="1709" w:type="dxa"/>
            <w:shd w:val="clear" w:color="auto" w:fill="auto"/>
            <w:vAlign w:val="center"/>
          </w:tcPr>
          <w:p w14:paraId="3B309548" w14:textId="77777777" w:rsidR="006140B9" w:rsidRPr="00012278" w:rsidRDefault="006140B9" w:rsidP="006140B9">
            <w:pPr>
              <w:rPr>
                <w:b/>
                <w:szCs w:val="22"/>
                <w:lang w:val="sr-Latn-ME"/>
              </w:rPr>
            </w:pPr>
            <w:r w:rsidRPr="00012278">
              <w:rPr>
                <w:b/>
                <w:szCs w:val="22"/>
                <w:lang w:val="sr-Latn-ME"/>
              </w:rPr>
              <w:t>Sistem organa</w:t>
            </w:r>
          </w:p>
        </w:tc>
        <w:tc>
          <w:tcPr>
            <w:tcW w:w="1731" w:type="dxa"/>
            <w:shd w:val="clear" w:color="auto" w:fill="auto"/>
            <w:vAlign w:val="center"/>
          </w:tcPr>
          <w:p w14:paraId="51DBC512" w14:textId="77777777" w:rsidR="006140B9" w:rsidRPr="00012278" w:rsidRDefault="006140B9" w:rsidP="006140B9">
            <w:pPr>
              <w:rPr>
                <w:b/>
                <w:szCs w:val="22"/>
                <w:lang w:val="sr-Latn-ME"/>
              </w:rPr>
            </w:pPr>
            <w:r w:rsidRPr="00012278">
              <w:rPr>
                <w:b/>
                <w:szCs w:val="22"/>
                <w:lang w:val="sr-Latn-ME"/>
              </w:rPr>
              <w:t>Veoma često</w:t>
            </w:r>
          </w:p>
          <w:p w14:paraId="77241C2D" w14:textId="77777777" w:rsidR="006140B9" w:rsidRPr="00012278" w:rsidRDefault="006140B9" w:rsidP="006140B9">
            <w:pPr>
              <w:rPr>
                <w:b/>
                <w:i/>
                <w:szCs w:val="22"/>
                <w:lang w:val="sr-Latn-ME"/>
              </w:rPr>
            </w:pPr>
          </w:p>
          <w:p w14:paraId="3F59E5FB" w14:textId="77777777" w:rsidR="006140B9" w:rsidRPr="00012278" w:rsidRDefault="006140B9" w:rsidP="006140B9">
            <w:pPr>
              <w:rPr>
                <w:b/>
                <w:i/>
                <w:szCs w:val="22"/>
                <w:lang w:val="sr-Latn-ME"/>
              </w:rPr>
            </w:pPr>
            <w:r w:rsidRPr="00012278">
              <w:rPr>
                <w:b/>
                <w:i/>
                <w:szCs w:val="22"/>
                <w:lang w:val="sr-Latn-ME"/>
              </w:rPr>
              <w:t>Svi stepeni</w:t>
            </w:r>
          </w:p>
        </w:tc>
        <w:tc>
          <w:tcPr>
            <w:tcW w:w="1897" w:type="dxa"/>
            <w:shd w:val="clear" w:color="auto" w:fill="auto"/>
            <w:vAlign w:val="center"/>
          </w:tcPr>
          <w:p w14:paraId="76D89CEE" w14:textId="77777777" w:rsidR="006140B9" w:rsidRPr="00012278" w:rsidRDefault="006140B9" w:rsidP="006140B9">
            <w:pPr>
              <w:rPr>
                <w:b/>
                <w:szCs w:val="22"/>
                <w:lang w:val="sr-Latn-ME"/>
              </w:rPr>
            </w:pPr>
            <w:r w:rsidRPr="00012278">
              <w:rPr>
                <w:b/>
                <w:szCs w:val="22"/>
                <w:lang w:val="sr-Latn-ME"/>
              </w:rPr>
              <w:t>Često</w:t>
            </w:r>
          </w:p>
          <w:p w14:paraId="6F0952FD" w14:textId="77777777" w:rsidR="006140B9" w:rsidRPr="00012278" w:rsidRDefault="006140B9" w:rsidP="006140B9">
            <w:pPr>
              <w:rPr>
                <w:b/>
                <w:i/>
                <w:szCs w:val="22"/>
                <w:lang w:val="sr-Latn-ME"/>
              </w:rPr>
            </w:pPr>
          </w:p>
          <w:p w14:paraId="53C1AFEA" w14:textId="77777777" w:rsidR="006140B9" w:rsidRPr="00012278" w:rsidRDefault="006140B9" w:rsidP="006140B9">
            <w:pPr>
              <w:rPr>
                <w:b/>
                <w:szCs w:val="22"/>
                <w:lang w:val="sr-Latn-ME"/>
              </w:rPr>
            </w:pPr>
            <w:r w:rsidRPr="00012278">
              <w:rPr>
                <w:b/>
                <w:i/>
                <w:szCs w:val="22"/>
                <w:lang w:val="sr-Latn-ME"/>
              </w:rPr>
              <w:t>Svi stepeni</w:t>
            </w:r>
          </w:p>
        </w:tc>
        <w:tc>
          <w:tcPr>
            <w:tcW w:w="1902" w:type="dxa"/>
            <w:shd w:val="clear" w:color="auto" w:fill="auto"/>
            <w:vAlign w:val="center"/>
          </w:tcPr>
          <w:p w14:paraId="48869586" w14:textId="77777777" w:rsidR="006140B9" w:rsidRPr="00012278" w:rsidRDefault="006140B9" w:rsidP="006140B9">
            <w:pPr>
              <w:rPr>
                <w:b/>
                <w:szCs w:val="22"/>
                <w:lang w:val="sr-Latn-ME"/>
              </w:rPr>
            </w:pPr>
            <w:r w:rsidRPr="00012278">
              <w:rPr>
                <w:b/>
                <w:szCs w:val="22"/>
                <w:lang w:val="sr-Latn-ME"/>
              </w:rPr>
              <w:t>Povremeno</w:t>
            </w:r>
          </w:p>
          <w:p w14:paraId="6E2316A2" w14:textId="77777777" w:rsidR="006140B9" w:rsidRPr="00012278" w:rsidRDefault="006140B9" w:rsidP="006140B9">
            <w:pPr>
              <w:rPr>
                <w:b/>
                <w:i/>
                <w:szCs w:val="22"/>
                <w:lang w:val="sr-Latn-ME"/>
              </w:rPr>
            </w:pPr>
            <w:r w:rsidRPr="00012278">
              <w:rPr>
                <w:b/>
                <w:i/>
                <w:szCs w:val="22"/>
                <w:lang w:val="sr-Latn-ME"/>
              </w:rPr>
              <w:t>Teške i/ili opasne po život (stepen 3-</w:t>
            </w:r>
            <w:r w:rsidRPr="00012278">
              <w:rPr>
                <w:b/>
                <w:i/>
                <w:szCs w:val="22"/>
                <w:lang w:val="sr-Latn-ME"/>
              </w:rPr>
              <w:lastRenderedPageBreak/>
              <w:t>4) ili koje se smatraju medicinski relevantnima</w:t>
            </w:r>
          </w:p>
        </w:tc>
        <w:tc>
          <w:tcPr>
            <w:tcW w:w="1822" w:type="dxa"/>
            <w:shd w:val="clear" w:color="auto" w:fill="auto"/>
            <w:vAlign w:val="center"/>
          </w:tcPr>
          <w:p w14:paraId="532846B4" w14:textId="77777777" w:rsidR="006140B9" w:rsidRPr="00012278" w:rsidRDefault="006140B9" w:rsidP="006140B9">
            <w:pPr>
              <w:rPr>
                <w:b/>
                <w:szCs w:val="22"/>
                <w:lang w:val="sr-Latn-ME"/>
              </w:rPr>
            </w:pPr>
            <w:r w:rsidRPr="00012278">
              <w:rPr>
                <w:b/>
                <w:szCs w:val="22"/>
                <w:lang w:val="sr-Latn-ME"/>
              </w:rPr>
              <w:lastRenderedPageBreak/>
              <w:t>Rijetko/veoma</w:t>
            </w:r>
          </w:p>
          <w:p w14:paraId="4B2D38FD" w14:textId="77777777" w:rsidR="006140B9" w:rsidRPr="00012278" w:rsidRDefault="006140B9" w:rsidP="006140B9">
            <w:pPr>
              <w:rPr>
                <w:b/>
                <w:szCs w:val="22"/>
                <w:lang w:val="sr-Latn-ME"/>
              </w:rPr>
            </w:pPr>
            <w:r w:rsidRPr="00012278">
              <w:rPr>
                <w:b/>
                <w:szCs w:val="22"/>
                <w:lang w:val="sr-Latn-ME"/>
              </w:rPr>
              <w:t>rijetko</w:t>
            </w:r>
          </w:p>
          <w:p w14:paraId="20F01455" w14:textId="77777777" w:rsidR="006140B9" w:rsidRPr="00012278" w:rsidRDefault="006140B9" w:rsidP="006140B9">
            <w:pPr>
              <w:rPr>
                <w:b/>
                <w:szCs w:val="22"/>
                <w:lang w:val="sr-Latn-ME"/>
              </w:rPr>
            </w:pPr>
            <w:r w:rsidRPr="00012278">
              <w:rPr>
                <w:b/>
                <w:szCs w:val="22"/>
                <w:lang w:val="sr-Latn-ME"/>
              </w:rPr>
              <w:t>(iskustvo nakon</w:t>
            </w:r>
          </w:p>
          <w:p w14:paraId="3548D33A" w14:textId="77777777" w:rsidR="006140B9" w:rsidRPr="00012278" w:rsidRDefault="006140B9" w:rsidP="006140B9">
            <w:pPr>
              <w:rPr>
                <w:b/>
                <w:szCs w:val="22"/>
                <w:lang w:val="sr-Latn-ME"/>
              </w:rPr>
            </w:pPr>
            <w:r w:rsidRPr="00012278">
              <w:rPr>
                <w:b/>
                <w:szCs w:val="22"/>
                <w:lang w:val="sr-Latn-ME"/>
              </w:rPr>
              <w:lastRenderedPageBreak/>
              <w:t>stavljanja</w:t>
            </w:r>
          </w:p>
          <w:p w14:paraId="45DC2373" w14:textId="77777777" w:rsidR="006140B9" w:rsidRPr="00012278" w:rsidRDefault="006140B9" w:rsidP="006140B9">
            <w:pPr>
              <w:rPr>
                <w:b/>
                <w:szCs w:val="22"/>
                <w:lang w:val="sr-Latn-ME"/>
              </w:rPr>
            </w:pPr>
            <w:r w:rsidRPr="00012278">
              <w:rPr>
                <w:b/>
                <w:szCs w:val="22"/>
                <w:lang w:val="sr-Latn-ME"/>
              </w:rPr>
              <w:t>lijeka u</w:t>
            </w:r>
          </w:p>
          <w:p w14:paraId="2948C247" w14:textId="77777777" w:rsidR="006140B9" w:rsidRPr="00012278" w:rsidRDefault="006140B9" w:rsidP="006140B9">
            <w:pPr>
              <w:rPr>
                <w:szCs w:val="22"/>
                <w:lang w:val="sr-Latn-ME"/>
              </w:rPr>
            </w:pPr>
            <w:r w:rsidRPr="00012278">
              <w:rPr>
                <w:b/>
                <w:szCs w:val="22"/>
                <w:lang w:val="sr-Latn-ME"/>
              </w:rPr>
              <w:t>promet)</w:t>
            </w:r>
          </w:p>
        </w:tc>
      </w:tr>
      <w:tr w:rsidR="00983B65" w:rsidRPr="00012278" w14:paraId="03D93FDB" w14:textId="77777777" w:rsidTr="002B4BD7">
        <w:tc>
          <w:tcPr>
            <w:tcW w:w="1709" w:type="dxa"/>
            <w:shd w:val="clear" w:color="auto" w:fill="auto"/>
          </w:tcPr>
          <w:p w14:paraId="4CFAC604" w14:textId="77777777" w:rsidR="006140B9" w:rsidRPr="00012278" w:rsidRDefault="006140B9" w:rsidP="006140B9">
            <w:pPr>
              <w:rPr>
                <w:szCs w:val="22"/>
                <w:lang w:val="sr-Latn-ME"/>
              </w:rPr>
            </w:pPr>
            <w:r w:rsidRPr="00012278">
              <w:rPr>
                <w:i/>
                <w:szCs w:val="22"/>
                <w:lang w:val="sr-Latn-ME"/>
              </w:rPr>
              <w:lastRenderedPageBreak/>
              <w:t>Infekcije i infestacije</w:t>
            </w:r>
          </w:p>
        </w:tc>
        <w:tc>
          <w:tcPr>
            <w:tcW w:w="1731" w:type="dxa"/>
            <w:shd w:val="clear" w:color="auto" w:fill="auto"/>
          </w:tcPr>
          <w:p w14:paraId="4B8B6EB4" w14:textId="77777777" w:rsidR="006140B9" w:rsidRPr="00012278" w:rsidRDefault="006140B9" w:rsidP="006140B9">
            <w:pPr>
              <w:rPr>
                <w:szCs w:val="22"/>
                <w:lang w:val="sr-Latn-ME"/>
              </w:rPr>
            </w:pPr>
          </w:p>
        </w:tc>
        <w:tc>
          <w:tcPr>
            <w:tcW w:w="1897" w:type="dxa"/>
            <w:shd w:val="clear" w:color="auto" w:fill="auto"/>
          </w:tcPr>
          <w:p w14:paraId="3F22D4C5" w14:textId="77777777" w:rsidR="006140B9" w:rsidRPr="00012278" w:rsidRDefault="006140B9" w:rsidP="006140B9">
            <w:pPr>
              <w:rPr>
                <w:szCs w:val="22"/>
                <w:lang w:val="sr-Latn-ME"/>
              </w:rPr>
            </w:pPr>
            <w:r w:rsidRPr="00012278">
              <w:rPr>
                <w:szCs w:val="22"/>
                <w:lang w:val="sr-Latn-ME"/>
              </w:rPr>
              <w:t>infekcija herpes</w:t>
            </w:r>
          </w:p>
          <w:p w14:paraId="36495A31" w14:textId="77777777" w:rsidR="006140B9" w:rsidRPr="00012278" w:rsidRDefault="006140B9" w:rsidP="006140B9">
            <w:pPr>
              <w:rPr>
                <w:szCs w:val="22"/>
                <w:lang w:val="sr-Latn-ME"/>
              </w:rPr>
            </w:pPr>
            <w:r w:rsidRPr="00012278">
              <w:rPr>
                <w:szCs w:val="22"/>
                <w:lang w:val="sr-Latn-ME"/>
              </w:rPr>
              <w:t>virusom, nazofaringitis,</w:t>
            </w:r>
          </w:p>
          <w:p w14:paraId="3715CE5C" w14:textId="77777777" w:rsidR="006140B9" w:rsidRPr="00012278" w:rsidRDefault="006140B9" w:rsidP="006140B9">
            <w:pPr>
              <w:rPr>
                <w:szCs w:val="22"/>
                <w:lang w:val="sr-Latn-ME"/>
              </w:rPr>
            </w:pPr>
            <w:r w:rsidRPr="00012278">
              <w:rPr>
                <w:szCs w:val="22"/>
                <w:lang w:val="sr-Latn-ME"/>
              </w:rPr>
              <w:t>infekcija donjih disajnih puteva</w:t>
            </w:r>
          </w:p>
        </w:tc>
        <w:tc>
          <w:tcPr>
            <w:tcW w:w="1902" w:type="dxa"/>
            <w:shd w:val="clear" w:color="auto" w:fill="auto"/>
          </w:tcPr>
          <w:p w14:paraId="5A9A80FA" w14:textId="77777777" w:rsidR="006140B9" w:rsidRPr="00012278" w:rsidRDefault="006140B9" w:rsidP="006140B9">
            <w:pPr>
              <w:rPr>
                <w:szCs w:val="22"/>
                <w:lang w:val="sr-Latn-ME"/>
              </w:rPr>
            </w:pPr>
            <w:r w:rsidRPr="00012278">
              <w:rPr>
                <w:szCs w:val="22"/>
                <w:lang w:val="sr-Latn-ME"/>
              </w:rPr>
              <w:t>sepsa, infekcije urinarnog trakta,</w:t>
            </w:r>
          </w:p>
          <w:p w14:paraId="7452E3B0" w14:textId="77777777" w:rsidR="006140B9" w:rsidRPr="00012278" w:rsidRDefault="006140B9" w:rsidP="006140B9">
            <w:pPr>
              <w:rPr>
                <w:szCs w:val="22"/>
                <w:lang w:val="sr-Latn-ME"/>
              </w:rPr>
            </w:pPr>
            <w:r w:rsidRPr="00012278">
              <w:rPr>
                <w:szCs w:val="22"/>
                <w:lang w:val="sr-Latn-ME"/>
              </w:rPr>
              <w:t xml:space="preserve">celulitis, tonzilitis, </w:t>
            </w:r>
          </w:p>
          <w:p w14:paraId="2AF5D438" w14:textId="77777777" w:rsidR="006140B9" w:rsidRPr="00012278" w:rsidRDefault="006140B9" w:rsidP="006140B9">
            <w:pPr>
              <w:rPr>
                <w:szCs w:val="22"/>
                <w:lang w:val="sr-Latn-ME"/>
              </w:rPr>
            </w:pPr>
            <w:r w:rsidRPr="00012278">
              <w:rPr>
                <w:szCs w:val="22"/>
                <w:lang w:val="sr-Latn-ME"/>
              </w:rPr>
              <w:t xml:space="preserve">faringitis, oralna kandidijaza, grip, </w:t>
            </w:r>
          </w:p>
          <w:p w14:paraId="33DB36CB" w14:textId="77777777" w:rsidR="006140B9" w:rsidRPr="00012278" w:rsidRDefault="006140B9" w:rsidP="006140B9">
            <w:pPr>
              <w:rPr>
                <w:szCs w:val="22"/>
                <w:lang w:val="sr-Latn-ME"/>
              </w:rPr>
            </w:pPr>
            <w:r w:rsidRPr="00012278">
              <w:rPr>
                <w:szCs w:val="22"/>
                <w:lang w:val="sr-Latn-ME"/>
              </w:rPr>
              <w:t xml:space="preserve">gastroenteritis, </w:t>
            </w:r>
          </w:p>
          <w:p w14:paraId="7BD1EA66" w14:textId="77777777" w:rsidR="006140B9" w:rsidRPr="00012278" w:rsidRDefault="006140B9" w:rsidP="006140B9">
            <w:pPr>
              <w:rPr>
                <w:szCs w:val="22"/>
                <w:lang w:val="sr-Latn-ME"/>
              </w:rPr>
            </w:pPr>
            <w:r w:rsidRPr="00012278">
              <w:rPr>
                <w:szCs w:val="22"/>
                <w:lang w:val="sr-Latn-ME"/>
              </w:rPr>
              <w:t xml:space="preserve">gljivična infekcija, </w:t>
            </w:r>
          </w:p>
          <w:p w14:paraId="3F1A5765" w14:textId="77777777" w:rsidR="006140B9" w:rsidRPr="00012278" w:rsidRDefault="006140B9" w:rsidP="006140B9">
            <w:pPr>
              <w:rPr>
                <w:szCs w:val="22"/>
                <w:lang w:val="sr-Latn-ME"/>
              </w:rPr>
            </w:pPr>
            <w:r w:rsidRPr="00012278">
              <w:rPr>
                <w:szCs w:val="22"/>
                <w:lang w:val="sr-Latn-ME"/>
              </w:rPr>
              <w:t>infekcija, apsces zuba</w:t>
            </w:r>
          </w:p>
        </w:tc>
        <w:tc>
          <w:tcPr>
            <w:tcW w:w="1822" w:type="dxa"/>
            <w:shd w:val="clear" w:color="auto" w:fill="auto"/>
          </w:tcPr>
          <w:p w14:paraId="70979FC5" w14:textId="77777777" w:rsidR="006140B9" w:rsidRPr="00012278" w:rsidRDefault="006140B9" w:rsidP="006140B9">
            <w:pPr>
              <w:rPr>
                <w:szCs w:val="22"/>
                <w:lang w:val="sr-Latn-ME"/>
              </w:rPr>
            </w:pPr>
          </w:p>
        </w:tc>
      </w:tr>
      <w:tr w:rsidR="00983B65" w:rsidRPr="00012278" w14:paraId="2ADEE11B" w14:textId="77777777" w:rsidTr="002B4BD7">
        <w:tc>
          <w:tcPr>
            <w:tcW w:w="1709" w:type="dxa"/>
            <w:shd w:val="clear" w:color="auto" w:fill="auto"/>
          </w:tcPr>
          <w:p w14:paraId="40736EA1" w14:textId="77777777" w:rsidR="006140B9" w:rsidRPr="00012278" w:rsidRDefault="006140B9" w:rsidP="006140B9">
            <w:pPr>
              <w:rPr>
                <w:i/>
                <w:szCs w:val="22"/>
                <w:lang w:val="sr-Latn-ME"/>
              </w:rPr>
            </w:pPr>
            <w:r w:rsidRPr="00012278">
              <w:rPr>
                <w:i/>
                <w:szCs w:val="22"/>
                <w:lang w:val="sr-Latn-ME"/>
              </w:rPr>
              <w:t>Neoplazme benigne, maligne i neodređene</w:t>
            </w:r>
          </w:p>
        </w:tc>
        <w:tc>
          <w:tcPr>
            <w:tcW w:w="1731" w:type="dxa"/>
            <w:shd w:val="clear" w:color="auto" w:fill="auto"/>
          </w:tcPr>
          <w:p w14:paraId="2767E790" w14:textId="77777777" w:rsidR="006140B9" w:rsidRPr="00012278" w:rsidRDefault="006140B9" w:rsidP="006140B9">
            <w:pPr>
              <w:rPr>
                <w:szCs w:val="22"/>
                <w:lang w:val="sr-Latn-ME"/>
              </w:rPr>
            </w:pPr>
          </w:p>
        </w:tc>
        <w:tc>
          <w:tcPr>
            <w:tcW w:w="1897" w:type="dxa"/>
            <w:shd w:val="clear" w:color="auto" w:fill="auto"/>
          </w:tcPr>
          <w:p w14:paraId="582B4751" w14:textId="77777777" w:rsidR="006140B9" w:rsidRPr="00012278" w:rsidRDefault="006140B9" w:rsidP="006140B9">
            <w:pPr>
              <w:rPr>
                <w:szCs w:val="22"/>
                <w:lang w:val="sr-Latn-ME"/>
              </w:rPr>
            </w:pPr>
          </w:p>
        </w:tc>
        <w:tc>
          <w:tcPr>
            <w:tcW w:w="1902" w:type="dxa"/>
            <w:shd w:val="clear" w:color="auto" w:fill="auto"/>
          </w:tcPr>
          <w:p w14:paraId="0F5BDD9F" w14:textId="77777777" w:rsidR="006140B9" w:rsidRPr="00012278" w:rsidRDefault="006140B9" w:rsidP="006140B9">
            <w:pPr>
              <w:rPr>
                <w:szCs w:val="22"/>
                <w:lang w:val="sr-Latn-ME"/>
              </w:rPr>
            </w:pPr>
            <w:r w:rsidRPr="00012278">
              <w:rPr>
                <w:szCs w:val="22"/>
                <w:lang w:val="sr-Latn-ME"/>
              </w:rPr>
              <w:t>lipom</w:t>
            </w:r>
          </w:p>
        </w:tc>
        <w:tc>
          <w:tcPr>
            <w:tcW w:w="1822" w:type="dxa"/>
            <w:shd w:val="clear" w:color="auto" w:fill="auto"/>
          </w:tcPr>
          <w:p w14:paraId="5251E584" w14:textId="77777777" w:rsidR="006140B9" w:rsidRPr="00012278" w:rsidRDefault="006140B9" w:rsidP="006140B9">
            <w:pPr>
              <w:rPr>
                <w:szCs w:val="22"/>
                <w:lang w:val="sr-Latn-ME"/>
              </w:rPr>
            </w:pPr>
          </w:p>
        </w:tc>
      </w:tr>
      <w:tr w:rsidR="00983B65" w:rsidRPr="00012278" w14:paraId="079DD6F1" w14:textId="77777777" w:rsidTr="002B4BD7">
        <w:tc>
          <w:tcPr>
            <w:tcW w:w="1709" w:type="dxa"/>
            <w:shd w:val="clear" w:color="auto" w:fill="auto"/>
          </w:tcPr>
          <w:p w14:paraId="436E8EB8" w14:textId="77777777" w:rsidR="006140B9" w:rsidRPr="00012278" w:rsidRDefault="006140B9" w:rsidP="006140B9">
            <w:pPr>
              <w:rPr>
                <w:i/>
                <w:szCs w:val="22"/>
                <w:lang w:val="sr-Latn-ME"/>
              </w:rPr>
            </w:pPr>
            <w:r w:rsidRPr="00012278">
              <w:rPr>
                <w:i/>
                <w:szCs w:val="22"/>
                <w:lang w:val="sr-Latn-ME"/>
              </w:rPr>
              <w:t>Poremećaji krvi i limfnog sistema</w:t>
            </w:r>
          </w:p>
        </w:tc>
        <w:tc>
          <w:tcPr>
            <w:tcW w:w="1731" w:type="dxa"/>
            <w:shd w:val="clear" w:color="auto" w:fill="auto"/>
          </w:tcPr>
          <w:p w14:paraId="0365EE62" w14:textId="77777777" w:rsidR="006140B9" w:rsidRPr="00012278" w:rsidRDefault="006140B9" w:rsidP="006140B9">
            <w:pPr>
              <w:rPr>
                <w:szCs w:val="22"/>
                <w:lang w:val="sr-Latn-ME"/>
              </w:rPr>
            </w:pPr>
          </w:p>
        </w:tc>
        <w:tc>
          <w:tcPr>
            <w:tcW w:w="1897" w:type="dxa"/>
            <w:shd w:val="clear" w:color="auto" w:fill="auto"/>
          </w:tcPr>
          <w:p w14:paraId="7876C84A" w14:textId="77777777" w:rsidR="006140B9" w:rsidRPr="00012278" w:rsidRDefault="006140B9" w:rsidP="006140B9">
            <w:pPr>
              <w:rPr>
                <w:szCs w:val="22"/>
                <w:lang w:val="sr-Latn-ME"/>
              </w:rPr>
            </w:pPr>
            <w:r w:rsidRPr="00012278">
              <w:rPr>
                <w:szCs w:val="22"/>
                <w:lang w:val="sr-Latn-ME"/>
              </w:rPr>
              <w:t>neutropenija,</w:t>
            </w:r>
          </w:p>
          <w:p w14:paraId="7FEEC2E7" w14:textId="77777777" w:rsidR="006140B9" w:rsidRPr="00012278" w:rsidRDefault="006140B9" w:rsidP="006140B9">
            <w:pPr>
              <w:rPr>
                <w:szCs w:val="22"/>
                <w:lang w:val="sr-Latn-ME"/>
              </w:rPr>
            </w:pPr>
            <w:r w:rsidRPr="00012278">
              <w:rPr>
                <w:szCs w:val="22"/>
                <w:lang w:val="sr-Latn-ME"/>
              </w:rPr>
              <w:t>anemija</w:t>
            </w:r>
          </w:p>
        </w:tc>
        <w:tc>
          <w:tcPr>
            <w:tcW w:w="1902" w:type="dxa"/>
            <w:shd w:val="clear" w:color="auto" w:fill="auto"/>
          </w:tcPr>
          <w:p w14:paraId="05B81A39" w14:textId="77777777" w:rsidR="006140B9" w:rsidRPr="00012278" w:rsidRDefault="006140B9" w:rsidP="006140B9">
            <w:pPr>
              <w:rPr>
                <w:szCs w:val="22"/>
                <w:lang w:val="sr-Latn-ME"/>
              </w:rPr>
            </w:pPr>
            <w:r w:rsidRPr="00012278">
              <w:rPr>
                <w:szCs w:val="22"/>
                <w:lang w:val="sr-Latn-ME"/>
              </w:rPr>
              <w:t>febrilna neutropenija,</w:t>
            </w:r>
          </w:p>
          <w:p w14:paraId="02D2AB64" w14:textId="77777777" w:rsidR="006140B9" w:rsidRPr="00012278" w:rsidRDefault="006140B9" w:rsidP="006140B9">
            <w:pPr>
              <w:rPr>
                <w:szCs w:val="22"/>
                <w:lang w:val="sr-Latn-ME"/>
              </w:rPr>
            </w:pPr>
            <w:r w:rsidRPr="00012278">
              <w:rPr>
                <w:szCs w:val="22"/>
                <w:lang w:val="sr-Latn-ME"/>
              </w:rPr>
              <w:t>pancitopenija,</w:t>
            </w:r>
          </w:p>
          <w:p w14:paraId="6705D505" w14:textId="77777777" w:rsidR="006140B9" w:rsidRPr="00012278" w:rsidRDefault="006140B9" w:rsidP="006140B9">
            <w:pPr>
              <w:rPr>
                <w:szCs w:val="22"/>
                <w:lang w:val="sr-Latn-ME"/>
              </w:rPr>
            </w:pPr>
            <w:r w:rsidRPr="00012278">
              <w:rPr>
                <w:szCs w:val="22"/>
                <w:lang w:val="sr-Latn-ME"/>
              </w:rPr>
              <w:t>granulocitopenija,</w:t>
            </w:r>
          </w:p>
          <w:p w14:paraId="65CA1BC6" w14:textId="77777777" w:rsidR="006140B9" w:rsidRPr="00012278" w:rsidRDefault="006140B9" w:rsidP="006140B9">
            <w:pPr>
              <w:rPr>
                <w:szCs w:val="22"/>
                <w:lang w:val="sr-Latn-ME"/>
              </w:rPr>
            </w:pPr>
            <w:r w:rsidRPr="00012278">
              <w:rPr>
                <w:szCs w:val="22"/>
                <w:lang w:val="sr-Latn-ME"/>
              </w:rPr>
              <w:t>trombocitopenija, leukopenija,</w:t>
            </w:r>
          </w:p>
          <w:p w14:paraId="15986E8C" w14:textId="77777777" w:rsidR="006140B9" w:rsidRPr="00012278" w:rsidRDefault="006140B9" w:rsidP="006140B9">
            <w:pPr>
              <w:rPr>
                <w:szCs w:val="22"/>
                <w:lang w:val="sr-Latn-ME"/>
              </w:rPr>
            </w:pPr>
            <w:r w:rsidRPr="00012278">
              <w:rPr>
                <w:szCs w:val="22"/>
                <w:lang w:val="sr-Latn-ME"/>
              </w:rPr>
              <w:t>hemolitička anemija, povećanje INR (International normalised Ratio) /produženje protrombinskog vremena</w:t>
            </w:r>
          </w:p>
        </w:tc>
        <w:tc>
          <w:tcPr>
            <w:tcW w:w="1822" w:type="dxa"/>
            <w:shd w:val="clear" w:color="auto" w:fill="auto"/>
          </w:tcPr>
          <w:p w14:paraId="13D5AEC1" w14:textId="77777777" w:rsidR="006140B9" w:rsidRPr="00012278" w:rsidRDefault="006140B9" w:rsidP="006140B9">
            <w:pPr>
              <w:rPr>
                <w:szCs w:val="22"/>
                <w:lang w:val="sr-Latn-ME"/>
              </w:rPr>
            </w:pPr>
          </w:p>
        </w:tc>
      </w:tr>
      <w:tr w:rsidR="00983B65" w:rsidRPr="00012278" w14:paraId="1AB016C6" w14:textId="77777777" w:rsidTr="002B4BD7">
        <w:tc>
          <w:tcPr>
            <w:tcW w:w="1709" w:type="dxa"/>
            <w:shd w:val="clear" w:color="auto" w:fill="auto"/>
          </w:tcPr>
          <w:p w14:paraId="4D4B9133" w14:textId="77777777" w:rsidR="006140B9" w:rsidRPr="00012278" w:rsidRDefault="006140B9" w:rsidP="006140B9">
            <w:pPr>
              <w:rPr>
                <w:i/>
                <w:szCs w:val="22"/>
                <w:lang w:val="sr-Latn-ME"/>
              </w:rPr>
            </w:pPr>
            <w:r w:rsidRPr="00012278">
              <w:rPr>
                <w:i/>
                <w:szCs w:val="22"/>
                <w:lang w:val="sr-Latn-ME"/>
              </w:rPr>
              <w:t xml:space="preserve">Imunološki poremećaji </w:t>
            </w:r>
          </w:p>
        </w:tc>
        <w:tc>
          <w:tcPr>
            <w:tcW w:w="1731" w:type="dxa"/>
            <w:shd w:val="clear" w:color="auto" w:fill="auto"/>
          </w:tcPr>
          <w:p w14:paraId="670E2D76" w14:textId="77777777" w:rsidR="006140B9" w:rsidRPr="00012278" w:rsidRDefault="006140B9" w:rsidP="006140B9">
            <w:pPr>
              <w:rPr>
                <w:szCs w:val="22"/>
                <w:lang w:val="sr-Latn-ME"/>
              </w:rPr>
            </w:pPr>
          </w:p>
        </w:tc>
        <w:tc>
          <w:tcPr>
            <w:tcW w:w="1897" w:type="dxa"/>
            <w:shd w:val="clear" w:color="auto" w:fill="auto"/>
          </w:tcPr>
          <w:p w14:paraId="25F30333" w14:textId="77777777" w:rsidR="006140B9" w:rsidRPr="00012278" w:rsidRDefault="006140B9" w:rsidP="006140B9">
            <w:pPr>
              <w:rPr>
                <w:szCs w:val="22"/>
                <w:lang w:val="sr-Latn-ME"/>
              </w:rPr>
            </w:pPr>
          </w:p>
        </w:tc>
        <w:tc>
          <w:tcPr>
            <w:tcW w:w="1902" w:type="dxa"/>
            <w:shd w:val="clear" w:color="auto" w:fill="auto"/>
          </w:tcPr>
          <w:p w14:paraId="76CE949D" w14:textId="77777777" w:rsidR="006140B9" w:rsidRPr="00012278" w:rsidRDefault="006140B9" w:rsidP="006140B9">
            <w:pPr>
              <w:rPr>
                <w:szCs w:val="22"/>
                <w:lang w:val="sr-Latn-ME"/>
              </w:rPr>
            </w:pPr>
            <w:r w:rsidRPr="00012278">
              <w:rPr>
                <w:szCs w:val="22"/>
                <w:lang w:val="sr-Latn-ME"/>
              </w:rPr>
              <w:t>preosjetljivost</w:t>
            </w:r>
          </w:p>
        </w:tc>
        <w:tc>
          <w:tcPr>
            <w:tcW w:w="1822" w:type="dxa"/>
            <w:shd w:val="clear" w:color="auto" w:fill="auto"/>
          </w:tcPr>
          <w:p w14:paraId="6E284A1C" w14:textId="77777777" w:rsidR="006140B9" w:rsidRPr="00012278" w:rsidRDefault="005112A3" w:rsidP="006140B9">
            <w:pPr>
              <w:rPr>
                <w:szCs w:val="22"/>
                <w:lang w:val="sr-Latn-ME"/>
              </w:rPr>
            </w:pPr>
            <w:r w:rsidRPr="00012278">
              <w:rPr>
                <w:szCs w:val="22"/>
                <w:lang w:val="sr-Latn-ME"/>
              </w:rPr>
              <w:t>angioedem (</w:t>
            </w:r>
            <w:r w:rsidR="004A51AB" w:rsidRPr="00012278">
              <w:rPr>
                <w:szCs w:val="22"/>
                <w:lang w:val="sr-Latn-ME"/>
              </w:rPr>
              <w:t>rijetko</w:t>
            </w:r>
            <w:r w:rsidRPr="00012278">
              <w:rPr>
                <w:szCs w:val="22"/>
                <w:lang w:val="sr-Latn-ME"/>
              </w:rPr>
              <w:t>)</w:t>
            </w:r>
          </w:p>
        </w:tc>
      </w:tr>
      <w:tr w:rsidR="00983B65" w:rsidRPr="00012278" w14:paraId="54513CDF" w14:textId="77777777" w:rsidTr="002B4BD7">
        <w:tc>
          <w:tcPr>
            <w:tcW w:w="1709" w:type="dxa"/>
            <w:shd w:val="clear" w:color="auto" w:fill="auto"/>
          </w:tcPr>
          <w:p w14:paraId="7066747B" w14:textId="77777777" w:rsidR="006140B9" w:rsidRPr="00012278" w:rsidRDefault="006140B9" w:rsidP="006140B9">
            <w:pPr>
              <w:rPr>
                <w:i/>
                <w:szCs w:val="22"/>
                <w:lang w:val="sr-Latn-ME"/>
              </w:rPr>
            </w:pPr>
            <w:r w:rsidRPr="00012278">
              <w:rPr>
                <w:i/>
                <w:szCs w:val="22"/>
                <w:lang w:val="sr-Latn-ME"/>
              </w:rPr>
              <w:t>Poremećaji metabolizma i ishrane</w:t>
            </w:r>
          </w:p>
        </w:tc>
        <w:tc>
          <w:tcPr>
            <w:tcW w:w="1731" w:type="dxa"/>
            <w:shd w:val="clear" w:color="auto" w:fill="auto"/>
          </w:tcPr>
          <w:p w14:paraId="258F889F" w14:textId="77777777" w:rsidR="006140B9" w:rsidRPr="00012278" w:rsidRDefault="006140B9" w:rsidP="006140B9">
            <w:pPr>
              <w:rPr>
                <w:szCs w:val="22"/>
                <w:lang w:val="sr-Latn-ME"/>
              </w:rPr>
            </w:pPr>
            <w:r w:rsidRPr="00012278">
              <w:rPr>
                <w:szCs w:val="22"/>
                <w:lang w:val="sr-Latn-ME"/>
              </w:rPr>
              <w:t>anoreksija</w:t>
            </w:r>
          </w:p>
        </w:tc>
        <w:tc>
          <w:tcPr>
            <w:tcW w:w="1897" w:type="dxa"/>
            <w:shd w:val="clear" w:color="auto" w:fill="auto"/>
          </w:tcPr>
          <w:p w14:paraId="0E791202" w14:textId="77777777" w:rsidR="006140B9" w:rsidRPr="00012278" w:rsidRDefault="006140B9" w:rsidP="006140B9">
            <w:pPr>
              <w:rPr>
                <w:szCs w:val="22"/>
                <w:lang w:val="sr-Latn-ME"/>
              </w:rPr>
            </w:pPr>
            <w:r w:rsidRPr="00012278">
              <w:rPr>
                <w:szCs w:val="22"/>
                <w:lang w:val="sr-Latn-ME"/>
              </w:rPr>
              <w:t>dehidracija, gubitak</w:t>
            </w:r>
          </w:p>
          <w:p w14:paraId="55B48CD3" w14:textId="36A895ED" w:rsidR="006140B9" w:rsidRPr="00012278" w:rsidRDefault="006140B9" w:rsidP="007517C0">
            <w:pPr>
              <w:rPr>
                <w:szCs w:val="22"/>
                <w:lang w:val="sr-Latn-ME"/>
              </w:rPr>
            </w:pPr>
            <w:r w:rsidRPr="00012278">
              <w:rPr>
                <w:szCs w:val="22"/>
                <w:lang w:val="sr-Latn-ME"/>
              </w:rPr>
              <w:t xml:space="preserve">tjelesne </w:t>
            </w:r>
            <w:r w:rsidR="009D2A3C" w:rsidRPr="00012278">
              <w:rPr>
                <w:szCs w:val="22"/>
                <w:lang w:val="sr-Latn-ME"/>
              </w:rPr>
              <w:t>mase</w:t>
            </w:r>
          </w:p>
        </w:tc>
        <w:tc>
          <w:tcPr>
            <w:tcW w:w="1902" w:type="dxa"/>
            <w:shd w:val="clear" w:color="auto" w:fill="auto"/>
          </w:tcPr>
          <w:p w14:paraId="0A8B5A0A" w14:textId="77777777" w:rsidR="006140B9" w:rsidRPr="00012278" w:rsidRDefault="006140B9" w:rsidP="006140B9">
            <w:pPr>
              <w:rPr>
                <w:szCs w:val="22"/>
                <w:lang w:val="sr-Latn-ME"/>
              </w:rPr>
            </w:pPr>
            <w:r w:rsidRPr="00012278">
              <w:rPr>
                <w:szCs w:val="22"/>
                <w:lang w:val="sr-Latn-ME"/>
              </w:rPr>
              <w:t>šećerna bolest, hipokalemija,</w:t>
            </w:r>
          </w:p>
          <w:p w14:paraId="1F09EDE1" w14:textId="77777777" w:rsidR="006140B9" w:rsidRPr="00012278" w:rsidRDefault="006140B9" w:rsidP="006140B9">
            <w:pPr>
              <w:rPr>
                <w:szCs w:val="22"/>
                <w:lang w:val="sr-Latn-ME"/>
              </w:rPr>
            </w:pPr>
            <w:r w:rsidRPr="00012278">
              <w:rPr>
                <w:szCs w:val="22"/>
                <w:lang w:val="sr-Latn-ME"/>
              </w:rPr>
              <w:t>poremećaj apetita, malnutricija,</w:t>
            </w:r>
          </w:p>
          <w:p w14:paraId="5AF785B6" w14:textId="77777777" w:rsidR="006140B9" w:rsidRPr="00012278" w:rsidRDefault="006140B9" w:rsidP="006140B9">
            <w:pPr>
              <w:rPr>
                <w:szCs w:val="22"/>
                <w:lang w:val="sr-Latn-ME"/>
              </w:rPr>
            </w:pPr>
            <w:r w:rsidRPr="00012278">
              <w:rPr>
                <w:szCs w:val="22"/>
                <w:lang w:val="sr-Latn-ME"/>
              </w:rPr>
              <w:t>hipertrigliceridemija</w:t>
            </w:r>
          </w:p>
        </w:tc>
        <w:tc>
          <w:tcPr>
            <w:tcW w:w="1822" w:type="dxa"/>
            <w:shd w:val="clear" w:color="auto" w:fill="auto"/>
          </w:tcPr>
          <w:p w14:paraId="64D18110" w14:textId="77777777" w:rsidR="006140B9" w:rsidRPr="00012278" w:rsidRDefault="006140B9" w:rsidP="006140B9">
            <w:pPr>
              <w:rPr>
                <w:szCs w:val="22"/>
                <w:lang w:val="sr-Latn-ME"/>
              </w:rPr>
            </w:pPr>
          </w:p>
        </w:tc>
      </w:tr>
      <w:tr w:rsidR="00983B65" w:rsidRPr="00012278" w14:paraId="13A16F9E" w14:textId="77777777" w:rsidTr="002B4BD7">
        <w:tc>
          <w:tcPr>
            <w:tcW w:w="1709" w:type="dxa"/>
            <w:shd w:val="clear" w:color="auto" w:fill="auto"/>
          </w:tcPr>
          <w:p w14:paraId="4B990CBB" w14:textId="77777777" w:rsidR="006140B9" w:rsidRPr="00012278" w:rsidRDefault="006140B9" w:rsidP="006140B9">
            <w:pPr>
              <w:rPr>
                <w:i/>
                <w:szCs w:val="22"/>
                <w:lang w:val="sr-Latn-ME"/>
              </w:rPr>
            </w:pPr>
            <w:r w:rsidRPr="00012278">
              <w:rPr>
                <w:i/>
                <w:szCs w:val="22"/>
                <w:lang w:val="sr-Latn-ME"/>
              </w:rPr>
              <w:t>Psihijatrijski poremećaji</w:t>
            </w:r>
          </w:p>
        </w:tc>
        <w:tc>
          <w:tcPr>
            <w:tcW w:w="1731" w:type="dxa"/>
            <w:shd w:val="clear" w:color="auto" w:fill="auto"/>
          </w:tcPr>
          <w:p w14:paraId="498A33FB" w14:textId="77777777" w:rsidR="006140B9" w:rsidRPr="00012278" w:rsidRDefault="006140B9" w:rsidP="006140B9">
            <w:pPr>
              <w:rPr>
                <w:szCs w:val="22"/>
                <w:lang w:val="sr-Latn-ME"/>
              </w:rPr>
            </w:pPr>
          </w:p>
        </w:tc>
        <w:tc>
          <w:tcPr>
            <w:tcW w:w="1897" w:type="dxa"/>
            <w:shd w:val="clear" w:color="auto" w:fill="auto"/>
          </w:tcPr>
          <w:p w14:paraId="55F8FA0D" w14:textId="77777777" w:rsidR="006140B9" w:rsidRPr="00012278" w:rsidRDefault="006140B9" w:rsidP="006140B9">
            <w:pPr>
              <w:rPr>
                <w:szCs w:val="22"/>
                <w:lang w:val="sr-Latn-ME"/>
              </w:rPr>
            </w:pPr>
            <w:r w:rsidRPr="00012278">
              <w:rPr>
                <w:szCs w:val="22"/>
                <w:lang w:val="sr-Latn-ME"/>
              </w:rPr>
              <w:t xml:space="preserve">nesanica, depresija </w:t>
            </w:r>
          </w:p>
          <w:p w14:paraId="4B9DA4B5" w14:textId="77777777" w:rsidR="006140B9" w:rsidRPr="00012278" w:rsidRDefault="006140B9" w:rsidP="006140B9">
            <w:pPr>
              <w:rPr>
                <w:szCs w:val="22"/>
                <w:lang w:val="sr-Latn-ME"/>
              </w:rPr>
            </w:pPr>
          </w:p>
        </w:tc>
        <w:tc>
          <w:tcPr>
            <w:tcW w:w="1902" w:type="dxa"/>
            <w:shd w:val="clear" w:color="auto" w:fill="auto"/>
          </w:tcPr>
          <w:p w14:paraId="79C48160" w14:textId="77777777" w:rsidR="006140B9" w:rsidRPr="00012278" w:rsidRDefault="006140B9" w:rsidP="006140B9">
            <w:pPr>
              <w:rPr>
                <w:szCs w:val="22"/>
                <w:lang w:val="sr-Latn-ME"/>
              </w:rPr>
            </w:pPr>
            <w:r w:rsidRPr="00012278">
              <w:rPr>
                <w:szCs w:val="22"/>
                <w:lang w:val="sr-Latn-ME"/>
              </w:rPr>
              <w:t>stanje konfuzije, napad</w:t>
            </w:r>
          </w:p>
          <w:p w14:paraId="02A446FA" w14:textId="77777777" w:rsidR="006140B9" w:rsidRPr="00012278" w:rsidRDefault="006140B9" w:rsidP="006140B9">
            <w:pPr>
              <w:rPr>
                <w:szCs w:val="22"/>
                <w:lang w:val="sr-Latn-ME"/>
              </w:rPr>
            </w:pPr>
            <w:r w:rsidRPr="00012278">
              <w:rPr>
                <w:szCs w:val="22"/>
                <w:lang w:val="sr-Latn-ME"/>
              </w:rPr>
              <w:t>panike, depresivno</w:t>
            </w:r>
          </w:p>
          <w:p w14:paraId="7343851D" w14:textId="77777777" w:rsidR="006140B9" w:rsidRPr="00012278" w:rsidRDefault="006140B9" w:rsidP="006140B9">
            <w:pPr>
              <w:rPr>
                <w:szCs w:val="22"/>
                <w:lang w:val="sr-Latn-ME"/>
              </w:rPr>
            </w:pPr>
            <w:r w:rsidRPr="00012278">
              <w:rPr>
                <w:szCs w:val="22"/>
                <w:lang w:val="sr-Latn-ME"/>
              </w:rPr>
              <w:t>raspoloženje, smanjen libido</w:t>
            </w:r>
          </w:p>
        </w:tc>
        <w:tc>
          <w:tcPr>
            <w:tcW w:w="1822" w:type="dxa"/>
            <w:shd w:val="clear" w:color="auto" w:fill="auto"/>
          </w:tcPr>
          <w:p w14:paraId="00568E65" w14:textId="77777777" w:rsidR="006140B9" w:rsidRPr="00012278" w:rsidRDefault="006140B9" w:rsidP="006140B9">
            <w:pPr>
              <w:rPr>
                <w:szCs w:val="22"/>
                <w:lang w:val="sr-Latn-ME"/>
              </w:rPr>
            </w:pPr>
          </w:p>
        </w:tc>
      </w:tr>
      <w:tr w:rsidR="00983B65" w:rsidRPr="00012278" w14:paraId="3730CB7E" w14:textId="77777777" w:rsidTr="002B4BD7">
        <w:tc>
          <w:tcPr>
            <w:tcW w:w="1709" w:type="dxa"/>
            <w:shd w:val="clear" w:color="auto" w:fill="auto"/>
          </w:tcPr>
          <w:p w14:paraId="3343B959" w14:textId="77777777" w:rsidR="006140B9" w:rsidRPr="00012278" w:rsidRDefault="006140B9" w:rsidP="006140B9">
            <w:pPr>
              <w:rPr>
                <w:i/>
                <w:szCs w:val="22"/>
                <w:lang w:val="sr-Latn-ME"/>
              </w:rPr>
            </w:pPr>
            <w:r w:rsidRPr="00012278">
              <w:rPr>
                <w:i/>
                <w:szCs w:val="22"/>
                <w:lang w:val="sr-Latn-ME"/>
              </w:rPr>
              <w:t>Poremećaji nervnog sistema</w:t>
            </w:r>
          </w:p>
        </w:tc>
        <w:tc>
          <w:tcPr>
            <w:tcW w:w="1731" w:type="dxa"/>
            <w:shd w:val="clear" w:color="auto" w:fill="auto"/>
          </w:tcPr>
          <w:p w14:paraId="482A4EF9" w14:textId="77777777" w:rsidR="006140B9" w:rsidRPr="00012278" w:rsidRDefault="006140B9" w:rsidP="006140B9">
            <w:pPr>
              <w:rPr>
                <w:szCs w:val="22"/>
                <w:lang w:val="sr-Latn-ME"/>
              </w:rPr>
            </w:pPr>
          </w:p>
        </w:tc>
        <w:tc>
          <w:tcPr>
            <w:tcW w:w="1897" w:type="dxa"/>
            <w:shd w:val="clear" w:color="auto" w:fill="auto"/>
          </w:tcPr>
          <w:p w14:paraId="1A2488FE" w14:textId="77777777" w:rsidR="006140B9" w:rsidRPr="00012278" w:rsidRDefault="006140B9" w:rsidP="006140B9">
            <w:pPr>
              <w:rPr>
                <w:szCs w:val="22"/>
                <w:lang w:val="sr-Latn-ME"/>
              </w:rPr>
            </w:pPr>
            <w:r w:rsidRPr="00012278">
              <w:rPr>
                <w:szCs w:val="22"/>
                <w:lang w:val="sr-Latn-ME"/>
              </w:rPr>
              <w:t xml:space="preserve">glavobolja, </w:t>
            </w:r>
          </w:p>
          <w:p w14:paraId="06A82649" w14:textId="77777777" w:rsidR="006140B9" w:rsidRPr="00012278" w:rsidRDefault="006140B9" w:rsidP="006140B9">
            <w:pPr>
              <w:rPr>
                <w:szCs w:val="22"/>
                <w:lang w:val="sr-Latn-ME"/>
              </w:rPr>
            </w:pPr>
            <w:r w:rsidRPr="00012278">
              <w:rPr>
                <w:szCs w:val="22"/>
                <w:lang w:val="sr-Latn-ME"/>
              </w:rPr>
              <w:t xml:space="preserve">letargija, </w:t>
            </w:r>
          </w:p>
          <w:p w14:paraId="7BD15FDC" w14:textId="77777777" w:rsidR="006140B9" w:rsidRPr="00012278" w:rsidRDefault="006140B9" w:rsidP="006140B9">
            <w:pPr>
              <w:rPr>
                <w:szCs w:val="22"/>
                <w:lang w:val="sr-Latn-ME"/>
              </w:rPr>
            </w:pPr>
            <w:r w:rsidRPr="00012278">
              <w:rPr>
                <w:szCs w:val="22"/>
                <w:lang w:val="sr-Latn-ME"/>
              </w:rPr>
              <w:t xml:space="preserve">vrtoglavica, </w:t>
            </w:r>
          </w:p>
          <w:p w14:paraId="2A57749B" w14:textId="77777777" w:rsidR="006140B9" w:rsidRPr="00012278" w:rsidRDefault="006140B9" w:rsidP="006140B9">
            <w:pPr>
              <w:rPr>
                <w:szCs w:val="22"/>
                <w:lang w:val="sr-Latn-ME"/>
              </w:rPr>
            </w:pPr>
            <w:r w:rsidRPr="00012278">
              <w:rPr>
                <w:szCs w:val="22"/>
                <w:lang w:val="sr-Latn-ME"/>
              </w:rPr>
              <w:t xml:space="preserve">parestezija, </w:t>
            </w:r>
          </w:p>
          <w:p w14:paraId="7821378C" w14:textId="77777777" w:rsidR="006140B9" w:rsidRPr="00012278" w:rsidRDefault="006140B9" w:rsidP="006140B9">
            <w:pPr>
              <w:rPr>
                <w:szCs w:val="22"/>
                <w:lang w:val="sr-Latn-ME"/>
              </w:rPr>
            </w:pPr>
            <w:r w:rsidRPr="00012278">
              <w:rPr>
                <w:szCs w:val="22"/>
                <w:lang w:val="sr-Latn-ME"/>
              </w:rPr>
              <w:t xml:space="preserve">disgeuzija </w:t>
            </w:r>
          </w:p>
          <w:p w14:paraId="2D5CDC83" w14:textId="77777777" w:rsidR="006140B9" w:rsidRPr="00012278" w:rsidRDefault="006140B9" w:rsidP="006140B9">
            <w:pPr>
              <w:rPr>
                <w:szCs w:val="22"/>
                <w:lang w:val="sr-Latn-ME"/>
              </w:rPr>
            </w:pPr>
          </w:p>
        </w:tc>
        <w:tc>
          <w:tcPr>
            <w:tcW w:w="1902" w:type="dxa"/>
            <w:shd w:val="clear" w:color="auto" w:fill="auto"/>
          </w:tcPr>
          <w:p w14:paraId="5E8461BC" w14:textId="77777777" w:rsidR="006140B9" w:rsidRPr="00012278" w:rsidRDefault="006140B9" w:rsidP="006140B9">
            <w:pPr>
              <w:rPr>
                <w:szCs w:val="22"/>
                <w:lang w:val="sr-Latn-ME"/>
              </w:rPr>
            </w:pPr>
            <w:r w:rsidRPr="00012278">
              <w:rPr>
                <w:szCs w:val="22"/>
                <w:lang w:val="sr-Latn-ME"/>
              </w:rPr>
              <w:t xml:space="preserve">afazija, </w:t>
            </w:r>
          </w:p>
          <w:p w14:paraId="17A64277" w14:textId="77777777" w:rsidR="006140B9" w:rsidRPr="00012278" w:rsidRDefault="006140B9" w:rsidP="006140B9">
            <w:pPr>
              <w:rPr>
                <w:szCs w:val="22"/>
                <w:lang w:val="sr-Latn-ME"/>
              </w:rPr>
            </w:pPr>
            <w:r w:rsidRPr="00012278">
              <w:rPr>
                <w:szCs w:val="22"/>
                <w:lang w:val="sr-Latn-ME"/>
              </w:rPr>
              <w:t xml:space="preserve">poremećaj pamćenja, </w:t>
            </w:r>
          </w:p>
          <w:p w14:paraId="6050888D" w14:textId="77777777" w:rsidR="006140B9" w:rsidRPr="00012278" w:rsidRDefault="006140B9" w:rsidP="006140B9">
            <w:pPr>
              <w:rPr>
                <w:szCs w:val="22"/>
                <w:lang w:val="sr-Latn-ME"/>
              </w:rPr>
            </w:pPr>
            <w:r w:rsidRPr="00012278">
              <w:rPr>
                <w:szCs w:val="22"/>
                <w:lang w:val="sr-Latn-ME"/>
              </w:rPr>
              <w:t xml:space="preserve">ataksija, </w:t>
            </w:r>
          </w:p>
          <w:p w14:paraId="0C936157" w14:textId="77777777" w:rsidR="006140B9" w:rsidRPr="00012278" w:rsidRDefault="006140B9" w:rsidP="006140B9">
            <w:pPr>
              <w:rPr>
                <w:szCs w:val="22"/>
                <w:lang w:val="sr-Latn-ME"/>
              </w:rPr>
            </w:pPr>
            <w:r w:rsidRPr="00012278">
              <w:rPr>
                <w:szCs w:val="22"/>
                <w:lang w:val="sr-Latn-ME"/>
              </w:rPr>
              <w:t xml:space="preserve">sinkopa, </w:t>
            </w:r>
          </w:p>
          <w:p w14:paraId="0D0A1176" w14:textId="77777777" w:rsidR="006140B9" w:rsidRPr="00012278" w:rsidRDefault="006140B9" w:rsidP="006140B9">
            <w:pPr>
              <w:rPr>
                <w:szCs w:val="22"/>
                <w:lang w:val="sr-Latn-ME"/>
              </w:rPr>
            </w:pPr>
            <w:r w:rsidRPr="00012278">
              <w:rPr>
                <w:szCs w:val="22"/>
                <w:lang w:val="sr-Latn-ME"/>
              </w:rPr>
              <w:t xml:space="preserve">poremećaj ravnoteže, </w:t>
            </w:r>
          </w:p>
          <w:p w14:paraId="564CA0F3" w14:textId="77777777" w:rsidR="006140B9" w:rsidRPr="00012278" w:rsidRDefault="006140B9" w:rsidP="006140B9">
            <w:pPr>
              <w:rPr>
                <w:szCs w:val="22"/>
                <w:lang w:val="sr-Latn-ME"/>
              </w:rPr>
            </w:pPr>
            <w:r w:rsidRPr="00012278">
              <w:rPr>
                <w:szCs w:val="22"/>
                <w:lang w:val="sr-Latn-ME"/>
              </w:rPr>
              <w:t xml:space="preserve">senzorni poremećaj, </w:t>
            </w:r>
          </w:p>
          <w:p w14:paraId="54C77640" w14:textId="77777777" w:rsidR="006140B9" w:rsidRPr="00012278" w:rsidRDefault="006140B9" w:rsidP="006140B9">
            <w:pPr>
              <w:rPr>
                <w:szCs w:val="22"/>
                <w:lang w:val="sr-Latn-ME"/>
              </w:rPr>
            </w:pPr>
            <w:r w:rsidRPr="00012278">
              <w:rPr>
                <w:szCs w:val="22"/>
                <w:lang w:val="sr-Latn-ME"/>
              </w:rPr>
              <w:t>periferna neuropatija</w:t>
            </w:r>
          </w:p>
        </w:tc>
        <w:tc>
          <w:tcPr>
            <w:tcW w:w="1822" w:type="dxa"/>
            <w:shd w:val="clear" w:color="auto" w:fill="auto"/>
          </w:tcPr>
          <w:p w14:paraId="03104547" w14:textId="77777777" w:rsidR="006140B9" w:rsidRPr="00012278" w:rsidRDefault="006140B9" w:rsidP="006140B9">
            <w:pPr>
              <w:rPr>
                <w:szCs w:val="22"/>
                <w:lang w:val="sr-Latn-ME"/>
              </w:rPr>
            </w:pPr>
            <w:r w:rsidRPr="00012278">
              <w:rPr>
                <w:szCs w:val="22"/>
                <w:lang w:val="sr-Latn-ME"/>
              </w:rPr>
              <w:t>toksična</w:t>
            </w:r>
          </w:p>
          <w:p w14:paraId="223E67F9" w14:textId="77777777" w:rsidR="006140B9" w:rsidRPr="00012278" w:rsidRDefault="006140B9" w:rsidP="006140B9">
            <w:pPr>
              <w:rPr>
                <w:szCs w:val="22"/>
                <w:lang w:val="sr-Latn-ME"/>
              </w:rPr>
            </w:pPr>
            <w:r w:rsidRPr="00012278">
              <w:rPr>
                <w:szCs w:val="22"/>
                <w:lang w:val="sr-Latn-ME"/>
              </w:rPr>
              <w:t>leukoencefalopatija</w:t>
            </w:r>
          </w:p>
          <w:p w14:paraId="4F277142" w14:textId="77777777" w:rsidR="006140B9" w:rsidRPr="00012278" w:rsidRDefault="006140B9" w:rsidP="006140B9">
            <w:pPr>
              <w:rPr>
                <w:szCs w:val="22"/>
                <w:lang w:val="sr-Latn-ME"/>
              </w:rPr>
            </w:pPr>
            <w:r w:rsidRPr="00012278">
              <w:rPr>
                <w:szCs w:val="22"/>
                <w:lang w:val="sr-Latn-ME"/>
              </w:rPr>
              <w:t>(veoma rijetko)</w:t>
            </w:r>
          </w:p>
        </w:tc>
      </w:tr>
      <w:tr w:rsidR="00983B65" w:rsidRPr="00012278" w14:paraId="3FE5170D" w14:textId="77777777" w:rsidTr="002B4BD7">
        <w:tc>
          <w:tcPr>
            <w:tcW w:w="1709" w:type="dxa"/>
            <w:shd w:val="clear" w:color="auto" w:fill="auto"/>
          </w:tcPr>
          <w:p w14:paraId="65FB646F" w14:textId="77777777" w:rsidR="006140B9" w:rsidRPr="00012278" w:rsidRDefault="006140B9" w:rsidP="006140B9">
            <w:pPr>
              <w:rPr>
                <w:i/>
                <w:szCs w:val="22"/>
                <w:lang w:val="sr-Latn-ME"/>
              </w:rPr>
            </w:pPr>
            <w:r w:rsidRPr="00012278">
              <w:rPr>
                <w:i/>
                <w:szCs w:val="22"/>
                <w:lang w:val="sr-Latn-ME"/>
              </w:rPr>
              <w:t>Poremećaji na nivou oka</w:t>
            </w:r>
          </w:p>
        </w:tc>
        <w:tc>
          <w:tcPr>
            <w:tcW w:w="1731" w:type="dxa"/>
            <w:shd w:val="clear" w:color="auto" w:fill="auto"/>
          </w:tcPr>
          <w:p w14:paraId="7848D0FC" w14:textId="77777777" w:rsidR="006140B9" w:rsidRPr="00012278" w:rsidRDefault="006140B9" w:rsidP="006140B9">
            <w:pPr>
              <w:rPr>
                <w:szCs w:val="22"/>
                <w:lang w:val="sr-Latn-ME"/>
              </w:rPr>
            </w:pPr>
          </w:p>
        </w:tc>
        <w:tc>
          <w:tcPr>
            <w:tcW w:w="1897" w:type="dxa"/>
            <w:shd w:val="clear" w:color="auto" w:fill="auto"/>
          </w:tcPr>
          <w:p w14:paraId="1C864B82" w14:textId="77777777" w:rsidR="006140B9" w:rsidRPr="00012278" w:rsidRDefault="006140B9" w:rsidP="006140B9">
            <w:pPr>
              <w:rPr>
                <w:szCs w:val="22"/>
                <w:lang w:val="sr-Latn-ME"/>
              </w:rPr>
            </w:pPr>
            <w:r w:rsidRPr="00012278">
              <w:rPr>
                <w:szCs w:val="22"/>
                <w:lang w:val="sr-Latn-ME"/>
              </w:rPr>
              <w:t xml:space="preserve">pojačano suzenje, </w:t>
            </w:r>
          </w:p>
          <w:p w14:paraId="670B8CB8" w14:textId="77777777" w:rsidR="006140B9" w:rsidRPr="00012278" w:rsidRDefault="006140B9" w:rsidP="006140B9">
            <w:pPr>
              <w:rPr>
                <w:szCs w:val="22"/>
                <w:lang w:val="sr-Latn-ME"/>
              </w:rPr>
            </w:pPr>
            <w:r w:rsidRPr="00012278">
              <w:rPr>
                <w:szCs w:val="22"/>
                <w:lang w:val="sr-Latn-ME"/>
              </w:rPr>
              <w:lastRenderedPageBreak/>
              <w:t xml:space="preserve">konjunktivitis, </w:t>
            </w:r>
          </w:p>
          <w:p w14:paraId="41226E86" w14:textId="77777777" w:rsidR="006140B9" w:rsidRPr="00012278" w:rsidRDefault="006140B9" w:rsidP="006140B9">
            <w:pPr>
              <w:rPr>
                <w:szCs w:val="22"/>
                <w:lang w:val="sr-Latn-ME"/>
              </w:rPr>
            </w:pPr>
            <w:r w:rsidRPr="00012278">
              <w:rPr>
                <w:szCs w:val="22"/>
                <w:lang w:val="sr-Latn-ME"/>
              </w:rPr>
              <w:t xml:space="preserve">iritacija očiju </w:t>
            </w:r>
          </w:p>
        </w:tc>
        <w:tc>
          <w:tcPr>
            <w:tcW w:w="1902" w:type="dxa"/>
            <w:shd w:val="clear" w:color="auto" w:fill="auto"/>
          </w:tcPr>
          <w:p w14:paraId="60F6D1EF" w14:textId="77777777" w:rsidR="006140B9" w:rsidRPr="00012278" w:rsidRDefault="006140B9" w:rsidP="006140B9">
            <w:pPr>
              <w:rPr>
                <w:szCs w:val="22"/>
                <w:lang w:val="sr-Latn-ME"/>
              </w:rPr>
            </w:pPr>
            <w:r w:rsidRPr="00012278">
              <w:rPr>
                <w:szCs w:val="22"/>
                <w:lang w:val="sr-Latn-ME"/>
              </w:rPr>
              <w:lastRenderedPageBreak/>
              <w:t>smanjena oštrina vida, diplopija</w:t>
            </w:r>
          </w:p>
        </w:tc>
        <w:tc>
          <w:tcPr>
            <w:tcW w:w="1822" w:type="dxa"/>
            <w:shd w:val="clear" w:color="auto" w:fill="auto"/>
          </w:tcPr>
          <w:p w14:paraId="77E0B40F" w14:textId="77777777" w:rsidR="006140B9" w:rsidRPr="00012278" w:rsidRDefault="006140B9" w:rsidP="006140B9">
            <w:pPr>
              <w:rPr>
                <w:szCs w:val="22"/>
                <w:lang w:val="sr-Latn-ME"/>
              </w:rPr>
            </w:pPr>
            <w:r w:rsidRPr="00012278">
              <w:rPr>
                <w:szCs w:val="22"/>
                <w:lang w:val="sr-Latn-ME"/>
              </w:rPr>
              <w:t>stenoza</w:t>
            </w:r>
          </w:p>
          <w:p w14:paraId="0268956B" w14:textId="77777777" w:rsidR="006140B9" w:rsidRPr="00012278" w:rsidRDefault="006140B9" w:rsidP="006140B9">
            <w:pPr>
              <w:rPr>
                <w:szCs w:val="22"/>
                <w:lang w:val="sr-Latn-ME"/>
              </w:rPr>
            </w:pPr>
            <w:r w:rsidRPr="00012278">
              <w:rPr>
                <w:szCs w:val="22"/>
                <w:lang w:val="sr-Latn-ME"/>
              </w:rPr>
              <w:t>lakrimalnog</w:t>
            </w:r>
          </w:p>
          <w:p w14:paraId="0138E7FE" w14:textId="77777777" w:rsidR="006140B9" w:rsidRPr="00012278" w:rsidRDefault="006140B9" w:rsidP="006140B9">
            <w:pPr>
              <w:rPr>
                <w:szCs w:val="22"/>
                <w:lang w:val="sr-Latn-ME"/>
              </w:rPr>
            </w:pPr>
            <w:r w:rsidRPr="00012278">
              <w:rPr>
                <w:szCs w:val="22"/>
                <w:lang w:val="sr-Latn-ME"/>
              </w:rPr>
              <w:lastRenderedPageBreak/>
              <w:t>kanala</w:t>
            </w:r>
          </w:p>
          <w:p w14:paraId="7F289EA3" w14:textId="77777777" w:rsidR="006140B9" w:rsidRPr="00012278" w:rsidRDefault="006140B9" w:rsidP="006140B9">
            <w:pPr>
              <w:rPr>
                <w:szCs w:val="22"/>
                <w:lang w:val="sr-Latn-ME"/>
              </w:rPr>
            </w:pPr>
            <w:r w:rsidRPr="00012278">
              <w:rPr>
                <w:szCs w:val="22"/>
                <w:lang w:val="sr-Latn-ME"/>
              </w:rPr>
              <w:t>(rijetko),</w:t>
            </w:r>
          </w:p>
          <w:p w14:paraId="545AE039" w14:textId="77777777" w:rsidR="006140B9" w:rsidRPr="00012278" w:rsidRDefault="006140B9" w:rsidP="006140B9">
            <w:pPr>
              <w:rPr>
                <w:szCs w:val="22"/>
                <w:lang w:val="sr-Latn-ME"/>
              </w:rPr>
            </w:pPr>
            <w:r w:rsidRPr="00012278">
              <w:rPr>
                <w:szCs w:val="22"/>
                <w:lang w:val="sr-Latn-ME"/>
              </w:rPr>
              <w:t>poremećaji</w:t>
            </w:r>
          </w:p>
          <w:p w14:paraId="3D58D209" w14:textId="77777777" w:rsidR="006140B9" w:rsidRPr="00012278" w:rsidRDefault="006140B9" w:rsidP="006140B9">
            <w:pPr>
              <w:rPr>
                <w:szCs w:val="22"/>
                <w:lang w:val="sr-Latn-ME"/>
              </w:rPr>
            </w:pPr>
            <w:r w:rsidRPr="00012278">
              <w:rPr>
                <w:szCs w:val="22"/>
                <w:lang w:val="sr-Latn-ME"/>
              </w:rPr>
              <w:t>rožnjače</w:t>
            </w:r>
          </w:p>
          <w:p w14:paraId="137E6941" w14:textId="77777777" w:rsidR="006140B9" w:rsidRPr="00012278" w:rsidRDefault="006140B9" w:rsidP="006140B9">
            <w:pPr>
              <w:rPr>
                <w:szCs w:val="22"/>
                <w:lang w:val="sr-Latn-ME"/>
              </w:rPr>
            </w:pPr>
            <w:r w:rsidRPr="00012278">
              <w:rPr>
                <w:szCs w:val="22"/>
                <w:lang w:val="sr-Latn-ME"/>
              </w:rPr>
              <w:t>(rijetko),</w:t>
            </w:r>
          </w:p>
          <w:p w14:paraId="7398AF1D" w14:textId="77777777" w:rsidR="006140B9" w:rsidRPr="00012278" w:rsidRDefault="006140B9" w:rsidP="006140B9">
            <w:pPr>
              <w:rPr>
                <w:szCs w:val="22"/>
                <w:lang w:val="sr-Latn-ME"/>
              </w:rPr>
            </w:pPr>
            <w:r w:rsidRPr="00012278">
              <w:rPr>
                <w:szCs w:val="22"/>
                <w:lang w:val="sr-Latn-ME"/>
              </w:rPr>
              <w:t>keratitis</w:t>
            </w:r>
          </w:p>
          <w:p w14:paraId="4382D6D5" w14:textId="77777777" w:rsidR="006140B9" w:rsidRPr="00012278" w:rsidRDefault="006140B9" w:rsidP="006140B9">
            <w:pPr>
              <w:rPr>
                <w:szCs w:val="22"/>
                <w:lang w:val="sr-Latn-ME"/>
              </w:rPr>
            </w:pPr>
            <w:r w:rsidRPr="00012278">
              <w:rPr>
                <w:szCs w:val="22"/>
                <w:lang w:val="sr-Latn-ME"/>
              </w:rPr>
              <w:t>(rijetko),</w:t>
            </w:r>
          </w:p>
          <w:p w14:paraId="0D78876B" w14:textId="77777777" w:rsidR="006140B9" w:rsidRPr="00012278" w:rsidRDefault="006140B9" w:rsidP="006140B9">
            <w:pPr>
              <w:rPr>
                <w:i/>
                <w:iCs/>
                <w:szCs w:val="22"/>
                <w:lang w:val="sr-Latn-ME"/>
              </w:rPr>
            </w:pPr>
            <w:r w:rsidRPr="00012278">
              <w:rPr>
                <w:i/>
                <w:iCs/>
                <w:szCs w:val="22"/>
                <w:lang w:val="sr-Latn-ME"/>
              </w:rPr>
              <w:t>keratitis</w:t>
            </w:r>
          </w:p>
          <w:p w14:paraId="63EFC5C5" w14:textId="77777777" w:rsidR="006140B9" w:rsidRPr="00012278" w:rsidRDefault="006140B9" w:rsidP="006140B9">
            <w:pPr>
              <w:rPr>
                <w:i/>
                <w:iCs/>
                <w:szCs w:val="22"/>
                <w:lang w:val="sr-Latn-ME"/>
              </w:rPr>
            </w:pPr>
            <w:r w:rsidRPr="00012278">
              <w:rPr>
                <w:i/>
                <w:iCs/>
                <w:szCs w:val="22"/>
                <w:lang w:val="sr-Latn-ME"/>
              </w:rPr>
              <w:t>punctata</w:t>
            </w:r>
          </w:p>
          <w:p w14:paraId="008315B9" w14:textId="77777777" w:rsidR="006140B9" w:rsidRPr="00012278" w:rsidRDefault="006140B9" w:rsidP="006140B9">
            <w:pPr>
              <w:rPr>
                <w:szCs w:val="22"/>
                <w:lang w:val="sr-Latn-ME"/>
              </w:rPr>
            </w:pPr>
            <w:r w:rsidRPr="00012278">
              <w:rPr>
                <w:szCs w:val="22"/>
                <w:lang w:val="sr-Latn-ME"/>
              </w:rPr>
              <w:t>(rijetko)</w:t>
            </w:r>
          </w:p>
        </w:tc>
      </w:tr>
      <w:tr w:rsidR="00983B65" w:rsidRPr="00012278" w14:paraId="1138B9D6" w14:textId="77777777" w:rsidTr="002B4BD7">
        <w:tc>
          <w:tcPr>
            <w:tcW w:w="1709" w:type="dxa"/>
            <w:shd w:val="clear" w:color="auto" w:fill="auto"/>
          </w:tcPr>
          <w:p w14:paraId="52B21415" w14:textId="77777777" w:rsidR="006140B9" w:rsidRPr="00012278" w:rsidRDefault="006140B9" w:rsidP="006140B9">
            <w:pPr>
              <w:rPr>
                <w:i/>
                <w:szCs w:val="22"/>
                <w:lang w:val="sr-Latn-ME"/>
              </w:rPr>
            </w:pPr>
            <w:r w:rsidRPr="00012278">
              <w:rPr>
                <w:i/>
                <w:szCs w:val="22"/>
                <w:lang w:val="sr-Latn-ME"/>
              </w:rPr>
              <w:lastRenderedPageBreak/>
              <w:t>Poremećaji na nivou uha i centra za ravnotežu</w:t>
            </w:r>
          </w:p>
        </w:tc>
        <w:tc>
          <w:tcPr>
            <w:tcW w:w="1731" w:type="dxa"/>
            <w:shd w:val="clear" w:color="auto" w:fill="auto"/>
          </w:tcPr>
          <w:p w14:paraId="14B93E13" w14:textId="77777777" w:rsidR="006140B9" w:rsidRPr="00012278" w:rsidRDefault="006140B9" w:rsidP="006140B9">
            <w:pPr>
              <w:rPr>
                <w:szCs w:val="22"/>
                <w:lang w:val="sr-Latn-ME"/>
              </w:rPr>
            </w:pPr>
          </w:p>
        </w:tc>
        <w:tc>
          <w:tcPr>
            <w:tcW w:w="1897" w:type="dxa"/>
            <w:shd w:val="clear" w:color="auto" w:fill="auto"/>
          </w:tcPr>
          <w:p w14:paraId="218F2D94" w14:textId="77777777" w:rsidR="006140B9" w:rsidRPr="00012278" w:rsidRDefault="006140B9" w:rsidP="006140B9">
            <w:pPr>
              <w:rPr>
                <w:szCs w:val="22"/>
                <w:lang w:val="sr-Latn-ME"/>
              </w:rPr>
            </w:pPr>
          </w:p>
        </w:tc>
        <w:tc>
          <w:tcPr>
            <w:tcW w:w="1902" w:type="dxa"/>
            <w:shd w:val="clear" w:color="auto" w:fill="auto"/>
          </w:tcPr>
          <w:p w14:paraId="0CD455F8" w14:textId="77777777" w:rsidR="006140B9" w:rsidRPr="00012278" w:rsidRDefault="006140B9" w:rsidP="006140B9">
            <w:pPr>
              <w:rPr>
                <w:szCs w:val="22"/>
                <w:lang w:val="sr-Latn-ME"/>
              </w:rPr>
            </w:pPr>
            <w:r w:rsidRPr="00012278">
              <w:rPr>
                <w:szCs w:val="22"/>
                <w:lang w:val="sr-Latn-ME"/>
              </w:rPr>
              <w:t xml:space="preserve">vrtoglavica, </w:t>
            </w:r>
          </w:p>
          <w:p w14:paraId="48F2BE58" w14:textId="77777777" w:rsidR="006140B9" w:rsidRPr="00012278" w:rsidRDefault="006140B9" w:rsidP="006140B9">
            <w:pPr>
              <w:rPr>
                <w:szCs w:val="22"/>
                <w:lang w:val="sr-Latn-ME"/>
              </w:rPr>
            </w:pPr>
            <w:r w:rsidRPr="00012278">
              <w:rPr>
                <w:szCs w:val="22"/>
                <w:lang w:val="sr-Latn-ME"/>
              </w:rPr>
              <w:t>bol u uhu</w:t>
            </w:r>
          </w:p>
        </w:tc>
        <w:tc>
          <w:tcPr>
            <w:tcW w:w="1822" w:type="dxa"/>
            <w:shd w:val="clear" w:color="auto" w:fill="auto"/>
          </w:tcPr>
          <w:p w14:paraId="237D191A" w14:textId="77777777" w:rsidR="006140B9" w:rsidRPr="00012278" w:rsidRDefault="006140B9" w:rsidP="006140B9">
            <w:pPr>
              <w:rPr>
                <w:szCs w:val="22"/>
                <w:lang w:val="sr-Latn-ME"/>
              </w:rPr>
            </w:pPr>
          </w:p>
        </w:tc>
      </w:tr>
      <w:tr w:rsidR="00983B65" w:rsidRPr="00012278" w14:paraId="793652A3" w14:textId="77777777" w:rsidTr="002B4BD7">
        <w:tc>
          <w:tcPr>
            <w:tcW w:w="1709" w:type="dxa"/>
            <w:shd w:val="clear" w:color="auto" w:fill="auto"/>
          </w:tcPr>
          <w:p w14:paraId="483E13D8" w14:textId="77777777" w:rsidR="006140B9" w:rsidRPr="00012278" w:rsidRDefault="006140B9" w:rsidP="006140B9">
            <w:pPr>
              <w:rPr>
                <w:szCs w:val="22"/>
                <w:lang w:val="sr-Latn-ME"/>
              </w:rPr>
            </w:pPr>
            <w:r w:rsidRPr="00012278">
              <w:rPr>
                <w:i/>
                <w:szCs w:val="22"/>
                <w:lang w:val="sr-Latn-ME"/>
              </w:rPr>
              <w:t>Kardiološki poremećaji</w:t>
            </w:r>
          </w:p>
        </w:tc>
        <w:tc>
          <w:tcPr>
            <w:tcW w:w="1731" w:type="dxa"/>
            <w:shd w:val="clear" w:color="auto" w:fill="auto"/>
          </w:tcPr>
          <w:p w14:paraId="108C1BCA" w14:textId="77777777" w:rsidR="006140B9" w:rsidRPr="00012278" w:rsidRDefault="006140B9" w:rsidP="006140B9">
            <w:pPr>
              <w:rPr>
                <w:szCs w:val="22"/>
                <w:lang w:val="sr-Latn-ME"/>
              </w:rPr>
            </w:pPr>
          </w:p>
        </w:tc>
        <w:tc>
          <w:tcPr>
            <w:tcW w:w="1897" w:type="dxa"/>
            <w:shd w:val="clear" w:color="auto" w:fill="auto"/>
          </w:tcPr>
          <w:p w14:paraId="6A12D172" w14:textId="77777777" w:rsidR="006140B9" w:rsidRPr="00012278" w:rsidRDefault="006140B9" w:rsidP="006140B9">
            <w:pPr>
              <w:rPr>
                <w:szCs w:val="22"/>
                <w:lang w:val="sr-Latn-ME"/>
              </w:rPr>
            </w:pPr>
          </w:p>
        </w:tc>
        <w:tc>
          <w:tcPr>
            <w:tcW w:w="1902" w:type="dxa"/>
            <w:shd w:val="clear" w:color="auto" w:fill="auto"/>
          </w:tcPr>
          <w:p w14:paraId="6EFA040A" w14:textId="77777777" w:rsidR="006140B9" w:rsidRPr="00012278" w:rsidRDefault="006140B9" w:rsidP="006140B9">
            <w:pPr>
              <w:rPr>
                <w:szCs w:val="22"/>
                <w:lang w:val="sr-Latn-ME"/>
              </w:rPr>
            </w:pPr>
            <w:r w:rsidRPr="00012278">
              <w:rPr>
                <w:szCs w:val="22"/>
                <w:lang w:val="sr-Latn-ME"/>
              </w:rPr>
              <w:t xml:space="preserve">nestabilna angina, </w:t>
            </w:r>
          </w:p>
          <w:p w14:paraId="0879D69E" w14:textId="77777777" w:rsidR="006140B9" w:rsidRPr="00012278" w:rsidRDefault="006140B9" w:rsidP="006140B9">
            <w:pPr>
              <w:rPr>
                <w:szCs w:val="22"/>
                <w:lang w:val="sr-Latn-ME"/>
              </w:rPr>
            </w:pPr>
            <w:r w:rsidRPr="00012278">
              <w:rPr>
                <w:szCs w:val="22"/>
                <w:lang w:val="sr-Latn-ME"/>
              </w:rPr>
              <w:t xml:space="preserve">angina pektoris, </w:t>
            </w:r>
          </w:p>
          <w:p w14:paraId="452B1CED" w14:textId="77777777" w:rsidR="006140B9" w:rsidRPr="00012278" w:rsidRDefault="006140B9" w:rsidP="006140B9">
            <w:pPr>
              <w:rPr>
                <w:szCs w:val="22"/>
                <w:lang w:val="sr-Latn-ME"/>
              </w:rPr>
            </w:pPr>
            <w:r w:rsidRPr="00012278">
              <w:rPr>
                <w:szCs w:val="22"/>
                <w:lang w:val="sr-Latn-ME"/>
              </w:rPr>
              <w:t>ishemija miokarda</w:t>
            </w:r>
            <w:r w:rsidR="009D2A3C" w:rsidRPr="00012278">
              <w:rPr>
                <w:szCs w:val="22"/>
                <w:lang w:val="sr-Latn-ME"/>
              </w:rPr>
              <w:t>/infarkt</w:t>
            </w:r>
            <w:r w:rsidRPr="00012278">
              <w:rPr>
                <w:szCs w:val="22"/>
                <w:lang w:val="sr-Latn-ME"/>
              </w:rPr>
              <w:t xml:space="preserve">, </w:t>
            </w:r>
          </w:p>
          <w:p w14:paraId="22018C69" w14:textId="77777777" w:rsidR="006140B9" w:rsidRPr="00012278" w:rsidRDefault="006140B9" w:rsidP="006140B9">
            <w:pPr>
              <w:rPr>
                <w:szCs w:val="22"/>
                <w:lang w:val="sr-Latn-ME"/>
              </w:rPr>
            </w:pPr>
            <w:r w:rsidRPr="00012278">
              <w:rPr>
                <w:szCs w:val="22"/>
                <w:lang w:val="sr-Latn-ME"/>
              </w:rPr>
              <w:t xml:space="preserve">atrijalna fibrilacija, </w:t>
            </w:r>
          </w:p>
          <w:p w14:paraId="30746998" w14:textId="77777777" w:rsidR="006140B9" w:rsidRPr="00012278" w:rsidRDefault="006140B9" w:rsidP="006140B9">
            <w:pPr>
              <w:rPr>
                <w:szCs w:val="22"/>
                <w:lang w:val="sr-Latn-ME"/>
              </w:rPr>
            </w:pPr>
            <w:r w:rsidRPr="00012278">
              <w:rPr>
                <w:szCs w:val="22"/>
                <w:lang w:val="sr-Latn-ME"/>
              </w:rPr>
              <w:t xml:space="preserve">aritmija, tahikardija, </w:t>
            </w:r>
          </w:p>
          <w:p w14:paraId="7D03B0B3" w14:textId="77777777" w:rsidR="006140B9" w:rsidRPr="00012278" w:rsidRDefault="006140B9" w:rsidP="006140B9">
            <w:pPr>
              <w:rPr>
                <w:szCs w:val="22"/>
                <w:lang w:val="sr-Latn-ME"/>
              </w:rPr>
            </w:pPr>
            <w:r w:rsidRPr="00012278">
              <w:rPr>
                <w:szCs w:val="22"/>
                <w:lang w:val="sr-Latn-ME"/>
              </w:rPr>
              <w:t>sinusna tahikardija, palpitacije</w:t>
            </w:r>
          </w:p>
        </w:tc>
        <w:tc>
          <w:tcPr>
            <w:tcW w:w="1822" w:type="dxa"/>
            <w:shd w:val="clear" w:color="auto" w:fill="auto"/>
          </w:tcPr>
          <w:p w14:paraId="119EC3FB" w14:textId="77777777" w:rsidR="006140B9" w:rsidRPr="00012278" w:rsidRDefault="006140B9" w:rsidP="006140B9">
            <w:pPr>
              <w:rPr>
                <w:szCs w:val="22"/>
                <w:lang w:val="sr-Latn-ME"/>
              </w:rPr>
            </w:pPr>
            <w:r w:rsidRPr="00012278">
              <w:rPr>
                <w:szCs w:val="22"/>
                <w:lang w:val="sr-Latn-ME"/>
              </w:rPr>
              <w:t>fibrilacija ventrikula (rijetko),</w:t>
            </w:r>
          </w:p>
          <w:p w14:paraId="12D13EE4" w14:textId="77777777" w:rsidR="006140B9" w:rsidRPr="00012278" w:rsidRDefault="006140B9" w:rsidP="006140B9">
            <w:pPr>
              <w:rPr>
                <w:szCs w:val="22"/>
                <w:lang w:val="sr-Latn-ME"/>
              </w:rPr>
            </w:pPr>
            <w:r w:rsidRPr="00012278">
              <w:rPr>
                <w:szCs w:val="22"/>
                <w:lang w:val="sr-Latn-ME"/>
              </w:rPr>
              <w:t>produženje QT- intervala (rijetko),</w:t>
            </w:r>
          </w:p>
          <w:p w14:paraId="006667FB" w14:textId="77777777" w:rsidR="006140B9" w:rsidRPr="00012278" w:rsidRDefault="006140B9" w:rsidP="006140B9">
            <w:pPr>
              <w:rPr>
                <w:szCs w:val="22"/>
                <w:lang w:val="sr-Latn-ME"/>
              </w:rPr>
            </w:pPr>
            <w:r w:rsidRPr="00012278">
              <w:rPr>
                <w:szCs w:val="22"/>
                <w:lang w:val="sr-Latn-ME"/>
              </w:rPr>
              <w:t>Torsade de</w:t>
            </w:r>
          </w:p>
          <w:p w14:paraId="73AFAFAB" w14:textId="77777777" w:rsidR="006140B9" w:rsidRPr="00012278" w:rsidRDefault="006140B9" w:rsidP="006140B9">
            <w:pPr>
              <w:rPr>
                <w:szCs w:val="22"/>
                <w:lang w:val="sr-Latn-ME"/>
              </w:rPr>
            </w:pPr>
            <w:r w:rsidRPr="00012278">
              <w:rPr>
                <w:szCs w:val="22"/>
                <w:lang w:val="sr-Latn-ME"/>
              </w:rPr>
              <w:t>Pointes (rijetko),</w:t>
            </w:r>
          </w:p>
          <w:p w14:paraId="35F328C3" w14:textId="77777777" w:rsidR="006140B9" w:rsidRPr="00012278" w:rsidRDefault="006140B9" w:rsidP="006140B9">
            <w:pPr>
              <w:rPr>
                <w:szCs w:val="22"/>
                <w:lang w:val="sr-Latn-ME"/>
              </w:rPr>
            </w:pPr>
            <w:r w:rsidRPr="00012278">
              <w:rPr>
                <w:szCs w:val="22"/>
                <w:lang w:val="sr-Latn-ME"/>
              </w:rPr>
              <w:t>bradikardija,</w:t>
            </w:r>
          </w:p>
          <w:p w14:paraId="4C6F8972" w14:textId="77777777" w:rsidR="006140B9" w:rsidRPr="00012278" w:rsidRDefault="006140B9" w:rsidP="006140B9">
            <w:pPr>
              <w:rPr>
                <w:szCs w:val="22"/>
                <w:lang w:val="sr-Latn-ME"/>
              </w:rPr>
            </w:pPr>
            <w:r w:rsidRPr="00012278">
              <w:rPr>
                <w:szCs w:val="22"/>
                <w:lang w:val="sr-Latn-ME"/>
              </w:rPr>
              <w:t>vazospazam</w:t>
            </w:r>
          </w:p>
          <w:p w14:paraId="6DF8B4A0" w14:textId="77777777" w:rsidR="006140B9" w:rsidRPr="00012278" w:rsidRDefault="006140B9" w:rsidP="006140B9">
            <w:pPr>
              <w:rPr>
                <w:szCs w:val="22"/>
                <w:lang w:val="sr-Latn-ME"/>
              </w:rPr>
            </w:pPr>
            <w:r w:rsidRPr="00012278">
              <w:rPr>
                <w:szCs w:val="22"/>
                <w:lang w:val="sr-Latn-ME"/>
              </w:rPr>
              <w:t>(rijetko)</w:t>
            </w:r>
          </w:p>
        </w:tc>
      </w:tr>
      <w:tr w:rsidR="00983B65" w:rsidRPr="00012278" w14:paraId="7AD10A9A" w14:textId="77777777" w:rsidTr="002B4BD7">
        <w:tc>
          <w:tcPr>
            <w:tcW w:w="1709" w:type="dxa"/>
            <w:shd w:val="clear" w:color="auto" w:fill="auto"/>
          </w:tcPr>
          <w:p w14:paraId="340D2270" w14:textId="77777777" w:rsidR="006140B9" w:rsidRPr="00012278" w:rsidRDefault="006140B9" w:rsidP="006140B9">
            <w:pPr>
              <w:rPr>
                <w:szCs w:val="22"/>
                <w:lang w:val="sr-Latn-ME"/>
              </w:rPr>
            </w:pPr>
            <w:r w:rsidRPr="00012278">
              <w:rPr>
                <w:i/>
                <w:szCs w:val="22"/>
                <w:lang w:val="sr-Latn-ME"/>
              </w:rPr>
              <w:t>Vaskularni poremećaji</w:t>
            </w:r>
          </w:p>
        </w:tc>
        <w:tc>
          <w:tcPr>
            <w:tcW w:w="1731" w:type="dxa"/>
            <w:shd w:val="clear" w:color="auto" w:fill="auto"/>
          </w:tcPr>
          <w:p w14:paraId="76EEF9D3" w14:textId="77777777" w:rsidR="006140B9" w:rsidRPr="00012278" w:rsidRDefault="006140B9" w:rsidP="006140B9">
            <w:pPr>
              <w:rPr>
                <w:szCs w:val="22"/>
                <w:lang w:val="sr-Latn-ME"/>
              </w:rPr>
            </w:pPr>
          </w:p>
        </w:tc>
        <w:tc>
          <w:tcPr>
            <w:tcW w:w="1897" w:type="dxa"/>
            <w:shd w:val="clear" w:color="auto" w:fill="auto"/>
          </w:tcPr>
          <w:p w14:paraId="48F31D5F" w14:textId="77777777" w:rsidR="006140B9" w:rsidRPr="00012278" w:rsidRDefault="006140B9" w:rsidP="006140B9">
            <w:pPr>
              <w:rPr>
                <w:szCs w:val="22"/>
                <w:lang w:val="sr-Latn-ME"/>
              </w:rPr>
            </w:pPr>
            <w:r w:rsidRPr="00012278">
              <w:rPr>
                <w:szCs w:val="22"/>
                <w:lang w:val="sr-Latn-ME"/>
              </w:rPr>
              <w:t>tromboflebitis</w:t>
            </w:r>
          </w:p>
        </w:tc>
        <w:tc>
          <w:tcPr>
            <w:tcW w:w="1902" w:type="dxa"/>
            <w:shd w:val="clear" w:color="auto" w:fill="auto"/>
          </w:tcPr>
          <w:p w14:paraId="31BA99F5" w14:textId="77777777" w:rsidR="006140B9" w:rsidRPr="00012278" w:rsidRDefault="006140B9" w:rsidP="006140B9">
            <w:pPr>
              <w:rPr>
                <w:szCs w:val="22"/>
                <w:lang w:val="sr-Latn-ME"/>
              </w:rPr>
            </w:pPr>
            <w:r w:rsidRPr="00012278">
              <w:rPr>
                <w:szCs w:val="22"/>
                <w:lang w:val="sr-Latn-ME"/>
              </w:rPr>
              <w:t xml:space="preserve">tromboza dubokih vena, hipertenzija, </w:t>
            </w:r>
          </w:p>
          <w:p w14:paraId="5EB11AAD" w14:textId="77777777" w:rsidR="006140B9" w:rsidRPr="00012278" w:rsidRDefault="006140B9" w:rsidP="006140B9">
            <w:pPr>
              <w:rPr>
                <w:szCs w:val="22"/>
                <w:lang w:val="sr-Latn-ME"/>
              </w:rPr>
            </w:pPr>
            <w:r w:rsidRPr="00012278">
              <w:rPr>
                <w:szCs w:val="22"/>
                <w:lang w:val="sr-Latn-ME"/>
              </w:rPr>
              <w:t xml:space="preserve">petehije, hipotenzija, </w:t>
            </w:r>
          </w:p>
          <w:p w14:paraId="4B595469" w14:textId="77777777" w:rsidR="006140B9" w:rsidRPr="00012278" w:rsidRDefault="006140B9" w:rsidP="006140B9">
            <w:pPr>
              <w:rPr>
                <w:szCs w:val="22"/>
                <w:lang w:val="sr-Latn-ME"/>
              </w:rPr>
            </w:pPr>
            <w:r w:rsidRPr="00012278">
              <w:rPr>
                <w:szCs w:val="22"/>
                <w:lang w:val="sr-Latn-ME"/>
              </w:rPr>
              <w:t>valunzi, hladnoća perifernih djelova tijela</w:t>
            </w:r>
          </w:p>
        </w:tc>
        <w:tc>
          <w:tcPr>
            <w:tcW w:w="1822" w:type="dxa"/>
            <w:shd w:val="clear" w:color="auto" w:fill="auto"/>
          </w:tcPr>
          <w:p w14:paraId="3D0819C2" w14:textId="77777777" w:rsidR="006140B9" w:rsidRPr="00012278" w:rsidRDefault="006140B9" w:rsidP="006140B9">
            <w:pPr>
              <w:rPr>
                <w:szCs w:val="22"/>
                <w:lang w:val="sr-Latn-ME"/>
              </w:rPr>
            </w:pPr>
          </w:p>
        </w:tc>
      </w:tr>
      <w:tr w:rsidR="00983B65" w:rsidRPr="00012278" w14:paraId="49B36168" w14:textId="77777777" w:rsidTr="002B4BD7">
        <w:tc>
          <w:tcPr>
            <w:tcW w:w="1709" w:type="dxa"/>
            <w:shd w:val="clear" w:color="auto" w:fill="auto"/>
          </w:tcPr>
          <w:p w14:paraId="4090C210" w14:textId="77777777" w:rsidR="006140B9" w:rsidRPr="00012278" w:rsidRDefault="006140B9" w:rsidP="006140B9">
            <w:pPr>
              <w:rPr>
                <w:szCs w:val="22"/>
                <w:lang w:val="sr-Latn-ME"/>
              </w:rPr>
            </w:pPr>
            <w:r w:rsidRPr="00012278">
              <w:rPr>
                <w:i/>
                <w:szCs w:val="22"/>
                <w:lang w:val="sr-Latn-ME"/>
              </w:rPr>
              <w:t>Poremećaji respiratornog sistema, toraksa i medijastinuma</w:t>
            </w:r>
          </w:p>
        </w:tc>
        <w:tc>
          <w:tcPr>
            <w:tcW w:w="1731" w:type="dxa"/>
            <w:shd w:val="clear" w:color="auto" w:fill="auto"/>
          </w:tcPr>
          <w:p w14:paraId="0C71AD11" w14:textId="77777777" w:rsidR="006140B9" w:rsidRPr="00012278" w:rsidRDefault="006140B9" w:rsidP="006140B9">
            <w:pPr>
              <w:rPr>
                <w:szCs w:val="22"/>
                <w:lang w:val="sr-Latn-ME"/>
              </w:rPr>
            </w:pPr>
          </w:p>
        </w:tc>
        <w:tc>
          <w:tcPr>
            <w:tcW w:w="1897" w:type="dxa"/>
            <w:shd w:val="clear" w:color="auto" w:fill="auto"/>
          </w:tcPr>
          <w:p w14:paraId="00092312" w14:textId="7C8C8933" w:rsidR="006140B9" w:rsidRPr="00012278" w:rsidRDefault="006140B9" w:rsidP="006140B9">
            <w:pPr>
              <w:rPr>
                <w:szCs w:val="22"/>
                <w:lang w:val="sr-Latn-ME"/>
              </w:rPr>
            </w:pPr>
            <w:r w:rsidRPr="00012278">
              <w:rPr>
                <w:szCs w:val="22"/>
                <w:lang w:val="sr-Latn-ME"/>
              </w:rPr>
              <w:t xml:space="preserve">dispnea, </w:t>
            </w:r>
          </w:p>
          <w:p w14:paraId="79931E5C" w14:textId="77777777" w:rsidR="006140B9" w:rsidRPr="00012278" w:rsidRDefault="006140B9" w:rsidP="006140B9">
            <w:pPr>
              <w:rPr>
                <w:szCs w:val="22"/>
                <w:lang w:val="sr-Latn-ME"/>
              </w:rPr>
            </w:pPr>
            <w:r w:rsidRPr="00012278">
              <w:rPr>
                <w:szCs w:val="22"/>
                <w:lang w:val="sr-Latn-ME"/>
              </w:rPr>
              <w:t xml:space="preserve">epistaksis, </w:t>
            </w:r>
          </w:p>
          <w:p w14:paraId="1C00B1CD" w14:textId="77777777" w:rsidR="006140B9" w:rsidRPr="00012278" w:rsidRDefault="006140B9" w:rsidP="006140B9">
            <w:pPr>
              <w:rPr>
                <w:szCs w:val="22"/>
                <w:lang w:val="sr-Latn-ME"/>
              </w:rPr>
            </w:pPr>
            <w:r w:rsidRPr="00012278">
              <w:rPr>
                <w:szCs w:val="22"/>
                <w:lang w:val="sr-Latn-ME"/>
              </w:rPr>
              <w:t xml:space="preserve">kašalj, </w:t>
            </w:r>
          </w:p>
          <w:p w14:paraId="61B1C8D5" w14:textId="77777777" w:rsidR="006140B9" w:rsidRPr="00012278" w:rsidRDefault="006140B9" w:rsidP="006140B9">
            <w:pPr>
              <w:rPr>
                <w:szCs w:val="22"/>
                <w:lang w:val="sr-Latn-ME"/>
              </w:rPr>
            </w:pPr>
            <w:r w:rsidRPr="00012278">
              <w:rPr>
                <w:szCs w:val="22"/>
                <w:lang w:val="sr-Latn-ME"/>
              </w:rPr>
              <w:t xml:space="preserve">rinoreja </w:t>
            </w:r>
          </w:p>
        </w:tc>
        <w:tc>
          <w:tcPr>
            <w:tcW w:w="1902" w:type="dxa"/>
            <w:shd w:val="clear" w:color="auto" w:fill="auto"/>
          </w:tcPr>
          <w:p w14:paraId="7C727887" w14:textId="77777777" w:rsidR="006140B9" w:rsidRPr="00012278" w:rsidRDefault="006140B9" w:rsidP="006140B9">
            <w:pPr>
              <w:rPr>
                <w:szCs w:val="22"/>
                <w:lang w:val="sr-Latn-ME"/>
              </w:rPr>
            </w:pPr>
            <w:r w:rsidRPr="00012278">
              <w:rPr>
                <w:szCs w:val="22"/>
                <w:lang w:val="sr-Latn-ME"/>
              </w:rPr>
              <w:t xml:space="preserve">plućna embolija, </w:t>
            </w:r>
          </w:p>
          <w:p w14:paraId="4E86DB7D" w14:textId="77777777" w:rsidR="006140B9" w:rsidRPr="00012278" w:rsidRDefault="006140B9" w:rsidP="006140B9">
            <w:pPr>
              <w:rPr>
                <w:szCs w:val="22"/>
                <w:lang w:val="sr-Latn-ME"/>
              </w:rPr>
            </w:pPr>
            <w:r w:rsidRPr="00012278">
              <w:rPr>
                <w:szCs w:val="22"/>
                <w:lang w:val="sr-Latn-ME"/>
              </w:rPr>
              <w:t xml:space="preserve">pneumotoraks, </w:t>
            </w:r>
          </w:p>
          <w:p w14:paraId="269F1B69" w14:textId="77777777" w:rsidR="006140B9" w:rsidRPr="00012278" w:rsidRDefault="006140B9" w:rsidP="006140B9">
            <w:pPr>
              <w:rPr>
                <w:szCs w:val="22"/>
                <w:lang w:val="sr-Latn-ME"/>
              </w:rPr>
            </w:pPr>
            <w:r w:rsidRPr="00012278">
              <w:rPr>
                <w:szCs w:val="22"/>
                <w:lang w:val="sr-Latn-ME"/>
              </w:rPr>
              <w:t xml:space="preserve">hemoptiza, </w:t>
            </w:r>
          </w:p>
          <w:p w14:paraId="40EB4C2F" w14:textId="77777777" w:rsidR="006140B9" w:rsidRPr="00012278" w:rsidRDefault="006140B9" w:rsidP="006140B9">
            <w:pPr>
              <w:rPr>
                <w:szCs w:val="22"/>
                <w:lang w:val="sr-Latn-ME"/>
              </w:rPr>
            </w:pPr>
            <w:r w:rsidRPr="00012278">
              <w:rPr>
                <w:szCs w:val="22"/>
                <w:lang w:val="sr-Latn-ME"/>
              </w:rPr>
              <w:t xml:space="preserve">astma, </w:t>
            </w:r>
          </w:p>
          <w:p w14:paraId="1DD67407" w14:textId="36785D25" w:rsidR="006140B9" w:rsidRPr="00012278" w:rsidRDefault="006140B9" w:rsidP="007517C0">
            <w:pPr>
              <w:rPr>
                <w:szCs w:val="22"/>
                <w:lang w:val="sr-Latn-ME"/>
              </w:rPr>
            </w:pPr>
            <w:r w:rsidRPr="00012278">
              <w:rPr>
                <w:szCs w:val="22"/>
                <w:lang w:val="sr-Latn-ME"/>
              </w:rPr>
              <w:t>dispnea pri naporu</w:t>
            </w:r>
          </w:p>
        </w:tc>
        <w:tc>
          <w:tcPr>
            <w:tcW w:w="1822" w:type="dxa"/>
            <w:shd w:val="clear" w:color="auto" w:fill="auto"/>
          </w:tcPr>
          <w:p w14:paraId="472DF8EC" w14:textId="77777777" w:rsidR="006140B9" w:rsidRPr="00012278" w:rsidRDefault="006140B9" w:rsidP="006140B9">
            <w:pPr>
              <w:rPr>
                <w:szCs w:val="22"/>
                <w:lang w:val="sr-Latn-ME"/>
              </w:rPr>
            </w:pPr>
          </w:p>
        </w:tc>
      </w:tr>
      <w:tr w:rsidR="00983B65" w:rsidRPr="00012278" w14:paraId="08CB7944" w14:textId="77777777" w:rsidTr="002B4BD7">
        <w:tc>
          <w:tcPr>
            <w:tcW w:w="1709" w:type="dxa"/>
            <w:shd w:val="clear" w:color="auto" w:fill="auto"/>
          </w:tcPr>
          <w:p w14:paraId="01ACAD4C" w14:textId="77777777" w:rsidR="006140B9" w:rsidRPr="00012278" w:rsidRDefault="006140B9" w:rsidP="006140B9">
            <w:pPr>
              <w:rPr>
                <w:szCs w:val="22"/>
                <w:lang w:val="sr-Latn-ME"/>
              </w:rPr>
            </w:pPr>
            <w:r w:rsidRPr="00012278">
              <w:rPr>
                <w:i/>
                <w:szCs w:val="22"/>
                <w:lang w:val="sr-Latn-ME"/>
              </w:rPr>
              <w:t>Gastrointestinalni poremećaji</w:t>
            </w:r>
          </w:p>
        </w:tc>
        <w:tc>
          <w:tcPr>
            <w:tcW w:w="1731" w:type="dxa"/>
            <w:shd w:val="clear" w:color="auto" w:fill="auto"/>
          </w:tcPr>
          <w:p w14:paraId="58810045" w14:textId="77777777" w:rsidR="006140B9" w:rsidRPr="00012278" w:rsidRDefault="006140B9" w:rsidP="006140B9">
            <w:pPr>
              <w:rPr>
                <w:szCs w:val="22"/>
                <w:lang w:val="sr-Latn-ME"/>
              </w:rPr>
            </w:pPr>
            <w:r w:rsidRPr="00012278">
              <w:rPr>
                <w:szCs w:val="22"/>
                <w:lang w:val="sr-Latn-ME"/>
              </w:rPr>
              <w:t xml:space="preserve">dijareja, </w:t>
            </w:r>
          </w:p>
          <w:p w14:paraId="67F431BB" w14:textId="77777777" w:rsidR="006140B9" w:rsidRPr="00012278" w:rsidRDefault="006140B9" w:rsidP="006140B9">
            <w:pPr>
              <w:rPr>
                <w:szCs w:val="22"/>
                <w:lang w:val="sr-Latn-ME"/>
              </w:rPr>
            </w:pPr>
            <w:r w:rsidRPr="00012278">
              <w:rPr>
                <w:szCs w:val="22"/>
                <w:lang w:val="sr-Latn-ME"/>
              </w:rPr>
              <w:t xml:space="preserve">povraćanje, </w:t>
            </w:r>
          </w:p>
          <w:p w14:paraId="1E24BB89" w14:textId="77777777" w:rsidR="006140B9" w:rsidRPr="00012278" w:rsidRDefault="006140B9" w:rsidP="006140B9">
            <w:pPr>
              <w:rPr>
                <w:szCs w:val="22"/>
                <w:lang w:val="sr-Latn-ME"/>
              </w:rPr>
            </w:pPr>
            <w:r w:rsidRPr="00012278">
              <w:rPr>
                <w:szCs w:val="22"/>
                <w:lang w:val="sr-Latn-ME"/>
              </w:rPr>
              <w:t xml:space="preserve">mučnina, </w:t>
            </w:r>
          </w:p>
          <w:p w14:paraId="023B4021" w14:textId="77777777" w:rsidR="006140B9" w:rsidRPr="00012278" w:rsidRDefault="006140B9" w:rsidP="006140B9">
            <w:pPr>
              <w:rPr>
                <w:szCs w:val="22"/>
                <w:lang w:val="sr-Latn-ME"/>
              </w:rPr>
            </w:pPr>
            <w:r w:rsidRPr="00012278">
              <w:rPr>
                <w:szCs w:val="22"/>
                <w:lang w:val="sr-Latn-ME"/>
              </w:rPr>
              <w:t xml:space="preserve">stomatitis, </w:t>
            </w:r>
          </w:p>
          <w:p w14:paraId="3617DECC" w14:textId="77777777" w:rsidR="006140B9" w:rsidRPr="00012278" w:rsidRDefault="006140B9" w:rsidP="006140B9">
            <w:pPr>
              <w:rPr>
                <w:szCs w:val="22"/>
                <w:lang w:val="sr-Latn-ME"/>
              </w:rPr>
            </w:pPr>
            <w:r w:rsidRPr="00012278">
              <w:rPr>
                <w:szCs w:val="22"/>
                <w:lang w:val="sr-Latn-ME"/>
              </w:rPr>
              <w:t xml:space="preserve">bol u stomaku </w:t>
            </w:r>
          </w:p>
        </w:tc>
        <w:tc>
          <w:tcPr>
            <w:tcW w:w="1897" w:type="dxa"/>
            <w:shd w:val="clear" w:color="auto" w:fill="auto"/>
          </w:tcPr>
          <w:p w14:paraId="4CCB036A" w14:textId="77777777" w:rsidR="006140B9" w:rsidRPr="00012278" w:rsidRDefault="006140B9" w:rsidP="006140B9">
            <w:pPr>
              <w:rPr>
                <w:szCs w:val="22"/>
                <w:lang w:val="sr-Latn-ME"/>
              </w:rPr>
            </w:pPr>
            <w:r w:rsidRPr="00012278">
              <w:rPr>
                <w:szCs w:val="22"/>
                <w:lang w:val="sr-Latn-ME"/>
              </w:rPr>
              <w:t xml:space="preserve">gastrointestinalna hemoragija, </w:t>
            </w:r>
          </w:p>
          <w:p w14:paraId="234ED90B" w14:textId="77777777" w:rsidR="006140B9" w:rsidRPr="00012278" w:rsidRDefault="006140B9" w:rsidP="006140B9">
            <w:pPr>
              <w:rPr>
                <w:szCs w:val="22"/>
                <w:lang w:val="sr-Latn-ME"/>
              </w:rPr>
            </w:pPr>
            <w:r w:rsidRPr="00012278">
              <w:rPr>
                <w:szCs w:val="22"/>
                <w:lang w:val="sr-Latn-ME"/>
              </w:rPr>
              <w:t xml:space="preserve">opstipacija, </w:t>
            </w:r>
          </w:p>
          <w:p w14:paraId="22E9452D" w14:textId="77777777" w:rsidR="006140B9" w:rsidRPr="00012278" w:rsidRDefault="006140B9" w:rsidP="006140B9">
            <w:pPr>
              <w:rPr>
                <w:szCs w:val="22"/>
                <w:lang w:val="sr-Latn-ME"/>
              </w:rPr>
            </w:pPr>
            <w:r w:rsidRPr="00012278">
              <w:rPr>
                <w:szCs w:val="22"/>
                <w:lang w:val="sr-Latn-ME"/>
              </w:rPr>
              <w:t xml:space="preserve">bol u gornjem dijelu stomaka, </w:t>
            </w:r>
          </w:p>
          <w:p w14:paraId="6A0FA271" w14:textId="77777777" w:rsidR="006140B9" w:rsidRPr="00012278" w:rsidRDefault="006140B9" w:rsidP="006140B9">
            <w:pPr>
              <w:rPr>
                <w:szCs w:val="22"/>
                <w:lang w:val="sr-Latn-ME"/>
              </w:rPr>
            </w:pPr>
            <w:r w:rsidRPr="00012278">
              <w:rPr>
                <w:szCs w:val="22"/>
                <w:lang w:val="sr-Latn-ME"/>
              </w:rPr>
              <w:t xml:space="preserve">dispepsija, </w:t>
            </w:r>
          </w:p>
          <w:p w14:paraId="74D7B3BF" w14:textId="77777777" w:rsidR="006140B9" w:rsidRPr="00012278" w:rsidRDefault="006140B9" w:rsidP="006140B9">
            <w:pPr>
              <w:rPr>
                <w:szCs w:val="22"/>
                <w:lang w:val="sr-Latn-ME"/>
              </w:rPr>
            </w:pPr>
            <w:r w:rsidRPr="00012278">
              <w:rPr>
                <w:szCs w:val="22"/>
                <w:lang w:val="sr-Latn-ME"/>
              </w:rPr>
              <w:t xml:space="preserve">nadutost, </w:t>
            </w:r>
          </w:p>
          <w:p w14:paraId="12179968" w14:textId="77777777" w:rsidR="006140B9" w:rsidRPr="00012278" w:rsidRDefault="006140B9" w:rsidP="006140B9">
            <w:pPr>
              <w:rPr>
                <w:szCs w:val="22"/>
                <w:lang w:val="sr-Latn-ME"/>
              </w:rPr>
            </w:pPr>
            <w:r w:rsidRPr="00012278">
              <w:rPr>
                <w:szCs w:val="22"/>
                <w:lang w:val="sr-Latn-ME"/>
              </w:rPr>
              <w:t xml:space="preserve">suva usta </w:t>
            </w:r>
          </w:p>
          <w:p w14:paraId="2E64D75D" w14:textId="77777777" w:rsidR="006140B9" w:rsidRPr="00012278" w:rsidRDefault="006140B9" w:rsidP="006140B9">
            <w:pPr>
              <w:rPr>
                <w:szCs w:val="22"/>
                <w:lang w:val="sr-Latn-ME"/>
              </w:rPr>
            </w:pPr>
          </w:p>
        </w:tc>
        <w:tc>
          <w:tcPr>
            <w:tcW w:w="1902" w:type="dxa"/>
            <w:shd w:val="clear" w:color="auto" w:fill="auto"/>
          </w:tcPr>
          <w:p w14:paraId="6DA6E78B" w14:textId="77777777" w:rsidR="006140B9" w:rsidRPr="00012278" w:rsidRDefault="006140B9" w:rsidP="006140B9">
            <w:pPr>
              <w:rPr>
                <w:szCs w:val="22"/>
                <w:lang w:val="sr-Latn-ME"/>
              </w:rPr>
            </w:pPr>
            <w:r w:rsidRPr="00012278">
              <w:rPr>
                <w:szCs w:val="22"/>
                <w:lang w:val="sr-Latn-ME"/>
              </w:rPr>
              <w:t xml:space="preserve">opstrukcija crijeva, </w:t>
            </w:r>
          </w:p>
          <w:p w14:paraId="370DBAC1" w14:textId="77777777" w:rsidR="006140B9" w:rsidRPr="00012278" w:rsidRDefault="006140B9" w:rsidP="006140B9">
            <w:pPr>
              <w:rPr>
                <w:szCs w:val="22"/>
                <w:lang w:val="sr-Latn-ME"/>
              </w:rPr>
            </w:pPr>
            <w:r w:rsidRPr="00012278">
              <w:rPr>
                <w:szCs w:val="22"/>
                <w:lang w:val="sr-Latn-ME"/>
              </w:rPr>
              <w:t xml:space="preserve">ascites, enteritis, </w:t>
            </w:r>
          </w:p>
          <w:p w14:paraId="24C25050" w14:textId="77777777" w:rsidR="006140B9" w:rsidRPr="00012278" w:rsidRDefault="006140B9" w:rsidP="006140B9">
            <w:pPr>
              <w:rPr>
                <w:szCs w:val="22"/>
                <w:lang w:val="sr-Latn-ME"/>
              </w:rPr>
            </w:pPr>
            <w:r w:rsidRPr="00012278">
              <w:rPr>
                <w:szCs w:val="22"/>
                <w:lang w:val="sr-Latn-ME"/>
              </w:rPr>
              <w:t xml:space="preserve">gastritis, disfagija, </w:t>
            </w:r>
          </w:p>
          <w:p w14:paraId="4D8FCA81" w14:textId="77777777" w:rsidR="006140B9" w:rsidRPr="00012278" w:rsidRDefault="006140B9" w:rsidP="006140B9">
            <w:pPr>
              <w:rPr>
                <w:szCs w:val="22"/>
                <w:lang w:val="sr-Latn-ME"/>
              </w:rPr>
            </w:pPr>
            <w:r w:rsidRPr="00012278">
              <w:rPr>
                <w:szCs w:val="22"/>
                <w:lang w:val="sr-Latn-ME"/>
              </w:rPr>
              <w:t xml:space="preserve">bol u donjem dijelu stomaka, ezofagitis, </w:t>
            </w:r>
          </w:p>
          <w:p w14:paraId="20588E9B" w14:textId="77777777" w:rsidR="006140B9" w:rsidRPr="00012278" w:rsidRDefault="006140B9" w:rsidP="006140B9">
            <w:pPr>
              <w:rPr>
                <w:szCs w:val="22"/>
                <w:lang w:val="sr-Latn-ME"/>
              </w:rPr>
            </w:pPr>
            <w:r w:rsidRPr="00012278">
              <w:rPr>
                <w:szCs w:val="22"/>
                <w:lang w:val="sr-Latn-ME"/>
              </w:rPr>
              <w:t>nelagodnost u stomaku, gastroezofagealni refluks, kolitis, krv u stolici</w:t>
            </w:r>
          </w:p>
        </w:tc>
        <w:tc>
          <w:tcPr>
            <w:tcW w:w="1822" w:type="dxa"/>
            <w:shd w:val="clear" w:color="auto" w:fill="auto"/>
          </w:tcPr>
          <w:p w14:paraId="00639EB0" w14:textId="77777777" w:rsidR="006140B9" w:rsidRPr="00012278" w:rsidRDefault="006140B9" w:rsidP="006140B9">
            <w:pPr>
              <w:rPr>
                <w:szCs w:val="22"/>
                <w:lang w:val="sr-Latn-ME"/>
              </w:rPr>
            </w:pPr>
          </w:p>
        </w:tc>
      </w:tr>
      <w:tr w:rsidR="00983B65" w:rsidRPr="00012278" w14:paraId="50EAC7DE" w14:textId="77777777" w:rsidTr="002B4BD7">
        <w:tc>
          <w:tcPr>
            <w:tcW w:w="1709" w:type="dxa"/>
            <w:shd w:val="clear" w:color="auto" w:fill="auto"/>
          </w:tcPr>
          <w:p w14:paraId="00F7E972" w14:textId="77777777" w:rsidR="006140B9" w:rsidRPr="00012278" w:rsidRDefault="006140B9" w:rsidP="006140B9">
            <w:pPr>
              <w:rPr>
                <w:i/>
                <w:szCs w:val="22"/>
                <w:lang w:val="sr-Latn-ME"/>
              </w:rPr>
            </w:pPr>
            <w:r w:rsidRPr="00012278">
              <w:rPr>
                <w:i/>
                <w:szCs w:val="22"/>
                <w:lang w:val="sr-Latn-ME"/>
              </w:rPr>
              <w:t>Hepatobilijarni poremećaji</w:t>
            </w:r>
          </w:p>
        </w:tc>
        <w:tc>
          <w:tcPr>
            <w:tcW w:w="1731" w:type="dxa"/>
            <w:shd w:val="clear" w:color="auto" w:fill="auto"/>
          </w:tcPr>
          <w:p w14:paraId="41C35DB2" w14:textId="77777777" w:rsidR="006140B9" w:rsidRPr="00012278" w:rsidRDefault="006140B9" w:rsidP="006140B9">
            <w:pPr>
              <w:rPr>
                <w:szCs w:val="22"/>
                <w:lang w:val="sr-Latn-ME"/>
              </w:rPr>
            </w:pPr>
          </w:p>
        </w:tc>
        <w:tc>
          <w:tcPr>
            <w:tcW w:w="1897" w:type="dxa"/>
            <w:shd w:val="clear" w:color="auto" w:fill="auto"/>
          </w:tcPr>
          <w:p w14:paraId="7EEE5573" w14:textId="77777777" w:rsidR="009D2A3C" w:rsidRPr="00012278" w:rsidRDefault="009D2A3C" w:rsidP="006140B9">
            <w:pPr>
              <w:rPr>
                <w:szCs w:val="22"/>
                <w:lang w:val="sr-Latn-ME"/>
              </w:rPr>
            </w:pPr>
            <w:r w:rsidRPr="00012278">
              <w:rPr>
                <w:szCs w:val="22"/>
                <w:lang w:val="sr-Latn-ME"/>
              </w:rPr>
              <w:t>H</w:t>
            </w:r>
            <w:r w:rsidR="006140B9" w:rsidRPr="00012278">
              <w:rPr>
                <w:szCs w:val="22"/>
                <w:lang w:val="sr-Latn-ME"/>
              </w:rPr>
              <w:t>iperbilirubine</w:t>
            </w:r>
          </w:p>
          <w:p w14:paraId="18510EBF" w14:textId="77777777" w:rsidR="006140B9" w:rsidRPr="00012278" w:rsidRDefault="006140B9" w:rsidP="006140B9">
            <w:pPr>
              <w:rPr>
                <w:szCs w:val="22"/>
                <w:lang w:val="sr-Latn-ME"/>
              </w:rPr>
            </w:pPr>
            <w:r w:rsidRPr="00012278">
              <w:rPr>
                <w:szCs w:val="22"/>
                <w:lang w:val="sr-Latn-ME"/>
              </w:rPr>
              <w:t>mija, abnormalnosti u laboratorijskim testovima funkcije jetre</w:t>
            </w:r>
          </w:p>
        </w:tc>
        <w:tc>
          <w:tcPr>
            <w:tcW w:w="1902" w:type="dxa"/>
            <w:shd w:val="clear" w:color="auto" w:fill="auto"/>
          </w:tcPr>
          <w:p w14:paraId="78AF7380" w14:textId="77777777" w:rsidR="006140B9" w:rsidRPr="00012278" w:rsidRDefault="006140B9" w:rsidP="006140B9">
            <w:pPr>
              <w:rPr>
                <w:szCs w:val="22"/>
                <w:lang w:val="sr-Latn-ME"/>
              </w:rPr>
            </w:pPr>
            <w:r w:rsidRPr="00012278">
              <w:rPr>
                <w:szCs w:val="22"/>
                <w:lang w:val="sr-Latn-ME"/>
              </w:rPr>
              <w:t>žutica</w:t>
            </w:r>
          </w:p>
        </w:tc>
        <w:tc>
          <w:tcPr>
            <w:tcW w:w="1822" w:type="dxa"/>
            <w:shd w:val="clear" w:color="auto" w:fill="auto"/>
          </w:tcPr>
          <w:p w14:paraId="7DEEE597" w14:textId="77777777" w:rsidR="006140B9" w:rsidRPr="00012278" w:rsidRDefault="006140B9" w:rsidP="006140B9">
            <w:pPr>
              <w:rPr>
                <w:szCs w:val="22"/>
                <w:lang w:val="sr-Latn-ME"/>
              </w:rPr>
            </w:pPr>
            <w:r w:rsidRPr="00012278">
              <w:rPr>
                <w:szCs w:val="22"/>
                <w:lang w:val="sr-Latn-ME"/>
              </w:rPr>
              <w:t>insuficijencija jetre (rijetko), holestatski hepatitis (rijetko)</w:t>
            </w:r>
          </w:p>
        </w:tc>
      </w:tr>
      <w:tr w:rsidR="00983B65" w:rsidRPr="00012278" w14:paraId="76B08B6B" w14:textId="77777777" w:rsidTr="002B4BD7">
        <w:tc>
          <w:tcPr>
            <w:tcW w:w="1709" w:type="dxa"/>
            <w:shd w:val="clear" w:color="auto" w:fill="auto"/>
          </w:tcPr>
          <w:p w14:paraId="5A026CC8" w14:textId="77777777" w:rsidR="006140B9" w:rsidRPr="00012278" w:rsidRDefault="006140B9" w:rsidP="006140B9">
            <w:pPr>
              <w:rPr>
                <w:szCs w:val="22"/>
                <w:lang w:val="sr-Latn-ME"/>
              </w:rPr>
            </w:pPr>
            <w:r w:rsidRPr="00012278">
              <w:rPr>
                <w:i/>
                <w:szCs w:val="22"/>
                <w:lang w:val="sr-Latn-ME"/>
              </w:rPr>
              <w:lastRenderedPageBreak/>
              <w:t>Poremećaji na novou kože i potkožnog tkiva</w:t>
            </w:r>
          </w:p>
        </w:tc>
        <w:tc>
          <w:tcPr>
            <w:tcW w:w="1731" w:type="dxa"/>
            <w:shd w:val="clear" w:color="auto" w:fill="auto"/>
          </w:tcPr>
          <w:p w14:paraId="2A142C65" w14:textId="77777777" w:rsidR="006140B9" w:rsidRPr="00012278" w:rsidRDefault="006140B9" w:rsidP="006140B9">
            <w:pPr>
              <w:rPr>
                <w:szCs w:val="22"/>
                <w:lang w:val="sr-Latn-ME"/>
              </w:rPr>
            </w:pPr>
            <w:r w:rsidRPr="00012278">
              <w:rPr>
                <w:szCs w:val="22"/>
                <w:lang w:val="sr-Latn-ME"/>
              </w:rPr>
              <w:t>sindrom palmarno-plantarne eritrodizestezije**</w:t>
            </w:r>
          </w:p>
        </w:tc>
        <w:tc>
          <w:tcPr>
            <w:tcW w:w="1897" w:type="dxa"/>
            <w:shd w:val="clear" w:color="auto" w:fill="auto"/>
          </w:tcPr>
          <w:p w14:paraId="62F7DC35" w14:textId="77777777" w:rsidR="006140B9" w:rsidRPr="00012278" w:rsidRDefault="006140B9" w:rsidP="006140B9">
            <w:pPr>
              <w:rPr>
                <w:szCs w:val="22"/>
                <w:lang w:val="sr-Latn-ME"/>
              </w:rPr>
            </w:pPr>
            <w:r w:rsidRPr="00012278">
              <w:rPr>
                <w:szCs w:val="22"/>
                <w:lang w:val="sr-Latn-ME"/>
              </w:rPr>
              <w:t xml:space="preserve">osip, alopecija, </w:t>
            </w:r>
          </w:p>
          <w:p w14:paraId="59C7BBF6" w14:textId="77777777" w:rsidR="006140B9" w:rsidRPr="00012278" w:rsidRDefault="006140B9" w:rsidP="006140B9">
            <w:pPr>
              <w:rPr>
                <w:szCs w:val="22"/>
                <w:lang w:val="sr-Latn-ME"/>
              </w:rPr>
            </w:pPr>
            <w:r w:rsidRPr="00012278">
              <w:rPr>
                <w:szCs w:val="22"/>
                <w:lang w:val="sr-Latn-ME"/>
              </w:rPr>
              <w:t xml:space="preserve">eritem, suva koža, </w:t>
            </w:r>
          </w:p>
          <w:p w14:paraId="5E82BCFC" w14:textId="77777777" w:rsidR="006140B9" w:rsidRPr="00012278" w:rsidRDefault="006140B9" w:rsidP="006140B9">
            <w:pPr>
              <w:rPr>
                <w:szCs w:val="22"/>
                <w:lang w:val="sr-Latn-ME"/>
              </w:rPr>
            </w:pPr>
            <w:r w:rsidRPr="00012278">
              <w:rPr>
                <w:szCs w:val="22"/>
                <w:lang w:val="sr-Latn-ME"/>
              </w:rPr>
              <w:t xml:space="preserve">pruritus, hiperpigmentacija kože, </w:t>
            </w:r>
          </w:p>
          <w:p w14:paraId="5898E99C" w14:textId="77777777" w:rsidR="006140B9" w:rsidRPr="00012278" w:rsidRDefault="006140B9" w:rsidP="006140B9">
            <w:pPr>
              <w:rPr>
                <w:szCs w:val="22"/>
                <w:lang w:val="sr-Latn-ME"/>
              </w:rPr>
            </w:pPr>
            <w:r w:rsidRPr="00012278">
              <w:rPr>
                <w:szCs w:val="22"/>
                <w:lang w:val="sr-Latn-ME"/>
              </w:rPr>
              <w:t xml:space="preserve">makularni osip, </w:t>
            </w:r>
          </w:p>
          <w:p w14:paraId="7D46EC3F" w14:textId="77777777" w:rsidR="006140B9" w:rsidRPr="00012278" w:rsidRDefault="006140B9" w:rsidP="006140B9">
            <w:pPr>
              <w:rPr>
                <w:szCs w:val="22"/>
                <w:lang w:val="sr-Latn-ME"/>
              </w:rPr>
            </w:pPr>
            <w:r w:rsidRPr="00012278">
              <w:rPr>
                <w:szCs w:val="22"/>
                <w:lang w:val="sr-Latn-ME"/>
              </w:rPr>
              <w:t xml:space="preserve">deskvamacija kože, </w:t>
            </w:r>
          </w:p>
          <w:p w14:paraId="24E22047" w14:textId="77777777" w:rsidR="006140B9" w:rsidRPr="00012278" w:rsidRDefault="006140B9" w:rsidP="006140B9">
            <w:pPr>
              <w:rPr>
                <w:szCs w:val="22"/>
                <w:lang w:val="sr-Latn-ME"/>
              </w:rPr>
            </w:pPr>
            <w:r w:rsidRPr="00012278">
              <w:rPr>
                <w:szCs w:val="22"/>
                <w:lang w:val="sr-Latn-ME"/>
              </w:rPr>
              <w:t xml:space="preserve">dermatitis, poremećaj pigmentacije, </w:t>
            </w:r>
          </w:p>
          <w:p w14:paraId="11FD1325" w14:textId="77777777" w:rsidR="006140B9" w:rsidRPr="00012278" w:rsidRDefault="006140B9" w:rsidP="006140B9">
            <w:pPr>
              <w:rPr>
                <w:szCs w:val="22"/>
                <w:lang w:val="sr-Latn-ME"/>
              </w:rPr>
            </w:pPr>
            <w:r w:rsidRPr="00012278">
              <w:rPr>
                <w:szCs w:val="22"/>
                <w:lang w:val="sr-Latn-ME"/>
              </w:rPr>
              <w:t>promjene na noktima</w:t>
            </w:r>
          </w:p>
        </w:tc>
        <w:tc>
          <w:tcPr>
            <w:tcW w:w="1902" w:type="dxa"/>
            <w:shd w:val="clear" w:color="auto" w:fill="auto"/>
          </w:tcPr>
          <w:p w14:paraId="34D433A1" w14:textId="77777777" w:rsidR="006140B9" w:rsidRPr="00012278" w:rsidRDefault="006140B9" w:rsidP="006140B9">
            <w:pPr>
              <w:rPr>
                <w:szCs w:val="22"/>
                <w:lang w:val="sr-Latn-ME"/>
              </w:rPr>
            </w:pPr>
            <w:r w:rsidRPr="00012278">
              <w:rPr>
                <w:szCs w:val="22"/>
                <w:lang w:val="sr-Latn-ME"/>
              </w:rPr>
              <w:t xml:space="preserve">plihovi, ulceracije kože, osip, urtikarija, reakcija osjetljivosti na svjetlost, eritem dlana, otok lica, </w:t>
            </w:r>
          </w:p>
          <w:p w14:paraId="4BCD8260" w14:textId="77777777" w:rsidR="006140B9" w:rsidRPr="00012278" w:rsidRDefault="006140B9" w:rsidP="006140B9">
            <w:pPr>
              <w:rPr>
                <w:szCs w:val="22"/>
                <w:lang w:val="sr-Latn-ME"/>
              </w:rPr>
            </w:pPr>
            <w:r w:rsidRPr="00012278">
              <w:rPr>
                <w:szCs w:val="22"/>
                <w:lang w:val="sr-Latn-ME"/>
              </w:rPr>
              <w:t>purpura, sindrom radijacijskog zračenja (“radiation recall“)</w:t>
            </w:r>
          </w:p>
        </w:tc>
        <w:tc>
          <w:tcPr>
            <w:tcW w:w="1822" w:type="dxa"/>
            <w:shd w:val="clear" w:color="auto" w:fill="auto"/>
          </w:tcPr>
          <w:p w14:paraId="260F8361" w14:textId="77777777" w:rsidR="006140B9" w:rsidRPr="00012278" w:rsidRDefault="006140B9" w:rsidP="006140B9">
            <w:pPr>
              <w:rPr>
                <w:szCs w:val="22"/>
                <w:lang w:val="sr-Latn-ME"/>
              </w:rPr>
            </w:pPr>
            <w:r w:rsidRPr="00012278">
              <w:rPr>
                <w:szCs w:val="22"/>
                <w:lang w:val="sr-Latn-ME"/>
              </w:rPr>
              <w:t>kožni lupus eritematozus</w:t>
            </w:r>
          </w:p>
          <w:p w14:paraId="3C2FE64C" w14:textId="77777777" w:rsidR="006140B9" w:rsidRPr="00012278" w:rsidRDefault="006140B9" w:rsidP="006140B9">
            <w:pPr>
              <w:rPr>
                <w:szCs w:val="22"/>
                <w:lang w:val="sr-Latn-ME"/>
              </w:rPr>
            </w:pPr>
            <w:r w:rsidRPr="00012278">
              <w:rPr>
                <w:szCs w:val="22"/>
                <w:lang w:val="sr-Latn-ME"/>
              </w:rPr>
              <w:t>(rijetko), teške kožne reakcije</w:t>
            </w:r>
          </w:p>
          <w:p w14:paraId="14A2C515" w14:textId="77777777" w:rsidR="006140B9" w:rsidRPr="00012278" w:rsidRDefault="006140B9" w:rsidP="006140B9">
            <w:pPr>
              <w:rPr>
                <w:i/>
                <w:szCs w:val="22"/>
                <w:lang w:val="sr-Latn-ME"/>
              </w:rPr>
            </w:pPr>
            <w:r w:rsidRPr="00012278">
              <w:rPr>
                <w:szCs w:val="22"/>
                <w:lang w:val="sr-Latn-ME"/>
              </w:rPr>
              <w:t xml:space="preserve">poput </w:t>
            </w:r>
            <w:r w:rsidRPr="00012278">
              <w:rPr>
                <w:i/>
                <w:szCs w:val="22"/>
                <w:lang w:val="sr-Latn-ME"/>
              </w:rPr>
              <w:t>Stevens-</w:t>
            </w:r>
          </w:p>
          <w:p w14:paraId="436F7771" w14:textId="77777777" w:rsidR="006140B9" w:rsidRPr="00012278" w:rsidRDefault="006140B9" w:rsidP="006140B9">
            <w:pPr>
              <w:rPr>
                <w:szCs w:val="22"/>
                <w:lang w:val="sr-Latn-ME"/>
              </w:rPr>
            </w:pPr>
            <w:r w:rsidRPr="00012278">
              <w:rPr>
                <w:i/>
                <w:szCs w:val="22"/>
                <w:lang w:val="sr-Latn-ME"/>
              </w:rPr>
              <w:t>Johnson</w:t>
            </w:r>
            <w:r w:rsidRPr="00012278">
              <w:rPr>
                <w:szCs w:val="22"/>
                <w:lang w:val="sr-Latn-ME"/>
              </w:rPr>
              <w:t>-ovog</w:t>
            </w:r>
          </w:p>
          <w:p w14:paraId="26460876" w14:textId="77777777" w:rsidR="006140B9" w:rsidRPr="00012278" w:rsidRDefault="006140B9" w:rsidP="006140B9">
            <w:pPr>
              <w:rPr>
                <w:szCs w:val="22"/>
                <w:lang w:val="sr-Latn-ME"/>
              </w:rPr>
            </w:pPr>
            <w:r w:rsidRPr="00012278">
              <w:rPr>
                <w:szCs w:val="22"/>
                <w:lang w:val="sr-Latn-ME"/>
              </w:rPr>
              <w:t>sindroma i toksične</w:t>
            </w:r>
          </w:p>
          <w:p w14:paraId="67BF6B9C" w14:textId="77777777" w:rsidR="006140B9" w:rsidRPr="00012278" w:rsidRDefault="006140B9" w:rsidP="006140B9">
            <w:pPr>
              <w:rPr>
                <w:szCs w:val="22"/>
                <w:lang w:val="sr-Latn-ME"/>
              </w:rPr>
            </w:pPr>
            <w:r w:rsidRPr="00012278">
              <w:rPr>
                <w:szCs w:val="22"/>
                <w:lang w:val="sr-Latn-ME"/>
              </w:rPr>
              <w:t>epidermalne nekrolize (veoma</w:t>
            </w:r>
          </w:p>
          <w:p w14:paraId="35902A39" w14:textId="77777777" w:rsidR="006140B9" w:rsidRPr="00012278" w:rsidRDefault="006140B9" w:rsidP="006140B9">
            <w:pPr>
              <w:rPr>
                <w:szCs w:val="22"/>
                <w:lang w:val="sr-Latn-ME"/>
              </w:rPr>
            </w:pPr>
            <w:r w:rsidRPr="00012278">
              <w:rPr>
                <w:szCs w:val="22"/>
                <w:lang w:val="sr-Latn-ME"/>
              </w:rPr>
              <w:t>rijetko) (vidjeti odjeljak 4.4)</w:t>
            </w:r>
          </w:p>
        </w:tc>
      </w:tr>
      <w:tr w:rsidR="00983B65" w:rsidRPr="00012278" w14:paraId="631BA6F9" w14:textId="77777777" w:rsidTr="002B4BD7">
        <w:tc>
          <w:tcPr>
            <w:tcW w:w="1709" w:type="dxa"/>
            <w:shd w:val="clear" w:color="auto" w:fill="auto"/>
          </w:tcPr>
          <w:p w14:paraId="6DE18958" w14:textId="77777777" w:rsidR="006140B9" w:rsidRPr="00012278" w:rsidRDefault="006140B9" w:rsidP="006140B9">
            <w:pPr>
              <w:rPr>
                <w:szCs w:val="22"/>
                <w:lang w:val="sr-Latn-ME"/>
              </w:rPr>
            </w:pPr>
            <w:r w:rsidRPr="00012278">
              <w:rPr>
                <w:i/>
                <w:szCs w:val="22"/>
                <w:lang w:val="sr-Latn-ME"/>
              </w:rPr>
              <w:t>Poremećaji mišićno-skeletnog, vezivnog i koštanog tkiva</w:t>
            </w:r>
          </w:p>
        </w:tc>
        <w:tc>
          <w:tcPr>
            <w:tcW w:w="1731" w:type="dxa"/>
            <w:shd w:val="clear" w:color="auto" w:fill="auto"/>
          </w:tcPr>
          <w:p w14:paraId="005EF061" w14:textId="77777777" w:rsidR="006140B9" w:rsidRPr="00012278" w:rsidRDefault="006140B9" w:rsidP="006140B9">
            <w:pPr>
              <w:rPr>
                <w:szCs w:val="22"/>
                <w:lang w:val="sr-Latn-ME"/>
              </w:rPr>
            </w:pPr>
          </w:p>
        </w:tc>
        <w:tc>
          <w:tcPr>
            <w:tcW w:w="1897" w:type="dxa"/>
            <w:shd w:val="clear" w:color="auto" w:fill="auto"/>
          </w:tcPr>
          <w:p w14:paraId="55387302" w14:textId="77777777" w:rsidR="006140B9" w:rsidRPr="00012278" w:rsidRDefault="006140B9" w:rsidP="006140B9">
            <w:pPr>
              <w:rPr>
                <w:szCs w:val="22"/>
                <w:lang w:val="sr-Latn-ME"/>
              </w:rPr>
            </w:pPr>
            <w:r w:rsidRPr="00012278">
              <w:rPr>
                <w:szCs w:val="22"/>
                <w:lang w:val="sr-Latn-ME"/>
              </w:rPr>
              <w:t xml:space="preserve">bol u udovima, bol u leđima, artralgija </w:t>
            </w:r>
          </w:p>
        </w:tc>
        <w:tc>
          <w:tcPr>
            <w:tcW w:w="1902" w:type="dxa"/>
            <w:shd w:val="clear" w:color="auto" w:fill="auto"/>
          </w:tcPr>
          <w:p w14:paraId="71A0EF4A" w14:textId="77777777" w:rsidR="006140B9" w:rsidRPr="00012278" w:rsidRDefault="006140B9" w:rsidP="006140B9">
            <w:pPr>
              <w:rPr>
                <w:szCs w:val="22"/>
                <w:lang w:val="sr-Latn-ME"/>
              </w:rPr>
            </w:pPr>
            <w:r w:rsidRPr="00012278">
              <w:rPr>
                <w:szCs w:val="22"/>
                <w:lang w:val="sr-Latn-ME"/>
              </w:rPr>
              <w:t xml:space="preserve">otečeni zglobovi, </w:t>
            </w:r>
          </w:p>
          <w:p w14:paraId="4608D0C2" w14:textId="429A1268" w:rsidR="006140B9" w:rsidRPr="00012278" w:rsidRDefault="006140B9" w:rsidP="006140B9">
            <w:pPr>
              <w:rPr>
                <w:szCs w:val="22"/>
                <w:lang w:val="sr-Latn-ME"/>
              </w:rPr>
            </w:pPr>
            <w:r w:rsidRPr="00012278">
              <w:rPr>
                <w:szCs w:val="22"/>
                <w:lang w:val="sr-Latn-ME"/>
              </w:rPr>
              <w:t>bol u kostima, bolno lice,  ukočenost</w:t>
            </w:r>
            <w:r w:rsidR="009D2A3C" w:rsidRPr="00012278">
              <w:rPr>
                <w:szCs w:val="22"/>
                <w:lang w:val="sr-Latn-ME"/>
              </w:rPr>
              <w:t xml:space="preserve"> mišića i zglobova</w:t>
            </w:r>
            <w:r w:rsidRPr="00012278">
              <w:rPr>
                <w:szCs w:val="22"/>
                <w:lang w:val="sr-Latn-ME"/>
              </w:rPr>
              <w:t xml:space="preserve">, mišićna slabost </w:t>
            </w:r>
          </w:p>
        </w:tc>
        <w:tc>
          <w:tcPr>
            <w:tcW w:w="1822" w:type="dxa"/>
            <w:shd w:val="clear" w:color="auto" w:fill="auto"/>
          </w:tcPr>
          <w:p w14:paraId="5B3D8B73" w14:textId="77777777" w:rsidR="006140B9" w:rsidRPr="00012278" w:rsidRDefault="006140B9" w:rsidP="006140B9">
            <w:pPr>
              <w:rPr>
                <w:szCs w:val="22"/>
                <w:lang w:val="sr-Latn-ME"/>
              </w:rPr>
            </w:pPr>
          </w:p>
        </w:tc>
      </w:tr>
      <w:tr w:rsidR="00983B65" w:rsidRPr="00012278" w14:paraId="64F96825" w14:textId="77777777" w:rsidTr="002B4BD7">
        <w:tc>
          <w:tcPr>
            <w:tcW w:w="1709" w:type="dxa"/>
            <w:shd w:val="clear" w:color="auto" w:fill="auto"/>
          </w:tcPr>
          <w:p w14:paraId="36E18363" w14:textId="77777777" w:rsidR="006140B9" w:rsidRPr="00012278" w:rsidRDefault="006140B9" w:rsidP="006140B9">
            <w:pPr>
              <w:rPr>
                <w:szCs w:val="22"/>
                <w:lang w:val="sr-Latn-ME"/>
              </w:rPr>
            </w:pPr>
            <w:r w:rsidRPr="00012278">
              <w:rPr>
                <w:i/>
                <w:szCs w:val="22"/>
                <w:lang w:val="sr-Latn-ME"/>
              </w:rPr>
              <w:t>Poremećaji na nivou bubrega i urinarnog sistema</w:t>
            </w:r>
          </w:p>
        </w:tc>
        <w:tc>
          <w:tcPr>
            <w:tcW w:w="1731" w:type="dxa"/>
            <w:shd w:val="clear" w:color="auto" w:fill="auto"/>
          </w:tcPr>
          <w:p w14:paraId="047A3A25" w14:textId="77777777" w:rsidR="006140B9" w:rsidRPr="00012278" w:rsidRDefault="006140B9" w:rsidP="006140B9">
            <w:pPr>
              <w:rPr>
                <w:szCs w:val="22"/>
                <w:lang w:val="sr-Latn-ME"/>
              </w:rPr>
            </w:pPr>
          </w:p>
        </w:tc>
        <w:tc>
          <w:tcPr>
            <w:tcW w:w="1897" w:type="dxa"/>
            <w:shd w:val="clear" w:color="auto" w:fill="auto"/>
          </w:tcPr>
          <w:p w14:paraId="6015545D" w14:textId="77777777" w:rsidR="006140B9" w:rsidRPr="00012278" w:rsidRDefault="006140B9" w:rsidP="006140B9">
            <w:pPr>
              <w:rPr>
                <w:szCs w:val="22"/>
                <w:lang w:val="sr-Latn-ME"/>
              </w:rPr>
            </w:pPr>
          </w:p>
        </w:tc>
        <w:tc>
          <w:tcPr>
            <w:tcW w:w="1902" w:type="dxa"/>
            <w:shd w:val="clear" w:color="auto" w:fill="auto"/>
          </w:tcPr>
          <w:p w14:paraId="2D525318" w14:textId="77777777" w:rsidR="006140B9" w:rsidRPr="00012278" w:rsidRDefault="006140B9" w:rsidP="006140B9">
            <w:pPr>
              <w:rPr>
                <w:szCs w:val="22"/>
                <w:lang w:val="sr-Latn-ME"/>
              </w:rPr>
            </w:pPr>
            <w:r w:rsidRPr="00012278">
              <w:rPr>
                <w:szCs w:val="22"/>
                <w:lang w:val="sr-Latn-ME"/>
              </w:rPr>
              <w:t>hidronefroza,</w:t>
            </w:r>
          </w:p>
          <w:p w14:paraId="4A4A9B5B" w14:textId="77777777" w:rsidR="006140B9" w:rsidRPr="00012278" w:rsidRDefault="006140B9" w:rsidP="006140B9">
            <w:pPr>
              <w:rPr>
                <w:szCs w:val="22"/>
                <w:lang w:val="sr-Latn-ME"/>
              </w:rPr>
            </w:pPr>
            <w:r w:rsidRPr="00012278">
              <w:rPr>
                <w:szCs w:val="22"/>
                <w:lang w:val="sr-Latn-ME"/>
              </w:rPr>
              <w:t xml:space="preserve">urinarna inkontinencija, </w:t>
            </w:r>
          </w:p>
          <w:p w14:paraId="2B36D185" w14:textId="77777777" w:rsidR="006140B9" w:rsidRPr="00012278" w:rsidRDefault="006140B9" w:rsidP="006140B9">
            <w:pPr>
              <w:rPr>
                <w:szCs w:val="22"/>
                <w:lang w:val="sr-Latn-ME"/>
              </w:rPr>
            </w:pPr>
            <w:r w:rsidRPr="00012278">
              <w:rPr>
                <w:szCs w:val="22"/>
                <w:lang w:val="sr-Latn-ME"/>
              </w:rPr>
              <w:t xml:space="preserve">hematurija, </w:t>
            </w:r>
          </w:p>
          <w:p w14:paraId="71109E86" w14:textId="77777777" w:rsidR="006140B9" w:rsidRPr="00012278" w:rsidRDefault="006140B9" w:rsidP="006140B9">
            <w:pPr>
              <w:rPr>
                <w:szCs w:val="22"/>
                <w:lang w:val="sr-Latn-ME"/>
              </w:rPr>
            </w:pPr>
            <w:r w:rsidRPr="00012278">
              <w:rPr>
                <w:szCs w:val="22"/>
                <w:lang w:val="sr-Latn-ME"/>
              </w:rPr>
              <w:t>noćno mokrenje,</w:t>
            </w:r>
          </w:p>
          <w:p w14:paraId="259E7843" w14:textId="77777777" w:rsidR="006140B9" w:rsidRPr="00012278" w:rsidRDefault="006140B9" w:rsidP="006140B9">
            <w:pPr>
              <w:rPr>
                <w:szCs w:val="22"/>
                <w:lang w:val="sr-Latn-ME"/>
              </w:rPr>
            </w:pPr>
            <w:r w:rsidRPr="00012278">
              <w:rPr>
                <w:szCs w:val="22"/>
                <w:lang w:val="sr-Latn-ME"/>
              </w:rPr>
              <w:t>povećanje vrijednosti kreatinina u krvi</w:t>
            </w:r>
          </w:p>
        </w:tc>
        <w:tc>
          <w:tcPr>
            <w:tcW w:w="1822" w:type="dxa"/>
            <w:shd w:val="clear" w:color="auto" w:fill="auto"/>
          </w:tcPr>
          <w:p w14:paraId="4B78664D" w14:textId="77777777" w:rsidR="006140B9" w:rsidRPr="00012278" w:rsidRDefault="006140B9" w:rsidP="006140B9">
            <w:pPr>
              <w:rPr>
                <w:szCs w:val="22"/>
                <w:lang w:val="sr-Latn-ME"/>
              </w:rPr>
            </w:pPr>
          </w:p>
        </w:tc>
      </w:tr>
      <w:tr w:rsidR="00983B65" w:rsidRPr="00012278" w14:paraId="104351A3" w14:textId="77777777" w:rsidTr="002B4BD7">
        <w:tc>
          <w:tcPr>
            <w:tcW w:w="1709" w:type="dxa"/>
            <w:shd w:val="clear" w:color="auto" w:fill="auto"/>
          </w:tcPr>
          <w:p w14:paraId="4F1D3AEB" w14:textId="77777777" w:rsidR="006140B9" w:rsidRPr="00012278" w:rsidRDefault="006140B9" w:rsidP="006140B9">
            <w:pPr>
              <w:rPr>
                <w:szCs w:val="22"/>
                <w:lang w:val="sr-Latn-ME"/>
              </w:rPr>
            </w:pPr>
            <w:r w:rsidRPr="00012278">
              <w:rPr>
                <w:i/>
                <w:szCs w:val="22"/>
                <w:lang w:val="sr-Latn-ME"/>
              </w:rPr>
              <w:t>Poremećaji reproduktivnog sistema i na nivou dojki</w:t>
            </w:r>
          </w:p>
        </w:tc>
        <w:tc>
          <w:tcPr>
            <w:tcW w:w="1731" w:type="dxa"/>
            <w:shd w:val="clear" w:color="auto" w:fill="auto"/>
          </w:tcPr>
          <w:p w14:paraId="2F6A1D4B" w14:textId="77777777" w:rsidR="006140B9" w:rsidRPr="00012278" w:rsidRDefault="006140B9" w:rsidP="006140B9">
            <w:pPr>
              <w:rPr>
                <w:szCs w:val="22"/>
                <w:lang w:val="sr-Latn-ME"/>
              </w:rPr>
            </w:pPr>
          </w:p>
        </w:tc>
        <w:tc>
          <w:tcPr>
            <w:tcW w:w="1897" w:type="dxa"/>
            <w:shd w:val="clear" w:color="auto" w:fill="auto"/>
          </w:tcPr>
          <w:p w14:paraId="14F28A82" w14:textId="77777777" w:rsidR="006140B9" w:rsidRPr="00012278" w:rsidRDefault="006140B9" w:rsidP="006140B9">
            <w:pPr>
              <w:rPr>
                <w:szCs w:val="22"/>
                <w:lang w:val="sr-Latn-ME"/>
              </w:rPr>
            </w:pPr>
          </w:p>
        </w:tc>
        <w:tc>
          <w:tcPr>
            <w:tcW w:w="1902" w:type="dxa"/>
            <w:shd w:val="clear" w:color="auto" w:fill="auto"/>
          </w:tcPr>
          <w:p w14:paraId="37B862E9" w14:textId="77777777" w:rsidR="006140B9" w:rsidRPr="00012278" w:rsidRDefault="006140B9" w:rsidP="006140B9">
            <w:pPr>
              <w:rPr>
                <w:szCs w:val="22"/>
                <w:lang w:val="sr-Latn-ME"/>
              </w:rPr>
            </w:pPr>
            <w:r w:rsidRPr="00012278">
              <w:rPr>
                <w:szCs w:val="22"/>
                <w:lang w:val="sr-Latn-ME"/>
              </w:rPr>
              <w:t>vaginalna hemoragija</w:t>
            </w:r>
          </w:p>
        </w:tc>
        <w:tc>
          <w:tcPr>
            <w:tcW w:w="1822" w:type="dxa"/>
            <w:shd w:val="clear" w:color="auto" w:fill="auto"/>
          </w:tcPr>
          <w:p w14:paraId="37B75BA3" w14:textId="77777777" w:rsidR="006140B9" w:rsidRPr="00012278" w:rsidRDefault="006140B9" w:rsidP="006140B9">
            <w:pPr>
              <w:rPr>
                <w:szCs w:val="22"/>
                <w:lang w:val="sr-Latn-ME"/>
              </w:rPr>
            </w:pPr>
          </w:p>
        </w:tc>
      </w:tr>
      <w:tr w:rsidR="00983B65" w:rsidRPr="00012278" w14:paraId="76A78625" w14:textId="77777777" w:rsidTr="002B4BD7">
        <w:tc>
          <w:tcPr>
            <w:tcW w:w="1709" w:type="dxa"/>
            <w:shd w:val="clear" w:color="auto" w:fill="auto"/>
          </w:tcPr>
          <w:p w14:paraId="019F9064" w14:textId="77777777" w:rsidR="006140B9" w:rsidRPr="00012278" w:rsidRDefault="006140B9" w:rsidP="006140B9">
            <w:pPr>
              <w:rPr>
                <w:szCs w:val="22"/>
                <w:lang w:val="sr-Latn-ME"/>
              </w:rPr>
            </w:pPr>
            <w:r w:rsidRPr="00012278">
              <w:rPr>
                <w:i/>
                <w:szCs w:val="22"/>
                <w:lang w:val="sr-Latn-ME"/>
              </w:rPr>
              <w:t>Opšti poremećaji i reakcije na mjestu primjene</w:t>
            </w:r>
          </w:p>
        </w:tc>
        <w:tc>
          <w:tcPr>
            <w:tcW w:w="1731" w:type="dxa"/>
            <w:shd w:val="clear" w:color="auto" w:fill="auto"/>
          </w:tcPr>
          <w:p w14:paraId="61730C51" w14:textId="77777777" w:rsidR="006140B9" w:rsidRPr="00012278" w:rsidRDefault="006140B9" w:rsidP="006140B9">
            <w:pPr>
              <w:rPr>
                <w:szCs w:val="22"/>
                <w:lang w:val="sr-Latn-ME"/>
              </w:rPr>
            </w:pPr>
            <w:r w:rsidRPr="00012278">
              <w:rPr>
                <w:szCs w:val="22"/>
                <w:lang w:val="sr-Latn-ME"/>
              </w:rPr>
              <w:t xml:space="preserve">umor, astenija </w:t>
            </w:r>
          </w:p>
        </w:tc>
        <w:tc>
          <w:tcPr>
            <w:tcW w:w="1897" w:type="dxa"/>
            <w:shd w:val="clear" w:color="auto" w:fill="auto"/>
          </w:tcPr>
          <w:p w14:paraId="15AC5DEA" w14:textId="77777777" w:rsidR="006140B9" w:rsidRPr="00012278" w:rsidRDefault="006140B9" w:rsidP="006140B9">
            <w:pPr>
              <w:rPr>
                <w:szCs w:val="22"/>
                <w:lang w:val="sr-Latn-ME"/>
              </w:rPr>
            </w:pPr>
            <w:r w:rsidRPr="00012278">
              <w:rPr>
                <w:szCs w:val="22"/>
                <w:lang w:val="sr-Latn-ME"/>
              </w:rPr>
              <w:t xml:space="preserve">pireksija, periferni edem, opšta slabost, </w:t>
            </w:r>
          </w:p>
          <w:p w14:paraId="109B9AD3" w14:textId="77777777" w:rsidR="006140B9" w:rsidRPr="00012278" w:rsidRDefault="006140B9" w:rsidP="006140B9">
            <w:pPr>
              <w:rPr>
                <w:szCs w:val="22"/>
                <w:lang w:val="sr-Latn-ME"/>
              </w:rPr>
            </w:pPr>
            <w:r w:rsidRPr="00012278">
              <w:rPr>
                <w:szCs w:val="22"/>
                <w:lang w:val="sr-Latn-ME"/>
              </w:rPr>
              <w:t xml:space="preserve">bol u grudima </w:t>
            </w:r>
          </w:p>
        </w:tc>
        <w:tc>
          <w:tcPr>
            <w:tcW w:w="1902" w:type="dxa"/>
            <w:shd w:val="clear" w:color="auto" w:fill="auto"/>
          </w:tcPr>
          <w:p w14:paraId="3C8F48B3" w14:textId="77777777" w:rsidR="006140B9" w:rsidRPr="00012278" w:rsidRDefault="006140B9" w:rsidP="006140B9">
            <w:pPr>
              <w:rPr>
                <w:szCs w:val="22"/>
                <w:lang w:val="sr-Latn-ME"/>
              </w:rPr>
            </w:pPr>
            <w:r w:rsidRPr="00012278">
              <w:rPr>
                <w:szCs w:val="22"/>
                <w:lang w:val="sr-Latn-ME"/>
              </w:rPr>
              <w:t xml:space="preserve">edem, drhtavica/jeza, </w:t>
            </w:r>
          </w:p>
          <w:p w14:paraId="5FE4CFC5" w14:textId="77777777" w:rsidR="006140B9" w:rsidRPr="00012278" w:rsidRDefault="006140B9" w:rsidP="006140B9">
            <w:pPr>
              <w:rPr>
                <w:szCs w:val="22"/>
                <w:lang w:val="sr-Latn-ME"/>
              </w:rPr>
            </w:pPr>
            <w:r w:rsidRPr="00012278">
              <w:rPr>
                <w:szCs w:val="22"/>
                <w:lang w:val="sr-Latn-ME"/>
              </w:rPr>
              <w:t xml:space="preserve">bolest slična gripu, </w:t>
            </w:r>
          </w:p>
          <w:p w14:paraId="6803A31D" w14:textId="77777777" w:rsidR="006140B9" w:rsidRPr="00012278" w:rsidRDefault="006140B9" w:rsidP="006140B9">
            <w:pPr>
              <w:rPr>
                <w:szCs w:val="22"/>
                <w:lang w:val="sr-Latn-ME"/>
              </w:rPr>
            </w:pPr>
            <w:r w:rsidRPr="00012278">
              <w:rPr>
                <w:szCs w:val="22"/>
                <w:lang w:val="sr-Latn-ME"/>
              </w:rPr>
              <w:t>ukočenost, povišena tjelesna temperatura</w:t>
            </w:r>
          </w:p>
        </w:tc>
        <w:tc>
          <w:tcPr>
            <w:tcW w:w="1822" w:type="dxa"/>
            <w:shd w:val="clear" w:color="auto" w:fill="auto"/>
          </w:tcPr>
          <w:p w14:paraId="6E95749C" w14:textId="77777777" w:rsidR="006140B9" w:rsidRPr="00012278" w:rsidRDefault="006140B9" w:rsidP="006140B9">
            <w:pPr>
              <w:rPr>
                <w:szCs w:val="22"/>
                <w:lang w:val="sr-Latn-ME"/>
              </w:rPr>
            </w:pPr>
          </w:p>
        </w:tc>
      </w:tr>
    </w:tbl>
    <w:p w14:paraId="13D234DA" w14:textId="77777777" w:rsidR="006140B9" w:rsidRPr="00012278" w:rsidRDefault="006140B9" w:rsidP="006140B9">
      <w:pPr>
        <w:rPr>
          <w:szCs w:val="22"/>
          <w:lang w:val="sr-Latn-ME"/>
        </w:rPr>
      </w:pPr>
    </w:p>
    <w:p w14:paraId="024248F8" w14:textId="2BC101F0" w:rsidR="006140B9" w:rsidRPr="00012278" w:rsidRDefault="006140B9" w:rsidP="006140B9">
      <w:pPr>
        <w:rPr>
          <w:szCs w:val="22"/>
          <w:u w:val="single"/>
          <w:lang w:val="sr-Latn-ME"/>
        </w:rPr>
      </w:pPr>
      <w:r w:rsidRPr="00012278">
        <w:rPr>
          <w:szCs w:val="22"/>
          <w:u w:val="single"/>
          <w:lang w:val="sr-Latn-ME"/>
        </w:rPr>
        <w:t xml:space="preserve">**Na osnovu postmarketinškog iskustva, uporni ili teški sindrom palmarno-plantarne eritrodizestezije može dovesti do gubitka otiska prsta (vidjeti </w:t>
      </w:r>
      <w:r w:rsidR="00FD3AEE" w:rsidRPr="00012278">
        <w:rPr>
          <w:szCs w:val="22"/>
          <w:u w:val="single"/>
          <w:lang w:val="sr-Latn-ME"/>
        </w:rPr>
        <w:t>dio</w:t>
      </w:r>
      <w:r w:rsidRPr="00012278">
        <w:rPr>
          <w:szCs w:val="22"/>
          <w:u w:val="single"/>
          <w:lang w:val="sr-Latn-ME"/>
        </w:rPr>
        <w:t xml:space="preserve"> 4.4.)</w:t>
      </w:r>
    </w:p>
    <w:p w14:paraId="43F6074B" w14:textId="77777777" w:rsidR="006140B9" w:rsidRPr="00012278" w:rsidRDefault="006140B9" w:rsidP="006140B9">
      <w:pPr>
        <w:rPr>
          <w:szCs w:val="22"/>
          <w:lang w:val="sr-Latn-ME"/>
        </w:rPr>
      </w:pPr>
    </w:p>
    <w:p w14:paraId="5082A0BD" w14:textId="77777777" w:rsidR="006140B9" w:rsidRPr="00012278" w:rsidRDefault="006140B9" w:rsidP="006140B9">
      <w:pPr>
        <w:rPr>
          <w:i/>
          <w:szCs w:val="22"/>
          <w:lang w:val="sr-Latn-ME"/>
        </w:rPr>
      </w:pPr>
      <w:r w:rsidRPr="00012278">
        <w:rPr>
          <w:i/>
          <w:szCs w:val="22"/>
          <w:lang w:val="sr-Latn-ME"/>
        </w:rPr>
        <w:t xml:space="preserve">Kapecitabin u kombinovanoj terapiji: </w:t>
      </w:r>
    </w:p>
    <w:p w14:paraId="3E5D50FF" w14:textId="77777777" w:rsidR="006140B9" w:rsidRPr="00012278" w:rsidRDefault="006140B9" w:rsidP="006140B9">
      <w:pPr>
        <w:rPr>
          <w:szCs w:val="22"/>
          <w:lang w:val="sr-Latn-ME"/>
        </w:rPr>
      </w:pPr>
    </w:p>
    <w:p w14:paraId="1CF9146A" w14:textId="51CBD794" w:rsidR="006140B9" w:rsidRPr="00012278" w:rsidRDefault="006140B9" w:rsidP="002B4BD7">
      <w:pPr>
        <w:jc w:val="both"/>
        <w:rPr>
          <w:szCs w:val="22"/>
          <w:lang w:val="sr-Latn-ME"/>
        </w:rPr>
      </w:pPr>
      <w:r w:rsidRPr="00012278">
        <w:rPr>
          <w:szCs w:val="22"/>
          <w:lang w:val="sr-Latn-ME"/>
        </w:rPr>
        <w:t xml:space="preserve">U Tabeli 5 prikazane su neželjene reakcije na lijek povezane sa primjenom kapecitabina u kombinaciji sa različitim hemioterapijskim </w:t>
      </w:r>
      <w:r w:rsidR="00FD3AEE" w:rsidRPr="00012278">
        <w:rPr>
          <w:szCs w:val="22"/>
          <w:lang w:val="sr-Latn-ME"/>
        </w:rPr>
        <w:t>protokolima,</w:t>
      </w:r>
      <w:r w:rsidRPr="00012278">
        <w:rPr>
          <w:szCs w:val="22"/>
          <w:lang w:val="sr-Latn-ME"/>
        </w:rPr>
        <w:t xml:space="preserve"> u različitim indikacijama, na osnovu bezbjednosnih podataka dobijenih od preko 3000 pacijenata.  Neželjene reakcije na lijek svrstane su u odgovarajuće grupe po učestalosti pojavljivanja (veoma česte ili česte) na osnovu najviše incidence zabilježene u bilo kojoj od velikih kliničkih studija i navode se samo ako su </w:t>
      </w:r>
      <w:r w:rsidRPr="00012278">
        <w:rPr>
          <w:b/>
          <w:szCs w:val="22"/>
          <w:lang w:val="sr-Latn-ME"/>
        </w:rPr>
        <w:t>dodatno</w:t>
      </w:r>
      <w:r w:rsidRPr="00012278">
        <w:rPr>
          <w:szCs w:val="22"/>
          <w:lang w:val="sr-Latn-ME"/>
        </w:rPr>
        <w:t xml:space="preserve"> primijećene uz one već zabilježene kod monoterapije ili ako je njihova </w:t>
      </w:r>
      <w:r w:rsidRPr="00012278">
        <w:rPr>
          <w:b/>
          <w:szCs w:val="22"/>
          <w:lang w:val="sr-Latn-ME"/>
        </w:rPr>
        <w:t xml:space="preserve">učestalost veća </w:t>
      </w:r>
      <w:r w:rsidRPr="00012278">
        <w:rPr>
          <w:szCs w:val="22"/>
          <w:lang w:val="sr-Latn-ME"/>
        </w:rPr>
        <w:t xml:space="preserve">u poređenju sa kapecitabinom kada se koristi kao monoterapija (vidjeti Tabelu 4). Povremene neželjene reakcije prijavljene pri primjeni kombinovane terapije sa kapecitabinom su u </w:t>
      </w:r>
      <w:r w:rsidR="00FD3AEE" w:rsidRPr="00012278">
        <w:rPr>
          <w:szCs w:val="22"/>
          <w:lang w:val="sr-Latn-ME"/>
        </w:rPr>
        <w:t>skladu</w:t>
      </w:r>
      <w:r w:rsidRPr="00012278">
        <w:rPr>
          <w:szCs w:val="22"/>
          <w:lang w:val="sr-Latn-ME"/>
        </w:rPr>
        <w:t xml:space="preserve"> sa neželjenim reakcijama prijavljenim za kapecitabin monoterapiju ili prijavljenim kod monoterapije lijekom koji se može primjenjivati u kombinaciji sa kapecitabinom (kombinacijski lijek) (u literaturi i/ili odgovarajućem Sažetku karakteristika lijeka).</w:t>
      </w:r>
    </w:p>
    <w:p w14:paraId="1A90EED1" w14:textId="77777777" w:rsidR="006140B9" w:rsidRPr="00012278" w:rsidRDefault="006140B9" w:rsidP="002B4BD7">
      <w:pPr>
        <w:jc w:val="both"/>
        <w:rPr>
          <w:szCs w:val="22"/>
          <w:lang w:val="sr-Latn-ME"/>
        </w:rPr>
      </w:pPr>
    </w:p>
    <w:p w14:paraId="45268644" w14:textId="141A1A37" w:rsidR="006140B9" w:rsidRPr="00012278" w:rsidRDefault="006140B9" w:rsidP="002B4BD7">
      <w:pPr>
        <w:jc w:val="both"/>
        <w:rPr>
          <w:szCs w:val="22"/>
          <w:lang w:val="sr-Latn-ME"/>
        </w:rPr>
      </w:pPr>
      <w:r w:rsidRPr="00012278">
        <w:rPr>
          <w:szCs w:val="22"/>
          <w:lang w:val="sr-Latn-ME"/>
        </w:rPr>
        <w:lastRenderedPageBreak/>
        <w:t xml:space="preserve">Neke od neželjenih reakcija su reakcije </w:t>
      </w:r>
      <w:r w:rsidR="00FD3AEE" w:rsidRPr="00012278">
        <w:rPr>
          <w:szCs w:val="22"/>
          <w:lang w:val="sr-Latn-ME"/>
        </w:rPr>
        <w:t xml:space="preserve">koje su često </w:t>
      </w:r>
      <w:r w:rsidRPr="00012278">
        <w:rPr>
          <w:szCs w:val="22"/>
          <w:lang w:val="sr-Latn-ME"/>
        </w:rPr>
        <w:t>zabilježene za lijek sa kojim se terapija kombinuje (npr. periferna senzorna neuropatija sa docetakselom ili oksaliplatinom, hipertenzija zabilježena sa bevacizumabom); ipak, egzacerbacija istih zbog primjene kapecitabina ne može se isključiti.</w:t>
      </w:r>
    </w:p>
    <w:p w14:paraId="71F9BD56" w14:textId="77777777" w:rsidR="006140B9" w:rsidRPr="00012278" w:rsidRDefault="006140B9" w:rsidP="002B4BD7">
      <w:pPr>
        <w:jc w:val="both"/>
        <w:rPr>
          <w:szCs w:val="22"/>
          <w:lang w:val="sr-Latn-ME"/>
        </w:rPr>
      </w:pPr>
    </w:p>
    <w:p w14:paraId="14E175E5" w14:textId="7E16E9EA" w:rsidR="006140B9" w:rsidRPr="00012278" w:rsidRDefault="006140B9" w:rsidP="006140B9">
      <w:pPr>
        <w:rPr>
          <w:szCs w:val="22"/>
          <w:lang w:val="sr-Latn-ME"/>
        </w:rPr>
      </w:pPr>
      <w:r w:rsidRPr="00012278">
        <w:rPr>
          <w:szCs w:val="22"/>
          <w:lang w:val="sr-Latn-ME"/>
        </w:rPr>
        <w:t xml:space="preserve">Tabela 5. </w:t>
      </w:r>
      <w:r w:rsidR="00FD3AEE" w:rsidRPr="00012278">
        <w:rPr>
          <w:szCs w:val="22"/>
          <w:lang w:val="sr-Latn-ME"/>
        </w:rPr>
        <w:t xml:space="preserve">Sažetak  </w:t>
      </w:r>
      <w:r w:rsidRPr="00012278">
        <w:rPr>
          <w:szCs w:val="22"/>
          <w:lang w:val="sr-Latn-ME"/>
        </w:rPr>
        <w:t xml:space="preserve">neželjenih reakcija </w:t>
      </w:r>
      <w:r w:rsidR="00FD3AEE" w:rsidRPr="00012278">
        <w:rPr>
          <w:szCs w:val="22"/>
          <w:lang w:val="sr-Latn-ME"/>
        </w:rPr>
        <w:t>u vezi sa primjenom lijeka</w:t>
      </w:r>
      <w:r w:rsidRPr="00012278">
        <w:rPr>
          <w:szCs w:val="22"/>
          <w:lang w:val="sr-Latn-ME"/>
        </w:rPr>
        <w:t xml:space="preserve"> prijavljenih kod pacijenata liječenih kapecitabinom u kombinovanoj terapiji, a koje su </w:t>
      </w:r>
      <w:r w:rsidRPr="00012278">
        <w:rPr>
          <w:b/>
          <w:szCs w:val="22"/>
          <w:lang w:val="sr-Latn-ME"/>
        </w:rPr>
        <w:t xml:space="preserve">dodatno </w:t>
      </w:r>
      <w:r w:rsidRPr="00012278">
        <w:rPr>
          <w:szCs w:val="22"/>
          <w:lang w:val="sr-Latn-ME"/>
        </w:rPr>
        <w:t>primijećene uz one već zabilježene kod monoterapije kapecitabinom ili su se javljale</w:t>
      </w:r>
      <w:r w:rsidRPr="00012278">
        <w:rPr>
          <w:b/>
          <w:szCs w:val="22"/>
          <w:lang w:val="sr-Latn-ME"/>
        </w:rPr>
        <w:t xml:space="preserve"> većom učestalošću</w:t>
      </w:r>
      <w:r w:rsidRPr="00012278">
        <w:rPr>
          <w:szCs w:val="22"/>
          <w:lang w:val="sr-Latn-ME"/>
        </w:rPr>
        <w:t xml:space="preserve"> nego kada se kapecitabin koristi kao monoterapija.</w:t>
      </w:r>
    </w:p>
    <w:p w14:paraId="28748A2A" w14:textId="77777777" w:rsidR="006140B9" w:rsidRPr="00012278" w:rsidRDefault="006140B9" w:rsidP="006140B9">
      <w:pPr>
        <w:rPr>
          <w:szCs w:val="22"/>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71"/>
        <w:gridCol w:w="3405"/>
        <w:gridCol w:w="1867"/>
      </w:tblGrid>
      <w:tr w:rsidR="006140B9" w:rsidRPr="00012278" w14:paraId="557C66AC" w14:textId="77777777" w:rsidTr="00183A6F">
        <w:trPr>
          <w:trHeight w:val="432"/>
        </w:trPr>
        <w:tc>
          <w:tcPr>
            <w:tcW w:w="1003" w:type="pct"/>
            <w:shd w:val="clear" w:color="auto" w:fill="auto"/>
            <w:vAlign w:val="center"/>
          </w:tcPr>
          <w:p w14:paraId="19E53B09" w14:textId="77777777" w:rsidR="006140B9" w:rsidRPr="00012278" w:rsidRDefault="006140B9" w:rsidP="006140B9">
            <w:pPr>
              <w:rPr>
                <w:b/>
                <w:szCs w:val="22"/>
                <w:lang w:val="sr-Latn-ME"/>
              </w:rPr>
            </w:pPr>
            <w:r w:rsidRPr="00012278">
              <w:rPr>
                <w:b/>
                <w:szCs w:val="22"/>
                <w:lang w:val="sr-Latn-ME"/>
              </w:rPr>
              <w:t>Sistem organa</w:t>
            </w:r>
          </w:p>
        </w:tc>
        <w:tc>
          <w:tcPr>
            <w:tcW w:w="1088" w:type="pct"/>
            <w:shd w:val="clear" w:color="auto" w:fill="auto"/>
            <w:vAlign w:val="center"/>
          </w:tcPr>
          <w:p w14:paraId="0A169094" w14:textId="77777777" w:rsidR="006140B9" w:rsidRPr="00012278" w:rsidRDefault="006140B9" w:rsidP="006140B9">
            <w:pPr>
              <w:rPr>
                <w:b/>
                <w:szCs w:val="22"/>
                <w:lang w:val="sr-Latn-ME"/>
              </w:rPr>
            </w:pPr>
          </w:p>
          <w:p w14:paraId="1EB53C1C" w14:textId="77777777" w:rsidR="006140B9" w:rsidRPr="00012278" w:rsidRDefault="006140B9" w:rsidP="006140B9">
            <w:pPr>
              <w:rPr>
                <w:b/>
                <w:szCs w:val="22"/>
                <w:lang w:val="sr-Latn-ME"/>
              </w:rPr>
            </w:pPr>
            <w:r w:rsidRPr="00012278">
              <w:rPr>
                <w:b/>
                <w:szCs w:val="22"/>
                <w:lang w:val="sr-Latn-ME"/>
              </w:rPr>
              <w:t>Veoma često</w:t>
            </w:r>
          </w:p>
          <w:p w14:paraId="29CFB672" w14:textId="77777777" w:rsidR="006140B9" w:rsidRPr="00012278" w:rsidRDefault="006140B9" w:rsidP="006140B9">
            <w:pPr>
              <w:rPr>
                <w:b/>
                <w:i/>
                <w:szCs w:val="22"/>
                <w:lang w:val="sr-Latn-ME"/>
              </w:rPr>
            </w:pPr>
          </w:p>
          <w:p w14:paraId="2096F6B4" w14:textId="77777777" w:rsidR="006140B9" w:rsidRPr="00012278" w:rsidRDefault="006140B9" w:rsidP="006140B9">
            <w:pPr>
              <w:rPr>
                <w:b/>
                <w:i/>
                <w:szCs w:val="22"/>
                <w:lang w:val="sr-Latn-ME"/>
              </w:rPr>
            </w:pPr>
            <w:r w:rsidRPr="00012278">
              <w:rPr>
                <w:b/>
                <w:i/>
                <w:szCs w:val="22"/>
                <w:lang w:val="sr-Latn-ME"/>
              </w:rPr>
              <w:t>Svi stepeni</w:t>
            </w:r>
          </w:p>
        </w:tc>
        <w:tc>
          <w:tcPr>
            <w:tcW w:w="1879" w:type="pct"/>
            <w:shd w:val="clear" w:color="auto" w:fill="auto"/>
            <w:vAlign w:val="center"/>
          </w:tcPr>
          <w:p w14:paraId="5A830F36" w14:textId="77777777" w:rsidR="006140B9" w:rsidRPr="00012278" w:rsidRDefault="006140B9" w:rsidP="006140B9">
            <w:pPr>
              <w:rPr>
                <w:b/>
                <w:szCs w:val="22"/>
                <w:lang w:val="sr-Latn-ME"/>
              </w:rPr>
            </w:pPr>
          </w:p>
          <w:p w14:paraId="70EB70D1" w14:textId="77777777" w:rsidR="006140B9" w:rsidRPr="00012278" w:rsidRDefault="006140B9" w:rsidP="006140B9">
            <w:pPr>
              <w:rPr>
                <w:b/>
                <w:szCs w:val="22"/>
                <w:lang w:val="sr-Latn-ME"/>
              </w:rPr>
            </w:pPr>
            <w:r w:rsidRPr="00012278">
              <w:rPr>
                <w:b/>
                <w:szCs w:val="22"/>
                <w:lang w:val="sr-Latn-ME"/>
              </w:rPr>
              <w:t>Često</w:t>
            </w:r>
          </w:p>
          <w:p w14:paraId="1353F8D7" w14:textId="77777777" w:rsidR="006140B9" w:rsidRPr="00012278" w:rsidRDefault="006140B9" w:rsidP="006140B9">
            <w:pPr>
              <w:rPr>
                <w:b/>
                <w:i/>
                <w:szCs w:val="22"/>
                <w:lang w:val="sr-Latn-ME"/>
              </w:rPr>
            </w:pPr>
          </w:p>
          <w:p w14:paraId="177E0DC6" w14:textId="77777777" w:rsidR="006140B9" w:rsidRPr="00012278" w:rsidRDefault="006140B9" w:rsidP="006140B9">
            <w:pPr>
              <w:rPr>
                <w:b/>
                <w:i/>
                <w:szCs w:val="22"/>
                <w:lang w:val="sr-Latn-ME"/>
              </w:rPr>
            </w:pPr>
            <w:r w:rsidRPr="00012278">
              <w:rPr>
                <w:b/>
                <w:i/>
                <w:szCs w:val="22"/>
                <w:lang w:val="sr-Latn-ME"/>
              </w:rPr>
              <w:t>Svi stepeni</w:t>
            </w:r>
          </w:p>
        </w:tc>
        <w:tc>
          <w:tcPr>
            <w:tcW w:w="1030" w:type="pct"/>
            <w:shd w:val="clear" w:color="auto" w:fill="auto"/>
            <w:vAlign w:val="center"/>
          </w:tcPr>
          <w:p w14:paraId="59E32B36" w14:textId="77777777" w:rsidR="006140B9" w:rsidRPr="00012278" w:rsidRDefault="006140B9" w:rsidP="006140B9">
            <w:pPr>
              <w:rPr>
                <w:b/>
                <w:bCs/>
                <w:szCs w:val="22"/>
                <w:lang w:val="sr-Latn-ME"/>
              </w:rPr>
            </w:pPr>
            <w:r w:rsidRPr="00012278">
              <w:rPr>
                <w:b/>
                <w:bCs/>
                <w:szCs w:val="22"/>
                <w:lang w:val="sr-Latn-ME"/>
              </w:rPr>
              <w:t>Rijetko/veoma</w:t>
            </w:r>
          </w:p>
          <w:p w14:paraId="7AFD9EFD" w14:textId="77777777" w:rsidR="006140B9" w:rsidRPr="00012278" w:rsidRDefault="006140B9" w:rsidP="006140B9">
            <w:pPr>
              <w:rPr>
                <w:b/>
                <w:bCs/>
                <w:szCs w:val="22"/>
                <w:lang w:val="sr-Latn-ME"/>
              </w:rPr>
            </w:pPr>
            <w:r w:rsidRPr="00012278">
              <w:rPr>
                <w:b/>
                <w:bCs/>
                <w:szCs w:val="22"/>
                <w:lang w:val="sr-Latn-ME"/>
              </w:rPr>
              <w:t>rijetko</w:t>
            </w:r>
          </w:p>
          <w:p w14:paraId="6EC95116" w14:textId="77777777" w:rsidR="006140B9" w:rsidRPr="00012278" w:rsidRDefault="006140B9" w:rsidP="006140B9">
            <w:pPr>
              <w:rPr>
                <w:b/>
                <w:bCs/>
                <w:szCs w:val="22"/>
                <w:lang w:val="sr-Latn-ME"/>
              </w:rPr>
            </w:pPr>
            <w:r w:rsidRPr="00012278">
              <w:rPr>
                <w:b/>
                <w:bCs/>
                <w:szCs w:val="22"/>
                <w:lang w:val="sr-Latn-ME"/>
              </w:rPr>
              <w:t>(iskustvo nakon</w:t>
            </w:r>
          </w:p>
          <w:p w14:paraId="3C389887" w14:textId="77777777" w:rsidR="006140B9" w:rsidRPr="00012278" w:rsidRDefault="006140B9" w:rsidP="006140B9">
            <w:pPr>
              <w:rPr>
                <w:b/>
                <w:bCs/>
                <w:szCs w:val="22"/>
                <w:lang w:val="sr-Latn-ME"/>
              </w:rPr>
            </w:pPr>
            <w:r w:rsidRPr="00012278">
              <w:rPr>
                <w:b/>
                <w:bCs/>
                <w:szCs w:val="22"/>
                <w:lang w:val="sr-Latn-ME"/>
              </w:rPr>
              <w:t>stavljanja lijeka</w:t>
            </w:r>
          </w:p>
          <w:p w14:paraId="62403D4C" w14:textId="77777777" w:rsidR="006140B9" w:rsidRPr="00012278" w:rsidRDefault="006140B9" w:rsidP="006140B9">
            <w:pPr>
              <w:rPr>
                <w:b/>
                <w:szCs w:val="22"/>
                <w:lang w:val="sr-Latn-ME"/>
              </w:rPr>
            </w:pPr>
            <w:r w:rsidRPr="00012278">
              <w:rPr>
                <w:b/>
                <w:bCs/>
                <w:szCs w:val="22"/>
                <w:lang w:val="sr-Latn-ME"/>
              </w:rPr>
              <w:t>u promet)</w:t>
            </w:r>
          </w:p>
        </w:tc>
      </w:tr>
      <w:tr w:rsidR="006140B9" w:rsidRPr="00012278" w14:paraId="0B200A31" w14:textId="77777777" w:rsidTr="00183A6F">
        <w:tc>
          <w:tcPr>
            <w:tcW w:w="1003" w:type="pct"/>
            <w:shd w:val="clear" w:color="auto" w:fill="auto"/>
          </w:tcPr>
          <w:p w14:paraId="207BBB10" w14:textId="77777777" w:rsidR="006140B9" w:rsidRPr="00012278" w:rsidRDefault="006140B9" w:rsidP="006140B9">
            <w:pPr>
              <w:rPr>
                <w:i/>
                <w:szCs w:val="22"/>
                <w:lang w:val="sr-Latn-ME"/>
              </w:rPr>
            </w:pPr>
            <w:r w:rsidRPr="00012278">
              <w:rPr>
                <w:i/>
                <w:szCs w:val="22"/>
                <w:lang w:val="sr-Latn-ME"/>
              </w:rPr>
              <w:t>Infekcije i infestacije</w:t>
            </w:r>
          </w:p>
        </w:tc>
        <w:tc>
          <w:tcPr>
            <w:tcW w:w="1088" w:type="pct"/>
            <w:shd w:val="clear" w:color="auto" w:fill="auto"/>
          </w:tcPr>
          <w:p w14:paraId="45C421D7" w14:textId="77777777" w:rsidR="006140B9" w:rsidRPr="00012278" w:rsidRDefault="006140B9" w:rsidP="006140B9">
            <w:pPr>
              <w:rPr>
                <w:szCs w:val="22"/>
                <w:lang w:val="sr-Latn-ME"/>
              </w:rPr>
            </w:pPr>
          </w:p>
        </w:tc>
        <w:tc>
          <w:tcPr>
            <w:tcW w:w="1879" w:type="pct"/>
            <w:shd w:val="clear" w:color="auto" w:fill="auto"/>
          </w:tcPr>
          <w:p w14:paraId="10530475" w14:textId="77777777" w:rsidR="006140B9" w:rsidRPr="00012278" w:rsidRDefault="006140B9" w:rsidP="006140B9">
            <w:pPr>
              <w:rPr>
                <w:szCs w:val="22"/>
                <w:lang w:val="sr-Latn-ME"/>
              </w:rPr>
            </w:pPr>
            <w:r w:rsidRPr="00012278">
              <w:rPr>
                <w:szCs w:val="22"/>
                <w:lang w:val="sr-Latn-ME"/>
              </w:rPr>
              <w:t xml:space="preserve">herpes zoster, infekcije urinarnog trakta, oralna kandidijaza, infekcije gornjeg respiratornig trakta, rinitis, grip, </w:t>
            </w:r>
            <w:r w:rsidRPr="00012278">
              <w:rPr>
                <w:szCs w:val="22"/>
                <w:vertAlign w:val="superscript"/>
                <w:lang w:val="sr-Latn-ME"/>
              </w:rPr>
              <w:t>+</w:t>
            </w:r>
            <w:r w:rsidRPr="00012278">
              <w:rPr>
                <w:szCs w:val="22"/>
                <w:lang w:val="sr-Latn-ME"/>
              </w:rPr>
              <w:t>infekcija, oralni herpes</w:t>
            </w:r>
          </w:p>
        </w:tc>
        <w:tc>
          <w:tcPr>
            <w:tcW w:w="1030" w:type="pct"/>
            <w:shd w:val="clear" w:color="auto" w:fill="auto"/>
          </w:tcPr>
          <w:p w14:paraId="5BDEBDB1" w14:textId="77777777" w:rsidR="006140B9" w:rsidRPr="00012278" w:rsidRDefault="006140B9" w:rsidP="006140B9">
            <w:pPr>
              <w:rPr>
                <w:szCs w:val="22"/>
                <w:lang w:val="sr-Latn-ME"/>
              </w:rPr>
            </w:pPr>
          </w:p>
        </w:tc>
      </w:tr>
      <w:tr w:rsidR="006140B9" w:rsidRPr="00012278" w14:paraId="56CBD10D" w14:textId="77777777" w:rsidTr="00183A6F">
        <w:tc>
          <w:tcPr>
            <w:tcW w:w="1003" w:type="pct"/>
            <w:shd w:val="clear" w:color="auto" w:fill="auto"/>
          </w:tcPr>
          <w:p w14:paraId="6733B9F0" w14:textId="77777777" w:rsidR="006140B9" w:rsidRPr="00012278" w:rsidRDefault="006140B9" w:rsidP="006140B9">
            <w:pPr>
              <w:rPr>
                <w:i/>
                <w:szCs w:val="22"/>
                <w:lang w:val="sr-Latn-ME"/>
              </w:rPr>
            </w:pPr>
            <w:r w:rsidRPr="00012278">
              <w:rPr>
                <w:i/>
                <w:szCs w:val="22"/>
                <w:lang w:val="sr-Latn-ME"/>
              </w:rPr>
              <w:t>Poremećaji krvi i limfnog sistema</w:t>
            </w:r>
          </w:p>
        </w:tc>
        <w:tc>
          <w:tcPr>
            <w:tcW w:w="1088" w:type="pct"/>
            <w:shd w:val="clear" w:color="auto" w:fill="auto"/>
          </w:tcPr>
          <w:p w14:paraId="4671189C" w14:textId="77777777" w:rsidR="006140B9" w:rsidRPr="00012278" w:rsidRDefault="006140B9" w:rsidP="006140B9">
            <w:pPr>
              <w:rPr>
                <w:szCs w:val="22"/>
                <w:lang w:val="sr-Latn-ME"/>
              </w:rPr>
            </w:pPr>
            <w:r w:rsidRPr="00012278">
              <w:rPr>
                <w:szCs w:val="22"/>
                <w:vertAlign w:val="superscript"/>
                <w:lang w:val="sr-Latn-ME"/>
              </w:rPr>
              <w:t>+</w:t>
            </w:r>
            <w:r w:rsidRPr="00012278">
              <w:rPr>
                <w:szCs w:val="22"/>
                <w:lang w:val="sr-Latn-ME"/>
              </w:rPr>
              <w:t xml:space="preserve">neutropenija, </w:t>
            </w:r>
          </w:p>
          <w:p w14:paraId="7BC9EC23" w14:textId="77777777" w:rsidR="006140B9" w:rsidRPr="00012278" w:rsidRDefault="006140B9" w:rsidP="006140B9">
            <w:pPr>
              <w:rPr>
                <w:szCs w:val="22"/>
                <w:lang w:val="sr-Latn-ME"/>
              </w:rPr>
            </w:pPr>
            <w:r w:rsidRPr="00012278">
              <w:rPr>
                <w:szCs w:val="22"/>
                <w:vertAlign w:val="superscript"/>
                <w:lang w:val="sr-Latn-ME"/>
              </w:rPr>
              <w:t>+</w:t>
            </w:r>
            <w:r w:rsidRPr="00012278">
              <w:rPr>
                <w:szCs w:val="22"/>
                <w:lang w:val="sr-Latn-ME"/>
              </w:rPr>
              <w:t>leukopenija</w:t>
            </w:r>
          </w:p>
          <w:p w14:paraId="0C750842" w14:textId="77777777" w:rsidR="006140B9" w:rsidRPr="00012278" w:rsidRDefault="006140B9" w:rsidP="006140B9">
            <w:pPr>
              <w:rPr>
                <w:szCs w:val="22"/>
                <w:lang w:val="sr-Latn-ME"/>
              </w:rPr>
            </w:pPr>
            <w:r w:rsidRPr="00012278">
              <w:rPr>
                <w:szCs w:val="22"/>
                <w:vertAlign w:val="superscript"/>
                <w:lang w:val="sr-Latn-ME"/>
              </w:rPr>
              <w:t>+</w:t>
            </w:r>
            <w:r w:rsidRPr="00012278">
              <w:rPr>
                <w:szCs w:val="22"/>
                <w:lang w:val="sr-Latn-ME"/>
              </w:rPr>
              <w:t xml:space="preserve">anemija, </w:t>
            </w:r>
            <w:r w:rsidRPr="00012278">
              <w:rPr>
                <w:szCs w:val="22"/>
                <w:vertAlign w:val="superscript"/>
                <w:lang w:val="sr-Latn-ME"/>
              </w:rPr>
              <w:t>+</w:t>
            </w:r>
            <w:r w:rsidRPr="00012278">
              <w:rPr>
                <w:szCs w:val="22"/>
                <w:lang w:val="sr-Latn-ME"/>
              </w:rPr>
              <w:t>neutropenijska groznica, trombocitopenija</w:t>
            </w:r>
          </w:p>
        </w:tc>
        <w:tc>
          <w:tcPr>
            <w:tcW w:w="1879" w:type="pct"/>
            <w:shd w:val="clear" w:color="auto" w:fill="auto"/>
          </w:tcPr>
          <w:p w14:paraId="00CA841A" w14:textId="5018B2EA" w:rsidR="006140B9" w:rsidRPr="00012278" w:rsidRDefault="006140B9" w:rsidP="006140B9">
            <w:pPr>
              <w:rPr>
                <w:szCs w:val="22"/>
                <w:lang w:val="sr-Latn-ME"/>
              </w:rPr>
            </w:pPr>
            <w:r w:rsidRPr="00012278">
              <w:rPr>
                <w:szCs w:val="22"/>
                <w:lang w:val="sr-Latn-ME"/>
              </w:rPr>
              <w:t>depresija ko</w:t>
            </w:r>
            <w:r w:rsidR="00FD3AEE" w:rsidRPr="00012278">
              <w:rPr>
                <w:szCs w:val="22"/>
                <w:lang w:val="sr-Latn-ME"/>
              </w:rPr>
              <w:t>stne</w:t>
            </w:r>
            <w:r w:rsidRPr="00012278">
              <w:rPr>
                <w:szCs w:val="22"/>
                <w:lang w:val="sr-Latn-ME"/>
              </w:rPr>
              <w:t xml:space="preserve"> srži,</w:t>
            </w:r>
          </w:p>
          <w:p w14:paraId="743A8ECB" w14:textId="77777777" w:rsidR="006140B9" w:rsidRPr="00012278" w:rsidRDefault="006140B9" w:rsidP="006140B9">
            <w:pPr>
              <w:rPr>
                <w:szCs w:val="22"/>
                <w:lang w:val="sr-Latn-ME"/>
              </w:rPr>
            </w:pPr>
            <w:r w:rsidRPr="00012278">
              <w:rPr>
                <w:szCs w:val="22"/>
                <w:vertAlign w:val="superscript"/>
                <w:lang w:val="sr-Latn-ME"/>
              </w:rPr>
              <w:t>+</w:t>
            </w:r>
            <w:r w:rsidRPr="00012278">
              <w:rPr>
                <w:szCs w:val="22"/>
                <w:lang w:val="sr-Latn-ME"/>
              </w:rPr>
              <w:t>febrilna neutropenija</w:t>
            </w:r>
          </w:p>
        </w:tc>
        <w:tc>
          <w:tcPr>
            <w:tcW w:w="1030" w:type="pct"/>
            <w:shd w:val="clear" w:color="auto" w:fill="auto"/>
          </w:tcPr>
          <w:p w14:paraId="0584E82E" w14:textId="77777777" w:rsidR="006140B9" w:rsidRPr="00012278" w:rsidRDefault="006140B9" w:rsidP="006140B9">
            <w:pPr>
              <w:rPr>
                <w:szCs w:val="22"/>
                <w:lang w:val="sr-Latn-ME"/>
              </w:rPr>
            </w:pPr>
          </w:p>
        </w:tc>
      </w:tr>
      <w:tr w:rsidR="006140B9" w:rsidRPr="00012278" w14:paraId="60ACF657" w14:textId="77777777" w:rsidTr="00183A6F">
        <w:tc>
          <w:tcPr>
            <w:tcW w:w="1003" w:type="pct"/>
            <w:shd w:val="clear" w:color="auto" w:fill="auto"/>
          </w:tcPr>
          <w:p w14:paraId="641FBD3B" w14:textId="77777777" w:rsidR="006140B9" w:rsidRPr="00012278" w:rsidRDefault="006140B9" w:rsidP="006140B9">
            <w:pPr>
              <w:rPr>
                <w:i/>
                <w:szCs w:val="22"/>
                <w:lang w:val="sr-Latn-ME"/>
              </w:rPr>
            </w:pPr>
            <w:r w:rsidRPr="00012278">
              <w:rPr>
                <w:i/>
                <w:szCs w:val="22"/>
                <w:lang w:val="sr-Latn-ME"/>
              </w:rPr>
              <w:t>Imunološki poremećaji</w:t>
            </w:r>
          </w:p>
        </w:tc>
        <w:tc>
          <w:tcPr>
            <w:tcW w:w="1088" w:type="pct"/>
            <w:shd w:val="clear" w:color="auto" w:fill="auto"/>
          </w:tcPr>
          <w:p w14:paraId="30AB74A6" w14:textId="77777777" w:rsidR="006140B9" w:rsidRPr="00012278" w:rsidRDefault="006140B9" w:rsidP="006140B9">
            <w:pPr>
              <w:rPr>
                <w:szCs w:val="22"/>
                <w:lang w:val="sr-Latn-ME"/>
              </w:rPr>
            </w:pPr>
          </w:p>
        </w:tc>
        <w:tc>
          <w:tcPr>
            <w:tcW w:w="1879" w:type="pct"/>
            <w:shd w:val="clear" w:color="auto" w:fill="auto"/>
          </w:tcPr>
          <w:p w14:paraId="3CA6D394" w14:textId="77777777" w:rsidR="006140B9" w:rsidRPr="00012278" w:rsidRDefault="006140B9" w:rsidP="006140B9">
            <w:pPr>
              <w:rPr>
                <w:szCs w:val="22"/>
                <w:lang w:val="sr-Latn-ME"/>
              </w:rPr>
            </w:pPr>
            <w:r w:rsidRPr="00012278">
              <w:rPr>
                <w:szCs w:val="22"/>
                <w:lang w:val="sr-Latn-ME"/>
              </w:rPr>
              <w:t>preosjetljivost</w:t>
            </w:r>
          </w:p>
        </w:tc>
        <w:tc>
          <w:tcPr>
            <w:tcW w:w="1030" w:type="pct"/>
            <w:shd w:val="clear" w:color="auto" w:fill="auto"/>
          </w:tcPr>
          <w:p w14:paraId="670FB559" w14:textId="77777777" w:rsidR="006140B9" w:rsidRPr="00012278" w:rsidRDefault="006140B9" w:rsidP="006140B9">
            <w:pPr>
              <w:rPr>
                <w:szCs w:val="22"/>
                <w:lang w:val="sr-Latn-ME"/>
              </w:rPr>
            </w:pPr>
          </w:p>
        </w:tc>
      </w:tr>
      <w:tr w:rsidR="006140B9" w:rsidRPr="00012278" w14:paraId="7A0E7327" w14:textId="77777777" w:rsidTr="00183A6F">
        <w:tc>
          <w:tcPr>
            <w:tcW w:w="1003" w:type="pct"/>
            <w:shd w:val="clear" w:color="auto" w:fill="auto"/>
          </w:tcPr>
          <w:p w14:paraId="66734DBB" w14:textId="77777777" w:rsidR="006140B9" w:rsidRPr="00012278" w:rsidRDefault="006140B9" w:rsidP="006140B9">
            <w:pPr>
              <w:rPr>
                <w:i/>
                <w:szCs w:val="22"/>
                <w:lang w:val="sr-Latn-ME"/>
              </w:rPr>
            </w:pPr>
            <w:r w:rsidRPr="00012278">
              <w:rPr>
                <w:i/>
                <w:szCs w:val="22"/>
                <w:lang w:val="sr-Latn-ME"/>
              </w:rPr>
              <w:t>Poremećaji metabolizma i ishrane</w:t>
            </w:r>
          </w:p>
        </w:tc>
        <w:tc>
          <w:tcPr>
            <w:tcW w:w="1088" w:type="pct"/>
            <w:shd w:val="clear" w:color="auto" w:fill="auto"/>
          </w:tcPr>
          <w:p w14:paraId="7079EEE0" w14:textId="77777777" w:rsidR="006140B9" w:rsidRPr="00012278" w:rsidRDefault="006140B9" w:rsidP="006140B9">
            <w:pPr>
              <w:rPr>
                <w:szCs w:val="22"/>
                <w:lang w:val="sr-Latn-ME"/>
              </w:rPr>
            </w:pPr>
            <w:r w:rsidRPr="00012278">
              <w:rPr>
                <w:szCs w:val="22"/>
                <w:lang w:val="sr-Latn-ME"/>
              </w:rPr>
              <w:t>smanjen apetit</w:t>
            </w:r>
          </w:p>
        </w:tc>
        <w:tc>
          <w:tcPr>
            <w:tcW w:w="1879" w:type="pct"/>
            <w:shd w:val="clear" w:color="auto" w:fill="auto"/>
          </w:tcPr>
          <w:p w14:paraId="10CDEF74" w14:textId="77777777" w:rsidR="006140B9" w:rsidRPr="00012278" w:rsidRDefault="006140B9" w:rsidP="006140B9">
            <w:pPr>
              <w:rPr>
                <w:szCs w:val="22"/>
                <w:lang w:val="sr-Latn-ME"/>
              </w:rPr>
            </w:pPr>
            <w:r w:rsidRPr="00012278">
              <w:rPr>
                <w:szCs w:val="22"/>
                <w:lang w:val="sr-Latn-ME"/>
              </w:rPr>
              <w:t>hipokalemija, hiponatremija,  hipomagnezijemija, hipokalcemija, hiperglikemija</w:t>
            </w:r>
          </w:p>
        </w:tc>
        <w:tc>
          <w:tcPr>
            <w:tcW w:w="1030" w:type="pct"/>
            <w:shd w:val="clear" w:color="auto" w:fill="auto"/>
          </w:tcPr>
          <w:p w14:paraId="4767F428" w14:textId="77777777" w:rsidR="006140B9" w:rsidRPr="00012278" w:rsidRDefault="006140B9" w:rsidP="006140B9">
            <w:pPr>
              <w:rPr>
                <w:szCs w:val="22"/>
                <w:lang w:val="sr-Latn-ME"/>
              </w:rPr>
            </w:pPr>
          </w:p>
        </w:tc>
      </w:tr>
      <w:tr w:rsidR="006140B9" w:rsidRPr="00012278" w14:paraId="61D707AA" w14:textId="77777777" w:rsidTr="00183A6F">
        <w:tc>
          <w:tcPr>
            <w:tcW w:w="1003" w:type="pct"/>
            <w:shd w:val="clear" w:color="auto" w:fill="auto"/>
          </w:tcPr>
          <w:p w14:paraId="17648A18" w14:textId="77777777" w:rsidR="006140B9" w:rsidRPr="00012278" w:rsidRDefault="006140B9" w:rsidP="006140B9">
            <w:pPr>
              <w:rPr>
                <w:i/>
                <w:szCs w:val="22"/>
                <w:lang w:val="sr-Latn-ME"/>
              </w:rPr>
            </w:pPr>
            <w:r w:rsidRPr="00012278">
              <w:rPr>
                <w:i/>
                <w:szCs w:val="22"/>
                <w:lang w:val="sr-Latn-ME"/>
              </w:rPr>
              <w:t>Psihijatrijski poremećaji</w:t>
            </w:r>
          </w:p>
        </w:tc>
        <w:tc>
          <w:tcPr>
            <w:tcW w:w="1088" w:type="pct"/>
            <w:shd w:val="clear" w:color="auto" w:fill="auto"/>
          </w:tcPr>
          <w:p w14:paraId="071275FE" w14:textId="77777777" w:rsidR="006140B9" w:rsidRPr="00012278" w:rsidRDefault="006140B9" w:rsidP="006140B9">
            <w:pPr>
              <w:rPr>
                <w:szCs w:val="22"/>
                <w:lang w:val="sr-Latn-ME"/>
              </w:rPr>
            </w:pPr>
          </w:p>
        </w:tc>
        <w:tc>
          <w:tcPr>
            <w:tcW w:w="1879" w:type="pct"/>
            <w:shd w:val="clear" w:color="auto" w:fill="auto"/>
          </w:tcPr>
          <w:p w14:paraId="6A453862" w14:textId="77777777" w:rsidR="006140B9" w:rsidRPr="00012278" w:rsidRDefault="006140B9" w:rsidP="006140B9">
            <w:pPr>
              <w:rPr>
                <w:szCs w:val="22"/>
                <w:lang w:val="sr-Latn-ME"/>
              </w:rPr>
            </w:pPr>
            <w:r w:rsidRPr="00012278">
              <w:rPr>
                <w:szCs w:val="22"/>
                <w:lang w:val="sr-Latn-ME"/>
              </w:rPr>
              <w:t>poremećaji spavanja, anksioznost</w:t>
            </w:r>
          </w:p>
        </w:tc>
        <w:tc>
          <w:tcPr>
            <w:tcW w:w="1030" w:type="pct"/>
            <w:shd w:val="clear" w:color="auto" w:fill="auto"/>
          </w:tcPr>
          <w:p w14:paraId="7C9100C2" w14:textId="77777777" w:rsidR="006140B9" w:rsidRPr="00012278" w:rsidRDefault="006140B9" w:rsidP="006140B9">
            <w:pPr>
              <w:rPr>
                <w:szCs w:val="22"/>
                <w:lang w:val="sr-Latn-ME"/>
              </w:rPr>
            </w:pPr>
          </w:p>
        </w:tc>
      </w:tr>
      <w:tr w:rsidR="006140B9" w:rsidRPr="00012278" w14:paraId="30BE7CCA" w14:textId="77777777" w:rsidTr="00183A6F">
        <w:tc>
          <w:tcPr>
            <w:tcW w:w="1003" w:type="pct"/>
            <w:shd w:val="clear" w:color="auto" w:fill="auto"/>
          </w:tcPr>
          <w:p w14:paraId="114DE1E6" w14:textId="77777777" w:rsidR="006140B9" w:rsidRPr="00012278" w:rsidRDefault="006140B9" w:rsidP="006140B9">
            <w:pPr>
              <w:rPr>
                <w:i/>
                <w:szCs w:val="22"/>
                <w:lang w:val="sr-Latn-ME"/>
              </w:rPr>
            </w:pPr>
            <w:r w:rsidRPr="00012278">
              <w:rPr>
                <w:i/>
                <w:szCs w:val="22"/>
                <w:lang w:val="sr-Latn-ME"/>
              </w:rPr>
              <w:t>Poremećaji nervnog sistema</w:t>
            </w:r>
          </w:p>
        </w:tc>
        <w:tc>
          <w:tcPr>
            <w:tcW w:w="1088" w:type="pct"/>
            <w:shd w:val="clear" w:color="auto" w:fill="auto"/>
          </w:tcPr>
          <w:p w14:paraId="73DFDF90" w14:textId="77777777" w:rsidR="006140B9" w:rsidRPr="00012278" w:rsidRDefault="006140B9" w:rsidP="006140B9">
            <w:pPr>
              <w:rPr>
                <w:szCs w:val="22"/>
                <w:lang w:val="sr-Latn-ME"/>
              </w:rPr>
            </w:pPr>
            <w:r w:rsidRPr="00012278">
              <w:rPr>
                <w:szCs w:val="22"/>
                <w:lang w:val="sr-Latn-ME"/>
              </w:rPr>
              <w:t xml:space="preserve">parestezija, disestezija, periferna neuropatija, periferna senzorna neuropatija, disgeuzija, glavobolja </w:t>
            </w:r>
          </w:p>
        </w:tc>
        <w:tc>
          <w:tcPr>
            <w:tcW w:w="1879" w:type="pct"/>
            <w:shd w:val="clear" w:color="auto" w:fill="auto"/>
          </w:tcPr>
          <w:p w14:paraId="6E907B30" w14:textId="77777777" w:rsidR="006140B9" w:rsidRPr="00012278" w:rsidRDefault="006140B9" w:rsidP="006140B9">
            <w:pPr>
              <w:rPr>
                <w:szCs w:val="22"/>
                <w:lang w:val="sr-Latn-ME"/>
              </w:rPr>
            </w:pPr>
            <w:r w:rsidRPr="00012278">
              <w:rPr>
                <w:szCs w:val="22"/>
                <w:lang w:val="sr-Latn-ME"/>
              </w:rPr>
              <w:t>neurotoksičnost, tremor, neuralgija, reakcija preosjetljivosti , hipoestezija</w:t>
            </w:r>
          </w:p>
        </w:tc>
        <w:tc>
          <w:tcPr>
            <w:tcW w:w="1030" w:type="pct"/>
            <w:shd w:val="clear" w:color="auto" w:fill="auto"/>
          </w:tcPr>
          <w:p w14:paraId="37D2E596" w14:textId="77777777" w:rsidR="006140B9" w:rsidRPr="00012278" w:rsidRDefault="006140B9" w:rsidP="006140B9">
            <w:pPr>
              <w:rPr>
                <w:szCs w:val="22"/>
                <w:lang w:val="sr-Latn-ME"/>
              </w:rPr>
            </w:pPr>
          </w:p>
        </w:tc>
      </w:tr>
      <w:tr w:rsidR="006140B9" w:rsidRPr="00012278" w14:paraId="5EE4055C" w14:textId="77777777" w:rsidTr="00183A6F">
        <w:tc>
          <w:tcPr>
            <w:tcW w:w="1003" w:type="pct"/>
            <w:shd w:val="clear" w:color="auto" w:fill="auto"/>
          </w:tcPr>
          <w:p w14:paraId="16C62E4C" w14:textId="77777777" w:rsidR="006140B9" w:rsidRPr="00012278" w:rsidRDefault="006140B9" w:rsidP="006140B9">
            <w:pPr>
              <w:rPr>
                <w:i/>
                <w:szCs w:val="22"/>
                <w:lang w:val="sr-Latn-ME"/>
              </w:rPr>
            </w:pPr>
            <w:r w:rsidRPr="00012278">
              <w:rPr>
                <w:i/>
                <w:szCs w:val="22"/>
                <w:lang w:val="sr-Latn-ME"/>
              </w:rPr>
              <w:t>Poremećaji na nivou oka</w:t>
            </w:r>
          </w:p>
        </w:tc>
        <w:tc>
          <w:tcPr>
            <w:tcW w:w="1088" w:type="pct"/>
            <w:shd w:val="clear" w:color="auto" w:fill="auto"/>
          </w:tcPr>
          <w:p w14:paraId="4BEAD613" w14:textId="77777777" w:rsidR="006140B9" w:rsidRPr="00012278" w:rsidRDefault="006140B9" w:rsidP="006140B9">
            <w:pPr>
              <w:rPr>
                <w:szCs w:val="22"/>
                <w:lang w:val="sr-Latn-ME"/>
              </w:rPr>
            </w:pPr>
            <w:r w:rsidRPr="00012278">
              <w:rPr>
                <w:szCs w:val="22"/>
                <w:lang w:val="sr-Latn-ME"/>
              </w:rPr>
              <w:t xml:space="preserve">pojačano suzenje </w:t>
            </w:r>
          </w:p>
        </w:tc>
        <w:tc>
          <w:tcPr>
            <w:tcW w:w="1879" w:type="pct"/>
            <w:shd w:val="clear" w:color="auto" w:fill="auto"/>
          </w:tcPr>
          <w:p w14:paraId="0B238726" w14:textId="77777777" w:rsidR="006140B9" w:rsidRPr="00012278" w:rsidRDefault="006140B9" w:rsidP="006140B9">
            <w:pPr>
              <w:rPr>
                <w:szCs w:val="22"/>
                <w:lang w:val="sr-Latn-ME"/>
              </w:rPr>
            </w:pPr>
            <w:r w:rsidRPr="00012278">
              <w:rPr>
                <w:szCs w:val="22"/>
                <w:lang w:val="sr-Latn-ME"/>
              </w:rPr>
              <w:t>poremećaji vida, suvoća oka , bol u oku, oštećenje vida, zamagljen vid</w:t>
            </w:r>
          </w:p>
        </w:tc>
        <w:tc>
          <w:tcPr>
            <w:tcW w:w="1030" w:type="pct"/>
            <w:shd w:val="clear" w:color="auto" w:fill="auto"/>
          </w:tcPr>
          <w:p w14:paraId="6D047406" w14:textId="77777777" w:rsidR="006140B9" w:rsidRPr="00012278" w:rsidRDefault="006140B9" w:rsidP="006140B9">
            <w:pPr>
              <w:rPr>
                <w:szCs w:val="22"/>
                <w:lang w:val="sr-Latn-ME"/>
              </w:rPr>
            </w:pPr>
          </w:p>
        </w:tc>
      </w:tr>
      <w:tr w:rsidR="006140B9" w:rsidRPr="00012278" w14:paraId="0881BAA8" w14:textId="77777777" w:rsidTr="00183A6F">
        <w:tc>
          <w:tcPr>
            <w:tcW w:w="1003" w:type="pct"/>
            <w:shd w:val="clear" w:color="auto" w:fill="auto"/>
          </w:tcPr>
          <w:p w14:paraId="6CAE8BF0" w14:textId="77777777" w:rsidR="006140B9" w:rsidRPr="00012278" w:rsidRDefault="006140B9" w:rsidP="006140B9">
            <w:pPr>
              <w:rPr>
                <w:i/>
                <w:szCs w:val="22"/>
                <w:lang w:val="sr-Latn-ME"/>
              </w:rPr>
            </w:pPr>
            <w:r w:rsidRPr="00012278">
              <w:rPr>
                <w:i/>
                <w:szCs w:val="22"/>
                <w:lang w:val="sr-Latn-ME"/>
              </w:rPr>
              <w:t>Poremećaji na nivou uha i centra za ravnotežu</w:t>
            </w:r>
          </w:p>
        </w:tc>
        <w:tc>
          <w:tcPr>
            <w:tcW w:w="1088" w:type="pct"/>
            <w:shd w:val="clear" w:color="auto" w:fill="auto"/>
          </w:tcPr>
          <w:p w14:paraId="7F3B5724" w14:textId="77777777" w:rsidR="006140B9" w:rsidRPr="00012278" w:rsidRDefault="006140B9" w:rsidP="006140B9">
            <w:pPr>
              <w:rPr>
                <w:szCs w:val="22"/>
                <w:lang w:val="sr-Latn-ME"/>
              </w:rPr>
            </w:pPr>
          </w:p>
        </w:tc>
        <w:tc>
          <w:tcPr>
            <w:tcW w:w="1879" w:type="pct"/>
            <w:shd w:val="clear" w:color="auto" w:fill="auto"/>
          </w:tcPr>
          <w:p w14:paraId="228B0215" w14:textId="77777777" w:rsidR="006140B9" w:rsidRPr="00012278" w:rsidRDefault="006140B9" w:rsidP="006140B9">
            <w:pPr>
              <w:rPr>
                <w:szCs w:val="22"/>
                <w:lang w:val="sr-Latn-ME"/>
              </w:rPr>
            </w:pPr>
            <w:r w:rsidRPr="00012278">
              <w:rPr>
                <w:szCs w:val="22"/>
                <w:lang w:val="sr-Latn-ME"/>
              </w:rPr>
              <w:t xml:space="preserve">tinitus, oslabljen sluh </w:t>
            </w:r>
          </w:p>
        </w:tc>
        <w:tc>
          <w:tcPr>
            <w:tcW w:w="1030" w:type="pct"/>
            <w:shd w:val="clear" w:color="auto" w:fill="auto"/>
          </w:tcPr>
          <w:p w14:paraId="49DB98CD" w14:textId="77777777" w:rsidR="006140B9" w:rsidRPr="00012278" w:rsidRDefault="006140B9" w:rsidP="006140B9">
            <w:pPr>
              <w:rPr>
                <w:szCs w:val="22"/>
                <w:lang w:val="sr-Latn-ME"/>
              </w:rPr>
            </w:pPr>
          </w:p>
        </w:tc>
      </w:tr>
      <w:tr w:rsidR="006140B9" w:rsidRPr="00012278" w14:paraId="44FA619F" w14:textId="77777777" w:rsidTr="00183A6F">
        <w:tc>
          <w:tcPr>
            <w:tcW w:w="1003" w:type="pct"/>
            <w:shd w:val="clear" w:color="auto" w:fill="auto"/>
          </w:tcPr>
          <w:p w14:paraId="73E26BC3" w14:textId="77777777" w:rsidR="006140B9" w:rsidRPr="00012278" w:rsidRDefault="006140B9" w:rsidP="006140B9">
            <w:pPr>
              <w:rPr>
                <w:szCs w:val="22"/>
                <w:lang w:val="sr-Latn-ME"/>
              </w:rPr>
            </w:pPr>
            <w:r w:rsidRPr="00012278">
              <w:rPr>
                <w:i/>
                <w:szCs w:val="22"/>
                <w:lang w:val="sr-Latn-ME"/>
              </w:rPr>
              <w:t>Kardiološki poremećaji</w:t>
            </w:r>
          </w:p>
        </w:tc>
        <w:tc>
          <w:tcPr>
            <w:tcW w:w="1088" w:type="pct"/>
            <w:shd w:val="clear" w:color="auto" w:fill="auto"/>
          </w:tcPr>
          <w:p w14:paraId="504D0289" w14:textId="77777777" w:rsidR="006140B9" w:rsidRPr="00012278" w:rsidRDefault="006140B9" w:rsidP="006140B9">
            <w:pPr>
              <w:rPr>
                <w:szCs w:val="22"/>
                <w:lang w:val="sr-Latn-ME"/>
              </w:rPr>
            </w:pPr>
          </w:p>
        </w:tc>
        <w:tc>
          <w:tcPr>
            <w:tcW w:w="1879" w:type="pct"/>
            <w:shd w:val="clear" w:color="auto" w:fill="auto"/>
          </w:tcPr>
          <w:p w14:paraId="356734C9" w14:textId="77777777" w:rsidR="006140B9" w:rsidRPr="00012278" w:rsidRDefault="006140B9" w:rsidP="006140B9">
            <w:pPr>
              <w:rPr>
                <w:szCs w:val="22"/>
                <w:lang w:val="sr-Latn-ME"/>
              </w:rPr>
            </w:pPr>
            <w:r w:rsidRPr="00012278">
              <w:rPr>
                <w:szCs w:val="22"/>
                <w:lang w:val="sr-Latn-ME"/>
              </w:rPr>
              <w:t xml:space="preserve">atrijalna fibrilacija, srčana  ishemija/infarkt </w:t>
            </w:r>
          </w:p>
        </w:tc>
        <w:tc>
          <w:tcPr>
            <w:tcW w:w="1030" w:type="pct"/>
            <w:shd w:val="clear" w:color="auto" w:fill="auto"/>
          </w:tcPr>
          <w:p w14:paraId="5360D5E4" w14:textId="77777777" w:rsidR="006140B9" w:rsidRPr="00012278" w:rsidRDefault="006140B9" w:rsidP="006140B9">
            <w:pPr>
              <w:rPr>
                <w:szCs w:val="22"/>
                <w:lang w:val="sr-Latn-ME"/>
              </w:rPr>
            </w:pPr>
          </w:p>
        </w:tc>
      </w:tr>
      <w:tr w:rsidR="006140B9" w:rsidRPr="00012278" w14:paraId="5B7D8B70" w14:textId="77777777" w:rsidTr="00183A6F">
        <w:tc>
          <w:tcPr>
            <w:tcW w:w="1003" w:type="pct"/>
            <w:shd w:val="clear" w:color="auto" w:fill="auto"/>
          </w:tcPr>
          <w:p w14:paraId="547FE9C7" w14:textId="77777777" w:rsidR="006140B9" w:rsidRPr="00012278" w:rsidRDefault="006140B9" w:rsidP="006140B9">
            <w:pPr>
              <w:rPr>
                <w:szCs w:val="22"/>
                <w:lang w:val="sr-Latn-ME"/>
              </w:rPr>
            </w:pPr>
            <w:r w:rsidRPr="00012278">
              <w:rPr>
                <w:i/>
                <w:szCs w:val="22"/>
                <w:lang w:val="sr-Latn-ME"/>
              </w:rPr>
              <w:t>Vaskularni poremećaji</w:t>
            </w:r>
          </w:p>
        </w:tc>
        <w:tc>
          <w:tcPr>
            <w:tcW w:w="1088" w:type="pct"/>
            <w:shd w:val="clear" w:color="auto" w:fill="auto"/>
          </w:tcPr>
          <w:p w14:paraId="4A38490A" w14:textId="77777777" w:rsidR="006140B9" w:rsidRPr="00012278" w:rsidRDefault="006140B9" w:rsidP="006140B9">
            <w:pPr>
              <w:rPr>
                <w:szCs w:val="22"/>
                <w:lang w:val="sr-Latn-ME"/>
              </w:rPr>
            </w:pPr>
            <w:r w:rsidRPr="00012278">
              <w:rPr>
                <w:szCs w:val="22"/>
                <w:lang w:val="sr-Latn-ME"/>
              </w:rPr>
              <w:t xml:space="preserve">edem donjih ekstremiteta, hipertenzija, </w:t>
            </w:r>
            <w:r w:rsidRPr="00012278">
              <w:rPr>
                <w:szCs w:val="22"/>
                <w:vertAlign w:val="superscript"/>
                <w:lang w:val="sr-Latn-ME"/>
              </w:rPr>
              <w:t>+</w:t>
            </w:r>
            <w:r w:rsidRPr="00012278">
              <w:rPr>
                <w:szCs w:val="22"/>
                <w:lang w:val="sr-Latn-ME"/>
              </w:rPr>
              <w:t>embolija i tromboza</w:t>
            </w:r>
          </w:p>
        </w:tc>
        <w:tc>
          <w:tcPr>
            <w:tcW w:w="1879" w:type="pct"/>
            <w:shd w:val="clear" w:color="auto" w:fill="auto"/>
          </w:tcPr>
          <w:p w14:paraId="6C56E4FD" w14:textId="77777777" w:rsidR="006140B9" w:rsidRPr="00012278" w:rsidRDefault="006140B9" w:rsidP="006140B9">
            <w:pPr>
              <w:rPr>
                <w:szCs w:val="22"/>
                <w:lang w:val="sr-Latn-ME"/>
              </w:rPr>
            </w:pPr>
            <w:r w:rsidRPr="00012278">
              <w:rPr>
                <w:szCs w:val="22"/>
                <w:lang w:val="sr-Latn-ME"/>
              </w:rPr>
              <w:t>crvenilo uz osjećaj vrućine, hipotenzija, hipertenzivna kriza, napad vrućine, flebitis</w:t>
            </w:r>
          </w:p>
        </w:tc>
        <w:tc>
          <w:tcPr>
            <w:tcW w:w="1030" w:type="pct"/>
            <w:shd w:val="clear" w:color="auto" w:fill="auto"/>
          </w:tcPr>
          <w:p w14:paraId="5C9BAE60" w14:textId="77777777" w:rsidR="006140B9" w:rsidRPr="00012278" w:rsidRDefault="006140B9" w:rsidP="006140B9">
            <w:pPr>
              <w:rPr>
                <w:szCs w:val="22"/>
                <w:lang w:val="sr-Latn-ME"/>
              </w:rPr>
            </w:pPr>
          </w:p>
        </w:tc>
      </w:tr>
      <w:tr w:rsidR="006140B9" w:rsidRPr="00012278" w14:paraId="62383570" w14:textId="77777777" w:rsidTr="00183A6F">
        <w:tc>
          <w:tcPr>
            <w:tcW w:w="1003" w:type="pct"/>
            <w:shd w:val="clear" w:color="auto" w:fill="auto"/>
          </w:tcPr>
          <w:p w14:paraId="7A5B3D79" w14:textId="77777777" w:rsidR="006140B9" w:rsidRPr="00012278" w:rsidRDefault="006140B9" w:rsidP="006140B9">
            <w:pPr>
              <w:rPr>
                <w:szCs w:val="22"/>
                <w:lang w:val="sr-Latn-ME"/>
              </w:rPr>
            </w:pPr>
            <w:r w:rsidRPr="00012278">
              <w:rPr>
                <w:i/>
                <w:szCs w:val="22"/>
                <w:lang w:val="sr-Latn-ME"/>
              </w:rPr>
              <w:t xml:space="preserve">Poremećaji respiratornog </w:t>
            </w:r>
            <w:r w:rsidRPr="00012278">
              <w:rPr>
                <w:i/>
                <w:szCs w:val="22"/>
                <w:lang w:val="sr-Latn-ME"/>
              </w:rPr>
              <w:lastRenderedPageBreak/>
              <w:t>sistema, toraksa i medijastinuma</w:t>
            </w:r>
          </w:p>
        </w:tc>
        <w:tc>
          <w:tcPr>
            <w:tcW w:w="1088" w:type="pct"/>
            <w:shd w:val="clear" w:color="auto" w:fill="auto"/>
          </w:tcPr>
          <w:p w14:paraId="1952397B" w14:textId="77777777" w:rsidR="006140B9" w:rsidRPr="00012278" w:rsidRDefault="006140B9" w:rsidP="006140B9">
            <w:pPr>
              <w:rPr>
                <w:szCs w:val="22"/>
                <w:lang w:val="sr-Latn-ME"/>
              </w:rPr>
            </w:pPr>
            <w:r w:rsidRPr="00012278">
              <w:rPr>
                <w:szCs w:val="22"/>
                <w:lang w:val="sr-Latn-ME"/>
              </w:rPr>
              <w:lastRenderedPageBreak/>
              <w:t xml:space="preserve">bol u grlu, disestezija ždrijela </w:t>
            </w:r>
          </w:p>
        </w:tc>
        <w:tc>
          <w:tcPr>
            <w:tcW w:w="1879" w:type="pct"/>
            <w:shd w:val="clear" w:color="auto" w:fill="auto"/>
          </w:tcPr>
          <w:p w14:paraId="0273D42B" w14:textId="77777777" w:rsidR="006140B9" w:rsidRPr="00012278" w:rsidRDefault="006140B9" w:rsidP="006140B9">
            <w:pPr>
              <w:rPr>
                <w:szCs w:val="22"/>
                <w:lang w:val="sr-Latn-ME"/>
              </w:rPr>
            </w:pPr>
            <w:r w:rsidRPr="00012278">
              <w:rPr>
                <w:szCs w:val="22"/>
                <w:lang w:val="sr-Latn-ME"/>
              </w:rPr>
              <w:t>štucanje, faringolaringealni bol, disfonija</w:t>
            </w:r>
          </w:p>
        </w:tc>
        <w:tc>
          <w:tcPr>
            <w:tcW w:w="1030" w:type="pct"/>
            <w:shd w:val="clear" w:color="auto" w:fill="auto"/>
          </w:tcPr>
          <w:p w14:paraId="309F16BE" w14:textId="77777777" w:rsidR="006140B9" w:rsidRPr="00012278" w:rsidRDefault="006140B9" w:rsidP="006140B9">
            <w:pPr>
              <w:rPr>
                <w:szCs w:val="22"/>
                <w:lang w:val="sr-Latn-ME"/>
              </w:rPr>
            </w:pPr>
          </w:p>
        </w:tc>
      </w:tr>
      <w:tr w:rsidR="006140B9" w:rsidRPr="00012278" w14:paraId="667C3818" w14:textId="77777777" w:rsidTr="00183A6F">
        <w:tc>
          <w:tcPr>
            <w:tcW w:w="1003" w:type="pct"/>
            <w:shd w:val="clear" w:color="auto" w:fill="auto"/>
          </w:tcPr>
          <w:p w14:paraId="2167064C" w14:textId="77777777" w:rsidR="006140B9" w:rsidRPr="00012278" w:rsidRDefault="006140B9" w:rsidP="006140B9">
            <w:pPr>
              <w:rPr>
                <w:szCs w:val="22"/>
                <w:lang w:val="sr-Latn-ME"/>
              </w:rPr>
            </w:pPr>
            <w:r w:rsidRPr="00012278">
              <w:rPr>
                <w:i/>
                <w:szCs w:val="22"/>
                <w:lang w:val="sr-Latn-ME"/>
              </w:rPr>
              <w:t>Gastrointestinalni poremećaji</w:t>
            </w:r>
          </w:p>
        </w:tc>
        <w:tc>
          <w:tcPr>
            <w:tcW w:w="1088" w:type="pct"/>
            <w:shd w:val="clear" w:color="auto" w:fill="auto"/>
          </w:tcPr>
          <w:p w14:paraId="086947B6" w14:textId="77777777" w:rsidR="006140B9" w:rsidRPr="00012278" w:rsidRDefault="006140B9" w:rsidP="006140B9">
            <w:pPr>
              <w:rPr>
                <w:szCs w:val="22"/>
                <w:lang w:val="sr-Latn-ME"/>
              </w:rPr>
            </w:pPr>
            <w:r w:rsidRPr="00012278">
              <w:rPr>
                <w:szCs w:val="22"/>
                <w:lang w:val="sr-Latn-ME"/>
              </w:rPr>
              <w:t xml:space="preserve">opstipacija, dispepsija </w:t>
            </w:r>
          </w:p>
        </w:tc>
        <w:tc>
          <w:tcPr>
            <w:tcW w:w="1879" w:type="pct"/>
            <w:shd w:val="clear" w:color="auto" w:fill="auto"/>
          </w:tcPr>
          <w:p w14:paraId="49F0CA23" w14:textId="77777777" w:rsidR="006140B9" w:rsidRPr="00012278" w:rsidRDefault="006140B9" w:rsidP="006140B9">
            <w:pPr>
              <w:rPr>
                <w:szCs w:val="22"/>
                <w:lang w:val="sr-Latn-ME"/>
              </w:rPr>
            </w:pPr>
            <w:r w:rsidRPr="00012278">
              <w:rPr>
                <w:szCs w:val="22"/>
                <w:lang w:val="sr-Latn-ME"/>
              </w:rPr>
              <w:t xml:space="preserve">hemoragija u gornjem dijelu gastrointestinalnog trakta, </w:t>
            </w:r>
          </w:p>
          <w:p w14:paraId="35878352" w14:textId="77777777" w:rsidR="006140B9" w:rsidRPr="00012278" w:rsidRDefault="006140B9" w:rsidP="006140B9">
            <w:pPr>
              <w:rPr>
                <w:szCs w:val="22"/>
                <w:lang w:val="sr-Latn-ME"/>
              </w:rPr>
            </w:pPr>
            <w:r w:rsidRPr="00012278">
              <w:rPr>
                <w:szCs w:val="22"/>
                <w:lang w:val="sr-Latn-ME"/>
              </w:rPr>
              <w:t xml:space="preserve">ulceracija usta, </w:t>
            </w:r>
          </w:p>
          <w:p w14:paraId="2AC5BC21" w14:textId="77777777" w:rsidR="006140B9" w:rsidRPr="00012278" w:rsidRDefault="006140B9" w:rsidP="006140B9">
            <w:pPr>
              <w:rPr>
                <w:szCs w:val="22"/>
                <w:lang w:val="sr-Latn-ME"/>
              </w:rPr>
            </w:pPr>
            <w:r w:rsidRPr="00012278">
              <w:rPr>
                <w:szCs w:val="22"/>
                <w:lang w:val="sr-Latn-ME"/>
              </w:rPr>
              <w:t>gastritis, abdominalna distenzija, gastroezofagealna refluksna bolest, bol u ustima, disfagija, rektalna hemoragija, bol u donjem dijelu abdomena, oralna disestezija, oralna parestezija, oralna hipostezija, neugodan osjećaj u abdomenu</w:t>
            </w:r>
          </w:p>
        </w:tc>
        <w:tc>
          <w:tcPr>
            <w:tcW w:w="1030" w:type="pct"/>
            <w:shd w:val="clear" w:color="auto" w:fill="auto"/>
          </w:tcPr>
          <w:p w14:paraId="7ECF0192" w14:textId="77777777" w:rsidR="006140B9" w:rsidRPr="00012278" w:rsidRDefault="006140B9" w:rsidP="006140B9">
            <w:pPr>
              <w:rPr>
                <w:szCs w:val="22"/>
                <w:lang w:val="sr-Latn-ME"/>
              </w:rPr>
            </w:pPr>
          </w:p>
        </w:tc>
      </w:tr>
      <w:tr w:rsidR="006140B9" w:rsidRPr="00012278" w14:paraId="5E1A8598" w14:textId="77777777" w:rsidTr="00183A6F">
        <w:tc>
          <w:tcPr>
            <w:tcW w:w="1003" w:type="pct"/>
            <w:shd w:val="clear" w:color="auto" w:fill="auto"/>
          </w:tcPr>
          <w:p w14:paraId="4680ECE0" w14:textId="77777777" w:rsidR="006140B9" w:rsidRPr="00012278" w:rsidRDefault="006140B9" w:rsidP="006140B9">
            <w:pPr>
              <w:rPr>
                <w:i/>
                <w:szCs w:val="22"/>
                <w:lang w:val="sr-Latn-ME"/>
              </w:rPr>
            </w:pPr>
            <w:r w:rsidRPr="00012278">
              <w:rPr>
                <w:i/>
                <w:szCs w:val="22"/>
                <w:lang w:val="sr-Latn-ME"/>
              </w:rPr>
              <w:t>Hepatobilijarni poremećaji</w:t>
            </w:r>
          </w:p>
        </w:tc>
        <w:tc>
          <w:tcPr>
            <w:tcW w:w="1088" w:type="pct"/>
            <w:shd w:val="clear" w:color="auto" w:fill="auto"/>
          </w:tcPr>
          <w:p w14:paraId="5B0C2663" w14:textId="77777777" w:rsidR="006140B9" w:rsidRPr="00012278" w:rsidRDefault="006140B9" w:rsidP="006140B9">
            <w:pPr>
              <w:rPr>
                <w:szCs w:val="22"/>
                <w:lang w:val="sr-Latn-ME"/>
              </w:rPr>
            </w:pPr>
          </w:p>
        </w:tc>
        <w:tc>
          <w:tcPr>
            <w:tcW w:w="1879" w:type="pct"/>
            <w:shd w:val="clear" w:color="auto" w:fill="auto"/>
          </w:tcPr>
          <w:p w14:paraId="7C299C12" w14:textId="77777777" w:rsidR="006140B9" w:rsidRPr="00012278" w:rsidRDefault="006140B9" w:rsidP="006140B9">
            <w:pPr>
              <w:rPr>
                <w:szCs w:val="22"/>
                <w:lang w:val="sr-Latn-ME"/>
              </w:rPr>
            </w:pPr>
            <w:r w:rsidRPr="00012278">
              <w:rPr>
                <w:szCs w:val="22"/>
                <w:lang w:val="sr-Latn-ME"/>
              </w:rPr>
              <w:t>poremećaji hepatičke funkcije</w:t>
            </w:r>
          </w:p>
        </w:tc>
        <w:tc>
          <w:tcPr>
            <w:tcW w:w="1030" w:type="pct"/>
            <w:shd w:val="clear" w:color="auto" w:fill="auto"/>
          </w:tcPr>
          <w:p w14:paraId="63556542" w14:textId="77777777" w:rsidR="006140B9" w:rsidRPr="00012278" w:rsidRDefault="006140B9" w:rsidP="006140B9">
            <w:pPr>
              <w:rPr>
                <w:szCs w:val="22"/>
                <w:lang w:val="sr-Latn-ME"/>
              </w:rPr>
            </w:pPr>
          </w:p>
        </w:tc>
      </w:tr>
      <w:tr w:rsidR="006140B9" w:rsidRPr="00012278" w14:paraId="41B37C0D" w14:textId="77777777" w:rsidTr="00183A6F">
        <w:tc>
          <w:tcPr>
            <w:tcW w:w="1003" w:type="pct"/>
            <w:shd w:val="clear" w:color="auto" w:fill="auto"/>
          </w:tcPr>
          <w:p w14:paraId="3A83F249" w14:textId="77777777" w:rsidR="006140B9" w:rsidRPr="00012278" w:rsidRDefault="006140B9" w:rsidP="006140B9">
            <w:pPr>
              <w:rPr>
                <w:szCs w:val="22"/>
                <w:lang w:val="sr-Latn-ME"/>
              </w:rPr>
            </w:pPr>
            <w:r w:rsidRPr="00012278">
              <w:rPr>
                <w:i/>
                <w:szCs w:val="22"/>
                <w:lang w:val="sr-Latn-ME"/>
              </w:rPr>
              <w:t>Poremećaji na novou kože i potkožnog tkiva</w:t>
            </w:r>
          </w:p>
        </w:tc>
        <w:tc>
          <w:tcPr>
            <w:tcW w:w="1088" w:type="pct"/>
            <w:shd w:val="clear" w:color="auto" w:fill="auto"/>
          </w:tcPr>
          <w:p w14:paraId="72F29ABB" w14:textId="77777777" w:rsidR="006140B9" w:rsidRPr="00012278" w:rsidRDefault="006140B9" w:rsidP="006140B9">
            <w:pPr>
              <w:rPr>
                <w:szCs w:val="22"/>
                <w:lang w:val="sr-Latn-ME"/>
              </w:rPr>
            </w:pPr>
            <w:r w:rsidRPr="00012278">
              <w:rPr>
                <w:szCs w:val="22"/>
                <w:lang w:val="sr-Latn-ME"/>
              </w:rPr>
              <w:t>alopecija, promjene na noktima</w:t>
            </w:r>
          </w:p>
        </w:tc>
        <w:tc>
          <w:tcPr>
            <w:tcW w:w="1879" w:type="pct"/>
            <w:shd w:val="clear" w:color="auto" w:fill="auto"/>
          </w:tcPr>
          <w:p w14:paraId="6026EB52" w14:textId="77777777" w:rsidR="006140B9" w:rsidRPr="00012278" w:rsidRDefault="006140B9" w:rsidP="006140B9">
            <w:pPr>
              <w:rPr>
                <w:szCs w:val="22"/>
                <w:lang w:val="sr-Latn-ME"/>
              </w:rPr>
            </w:pPr>
            <w:r w:rsidRPr="00012278">
              <w:rPr>
                <w:szCs w:val="22"/>
                <w:lang w:val="sr-Latn-ME"/>
              </w:rPr>
              <w:t xml:space="preserve">hiperhidroza, eritematozni osip, urtikarija, noćno znojenje </w:t>
            </w:r>
          </w:p>
        </w:tc>
        <w:tc>
          <w:tcPr>
            <w:tcW w:w="1030" w:type="pct"/>
            <w:shd w:val="clear" w:color="auto" w:fill="auto"/>
          </w:tcPr>
          <w:p w14:paraId="501E9E80" w14:textId="77777777" w:rsidR="006140B9" w:rsidRPr="00012278" w:rsidRDefault="006140B9" w:rsidP="006140B9">
            <w:pPr>
              <w:rPr>
                <w:szCs w:val="22"/>
                <w:lang w:val="sr-Latn-ME"/>
              </w:rPr>
            </w:pPr>
          </w:p>
        </w:tc>
      </w:tr>
      <w:tr w:rsidR="006140B9" w:rsidRPr="00012278" w14:paraId="4CBCD36D" w14:textId="77777777" w:rsidTr="00183A6F">
        <w:tc>
          <w:tcPr>
            <w:tcW w:w="1003" w:type="pct"/>
            <w:shd w:val="clear" w:color="auto" w:fill="auto"/>
          </w:tcPr>
          <w:p w14:paraId="1DAAD99D" w14:textId="77777777" w:rsidR="006140B9" w:rsidRPr="00012278" w:rsidRDefault="006140B9" w:rsidP="006140B9">
            <w:pPr>
              <w:rPr>
                <w:szCs w:val="22"/>
                <w:lang w:val="sr-Latn-ME"/>
              </w:rPr>
            </w:pPr>
            <w:r w:rsidRPr="00012278">
              <w:rPr>
                <w:i/>
                <w:szCs w:val="22"/>
                <w:lang w:val="sr-Latn-ME"/>
              </w:rPr>
              <w:t>Poremećaji mišićno-skeletnog, vezivnog i koštanog tkiva</w:t>
            </w:r>
          </w:p>
        </w:tc>
        <w:tc>
          <w:tcPr>
            <w:tcW w:w="1088" w:type="pct"/>
            <w:shd w:val="clear" w:color="auto" w:fill="auto"/>
          </w:tcPr>
          <w:p w14:paraId="3E6B1C2D" w14:textId="77777777" w:rsidR="006140B9" w:rsidRPr="00012278" w:rsidRDefault="006140B9" w:rsidP="006140B9">
            <w:pPr>
              <w:rPr>
                <w:szCs w:val="22"/>
                <w:lang w:val="sr-Latn-ME"/>
              </w:rPr>
            </w:pPr>
            <w:r w:rsidRPr="00012278">
              <w:rPr>
                <w:szCs w:val="22"/>
                <w:lang w:val="sr-Latn-ME"/>
              </w:rPr>
              <w:t>mialgija, artralgija, bol u  ekstremitetima</w:t>
            </w:r>
          </w:p>
        </w:tc>
        <w:tc>
          <w:tcPr>
            <w:tcW w:w="1879" w:type="pct"/>
            <w:shd w:val="clear" w:color="auto" w:fill="auto"/>
          </w:tcPr>
          <w:p w14:paraId="2E24B068" w14:textId="77777777" w:rsidR="006140B9" w:rsidRPr="00012278" w:rsidRDefault="006140B9" w:rsidP="006140B9">
            <w:pPr>
              <w:rPr>
                <w:szCs w:val="22"/>
                <w:lang w:val="sr-Latn-ME"/>
              </w:rPr>
            </w:pPr>
            <w:r w:rsidRPr="00012278">
              <w:rPr>
                <w:szCs w:val="22"/>
                <w:lang w:val="sr-Latn-ME"/>
              </w:rPr>
              <w:t xml:space="preserve">bol u vilici, grčevi u mišićima,  trizmus, slabost mišića </w:t>
            </w:r>
          </w:p>
        </w:tc>
        <w:tc>
          <w:tcPr>
            <w:tcW w:w="1030" w:type="pct"/>
            <w:shd w:val="clear" w:color="auto" w:fill="auto"/>
          </w:tcPr>
          <w:p w14:paraId="50905940" w14:textId="77777777" w:rsidR="006140B9" w:rsidRPr="00012278" w:rsidRDefault="006140B9" w:rsidP="006140B9">
            <w:pPr>
              <w:rPr>
                <w:szCs w:val="22"/>
                <w:lang w:val="sr-Latn-ME"/>
              </w:rPr>
            </w:pPr>
          </w:p>
        </w:tc>
      </w:tr>
      <w:tr w:rsidR="006140B9" w:rsidRPr="00012278" w14:paraId="309C1ECF" w14:textId="77777777" w:rsidTr="00183A6F">
        <w:tc>
          <w:tcPr>
            <w:tcW w:w="1003" w:type="pct"/>
            <w:shd w:val="clear" w:color="auto" w:fill="auto"/>
          </w:tcPr>
          <w:p w14:paraId="0307DB03" w14:textId="77777777" w:rsidR="006140B9" w:rsidRPr="00012278" w:rsidRDefault="006140B9" w:rsidP="006140B9">
            <w:pPr>
              <w:rPr>
                <w:szCs w:val="22"/>
                <w:lang w:val="sr-Latn-ME"/>
              </w:rPr>
            </w:pPr>
            <w:r w:rsidRPr="00012278">
              <w:rPr>
                <w:i/>
                <w:szCs w:val="22"/>
                <w:lang w:val="sr-Latn-ME"/>
              </w:rPr>
              <w:t>Poremećaji na nivou bubrega i urinarnog sistema</w:t>
            </w:r>
          </w:p>
        </w:tc>
        <w:tc>
          <w:tcPr>
            <w:tcW w:w="1088" w:type="pct"/>
            <w:shd w:val="clear" w:color="auto" w:fill="auto"/>
          </w:tcPr>
          <w:p w14:paraId="5F69B078" w14:textId="77777777" w:rsidR="006140B9" w:rsidRPr="00012278" w:rsidRDefault="006140B9" w:rsidP="006140B9">
            <w:pPr>
              <w:rPr>
                <w:szCs w:val="22"/>
                <w:lang w:val="sr-Latn-ME"/>
              </w:rPr>
            </w:pPr>
          </w:p>
        </w:tc>
        <w:tc>
          <w:tcPr>
            <w:tcW w:w="1879" w:type="pct"/>
            <w:shd w:val="clear" w:color="auto" w:fill="auto"/>
          </w:tcPr>
          <w:p w14:paraId="74A3D624" w14:textId="77777777" w:rsidR="006140B9" w:rsidRPr="00012278" w:rsidRDefault="006140B9" w:rsidP="006140B9">
            <w:pPr>
              <w:rPr>
                <w:szCs w:val="22"/>
                <w:lang w:val="sr-Latn-ME"/>
              </w:rPr>
            </w:pPr>
            <w:r w:rsidRPr="00012278">
              <w:rPr>
                <w:szCs w:val="22"/>
                <w:lang w:val="sr-Latn-ME"/>
              </w:rPr>
              <w:t>hematurija, proteinurija, smanjenje klirensa kreatinina, bolno i otežano mokrenje</w:t>
            </w:r>
          </w:p>
        </w:tc>
        <w:tc>
          <w:tcPr>
            <w:tcW w:w="1030" w:type="pct"/>
            <w:shd w:val="clear" w:color="auto" w:fill="auto"/>
          </w:tcPr>
          <w:p w14:paraId="4C5B1F29" w14:textId="77777777" w:rsidR="006140B9" w:rsidRPr="00012278" w:rsidRDefault="006140B9" w:rsidP="006140B9">
            <w:pPr>
              <w:rPr>
                <w:szCs w:val="22"/>
                <w:lang w:val="sr-Latn-ME"/>
              </w:rPr>
            </w:pPr>
            <w:r w:rsidRPr="00012278">
              <w:rPr>
                <w:szCs w:val="22"/>
                <w:lang w:val="sr-Latn-ME"/>
              </w:rPr>
              <w:t>Akutna insuficijencija</w:t>
            </w:r>
          </w:p>
          <w:p w14:paraId="5EC739F1" w14:textId="77777777" w:rsidR="006140B9" w:rsidRPr="00012278" w:rsidRDefault="006140B9" w:rsidP="006140B9">
            <w:pPr>
              <w:rPr>
                <w:szCs w:val="22"/>
                <w:lang w:val="sr-Latn-ME"/>
              </w:rPr>
            </w:pPr>
            <w:r w:rsidRPr="00012278">
              <w:rPr>
                <w:szCs w:val="22"/>
                <w:lang w:val="sr-Latn-ME"/>
              </w:rPr>
              <w:t>bubrega kao</w:t>
            </w:r>
          </w:p>
          <w:p w14:paraId="1C06A86C" w14:textId="77777777" w:rsidR="006140B9" w:rsidRPr="00012278" w:rsidRDefault="006140B9" w:rsidP="006140B9">
            <w:pPr>
              <w:rPr>
                <w:szCs w:val="22"/>
                <w:lang w:val="sr-Latn-ME"/>
              </w:rPr>
            </w:pPr>
            <w:r w:rsidRPr="00012278">
              <w:rPr>
                <w:szCs w:val="22"/>
                <w:lang w:val="sr-Latn-ME"/>
              </w:rPr>
              <w:t>posljedica</w:t>
            </w:r>
          </w:p>
          <w:p w14:paraId="4677F0DB" w14:textId="77777777" w:rsidR="006140B9" w:rsidRPr="00012278" w:rsidRDefault="006140B9" w:rsidP="006140B9">
            <w:pPr>
              <w:rPr>
                <w:szCs w:val="22"/>
                <w:lang w:val="sr-Latn-ME"/>
              </w:rPr>
            </w:pPr>
            <w:r w:rsidRPr="00012278">
              <w:rPr>
                <w:szCs w:val="22"/>
                <w:lang w:val="sr-Latn-ME"/>
              </w:rPr>
              <w:t>dehidracije</w:t>
            </w:r>
          </w:p>
          <w:p w14:paraId="025FCF30" w14:textId="77777777" w:rsidR="006140B9" w:rsidRPr="00012278" w:rsidRDefault="006140B9" w:rsidP="006140B9">
            <w:pPr>
              <w:rPr>
                <w:szCs w:val="22"/>
                <w:lang w:val="sr-Latn-ME"/>
              </w:rPr>
            </w:pPr>
            <w:r w:rsidRPr="00012278">
              <w:rPr>
                <w:szCs w:val="22"/>
                <w:lang w:val="sr-Latn-ME"/>
              </w:rPr>
              <w:t>(rijetko)</w:t>
            </w:r>
          </w:p>
        </w:tc>
      </w:tr>
      <w:tr w:rsidR="006140B9" w:rsidRPr="00012278" w14:paraId="23BE2A48" w14:textId="77777777" w:rsidTr="00183A6F">
        <w:tc>
          <w:tcPr>
            <w:tcW w:w="1003" w:type="pct"/>
            <w:shd w:val="clear" w:color="auto" w:fill="auto"/>
          </w:tcPr>
          <w:p w14:paraId="7056B1C8" w14:textId="77777777" w:rsidR="006140B9" w:rsidRPr="00012278" w:rsidRDefault="006140B9" w:rsidP="006140B9">
            <w:pPr>
              <w:rPr>
                <w:i/>
                <w:szCs w:val="22"/>
                <w:lang w:val="sr-Latn-ME"/>
              </w:rPr>
            </w:pPr>
            <w:r w:rsidRPr="00012278">
              <w:rPr>
                <w:i/>
                <w:szCs w:val="22"/>
                <w:lang w:val="sr-Latn-ME"/>
              </w:rPr>
              <w:t>Opšti poremećaji i stanja na mjestu primjene</w:t>
            </w:r>
          </w:p>
        </w:tc>
        <w:tc>
          <w:tcPr>
            <w:tcW w:w="1088" w:type="pct"/>
            <w:shd w:val="clear" w:color="auto" w:fill="auto"/>
          </w:tcPr>
          <w:p w14:paraId="48EF3A8B" w14:textId="77777777" w:rsidR="006140B9" w:rsidRPr="00012278" w:rsidRDefault="006140B9" w:rsidP="006140B9">
            <w:pPr>
              <w:rPr>
                <w:szCs w:val="22"/>
                <w:lang w:val="sr-Latn-ME"/>
              </w:rPr>
            </w:pPr>
            <w:r w:rsidRPr="00012278">
              <w:rPr>
                <w:szCs w:val="22"/>
                <w:lang w:val="sr-Latn-ME"/>
              </w:rPr>
              <w:t xml:space="preserve">povišena temperatura, slabost, </w:t>
            </w:r>
            <w:r w:rsidRPr="00012278">
              <w:rPr>
                <w:szCs w:val="22"/>
                <w:vertAlign w:val="superscript"/>
                <w:lang w:val="sr-Latn-ME"/>
              </w:rPr>
              <w:t>+</w:t>
            </w:r>
            <w:r w:rsidRPr="00012278">
              <w:rPr>
                <w:szCs w:val="22"/>
                <w:lang w:val="sr-Latn-ME"/>
              </w:rPr>
              <w:t>letargija, osjetljivost na promjene temperature okoline</w:t>
            </w:r>
          </w:p>
        </w:tc>
        <w:tc>
          <w:tcPr>
            <w:tcW w:w="1879" w:type="pct"/>
            <w:shd w:val="clear" w:color="auto" w:fill="auto"/>
          </w:tcPr>
          <w:p w14:paraId="1CA5CE20" w14:textId="77777777" w:rsidR="006140B9" w:rsidRPr="00012278" w:rsidRDefault="006140B9" w:rsidP="006140B9">
            <w:pPr>
              <w:rPr>
                <w:szCs w:val="22"/>
                <w:lang w:val="sr-Latn-ME"/>
              </w:rPr>
            </w:pPr>
            <w:r w:rsidRPr="00012278">
              <w:rPr>
                <w:szCs w:val="22"/>
                <w:lang w:val="sr-Latn-ME"/>
              </w:rPr>
              <w:t xml:space="preserve">upala sluznice, bol u ekstremitetima, bol, drhtavica, bol u grudima, bolest slična gripu, </w:t>
            </w:r>
            <w:r w:rsidRPr="00012278">
              <w:rPr>
                <w:szCs w:val="22"/>
                <w:vertAlign w:val="superscript"/>
                <w:lang w:val="sr-Latn-ME"/>
              </w:rPr>
              <w:t>+</w:t>
            </w:r>
            <w:r w:rsidRPr="00012278">
              <w:rPr>
                <w:szCs w:val="22"/>
                <w:lang w:val="sr-Latn-ME"/>
              </w:rPr>
              <w:t>groznica, reakcije na infuziju, reakcije na mjestu uboda, bol na mjestu primjene infuzije, bol na mjestu uboda</w:t>
            </w:r>
          </w:p>
        </w:tc>
        <w:tc>
          <w:tcPr>
            <w:tcW w:w="1030" w:type="pct"/>
            <w:shd w:val="clear" w:color="auto" w:fill="auto"/>
          </w:tcPr>
          <w:p w14:paraId="1FE15D1F" w14:textId="77777777" w:rsidR="006140B9" w:rsidRPr="00012278" w:rsidRDefault="006140B9" w:rsidP="006140B9">
            <w:pPr>
              <w:rPr>
                <w:szCs w:val="22"/>
                <w:lang w:val="sr-Latn-ME"/>
              </w:rPr>
            </w:pPr>
          </w:p>
        </w:tc>
      </w:tr>
      <w:tr w:rsidR="006140B9" w:rsidRPr="00012278" w14:paraId="173C7550" w14:textId="77777777" w:rsidTr="00183A6F">
        <w:tc>
          <w:tcPr>
            <w:tcW w:w="1003" w:type="pct"/>
            <w:shd w:val="clear" w:color="auto" w:fill="auto"/>
          </w:tcPr>
          <w:p w14:paraId="5168D297" w14:textId="77777777" w:rsidR="006140B9" w:rsidRPr="00012278" w:rsidRDefault="006140B9" w:rsidP="006140B9">
            <w:pPr>
              <w:rPr>
                <w:i/>
                <w:szCs w:val="22"/>
                <w:lang w:val="sr-Latn-ME"/>
              </w:rPr>
            </w:pPr>
            <w:r w:rsidRPr="00012278">
              <w:rPr>
                <w:i/>
                <w:szCs w:val="22"/>
                <w:lang w:val="sr-Latn-ME"/>
              </w:rPr>
              <w:t>Povrede, trovanja i proceduralne komplikacije</w:t>
            </w:r>
          </w:p>
        </w:tc>
        <w:tc>
          <w:tcPr>
            <w:tcW w:w="1088" w:type="pct"/>
            <w:shd w:val="clear" w:color="auto" w:fill="auto"/>
          </w:tcPr>
          <w:p w14:paraId="3D63BACE" w14:textId="77777777" w:rsidR="006140B9" w:rsidRPr="00012278" w:rsidRDefault="006140B9" w:rsidP="006140B9">
            <w:pPr>
              <w:rPr>
                <w:szCs w:val="22"/>
                <w:lang w:val="sr-Latn-ME"/>
              </w:rPr>
            </w:pPr>
          </w:p>
        </w:tc>
        <w:tc>
          <w:tcPr>
            <w:tcW w:w="1879" w:type="pct"/>
            <w:shd w:val="clear" w:color="auto" w:fill="auto"/>
          </w:tcPr>
          <w:p w14:paraId="36024368" w14:textId="77777777" w:rsidR="006140B9" w:rsidRPr="00012278" w:rsidRDefault="006140B9" w:rsidP="006140B9">
            <w:pPr>
              <w:rPr>
                <w:szCs w:val="22"/>
                <w:lang w:val="sr-Latn-ME"/>
              </w:rPr>
            </w:pPr>
            <w:r w:rsidRPr="00012278">
              <w:rPr>
                <w:szCs w:val="22"/>
                <w:lang w:val="sr-Latn-ME"/>
              </w:rPr>
              <w:t>kontuzija</w:t>
            </w:r>
          </w:p>
          <w:p w14:paraId="0FE0CD11" w14:textId="77777777" w:rsidR="006140B9" w:rsidRPr="00012278" w:rsidRDefault="006140B9" w:rsidP="006140B9">
            <w:pPr>
              <w:rPr>
                <w:szCs w:val="22"/>
                <w:lang w:val="sr-Latn-ME"/>
              </w:rPr>
            </w:pPr>
          </w:p>
        </w:tc>
        <w:tc>
          <w:tcPr>
            <w:tcW w:w="1030" w:type="pct"/>
            <w:shd w:val="clear" w:color="auto" w:fill="auto"/>
          </w:tcPr>
          <w:p w14:paraId="3E27C850" w14:textId="77777777" w:rsidR="006140B9" w:rsidRPr="00012278" w:rsidRDefault="006140B9" w:rsidP="006140B9">
            <w:pPr>
              <w:rPr>
                <w:szCs w:val="22"/>
                <w:lang w:val="sr-Latn-ME"/>
              </w:rPr>
            </w:pPr>
          </w:p>
        </w:tc>
      </w:tr>
    </w:tbl>
    <w:p w14:paraId="056D4626" w14:textId="03F427F5" w:rsidR="006140B9" w:rsidRPr="00012278" w:rsidRDefault="006140B9" w:rsidP="002B4BD7">
      <w:pPr>
        <w:jc w:val="both"/>
        <w:rPr>
          <w:szCs w:val="22"/>
          <w:lang w:val="sr-Latn-ME"/>
        </w:rPr>
      </w:pPr>
      <w:r w:rsidRPr="00012278">
        <w:rPr>
          <w:szCs w:val="22"/>
          <w:vertAlign w:val="superscript"/>
          <w:lang w:val="sr-Latn-ME"/>
        </w:rPr>
        <w:t>+</w:t>
      </w:r>
      <w:r w:rsidRPr="00012278">
        <w:rPr>
          <w:szCs w:val="22"/>
          <w:lang w:val="sr-Latn-ME"/>
        </w:rPr>
        <w:t xml:space="preserve"> Za svaki pojam, učestalost javljanja procijenjena je na osnovu prijavljenih neželjenih reakcija svih stepena. Za poremećaje označene sa “+”, učestalost javljanja procijenjena je na osnovu neželjenih reakcija 3.-4. stepena Neželjene reakcije bilježene su na osnovu najviše incidence prijavljene u bilo kojoj od velikih </w:t>
      </w:r>
      <w:r w:rsidR="00237905" w:rsidRPr="00012278">
        <w:rPr>
          <w:szCs w:val="22"/>
          <w:lang w:val="sr-Latn-ME"/>
        </w:rPr>
        <w:t xml:space="preserve">studija </w:t>
      </w:r>
      <w:r w:rsidRPr="00012278">
        <w:rPr>
          <w:szCs w:val="22"/>
          <w:lang w:val="sr-Latn-ME"/>
        </w:rPr>
        <w:t>kombinovan</w:t>
      </w:r>
      <w:r w:rsidR="00237905" w:rsidRPr="00012278">
        <w:rPr>
          <w:szCs w:val="22"/>
          <w:lang w:val="sr-Latn-ME"/>
        </w:rPr>
        <w:t>e terapije.</w:t>
      </w:r>
      <w:r w:rsidRPr="00012278">
        <w:rPr>
          <w:szCs w:val="22"/>
          <w:lang w:val="sr-Latn-ME"/>
        </w:rPr>
        <w:t xml:space="preserve"> </w:t>
      </w:r>
    </w:p>
    <w:p w14:paraId="4C28C93D" w14:textId="77777777" w:rsidR="006140B9" w:rsidRPr="00012278" w:rsidRDefault="006140B9" w:rsidP="006140B9">
      <w:pPr>
        <w:rPr>
          <w:szCs w:val="22"/>
          <w:lang w:val="sr-Latn-ME"/>
        </w:rPr>
      </w:pPr>
    </w:p>
    <w:p w14:paraId="53BD1428" w14:textId="77777777" w:rsidR="006140B9" w:rsidRPr="00012278" w:rsidRDefault="006140B9" w:rsidP="006140B9">
      <w:pPr>
        <w:rPr>
          <w:bCs/>
          <w:iCs/>
          <w:szCs w:val="22"/>
          <w:u w:val="single"/>
          <w:lang w:val="sr-Latn-ME"/>
        </w:rPr>
      </w:pPr>
      <w:r w:rsidRPr="00012278">
        <w:rPr>
          <w:bCs/>
          <w:iCs/>
          <w:szCs w:val="22"/>
          <w:u w:val="single"/>
          <w:lang w:val="sr-Latn-ME"/>
        </w:rPr>
        <w:t xml:space="preserve">Opis odabranih neželjenih reakcija </w:t>
      </w:r>
    </w:p>
    <w:p w14:paraId="17BB2B0F" w14:textId="77777777" w:rsidR="006140B9" w:rsidRPr="00012278" w:rsidRDefault="006140B9" w:rsidP="006140B9">
      <w:pPr>
        <w:rPr>
          <w:bCs/>
          <w:i/>
          <w:iCs/>
          <w:szCs w:val="22"/>
          <w:u w:val="single"/>
          <w:lang w:val="sr-Latn-ME"/>
        </w:rPr>
      </w:pPr>
    </w:p>
    <w:p w14:paraId="026FA0D7" w14:textId="48AD9BA0" w:rsidR="006140B9" w:rsidRPr="00012278" w:rsidRDefault="006140B9" w:rsidP="002B4BD7">
      <w:pPr>
        <w:jc w:val="both"/>
        <w:rPr>
          <w:szCs w:val="22"/>
          <w:lang w:val="sr-Latn-ME"/>
        </w:rPr>
      </w:pPr>
      <w:r w:rsidRPr="00012278">
        <w:rPr>
          <w:bCs/>
          <w:i/>
          <w:iCs/>
          <w:szCs w:val="22"/>
          <w:lang w:val="sr-Latn-ME"/>
        </w:rPr>
        <w:t xml:space="preserve">Sindrom šaka-stopalo (vidjeti </w:t>
      </w:r>
      <w:r w:rsidR="00237905" w:rsidRPr="00012278">
        <w:rPr>
          <w:bCs/>
          <w:i/>
          <w:iCs/>
          <w:szCs w:val="22"/>
          <w:lang w:val="sr-Latn-ME"/>
        </w:rPr>
        <w:t xml:space="preserve">dio  </w:t>
      </w:r>
      <w:r w:rsidRPr="00012278">
        <w:rPr>
          <w:bCs/>
          <w:i/>
          <w:iCs/>
          <w:szCs w:val="22"/>
          <w:lang w:val="sr-Latn-ME"/>
        </w:rPr>
        <w:t>4.4)</w:t>
      </w:r>
    </w:p>
    <w:p w14:paraId="0F7A0909" w14:textId="77777777" w:rsidR="006140B9" w:rsidRPr="00012278" w:rsidRDefault="006140B9" w:rsidP="002B4BD7">
      <w:pPr>
        <w:jc w:val="both"/>
        <w:rPr>
          <w:szCs w:val="22"/>
          <w:lang w:val="sr-Latn-ME"/>
        </w:rPr>
      </w:pPr>
      <w:r w:rsidRPr="00012278">
        <w:rPr>
          <w:szCs w:val="22"/>
          <w:lang w:val="sr-Latn-ME"/>
        </w:rPr>
        <w:t>Pri primjeni kapecitabina u dozi od 1250 mg/m</w:t>
      </w:r>
      <w:r w:rsidRPr="00012278">
        <w:rPr>
          <w:szCs w:val="22"/>
          <w:vertAlign w:val="superscript"/>
          <w:lang w:val="sr-Latn-ME"/>
        </w:rPr>
        <w:t>2</w:t>
      </w:r>
      <w:r w:rsidRPr="00012278">
        <w:rPr>
          <w:szCs w:val="22"/>
          <w:lang w:val="sr-Latn-ME"/>
        </w:rPr>
        <w:t xml:space="preserve"> dva puta dnevno od prvog do 14. dana ciklusa svake 3 nedjelje, učestalost od 53% do 60% sindroma šaka-stopalo svih stepena prijavljena je u kliničkim studijama pri primjeni monoterapije kapecitabinom (obuhvaćene su studije adjuvantne terapije karcinoma kolona, liječenja metastatskog kolorektalnog karcinoma i karcinoma dojke), a učestalost od 63% prijavljena je kod pacijenata sa metastatskim karcinomom dojke liječenih kombinovanom terapijom kapecitabin/docetaksel. Pri primjeni kapecitabina u dozi od 1000 mg/m</w:t>
      </w:r>
      <w:r w:rsidRPr="00012278">
        <w:rPr>
          <w:szCs w:val="22"/>
          <w:vertAlign w:val="superscript"/>
          <w:lang w:val="sr-Latn-ME"/>
        </w:rPr>
        <w:t>2</w:t>
      </w:r>
      <w:r w:rsidRPr="00012278">
        <w:rPr>
          <w:szCs w:val="22"/>
          <w:lang w:val="sr-Latn-ME"/>
        </w:rPr>
        <w:t xml:space="preserve"> dva puta dnevno od prvog do 14. dana ciklusa svake 3 nedjelje, učestalost od 22% do 30% svih stepena sindroma šaka-stopalo prijavljena je pri primjeni kombinovane terapije sa kapecitabinom. </w:t>
      </w:r>
    </w:p>
    <w:p w14:paraId="57B96933" w14:textId="77777777" w:rsidR="006140B9" w:rsidRPr="00012278" w:rsidRDefault="006140B9" w:rsidP="002B4BD7">
      <w:pPr>
        <w:jc w:val="both"/>
        <w:rPr>
          <w:szCs w:val="22"/>
          <w:lang w:val="sr-Latn-ME"/>
        </w:rPr>
      </w:pPr>
    </w:p>
    <w:p w14:paraId="7F05AC94" w14:textId="652BEFA1" w:rsidR="006140B9" w:rsidRPr="00012278" w:rsidRDefault="006140B9" w:rsidP="002B4BD7">
      <w:pPr>
        <w:jc w:val="both"/>
        <w:rPr>
          <w:szCs w:val="22"/>
          <w:lang w:val="sr-Latn-ME"/>
        </w:rPr>
      </w:pPr>
      <w:r w:rsidRPr="00012278">
        <w:rPr>
          <w:szCs w:val="22"/>
          <w:lang w:val="sr-Latn-ME"/>
        </w:rPr>
        <w:t>Meta-analiza podataka iz 14 kliničkih studija sa preko 4700 pacijenata liječenih kapecitabin monoterapijom ili kapecitabinom u kombinaciji sa različitim hem</w:t>
      </w:r>
      <w:r w:rsidR="00237905" w:rsidRPr="00012278">
        <w:rPr>
          <w:szCs w:val="22"/>
          <w:lang w:val="sr-Latn-ME"/>
        </w:rPr>
        <w:t>i</w:t>
      </w:r>
      <w:r w:rsidRPr="00012278">
        <w:rPr>
          <w:szCs w:val="22"/>
          <w:lang w:val="sr-Latn-ME"/>
        </w:rPr>
        <w:t xml:space="preserve">oterapijskim </w:t>
      </w:r>
      <w:r w:rsidR="00237905" w:rsidRPr="00012278">
        <w:rPr>
          <w:szCs w:val="22"/>
          <w:lang w:val="sr-Latn-ME"/>
        </w:rPr>
        <w:t xml:space="preserve">protokolima, </w:t>
      </w:r>
      <w:r w:rsidRPr="00012278">
        <w:rPr>
          <w:szCs w:val="22"/>
          <w:lang w:val="sr-Latn-ME"/>
        </w:rPr>
        <w:t xml:space="preserve">u različitim indikacijama (karcinom kolona, kolorektalni karcinom, karcinom želuca i karcinom dojke) pokazala je da se sindrom šaka-stopalo (svih stepena) javio kod 2066 (43%) pacijenata nakon </w:t>
      </w:r>
      <w:r w:rsidR="008E6991" w:rsidRPr="00012278">
        <w:rPr>
          <w:szCs w:val="22"/>
          <w:lang w:val="sr-Latn-ME"/>
        </w:rPr>
        <w:t xml:space="preserve">medijane </w:t>
      </w:r>
      <w:r w:rsidRPr="00012278">
        <w:rPr>
          <w:szCs w:val="22"/>
          <w:lang w:val="sr-Latn-ME"/>
        </w:rPr>
        <w:t>vremena od 239 dana [95% CI 201, 288] nakon početka terapije kapecitabinom. U svim analiziranim studijama, sledeći parametri bili su statistički značajno povezani sa povećanim rizikom od nastanka sindroma šaka-stopalo: povećanje početne doze kapecitabina (gram), smanjenje kumulativne doze kapecitabina (0.1*kg), povećanje intenziteta relativne doze tokom prvih šest nedjelja, produženo trajanje liječenja u studiji (nedjelje), povećanje godina starosti (</w:t>
      </w:r>
      <w:r w:rsidR="00237905" w:rsidRPr="00012278">
        <w:rPr>
          <w:szCs w:val="22"/>
          <w:lang w:val="sr-Latn-ME"/>
        </w:rPr>
        <w:t>u intervalima od</w:t>
      </w:r>
      <w:r w:rsidRPr="00012278">
        <w:rPr>
          <w:szCs w:val="22"/>
          <w:lang w:val="sr-Latn-ME"/>
        </w:rPr>
        <w:t xml:space="preserve"> 10 godina), ženski pol, dobar ECOG status na uključenju u studiju (0 nasuprot </w:t>
      </w:r>
      <w:r w:rsidRPr="00012278">
        <w:rPr>
          <w:szCs w:val="22"/>
          <w:lang w:val="sr-Latn-ME"/>
        </w:rPr>
        <w:sym w:font="Symbol" w:char="F0B3"/>
      </w:r>
      <w:r w:rsidRPr="00012278">
        <w:rPr>
          <w:szCs w:val="22"/>
          <w:lang w:val="sr-Latn-ME"/>
        </w:rPr>
        <w:t>1).</w:t>
      </w:r>
    </w:p>
    <w:p w14:paraId="17BAAEEA" w14:textId="77777777" w:rsidR="006140B9" w:rsidRPr="00012278" w:rsidRDefault="006140B9" w:rsidP="002B4BD7">
      <w:pPr>
        <w:jc w:val="both"/>
        <w:rPr>
          <w:szCs w:val="22"/>
          <w:lang w:val="sr-Latn-ME"/>
        </w:rPr>
      </w:pPr>
    </w:p>
    <w:p w14:paraId="6FD5184D" w14:textId="6194D15F" w:rsidR="006140B9" w:rsidRPr="00012278" w:rsidRDefault="006140B9" w:rsidP="002B4BD7">
      <w:pPr>
        <w:jc w:val="both"/>
        <w:rPr>
          <w:iCs/>
          <w:szCs w:val="22"/>
          <w:lang w:val="sr-Latn-ME"/>
        </w:rPr>
      </w:pPr>
      <w:r w:rsidRPr="00012278">
        <w:rPr>
          <w:i/>
          <w:iCs/>
          <w:szCs w:val="22"/>
          <w:lang w:val="sr-Latn-ME"/>
        </w:rPr>
        <w:t>Dijareja (</w:t>
      </w:r>
      <w:r w:rsidRPr="00012278">
        <w:rPr>
          <w:bCs/>
          <w:i/>
          <w:iCs/>
          <w:szCs w:val="22"/>
          <w:lang w:val="sr-Latn-ME"/>
        </w:rPr>
        <w:t xml:space="preserve">vidjeti </w:t>
      </w:r>
      <w:r w:rsidR="00237905" w:rsidRPr="00012278">
        <w:rPr>
          <w:bCs/>
          <w:i/>
          <w:iCs/>
          <w:szCs w:val="22"/>
          <w:lang w:val="sr-Latn-ME"/>
        </w:rPr>
        <w:t>dio</w:t>
      </w:r>
      <w:r w:rsidRPr="00012278">
        <w:rPr>
          <w:bCs/>
          <w:i/>
          <w:iCs/>
          <w:szCs w:val="22"/>
          <w:lang w:val="sr-Latn-ME"/>
        </w:rPr>
        <w:t xml:space="preserve">  </w:t>
      </w:r>
      <w:r w:rsidRPr="00012278">
        <w:rPr>
          <w:i/>
          <w:iCs/>
          <w:szCs w:val="22"/>
          <w:lang w:val="sr-Latn-ME"/>
        </w:rPr>
        <w:t>4.4):</w:t>
      </w:r>
    </w:p>
    <w:p w14:paraId="5D12453F" w14:textId="77777777" w:rsidR="006140B9" w:rsidRPr="00012278" w:rsidRDefault="006140B9" w:rsidP="002B4BD7">
      <w:pPr>
        <w:jc w:val="both"/>
        <w:rPr>
          <w:szCs w:val="22"/>
          <w:lang w:val="sr-Latn-ME"/>
        </w:rPr>
      </w:pPr>
      <w:r w:rsidRPr="00012278">
        <w:rPr>
          <w:szCs w:val="22"/>
          <w:lang w:val="sr-Latn-ME"/>
        </w:rPr>
        <w:t xml:space="preserve">Kapecitabin može da izazove pojavu dijareje, koja je zabilježena kod do 50% pacijenata. </w:t>
      </w:r>
    </w:p>
    <w:p w14:paraId="20F764B8" w14:textId="77777777" w:rsidR="006140B9" w:rsidRPr="00012278" w:rsidRDefault="006140B9" w:rsidP="002B4BD7">
      <w:pPr>
        <w:jc w:val="both"/>
        <w:rPr>
          <w:szCs w:val="22"/>
          <w:lang w:val="sr-Latn-ME"/>
        </w:rPr>
      </w:pPr>
    </w:p>
    <w:p w14:paraId="4DDFB0B9" w14:textId="25311A35" w:rsidR="006140B9" w:rsidRPr="00012278" w:rsidRDefault="006140B9" w:rsidP="002B4BD7">
      <w:pPr>
        <w:jc w:val="both"/>
        <w:rPr>
          <w:szCs w:val="22"/>
          <w:lang w:val="sr-Latn-ME"/>
        </w:rPr>
      </w:pPr>
      <w:r w:rsidRPr="00012278">
        <w:rPr>
          <w:szCs w:val="22"/>
          <w:lang w:val="sr-Latn-ME"/>
        </w:rPr>
        <w:t>Rezultati meta-analize podataka iz 14 kliničkih studija sa preko 4700 pacijenata liječenih kapecitabinom pokazali su da su u svim analiziranim studijama sljedeći parametri statistički značajno povezani sa povećanim rizikom od nastanka dijareje: povećanje početne doze kapecitabina (gram), produženo trajanje liječenja u studiji (nedjelje), povećanje godina starosti (</w:t>
      </w:r>
      <w:r w:rsidR="00237905" w:rsidRPr="00012278">
        <w:rPr>
          <w:szCs w:val="22"/>
          <w:lang w:val="sr-Latn-ME"/>
        </w:rPr>
        <w:t>u intervalima od</w:t>
      </w:r>
      <w:r w:rsidRPr="00012278">
        <w:rPr>
          <w:szCs w:val="22"/>
          <w:lang w:val="sr-Latn-ME"/>
        </w:rPr>
        <w:t xml:space="preserve"> 10 godina) i ženski pol. Sljedeći parametri bili su statistički značajno povezani sa smanjenjem rizika od nastanka dijareje: povećanje kumulativne doze kapecitabina (0.1*kg) i povećanje intenziteta relativne doze tokom prvih šest nedjelja.</w:t>
      </w:r>
    </w:p>
    <w:p w14:paraId="198B86CC" w14:textId="77777777" w:rsidR="006140B9" w:rsidRPr="00012278" w:rsidRDefault="006140B9" w:rsidP="002B4BD7">
      <w:pPr>
        <w:jc w:val="both"/>
        <w:rPr>
          <w:szCs w:val="22"/>
          <w:lang w:val="sr-Latn-ME"/>
        </w:rPr>
      </w:pPr>
    </w:p>
    <w:p w14:paraId="18BEEE91" w14:textId="67C71DEC" w:rsidR="006140B9" w:rsidRPr="00012278" w:rsidRDefault="006140B9" w:rsidP="002B4BD7">
      <w:pPr>
        <w:jc w:val="both"/>
        <w:rPr>
          <w:i/>
          <w:iCs/>
          <w:szCs w:val="22"/>
          <w:lang w:val="sr-Latn-ME"/>
        </w:rPr>
      </w:pPr>
      <w:r w:rsidRPr="00012278">
        <w:rPr>
          <w:i/>
          <w:iCs/>
          <w:szCs w:val="22"/>
          <w:lang w:val="sr-Latn-ME"/>
        </w:rPr>
        <w:t>Kardiotoksičnost (</w:t>
      </w:r>
      <w:r w:rsidRPr="00012278">
        <w:rPr>
          <w:bCs/>
          <w:i/>
          <w:iCs/>
          <w:szCs w:val="22"/>
          <w:lang w:val="sr-Latn-ME"/>
        </w:rPr>
        <w:t xml:space="preserve">videti </w:t>
      </w:r>
      <w:r w:rsidR="004A361B" w:rsidRPr="00012278">
        <w:rPr>
          <w:bCs/>
          <w:i/>
          <w:iCs/>
          <w:szCs w:val="22"/>
          <w:lang w:val="sr-Latn-ME"/>
        </w:rPr>
        <w:t>dio</w:t>
      </w:r>
      <w:r w:rsidRPr="00012278">
        <w:rPr>
          <w:bCs/>
          <w:i/>
          <w:iCs/>
          <w:szCs w:val="22"/>
          <w:lang w:val="sr-Latn-ME"/>
        </w:rPr>
        <w:t xml:space="preserve">  </w:t>
      </w:r>
      <w:r w:rsidRPr="00012278">
        <w:rPr>
          <w:i/>
          <w:iCs/>
          <w:szCs w:val="22"/>
          <w:lang w:val="sr-Latn-ME"/>
        </w:rPr>
        <w:t>4.4):</w:t>
      </w:r>
    </w:p>
    <w:p w14:paraId="6FD2FBD4" w14:textId="77777777" w:rsidR="006140B9" w:rsidRPr="00012278" w:rsidRDefault="006140B9" w:rsidP="002B4BD7">
      <w:pPr>
        <w:jc w:val="both"/>
        <w:rPr>
          <w:iCs/>
          <w:szCs w:val="22"/>
          <w:lang w:val="sr-Latn-ME"/>
        </w:rPr>
      </w:pPr>
      <w:r w:rsidRPr="00012278">
        <w:rPr>
          <w:iCs/>
          <w:szCs w:val="22"/>
          <w:lang w:val="sr-Latn-ME"/>
        </w:rPr>
        <w:t xml:space="preserve">Osim neželjenih reakcija opisanih u tabelama 4 i 5, i sljedeća neželjena dejstva sa incidencom manjom od 0.1%  su bila  povezana sa upotrebom kapecitabina kao monoterapije, na osnovu zbirne analize podataka o kliničkoj bezbjednosti iz 7 kliničkih studija sa 949 pacijenata (2 kliničke studije faze III i 5 studija faze II u metastatskom kolorektalnom i metastatskom karcinomu dojke): kardiomiopatija, srčana insuficijencija, iznenadna smrt i ventrikularne ekstrasistole. </w:t>
      </w:r>
    </w:p>
    <w:p w14:paraId="0C13D4FA" w14:textId="77777777" w:rsidR="006140B9" w:rsidRPr="00012278" w:rsidRDefault="006140B9" w:rsidP="002B4BD7">
      <w:pPr>
        <w:jc w:val="both"/>
        <w:rPr>
          <w:iCs/>
          <w:szCs w:val="22"/>
          <w:lang w:val="sr-Latn-ME"/>
        </w:rPr>
      </w:pPr>
      <w:r w:rsidRPr="00012278">
        <w:rPr>
          <w:iCs/>
          <w:szCs w:val="22"/>
          <w:lang w:val="sr-Latn-ME"/>
        </w:rPr>
        <w:t xml:space="preserve"> </w:t>
      </w:r>
    </w:p>
    <w:p w14:paraId="6FDE3017" w14:textId="77777777" w:rsidR="006140B9" w:rsidRPr="00012278" w:rsidRDefault="006140B9" w:rsidP="002B4BD7">
      <w:pPr>
        <w:jc w:val="both"/>
        <w:rPr>
          <w:i/>
          <w:iCs/>
          <w:szCs w:val="22"/>
          <w:lang w:val="sr-Latn-ME"/>
        </w:rPr>
      </w:pPr>
      <w:r w:rsidRPr="00012278">
        <w:rPr>
          <w:i/>
          <w:iCs/>
          <w:szCs w:val="22"/>
          <w:lang w:val="sr-Latn-ME"/>
        </w:rPr>
        <w:t>Encefalopatija:</w:t>
      </w:r>
    </w:p>
    <w:p w14:paraId="39E7E82E" w14:textId="77777777" w:rsidR="006140B9" w:rsidRPr="00012278" w:rsidRDefault="006140B9" w:rsidP="002B4BD7">
      <w:pPr>
        <w:jc w:val="both"/>
        <w:rPr>
          <w:szCs w:val="22"/>
          <w:lang w:val="sr-Latn-ME"/>
        </w:rPr>
      </w:pPr>
      <w:r w:rsidRPr="00012278">
        <w:rPr>
          <w:iCs/>
          <w:szCs w:val="22"/>
          <w:lang w:val="sr-Latn-ME"/>
        </w:rPr>
        <w:t>Osim neželjenih reakcija opisanih u tabelama 4 i 5, a na osnovu gore navedene zbirne analize podataka o kliničkoj bezbjednosti iz 7 kliničkih studija</w:t>
      </w:r>
      <w:r w:rsidRPr="00012278">
        <w:rPr>
          <w:szCs w:val="22"/>
          <w:lang w:val="sr-Latn-ME"/>
        </w:rPr>
        <w:t xml:space="preserve">, encefalopatija je takođe bila povezana sa primjenom kapecitabina kao monoterapije sa incidencom manjom od 0.1%.  </w:t>
      </w:r>
    </w:p>
    <w:p w14:paraId="10C2F013" w14:textId="77777777" w:rsidR="006140B9" w:rsidRPr="00012278" w:rsidRDefault="006140B9" w:rsidP="002B4BD7">
      <w:pPr>
        <w:jc w:val="both"/>
        <w:rPr>
          <w:szCs w:val="22"/>
          <w:lang w:val="sr-Latn-ME"/>
        </w:rPr>
      </w:pPr>
    </w:p>
    <w:p w14:paraId="2180C7B2" w14:textId="77777777" w:rsidR="006140B9" w:rsidRPr="00012278" w:rsidRDefault="006140B9" w:rsidP="002B4BD7">
      <w:pPr>
        <w:jc w:val="both"/>
        <w:rPr>
          <w:i/>
          <w:szCs w:val="22"/>
          <w:lang w:val="sr-Latn-ME"/>
        </w:rPr>
      </w:pPr>
      <w:r w:rsidRPr="00012278">
        <w:rPr>
          <w:i/>
          <w:szCs w:val="22"/>
          <w:lang w:val="sr-Latn-ME"/>
        </w:rPr>
        <w:t>Izloženost izdrobljenim ili isječenim tabletama kapecitabina:</w:t>
      </w:r>
    </w:p>
    <w:p w14:paraId="6479B361" w14:textId="77777777" w:rsidR="006140B9" w:rsidRPr="00012278" w:rsidRDefault="006140B9" w:rsidP="002B4BD7">
      <w:pPr>
        <w:jc w:val="both"/>
        <w:rPr>
          <w:szCs w:val="22"/>
          <w:lang w:val="sr-Latn-ME"/>
        </w:rPr>
      </w:pPr>
      <w:r w:rsidRPr="00012278">
        <w:rPr>
          <w:szCs w:val="22"/>
          <w:lang w:val="sr-Latn-ME"/>
        </w:rPr>
        <w:t>U slučaju izloženosti izdrobljenim ili isječenim tabletama kapecitabina, zabilježene su sljedeće neželjene reakcije: iritacija očiju, otok očnih kapaka, kožni osip, glavobolja, parestezija, dijareja, mučnina, iritacija želuca i povraćanje.</w:t>
      </w:r>
    </w:p>
    <w:p w14:paraId="2BE38787" w14:textId="77777777" w:rsidR="006140B9" w:rsidRPr="00012278" w:rsidRDefault="006140B9" w:rsidP="006140B9">
      <w:pPr>
        <w:rPr>
          <w:szCs w:val="22"/>
          <w:lang w:val="sr-Latn-ME"/>
        </w:rPr>
      </w:pPr>
    </w:p>
    <w:p w14:paraId="52D3001D" w14:textId="77777777" w:rsidR="006140B9" w:rsidRPr="00012278" w:rsidRDefault="006140B9" w:rsidP="006140B9">
      <w:pPr>
        <w:rPr>
          <w:iCs/>
          <w:szCs w:val="22"/>
          <w:u w:val="single"/>
          <w:lang w:val="sr-Latn-ME"/>
        </w:rPr>
      </w:pPr>
      <w:r w:rsidRPr="00012278">
        <w:rPr>
          <w:iCs/>
          <w:szCs w:val="22"/>
          <w:u w:val="single"/>
          <w:lang w:val="sr-Latn-ME"/>
        </w:rPr>
        <w:t xml:space="preserve">Posebne grupe pacijenata </w:t>
      </w:r>
    </w:p>
    <w:p w14:paraId="03B8299D" w14:textId="77777777" w:rsidR="006140B9" w:rsidRPr="00012278" w:rsidRDefault="006140B9" w:rsidP="006140B9">
      <w:pPr>
        <w:rPr>
          <w:szCs w:val="22"/>
          <w:lang w:val="sr-Latn-ME"/>
        </w:rPr>
      </w:pPr>
    </w:p>
    <w:p w14:paraId="4B210DAD" w14:textId="77777777" w:rsidR="006140B9" w:rsidRPr="00012278" w:rsidRDefault="006140B9" w:rsidP="002B4BD7">
      <w:pPr>
        <w:jc w:val="both"/>
        <w:rPr>
          <w:i/>
          <w:iCs/>
          <w:szCs w:val="22"/>
          <w:lang w:val="sr-Latn-ME"/>
        </w:rPr>
      </w:pPr>
      <w:r w:rsidRPr="00012278">
        <w:rPr>
          <w:i/>
          <w:iCs/>
          <w:szCs w:val="22"/>
          <w:lang w:val="sr-Latn-ME"/>
        </w:rPr>
        <w:t>Stariji pacijenti (</w:t>
      </w:r>
      <w:r w:rsidRPr="00012278">
        <w:rPr>
          <w:bCs/>
          <w:i/>
          <w:iCs/>
          <w:szCs w:val="22"/>
          <w:lang w:val="sr-Latn-ME"/>
        </w:rPr>
        <w:t xml:space="preserve">vidjeti odeljak  </w:t>
      </w:r>
      <w:r w:rsidRPr="00012278">
        <w:rPr>
          <w:i/>
          <w:iCs/>
          <w:szCs w:val="22"/>
          <w:lang w:val="sr-Latn-ME"/>
        </w:rPr>
        <w:t>4.2):</w:t>
      </w:r>
    </w:p>
    <w:p w14:paraId="4E16950A" w14:textId="2D33DDCA" w:rsidR="006140B9" w:rsidRPr="00012278" w:rsidRDefault="006140B9" w:rsidP="002B4BD7">
      <w:pPr>
        <w:jc w:val="both"/>
        <w:rPr>
          <w:szCs w:val="22"/>
          <w:lang w:val="sr-Latn-ME"/>
        </w:rPr>
      </w:pPr>
      <w:r w:rsidRPr="00012278">
        <w:rPr>
          <w:iCs/>
          <w:szCs w:val="22"/>
          <w:lang w:val="sr-Latn-ME"/>
        </w:rPr>
        <w:t xml:space="preserve">Analiza bezbjednosnih podataka kod pacijenata </w:t>
      </w:r>
      <w:r w:rsidR="004A361B" w:rsidRPr="00012278">
        <w:rPr>
          <w:iCs/>
          <w:szCs w:val="22"/>
          <w:lang w:val="sr-Latn-ME"/>
        </w:rPr>
        <w:t xml:space="preserve">uzrasta </w:t>
      </w:r>
      <w:r w:rsidRPr="00012278">
        <w:rPr>
          <w:iCs/>
          <w:szCs w:val="22"/>
          <w:lang w:val="sr-Latn-ME"/>
        </w:rPr>
        <w:sym w:font="Symbol" w:char="F0B3"/>
      </w:r>
      <w:r w:rsidRPr="00012278">
        <w:rPr>
          <w:iCs/>
          <w:szCs w:val="22"/>
          <w:lang w:val="sr-Latn-ME"/>
        </w:rPr>
        <w:t xml:space="preserve">60 godina liječenih kapecitabinom kao monoterapijom i analiza podataka kod pacijenata liječenih kombinovanom terapijom kapecitabinom i docetakselom pokazala je povećanje incidence neželjenih reakcija na terapiju stepena 3 i 4 i ozbiljnih neželjenih reakcija na terapiju u poređenju sa pacijentima </w:t>
      </w:r>
      <w:r w:rsidR="004A361B" w:rsidRPr="00012278">
        <w:rPr>
          <w:iCs/>
          <w:szCs w:val="22"/>
          <w:lang w:val="sr-Latn-ME"/>
        </w:rPr>
        <w:t>uzrasta</w:t>
      </w:r>
      <w:r w:rsidRPr="00012278">
        <w:rPr>
          <w:iCs/>
          <w:szCs w:val="22"/>
          <w:lang w:val="sr-Latn-ME"/>
        </w:rPr>
        <w:t xml:space="preserve"> </w:t>
      </w:r>
      <w:r w:rsidRPr="00012278">
        <w:rPr>
          <w:szCs w:val="22"/>
          <w:lang w:val="sr-Latn-ME"/>
        </w:rPr>
        <w:t xml:space="preserve">&lt;60 godina. Pacijenti </w:t>
      </w:r>
      <w:r w:rsidR="004A361B" w:rsidRPr="00012278">
        <w:rPr>
          <w:szCs w:val="22"/>
          <w:lang w:val="sr-Latn-ME"/>
        </w:rPr>
        <w:t>uzrasta</w:t>
      </w:r>
      <w:r w:rsidRPr="00012278">
        <w:rPr>
          <w:szCs w:val="22"/>
          <w:lang w:val="sr-Latn-ME"/>
        </w:rPr>
        <w:t xml:space="preserve"> </w:t>
      </w:r>
      <w:r w:rsidRPr="00012278">
        <w:rPr>
          <w:iCs/>
          <w:szCs w:val="22"/>
          <w:lang w:val="sr-Latn-ME"/>
        </w:rPr>
        <w:sym w:font="Symbol" w:char="F0B3"/>
      </w:r>
      <w:r w:rsidRPr="00012278">
        <w:rPr>
          <w:iCs/>
          <w:szCs w:val="22"/>
          <w:lang w:val="sr-Latn-ME"/>
        </w:rPr>
        <w:t>60 godina liječeni kombinovanom terapijom kapecitabina i docetaksela imali su takođe i više ranijih prekida terapije zbog neželjenih reakcija</w:t>
      </w:r>
      <w:r w:rsidR="004A361B" w:rsidRPr="00012278">
        <w:rPr>
          <w:iCs/>
          <w:szCs w:val="22"/>
          <w:lang w:val="sr-Latn-ME"/>
        </w:rPr>
        <w:t>,</w:t>
      </w:r>
      <w:r w:rsidRPr="00012278">
        <w:rPr>
          <w:iCs/>
          <w:szCs w:val="22"/>
          <w:lang w:val="sr-Latn-ME"/>
        </w:rPr>
        <w:t xml:space="preserve"> u poređenju sa pacijentima </w:t>
      </w:r>
      <w:r w:rsidR="004A361B" w:rsidRPr="00012278">
        <w:rPr>
          <w:iCs/>
          <w:szCs w:val="22"/>
          <w:lang w:val="sr-Latn-ME"/>
        </w:rPr>
        <w:t>uzrasta</w:t>
      </w:r>
      <w:r w:rsidRPr="00012278">
        <w:rPr>
          <w:iCs/>
          <w:szCs w:val="22"/>
          <w:lang w:val="sr-Latn-ME"/>
        </w:rPr>
        <w:t xml:space="preserve"> </w:t>
      </w:r>
      <w:r w:rsidRPr="00012278">
        <w:rPr>
          <w:szCs w:val="22"/>
          <w:lang w:val="sr-Latn-ME"/>
        </w:rPr>
        <w:t>&lt;60 godina.</w:t>
      </w:r>
    </w:p>
    <w:p w14:paraId="53608FC0" w14:textId="77777777" w:rsidR="006140B9" w:rsidRPr="00012278" w:rsidRDefault="006140B9" w:rsidP="002B4BD7">
      <w:pPr>
        <w:jc w:val="both"/>
        <w:rPr>
          <w:iCs/>
          <w:szCs w:val="22"/>
          <w:lang w:val="sr-Latn-ME"/>
        </w:rPr>
      </w:pPr>
    </w:p>
    <w:p w14:paraId="3A77A0E7" w14:textId="39D06B25" w:rsidR="006140B9" w:rsidRPr="00012278" w:rsidRDefault="006140B9" w:rsidP="002B4BD7">
      <w:pPr>
        <w:jc w:val="both"/>
        <w:rPr>
          <w:szCs w:val="22"/>
          <w:lang w:val="sr-Latn-ME"/>
        </w:rPr>
      </w:pPr>
      <w:r w:rsidRPr="00012278">
        <w:rPr>
          <w:szCs w:val="22"/>
          <w:lang w:val="sr-Latn-ME"/>
        </w:rPr>
        <w:t>Rezultati meta-analize podataka iz 14 kliničkih studija sa preko 4700 pacijenata liječenih kapecitabinom pokazali su da je u svim analiziranim studijama povećanje godina starosti (</w:t>
      </w:r>
      <w:r w:rsidR="004A361B" w:rsidRPr="00012278">
        <w:rPr>
          <w:szCs w:val="22"/>
          <w:lang w:val="sr-Latn-ME"/>
        </w:rPr>
        <w:t>u intervalima od</w:t>
      </w:r>
      <w:r w:rsidRPr="00012278">
        <w:rPr>
          <w:szCs w:val="22"/>
          <w:lang w:val="sr-Latn-ME"/>
        </w:rPr>
        <w:t xml:space="preserve"> 10 godina) bilo statistički značajno povezano sa povećanim rizikom od nastanka sin</w:t>
      </w:r>
      <w:r w:rsidR="004A361B" w:rsidRPr="00012278">
        <w:rPr>
          <w:szCs w:val="22"/>
          <w:lang w:val="sr-Latn-ME"/>
        </w:rPr>
        <w:t>d</w:t>
      </w:r>
      <w:r w:rsidRPr="00012278">
        <w:rPr>
          <w:szCs w:val="22"/>
          <w:lang w:val="sr-Latn-ME"/>
        </w:rPr>
        <w:t xml:space="preserve">roma šaka-stopalo i dijareje, i sa smanjenim rizikom od nastanka neutropenije. </w:t>
      </w:r>
    </w:p>
    <w:p w14:paraId="1A6483D4" w14:textId="77777777" w:rsidR="006140B9" w:rsidRPr="00012278" w:rsidRDefault="006140B9" w:rsidP="002B4BD7">
      <w:pPr>
        <w:jc w:val="both"/>
        <w:rPr>
          <w:szCs w:val="22"/>
          <w:lang w:val="sr-Latn-ME"/>
        </w:rPr>
      </w:pPr>
    </w:p>
    <w:p w14:paraId="1D22218D" w14:textId="77777777" w:rsidR="006140B9" w:rsidRPr="00012278" w:rsidRDefault="006140B9" w:rsidP="002B4BD7">
      <w:pPr>
        <w:jc w:val="both"/>
        <w:rPr>
          <w:i/>
          <w:szCs w:val="22"/>
          <w:lang w:val="sr-Latn-ME"/>
        </w:rPr>
      </w:pPr>
      <w:r w:rsidRPr="00012278">
        <w:rPr>
          <w:i/>
          <w:szCs w:val="22"/>
          <w:lang w:val="sr-Latn-ME"/>
        </w:rPr>
        <w:t>Pol</w:t>
      </w:r>
    </w:p>
    <w:p w14:paraId="416DE747" w14:textId="77777777" w:rsidR="006140B9" w:rsidRPr="00012278" w:rsidRDefault="006140B9" w:rsidP="002B4BD7">
      <w:pPr>
        <w:jc w:val="both"/>
        <w:rPr>
          <w:i/>
          <w:szCs w:val="22"/>
          <w:lang w:val="sr-Latn-ME"/>
        </w:rPr>
      </w:pPr>
      <w:r w:rsidRPr="00012278">
        <w:rPr>
          <w:szCs w:val="22"/>
          <w:lang w:val="sr-Latn-ME"/>
        </w:rPr>
        <w:lastRenderedPageBreak/>
        <w:t>Rezultati meta-analize podataka iz 14 kliničkih studija sa preko 4700 pacijenata liječenih kapecitabinom pokazali su da je u svim analiziranim studijama ženski pol bio statistički značajno povezan sa povećanim rizikom od nastanka sindroma šaka-stopalo i dijareje, kao i sa smanjenim rizikom od nastanka neutropenije.</w:t>
      </w:r>
    </w:p>
    <w:p w14:paraId="304E6C74" w14:textId="77777777" w:rsidR="006140B9" w:rsidRPr="00012278" w:rsidRDefault="006140B9" w:rsidP="002B4BD7">
      <w:pPr>
        <w:jc w:val="both"/>
        <w:rPr>
          <w:i/>
          <w:szCs w:val="22"/>
          <w:lang w:val="sr-Latn-ME"/>
        </w:rPr>
      </w:pPr>
    </w:p>
    <w:p w14:paraId="4BA379ED" w14:textId="43A9985D" w:rsidR="006140B9" w:rsidRPr="00012278" w:rsidRDefault="006140B9" w:rsidP="002B4BD7">
      <w:pPr>
        <w:jc w:val="both"/>
        <w:rPr>
          <w:i/>
          <w:iCs/>
          <w:szCs w:val="22"/>
          <w:lang w:val="sr-Latn-ME"/>
        </w:rPr>
      </w:pPr>
      <w:r w:rsidRPr="00012278">
        <w:rPr>
          <w:i/>
          <w:iCs/>
          <w:szCs w:val="22"/>
          <w:lang w:val="sr-Latn-ME"/>
        </w:rPr>
        <w:t>Pacijenti sa oštećenjem</w:t>
      </w:r>
      <w:r w:rsidR="004A361B" w:rsidRPr="00012278">
        <w:rPr>
          <w:i/>
          <w:iCs/>
          <w:szCs w:val="22"/>
          <w:lang w:val="sr-Latn-ME"/>
        </w:rPr>
        <w:t xml:space="preserve"> funkcije</w:t>
      </w:r>
      <w:r w:rsidRPr="00012278">
        <w:rPr>
          <w:i/>
          <w:iCs/>
          <w:szCs w:val="22"/>
          <w:lang w:val="sr-Latn-ME"/>
        </w:rPr>
        <w:t xml:space="preserve"> bubrega (vidjeti </w:t>
      </w:r>
      <w:r w:rsidR="004A361B" w:rsidRPr="00012278">
        <w:rPr>
          <w:i/>
          <w:iCs/>
          <w:szCs w:val="22"/>
          <w:lang w:val="sr-Latn-ME"/>
        </w:rPr>
        <w:t xml:space="preserve">djelove </w:t>
      </w:r>
      <w:r w:rsidRPr="00012278">
        <w:rPr>
          <w:i/>
          <w:iCs/>
          <w:szCs w:val="22"/>
          <w:lang w:val="sr-Latn-ME"/>
        </w:rPr>
        <w:t>4.2, 4.4 i 5.2):</w:t>
      </w:r>
    </w:p>
    <w:p w14:paraId="5989667E" w14:textId="47287F20" w:rsidR="006140B9" w:rsidRPr="00012278" w:rsidRDefault="006140B9" w:rsidP="002B4BD7">
      <w:pPr>
        <w:jc w:val="both"/>
        <w:rPr>
          <w:szCs w:val="22"/>
          <w:lang w:val="sr-Latn-ME"/>
        </w:rPr>
      </w:pPr>
      <w:r w:rsidRPr="00012278">
        <w:rPr>
          <w:szCs w:val="22"/>
          <w:lang w:val="sr-Latn-ME"/>
        </w:rPr>
        <w:t xml:space="preserve">Analiza bezbjednosnih podataka kod pacijenata liječenih kapecitabinom kao monoterapijom (kolorektalni karcinom), sa postojećim oštećenjem bubrežne funkcije, pokazala je povećanje incidence nastanka </w:t>
      </w:r>
      <w:r w:rsidRPr="00012278">
        <w:rPr>
          <w:iCs/>
          <w:szCs w:val="22"/>
          <w:lang w:val="sr-Latn-ME"/>
        </w:rPr>
        <w:t xml:space="preserve">neželjenih reakcija na terapiju stepena 3 i 4, u poređenju sa pacijentima koji su imali normalnu bubrežnu funkciju </w:t>
      </w:r>
      <w:r w:rsidRPr="00012278">
        <w:rPr>
          <w:szCs w:val="22"/>
          <w:lang w:val="sr-Latn-ME"/>
        </w:rPr>
        <w:t>(36% kod pacijenata bez oštećenja bubre</w:t>
      </w:r>
      <w:r w:rsidR="004A361B" w:rsidRPr="00012278">
        <w:rPr>
          <w:szCs w:val="22"/>
          <w:lang w:val="sr-Latn-ME"/>
        </w:rPr>
        <w:t>žne funkcije</w:t>
      </w:r>
      <w:r w:rsidRPr="00012278">
        <w:rPr>
          <w:szCs w:val="22"/>
          <w:lang w:val="sr-Latn-ME"/>
        </w:rPr>
        <w:t xml:space="preserve"> n=268, nasuprot 41% kod pacijenata sa blagim oštećenjem </w:t>
      </w:r>
      <w:r w:rsidR="004A361B" w:rsidRPr="00012278">
        <w:rPr>
          <w:szCs w:val="22"/>
          <w:lang w:val="sr-Latn-ME"/>
        </w:rPr>
        <w:t>bubrežne funkcije</w:t>
      </w:r>
      <w:r w:rsidR="00A04FAC" w:rsidRPr="00012278">
        <w:rPr>
          <w:szCs w:val="22"/>
          <w:lang w:val="sr-Latn-ME"/>
        </w:rPr>
        <w:t xml:space="preserve"> </w:t>
      </w:r>
      <w:r w:rsidRPr="00012278">
        <w:rPr>
          <w:szCs w:val="22"/>
          <w:lang w:val="sr-Latn-ME"/>
        </w:rPr>
        <w:t>n=257 i 54% kod pacijenata sa umjerenim oštećenjem</w:t>
      </w:r>
      <w:r w:rsidR="00A04FAC" w:rsidRPr="00012278">
        <w:rPr>
          <w:szCs w:val="22"/>
          <w:lang w:val="sr-Latn-ME"/>
        </w:rPr>
        <w:t xml:space="preserve"> bubrežne funkcije</w:t>
      </w:r>
      <w:r w:rsidRPr="00012278">
        <w:rPr>
          <w:szCs w:val="22"/>
          <w:lang w:val="sr-Latn-ME"/>
        </w:rPr>
        <w:t xml:space="preserve"> n=59) (vidjeti </w:t>
      </w:r>
      <w:r w:rsidR="00A04FAC" w:rsidRPr="00012278">
        <w:rPr>
          <w:szCs w:val="22"/>
          <w:lang w:val="sr-Latn-ME"/>
        </w:rPr>
        <w:t>dio</w:t>
      </w:r>
      <w:r w:rsidRPr="00012278">
        <w:rPr>
          <w:szCs w:val="22"/>
          <w:lang w:val="sr-Latn-ME"/>
        </w:rPr>
        <w:t xml:space="preserve"> 5.2). Pacijenti sa umjerenim oštećenjem bubrežne funkcije </w:t>
      </w:r>
      <w:r w:rsidR="00A04FAC" w:rsidRPr="00012278">
        <w:rPr>
          <w:szCs w:val="22"/>
          <w:lang w:val="sr-Latn-ME"/>
        </w:rPr>
        <w:t xml:space="preserve">imali </w:t>
      </w:r>
      <w:r w:rsidRPr="00012278">
        <w:rPr>
          <w:szCs w:val="22"/>
          <w:lang w:val="sr-Latn-ME"/>
        </w:rPr>
        <w:t>su povećan stepen smanjenja doze (44%) u odnosu na 33% i 32% kod pacijenata bez ili sa blagim oštećenjem bubrežne funkcije, kao i povećanu incidencu ranijeg prekida terapije (21% tokom prva dva ciklusa) u odnosu na 5% i 8% kod pacijenata bez ili sa blagim oštećenjem bubrežne funkcije.</w:t>
      </w:r>
    </w:p>
    <w:p w14:paraId="072DD11C" w14:textId="77777777" w:rsidR="006140B9" w:rsidRPr="00012278" w:rsidRDefault="006140B9" w:rsidP="002B4BD7">
      <w:pPr>
        <w:jc w:val="both"/>
        <w:rPr>
          <w:szCs w:val="22"/>
          <w:lang w:val="sr-Latn-ME"/>
        </w:rPr>
      </w:pPr>
    </w:p>
    <w:p w14:paraId="03BBD0C7" w14:textId="77777777" w:rsidR="006140B9" w:rsidRPr="00012278" w:rsidRDefault="006140B9" w:rsidP="006140B9">
      <w:pPr>
        <w:rPr>
          <w:szCs w:val="22"/>
          <w:u w:val="single"/>
          <w:lang w:val="sr-Latn-ME"/>
        </w:rPr>
      </w:pPr>
      <w:r w:rsidRPr="00012278">
        <w:rPr>
          <w:szCs w:val="22"/>
          <w:u w:val="single"/>
          <w:lang w:val="sr-Latn-ME"/>
        </w:rPr>
        <w:t>Prijavljivanje sumnji na neželjena dejstva</w:t>
      </w:r>
    </w:p>
    <w:p w14:paraId="57451F35" w14:textId="77777777" w:rsidR="006140B9" w:rsidRPr="00012278" w:rsidRDefault="006140B9" w:rsidP="006140B9">
      <w:pPr>
        <w:rPr>
          <w:szCs w:val="22"/>
          <w:lang w:val="sr-Latn-ME"/>
        </w:rPr>
      </w:pPr>
    </w:p>
    <w:p w14:paraId="11CB27F2" w14:textId="77777777" w:rsidR="00F5150F" w:rsidRPr="00012278" w:rsidRDefault="00F5150F" w:rsidP="00F5150F">
      <w:pPr>
        <w:spacing w:after="200"/>
        <w:jc w:val="both"/>
        <w:rPr>
          <w:rFonts w:eastAsia="Calibri"/>
          <w:szCs w:val="22"/>
          <w:lang w:val="sr-Latn-ME"/>
        </w:rPr>
      </w:pPr>
      <w:r w:rsidRPr="00012278">
        <w:rPr>
          <w:rFonts w:eastAsia="Calibri"/>
          <w:szCs w:val="22"/>
          <w:lang w:val="sr-Latn-ME"/>
        </w:rPr>
        <w:t>Prijavljivanje neželjenih dejstava nakon dobijanja dozvole je od velikog značaja jer obezbjeđuje kontinuirano praćenje odnosa korist/rizik primjene lijeka. Zdravstveni radnici treba da prijave svaku sumnju na neželjeno dejstvo ovog lijeka Institutu za ljekove i medicinska sredstva (CInMED):</w:t>
      </w:r>
    </w:p>
    <w:p w14:paraId="39C833C6" w14:textId="77777777" w:rsidR="00F5150F" w:rsidRPr="00012278" w:rsidRDefault="00F5150F" w:rsidP="00F5150F">
      <w:pPr>
        <w:pStyle w:val="NoSpacing"/>
        <w:jc w:val="both"/>
        <w:rPr>
          <w:rFonts w:ascii="Times New Roman" w:eastAsia="Calibri" w:hAnsi="Times New Roman"/>
          <w:lang w:val="sr-Latn-ME"/>
        </w:rPr>
      </w:pPr>
      <w:r w:rsidRPr="00012278">
        <w:rPr>
          <w:rFonts w:ascii="Times New Roman" w:eastAsia="Calibri" w:hAnsi="Times New Roman"/>
          <w:lang w:val="sr-Latn-ME"/>
        </w:rPr>
        <w:t xml:space="preserve">Institut za ljekove i medicinska sredstva </w:t>
      </w:r>
    </w:p>
    <w:p w14:paraId="507709FF" w14:textId="77777777" w:rsidR="00F5150F" w:rsidRPr="00012278" w:rsidRDefault="00F5150F" w:rsidP="00F5150F">
      <w:pPr>
        <w:pStyle w:val="NoSpacing"/>
        <w:jc w:val="both"/>
        <w:rPr>
          <w:rFonts w:ascii="Times New Roman" w:eastAsia="Calibri" w:hAnsi="Times New Roman"/>
          <w:lang w:val="sr-Latn-ME"/>
        </w:rPr>
      </w:pPr>
      <w:r w:rsidRPr="00012278">
        <w:rPr>
          <w:rFonts w:ascii="Times New Roman" w:eastAsia="Calibri" w:hAnsi="Times New Roman"/>
          <w:lang w:val="sr-Latn-ME"/>
        </w:rPr>
        <w:t>Odjeljenje za farmakovigilancu</w:t>
      </w:r>
    </w:p>
    <w:p w14:paraId="01C75807" w14:textId="77777777" w:rsidR="00F5150F" w:rsidRPr="00012278" w:rsidRDefault="00F5150F" w:rsidP="00F5150F">
      <w:pPr>
        <w:pStyle w:val="NoSpacing"/>
        <w:jc w:val="both"/>
        <w:rPr>
          <w:rFonts w:ascii="Times New Roman" w:eastAsia="Calibri" w:hAnsi="Times New Roman"/>
          <w:lang w:val="sr-Latn-ME"/>
        </w:rPr>
      </w:pPr>
      <w:r w:rsidRPr="00012278">
        <w:rPr>
          <w:rFonts w:ascii="Times New Roman" w:eastAsia="Calibri" w:hAnsi="Times New Roman"/>
          <w:lang w:val="sr-Latn-ME"/>
        </w:rPr>
        <w:t>Bulevar Ivana Crnojevića 64a, 81000 Podgorica</w:t>
      </w:r>
    </w:p>
    <w:p w14:paraId="5788B698" w14:textId="77777777" w:rsidR="00F5150F" w:rsidRPr="00012278" w:rsidRDefault="00F5150F" w:rsidP="00F5150F">
      <w:pPr>
        <w:pStyle w:val="NoSpacing"/>
        <w:rPr>
          <w:rFonts w:ascii="Times New Roman" w:eastAsia="Calibri" w:hAnsi="Times New Roman"/>
          <w:lang w:val="sr-Latn-ME"/>
        </w:rPr>
      </w:pPr>
    </w:p>
    <w:p w14:paraId="32D1CBF3" w14:textId="77777777" w:rsidR="00F5150F" w:rsidRPr="00012278" w:rsidRDefault="00F5150F" w:rsidP="00F5150F">
      <w:pPr>
        <w:pStyle w:val="NoSpacing"/>
        <w:jc w:val="both"/>
        <w:rPr>
          <w:rFonts w:ascii="Times New Roman" w:eastAsia="Calibri" w:hAnsi="Times New Roman"/>
          <w:lang w:val="sr-Latn-ME"/>
        </w:rPr>
      </w:pPr>
      <w:r w:rsidRPr="00012278">
        <w:rPr>
          <w:rFonts w:ascii="Times New Roman" w:eastAsia="Calibri" w:hAnsi="Times New Roman"/>
          <w:lang w:val="sr-Latn-ME"/>
        </w:rPr>
        <w:t>tel: +382 (0) 20 310 280</w:t>
      </w:r>
    </w:p>
    <w:p w14:paraId="3589F4E2" w14:textId="77777777" w:rsidR="00F5150F" w:rsidRPr="00012278" w:rsidRDefault="00F5150F" w:rsidP="00F5150F">
      <w:pPr>
        <w:pStyle w:val="NoSpacing"/>
        <w:jc w:val="both"/>
        <w:rPr>
          <w:rFonts w:ascii="Times New Roman" w:eastAsia="Calibri" w:hAnsi="Times New Roman"/>
          <w:lang w:val="sr-Latn-ME"/>
        </w:rPr>
      </w:pPr>
      <w:r w:rsidRPr="00012278">
        <w:rPr>
          <w:rFonts w:ascii="Times New Roman" w:eastAsia="Calibri" w:hAnsi="Times New Roman"/>
          <w:lang w:val="sr-Latn-ME"/>
        </w:rPr>
        <w:t>fax: +382 (0) 20 310 581</w:t>
      </w:r>
    </w:p>
    <w:p w14:paraId="08844025" w14:textId="77777777" w:rsidR="00F5150F" w:rsidRPr="00012278" w:rsidRDefault="000F0F1A" w:rsidP="00F5150F">
      <w:pPr>
        <w:pStyle w:val="NoSpacing"/>
        <w:jc w:val="both"/>
        <w:rPr>
          <w:rFonts w:ascii="Times New Roman" w:eastAsia="Calibri" w:hAnsi="Times New Roman"/>
          <w:lang w:val="sr-Latn-ME"/>
        </w:rPr>
      </w:pPr>
      <w:hyperlink r:id="rId7" w:history="1">
        <w:r w:rsidR="00F5150F" w:rsidRPr="00012278">
          <w:rPr>
            <w:rStyle w:val="Hyperlink"/>
            <w:rFonts w:ascii="Times New Roman" w:eastAsia="Calibri" w:hAnsi="Times New Roman"/>
            <w:lang w:val="sr-Latn-ME"/>
          </w:rPr>
          <w:t>www.cinmed.me</w:t>
        </w:r>
      </w:hyperlink>
    </w:p>
    <w:p w14:paraId="549D8E34" w14:textId="77777777" w:rsidR="00F5150F" w:rsidRPr="00012278" w:rsidRDefault="000F0F1A" w:rsidP="00F5150F">
      <w:pPr>
        <w:pStyle w:val="NoSpacing"/>
        <w:jc w:val="both"/>
        <w:rPr>
          <w:rFonts w:ascii="Times New Roman" w:eastAsia="Calibri" w:hAnsi="Times New Roman"/>
          <w:color w:val="0000FF"/>
          <w:u w:val="single"/>
          <w:lang w:val="sr-Latn-ME"/>
        </w:rPr>
      </w:pPr>
      <w:hyperlink r:id="rId8" w:history="1">
        <w:r w:rsidR="00F5150F" w:rsidRPr="00012278">
          <w:rPr>
            <w:rStyle w:val="Hyperlink"/>
            <w:rFonts w:ascii="Times New Roman" w:eastAsia="Calibri" w:hAnsi="Times New Roman"/>
            <w:lang w:val="sr-Latn-ME"/>
          </w:rPr>
          <w:t>nezeljenadejstva@cinmed.me</w:t>
        </w:r>
      </w:hyperlink>
    </w:p>
    <w:p w14:paraId="3B6534A9" w14:textId="77777777" w:rsidR="00F5150F" w:rsidRPr="00012278" w:rsidRDefault="00F5150F" w:rsidP="00F5150F">
      <w:pPr>
        <w:pStyle w:val="NoSpacing"/>
        <w:jc w:val="both"/>
        <w:rPr>
          <w:rFonts w:ascii="Times New Roman" w:eastAsia="Calibri" w:hAnsi="Times New Roman"/>
          <w:lang w:val="sr-Latn-ME"/>
        </w:rPr>
      </w:pPr>
      <w:r w:rsidRPr="00012278">
        <w:rPr>
          <w:rFonts w:ascii="Times New Roman" w:eastAsia="Calibri" w:hAnsi="Times New Roman"/>
          <w:lang w:val="sr-Latn-ME"/>
        </w:rPr>
        <w:t>putem IS zdravstvene zaštite</w:t>
      </w:r>
    </w:p>
    <w:p w14:paraId="34A21415" w14:textId="77777777" w:rsidR="00F026BC" w:rsidRPr="00012278" w:rsidRDefault="00F026BC" w:rsidP="00F026BC">
      <w:pPr>
        <w:tabs>
          <w:tab w:val="clear" w:pos="567"/>
        </w:tabs>
        <w:spacing w:line="240" w:lineRule="auto"/>
        <w:jc w:val="both"/>
        <w:rPr>
          <w:rFonts w:eastAsia="Calibri"/>
          <w:szCs w:val="22"/>
          <w:lang w:val="sr-Latn-ME"/>
        </w:rPr>
      </w:pPr>
      <w:r w:rsidRPr="00012278">
        <w:rPr>
          <w:rFonts w:eastAsia="Calibri"/>
          <w:szCs w:val="22"/>
          <w:lang w:val="sr-Latn-ME"/>
        </w:rPr>
        <w:t>QR kod za online prijavu sumnje na neželjeno dejstvo lijeka:</w:t>
      </w:r>
    </w:p>
    <w:p w14:paraId="48E9378E" w14:textId="77777777" w:rsidR="00F026BC" w:rsidRPr="00012278" w:rsidRDefault="00F026BC" w:rsidP="00F026BC">
      <w:pPr>
        <w:tabs>
          <w:tab w:val="clear" w:pos="567"/>
        </w:tabs>
        <w:spacing w:line="240" w:lineRule="auto"/>
        <w:jc w:val="both"/>
        <w:rPr>
          <w:rFonts w:eastAsia="Calibri"/>
          <w:szCs w:val="22"/>
          <w:lang w:val="sr-Latn-ME"/>
        </w:rPr>
      </w:pPr>
    </w:p>
    <w:p w14:paraId="360518D4" w14:textId="77777777" w:rsidR="00F026BC" w:rsidRPr="00012278" w:rsidRDefault="00F026BC" w:rsidP="00F5150F">
      <w:pPr>
        <w:pStyle w:val="NoSpacing"/>
        <w:jc w:val="both"/>
        <w:rPr>
          <w:rFonts w:ascii="Times New Roman" w:eastAsia="Calibri" w:hAnsi="Times New Roman"/>
          <w:lang w:val="sr-Latn-ME"/>
        </w:rPr>
      </w:pPr>
      <w:r w:rsidRPr="00012278">
        <w:rPr>
          <w:rFonts w:ascii="Times New Roman" w:hAnsi="Times New Roman"/>
          <w:noProof/>
        </w:rPr>
        <w:drawing>
          <wp:inline distT="0" distB="0" distL="0" distR="0" wp14:anchorId="43901CFA" wp14:editId="0AB47758">
            <wp:extent cx="971550" cy="971550"/>
            <wp:effectExtent l="0" t="0" r="0" b="0"/>
            <wp:docPr id="2" name="Picture 2" descr="https://cinmed.me/wp-content/uploads/2022/11/Online-prijava-NDL-QR-code-300x3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nmed.me/wp-content/uploads/2022/11/Online-prijava-NDL-QR-code-300x3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7C965979" w14:textId="77777777" w:rsidR="006140B9" w:rsidRPr="00012278" w:rsidRDefault="006140B9" w:rsidP="006140B9">
      <w:pPr>
        <w:rPr>
          <w:szCs w:val="22"/>
          <w:lang w:val="sr-Latn-ME"/>
        </w:rPr>
      </w:pPr>
    </w:p>
    <w:p w14:paraId="2EF37CB5" w14:textId="77777777" w:rsidR="006140B9" w:rsidRPr="00012278" w:rsidRDefault="006140B9" w:rsidP="005112A3">
      <w:pPr>
        <w:pStyle w:val="Heading1"/>
        <w:rPr>
          <w:szCs w:val="22"/>
        </w:rPr>
      </w:pPr>
      <w:r w:rsidRPr="00012278">
        <w:rPr>
          <w:szCs w:val="22"/>
        </w:rPr>
        <w:t>4.9.     Predoziranje</w:t>
      </w:r>
    </w:p>
    <w:p w14:paraId="4E03E812" w14:textId="77777777" w:rsidR="006140B9" w:rsidRPr="00012278" w:rsidRDefault="006140B9" w:rsidP="006140B9">
      <w:pPr>
        <w:rPr>
          <w:szCs w:val="22"/>
          <w:lang w:val="sr-Latn-ME"/>
        </w:rPr>
      </w:pPr>
    </w:p>
    <w:p w14:paraId="06EADCD9" w14:textId="77777777" w:rsidR="00A04FAC" w:rsidRPr="00012278" w:rsidRDefault="00A04FAC" w:rsidP="002B4BD7">
      <w:pPr>
        <w:jc w:val="both"/>
        <w:rPr>
          <w:szCs w:val="22"/>
          <w:u w:val="single"/>
          <w:lang w:val="sr-Latn-ME"/>
        </w:rPr>
      </w:pPr>
      <w:r w:rsidRPr="00012278">
        <w:rPr>
          <w:szCs w:val="22"/>
          <w:u w:val="single"/>
          <w:lang w:val="sr-Latn-ME"/>
        </w:rPr>
        <w:t>Simptomi</w:t>
      </w:r>
    </w:p>
    <w:p w14:paraId="7B27304B" w14:textId="77777777" w:rsidR="00A04FAC" w:rsidRPr="00012278" w:rsidRDefault="006140B9" w:rsidP="002B4BD7">
      <w:pPr>
        <w:jc w:val="both"/>
        <w:rPr>
          <w:szCs w:val="22"/>
          <w:lang w:val="sr-Latn-ME"/>
        </w:rPr>
      </w:pPr>
      <w:r w:rsidRPr="00012278">
        <w:rPr>
          <w:szCs w:val="22"/>
          <w:lang w:val="sr-Latn-ME"/>
        </w:rPr>
        <w:t xml:space="preserve">Akutno predoziranje manifestuje se: mučninom, povraćanjem, dijarejom, mukozitisom, gastrointestinalnom iritacijom i krvarenjem, depresijom kostne srži. </w:t>
      </w:r>
    </w:p>
    <w:p w14:paraId="2974A7AE" w14:textId="77777777" w:rsidR="00A04FAC" w:rsidRPr="00012278" w:rsidRDefault="00A04FAC" w:rsidP="002B4BD7">
      <w:pPr>
        <w:jc w:val="both"/>
        <w:rPr>
          <w:szCs w:val="22"/>
          <w:lang w:val="sr-Latn-ME"/>
        </w:rPr>
      </w:pPr>
    </w:p>
    <w:p w14:paraId="7B51908E" w14:textId="77777777" w:rsidR="00A04FAC" w:rsidRPr="00012278" w:rsidRDefault="00A04FAC" w:rsidP="002B4BD7">
      <w:pPr>
        <w:jc w:val="both"/>
        <w:rPr>
          <w:szCs w:val="22"/>
          <w:u w:val="single"/>
          <w:lang w:val="sr-Latn-ME"/>
        </w:rPr>
      </w:pPr>
      <w:r w:rsidRPr="00012278">
        <w:rPr>
          <w:szCs w:val="22"/>
          <w:u w:val="single"/>
          <w:lang w:val="sr-Latn-ME"/>
        </w:rPr>
        <w:t>Liječenje</w:t>
      </w:r>
    </w:p>
    <w:p w14:paraId="03238955" w14:textId="77777777" w:rsidR="006140B9" w:rsidRPr="00012278" w:rsidRDefault="006140B9" w:rsidP="002B4BD7">
      <w:pPr>
        <w:jc w:val="both"/>
        <w:rPr>
          <w:szCs w:val="22"/>
          <w:lang w:val="sr-Latn-ME"/>
        </w:rPr>
      </w:pPr>
      <w:r w:rsidRPr="00012278">
        <w:rPr>
          <w:szCs w:val="22"/>
          <w:lang w:val="sr-Latn-ME"/>
        </w:rPr>
        <w:t xml:space="preserve">U medikamentozno zbrinjavanje slučajeva predoziranja spadaju sve uobičajene terapijske i potporne medicinske intervencije sa ciljem da se koriguju kliničke manifestacije i spriječi njihova eventualna komplikacija. </w:t>
      </w:r>
    </w:p>
    <w:p w14:paraId="05582B2B" w14:textId="77777777" w:rsidR="006140B9" w:rsidRPr="00012278" w:rsidRDefault="006140B9" w:rsidP="006140B9">
      <w:pPr>
        <w:rPr>
          <w:szCs w:val="22"/>
          <w:lang w:val="sr-Latn-ME"/>
        </w:rPr>
      </w:pPr>
    </w:p>
    <w:p w14:paraId="227CC753" w14:textId="77777777" w:rsidR="006140B9" w:rsidRPr="00012278" w:rsidRDefault="006140B9" w:rsidP="006140B9">
      <w:pPr>
        <w:rPr>
          <w:szCs w:val="22"/>
          <w:lang w:val="sr-Latn-ME"/>
        </w:rPr>
      </w:pPr>
    </w:p>
    <w:p w14:paraId="27F77630" w14:textId="77777777" w:rsidR="006140B9" w:rsidRPr="00012278" w:rsidRDefault="006140B9" w:rsidP="006140B9">
      <w:pPr>
        <w:rPr>
          <w:b/>
          <w:bCs/>
          <w:szCs w:val="22"/>
          <w:lang w:val="sr-Latn-ME"/>
        </w:rPr>
      </w:pPr>
      <w:r w:rsidRPr="00012278">
        <w:rPr>
          <w:b/>
          <w:bCs/>
          <w:szCs w:val="22"/>
          <w:lang w:val="sr-Latn-ME"/>
        </w:rPr>
        <w:t>5.       FARMAKOLOŠKI PODACI</w:t>
      </w:r>
    </w:p>
    <w:p w14:paraId="5B7DDF1F" w14:textId="77777777" w:rsidR="006140B9" w:rsidRPr="00012278" w:rsidRDefault="006140B9" w:rsidP="006140B9">
      <w:pPr>
        <w:rPr>
          <w:b/>
          <w:bCs/>
          <w:szCs w:val="22"/>
          <w:lang w:val="sr-Latn-ME"/>
        </w:rPr>
      </w:pPr>
    </w:p>
    <w:p w14:paraId="06E59BFE" w14:textId="77777777" w:rsidR="006140B9" w:rsidRPr="00012278" w:rsidRDefault="006140B9" w:rsidP="005112A3">
      <w:pPr>
        <w:pStyle w:val="Heading1"/>
        <w:rPr>
          <w:szCs w:val="22"/>
        </w:rPr>
      </w:pPr>
      <w:r w:rsidRPr="00012278">
        <w:rPr>
          <w:szCs w:val="22"/>
        </w:rPr>
        <w:t>5.1.    Farmakodinamski podaci</w:t>
      </w:r>
    </w:p>
    <w:p w14:paraId="319E1479" w14:textId="77777777" w:rsidR="006140B9" w:rsidRPr="00012278" w:rsidRDefault="006140B9" w:rsidP="006140B9">
      <w:pPr>
        <w:rPr>
          <w:b/>
          <w:bCs/>
          <w:szCs w:val="22"/>
          <w:lang w:val="sr-Latn-ME"/>
        </w:rPr>
      </w:pPr>
    </w:p>
    <w:p w14:paraId="18843E73" w14:textId="77777777" w:rsidR="006140B9" w:rsidRPr="00012278" w:rsidRDefault="006140B9" w:rsidP="006140B9">
      <w:pPr>
        <w:rPr>
          <w:bCs/>
          <w:szCs w:val="22"/>
          <w:lang w:val="sr-Latn-ME"/>
        </w:rPr>
      </w:pPr>
      <w:r w:rsidRPr="00012278">
        <w:rPr>
          <w:bCs/>
          <w:szCs w:val="22"/>
          <w:lang w:val="sr-Latn-ME"/>
        </w:rPr>
        <w:lastRenderedPageBreak/>
        <w:t xml:space="preserve">Farmakoterapijska grupa: </w:t>
      </w:r>
      <w:r w:rsidRPr="00012278">
        <w:rPr>
          <w:szCs w:val="22"/>
          <w:lang w:val="sr-Latn-ME"/>
        </w:rPr>
        <w:t>citostatik (antimetabolit)</w:t>
      </w:r>
    </w:p>
    <w:p w14:paraId="245C891C" w14:textId="77777777" w:rsidR="006140B9" w:rsidRPr="00012278" w:rsidRDefault="006140B9" w:rsidP="006140B9">
      <w:pPr>
        <w:rPr>
          <w:bCs/>
          <w:szCs w:val="22"/>
          <w:lang w:val="sr-Latn-ME"/>
        </w:rPr>
      </w:pPr>
    </w:p>
    <w:p w14:paraId="0D04CE04" w14:textId="77777777" w:rsidR="006140B9" w:rsidRPr="00012278" w:rsidRDefault="006140B9" w:rsidP="006140B9">
      <w:pPr>
        <w:rPr>
          <w:szCs w:val="22"/>
          <w:lang w:val="sr-Latn-ME"/>
        </w:rPr>
      </w:pPr>
      <w:r w:rsidRPr="00012278">
        <w:rPr>
          <w:bCs/>
          <w:szCs w:val="22"/>
          <w:lang w:val="sr-Latn-ME"/>
        </w:rPr>
        <w:t xml:space="preserve">ATC kod: </w:t>
      </w:r>
      <w:r w:rsidRPr="00012278">
        <w:rPr>
          <w:szCs w:val="22"/>
          <w:lang w:val="sr-Latn-ME"/>
        </w:rPr>
        <w:t>L01BC06</w:t>
      </w:r>
    </w:p>
    <w:p w14:paraId="0C6036F0" w14:textId="77777777" w:rsidR="006140B9" w:rsidRPr="00012278" w:rsidRDefault="006140B9" w:rsidP="006140B9">
      <w:pPr>
        <w:rPr>
          <w:szCs w:val="22"/>
          <w:lang w:val="sr-Latn-ME"/>
        </w:rPr>
      </w:pPr>
    </w:p>
    <w:p w14:paraId="6228539A" w14:textId="6DFD1E7E" w:rsidR="006140B9" w:rsidRPr="00012278" w:rsidRDefault="006140B9" w:rsidP="002B4BD7">
      <w:pPr>
        <w:jc w:val="both"/>
        <w:rPr>
          <w:szCs w:val="22"/>
          <w:lang w:val="sr-Latn-ME"/>
        </w:rPr>
      </w:pPr>
      <w:r w:rsidRPr="00012278">
        <w:rPr>
          <w:szCs w:val="22"/>
          <w:lang w:val="sr-Latn-ME"/>
        </w:rPr>
        <w:t xml:space="preserve">Kapecitabin je necitotoksični fluoropirimidin karbamat koji funkcioniše kao oralno primijenjeni prekursor citotoksičnog 5-fluorouracila (5-FU). Kapecitabin se aktivira preko nekoliko enzimskih koraka (vidjeti </w:t>
      </w:r>
      <w:r w:rsidR="007517C0" w:rsidRPr="00012278">
        <w:rPr>
          <w:szCs w:val="22"/>
          <w:lang w:val="sr-Latn-ME"/>
        </w:rPr>
        <w:t>dio</w:t>
      </w:r>
      <w:r w:rsidRPr="00012278">
        <w:rPr>
          <w:szCs w:val="22"/>
          <w:lang w:val="sr-Latn-ME"/>
        </w:rPr>
        <w:t xml:space="preserve"> 5.2). Enzim koji je uključen u finalnu konverziju</w:t>
      </w:r>
      <w:r w:rsidR="007517C0" w:rsidRPr="00012278">
        <w:rPr>
          <w:szCs w:val="22"/>
          <w:lang w:val="sr-Latn-ME"/>
        </w:rPr>
        <w:t xml:space="preserve"> u</w:t>
      </w:r>
      <w:r w:rsidRPr="00012278">
        <w:rPr>
          <w:szCs w:val="22"/>
          <w:lang w:val="sr-Latn-ME"/>
        </w:rPr>
        <w:t xml:space="preserve"> 5-FU, timidin fosforilaza (ThyPase), nalazi se u tumorskom tkivu, ali i u zdravim tkivima, iako u nižim nivoima. U ksenograft modelu humanog karcinoma kapecitabin je pokazao sinergističko dejstvo u kombinaciji sa docetakselom, što se može dovesti u vezu sa povećanjem aktivnosti timidin fosforilaze uzrokovane docetakselom. </w:t>
      </w:r>
    </w:p>
    <w:p w14:paraId="401C208C" w14:textId="77777777" w:rsidR="006140B9" w:rsidRPr="00012278" w:rsidRDefault="006140B9" w:rsidP="002B4BD7">
      <w:pPr>
        <w:jc w:val="both"/>
        <w:rPr>
          <w:szCs w:val="22"/>
          <w:lang w:val="sr-Latn-ME"/>
        </w:rPr>
      </w:pPr>
    </w:p>
    <w:p w14:paraId="12198064" w14:textId="2287C1FC" w:rsidR="006140B9" w:rsidRPr="00012278" w:rsidRDefault="006140B9" w:rsidP="002B4BD7">
      <w:pPr>
        <w:jc w:val="both"/>
        <w:rPr>
          <w:szCs w:val="22"/>
          <w:lang w:val="sr-Latn-ME"/>
        </w:rPr>
      </w:pPr>
      <w:r w:rsidRPr="00012278">
        <w:rPr>
          <w:szCs w:val="22"/>
          <w:lang w:val="sr-Latn-ME"/>
        </w:rPr>
        <w:t>Postoje dokazi da u anaboličkom putu metabolizma 5-FU blokira  reakciju</w:t>
      </w:r>
      <w:r w:rsidR="007517C0" w:rsidRPr="00012278">
        <w:rPr>
          <w:szCs w:val="22"/>
          <w:lang w:val="sr-Latn-ME"/>
        </w:rPr>
        <w:t xml:space="preserve"> metilacije</w:t>
      </w:r>
      <w:r w:rsidRPr="00012278">
        <w:rPr>
          <w:szCs w:val="22"/>
          <w:lang w:val="sr-Latn-ME"/>
        </w:rPr>
        <w:t xml:space="preserve"> dezoksiuridilične kiseline u timidiličnu kiselinu, na taj način utičući na sintezu dezoksiribonukleinske kiseline (DNK). Inkorporacija 5-FU dovodi i do inhibicije sinteze RNK i proteina. Budući da su DNK i RNK neophodne za ćelijsku diobu i rast, dejstvo 5-FU može da dovede do timidinske deficijencije koja izaziva neuravnoteženi rast i smrt ćelija. Dejstvo deprivacije DNK i RNK najizraženije je na onim ćelijama koje proliferišu brže i koje brže metabolizuju 5-FU.</w:t>
      </w:r>
    </w:p>
    <w:p w14:paraId="775F3485" w14:textId="77777777" w:rsidR="006140B9" w:rsidRPr="00012278" w:rsidRDefault="006140B9" w:rsidP="002B4BD7">
      <w:pPr>
        <w:jc w:val="both"/>
        <w:rPr>
          <w:szCs w:val="22"/>
          <w:lang w:val="sr-Latn-ME"/>
        </w:rPr>
      </w:pPr>
    </w:p>
    <w:p w14:paraId="1A6EDB5D" w14:textId="77777777" w:rsidR="006140B9" w:rsidRPr="00012278" w:rsidRDefault="006140B9" w:rsidP="006140B9">
      <w:pPr>
        <w:rPr>
          <w:szCs w:val="22"/>
          <w:u w:val="single"/>
          <w:lang w:val="sr-Latn-ME"/>
        </w:rPr>
      </w:pPr>
      <w:r w:rsidRPr="00012278">
        <w:rPr>
          <w:szCs w:val="22"/>
          <w:u w:val="single"/>
          <w:lang w:val="sr-Latn-ME"/>
        </w:rPr>
        <w:t>Karcinom kolona i kolorektalni karcinom:</w:t>
      </w:r>
    </w:p>
    <w:p w14:paraId="29E23ACE" w14:textId="77777777" w:rsidR="006140B9" w:rsidRPr="00012278" w:rsidRDefault="006140B9" w:rsidP="006140B9">
      <w:pPr>
        <w:rPr>
          <w:szCs w:val="22"/>
          <w:u w:val="single"/>
          <w:lang w:val="sr-Latn-ME"/>
        </w:rPr>
      </w:pPr>
    </w:p>
    <w:p w14:paraId="66F6B744" w14:textId="77777777" w:rsidR="006140B9" w:rsidRPr="00012278" w:rsidRDefault="006140B9" w:rsidP="006140B9">
      <w:pPr>
        <w:rPr>
          <w:i/>
          <w:szCs w:val="22"/>
          <w:u w:val="single"/>
          <w:lang w:val="sr-Latn-ME"/>
        </w:rPr>
      </w:pPr>
      <w:r w:rsidRPr="00012278">
        <w:rPr>
          <w:i/>
          <w:szCs w:val="22"/>
          <w:u w:val="single"/>
          <w:lang w:val="sr-Latn-ME"/>
        </w:rPr>
        <w:t>Monoterapija kapecitabinom u adjuvantnom liječenju karcinoma kolona</w:t>
      </w:r>
    </w:p>
    <w:p w14:paraId="21E1A204" w14:textId="1B7D6F57" w:rsidR="006140B9" w:rsidRPr="00012278" w:rsidRDefault="006140B9" w:rsidP="002B4BD7">
      <w:pPr>
        <w:jc w:val="both"/>
        <w:rPr>
          <w:szCs w:val="22"/>
          <w:lang w:val="sr-Latn-ME"/>
        </w:rPr>
      </w:pPr>
      <w:r w:rsidRPr="00012278">
        <w:rPr>
          <w:szCs w:val="22"/>
          <w:lang w:val="sr-Latn-ME"/>
        </w:rPr>
        <w:t>Podaci iz jedne multicentrične randomizovane, kontrolisane kliničke studije faze III kod pacijenata sa stadijumom III (</w:t>
      </w:r>
      <w:r w:rsidR="00DF6A59" w:rsidRPr="00012278">
        <w:rPr>
          <w:szCs w:val="22"/>
          <w:lang w:val="sr-Latn-ME"/>
        </w:rPr>
        <w:t>stadijum C prema Dukes klasifikaciji</w:t>
      </w:r>
      <w:r w:rsidR="00DF6A59" w:rsidRPr="00012278" w:rsidDel="00DF6A59">
        <w:rPr>
          <w:szCs w:val="22"/>
          <w:lang w:val="sr-Latn-ME"/>
        </w:rPr>
        <w:t xml:space="preserve"> </w:t>
      </w:r>
      <w:r w:rsidRPr="00012278">
        <w:rPr>
          <w:szCs w:val="22"/>
          <w:lang w:val="sr-Latn-ME"/>
        </w:rPr>
        <w:t>) karcinoma kolona podržavaju upotrebu kapecitabina kao adjuvantne terapije za liječenje pacijenata sa karcinomom kolona (Studija XACT; M66001). U ovom ispitivanju, 1987 pacijenata je slučajnim odabirom podijeljeno u grupe, jednu koja je liječena kapecitabinom (1250 mg/m</w:t>
      </w:r>
      <w:r w:rsidRPr="00012278">
        <w:rPr>
          <w:szCs w:val="22"/>
          <w:vertAlign w:val="superscript"/>
          <w:lang w:val="sr-Latn-ME"/>
        </w:rPr>
        <w:t>2</w:t>
      </w:r>
      <w:r w:rsidRPr="00012278">
        <w:rPr>
          <w:szCs w:val="22"/>
          <w:lang w:val="sr-Latn-ME"/>
        </w:rPr>
        <w:t xml:space="preserve"> dva puta dnevno u trajanju od 2 nedjelje, poslije čega slijedi nedjelju dana odmora, ciklus</w:t>
      </w:r>
      <w:r w:rsidR="00DF6A59" w:rsidRPr="00012278">
        <w:rPr>
          <w:szCs w:val="22"/>
          <w:lang w:val="sr-Latn-ME"/>
        </w:rPr>
        <w:t>i u vidu tronedjeljnih intervala</w:t>
      </w:r>
      <w:r w:rsidRPr="00012278">
        <w:rPr>
          <w:szCs w:val="22"/>
          <w:lang w:val="sr-Latn-ME"/>
        </w:rPr>
        <w:t xml:space="preserve"> tokom 24 nedjelje) ili drugu, koja je primala 5-FU i leukovorin (</w:t>
      </w:r>
      <w:r w:rsidR="00DF6A59" w:rsidRPr="00012278">
        <w:rPr>
          <w:szCs w:val="22"/>
          <w:lang w:val="sr-Latn-ME"/>
        </w:rPr>
        <w:t>protokol</w:t>
      </w:r>
      <w:r w:rsidRPr="00012278">
        <w:rPr>
          <w:szCs w:val="22"/>
          <w:lang w:val="sr-Latn-ME"/>
        </w:rPr>
        <w:t xml:space="preserve"> klinike Mejo: 20 mg/m</w:t>
      </w:r>
      <w:r w:rsidRPr="00012278">
        <w:rPr>
          <w:szCs w:val="22"/>
          <w:vertAlign w:val="superscript"/>
          <w:lang w:val="sr-Latn-ME"/>
        </w:rPr>
        <w:t>2</w:t>
      </w:r>
      <w:r w:rsidRPr="00012278">
        <w:rPr>
          <w:szCs w:val="22"/>
          <w:lang w:val="sr-Latn-ME"/>
        </w:rPr>
        <w:t xml:space="preserve"> leukovorina i.v. </w:t>
      </w:r>
      <w:r w:rsidR="00DF6A59" w:rsidRPr="00012278">
        <w:rPr>
          <w:szCs w:val="22"/>
          <w:lang w:val="sr-Latn-ME"/>
        </w:rPr>
        <w:t xml:space="preserve">i </w:t>
      </w:r>
      <w:r w:rsidRPr="00012278">
        <w:rPr>
          <w:szCs w:val="22"/>
          <w:lang w:val="sr-Latn-ME"/>
        </w:rPr>
        <w:t>425 mg/m</w:t>
      </w:r>
      <w:r w:rsidRPr="00012278">
        <w:rPr>
          <w:szCs w:val="22"/>
          <w:vertAlign w:val="superscript"/>
          <w:lang w:val="sr-Latn-ME"/>
        </w:rPr>
        <w:t>2</w:t>
      </w:r>
      <w:r w:rsidRPr="00012278">
        <w:rPr>
          <w:szCs w:val="22"/>
          <w:lang w:val="sr-Latn-ME"/>
        </w:rPr>
        <w:t xml:space="preserve"> i.v bolus 5-FU, od prvog do petog dana, svakih 28 dana u trajanju od 24 nedjelje). Kapecitabin je bio najmanje jednako efikasan kao i.v 5-FU/LV u </w:t>
      </w:r>
      <w:r w:rsidR="00DF6A59" w:rsidRPr="00012278">
        <w:rPr>
          <w:szCs w:val="22"/>
          <w:lang w:val="sr-Latn-ME"/>
        </w:rPr>
        <w:t xml:space="preserve">analizi </w:t>
      </w:r>
      <w:r w:rsidRPr="00012278">
        <w:rPr>
          <w:szCs w:val="22"/>
          <w:lang w:val="sr-Latn-ME"/>
        </w:rPr>
        <w:t>preživljavanja bez bolesti u populacij</w:t>
      </w:r>
      <w:r w:rsidR="00DF6A59" w:rsidRPr="00012278">
        <w:rPr>
          <w:szCs w:val="22"/>
          <w:lang w:val="sr-Latn-ME"/>
        </w:rPr>
        <w:t>i pacijenata</w:t>
      </w:r>
      <w:r w:rsidR="00DE39D7" w:rsidRPr="00012278">
        <w:rPr>
          <w:szCs w:val="22"/>
          <w:lang w:val="sr-Latn-ME"/>
        </w:rPr>
        <w:t xml:space="preserve"> liječenih po</w:t>
      </w:r>
      <w:r w:rsidRPr="00012278">
        <w:rPr>
          <w:szCs w:val="22"/>
          <w:lang w:val="sr-Latn-ME"/>
        </w:rPr>
        <w:t xml:space="preserve"> ovom protokolu (</w:t>
      </w:r>
      <w:r w:rsidR="00DE39D7" w:rsidRPr="00012278">
        <w:rPr>
          <w:szCs w:val="22"/>
          <w:lang w:val="sr-Latn-ME"/>
        </w:rPr>
        <w:t xml:space="preserve">odnos </w:t>
      </w:r>
      <w:r w:rsidRPr="00012278">
        <w:rPr>
          <w:szCs w:val="22"/>
          <w:lang w:val="sr-Latn-ME"/>
        </w:rPr>
        <w:t>rizika 0,92; 95%CI 0,80-1,06). U cijeloj randomizovanoj populaciji</w:t>
      </w:r>
      <w:r w:rsidR="00DE39D7" w:rsidRPr="00012278">
        <w:rPr>
          <w:szCs w:val="22"/>
          <w:lang w:val="sr-Latn-ME"/>
        </w:rPr>
        <w:t xml:space="preserve"> pacijenata</w:t>
      </w:r>
      <w:r w:rsidRPr="00012278">
        <w:rPr>
          <w:szCs w:val="22"/>
          <w:lang w:val="sr-Latn-ME"/>
        </w:rPr>
        <w:t xml:space="preserve">, testiranje za razliku između kapecitabina i 5-FU/LV  kada se radi o preživljavanju bez bolesti i ukupnom preživljavanju pokazalo je </w:t>
      </w:r>
      <w:r w:rsidR="00DE39D7" w:rsidRPr="00012278">
        <w:rPr>
          <w:szCs w:val="22"/>
          <w:lang w:val="sr-Latn-ME"/>
        </w:rPr>
        <w:t xml:space="preserve">odnos </w:t>
      </w:r>
      <w:r w:rsidRPr="00012278">
        <w:rPr>
          <w:szCs w:val="22"/>
          <w:lang w:val="sr-Latn-ME"/>
        </w:rPr>
        <w:t>rizika od 0,88 (95%CI 0,77 – 1,01; p=0,068) odnosno 0,86 (95%</w:t>
      </w:r>
      <w:r w:rsidR="00DE39D7" w:rsidRPr="00012278">
        <w:rPr>
          <w:szCs w:val="22"/>
          <w:lang w:val="sr-Latn-ME"/>
        </w:rPr>
        <w:t xml:space="preserve"> </w:t>
      </w:r>
      <w:r w:rsidRPr="00012278">
        <w:rPr>
          <w:szCs w:val="22"/>
          <w:lang w:val="sr-Latn-ME"/>
        </w:rPr>
        <w:t xml:space="preserve">CI 0,77 – 1,01; p=0,060), za ova dva parametra. </w:t>
      </w:r>
      <w:r w:rsidR="0050072D" w:rsidRPr="00012278">
        <w:rPr>
          <w:szCs w:val="22"/>
          <w:lang w:val="sr-Latn-ME"/>
        </w:rPr>
        <w:t>Medijana vremena</w:t>
      </w:r>
      <w:r w:rsidRPr="00012278">
        <w:rPr>
          <w:szCs w:val="22"/>
          <w:lang w:val="sr-Latn-ME"/>
        </w:rPr>
        <w:t xml:space="preserve"> praćenja u trenutku analize iznosilo je 6,9 godina. U prethodno planiranoj multivarijantnoj Koks analizi, pokazana je superiornost kapecitabina u poređenju sa bolus</w:t>
      </w:r>
      <w:r w:rsidR="00DE39D7" w:rsidRPr="00012278">
        <w:rPr>
          <w:szCs w:val="22"/>
          <w:lang w:val="sr-Latn-ME"/>
        </w:rPr>
        <w:t xml:space="preserve"> primjenom</w:t>
      </w:r>
      <w:r w:rsidRPr="00012278">
        <w:rPr>
          <w:szCs w:val="22"/>
          <w:lang w:val="sr-Latn-ME"/>
        </w:rPr>
        <w:t xml:space="preserve"> 5-FU/LV. Za uključivanje u ovaj model, sljedeći faktori su bili prethodno određeni za statističku analizu: </w:t>
      </w:r>
      <w:r w:rsidR="00460B1C" w:rsidRPr="00012278">
        <w:rPr>
          <w:szCs w:val="22"/>
          <w:lang w:val="sr-Latn-ME"/>
        </w:rPr>
        <w:t>uzrast</w:t>
      </w:r>
      <w:r w:rsidRPr="00012278">
        <w:rPr>
          <w:szCs w:val="22"/>
          <w:lang w:val="sr-Latn-ME"/>
        </w:rPr>
        <w:t xml:space="preserve">, vrijeme od </w:t>
      </w:r>
      <w:r w:rsidR="00460B1C" w:rsidRPr="00012278">
        <w:rPr>
          <w:szCs w:val="22"/>
          <w:lang w:val="sr-Latn-ME"/>
        </w:rPr>
        <w:t>hirurškog zahvata</w:t>
      </w:r>
      <w:r w:rsidRPr="00012278">
        <w:rPr>
          <w:szCs w:val="22"/>
          <w:lang w:val="sr-Latn-ME"/>
        </w:rPr>
        <w:t xml:space="preserve"> do randomizacije, pol, nivoi CEA (karcinoembrionalni antigen) prije početka terapije, status limfnih čvorova </w:t>
      </w:r>
      <w:r w:rsidR="00460B1C" w:rsidRPr="00012278">
        <w:rPr>
          <w:szCs w:val="22"/>
          <w:lang w:val="sr-Latn-ME"/>
        </w:rPr>
        <w:t>na početku</w:t>
      </w:r>
      <w:r w:rsidRPr="00012278">
        <w:rPr>
          <w:szCs w:val="22"/>
          <w:lang w:val="sr-Latn-ME"/>
        </w:rPr>
        <w:t xml:space="preserve"> i zemlja porijekla. U ukupnoj </w:t>
      </w:r>
      <w:r w:rsidR="00460B1C" w:rsidRPr="00012278">
        <w:rPr>
          <w:szCs w:val="22"/>
          <w:lang w:val="sr-Latn-ME"/>
        </w:rPr>
        <w:t xml:space="preserve">randomizovanoj </w:t>
      </w:r>
      <w:r w:rsidRPr="00012278">
        <w:rPr>
          <w:szCs w:val="22"/>
          <w:lang w:val="sr-Latn-ME"/>
        </w:rPr>
        <w:t>populaciji pokazano je da je kapecitabin superiorniji od 5-FU/LV kada se radi o preživljavanju bez bolesti  [</w:t>
      </w:r>
      <w:r w:rsidR="00460B1C" w:rsidRPr="00012278">
        <w:rPr>
          <w:szCs w:val="22"/>
          <w:lang w:val="sr-Latn-ME"/>
        </w:rPr>
        <w:t xml:space="preserve">odnos </w:t>
      </w:r>
      <w:r w:rsidRPr="00012278">
        <w:rPr>
          <w:szCs w:val="22"/>
          <w:lang w:val="sr-Latn-ME"/>
        </w:rPr>
        <w:t>rizika 0,849 (95%CI 0,739 – 0,976; p=0,0212)], kao i za ukupno preživljavanje [</w:t>
      </w:r>
      <w:r w:rsidR="00460B1C" w:rsidRPr="00012278">
        <w:rPr>
          <w:szCs w:val="22"/>
          <w:lang w:val="sr-Latn-ME"/>
        </w:rPr>
        <w:t xml:space="preserve">odnos </w:t>
      </w:r>
      <w:r w:rsidRPr="00012278">
        <w:rPr>
          <w:szCs w:val="22"/>
          <w:lang w:val="sr-Latn-ME"/>
        </w:rPr>
        <w:t xml:space="preserve">rizika 0,828 (95%CI 0,705 – 0,971; p=0,0203)]. </w:t>
      </w:r>
    </w:p>
    <w:p w14:paraId="68114606" w14:textId="77777777" w:rsidR="006140B9" w:rsidRPr="00012278" w:rsidRDefault="006140B9" w:rsidP="006140B9">
      <w:pPr>
        <w:rPr>
          <w:i/>
          <w:szCs w:val="22"/>
          <w:u w:val="single"/>
          <w:lang w:val="sr-Latn-ME"/>
        </w:rPr>
      </w:pPr>
    </w:p>
    <w:p w14:paraId="79B83476" w14:textId="77777777" w:rsidR="006140B9" w:rsidRPr="00012278" w:rsidRDefault="006140B9" w:rsidP="006140B9">
      <w:pPr>
        <w:rPr>
          <w:i/>
          <w:szCs w:val="22"/>
          <w:u w:val="single"/>
          <w:lang w:val="sr-Latn-ME"/>
        </w:rPr>
      </w:pPr>
      <w:r w:rsidRPr="00012278">
        <w:rPr>
          <w:i/>
          <w:szCs w:val="22"/>
          <w:u w:val="single"/>
          <w:lang w:val="sr-Latn-ME"/>
        </w:rPr>
        <w:t>Kombinovana terapija u adjuvantnom liječenju karcinoma kolona</w:t>
      </w:r>
    </w:p>
    <w:p w14:paraId="2AC17C5E" w14:textId="15CF4AC7" w:rsidR="006140B9" w:rsidRPr="00012278" w:rsidRDefault="006140B9" w:rsidP="002B4BD7">
      <w:pPr>
        <w:jc w:val="both"/>
        <w:rPr>
          <w:szCs w:val="22"/>
          <w:lang w:val="sr-Latn-ME"/>
        </w:rPr>
      </w:pPr>
      <w:r w:rsidRPr="00012278">
        <w:rPr>
          <w:szCs w:val="22"/>
          <w:lang w:val="sr-Latn-ME"/>
        </w:rPr>
        <w:t xml:space="preserve">Podaci iz jedne multicentrične, randomizovane, kontrolisane </w:t>
      </w:r>
      <w:r w:rsidR="00460B1C" w:rsidRPr="00012278">
        <w:rPr>
          <w:szCs w:val="22"/>
          <w:lang w:val="sr-Latn-ME"/>
        </w:rPr>
        <w:t xml:space="preserve">kliničke </w:t>
      </w:r>
      <w:r w:rsidRPr="00012278">
        <w:rPr>
          <w:szCs w:val="22"/>
          <w:lang w:val="sr-Latn-ME"/>
        </w:rPr>
        <w:t>studije faze 3 kod pacijenata sa stadijumom III (</w:t>
      </w:r>
      <w:r w:rsidR="00460B1C" w:rsidRPr="00012278">
        <w:rPr>
          <w:szCs w:val="22"/>
          <w:lang w:val="sr-Latn-ME"/>
        </w:rPr>
        <w:t>stadijum C prema Dukes klasifikaciji</w:t>
      </w:r>
      <w:r w:rsidR="00460B1C" w:rsidRPr="00012278" w:rsidDel="00460B1C">
        <w:rPr>
          <w:szCs w:val="22"/>
          <w:lang w:val="sr-Latn-ME"/>
        </w:rPr>
        <w:t xml:space="preserve"> </w:t>
      </w:r>
      <w:r w:rsidRPr="00012278">
        <w:rPr>
          <w:szCs w:val="22"/>
          <w:lang w:val="sr-Latn-ME"/>
        </w:rPr>
        <w:t>) karcinoma kolona podržavaju upotrebu kapecitabina u kombinaciji sa oksaliplatinom (XELOX) kao adjuvantne terapije za liječenje pacijenata sa karcinomom kolona (studija NO16968). U tom ispitivanju, 944 pacijenta je randomizovano za liječenje 3-nedjeljnim ciklusima tokom 24 nedjelje  kapecitabinom (1000 mg/m</w:t>
      </w:r>
      <w:r w:rsidRPr="00012278">
        <w:rPr>
          <w:szCs w:val="22"/>
          <w:vertAlign w:val="superscript"/>
          <w:lang w:val="sr-Latn-ME"/>
        </w:rPr>
        <w:t>2</w:t>
      </w:r>
      <w:r w:rsidRPr="00012278">
        <w:rPr>
          <w:szCs w:val="22"/>
          <w:lang w:val="sr-Latn-ME"/>
        </w:rPr>
        <w:t xml:space="preserve"> dva puta dnevno tokom dvije nedjelje, nakon čega slijedi nedjelja dana odmora) u kombinaciji sa oksaliplatinom (130 mg/m</w:t>
      </w:r>
      <w:r w:rsidRPr="00012278">
        <w:rPr>
          <w:szCs w:val="22"/>
          <w:vertAlign w:val="superscript"/>
          <w:lang w:val="sr-Latn-ME"/>
        </w:rPr>
        <w:t xml:space="preserve">2  </w:t>
      </w:r>
      <w:r w:rsidRPr="00012278">
        <w:rPr>
          <w:szCs w:val="22"/>
          <w:lang w:val="sr-Latn-ME"/>
        </w:rPr>
        <w:t>dva sata prvog dana, svake 3 nedjelje); 942 pacijenta je randomizovano za liječenje bolusom 5-FU i leukovorinom. Primarnom analizom, preživljavanje bez znakova bolesti u populaciji  pacijenata predviđenih za liječenje XELOX-om se pokazalo značajno superiornijim u odnosu na 5-FU/LV (</w:t>
      </w:r>
      <w:r w:rsidR="00460B1C" w:rsidRPr="00012278">
        <w:rPr>
          <w:szCs w:val="22"/>
          <w:lang w:val="sr-Latn-ME"/>
        </w:rPr>
        <w:t xml:space="preserve">odnos </w:t>
      </w:r>
      <w:r w:rsidRPr="00012278">
        <w:rPr>
          <w:szCs w:val="22"/>
          <w:lang w:val="sr-Latn-ME"/>
        </w:rPr>
        <w:t xml:space="preserve">rizika 0,80, 95% CI=[0,69; 0,93]; p=0,0045). Trogodišnja stopa preživljavanja bez znakova bolesti bila je 71% za XELOX nasuprot 67% za 5-FU/LV. Analiza sekundarnog </w:t>
      </w:r>
      <w:r w:rsidR="00460B1C" w:rsidRPr="00012278">
        <w:rPr>
          <w:szCs w:val="22"/>
          <w:lang w:val="sr-Latn-ME"/>
        </w:rPr>
        <w:t>parametra praćenja</w:t>
      </w:r>
      <w:r w:rsidRPr="00012278">
        <w:rPr>
          <w:szCs w:val="22"/>
          <w:lang w:val="sr-Latn-ME"/>
        </w:rPr>
        <w:t xml:space="preserve">, preživljavanje bez znakova relapsa, podržava ove rezultate sa koeficijentom rizika 0,78 ( 95% CI=[0,67; 0,92]; </w:t>
      </w:r>
      <w:r w:rsidRPr="00012278">
        <w:rPr>
          <w:szCs w:val="22"/>
          <w:lang w:val="sr-Latn-ME"/>
        </w:rPr>
        <w:lastRenderedPageBreak/>
        <w:t xml:space="preserve">p=0,0024) za XELOX u odnosu na 5-FU/LV. XELOX je pokazao superiornost u ukupnom preživljavanju uz </w:t>
      </w:r>
      <w:r w:rsidR="00460B1C" w:rsidRPr="00012278">
        <w:rPr>
          <w:szCs w:val="22"/>
          <w:lang w:val="sr-Latn-ME"/>
        </w:rPr>
        <w:t>odnos</w:t>
      </w:r>
      <w:r w:rsidRPr="00012278">
        <w:rPr>
          <w:szCs w:val="22"/>
          <w:lang w:val="sr-Latn-ME"/>
        </w:rPr>
        <w:t xml:space="preserve"> rizika  od 0,87 ( 95% CI=[0,72; 1,05]; p=0,1486), što znači 13% smanjenje rizika od smrti. Petogodišnja stopa ukupnog preživljavanja bila je 78% za XELOX nasuprot 74 % za 5-FU/LV. Podaci o efikasnosti baziraju se na medijani vremena praćenja od 59 mjeseci za ukupno preživljavanje  i 57 mjeseci za preživljavanje bez znakova bolesti. Stopa prekida usljed pojave neželjenih događaja je bila veća u grupi koja je primala XELOX protokol (21%) u poređenju sa grupom koja je primala 5-FU/LV monoterapiju (9%) u populaciji pacijenata predviđenih za liječenje.</w:t>
      </w:r>
    </w:p>
    <w:p w14:paraId="5BCCF265" w14:textId="77777777" w:rsidR="006140B9" w:rsidRPr="00012278" w:rsidRDefault="006140B9" w:rsidP="002B4BD7">
      <w:pPr>
        <w:jc w:val="both"/>
        <w:rPr>
          <w:szCs w:val="22"/>
          <w:lang w:val="sr-Latn-ME"/>
        </w:rPr>
      </w:pPr>
    </w:p>
    <w:p w14:paraId="607BFB22" w14:textId="77777777" w:rsidR="006140B9" w:rsidRPr="00012278" w:rsidRDefault="006140B9" w:rsidP="006140B9">
      <w:pPr>
        <w:rPr>
          <w:i/>
          <w:szCs w:val="22"/>
          <w:u w:val="single"/>
          <w:lang w:val="sr-Latn-ME"/>
        </w:rPr>
      </w:pPr>
      <w:r w:rsidRPr="00012278">
        <w:rPr>
          <w:i/>
          <w:szCs w:val="22"/>
          <w:u w:val="single"/>
          <w:lang w:val="sr-Latn-ME"/>
        </w:rPr>
        <w:t>Monoterapija kapecitabinom u liječenju metastatskog kolorektalnog karcinoma</w:t>
      </w:r>
    </w:p>
    <w:p w14:paraId="0F5E3D84" w14:textId="0A6B9511" w:rsidR="006140B9" w:rsidRPr="00012278" w:rsidRDefault="006140B9" w:rsidP="002B4BD7">
      <w:pPr>
        <w:jc w:val="both"/>
        <w:rPr>
          <w:szCs w:val="22"/>
          <w:lang w:val="sr-Latn-ME"/>
        </w:rPr>
      </w:pPr>
      <w:r w:rsidRPr="00012278">
        <w:rPr>
          <w:szCs w:val="22"/>
          <w:lang w:val="sr-Latn-ME"/>
        </w:rPr>
        <w:t xml:space="preserve">Podaci iz dvije identično dizajnirane, multicentrične, randomizovane kliničke studije treće faze  (SO14695; SO14796) podržavaju upotrebu kapecitabina kao prve linije terapije za metastatski kolorektalni karcinom. U ovim ispitivanjima, 603 pacijenta su </w:t>
      </w:r>
      <w:r w:rsidR="00B01641" w:rsidRPr="00012278">
        <w:rPr>
          <w:szCs w:val="22"/>
          <w:lang w:val="sr-Latn-ME"/>
        </w:rPr>
        <w:t xml:space="preserve">randomizovana </w:t>
      </w:r>
      <w:r w:rsidRPr="00012278">
        <w:rPr>
          <w:szCs w:val="22"/>
          <w:lang w:val="sr-Latn-ME"/>
        </w:rPr>
        <w:t>u grupu da primaju terapiju lijekom kapecitabin (1250 mg/m</w:t>
      </w:r>
      <w:r w:rsidRPr="00012278">
        <w:rPr>
          <w:szCs w:val="22"/>
          <w:vertAlign w:val="superscript"/>
          <w:lang w:val="sr-Latn-ME"/>
        </w:rPr>
        <w:t>2</w:t>
      </w:r>
      <w:r w:rsidRPr="00012278">
        <w:rPr>
          <w:szCs w:val="22"/>
          <w:lang w:val="sr-Latn-ME"/>
        </w:rPr>
        <w:t xml:space="preserve"> dva puta dnevno tokom 2 nedjelje, poslije čega slijedi jednonedjeljni period odmora</w:t>
      </w:r>
      <w:r w:rsidR="00104341" w:rsidRPr="00012278">
        <w:rPr>
          <w:szCs w:val="22"/>
          <w:lang w:val="sr-Latn-ME"/>
        </w:rPr>
        <w:t>,</w:t>
      </w:r>
      <w:r w:rsidRPr="00012278">
        <w:rPr>
          <w:szCs w:val="22"/>
          <w:lang w:val="sr-Latn-ME"/>
        </w:rPr>
        <w:t xml:space="preserve"> </w:t>
      </w:r>
      <w:r w:rsidR="00104341" w:rsidRPr="00012278">
        <w:rPr>
          <w:szCs w:val="22"/>
          <w:lang w:val="sr-Latn-ME"/>
        </w:rPr>
        <w:t>u ciklusima od tri nedjelje</w:t>
      </w:r>
      <w:r w:rsidRPr="00012278">
        <w:rPr>
          <w:szCs w:val="22"/>
          <w:lang w:val="sr-Latn-ME"/>
        </w:rPr>
        <w:t>), a  604 pacijenta</w:t>
      </w:r>
      <w:r w:rsidR="00104341" w:rsidRPr="00012278">
        <w:rPr>
          <w:szCs w:val="22"/>
          <w:lang w:val="sr-Latn-ME"/>
        </w:rPr>
        <w:t xml:space="preserve"> randomozovana za liječenje</w:t>
      </w:r>
      <w:r w:rsidRPr="00012278">
        <w:rPr>
          <w:szCs w:val="22"/>
          <w:lang w:val="sr-Latn-ME"/>
        </w:rPr>
        <w:t xml:space="preserve"> 5-FU i leukovorin</w:t>
      </w:r>
      <w:r w:rsidR="00104341" w:rsidRPr="00012278">
        <w:rPr>
          <w:szCs w:val="22"/>
          <w:lang w:val="sr-Latn-ME"/>
        </w:rPr>
        <w:t>om</w:t>
      </w:r>
      <w:r w:rsidRPr="00012278">
        <w:rPr>
          <w:szCs w:val="22"/>
          <w:lang w:val="sr-Latn-ME"/>
        </w:rPr>
        <w:t xml:space="preserve"> (</w:t>
      </w:r>
      <w:r w:rsidR="00104341" w:rsidRPr="00012278">
        <w:rPr>
          <w:szCs w:val="22"/>
          <w:lang w:val="sr-Latn-ME"/>
        </w:rPr>
        <w:t>protokol</w:t>
      </w:r>
      <w:r w:rsidRPr="00012278">
        <w:rPr>
          <w:szCs w:val="22"/>
          <w:lang w:val="sr-Latn-ME"/>
        </w:rPr>
        <w:t xml:space="preserve"> klinike Mejo: 20 mg/m</w:t>
      </w:r>
      <w:r w:rsidRPr="00012278">
        <w:rPr>
          <w:szCs w:val="22"/>
          <w:vertAlign w:val="superscript"/>
          <w:lang w:val="sr-Latn-ME"/>
        </w:rPr>
        <w:t>2</w:t>
      </w:r>
      <w:r w:rsidRPr="00012278">
        <w:rPr>
          <w:szCs w:val="22"/>
          <w:lang w:val="sr-Latn-ME"/>
        </w:rPr>
        <w:t xml:space="preserve"> leukovorina IV praćeno 425 mg/m</w:t>
      </w:r>
      <w:r w:rsidRPr="00012278">
        <w:rPr>
          <w:szCs w:val="22"/>
          <w:vertAlign w:val="superscript"/>
          <w:lang w:val="sr-Latn-ME"/>
        </w:rPr>
        <w:t>2</w:t>
      </w:r>
      <w:r w:rsidRPr="00012278">
        <w:rPr>
          <w:szCs w:val="22"/>
          <w:lang w:val="sr-Latn-ME"/>
        </w:rPr>
        <w:t xml:space="preserve"> IV bolus 5-FU, od prvog do petog dana, svakih 28 dana). </w:t>
      </w:r>
      <w:r w:rsidR="00104341" w:rsidRPr="00012278">
        <w:rPr>
          <w:szCs w:val="22"/>
          <w:lang w:val="sr-Latn-ME"/>
        </w:rPr>
        <w:t>Ukupni terapijski</w:t>
      </w:r>
      <w:r w:rsidRPr="00012278">
        <w:rPr>
          <w:szCs w:val="22"/>
          <w:lang w:val="sr-Latn-ME"/>
        </w:rPr>
        <w:t xml:space="preserve"> odgovor u cjelokupnoj randomizovanoj populaciji (procjena istraživača) iznosile su 25,7% (kapecitabin) prema 16,7% (</w:t>
      </w:r>
      <w:r w:rsidR="00104341" w:rsidRPr="00012278">
        <w:rPr>
          <w:szCs w:val="22"/>
          <w:lang w:val="sr-Latn-ME"/>
        </w:rPr>
        <w:t xml:space="preserve">protokol </w:t>
      </w:r>
      <w:r w:rsidRPr="00012278">
        <w:rPr>
          <w:szCs w:val="22"/>
          <w:lang w:val="sr-Latn-ME"/>
        </w:rPr>
        <w:t xml:space="preserve">klinike Mejo); p&lt;0,0002. </w:t>
      </w:r>
      <w:r w:rsidR="008E6991" w:rsidRPr="00012278">
        <w:rPr>
          <w:szCs w:val="22"/>
          <w:lang w:val="sr-Latn-ME"/>
        </w:rPr>
        <w:t xml:space="preserve">Medijan </w:t>
      </w:r>
      <w:r w:rsidRPr="00012278">
        <w:rPr>
          <w:szCs w:val="22"/>
          <w:lang w:val="sr-Latn-ME"/>
        </w:rPr>
        <w:t>vr</w:t>
      </w:r>
      <w:r w:rsidR="008E6991" w:rsidRPr="00012278">
        <w:rPr>
          <w:szCs w:val="22"/>
          <w:lang w:val="sr-Latn-ME"/>
        </w:rPr>
        <w:t>emena</w:t>
      </w:r>
      <w:r w:rsidRPr="00012278">
        <w:rPr>
          <w:szCs w:val="22"/>
          <w:lang w:val="sr-Latn-ME"/>
        </w:rPr>
        <w:t xml:space="preserve"> do progresije bolesti iznosilo je 140 dana (kapecitabin) prema 144 dana (režim klinike Mejo). </w:t>
      </w:r>
      <w:r w:rsidR="008E6991" w:rsidRPr="00012278">
        <w:rPr>
          <w:szCs w:val="22"/>
          <w:lang w:val="sr-Latn-ME"/>
        </w:rPr>
        <w:t xml:space="preserve">Medijan </w:t>
      </w:r>
      <w:r w:rsidRPr="00012278">
        <w:rPr>
          <w:szCs w:val="22"/>
          <w:lang w:val="sr-Latn-ME"/>
        </w:rPr>
        <w:t>vr</w:t>
      </w:r>
      <w:r w:rsidR="008E6991" w:rsidRPr="00012278">
        <w:rPr>
          <w:szCs w:val="22"/>
          <w:lang w:val="sr-Latn-ME"/>
        </w:rPr>
        <w:t>emena</w:t>
      </w:r>
      <w:r w:rsidRPr="00012278">
        <w:rPr>
          <w:szCs w:val="22"/>
          <w:lang w:val="sr-Latn-ME"/>
        </w:rPr>
        <w:t xml:space="preserve"> preživljavanja iznosilo je 392 dana (kapecitabin) prema 391 dan (režim klinike Mejo). Za sada nema uporednih podataka o monoterapiji kapecitabinom kod kolorektalnog karcinoma u poređenju sa kombinovanim </w:t>
      </w:r>
      <w:r w:rsidR="00104341" w:rsidRPr="00012278">
        <w:rPr>
          <w:szCs w:val="22"/>
          <w:lang w:val="sr-Latn-ME"/>
        </w:rPr>
        <w:t xml:space="preserve">protokolom </w:t>
      </w:r>
      <w:r w:rsidRPr="00012278">
        <w:rPr>
          <w:szCs w:val="22"/>
          <w:lang w:val="sr-Latn-ME"/>
        </w:rPr>
        <w:t>prve linije terapije</w:t>
      </w:r>
      <w:r w:rsidR="00104341" w:rsidRPr="00012278">
        <w:rPr>
          <w:szCs w:val="22"/>
          <w:lang w:val="sr-Latn-ME"/>
        </w:rPr>
        <w:t xml:space="preserve"> kolorektalnog karcinoma</w:t>
      </w:r>
      <w:r w:rsidRPr="00012278">
        <w:rPr>
          <w:szCs w:val="22"/>
          <w:lang w:val="sr-Latn-ME"/>
        </w:rPr>
        <w:t xml:space="preserve">. </w:t>
      </w:r>
    </w:p>
    <w:p w14:paraId="2D6AB597" w14:textId="77777777" w:rsidR="006140B9" w:rsidRPr="00012278" w:rsidRDefault="006140B9" w:rsidP="002B4BD7">
      <w:pPr>
        <w:jc w:val="both"/>
        <w:rPr>
          <w:i/>
          <w:szCs w:val="22"/>
          <w:u w:val="single"/>
          <w:lang w:val="sr-Latn-ME"/>
        </w:rPr>
      </w:pPr>
    </w:p>
    <w:p w14:paraId="71C52404" w14:textId="77777777" w:rsidR="006140B9" w:rsidRPr="00012278" w:rsidRDefault="006140B9" w:rsidP="002B4BD7">
      <w:pPr>
        <w:jc w:val="both"/>
        <w:rPr>
          <w:i/>
          <w:szCs w:val="22"/>
          <w:u w:val="single"/>
          <w:lang w:val="sr-Latn-ME"/>
        </w:rPr>
      </w:pPr>
      <w:r w:rsidRPr="00012278">
        <w:rPr>
          <w:i/>
          <w:szCs w:val="22"/>
          <w:u w:val="single"/>
          <w:lang w:val="sr-Latn-ME"/>
        </w:rPr>
        <w:t>Kombinovana terapija u prvoj liniji terapije metastatskog kolorektalnog karcinoma</w:t>
      </w:r>
    </w:p>
    <w:p w14:paraId="2BA62055" w14:textId="72CCB1FE" w:rsidR="00AE1B55" w:rsidRPr="00012278" w:rsidRDefault="006140B9" w:rsidP="002B4BD7">
      <w:pPr>
        <w:jc w:val="both"/>
        <w:rPr>
          <w:szCs w:val="22"/>
          <w:lang w:val="sr-Latn-ME"/>
        </w:rPr>
      </w:pPr>
      <w:r w:rsidRPr="00012278">
        <w:rPr>
          <w:szCs w:val="22"/>
          <w:lang w:val="sr-Latn-ME"/>
        </w:rPr>
        <w:t xml:space="preserve">Podaci iz jedne multicentrične, randomizovane, kontrolisane kliničke studije faze III (NO16966) podržavaju upotrebu kapecitabina u kombinaciji sa oksaliplatinom ili u kombinaciji sa oksaliplatinom i bevacizumabom za prvu liniju terapije metastatskog kolorektalnog karcinoma. Ova studija je imala dva dijela: prvi dio u kome je 634 pacijenata randomizovano u dvije različite terapijske grupe, </w:t>
      </w:r>
      <w:r w:rsidR="00104341" w:rsidRPr="00012278">
        <w:rPr>
          <w:szCs w:val="22"/>
          <w:lang w:val="sr-Latn-ME"/>
        </w:rPr>
        <w:t xml:space="preserve">koje su primale </w:t>
      </w:r>
      <w:r w:rsidRPr="00012278">
        <w:rPr>
          <w:szCs w:val="22"/>
          <w:lang w:val="sr-Latn-ME"/>
        </w:rPr>
        <w:t>XELOX ili  FOLFOX-4</w:t>
      </w:r>
      <w:r w:rsidR="00104341" w:rsidRPr="00012278">
        <w:rPr>
          <w:szCs w:val="22"/>
          <w:lang w:val="sr-Latn-ME"/>
        </w:rPr>
        <w:t xml:space="preserve"> protokol</w:t>
      </w:r>
      <w:r w:rsidRPr="00012278">
        <w:rPr>
          <w:szCs w:val="22"/>
          <w:lang w:val="sr-Latn-ME"/>
        </w:rPr>
        <w:t xml:space="preserve">, i </w:t>
      </w:r>
      <w:r w:rsidR="00104341" w:rsidRPr="00012278">
        <w:rPr>
          <w:szCs w:val="22"/>
          <w:lang w:val="sr-Latn-ME"/>
        </w:rPr>
        <w:t>naknadnog</w:t>
      </w:r>
      <w:r w:rsidRPr="00012278">
        <w:rPr>
          <w:szCs w:val="22"/>
          <w:lang w:val="sr-Latn-ME"/>
        </w:rPr>
        <w:t xml:space="preserve"> faktors</w:t>
      </w:r>
      <w:r w:rsidR="00104341" w:rsidRPr="00012278">
        <w:rPr>
          <w:szCs w:val="22"/>
          <w:lang w:val="sr-Latn-ME"/>
        </w:rPr>
        <w:t>kog</w:t>
      </w:r>
      <w:r w:rsidRPr="00012278">
        <w:rPr>
          <w:szCs w:val="22"/>
          <w:lang w:val="sr-Latn-ME"/>
        </w:rPr>
        <w:t xml:space="preserve"> di</w:t>
      </w:r>
      <w:r w:rsidR="00104341" w:rsidRPr="00012278">
        <w:rPr>
          <w:szCs w:val="22"/>
          <w:lang w:val="sr-Latn-ME"/>
        </w:rPr>
        <w:t>jela</w:t>
      </w:r>
      <w:r w:rsidRPr="00012278">
        <w:rPr>
          <w:szCs w:val="22"/>
          <w:lang w:val="sr-Latn-ME"/>
        </w:rPr>
        <w:t xml:space="preserve"> 2x2 u kome je 1401 pacijen</w:t>
      </w:r>
      <w:r w:rsidR="00104341" w:rsidRPr="00012278">
        <w:rPr>
          <w:szCs w:val="22"/>
          <w:lang w:val="sr-Latn-ME"/>
        </w:rPr>
        <w:t>t</w:t>
      </w:r>
      <w:r w:rsidRPr="00012278">
        <w:rPr>
          <w:szCs w:val="22"/>
          <w:lang w:val="sr-Latn-ME"/>
        </w:rPr>
        <w:t xml:space="preserve"> randomizovan u četiri različite terapijske grupe, uključujući XELOX plus placebo, FOLFOX-4 plus placebo, XELOX plus bevacizumab, i FOLFOX-4 plus bevacizumab. </w:t>
      </w:r>
      <w:r w:rsidR="00104341" w:rsidRPr="00012278">
        <w:rPr>
          <w:szCs w:val="22"/>
          <w:lang w:val="sr-Latn-ME"/>
        </w:rPr>
        <w:t xml:space="preserve">U </w:t>
      </w:r>
      <w:r w:rsidRPr="00012278">
        <w:rPr>
          <w:szCs w:val="22"/>
          <w:lang w:val="sr-Latn-ME"/>
        </w:rPr>
        <w:t xml:space="preserve">Tabeli 6. su prikazani ovi terapijski </w:t>
      </w:r>
      <w:r w:rsidR="00104341" w:rsidRPr="00012278">
        <w:rPr>
          <w:szCs w:val="22"/>
          <w:lang w:val="sr-Latn-ME"/>
        </w:rPr>
        <w:t>protokoli</w:t>
      </w:r>
      <w:r w:rsidRPr="00012278">
        <w:rPr>
          <w:szCs w:val="22"/>
          <w:lang w:val="sr-Latn-ME"/>
        </w:rPr>
        <w:t>.</w:t>
      </w:r>
    </w:p>
    <w:p w14:paraId="1F3335BF" w14:textId="77777777" w:rsidR="006140B9" w:rsidRPr="00012278" w:rsidRDefault="006140B9" w:rsidP="006140B9">
      <w:pPr>
        <w:rPr>
          <w:szCs w:val="22"/>
          <w:lang w:val="sr-Latn-ME"/>
        </w:rPr>
      </w:pPr>
    </w:p>
    <w:p w14:paraId="0AA1A433" w14:textId="18991B69" w:rsidR="006140B9" w:rsidRPr="00012278" w:rsidRDefault="006140B9" w:rsidP="006140B9">
      <w:pPr>
        <w:rPr>
          <w:szCs w:val="22"/>
          <w:lang w:val="sr-Latn-ME"/>
        </w:rPr>
      </w:pPr>
      <w:r w:rsidRPr="00012278">
        <w:rPr>
          <w:szCs w:val="22"/>
          <w:lang w:val="sr-Latn-ME"/>
        </w:rPr>
        <w:t xml:space="preserve">Tabela 6. Terapijski </w:t>
      </w:r>
      <w:r w:rsidR="00FB7370" w:rsidRPr="00012278">
        <w:rPr>
          <w:szCs w:val="22"/>
          <w:lang w:val="sr-Latn-ME"/>
        </w:rPr>
        <w:t>protokoli</w:t>
      </w:r>
      <w:r w:rsidRPr="00012278">
        <w:rPr>
          <w:szCs w:val="22"/>
          <w:lang w:val="sr-Latn-ME"/>
        </w:rPr>
        <w:t xml:space="preserve"> u  ispitivanju NO16966 (mCRC)</w:t>
      </w:r>
    </w:p>
    <w:p w14:paraId="7624FAC3" w14:textId="77777777" w:rsidR="006140B9" w:rsidRPr="00012278" w:rsidRDefault="006140B9" w:rsidP="006140B9">
      <w:pPr>
        <w:rPr>
          <w:szCs w:val="22"/>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687"/>
        <w:gridCol w:w="1392"/>
        <w:gridCol w:w="3719"/>
      </w:tblGrid>
      <w:tr w:rsidR="006140B9" w:rsidRPr="00012278" w14:paraId="3E86FAB4" w14:textId="77777777" w:rsidTr="002B4BD7">
        <w:tc>
          <w:tcPr>
            <w:tcW w:w="1249" w:type="pct"/>
            <w:vAlign w:val="bottom"/>
          </w:tcPr>
          <w:p w14:paraId="03B4FA90" w14:textId="77777777" w:rsidR="006140B9" w:rsidRPr="00012278" w:rsidRDefault="006140B9" w:rsidP="006140B9">
            <w:pPr>
              <w:rPr>
                <w:b/>
                <w:szCs w:val="22"/>
                <w:lang w:val="sr-Latn-ME"/>
              </w:rPr>
            </w:pPr>
          </w:p>
        </w:tc>
        <w:tc>
          <w:tcPr>
            <w:tcW w:w="931" w:type="pct"/>
            <w:vAlign w:val="bottom"/>
          </w:tcPr>
          <w:p w14:paraId="50FD1332" w14:textId="77777777" w:rsidR="006140B9" w:rsidRPr="00012278" w:rsidRDefault="006140B9" w:rsidP="006140B9">
            <w:pPr>
              <w:rPr>
                <w:b/>
                <w:szCs w:val="22"/>
                <w:lang w:val="sr-Latn-ME"/>
              </w:rPr>
            </w:pPr>
            <w:r w:rsidRPr="00012278">
              <w:rPr>
                <w:b/>
                <w:szCs w:val="22"/>
                <w:lang w:val="sr-Latn-ME"/>
              </w:rPr>
              <w:t>Terapija</w:t>
            </w:r>
          </w:p>
        </w:tc>
        <w:tc>
          <w:tcPr>
            <w:tcW w:w="768" w:type="pct"/>
            <w:vAlign w:val="bottom"/>
          </w:tcPr>
          <w:p w14:paraId="17D63770" w14:textId="77777777" w:rsidR="006140B9" w:rsidRPr="00012278" w:rsidRDefault="006140B9" w:rsidP="002B4BD7">
            <w:pPr>
              <w:jc w:val="center"/>
              <w:rPr>
                <w:b/>
                <w:szCs w:val="22"/>
                <w:lang w:val="sr-Latn-ME"/>
              </w:rPr>
            </w:pPr>
            <w:r w:rsidRPr="00012278">
              <w:rPr>
                <w:b/>
                <w:szCs w:val="22"/>
                <w:lang w:val="sr-Latn-ME"/>
              </w:rPr>
              <w:t>Početna doza</w:t>
            </w:r>
          </w:p>
        </w:tc>
        <w:tc>
          <w:tcPr>
            <w:tcW w:w="2052" w:type="pct"/>
            <w:vAlign w:val="bottom"/>
          </w:tcPr>
          <w:p w14:paraId="1019881A" w14:textId="44BD3A46" w:rsidR="006140B9" w:rsidRPr="00012278" w:rsidRDefault="00FB7370" w:rsidP="002B4BD7">
            <w:pPr>
              <w:jc w:val="center"/>
              <w:rPr>
                <w:b/>
                <w:szCs w:val="22"/>
                <w:lang w:val="sr-Latn-ME"/>
              </w:rPr>
            </w:pPr>
            <w:r w:rsidRPr="00012278">
              <w:rPr>
                <w:b/>
                <w:szCs w:val="22"/>
                <w:lang w:val="sr-Latn-ME"/>
              </w:rPr>
              <w:t>Raspored</w:t>
            </w:r>
          </w:p>
        </w:tc>
      </w:tr>
      <w:tr w:rsidR="006140B9" w:rsidRPr="00012278" w14:paraId="4DF8B61A" w14:textId="77777777" w:rsidTr="002B4BD7">
        <w:trPr>
          <w:cantSplit/>
          <w:trHeight w:val="1791"/>
        </w:trPr>
        <w:tc>
          <w:tcPr>
            <w:tcW w:w="1249" w:type="pct"/>
            <w:vMerge w:val="restart"/>
          </w:tcPr>
          <w:p w14:paraId="5B4C9A24" w14:textId="77777777" w:rsidR="006140B9" w:rsidRPr="00012278" w:rsidRDefault="006140B9" w:rsidP="006140B9">
            <w:pPr>
              <w:rPr>
                <w:szCs w:val="22"/>
                <w:lang w:val="sr-Latn-ME"/>
              </w:rPr>
            </w:pPr>
            <w:r w:rsidRPr="00012278">
              <w:rPr>
                <w:szCs w:val="22"/>
                <w:lang w:val="sr-Latn-ME"/>
              </w:rPr>
              <w:t xml:space="preserve">FOLFOX-4 </w:t>
            </w:r>
          </w:p>
          <w:p w14:paraId="24C22D3F" w14:textId="77777777" w:rsidR="006140B9" w:rsidRPr="00012278" w:rsidRDefault="006140B9" w:rsidP="006140B9">
            <w:pPr>
              <w:rPr>
                <w:szCs w:val="22"/>
                <w:lang w:val="sr-Latn-ME"/>
              </w:rPr>
            </w:pPr>
            <w:r w:rsidRPr="00012278">
              <w:rPr>
                <w:szCs w:val="22"/>
                <w:lang w:val="sr-Latn-ME"/>
              </w:rPr>
              <w:t xml:space="preserve">ili </w:t>
            </w:r>
          </w:p>
          <w:p w14:paraId="484E9F61" w14:textId="2A7172F0" w:rsidR="006140B9" w:rsidRPr="00012278" w:rsidRDefault="006140B9" w:rsidP="007642AF">
            <w:pPr>
              <w:rPr>
                <w:szCs w:val="22"/>
                <w:lang w:val="sr-Latn-ME"/>
              </w:rPr>
            </w:pPr>
            <w:r w:rsidRPr="00012278">
              <w:rPr>
                <w:szCs w:val="22"/>
                <w:lang w:val="sr-Latn-ME"/>
              </w:rPr>
              <w:t xml:space="preserve">FOLFOX-4 </w:t>
            </w:r>
            <w:r w:rsidR="00FB7370" w:rsidRPr="00012278">
              <w:rPr>
                <w:szCs w:val="22"/>
                <w:lang w:val="sr-Latn-ME"/>
              </w:rPr>
              <w:t>i</w:t>
            </w:r>
            <w:r w:rsidRPr="00012278">
              <w:rPr>
                <w:szCs w:val="22"/>
                <w:lang w:val="sr-Latn-ME"/>
              </w:rPr>
              <w:t xml:space="preserve"> </w:t>
            </w:r>
            <w:r w:rsidR="00FB7370" w:rsidRPr="00012278">
              <w:rPr>
                <w:szCs w:val="22"/>
                <w:lang w:val="sr-Latn-ME"/>
              </w:rPr>
              <w:t>bevacizumab</w:t>
            </w:r>
          </w:p>
        </w:tc>
        <w:tc>
          <w:tcPr>
            <w:tcW w:w="931" w:type="pct"/>
          </w:tcPr>
          <w:p w14:paraId="0B452FBF" w14:textId="77777777" w:rsidR="006140B9" w:rsidRPr="00012278" w:rsidRDefault="006140B9" w:rsidP="006140B9">
            <w:pPr>
              <w:rPr>
                <w:szCs w:val="22"/>
                <w:lang w:val="sr-Latn-ME"/>
              </w:rPr>
            </w:pPr>
            <w:r w:rsidRPr="00012278">
              <w:rPr>
                <w:szCs w:val="22"/>
                <w:lang w:val="sr-Latn-ME"/>
              </w:rPr>
              <w:t>oksaliplatin</w:t>
            </w:r>
          </w:p>
          <w:p w14:paraId="78456E40" w14:textId="77777777" w:rsidR="006140B9" w:rsidRPr="00012278" w:rsidRDefault="006140B9" w:rsidP="006140B9">
            <w:pPr>
              <w:rPr>
                <w:szCs w:val="22"/>
                <w:lang w:val="sr-Latn-ME"/>
              </w:rPr>
            </w:pPr>
          </w:p>
          <w:p w14:paraId="1AA3927A" w14:textId="77777777" w:rsidR="006140B9" w:rsidRPr="00012278" w:rsidRDefault="006140B9" w:rsidP="006140B9">
            <w:pPr>
              <w:rPr>
                <w:szCs w:val="22"/>
                <w:lang w:val="sr-Latn-ME"/>
              </w:rPr>
            </w:pPr>
          </w:p>
          <w:p w14:paraId="1037044D" w14:textId="77777777" w:rsidR="006140B9" w:rsidRPr="00012278" w:rsidRDefault="006140B9" w:rsidP="006140B9">
            <w:pPr>
              <w:rPr>
                <w:szCs w:val="22"/>
                <w:lang w:val="sr-Latn-ME"/>
              </w:rPr>
            </w:pPr>
            <w:r w:rsidRPr="00012278">
              <w:rPr>
                <w:szCs w:val="22"/>
                <w:lang w:val="sr-Latn-ME"/>
              </w:rPr>
              <w:t>leukovorin</w:t>
            </w:r>
          </w:p>
          <w:p w14:paraId="6203703B" w14:textId="77777777" w:rsidR="006140B9" w:rsidRPr="00012278" w:rsidRDefault="006140B9" w:rsidP="006140B9">
            <w:pPr>
              <w:rPr>
                <w:szCs w:val="22"/>
                <w:lang w:val="sr-Latn-ME"/>
              </w:rPr>
            </w:pPr>
          </w:p>
          <w:p w14:paraId="38F57488" w14:textId="77777777" w:rsidR="00FB7370" w:rsidRPr="00012278" w:rsidRDefault="00FB7370" w:rsidP="006140B9">
            <w:pPr>
              <w:rPr>
                <w:szCs w:val="22"/>
                <w:lang w:val="sr-Latn-ME"/>
              </w:rPr>
            </w:pPr>
          </w:p>
          <w:p w14:paraId="3B844ADE" w14:textId="77777777" w:rsidR="006140B9" w:rsidRPr="00012278" w:rsidRDefault="006140B9" w:rsidP="006140B9">
            <w:pPr>
              <w:rPr>
                <w:szCs w:val="22"/>
                <w:lang w:val="sr-Latn-ME"/>
              </w:rPr>
            </w:pPr>
            <w:r w:rsidRPr="00012278">
              <w:rPr>
                <w:szCs w:val="22"/>
                <w:lang w:val="sr-Latn-ME"/>
              </w:rPr>
              <w:t>5-fluorouracil</w:t>
            </w:r>
          </w:p>
        </w:tc>
        <w:tc>
          <w:tcPr>
            <w:tcW w:w="768" w:type="pct"/>
          </w:tcPr>
          <w:p w14:paraId="5D38E8BC" w14:textId="77777777" w:rsidR="006140B9" w:rsidRPr="00012278" w:rsidRDefault="006140B9" w:rsidP="006140B9">
            <w:pPr>
              <w:rPr>
                <w:szCs w:val="22"/>
                <w:lang w:val="sr-Latn-ME"/>
              </w:rPr>
            </w:pPr>
            <w:r w:rsidRPr="00012278">
              <w:rPr>
                <w:szCs w:val="22"/>
                <w:lang w:val="sr-Latn-ME"/>
              </w:rPr>
              <w:t>85 mg/m</w:t>
            </w:r>
            <w:r w:rsidRPr="00012278">
              <w:rPr>
                <w:szCs w:val="22"/>
                <w:vertAlign w:val="superscript"/>
                <w:lang w:val="sr-Latn-ME"/>
              </w:rPr>
              <w:t>2</w:t>
            </w:r>
            <w:r w:rsidRPr="00012278">
              <w:rPr>
                <w:szCs w:val="22"/>
                <w:lang w:val="sr-Latn-ME"/>
              </w:rPr>
              <w:t xml:space="preserve"> i.v. 2 sata</w:t>
            </w:r>
          </w:p>
          <w:p w14:paraId="6B455613" w14:textId="77777777" w:rsidR="006140B9" w:rsidRPr="00012278" w:rsidRDefault="006140B9" w:rsidP="006140B9">
            <w:pPr>
              <w:rPr>
                <w:szCs w:val="22"/>
                <w:lang w:val="sr-Latn-ME"/>
              </w:rPr>
            </w:pPr>
          </w:p>
          <w:p w14:paraId="5E3395C3" w14:textId="77777777" w:rsidR="006140B9" w:rsidRPr="00012278" w:rsidRDefault="006140B9" w:rsidP="006140B9">
            <w:pPr>
              <w:rPr>
                <w:szCs w:val="22"/>
                <w:lang w:val="sr-Latn-ME"/>
              </w:rPr>
            </w:pPr>
            <w:r w:rsidRPr="00012278">
              <w:rPr>
                <w:szCs w:val="22"/>
                <w:lang w:val="sr-Latn-ME"/>
              </w:rPr>
              <w:t>200 mg/m</w:t>
            </w:r>
            <w:r w:rsidRPr="00012278">
              <w:rPr>
                <w:szCs w:val="22"/>
                <w:vertAlign w:val="superscript"/>
                <w:lang w:val="sr-Latn-ME"/>
              </w:rPr>
              <w:t>2</w:t>
            </w:r>
            <w:r w:rsidRPr="00012278">
              <w:rPr>
                <w:szCs w:val="22"/>
                <w:lang w:val="sr-Latn-ME"/>
              </w:rPr>
              <w:t xml:space="preserve"> i.v. 2 sata</w:t>
            </w:r>
          </w:p>
          <w:p w14:paraId="7C054FC6" w14:textId="77777777" w:rsidR="006140B9" w:rsidRPr="00012278" w:rsidRDefault="006140B9" w:rsidP="006140B9">
            <w:pPr>
              <w:rPr>
                <w:szCs w:val="22"/>
                <w:lang w:val="sr-Latn-ME"/>
              </w:rPr>
            </w:pPr>
          </w:p>
          <w:p w14:paraId="72D25B62" w14:textId="77777777" w:rsidR="006140B9" w:rsidRPr="00012278" w:rsidRDefault="006140B9" w:rsidP="006140B9">
            <w:pPr>
              <w:rPr>
                <w:szCs w:val="22"/>
                <w:lang w:val="sr-Latn-ME"/>
              </w:rPr>
            </w:pPr>
            <w:r w:rsidRPr="00012278">
              <w:rPr>
                <w:szCs w:val="22"/>
                <w:lang w:val="sr-Latn-ME"/>
              </w:rPr>
              <w:t>i.v. bolus 400 mg/m</w:t>
            </w:r>
            <w:r w:rsidRPr="00012278">
              <w:rPr>
                <w:szCs w:val="22"/>
                <w:vertAlign w:val="superscript"/>
                <w:lang w:val="sr-Latn-ME"/>
              </w:rPr>
              <w:t>2</w:t>
            </w:r>
            <w:r w:rsidRPr="00012278">
              <w:rPr>
                <w:szCs w:val="22"/>
                <w:lang w:val="sr-Latn-ME"/>
              </w:rPr>
              <w:t>, poslije čega slijedi  600 mg/m</w:t>
            </w:r>
            <w:r w:rsidRPr="00012278">
              <w:rPr>
                <w:szCs w:val="22"/>
                <w:vertAlign w:val="superscript"/>
                <w:lang w:val="sr-Latn-ME"/>
              </w:rPr>
              <w:t>2</w:t>
            </w:r>
            <w:r w:rsidRPr="00012278">
              <w:rPr>
                <w:szCs w:val="22"/>
                <w:lang w:val="sr-Latn-ME"/>
              </w:rPr>
              <w:t xml:space="preserve"> i.v. 22 sata</w:t>
            </w:r>
          </w:p>
        </w:tc>
        <w:tc>
          <w:tcPr>
            <w:tcW w:w="2052" w:type="pct"/>
          </w:tcPr>
          <w:p w14:paraId="0B08B391" w14:textId="77777777" w:rsidR="006140B9" w:rsidRPr="00012278" w:rsidRDefault="006140B9" w:rsidP="006140B9">
            <w:pPr>
              <w:rPr>
                <w:szCs w:val="22"/>
                <w:lang w:val="sr-Latn-ME"/>
              </w:rPr>
            </w:pPr>
            <w:r w:rsidRPr="00012278">
              <w:rPr>
                <w:szCs w:val="22"/>
                <w:lang w:val="sr-Latn-ME"/>
              </w:rPr>
              <w:t>oksaliplatin prvog dana, svake 2 nedjelje</w:t>
            </w:r>
          </w:p>
          <w:p w14:paraId="67DD89FB" w14:textId="77777777" w:rsidR="006140B9" w:rsidRPr="00012278" w:rsidRDefault="006140B9" w:rsidP="006140B9">
            <w:pPr>
              <w:rPr>
                <w:szCs w:val="22"/>
                <w:lang w:val="sr-Latn-ME"/>
              </w:rPr>
            </w:pPr>
          </w:p>
          <w:p w14:paraId="4DC35119" w14:textId="77777777" w:rsidR="006140B9" w:rsidRPr="00012278" w:rsidRDefault="006140B9" w:rsidP="006140B9">
            <w:pPr>
              <w:rPr>
                <w:szCs w:val="22"/>
                <w:lang w:val="sr-Latn-ME"/>
              </w:rPr>
            </w:pPr>
            <w:r w:rsidRPr="00012278">
              <w:rPr>
                <w:szCs w:val="22"/>
                <w:lang w:val="sr-Latn-ME"/>
              </w:rPr>
              <w:t xml:space="preserve">leukovorin prvog i drugog dana, svake 2 nedjelje </w:t>
            </w:r>
          </w:p>
          <w:p w14:paraId="590B15BB" w14:textId="77777777" w:rsidR="006140B9" w:rsidRPr="00012278" w:rsidRDefault="006140B9" w:rsidP="006140B9">
            <w:pPr>
              <w:rPr>
                <w:szCs w:val="22"/>
                <w:lang w:val="sr-Latn-ME"/>
              </w:rPr>
            </w:pPr>
          </w:p>
          <w:p w14:paraId="194D851F" w14:textId="77777777" w:rsidR="006140B9" w:rsidRPr="00012278" w:rsidRDefault="006140B9" w:rsidP="006140B9">
            <w:pPr>
              <w:rPr>
                <w:szCs w:val="22"/>
                <w:lang w:val="sr-Latn-ME"/>
              </w:rPr>
            </w:pPr>
            <w:r w:rsidRPr="00012278">
              <w:rPr>
                <w:szCs w:val="22"/>
                <w:lang w:val="sr-Latn-ME"/>
              </w:rPr>
              <w:t>i.v. bolus/infuzija 5-fluorouracil prvog i drugog dana, svake 2 nedjelje</w:t>
            </w:r>
          </w:p>
        </w:tc>
      </w:tr>
      <w:tr w:rsidR="006140B9" w:rsidRPr="00012278" w14:paraId="2E97048B" w14:textId="77777777" w:rsidTr="002B4BD7">
        <w:trPr>
          <w:cantSplit/>
        </w:trPr>
        <w:tc>
          <w:tcPr>
            <w:tcW w:w="1249" w:type="pct"/>
            <w:vMerge/>
          </w:tcPr>
          <w:p w14:paraId="596ED3FE" w14:textId="77777777" w:rsidR="006140B9" w:rsidRPr="00012278" w:rsidRDefault="006140B9" w:rsidP="006140B9">
            <w:pPr>
              <w:rPr>
                <w:szCs w:val="22"/>
                <w:lang w:val="sr-Latn-ME"/>
              </w:rPr>
            </w:pPr>
          </w:p>
        </w:tc>
        <w:tc>
          <w:tcPr>
            <w:tcW w:w="931" w:type="pct"/>
            <w:tcBorders>
              <w:bottom w:val="single" w:sz="4" w:space="0" w:color="auto"/>
            </w:tcBorders>
          </w:tcPr>
          <w:p w14:paraId="0BC79B3B" w14:textId="77777777" w:rsidR="006140B9" w:rsidRPr="00012278" w:rsidRDefault="006140B9" w:rsidP="006140B9">
            <w:pPr>
              <w:rPr>
                <w:szCs w:val="22"/>
                <w:lang w:val="sr-Latn-ME"/>
              </w:rPr>
            </w:pPr>
            <w:r w:rsidRPr="00012278">
              <w:rPr>
                <w:szCs w:val="22"/>
                <w:lang w:val="sr-Latn-ME"/>
              </w:rPr>
              <w:t>placebo ili bevacizumab</w:t>
            </w:r>
          </w:p>
        </w:tc>
        <w:tc>
          <w:tcPr>
            <w:tcW w:w="768" w:type="pct"/>
            <w:tcBorders>
              <w:bottom w:val="single" w:sz="4" w:space="0" w:color="auto"/>
            </w:tcBorders>
          </w:tcPr>
          <w:p w14:paraId="039AE5C1" w14:textId="77777777" w:rsidR="006140B9" w:rsidRPr="00012278" w:rsidRDefault="006140B9" w:rsidP="006140B9">
            <w:pPr>
              <w:rPr>
                <w:szCs w:val="22"/>
                <w:lang w:val="sr-Latn-ME"/>
              </w:rPr>
            </w:pPr>
            <w:r w:rsidRPr="00012278">
              <w:rPr>
                <w:szCs w:val="22"/>
                <w:lang w:val="sr-Latn-ME"/>
              </w:rPr>
              <w:t>5 mg/kg i.v. 30-90 min</w:t>
            </w:r>
          </w:p>
        </w:tc>
        <w:tc>
          <w:tcPr>
            <w:tcW w:w="2052" w:type="pct"/>
          </w:tcPr>
          <w:p w14:paraId="686CBCE1" w14:textId="77777777" w:rsidR="006140B9" w:rsidRPr="00012278" w:rsidRDefault="006140B9" w:rsidP="006140B9">
            <w:pPr>
              <w:rPr>
                <w:szCs w:val="22"/>
                <w:lang w:val="sr-Latn-ME"/>
              </w:rPr>
            </w:pPr>
            <w:r w:rsidRPr="00012278">
              <w:rPr>
                <w:szCs w:val="22"/>
                <w:lang w:val="sr-Latn-ME"/>
              </w:rPr>
              <w:t xml:space="preserve">prvog dana, prije FOLFOX-4, na svake 2 nedjelje </w:t>
            </w:r>
          </w:p>
        </w:tc>
      </w:tr>
      <w:tr w:rsidR="006140B9" w:rsidRPr="00012278" w14:paraId="4764AED7" w14:textId="77777777" w:rsidTr="002B4BD7">
        <w:trPr>
          <w:cantSplit/>
        </w:trPr>
        <w:tc>
          <w:tcPr>
            <w:tcW w:w="1249" w:type="pct"/>
            <w:vMerge w:val="restart"/>
          </w:tcPr>
          <w:p w14:paraId="7296052F" w14:textId="77777777" w:rsidR="006140B9" w:rsidRPr="00012278" w:rsidRDefault="006140B9" w:rsidP="006140B9">
            <w:pPr>
              <w:rPr>
                <w:szCs w:val="22"/>
                <w:lang w:val="sr-Latn-ME"/>
              </w:rPr>
            </w:pPr>
            <w:r w:rsidRPr="00012278">
              <w:rPr>
                <w:szCs w:val="22"/>
                <w:lang w:val="sr-Latn-ME"/>
              </w:rPr>
              <w:t xml:space="preserve">XELOX </w:t>
            </w:r>
          </w:p>
          <w:p w14:paraId="0051E13A" w14:textId="77777777" w:rsidR="006140B9" w:rsidRPr="00012278" w:rsidRDefault="006140B9" w:rsidP="006140B9">
            <w:pPr>
              <w:rPr>
                <w:szCs w:val="22"/>
                <w:lang w:val="sr-Latn-ME"/>
              </w:rPr>
            </w:pPr>
            <w:r w:rsidRPr="00012278">
              <w:rPr>
                <w:szCs w:val="22"/>
                <w:lang w:val="sr-Latn-ME"/>
              </w:rPr>
              <w:t>ili</w:t>
            </w:r>
          </w:p>
          <w:p w14:paraId="603A1901" w14:textId="77777777" w:rsidR="006140B9" w:rsidRPr="00012278" w:rsidRDefault="006140B9" w:rsidP="006140B9">
            <w:pPr>
              <w:rPr>
                <w:szCs w:val="22"/>
                <w:lang w:val="sr-Latn-ME"/>
              </w:rPr>
            </w:pPr>
            <w:r w:rsidRPr="00012278">
              <w:rPr>
                <w:szCs w:val="22"/>
                <w:lang w:val="sr-Latn-ME"/>
              </w:rPr>
              <w:lastRenderedPageBreak/>
              <w:t>XELOX+ Bevacizumab</w:t>
            </w:r>
          </w:p>
        </w:tc>
        <w:tc>
          <w:tcPr>
            <w:tcW w:w="931" w:type="pct"/>
            <w:tcBorders>
              <w:bottom w:val="nil"/>
              <w:right w:val="single" w:sz="4" w:space="0" w:color="auto"/>
            </w:tcBorders>
          </w:tcPr>
          <w:p w14:paraId="2FDE1847" w14:textId="77777777" w:rsidR="006140B9" w:rsidRPr="00012278" w:rsidRDefault="006140B9" w:rsidP="006140B9">
            <w:pPr>
              <w:rPr>
                <w:szCs w:val="22"/>
                <w:lang w:val="sr-Latn-ME"/>
              </w:rPr>
            </w:pPr>
            <w:r w:rsidRPr="00012278">
              <w:rPr>
                <w:szCs w:val="22"/>
                <w:lang w:val="sr-Latn-ME"/>
              </w:rPr>
              <w:lastRenderedPageBreak/>
              <w:t>oksaliplatin</w:t>
            </w:r>
          </w:p>
        </w:tc>
        <w:tc>
          <w:tcPr>
            <w:tcW w:w="768" w:type="pct"/>
            <w:tcBorders>
              <w:left w:val="single" w:sz="4" w:space="0" w:color="auto"/>
              <w:bottom w:val="nil"/>
            </w:tcBorders>
          </w:tcPr>
          <w:p w14:paraId="765626A5" w14:textId="77777777" w:rsidR="006140B9" w:rsidRPr="00012278" w:rsidRDefault="006140B9" w:rsidP="006140B9">
            <w:pPr>
              <w:rPr>
                <w:szCs w:val="22"/>
                <w:lang w:val="sr-Latn-ME"/>
              </w:rPr>
            </w:pPr>
            <w:r w:rsidRPr="00012278">
              <w:rPr>
                <w:szCs w:val="22"/>
                <w:lang w:val="sr-Latn-ME"/>
              </w:rPr>
              <w:t>130 mg/m</w:t>
            </w:r>
            <w:r w:rsidRPr="00012278">
              <w:rPr>
                <w:szCs w:val="22"/>
                <w:vertAlign w:val="superscript"/>
                <w:lang w:val="sr-Latn-ME"/>
              </w:rPr>
              <w:t>2</w:t>
            </w:r>
            <w:r w:rsidRPr="00012278">
              <w:rPr>
                <w:szCs w:val="22"/>
                <w:lang w:val="sr-Latn-ME"/>
              </w:rPr>
              <w:t xml:space="preserve"> i.v. 2 sata</w:t>
            </w:r>
          </w:p>
          <w:p w14:paraId="62157363" w14:textId="77777777" w:rsidR="006140B9" w:rsidRPr="00012278" w:rsidRDefault="006140B9" w:rsidP="006140B9">
            <w:pPr>
              <w:rPr>
                <w:szCs w:val="22"/>
                <w:lang w:val="sr-Latn-ME"/>
              </w:rPr>
            </w:pPr>
          </w:p>
        </w:tc>
        <w:tc>
          <w:tcPr>
            <w:tcW w:w="2052" w:type="pct"/>
            <w:vMerge w:val="restart"/>
          </w:tcPr>
          <w:p w14:paraId="6BF88916" w14:textId="77777777" w:rsidR="006140B9" w:rsidRPr="00012278" w:rsidRDefault="006140B9" w:rsidP="006140B9">
            <w:pPr>
              <w:rPr>
                <w:szCs w:val="22"/>
                <w:lang w:val="sr-Latn-ME"/>
              </w:rPr>
            </w:pPr>
            <w:r w:rsidRPr="00012278">
              <w:rPr>
                <w:szCs w:val="22"/>
                <w:lang w:val="sr-Latn-ME"/>
              </w:rPr>
              <w:t>oksaliplatin prvog dana na svake 3 nedjelje</w:t>
            </w:r>
          </w:p>
          <w:p w14:paraId="38AFEEF4" w14:textId="77777777" w:rsidR="006140B9" w:rsidRPr="00012278" w:rsidRDefault="006140B9" w:rsidP="006140B9">
            <w:pPr>
              <w:rPr>
                <w:szCs w:val="22"/>
                <w:lang w:val="sr-Latn-ME"/>
              </w:rPr>
            </w:pPr>
          </w:p>
          <w:p w14:paraId="506ED816" w14:textId="77777777" w:rsidR="006140B9" w:rsidRPr="00012278" w:rsidRDefault="006140B9" w:rsidP="006140B9">
            <w:pPr>
              <w:rPr>
                <w:szCs w:val="22"/>
                <w:lang w:val="sr-Latn-ME"/>
              </w:rPr>
            </w:pPr>
            <w:r w:rsidRPr="00012278">
              <w:rPr>
                <w:szCs w:val="22"/>
                <w:lang w:val="sr-Latn-ME"/>
              </w:rPr>
              <w:lastRenderedPageBreak/>
              <w:t xml:space="preserve">kapecitabin oralno, dva puta dnevno tokom 2 nedjelje, poslije čega slijedi 1 nedjelja bez terapije  </w:t>
            </w:r>
          </w:p>
        </w:tc>
      </w:tr>
      <w:tr w:rsidR="006140B9" w:rsidRPr="00012278" w14:paraId="67DDD2F5" w14:textId="77777777" w:rsidTr="002B4BD7">
        <w:trPr>
          <w:cantSplit/>
        </w:trPr>
        <w:tc>
          <w:tcPr>
            <w:tcW w:w="1249" w:type="pct"/>
            <w:vMerge/>
          </w:tcPr>
          <w:p w14:paraId="7C9448B1" w14:textId="77777777" w:rsidR="006140B9" w:rsidRPr="00012278" w:rsidRDefault="006140B9" w:rsidP="006140B9">
            <w:pPr>
              <w:rPr>
                <w:szCs w:val="22"/>
                <w:lang w:val="sr-Latn-ME"/>
              </w:rPr>
            </w:pPr>
          </w:p>
        </w:tc>
        <w:tc>
          <w:tcPr>
            <w:tcW w:w="931" w:type="pct"/>
            <w:tcBorders>
              <w:top w:val="nil"/>
              <w:right w:val="single" w:sz="4" w:space="0" w:color="auto"/>
            </w:tcBorders>
          </w:tcPr>
          <w:p w14:paraId="5FB59F4B" w14:textId="77777777" w:rsidR="006140B9" w:rsidRPr="00012278" w:rsidRDefault="006140B9" w:rsidP="006140B9">
            <w:pPr>
              <w:rPr>
                <w:szCs w:val="22"/>
                <w:lang w:val="sr-Latn-ME"/>
              </w:rPr>
            </w:pPr>
            <w:r w:rsidRPr="00012278">
              <w:rPr>
                <w:szCs w:val="22"/>
                <w:lang w:val="sr-Latn-ME"/>
              </w:rPr>
              <w:t>kapecitabin</w:t>
            </w:r>
          </w:p>
        </w:tc>
        <w:tc>
          <w:tcPr>
            <w:tcW w:w="768" w:type="pct"/>
            <w:tcBorders>
              <w:top w:val="nil"/>
              <w:left w:val="single" w:sz="4" w:space="0" w:color="auto"/>
            </w:tcBorders>
          </w:tcPr>
          <w:p w14:paraId="55ACD6CA" w14:textId="77777777" w:rsidR="006140B9" w:rsidRPr="00012278" w:rsidRDefault="006140B9" w:rsidP="006140B9">
            <w:pPr>
              <w:rPr>
                <w:szCs w:val="22"/>
                <w:lang w:val="sr-Latn-ME"/>
              </w:rPr>
            </w:pPr>
            <w:r w:rsidRPr="00012278">
              <w:rPr>
                <w:szCs w:val="22"/>
                <w:lang w:val="sr-Latn-ME"/>
              </w:rPr>
              <w:t>1000 mg/m</w:t>
            </w:r>
            <w:r w:rsidRPr="00012278">
              <w:rPr>
                <w:szCs w:val="22"/>
                <w:vertAlign w:val="superscript"/>
                <w:lang w:val="sr-Latn-ME"/>
              </w:rPr>
              <w:t>2</w:t>
            </w:r>
            <w:r w:rsidRPr="00012278">
              <w:rPr>
                <w:szCs w:val="22"/>
                <w:lang w:val="sr-Latn-ME"/>
              </w:rPr>
              <w:t xml:space="preserve"> oralno, dva puta dnevno</w:t>
            </w:r>
          </w:p>
        </w:tc>
        <w:tc>
          <w:tcPr>
            <w:tcW w:w="2052" w:type="pct"/>
            <w:vMerge/>
          </w:tcPr>
          <w:p w14:paraId="62B8D55A" w14:textId="77777777" w:rsidR="006140B9" w:rsidRPr="00012278" w:rsidRDefault="006140B9" w:rsidP="006140B9">
            <w:pPr>
              <w:rPr>
                <w:szCs w:val="22"/>
                <w:lang w:val="sr-Latn-ME"/>
              </w:rPr>
            </w:pPr>
          </w:p>
        </w:tc>
      </w:tr>
      <w:tr w:rsidR="006140B9" w:rsidRPr="00012278" w14:paraId="62B922AB" w14:textId="77777777" w:rsidTr="002B4BD7">
        <w:trPr>
          <w:cantSplit/>
        </w:trPr>
        <w:tc>
          <w:tcPr>
            <w:tcW w:w="1249" w:type="pct"/>
            <w:vMerge/>
          </w:tcPr>
          <w:p w14:paraId="43F2E51C" w14:textId="77777777" w:rsidR="006140B9" w:rsidRPr="00012278" w:rsidRDefault="006140B9" w:rsidP="006140B9">
            <w:pPr>
              <w:rPr>
                <w:szCs w:val="22"/>
                <w:lang w:val="sr-Latn-ME"/>
              </w:rPr>
            </w:pPr>
          </w:p>
        </w:tc>
        <w:tc>
          <w:tcPr>
            <w:tcW w:w="931" w:type="pct"/>
          </w:tcPr>
          <w:p w14:paraId="584C306C" w14:textId="77777777" w:rsidR="006140B9" w:rsidRPr="00012278" w:rsidRDefault="006140B9" w:rsidP="006140B9">
            <w:pPr>
              <w:rPr>
                <w:szCs w:val="22"/>
                <w:lang w:val="sr-Latn-ME"/>
              </w:rPr>
            </w:pPr>
            <w:r w:rsidRPr="00012278">
              <w:rPr>
                <w:szCs w:val="22"/>
                <w:lang w:val="sr-Latn-ME"/>
              </w:rPr>
              <w:t>placebo ili bevacizumab</w:t>
            </w:r>
          </w:p>
        </w:tc>
        <w:tc>
          <w:tcPr>
            <w:tcW w:w="768" w:type="pct"/>
          </w:tcPr>
          <w:p w14:paraId="7DEA837C" w14:textId="77777777" w:rsidR="006140B9" w:rsidRPr="00012278" w:rsidRDefault="006140B9" w:rsidP="006140B9">
            <w:pPr>
              <w:rPr>
                <w:szCs w:val="22"/>
                <w:lang w:val="sr-Latn-ME"/>
              </w:rPr>
            </w:pPr>
            <w:r w:rsidRPr="00012278">
              <w:rPr>
                <w:szCs w:val="22"/>
                <w:lang w:val="sr-Latn-ME"/>
              </w:rPr>
              <w:t>7,5 mg/kg i.v. 30-90 min</w:t>
            </w:r>
          </w:p>
        </w:tc>
        <w:tc>
          <w:tcPr>
            <w:tcW w:w="2052" w:type="pct"/>
          </w:tcPr>
          <w:p w14:paraId="28C32D9A" w14:textId="5D531D0E" w:rsidR="006140B9" w:rsidRPr="00012278" w:rsidRDefault="006140B9" w:rsidP="006140B9">
            <w:pPr>
              <w:rPr>
                <w:szCs w:val="22"/>
                <w:lang w:val="sr-Latn-ME"/>
              </w:rPr>
            </w:pPr>
            <w:r w:rsidRPr="00012278">
              <w:rPr>
                <w:szCs w:val="22"/>
                <w:lang w:val="sr-Latn-ME"/>
              </w:rPr>
              <w:t>prvog dana, p</w:t>
            </w:r>
            <w:r w:rsidR="00FB7370" w:rsidRPr="00012278">
              <w:rPr>
                <w:szCs w:val="22"/>
                <w:lang w:val="sr-Latn-ME"/>
              </w:rPr>
              <w:t>rije</w:t>
            </w:r>
            <w:r w:rsidRPr="00012278">
              <w:rPr>
                <w:szCs w:val="22"/>
                <w:lang w:val="sr-Latn-ME"/>
              </w:rPr>
              <w:t xml:space="preserve"> XELOX, na svake 3 nedjelje</w:t>
            </w:r>
          </w:p>
        </w:tc>
      </w:tr>
      <w:tr w:rsidR="006140B9" w:rsidRPr="00012278" w14:paraId="3EF32664" w14:textId="77777777" w:rsidTr="00183A6F">
        <w:trPr>
          <w:cantSplit/>
        </w:trPr>
        <w:tc>
          <w:tcPr>
            <w:tcW w:w="5000" w:type="pct"/>
            <w:gridSpan w:val="4"/>
          </w:tcPr>
          <w:p w14:paraId="7373DD06" w14:textId="77777777" w:rsidR="006140B9" w:rsidRPr="00012278" w:rsidRDefault="006140B9" w:rsidP="006140B9">
            <w:pPr>
              <w:rPr>
                <w:szCs w:val="22"/>
                <w:lang w:val="sr-Latn-ME"/>
              </w:rPr>
            </w:pPr>
            <w:r w:rsidRPr="00012278">
              <w:rPr>
                <w:szCs w:val="22"/>
                <w:lang w:val="sr-Latn-ME"/>
              </w:rPr>
              <w:t xml:space="preserve">5-Fluorouracil: </w:t>
            </w:r>
            <w:r w:rsidRPr="00012278">
              <w:rPr>
                <w:szCs w:val="22"/>
                <w:lang w:val="sr-Latn-ME"/>
              </w:rPr>
              <w:tab/>
              <w:t>i.v. bolus injekcija odmah poslije leukovorina</w:t>
            </w:r>
          </w:p>
        </w:tc>
      </w:tr>
    </w:tbl>
    <w:p w14:paraId="1114A3DF" w14:textId="77777777" w:rsidR="006140B9" w:rsidRPr="00012278" w:rsidRDefault="006140B9" w:rsidP="006140B9">
      <w:pPr>
        <w:rPr>
          <w:b/>
          <w:szCs w:val="22"/>
          <w:lang w:val="sr-Latn-ME"/>
        </w:rPr>
      </w:pPr>
    </w:p>
    <w:p w14:paraId="5FDF57CF" w14:textId="1C93CD9A" w:rsidR="006140B9" w:rsidRPr="00012278" w:rsidRDefault="006140B9" w:rsidP="002B4BD7">
      <w:pPr>
        <w:jc w:val="both"/>
        <w:rPr>
          <w:szCs w:val="22"/>
          <w:lang w:val="sr-Latn-ME"/>
        </w:rPr>
      </w:pPr>
      <w:r w:rsidRPr="00012278">
        <w:rPr>
          <w:szCs w:val="22"/>
          <w:lang w:val="sr-Latn-ME"/>
        </w:rPr>
        <w:t>Utvrđeno je da liječenje XELOX protokolom nije manje efikasno u odnosu na liječenje FOLFOX-4 protokolom</w:t>
      </w:r>
      <w:r w:rsidR="00FB7370" w:rsidRPr="00012278">
        <w:rPr>
          <w:szCs w:val="22"/>
          <w:lang w:val="sr-Latn-ME"/>
        </w:rPr>
        <w:t>,</w:t>
      </w:r>
      <w:r w:rsidRPr="00012278">
        <w:rPr>
          <w:szCs w:val="22"/>
          <w:lang w:val="sr-Latn-ME"/>
        </w:rPr>
        <w:t xml:space="preserve"> kad se upoređuje preživljavanje bez progresije bolesti kod pacijenata koji su ispunjavali kriterijume i u populaciji pacijenata predviđenih za liječenje (vidjeti Tabelu 7). Rezultati ispitivanja takođe pokazuju ekvivalen</w:t>
      </w:r>
      <w:r w:rsidR="00FB7370" w:rsidRPr="00012278">
        <w:rPr>
          <w:szCs w:val="22"/>
          <w:lang w:val="sr-Latn-ME"/>
        </w:rPr>
        <w:t>tnost</w:t>
      </w:r>
      <w:r w:rsidRPr="00012278">
        <w:rPr>
          <w:szCs w:val="22"/>
          <w:lang w:val="sr-Latn-ME"/>
        </w:rPr>
        <w:t xml:space="preserve"> </w:t>
      </w:r>
      <w:r w:rsidR="00FB7370" w:rsidRPr="00012278">
        <w:rPr>
          <w:szCs w:val="22"/>
          <w:lang w:val="sr-Latn-ME"/>
        </w:rPr>
        <w:t>protokola</w:t>
      </w:r>
      <w:r w:rsidRPr="00012278">
        <w:rPr>
          <w:szCs w:val="22"/>
          <w:lang w:val="sr-Latn-ME"/>
        </w:rPr>
        <w:t xml:space="preserve"> XELOX i FOLFOX-4 u smislu  ukupnog preživljavanja  (vidjeti Tabelu 7). Poređenje XELOX plus bevacizumab sa jedne strane i FOLFOX-4 plus bevacizumab sa druge, obavljeno je kao prethodno definisana </w:t>
      </w:r>
      <w:r w:rsidR="00FB7370" w:rsidRPr="00012278">
        <w:rPr>
          <w:szCs w:val="22"/>
          <w:lang w:val="sr-Latn-ME"/>
        </w:rPr>
        <w:t>istraživačka</w:t>
      </w:r>
      <w:r w:rsidRPr="00012278">
        <w:rPr>
          <w:szCs w:val="22"/>
          <w:lang w:val="sr-Latn-ME"/>
        </w:rPr>
        <w:t xml:space="preserve"> analiza. U poređenju ovih terapijskih podgrupa XELOX p</w:t>
      </w:r>
      <w:r w:rsidR="002D634C" w:rsidRPr="00012278">
        <w:rPr>
          <w:szCs w:val="22"/>
          <w:lang w:val="sr-Latn-ME"/>
        </w:rPr>
        <w:t xml:space="preserve">rotokol sa </w:t>
      </w:r>
      <w:r w:rsidRPr="00012278">
        <w:rPr>
          <w:szCs w:val="22"/>
          <w:lang w:val="sr-Latn-ME"/>
        </w:rPr>
        <w:t>bevacizumab</w:t>
      </w:r>
      <w:r w:rsidR="002D634C" w:rsidRPr="00012278">
        <w:rPr>
          <w:szCs w:val="22"/>
          <w:lang w:val="sr-Latn-ME"/>
        </w:rPr>
        <w:t>om</w:t>
      </w:r>
      <w:r w:rsidRPr="00012278">
        <w:rPr>
          <w:szCs w:val="22"/>
          <w:lang w:val="sr-Latn-ME"/>
        </w:rPr>
        <w:t xml:space="preserve"> je bio </w:t>
      </w:r>
      <w:r w:rsidR="002D634C" w:rsidRPr="00012278">
        <w:rPr>
          <w:szCs w:val="22"/>
          <w:lang w:val="sr-Latn-ME"/>
        </w:rPr>
        <w:t>sličan</w:t>
      </w:r>
      <w:r w:rsidRPr="00012278">
        <w:rPr>
          <w:szCs w:val="22"/>
          <w:lang w:val="sr-Latn-ME"/>
        </w:rPr>
        <w:t xml:space="preserve"> FOLFOX-4 </w:t>
      </w:r>
      <w:r w:rsidR="002D634C" w:rsidRPr="00012278">
        <w:rPr>
          <w:szCs w:val="22"/>
          <w:lang w:val="sr-Latn-ME"/>
        </w:rPr>
        <w:t xml:space="preserve">protokolu sa </w:t>
      </w:r>
      <w:r w:rsidRPr="00012278">
        <w:rPr>
          <w:szCs w:val="22"/>
          <w:lang w:val="sr-Latn-ME"/>
        </w:rPr>
        <w:t>bevacizumab</w:t>
      </w:r>
      <w:r w:rsidR="002D634C" w:rsidRPr="00012278">
        <w:rPr>
          <w:szCs w:val="22"/>
          <w:lang w:val="sr-Latn-ME"/>
        </w:rPr>
        <w:t>om,</w:t>
      </w:r>
      <w:r w:rsidRPr="00012278">
        <w:rPr>
          <w:szCs w:val="22"/>
          <w:lang w:val="sr-Latn-ME"/>
        </w:rPr>
        <w:t xml:space="preserve"> u smislu preživljavanja bez progresije bolesti (</w:t>
      </w:r>
      <w:r w:rsidR="002D634C" w:rsidRPr="00012278">
        <w:rPr>
          <w:szCs w:val="22"/>
          <w:lang w:val="sr-Latn-ME"/>
        </w:rPr>
        <w:t>odnos</w:t>
      </w:r>
      <w:r w:rsidRPr="00012278">
        <w:rPr>
          <w:szCs w:val="22"/>
          <w:lang w:val="sr-Latn-ME"/>
        </w:rPr>
        <w:t xml:space="preserve"> rizika 1,01 97,5% CI 0,84; 1,22). </w:t>
      </w:r>
      <w:r w:rsidR="008E6991" w:rsidRPr="00012278">
        <w:rPr>
          <w:szCs w:val="22"/>
          <w:lang w:val="sr-Latn-ME"/>
        </w:rPr>
        <w:t>Medijana</w:t>
      </w:r>
      <w:r w:rsidRPr="00012278">
        <w:rPr>
          <w:szCs w:val="22"/>
          <w:lang w:val="sr-Latn-ME"/>
        </w:rPr>
        <w:t xml:space="preserve"> praćenja u trenutku primarne analize u populaciji pacijenata predviđenih za liječenje  iznosilo je 1,5 godinu. Podaci iz analiza poslije još jedne godine praćenja takođe su uključeni u Tabelu 7. Međutim, analiza preživljavanja bez progresije bolesti (</w:t>
      </w:r>
      <w:r w:rsidRPr="00012278">
        <w:rPr>
          <w:i/>
          <w:szCs w:val="22"/>
          <w:lang w:val="sr-Latn-ME"/>
        </w:rPr>
        <w:t>PFS</w:t>
      </w:r>
      <w:r w:rsidR="0050072D" w:rsidRPr="00012278">
        <w:rPr>
          <w:szCs w:val="22"/>
          <w:vertAlign w:val="subscript"/>
          <w:lang w:val="sr-Latn-ME"/>
        </w:rPr>
        <w:t>eng</w:t>
      </w:r>
      <w:r w:rsidR="0050072D" w:rsidRPr="00012278">
        <w:rPr>
          <w:szCs w:val="22"/>
          <w:lang w:val="sr-Latn-ME"/>
        </w:rPr>
        <w:t xml:space="preserve">. – </w:t>
      </w:r>
      <w:r w:rsidR="0050072D" w:rsidRPr="00012278">
        <w:rPr>
          <w:i/>
          <w:szCs w:val="22"/>
          <w:lang w:val="sr-Latn-ME"/>
        </w:rPr>
        <w:t>progression free survival</w:t>
      </w:r>
      <w:r w:rsidRPr="00012278">
        <w:rPr>
          <w:szCs w:val="22"/>
          <w:lang w:val="sr-Latn-ME"/>
        </w:rPr>
        <w:t>) tokom terapije nije potvrdila rezultate opšte analize preživljavanja bez progresije bolesti (PFS) i ukupnog preživljavanja (</w:t>
      </w:r>
      <w:r w:rsidRPr="00012278">
        <w:rPr>
          <w:i/>
          <w:szCs w:val="22"/>
          <w:lang w:val="sr-Latn-ME"/>
        </w:rPr>
        <w:t>OS</w:t>
      </w:r>
      <w:r w:rsidR="0050072D" w:rsidRPr="00012278">
        <w:rPr>
          <w:i/>
          <w:szCs w:val="22"/>
          <w:vertAlign w:val="subscript"/>
          <w:lang w:val="sr-Latn-ME"/>
        </w:rPr>
        <w:t>eng</w:t>
      </w:r>
      <w:r w:rsidR="0050072D" w:rsidRPr="00012278">
        <w:rPr>
          <w:i/>
          <w:szCs w:val="22"/>
          <w:lang w:val="sr-Latn-ME"/>
        </w:rPr>
        <w:t>. - overall survival</w:t>
      </w:r>
      <w:r w:rsidRPr="00012278">
        <w:rPr>
          <w:szCs w:val="22"/>
          <w:lang w:val="sr-Latn-ME"/>
        </w:rPr>
        <w:t xml:space="preserve">):  </w:t>
      </w:r>
      <w:r w:rsidR="0050072D" w:rsidRPr="00012278">
        <w:rPr>
          <w:szCs w:val="22"/>
          <w:lang w:val="sr-Latn-ME"/>
        </w:rPr>
        <w:t xml:space="preserve">odnos </w:t>
      </w:r>
      <w:r w:rsidRPr="00012278">
        <w:rPr>
          <w:szCs w:val="22"/>
          <w:lang w:val="sr-Latn-ME"/>
        </w:rPr>
        <w:t xml:space="preserve">rizika za XELOX u poređenju sa terapijom  FOLFOX-4 iznosio je 1,24 gdje je 97,5% CI: 1,07 do 1,44. Iako analiza osjetljivosti pokazuje da  razlika u </w:t>
      </w:r>
      <w:r w:rsidR="0050072D" w:rsidRPr="00012278">
        <w:rPr>
          <w:szCs w:val="22"/>
          <w:lang w:val="sr-Latn-ME"/>
        </w:rPr>
        <w:t>rasporedu protokola</w:t>
      </w:r>
      <w:r w:rsidRPr="00012278">
        <w:rPr>
          <w:szCs w:val="22"/>
          <w:lang w:val="sr-Latn-ME"/>
        </w:rPr>
        <w:t xml:space="preserve"> i </w:t>
      </w:r>
      <w:r w:rsidR="0050072D" w:rsidRPr="00012278">
        <w:rPr>
          <w:szCs w:val="22"/>
          <w:lang w:val="sr-Latn-ME"/>
        </w:rPr>
        <w:t xml:space="preserve">odabiru </w:t>
      </w:r>
      <w:r w:rsidRPr="00012278">
        <w:rPr>
          <w:szCs w:val="22"/>
          <w:lang w:val="sr-Latn-ME"/>
        </w:rPr>
        <w:t>vremen</w:t>
      </w:r>
      <w:r w:rsidR="0050072D" w:rsidRPr="00012278">
        <w:rPr>
          <w:szCs w:val="22"/>
          <w:lang w:val="sr-Latn-ME"/>
        </w:rPr>
        <w:t>a</w:t>
      </w:r>
      <w:r w:rsidRPr="00012278">
        <w:rPr>
          <w:szCs w:val="22"/>
          <w:lang w:val="sr-Latn-ME"/>
        </w:rPr>
        <w:t xml:space="preserve"> procjene tumor</w:t>
      </w:r>
      <w:r w:rsidR="008272BE" w:rsidRPr="00012278">
        <w:rPr>
          <w:szCs w:val="22"/>
          <w:lang w:val="sr-Latn-ME"/>
        </w:rPr>
        <w:t>a ima</w:t>
      </w:r>
      <w:r w:rsidRPr="00012278">
        <w:rPr>
          <w:szCs w:val="22"/>
          <w:lang w:val="sr-Latn-ME"/>
        </w:rPr>
        <w:t xml:space="preserve"> uticaj na analizu PFS tokom terapije, nije nađeno potpuno objašnjenje za ovaj rezultat.</w:t>
      </w:r>
    </w:p>
    <w:p w14:paraId="16388A13" w14:textId="77777777" w:rsidR="006140B9" w:rsidRPr="00012278" w:rsidRDefault="006140B9" w:rsidP="006140B9">
      <w:pPr>
        <w:rPr>
          <w:szCs w:val="22"/>
          <w:lang w:val="sr-Latn-ME"/>
        </w:rPr>
      </w:pPr>
    </w:p>
    <w:p w14:paraId="1215C7A2" w14:textId="6D4341C4" w:rsidR="006140B9" w:rsidRPr="00012278" w:rsidRDefault="006140B9" w:rsidP="006140B9">
      <w:pPr>
        <w:rPr>
          <w:szCs w:val="22"/>
          <w:lang w:val="sr-Latn-ME"/>
        </w:rPr>
      </w:pPr>
      <w:r w:rsidRPr="00012278">
        <w:rPr>
          <w:szCs w:val="22"/>
          <w:lang w:val="sr-Latn-ME"/>
        </w:rPr>
        <w:t>Tabela 7. Ključni rezultati procjene efikasnosti u analizi neinferiornosti u  ispitivanju NO 16966</w:t>
      </w:r>
    </w:p>
    <w:p w14:paraId="68984553" w14:textId="77777777" w:rsidR="00AE1B55" w:rsidRPr="00012278" w:rsidRDefault="00AE1B55" w:rsidP="006140B9">
      <w:pPr>
        <w:rPr>
          <w:szCs w:val="22"/>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2698"/>
        <w:gridCol w:w="2702"/>
        <w:gridCol w:w="2233"/>
      </w:tblGrid>
      <w:tr w:rsidR="006140B9" w:rsidRPr="00012278" w14:paraId="3E3DFFD4" w14:textId="77777777" w:rsidTr="00183A6F">
        <w:tc>
          <w:tcPr>
            <w:tcW w:w="5000" w:type="pct"/>
            <w:gridSpan w:val="4"/>
            <w:shd w:val="clear" w:color="auto" w:fill="E6E6E6"/>
            <w:vAlign w:val="center"/>
          </w:tcPr>
          <w:p w14:paraId="34A87930" w14:textId="77777777" w:rsidR="006140B9" w:rsidRPr="00012278" w:rsidRDefault="006140B9" w:rsidP="0012640D">
            <w:pPr>
              <w:keepNext/>
              <w:rPr>
                <w:b/>
                <w:szCs w:val="22"/>
                <w:lang w:val="sr-Latn-ME"/>
              </w:rPr>
            </w:pPr>
            <w:r w:rsidRPr="00012278">
              <w:rPr>
                <w:b/>
                <w:szCs w:val="22"/>
                <w:lang w:val="sr-Latn-ME"/>
              </w:rPr>
              <w:t>PRIMARNA ANALIZA</w:t>
            </w:r>
          </w:p>
        </w:tc>
      </w:tr>
      <w:tr w:rsidR="006140B9" w:rsidRPr="00012278" w14:paraId="781C1321" w14:textId="77777777" w:rsidTr="00183A6F">
        <w:tc>
          <w:tcPr>
            <w:tcW w:w="2277" w:type="pct"/>
            <w:gridSpan w:val="2"/>
            <w:shd w:val="clear" w:color="auto" w:fill="auto"/>
            <w:vAlign w:val="bottom"/>
          </w:tcPr>
          <w:p w14:paraId="6B8C363D" w14:textId="77777777" w:rsidR="006140B9" w:rsidRPr="00012278" w:rsidRDefault="006140B9" w:rsidP="002B4BD7">
            <w:pPr>
              <w:keepNext/>
              <w:jc w:val="center"/>
              <w:rPr>
                <w:b/>
                <w:szCs w:val="22"/>
                <w:lang w:val="sr-Latn-ME"/>
              </w:rPr>
            </w:pPr>
            <w:r w:rsidRPr="00012278">
              <w:rPr>
                <w:b/>
                <w:szCs w:val="22"/>
                <w:lang w:val="sr-Latn-ME"/>
              </w:rPr>
              <w:t>XELOX/XELOX+P/</w:t>
            </w:r>
            <w:r w:rsidRPr="00012278">
              <w:rPr>
                <w:b/>
                <w:szCs w:val="22"/>
                <w:lang w:val="sr-Latn-ME"/>
              </w:rPr>
              <w:br/>
              <w:t>XELOX+BV</w:t>
            </w:r>
          </w:p>
          <w:p w14:paraId="7D09B446" w14:textId="77777777" w:rsidR="006140B9" w:rsidRPr="00012278" w:rsidRDefault="006140B9" w:rsidP="002B4BD7">
            <w:pPr>
              <w:keepNext/>
              <w:jc w:val="center"/>
              <w:rPr>
                <w:b/>
                <w:szCs w:val="22"/>
                <w:lang w:val="sr-Latn-ME"/>
              </w:rPr>
            </w:pPr>
            <w:r w:rsidRPr="00012278">
              <w:rPr>
                <w:b/>
                <w:szCs w:val="22"/>
                <w:lang w:val="sr-Latn-ME"/>
              </w:rPr>
              <w:t>(EPP*: N=967; ITT**: N=1017)</w:t>
            </w:r>
          </w:p>
        </w:tc>
        <w:tc>
          <w:tcPr>
            <w:tcW w:w="2723" w:type="pct"/>
            <w:gridSpan w:val="2"/>
            <w:shd w:val="clear" w:color="auto" w:fill="auto"/>
            <w:vAlign w:val="bottom"/>
          </w:tcPr>
          <w:p w14:paraId="7855D3D8" w14:textId="77777777" w:rsidR="006140B9" w:rsidRPr="00012278" w:rsidRDefault="006140B9" w:rsidP="002B4BD7">
            <w:pPr>
              <w:keepNext/>
              <w:jc w:val="center"/>
              <w:rPr>
                <w:b/>
                <w:szCs w:val="22"/>
                <w:lang w:val="sr-Latn-ME"/>
              </w:rPr>
            </w:pPr>
            <w:r w:rsidRPr="00012278">
              <w:rPr>
                <w:b/>
                <w:szCs w:val="22"/>
                <w:lang w:val="sr-Latn-ME"/>
              </w:rPr>
              <w:t>FOLFOX-4/FOLFOX-4+P/</w:t>
            </w:r>
            <w:r w:rsidRPr="00012278">
              <w:rPr>
                <w:b/>
                <w:szCs w:val="22"/>
                <w:lang w:val="sr-Latn-ME"/>
              </w:rPr>
              <w:br/>
              <w:t>FOLFOX-4+BV</w:t>
            </w:r>
          </w:p>
          <w:p w14:paraId="0FACED66" w14:textId="77777777" w:rsidR="006140B9" w:rsidRPr="00012278" w:rsidRDefault="006140B9" w:rsidP="002B4BD7">
            <w:pPr>
              <w:keepNext/>
              <w:jc w:val="center"/>
              <w:rPr>
                <w:b/>
                <w:szCs w:val="22"/>
                <w:lang w:val="sr-Latn-ME"/>
              </w:rPr>
            </w:pPr>
            <w:r w:rsidRPr="00012278">
              <w:rPr>
                <w:b/>
                <w:szCs w:val="22"/>
                <w:lang w:val="sr-Latn-ME"/>
              </w:rPr>
              <w:t>(EPP*: N = 937; ITT**: N= 1017)</w:t>
            </w:r>
          </w:p>
        </w:tc>
      </w:tr>
      <w:tr w:rsidR="006140B9" w:rsidRPr="00012278" w14:paraId="536C074F" w14:textId="77777777" w:rsidTr="00183A6F">
        <w:tc>
          <w:tcPr>
            <w:tcW w:w="788" w:type="pct"/>
            <w:tcBorders>
              <w:bottom w:val="single" w:sz="4" w:space="0" w:color="auto"/>
            </w:tcBorders>
            <w:shd w:val="clear" w:color="auto" w:fill="auto"/>
            <w:vAlign w:val="bottom"/>
          </w:tcPr>
          <w:p w14:paraId="6816D837" w14:textId="77777777" w:rsidR="006140B9" w:rsidRPr="00012278" w:rsidRDefault="006140B9" w:rsidP="0012640D">
            <w:pPr>
              <w:keepNext/>
              <w:rPr>
                <w:b/>
                <w:szCs w:val="22"/>
                <w:lang w:val="sr-Latn-ME"/>
              </w:rPr>
            </w:pPr>
            <w:r w:rsidRPr="00012278">
              <w:rPr>
                <w:b/>
                <w:szCs w:val="22"/>
                <w:lang w:val="sr-Latn-ME"/>
              </w:rPr>
              <w:t>Populacija</w:t>
            </w:r>
          </w:p>
        </w:tc>
        <w:tc>
          <w:tcPr>
            <w:tcW w:w="2980" w:type="pct"/>
            <w:gridSpan w:val="2"/>
            <w:tcBorders>
              <w:bottom w:val="single" w:sz="4" w:space="0" w:color="auto"/>
            </w:tcBorders>
            <w:shd w:val="clear" w:color="auto" w:fill="auto"/>
            <w:vAlign w:val="bottom"/>
          </w:tcPr>
          <w:p w14:paraId="4F71A04E" w14:textId="6733815B" w:rsidR="006140B9" w:rsidRPr="00012278" w:rsidRDefault="008272BE" w:rsidP="0012640D">
            <w:pPr>
              <w:keepNext/>
              <w:rPr>
                <w:b/>
                <w:szCs w:val="22"/>
                <w:lang w:val="sr-Latn-ME"/>
              </w:rPr>
            </w:pPr>
            <w:r w:rsidRPr="00012278">
              <w:rPr>
                <w:b/>
                <w:szCs w:val="22"/>
                <w:lang w:val="sr-Latn-ME"/>
              </w:rPr>
              <w:t>Medijan</w:t>
            </w:r>
            <w:r w:rsidR="00576467" w:rsidRPr="00012278">
              <w:rPr>
                <w:b/>
                <w:szCs w:val="22"/>
                <w:lang w:val="sr-Latn-ME"/>
              </w:rPr>
              <w:t>a</w:t>
            </w:r>
            <w:r w:rsidRPr="00012278">
              <w:rPr>
                <w:b/>
                <w:szCs w:val="22"/>
                <w:lang w:val="sr-Latn-ME"/>
              </w:rPr>
              <w:t xml:space="preserve"> vremena</w:t>
            </w:r>
            <w:r w:rsidR="006140B9" w:rsidRPr="00012278">
              <w:rPr>
                <w:b/>
                <w:szCs w:val="22"/>
                <w:lang w:val="sr-Latn-ME"/>
              </w:rPr>
              <w:t xml:space="preserve"> do</w:t>
            </w:r>
            <w:r w:rsidRPr="00012278">
              <w:rPr>
                <w:b/>
                <w:szCs w:val="22"/>
                <w:lang w:val="sr-Latn-ME"/>
              </w:rPr>
              <w:t xml:space="preserve"> </w:t>
            </w:r>
            <w:r w:rsidR="006140B9" w:rsidRPr="00012278">
              <w:rPr>
                <w:b/>
                <w:szCs w:val="22"/>
                <w:lang w:val="sr-Latn-ME"/>
              </w:rPr>
              <w:t>događaja (</w:t>
            </w:r>
            <w:r w:rsidR="00576467" w:rsidRPr="00012278">
              <w:rPr>
                <w:b/>
                <w:szCs w:val="22"/>
                <w:lang w:val="sr-Latn-ME"/>
              </w:rPr>
              <w:t>dani</w:t>
            </w:r>
            <w:r w:rsidR="006140B9" w:rsidRPr="00012278">
              <w:rPr>
                <w:b/>
                <w:szCs w:val="22"/>
                <w:lang w:val="sr-Latn-ME"/>
              </w:rPr>
              <w:t>)</w:t>
            </w:r>
          </w:p>
        </w:tc>
        <w:tc>
          <w:tcPr>
            <w:tcW w:w="1232" w:type="pct"/>
            <w:tcBorders>
              <w:bottom w:val="single" w:sz="4" w:space="0" w:color="auto"/>
            </w:tcBorders>
            <w:shd w:val="clear" w:color="auto" w:fill="auto"/>
            <w:vAlign w:val="bottom"/>
          </w:tcPr>
          <w:p w14:paraId="551FA082" w14:textId="77777777" w:rsidR="006140B9" w:rsidRPr="00012278" w:rsidRDefault="006140B9" w:rsidP="002B4BD7">
            <w:pPr>
              <w:keepNext/>
              <w:jc w:val="center"/>
              <w:rPr>
                <w:b/>
                <w:szCs w:val="22"/>
                <w:lang w:val="sr-Latn-ME"/>
              </w:rPr>
            </w:pPr>
            <w:r w:rsidRPr="00012278">
              <w:rPr>
                <w:b/>
                <w:szCs w:val="22"/>
                <w:lang w:val="sr-Latn-ME"/>
              </w:rPr>
              <w:t>HR</w:t>
            </w:r>
          </w:p>
          <w:p w14:paraId="395D82B4" w14:textId="77777777" w:rsidR="006140B9" w:rsidRPr="00012278" w:rsidRDefault="006140B9" w:rsidP="002B4BD7">
            <w:pPr>
              <w:keepNext/>
              <w:jc w:val="center"/>
              <w:rPr>
                <w:b/>
                <w:szCs w:val="22"/>
                <w:lang w:val="sr-Latn-ME"/>
              </w:rPr>
            </w:pPr>
            <w:r w:rsidRPr="00012278">
              <w:rPr>
                <w:b/>
                <w:szCs w:val="22"/>
                <w:lang w:val="sr-Latn-ME"/>
              </w:rPr>
              <w:t>(97,5% CI)</w:t>
            </w:r>
          </w:p>
        </w:tc>
      </w:tr>
      <w:tr w:rsidR="006140B9" w:rsidRPr="00012278" w14:paraId="19B9D1D7" w14:textId="77777777" w:rsidTr="00183A6F">
        <w:tc>
          <w:tcPr>
            <w:tcW w:w="5000" w:type="pct"/>
            <w:gridSpan w:val="4"/>
            <w:shd w:val="clear" w:color="auto" w:fill="E6E6E6"/>
            <w:vAlign w:val="center"/>
          </w:tcPr>
          <w:p w14:paraId="72614C52" w14:textId="77777777" w:rsidR="006140B9" w:rsidRPr="00012278" w:rsidRDefault="006140B9" w:rsidP="0012640D">
            <w:pPr>
              <w:keepNext/>
              <w:rPr>
                <w:b/>
                <w:szCs w:val="22"/>
                <w:lang w:val="sr-Latn-ME"/>
              </w:rPr>
            </w:pPr>
            <w:r w:rsidRPr="00012278">
              <w:rPr>
                <w:b/>
                <w:szCs w:val="22"/>
                <w:lang w:val="sr-Latn-ME"/>
              </w:rPr>
              <w:t>Parametar: Preživljavanje bez progresije</w:t>
            </w:r>
            <w:r w:rsidR="008272BE" w:rsidRPr="00012278">
              <w:rPr>
                <w:b/>
                <w:szCs w:val="22"/>
                <w:lang w:val="sr-Latn-ME"/>
              </w:rPr>
              <w:t xml:space="preserve"> bolesti</w:t>
            </w:r>
          </w:p>
        </w:tc>
      </w:tr>
      <w:tr w:rsidR="006140B9" w:rsidRPr="00012278" w14:paraId="5EA77BAF" w14:textId="77777777" w:rsidTr="00183A6F">
        <w:trPr>
          <w:trHeight w:val="430"/>
        </w:trPr>
        <w:tc>
          <w:tcPr>
            <w:tcW w:w="788" w:type="pct"/>
            <w:tcBorders>
              <w:bottom w:val="single" w:sz="4" w:space="0" w:color="auto"/>
            </w:tcBorders>
            <w:shd w:val="clear" w:color="auto" w:fill="auto"/>
            <w:vAlign w:val="center"/>
          </w:tcPr>
          <w:p w14:paraId="08B3D5E3" w14:textId="77777777" w:rsidR="006140B9" w:rsidRPr="00012278" w:rsidRDefault="006140B9" w:rsidP="0012640D">
            <w:pPr>
              <w:keepNext/>
              <w:rPr>
                <w:szCs w:val="22"/>
                <w:lang w:val="sr-Latn-ME"/>
              </w:rPr>
            </w:pPr>
            <w:r w:rsidRPr="00012278">
              <w:rPr>
                <w:szCs w:val="22"/>
                <w:lang w:val="sr-Latn-ME"/>
              </w:rPr>
              <w:t>EPP</w:t>
            </w:r>
          </w:p>
          <w:p w14:paraId="76212274" w14:textId="77777777" w:rsidR="006140B9" w:rsidRPr="00012278" w:rsidRDefault="006140B9" w:rsidP="0012640D">
            <w:pPr>
              <w:keepNext/>
              <w:rPr>
                <w:szCs w:val="22"/>
                <w:lang w:val="sr-Latn-ME"/>
              </w:rPr>
            </w:pPr>
            <w:r w:rsidRPr="00012278">
              <w:rPr>
                <w:szCs w:val="22"/>
                <w:lang w:val="sr-Latn-ME"/>
              </w:rPr>
              <w:t>ITT</w:t>
            </w:r>
          </w:p>
        </w:tc>
        <w:tc>
          <w:tcPr>
            <w:tcW w:w="1489" w:type="pct"/>
            <w:tcBorders>
              <w:bottom w:val="single" w:sz="4" w:space="0" w:color="auto"/>
            </w:tcBorders>
            <w:shd w:val="clear" w:color="auto" w:fill="auto"/>
          </w:tcPr>
          <w:p w14:paraId="7033B6CC" w14:textId="77777777" w:rsidR="006140B9" w:rsidRPr="00012278" w:rsidRDefault="006140B9" w:rsidP="0012640D">
            <w:pPr>
              <w:keepNext/>
              <w:rPr>
                <w:szCs w:val="22"/>
                <w:lang w:val="sr-Latn-ME"/>
              </w:rPr>
            </w:pPr>
            <w:r w:rsidRPr="00012278">
              <w:rPr>
                <w:szCs w:val="22"/>
                <w:lang w:val="sr-Latn-ME"/>
              </w:rPr>
              <w:t>241</w:t>
            </w:r>
          </w:p>
          <w:p w14:paraId="0AF8974A" w14:textId="77777777" w:rsidR="006140B9" w:rsidRPr="00012278" w:rsidRDefault="006140B9" w:rsidP="0012640D">
            <w:pPr>
              <w:keepNext/>
              <w:rPr>
                <w:szCs w:val="22"/>
                <w:lang w:val="sr-Latn-ME"/>
              </w:rPr>
            </w:pPr>
            <w:r w:rsidRPr="00012278">
              <w:rPr>
                <w:szCs w:val="22"/>
                <w:lang w:val="sr-Latn-ME"/>
              </w:rPr>
              <w:t>244</w:t>
            </w:r>
          </w:p>
        </w:tc>
        <w:tc>
          <w:tcPr>
            <w:tcW w:w="1491" w:type="pct"/>
            <w:tcBorders>
              <w:bottom w:val="single" w:sz="4" w:space="0" w:color="auto"/>
            </w:tcBorders>
            <w:shd w:val="clear" w:color="auto" w:fill="auto"/>
            <w:vAlign w:val="center"/>
          </w:tcPr>
          <w:p w14:paraId="7DD0AA00" w14:textId="77777777" w:rsidR="006140B9" w:rsidRPr="00012278" w:rsidRDefault="006140B9" w:rsidP="0012640D">
            <w:pPr>
              <w:keepNext/>
              <w:rPr>
                <w:szCs w:val="22"/>
                <w:lang w:val="sr-Latn-ME"/>
              </w:rPr>
            </w:pPr>
            <w:r w:rsidRPr="00012278">
              <w:rPr>
                <w:szCs w:val="22"/>
                <w:lang w:val="sr-Latn-ME"/>
              </w:rPr>
              <w:t xml:space="preserve">259 </w:t>
            </w:r>
          </w:p>
          <w:p w14:paraId="4916C413" w14:textId="77777777" w:rsidR="006140B9" w:rsidRPr="00012278" w:rsidRDefault="006140B9" w:rsidP="0012640D">
            <w:pPr>
              <w:keepNext/>
              <w:rPr>
                <w:szCs w:val="22"/>
                <w:lang w:val="sr-Latn-ME"/>
              </w:rPr>
            </w:pPr>
            <w:r w:rsidRPr="00012278">
              <w:rPr>
                <w:szCs w:val="22"/>
                <w:lang w:val="sr-Latn-ME"/>
              </w:rPr>
              <w:t>259</w:t>
            </w:r>
          </w:p>
        </w:tc>
        <w:tc>
          <w:tcPr>
            <w:tcW w:w="1232" w:type="pct"/>
            <w:tcBorders>
              <w:bottom w:val="single" w:sz="4" w:space="0" w:color="auto"/>
            </w:tcBorders>
            <w:shd w:val="clear" w:color="auto" w:fill="auto"/>
            <w:vAlign w:val="center"/>
          </w:tcPr>
          <w:p w14:paraId="096CF355" w14:textId="77777777" w:rsidR="006140B9" w:rsidRPr="00012278" w:rsidRDefault="006140B9" w:rsidP="0012640D">
            <w:pPr>
              <w:keepNext/>
              <w:rPr>
                <w:szCs w:val="22"/>
                <w:lang w:val="sr-Latn-ME"/>
              </w:rPr>
            </w:pPr>
            <w:r w:rsidRPr="00012278">
              <w:rPr>
                <w:szCs w:val="22"/>
                <w:lang w:val="sr-Latn-ME"/>
              </w:rPr>
              <w:t>1,05 (0,94; 1,18)</w:t>
            </w:r>
          </w:p>
          <w:p w14:paraId="33BFC2F8" w14:textId="77777777" w:rsidR="006140B9" w:rsidRPr="00012278" w:rsidRDefault="006140B9" w:rsidP="0012640D">
            <w:pPr>
              <w:keepNext/>
              <w:rPr>
                <w:szCs w:val="22"/>
                <w:lang w:val="sr-Latn-ME"/>
              </w:rPr>
            </w:pPr>
            <w:r w:rsidRPr="00012278">
              <w:rPr>
                <w:szCs w:val="22"/>
                <w:lang w:val="sr-Latn-ME"/>
              </w:rPr>
              <w:t>1,04 (0,93; 1,16)</w:t>
            </w:r>
          </w:p>
        </w:tc>
      </w:tr>
      <w:tr w:rsidR="006140B9" w:rsidRPr="00012278" w14:paraId="036077CF" w14:textId="77777777" w:rsidTr="00183A6F">
        <w:tc>
          <w:tcPr>
            <w:tcW w:w="5000" w:type="pct"/>
            <w:gridSpan w:val="4"/>
            <w:shd w:val="clear" w:color="auto" w:fill="E6E6E6"/>
            <w:vAlign w:val="center"/>
          </w:tcPr>
          <w:p w14:paraId="5A40CF60" w14:textId="77777777" w:rsidR="006140B9" w:rsidRPr="00012278" w:rsidRDefault="006140B9" w:rsidP="0012640D">
            <w:pPr>
              <w:keepNext/>
              <w:rPr>
                <w:b/>
                <w:szCs w:val="22"/>
                <w:lang w:val="sr-Latn-ME"/>
              </w:rPr>
            </w:pPr>
            <w:r w:rsidRPr="00012278">
              <w:rPr>
                <w:b/>
                <w:szCs w:val="22"/>
                <w:lang w:val="sr-Latn-ME"/>
              </w:rPr>
              <w:t>Parametar: Ukupno preživljavanje</w:t>
            </w:r>
          </w:p>
        </w:tc>
      </w:tr>
      <w:tr w:rsidR="006140B9" w:rsidRPr="00012278" w14:paraId="12F96CC9" w14:textId="77777777" w:rsidTr="00183A6F">
        <w:tc>
          <w:tcPr>
            <w:tcW w:w="788" w:type="pct"/>
            <w:tcBorders>
              <w:bottom w:val="single" w:sz="4" w:space="0" w:color="auto"/>
            </w:tcBorders>
            <w:shd w:val="clear" w:color="auto" w:fill="auto"/>
            <w:vAlign w:val="center"/>
          </w:tcPr>
          <w:p w14:paraId="26E10330" w14:textId="77777777" w:rsidR="006140B9" w:rsidRPr="00012278" w:rsidRDefault="006140B9" w:rsidP="0012640D">
            <w:pPr>
              <w:keepNext/>
              <w:rPr>
                <w:szCs w:val="22"/>
                <w:lang w:val="sr-Latn-ME"/>
              </w:rPr>
            </w:pPr>
            <w:r w:rsidRPr="00012278">
              <w:rPr>
                <w:szCs w:val="22"/>
                <w:lang w:val="sr-Latn-ME"/>
              </w:rPr>
              <w:t>EPP</w:t>
            </w:r>
          </w:p>
          <w:p w14:paraId="21440AC0" w14:textId="77777777" w:rsidR="006140B9" w:rsidRPr="00012278" w:rsidRDefault="006140B9" w:rsidP="0012640D">
            <w:pPr>
              <w:keepNext/>
              <w:rPr>
                <w:szCs w:val="22"/>
                <w:lang w:val="sr-Latn-ME"/>
              </w:rPr>
            </w:pPr>
            <w:r w:rsidRPr="00012278">
              <w:rPr>
                <w:szCs w:val="22"/>
                <w:lang w:val="sr-Latn-ME"/>
              </w:rPr>
              <w:t>ITT</w:t>
            </w:r>
          </w:p>
        </w:tc>
        <w:tc>
          <w:tcPr>
            <w:tcW w:w="1489" w:type="pct"/>
            <w:tcBorders>
              <w:bottom w:val="single" w:sz="4" w:space="0" w:color="auto"/>
            </w:tcBorders>
            <w:shd w:val="clear" w:color="auto" w:fill="auto"/>
            <w:vAlign w:val="center"/>
          </w:tcPr>
          <w:p w14:paraId="4A5D3813" w14:textId="77777777" w:rsidR="006140B9" w:rsidRPr="00012278" w:rsidRDefault="006140B9" w:rsidP="0012640D">
            <w:pPr>
              <w:keepNext/>
              <w:rPr>
                <w:szCs w:val="22"/>
                <w:lang w:val="sr-Latn-ME"/>
              </w:rPr>
            </w:pPr>
            <w:r w:rsidRPr="00012278">
              <w:rPr>
                <w:szCs w:val="22"/>
                <w:lang w:val="sr-Latn-ME"/>
              </w:rPr>
              <w:t>577</w:t>
            </w:r>
          </w:p>
          <w:p w14:paraId="753CFFF3" w14:textId="77777777" w:rsidR="006140B9" w:rsidRPr="00012278" w:rsidRDefault="006140B9" w:rsidP="0012640D">
            <w:pPr>
              <w:keepNext/>
              <w:rPr>
                <w:szCs w:val="22"/>
                <w:lang w:val="sr-Latn-ME"/>
              </w:rPr>
            </w:pPr>
            <w:r w:rsidRPr="00012278">
              <w:rPr>
                <w:szCs w:val="22"/>
                <w:lang w:val="sr-Latn-ME"/>
              </w:rPr>
              <w:t>581</w:t>
            </w:r>
          </w:p>
        </w:tc>
        <w:tc>
          <w:tcPr>
            <w:tcW w:w="1491" w:type="pct"/>
            <w:tcBorders>
              <w:bottom w:val="single" w:sz="4" w:space="0" w:color="auto"/>
            </w:tcBorders>
            <w:shd w:val="clear" w:color="auto" w:fill="auto"/>
            <w:vAlign w:val="center"/>
          </w:tcPr>
          <w:p w14:paraId="4033FF52" w14:textId="77777777" w:rsidR="006140B9" w:rsidRPr="00012278" w:rsidRDefault="006140B9" w:rsidP="0012640D">
            <w:pPr>
              <w:keepNext/>
              <w:rPr>
                <w:szCs w:val="22"/>
                <w:lang w:val="sr-Latn-ME"/>
              </w:rPr>
            </w:pPr>
            <w:r w:rsidRPr="00012278">
              <w:rPr>
                <w:szCs w:val="22"/>
                <w:lang w:val="sr-Latn-ME"/>
              </w:rPr>
              <w:t>549</w:t>
            </w:r>
          </w:p>
          <w:p w14:paraId="25D6B1F3" w14:textId="77777777" w:rsidR="006140B9" w:rsidRPr="00012278" w:rsidRDefault="006140B9" w:rsidP="0012640D">
            <w:pPr>
              <w:keepNext/>
              <w:rPr>
                <w:szCs w:val="22"/>
                <w:lang w:val="sr-Latn-ME"/>
              </w:rPr>
            </w:pPr>
            <w:r w:rsidRPr="00012278">
              <w:rPr>
                <w:szCs w:val="22"/>
                <w:lang w:val="sr-Latn-ME"/>
              </w:rPr>
              <w:t>553</w:t>
            </w:r>
          </w:p>
        </w:tc>
        <w:tc>
          <w:tcPr>
            <w:tcW w:w="1232" w:type="pct"/>
            <w:tcBorders>
              <w:bottom w:val="single" w:sz="4" w:space="0" w:color="auto"/>
            </w:tcBorders>
            <w:shd w:val="clear" w:color="auto" w:fill="auto"/>
            <w:vAlign w:val="center"/>
          </w:tcPr>
          <w:p w14:paraId="387583DB" w14:textId="77777777" w:rsidR="006140B9" w:rsidRPr="00012278" w:rsidRDefault="006140B9" w:rsidP="0012640D">
            <w:pPr>
              <w:keepNext/>
              <w:rPr>
                <w:szCs w:val="22"/>
                <w:lang w:val="sr-Latn-ME"/>
              </w:rPr>
            </w:pPr>
            <w:r w:rsidRPr="00012278">
              <w:rPr>
                <w:szCs w:val="22"/>
                <w:lang w:val="sr-Latn-ME"/>
              </w:rPr>
              <w:t>0,97 (0,84; 1,14)</w:t>
            </w:r>
          </w:p>
          <w:p w14:paraId="0F503477" w14:textId="77777777" w:rsidR="006140B9" w:rsidRPr="00012278" w:rsidRDefault="006140B9" w:rsidP="0012640D">
            <w:pPr>
              <w:keepNext/>
              <w:rPr>
                <w:szCs w:val="22"/>
                <w:lang w:val="sr-Latn-ME"/>
              </w:rPr>
            </w:pPr>
            <w:r w:rsidRPr="00012278">
              <w:rPr>
                <w:szCs w:val="22"/>
                <w:lang w:val="sr-Latn-ME"/>
              </w:rPr>
              <w:t>0,96 (0,83; 1,12)</w:t>
            </w:r>
          </w:p>
        </w:tc>
      </w:tr>
      <w:tr w:rsidR="006140B9" w:rsidRPr="00012278" w14:paraId="733DF1E0" w14:textId="77777777" w:rsidTr="00183A6F">
        <w:tc>
          <w:tcPr>
            <w:tcW w:w="5000" w:type="pct"/>
            <w:gridSpan w:val="4"/>
            <w:shd w:val="clear" w:color="auto" w:fill="E6E6E6"/>
            <w:vAlign w:val="center"/>
          </w:tcPr>
          <w:p w14:paraId="05CF0D4D" w14:textId="77777777" w:rsidR="006140B9" w:rsidRPr="00012278" w:rsidRDefault="006140B9" w:rsidP="0012640D">
            <w:pPr>
              <w:keepNext/>
              <w:rPr>
                <w:b/>
                <w:szCs w:val="22"/>
                <w:lang w:val="sr-Latn-ME"/>
              </w:rPr>
            </w:pPr>
            <w:r w:rsidRPr="00012278">
              <w:rPr>
                <w:b/>
                <w:szCs w:val="22"/>
                <w:lang w:val="sr-Latn-ME"/>
              </w:rPr>
              <w:t>DODATNA GODINA PRAĆENJA</w:t>
            </w:r>
          </w:p>
        </w:tc>
      </w:tr>
      <w:tr w:rsidR="006140B9" w:rsidRPr="00012278" w14:paraId="06CDF062" w14:textId="77777777" w:rsidTr="00183A6F">
        <w:tc>
          <w:tcPr>
            <w:tcW w:w="788" w:type="pct"/>
            <w:tcBorders>
              <w:bottom w:val="single" w:sz="4" w:space="0" w:color="auto"/>
            </w:tcBorders>
            <w:shd w:val="clear" w:color="auto" w:fill="auto"/>
            <w:vAlign w:val="bottom"/>
          </w:tcPr>
          <w:p w14:paraId="2A751357" w14:textId="77777777" w:rsidR="006140B9" w:rsidRPr="00012278" w:rsidRDefault="006140B9" w:rsidP="0012640D">
            <w:pPr>
              <w:keepNext/>
              <w:rPr>
                <w:b/>
                <w:szCs w:val="22"/>
                <w:lang w:val="sr-Latn-ME"/>
              </w:rPr>
            </w:pPr>
            <w:r w:rsidRPr="00012278">
              <w:rPr>
                <w:b/>
                <w:szCs w:val="22"/>
                <w:lang w:val="sr-Latn-ME"/>
              </w:rPr>
              <w:t>Populacija</w:t>
            </w:r>
          </w:p>
        </w:tc>
        <w:tc>
          <w:tcPr>
            <w:tcW w:w="2980" w:type="pct"/>
            <w:gridSpan w:val="2"/>
            <w:tcBorders>
              <w:bottom w:val="single" w:sz="4" w:space="0" w:color="auto"/>
            </w:tcBorders>
            <w:shd w:val="clear" w:color="auto" w:fill="auto"/>
            <w:vAlign w:val="bottom"/>
          </w:tcPr>
          <w:p w14:paraId="6873B8E9" w14:textId="34869D4E" w:rsidR="006140B9" w:rsidRPr="00012278" w:rsidRDefault="008272BE" w:rsidP="0012640D">
            <w:pPr>
              <w:keepNext/>
              <w:rPr>
                <w:b/>
                <w:szCs w:val="22"/>
                <w:lang w:val="sr-Latn-ME"/>
              </w:rPr>
            </w:pPr>
            <w:r w:rsidRPr="00012278">
              <w:rPr>
                <w:b/>
                <w:szCs w:val="22"/>
                <w:lang w:val="sr-Latn-ME"/>
              </w:rPr>
              <w:t>Medijan</w:t>
            </w:r>
            <w:r w:rsidR="00576467" w:rsidRPr="00012278">
              <w:rPr>
                <w:b/>
                <w:szCs w:val="22"/>
                <w:lang w:val="sr-Latn-ME"/>
              </w:rPr>
              <w:t>a</w:t>
            </w:r>
            <w:r w:rsidRPr="00012278">
              <w:rPr>
                <w:b/>
                <w:szCs w:val="22"/>
                <w:lang w:val="sr-Latn-ME"/>
              </w:rPr>
              <w:t xml:space="preserve"> vremena</w:t>
            </w:r>
            <w:r w:rsidR="006140B9" w:rsidRPr="00012278">
              <w:rPr>
                <w:b/>
                <w:szCs w:val="22"/>
                <w:lang w:val="sr-Latn-ME"/>
              </w:rPr>
              <w:t xml:space="preserve"> do </w:t>
            </w:r>
            <w:r w:rsidRPr="00012278">
              <w:rPr>
                <w:b/>
                <w:szCs w:val="22"/>
                <w:lang w:val="sr-Latn-ME"/>
              </w:rPr>
              <w:t xml:space="preserve"> </w:t>
            </w:r>
            <w:r w:rsidR="006140B9" w:rsidRPr="00012278">
              <w:rPr>
                <w:b/>
                <w:szCs w:val="22"/>
                <w:lang w:val="sr-Latn-ME"/>
              </w:rPr>
              <w:t>događaja (</w:t>
            </w:r>
            <w:r w:rsidR="00576467" w:rsidRPr="00012278">
              <w:rPr>
                <w:b/>
                <w:szCs w:val="22"/>
                <w:lang w:val="sr-Latn-ME"/>
              </w:rPr>
              <w:t>dani</w:t>
            </w:r>
            <w:r w:rsidR="006140B9" w:rsidRPr="00012278">
              <w:rPr>
                <w:b/>
                <w:szCs w:val="22"/>
                <w:lang w:val="sr-Latn-ME"/>
              </w:rPr>
              <w:t>)</w:t>
            </w:r>
          </w:p>
        </w:tc>
        <w:tc>
          <w:tcPr>
            <w:tcW w:w="1232" w:type="pct"/>
            <w:tcBorders>
              <w:bottom w:val="single" w:sz="4" w:space="0" w:color="auto"/>
            </w:tcBorders>
            <w:shd w:val="clear" w:color="auto" w:fill="auto"/>
            <w:vAlign w:val="bottom"/>
          </w:tcPr>
          <w:p w14:paraId="3A89A759" w14:textId="77777777" w:rsidR="006140B9" w:rsidRPr="00012278" w:rsidRDefault="006140B9" w:rsidP="002B4BD7">
            <w:pPr>
              <w:keepNext/>
              <w:jc w:val="center"/>
              <w:rPr>
                <w:b/>
                <w:szCs w:val="22"/>
                <w:lang w:val="sr-Latn-ME"/>
              </w:rPr>
            </w:pPr>
            <w:r w:rsidRPr="00012278">
              <w:rPr>
                <w:b/>
                <w:szCs w:val="22"/>
                <w:lang w:val="sr-Latn-ME"/>
              </w:rPr>
              <w:t>HR</w:t>
            </w:r>
          </w:p>
          <w:p w14:paraId="4DE5DFF7" w14:textId="77777777" w:rsidR="006140B9" w:rsidRPr="00012278" w:rsidRDefault="006140B9" w:rsidP="002B4BD7">
            <w:pPr>
              <w:keepNext/>
              <w:jc w:val="center"/>
              <w:rPr>
                <w:b/>
                <w:szCs w:val="22"/>
                <w:lang w:val="sr-Latn-ME"/>
              </w:rPr>
            </w:pPr>
            <w:r w:rsidRPr="00012278">
              <w:rPr>
                <w:b/>
                <w:szCs w:val="22"/>
                <w:lang w:val="sr-Latn-ME"/>
              </w:rPr>
              <w:t>(97,5% CI)</w:t>
            </w:r>
          </w:p>
        </w:tc>
      </w:tr>
      <w:tr w:rsidR="006140B9" w:rsidRPr="00012278" w14:paraId="773CF06F" w14:textId="77777777" w:rsidTr="00183A6F">
        <w:tc>
          <w:tcPr>
            <w:tcW w:w="5000" w:type="pct"/>
            <w:gridSpan w:val="4"/>
            <w:shd w:val="clear" w:color="auto" w:fill="E6E6E6"/>
            <w:vAlign w:val="center"/>
          </w:tcPr>
          <w:p w14:paraId="258B976D" w14:textId="77777777" w:rsidR="006140B9" w:rsidRPr="00012278" w:rsidRDefault="006140B9" w:rsidP="0012640D">
            <w:pPr>
              <w:keepNext/>
              <w:rPr>
                <w:b/>
                <w:szCs w:val="22"/>
                <w:lang w:val="sr-Latn-ME"/>
              </w:rPr>
            </w:pPr>
            <w:r w:rsidRPr="00012278">
              <w:rPr>
                <w:b/>
                <w:szCs w:val="22"/>
                <w:lang w:val="sr-Latn-ME"/>
              </w:rPr>
              <w:t>Parametar: Preživljavanje bez progresije</w:t>
            </w:r>
            <w:r w:rsidR="008272BE" w:rsidRPr="00012278">
              <w:rPr>
                <w:b/>
                <w:szCs w:val="22"/>
                <w:lang w:val="sr-Latn-ME"/>
              </w:rPr>
              <w:t xml:space="preserve"> bolesti</w:t>
            </w:r>
          </w:p>
        </w:tc>
      </w:tr>
      <w:tr w:rsidR="006140B9" w:rsidRPr="00012278" w14:paraId="5D80E4A2" w14:textId="77777777" w:rsidTr="00183A6F">
        <w:trPr>
          <w:trHeight w:val="430"/>
        </w:trPr>
        <w:tc>
          <w:tcPr>
            <w:tcW w:w="788" w:type="pct"/>
            <w:tcBorders>
              <w:bottom w:val="single" w:sz="4" w:space="0" w:color="auto"/>
            </w:tcBorders>
            <w:shd w:val="clear" w:color="auto" w:fill="auto"/>
            <w:vAlign w:val="center"/>
          </w:tcPr>
          <w:p w14:paraId="77E0C93B" w14:textId="77777777" w:rsidR="006140B9" w:rsidRPr="00012278" w:rsidRDefault="006140B9" w:rsidP="0012640D">
            <w:pPr>
              <w:keepNext/>
              <w:rPr>
                <w:szCs w:val="22"/>
                <w:lang w:val="sr-Latn-ME"/>
              </w:rPr>
            </w:pPr>
            <w:r w:rsidRPr="00012278">
              <w:rPr>
                <w:szCs w:val="22"/>
                <w:lang w:val="sr-Latn-ME"/>
              </w:rPr>
              <w:t>EPP</w:t>
            </w:r>
          </w:p>
          <w:p w14:paraId="0594E6D4" w14:textId="77777777" w:rsidR="006140B9" w:rsidRPr="00012278" w:rsidRDefault="006140B9" w:rsidP="0012640D">
            <w:pPr>
              <w:keepNext/>
              <w:rPr>
                <w:szCs w:val="22"/>
                <w:lang w:val="sr-Latn-ME"/>
              </w:rPr>
            </w:pPr>
            <w:r w:rsidRPr="00012278">
              <w:rPr>
                <w:szCs w:val="22"/>
                <w:lang w:val="sr-Latn-ME"/>
              </w:rPr>
              <w:t>ITT</w:t>
            </w:r>
          </w:p>
        </w:tc>
        <w:tc>
          <w:tcPr>
            <w:tcW w:w="1489" w:type="pct"/>
            <w:tcBorders>
              <w:bottom w:val="single" w:sz="4" w:space="0" w:color="auto"/>
            </w:tcBorders>
            <w:shd w:val="clear" w:color="auto" w:fill="auto"/>
          </w:tcPr>
          <w:p w14:paraId="3C681960" w14:textId="77777777" w:rsidR="006140B9" w:rsidRPr="00012278" w:rsidRDefault="006140B9" w:rsidP="0012640D">
            <w:pPr>
              <w:keepNext/>
              <w:rPr>
                <w:szCs w:val="22"/>
                <w:lang w:val="sr-Latn-ME"/>
              </w:rPr>
            </w:pPr>
            <w:r w:rsidRPr="00012278">
              <w:rPr>
                <w:szCs w:val="22"/>
                <w:lang w:val="sr-Latn-ME"/>
              </w:rPr>
              <w:t xml:space="preserve">242 </w:t>
            </w:r>
          </w:p>
          <w:p w14:paraId="00A240DC" w14:textId="77777777" w:rsidR="006140B9" w:rsidRPr="00012278" w:rsidRDefault="006140B9" w:rsidP="0012640D">
            <w:pPr>
              <w:keepNext/>
              <w:rPr>
                <w:szCs w:val="22"/>
                <w:lang w:val="sr-Latn-ME"/>
              </w:rPr>
            </w:pPr>
            <w:r w:rsidRPr="00012278">
              <w:rPr>
                <w:szCs w:val="22"/>
                <w:lang w:val="sr-Latn-ME"/>
              </w:rPr>
              <w:t>244</w:t>
            </w:r>
          </w:p>
        </w:tc>
        <w:tc>
          <w:tcPr>
            <w:tcW w:w="1491" w:type="pct"/>
            <w:tcBorders>
              <w:bottom w:val="single" w:sz="4" w:space="0" w:color="auto"/>
            </w:tcBorders>
            <w:shd w:val="clear" w:color="auto" w:fill="auto"/>
            <w:vAlign w:val="center"/>
          </w:tcPr>
          <w:p w14:paraId="6B9EE840" w14:textId="77777777" w:rsidR="006140B9" w:rsidRPr="00012278" w:rsidRDefault="006140B9" w:rsidP="0012640D">
            <w:pPr>
              <w:keepNext/>
              <w:rPr>
                <w:szCs w:val="22"/>
                <w:lang w:val="sr-Latn-ME"/>
              </w:rPr>
            </w:pPr>
            <w:r w:rsidRPr="00012278">
              <w:rPr>
                <w:szCs w:val="22"/>
                <w:lang w:val="sr-Latn-ME"/>
              </w:rPr>
              <w:t>259</w:t>
            </w:r>
          </w:p>
          <w:p w14:paraId="4A40BF29" w14:textId="77777777" w:rsidR="006140B9" w:rsidRPr="00012278" w:rsidRDefault="006140B9" w:rsidP="0012640D">
            <w:pPr>
              <w:keepNext/>
              <w:rPr>
                <w:szCs w:val="22"/>
                <w:lang w:val="sr-Latn-ME"/>
              </w:rPr>
            </w:pPr>
            <w:r w:rsidRPr="00012278">
              <w:rPr>
                <w:szCs w:val="22"/>
                <w:lang w:val="sr-Latn-ME"/>
              </w:rPr>
              <w:t>259</w:t>
            </w:r>
          </w:p>
        </w:tc>
        <w:tc>
          <w:tcPr>
            <w:tcW w:w="1232" w:type="pct"/>
            <w:tcBorders>
              <w:bottom w:val="single" w:sz="4" w:space="0" w:color="auto"/>
            </w:tcBorders>
            <w:shd w:val="clear" w:color="auto" w:fill="auto"/>
            <w:vAlign w:val="center"/>
          </w:tcPr>
          <w:p w14:paraId="30F25A18" w14:textId="77777777" w:rsidR="006140B9" w:rsidRPr="00012278" w:rsidRDefault="006140B9" w:rsidP="0012640D">
            <w:pPr>
              <w:keepNext/>
              <w:rPr>
                <w:szCs w:val="22"/>
                <w:lang w:val="sr-Latn-ME"/>
              </w:rPr>
            </w:pPr>
            <w:r w:rsidRPr="00012278">
              <w:rPr>
                <w:szCs w:val="22"/>
                <w:lang w:val="sr-Latn-ME"/>
              </w:rPr>
              <w:t>1,02 (0,92; 1,14)</w:t>
            </w:r>
          </w:p>
          <w:p w14:paraId="5C770829" w14:textId="77777777" w:rsidR="006140B9" w:rsidRPr="00012278" w:rsidRDefault="006140B9" w:rsidP="0012640D">
            <w:pPr>
              <w:keepNext/>
              <w:rPr>
                <w:szCs w:val="22"/>
                <w:lang w:val="sr-Latn-ME"/>
              </w:rPr>
            </w:pPr>
            <w:r w:rsidRPr="00012278">
              <w:rPr>
                <w:szCs w:val="22"/>
                <w:lang w:val="sr-Latn-ME"/>
              </w:rPr>
              <w:t>1,01 (0,91; 1,12)</w:t>
            </w:r>
          </w:p>
        </w:tc>
      </w:tr>
      <w:tr w:rsidR="006140B9" w:rsidRPr="00012278" w14:paraId="2CF2ED8C" w14:textId="77777777" w:rsidTr="00183A6F">
        <w:tc>
          <w:tcPr>
            <w:tcW w:w="5000" w:type="pct"/>
            <w:gridSpan w:val="4"/>
            <w:shd w:val="clear" w:color="auto" w:fill="E6E6E6"/>
            <w:vAlign w:val="center"/>
          </w:tcPr>
          <w:p w14:paraId="34D00F97" w14:textId="77777777" w:rsidR="006140B9" w:rsidRPr="00012278" w:rsidRDefault="006140B9" w:rsidP="0012640D">
            <w:pPr>
              <w:keepNext/>
              <w:rPr>
                <w:b/>
                <w:szCs w:val="22"/>
                <w:lang w:val="sr-Latn-ME"/>
              </w:rPr>
            </w:pPr>
            <w:r w:rsidRPr="00012278">
              <w:rPr>
                <w:b/>
                <w:szCs w:val="22"/>
                <w:lang w:val="sr-Latn-ME"/>
              </w:rPr>
              <w:t>Parametar: Ukupno preživljavanje</w:t>
            </w:r>
          </w:p>
        </w:tc>
      </w:tr>
      <w:tr w:rsidR="006140B9" w:rsidRPr="00012278" w14:paraId="660DE897" w14:textId="77777777" w:rsidTr="00183A6F">
        <w:tc>
          <w:tcPr>
            <w:tcW w:w="788" w:type="pct"/>
            <w:shd w:val="clear" w:color="auto" w:fill="auto"/>
            <w:vAlign w:val="center"/>
          </w:tcPr>
          <w:p w14:paraId="7E8FD797" w14:textId="77777777" w:rsidR="006140B9" w:rsidRPr="00012278" w:rsidRDefault="006140B9" w:rsidP="0012640D">
            <w:pPr>
              <w:keepNext/>
              <w:rPr>
                <w:szCs w:val="22"/>
                <w:lang w:val="sr-Latn-ME"/>
              </w:rPr>
            </w:pPr>
            <w:r w:rsidRPr="00012278">
              <w:rPr>
                <w:szCs w:val="22"/>
                <w:lang w:val="sr-Latn-ME"/>
              </w:rPr>
              <w:t>EPP</w:t>
            </w:r>
          </w:p>
          <w:p w14:paraId="6F4EC3D9" w14:textId="77777777" w:rsidR="006140B9" w:rsidRPr="00012278" w:rsidRDefault="006140B9" w:rsidP="0012640D">
            <w:pPr>
              <w:keepNext/>
              <w:rPr>
                <w:szCs w:val="22"/>
                <w:lang w:val="sr-Latn-ME"/>
              </w:rPr>
            </w:pPr>
            <w:r w:rsidRPr="00012278">
              <w:rPr>
                <w:szCs w:val="22"/>
                <w:lang w:val="sr-Latn-ME"/>
              </w:rPr>
              <w:t>ITT</w:t>
            </w:r>
          </w:p>
        </w:tc>
        <w:tc>
          <w:tcPr>
            <w:tcW w:w="1489" w:type="pct"/>
            <w:shd w:val="clear" w:color="auto" w:fill="auto"/>
            <w:vAlign w:val="center"/>
          </w:tcPr>
          <w:p w14:paraId="3BBC4FBF" w14:textId="77777777" w:rsidR="006140B9" w:rsidRPr="00012278" w:rsidRDefault="006140B9" w:rsidP="0012640D">
            <w:pPr>
              <w:keepNext/>
              <w:rPr>
                <w:szCs w:val="22"/>
                <w:lang w:val="sr-Latn-ME"/>
              </w:rPr>
            </w:pPr>
            <w:r w:rsidRPr="00012278">
              <w:rPr>
                <w:szCs w:val="22"/>
                <w:lang w:val="sr-Latn-ME"/>
              </w:rPr>
              <w:t>600</w:t>
            </w:r>
          </w:p>
          <w:p w14:paraId="424C2C3A" w14:textId="77777777" w:rsidR="006140B9" w:rsidRPr="00012278" w:rsidRDefault="006140B9" w:rsidP="0012640D">
            <w:pPr>
              <w:keepNext/>
              <w:rPr>
                <w:szCs w:val="22"/>
                <w:lang w:val="sr-Latn-ME"/>
              </w:rPr>
            </w:pPr>
            <w:r w:rsidRPr="00012278">
              <w:rPr>
                <w:szCs w:val="22"/>
                <w:lang w:val="sr-Latn-ME"/>
              </w:rPr>
              <w:t>602</w:t>
            </w:r>
          </w:p>
        </w:tc>
        <w:tc>
          <w:tcPr>
            <w:tcW w:w="1491" w:type="pct"/>
            <w:shd w:val="clear" w:color="auto" w:fill="auto"/>
            <w:vAlign w:val="center"/>
          </w:tcPr>
          <w:p w14:paraId="7F497EBD" w14:textId="77777777" w:rsidR="006140B9" w:rsidRPr="00012278" w:rsidRDefault="006140B9" w:rsidP="0012640D">
            <w:pPr>
              <w:keepNext/>
              <w:rPr>
                <w:szCs w:val="22"/>
                <w:lang w:val="sr-Latn-ME"/>
              </w:rPr>
            </w:pPr>
            <w:r w:rsidRPr="00012278">
              <w:rPr>
                <w:szCs w:val="22"/>
                <w:lang w:val="sr-Latn-ME"/>
              </w:rPr>
              <w:t>594</w:t>
            </w:r>
          </w:p>
          <w:p w14:paraId="4190186A" w14:textId="77777777" w:rsidR="006140B9" w:rsidRPr="00012278" w:rsidRDefault="006140B9" w:rsidP="0012640D">
            <w:pPr>
              <w:keepNext/>
              <w:rPr>
                <w:szCs w:val="22"/>
                <w:lang w:val="sr-Latn-ME"/>
              </w:rPr>
            </w:pPr>
            <w:r w:rsidRPr="00012278">
              <w:rPr>
                <w:szCs w:val="22"/>
                <w:lang w:val="sr-Latn-ME"/>
              </w:rPr>
              <w:t>596</w:t>
            </w:r>
          </w:p>
        </w:tc>
        <w:tc>
          <w:tcPr>
            <w:tcW w:w="1232" w:type="pct"/>
            <w:shd w:val="clear" w:color="auto" w:fill="auto"/>
            <w:vAlign w:val="center"/>
          </w:tcPr>
          <w:p w14:paraId="500568CF" w14:textId="77777777" w:rsidR="006140B9" w:rsidRPr="00012278" w:rsidRDefault="006140B9" w:rsidP="0012640D">
            <w:pPr>
              <w:keepNext/>
              <w:rPr>
                <w:szCs w:val="22"/>
                <w:lang w:val="sr-Latn-ME"/>
              </w:rPr>
            </w:pPr>
            <w:r w:rsidRPr="00012278">
              <w:rPr>
                <w:szCs w:val="22"/>
                <w:lang w:val="sr-Latn-ME"/>
              </w:rPr>
              <w:t>1,00 (0,88; 1,13)</w:t>
            </w:r>
          </w:p>
          <w:p w14:paraId="7A929FEB" w14:textId="77777777" w:rsidR="006140B9" w:rsidRPr="00012278" w:rsidRDefault="006140B9" w:rsidP="0012640D">
            <w:pPr>
              <w:keepNext/>
              <w:rPr>
                <w:szCs w:val="22"/>
                <w:lang w:val="sr-Latn-ME"/>
              </w:rPr>
            </w:pPr>
            <w:r w:rsidRPr="00012278">
              <w:rPr>
                <w:szCs w:val="22"/>
                <w:lang w:val="sr-Latn-ME"/>
              </w:rPr>
              <w:t>0,99 (0,88; 1,12)</w:t>
            </w:r>
          </w:p>
        </w:tc>
      </w:tr>
    </w:tbl>
    <w:p w14:paraId="3EA0CA30" w14:textId="77777777" w:rsidR="006140B9" w:rsidRPr="00012278" w:rsidRDefault="006140B9" w:rsidP="006140B9">
      <w:pPr>
        <w:rPr>
          <w:szCs w:val="22"/>
          <w:lang w:val="sr-Latn-ME"/>
        </w:rPr>
      </w:pPr>
      <w:r w:rsidRPr="00012278">
        <w:rPr>
          <w:szCs w:val="22"/>
          <w:lang w:val="sr-Latn-ME"/>
        </w:rPr>
        <w:t>*EPP= populacija pacijenata koji ispunjavaju kriterijume ; **ITT = intent –to –treat population – populacija pacijenata predviđenih za liječenje</w:t>
      </w:r>
    </w:p>
    <w:p w14:paraId="39796B67" w14:textId="77777777" w:rsidR="006140B9" w:rsidRPr="00012278" w:rsidRDefault="006140B9" w:rsidP="006140B9">
      <w:pPr>
        <w:rPr>
          <w:szCs w:val="22"/>
          <w:lang w:val="sr-Latn-ME"/>
        </w:rPr>
      </w:pPr>
    </w:p>
    <w:p w14:paraId="021A31B4" w14:textId="7A96C1D3" w:rsidR="006140B9" w:rsidRPr="00012278" w:rsidRDefault="006140B9" w:rsidP="002B4BD7">
      <w:pPr>
        <w:jc w:val="both"/>
        <w:rPr>
          <w:szCs w:val="22"/>
          <w:lang w:val="sr-Latn-ME"/>
        </w:rPr>
      </w:pPr>
      <w:r w:rsidRPr="00012278">
        <w:rPr>
          <w:szCs w:val="22"/>
          <w:lang w:val="sr-Latn-ME"/>
        </w:rPr>
        <w:t>U randomizovanoj kontrolisanoj studiji faze III (CAIRO), ispitivano je dejstvo primjene kapecitabina sa početnom dozom od 1000 mg/m</w:t>
      </w:r>
      <w:r w:rsidRPr="00012278">
        <w:rPr>
          <w:szCs w:val="22"/>
          <w:vertAlign w:val="superscript"/>
          <w:lang w:val="sr-Latn-ME"/>
        </w:rPr>
        <w:t>2</w:t>
      </w:r>
      <w:r w:rsidRPr="00012278">
        <w:rPr>
          <w:szCs w:val="22"/>
          <w:lang w:val="sr-Latn-ME"/>
        </w:rPr>
        <w:t xml:space="preserve"> tokom dvije nedjelje na svake 3 nedjelje u kombinaciji sa irinotekanom kao prva linija terapije  pacijenata sa metastatskim kolorektalnim karcinomom.  Randomizovano je 820 pacijenata da prima ili sekvencijalnu terapiju (n=410) ili kombinovanu terapiju </w:t>
      </w:r>
      <w:r w:rsidRPr="00012278">
        <w:rPr>
          <w:szCs w:val="22"/>
          <w:lang w:val="sr-Latn-ME"/>
        </w:rPr>
        <w:lastRenderedPageBreak/>
        <w:t xml:space="preserve">(n=410). Sekvencijalna terapija </w:t>
      </w:r>
      <w:r w:rsidR="008272BE" w:rsidRPr="00012278">
        <w:rPr>
          <w:szCs w:val="22"/>
          <w:lang w:val="sr-Latn-ME"/>
        </w:rPr>
        <w:t>se sastojala</w:t>
      </w:r>
      <w:r w:rsidRPr="00012278">
        <w:rPr>
          <w:szCs w:val="22"/>
          <w:lang w:val="sr-Latn-ME"/>
        </w:rPr>
        <w:t xml:space="preserve"> od prve linije terapije kapecitabinom (1250 mg/m</w:t>
      </w:r>
      <w:r w:rsidRPr="00012278">
        <w:rPr>
          <w:szCs w:val="22"/>
          <w:vertAlign w:val="superscript"/>
          <w:lang w:val="sr-Latn-ME"/>
        </w:rPr>
        <w:t>2</w:t>
      </w:r>
      <w:r w:rsidRPr="00012278">
        <w:rPr>
          <w:szCs w:val="22"/>
          <w:lang w:val="sr-Latn-ME"/>
        </w:rPr>
        <w:t xml:space="preserve"> dva puta dnevno tokom 14 dana), druge linije  irinotekanom (350 mg/m</w:t>
      </w:r>
      <w:r w:rsidRPr="00012278">
        <w:rPr>
          <w:szCs w:val="22"/>
          <w:vertAlign w:val="superscript"/>
          <w:lang w:val="sr-Latn-ME"/>
        </w:rPr>
        <w:t>2</w:t>
      </w:r>
      <w:r w:rsidRPr="00012278">
        <w:rPr>
          <w:szCs w:val="22"/>
          <w:lang w:val="sr-Latn-ME"/>
        </w:rPr>
        <w:t xml:space="preserve"> prvog dana), i treće linije kombinacije  kapecitabin</w:t>
      </w:r>
      <w:r w:rsidR="008272BE" w:rsidRPr="00012278">
        <w:rPr>
          <w:szCs w:val="22"/>
          <w:lang w:val="sr-Latn-ME"/>
        </w:rPr>
        <w:t>a</w:t>
      </w:r>
      <w:r w:rsidRPr="00012278">
        <w:rPr>
          <w:szCs w:val="22"/>
          <w:lang w:val="sr-Latn-ME"/>
        </w:rPr>
        <w:t xml:space="preserve"> (1000 mg/m</w:t>
      </w:r>
      <w:r w:rsidRPr="00012278">
        <w:rPr>
          <w:szCs w:val="22"/>
          <w:vertAlign w:val="superscript"/>
          <w:lang w:val="sr-Latn-ME"/>
        </w:rPr>
        <w:t>2</w:t>
      </w:r>
      <w:r w:rsidRPr="00012278">
        <w:rPr>
          <w:szCs w:val="22"/>
          <w:lang w:val="sr-Latn-ME"/>
        </w:rPr>
        <w:t xml:space="preserve"> dva puta dnevno tokom 14 dana) sa oksaliplatinom (130 mg/m</w:t>
      </w:r>
      <w:r w:rsidRPr="00012278">
        <w:rPr>
          <w:szCs w:val="22"/>
          <w:vertAlign w:val="superscript"/>
          <w:lang w:val="sr-Latn-ME"/>
        </w:rPr>
        <w:t>2</w:t>
      </w:r>
      <w:r w:rsidRPr="00012278">
        <w:rPr>
          <w:szCs w:val="22"/>
          <w:lang w:val="sr-Latn-ME"/>
        </w:rPr>
        <w:t xml:space="preserve"> prvog dana). Kombinovana terapija se sastojala od primjene kapecitabina (1000 mg/m</w:t>
      </w:r>
      <w:r w:rsidRPr="00012278">
        <w:rPr>
          <w:szCs w:val="22"/>
          <w:vertAlign w:val="superscript"/>
          <w:lang w:val="sr-Latn-ME"/>
        </w:rPr>
        <w:t>2</w:t>
      </w:r>
      <w:r w:rsidRPr="00012278">
        <w:rPr>
          <w:szCs w:val="22"/>
          <w:lang w:val="sr-Latn-ME"/>
        </w:rPr>
        <w:t xml:space="preserve"> dva puta dnevno tokom 14 dana) u kombinaciji sa irinotekanom (250 mg /m</w:t>
      </w:r>
      <w:r w:rsidRPr="00012278">
        <w:rPr>
          <w:szCs w:val="22"/>
          <w:vertAlign w:val="superscript"/>
          <w:lang w:val="sr-Latn-ME"/>
        </w:rPr>
        <w:t>2</w:t>
      </w:r>
      <w:r w:rsidRPr="00012278">
        <w:rPr>
          <w:szCs w:val="22"/>
          <w:lang w:val="sr-Latn-ME"/>
        </w:rPr>
        <w:t xml:space="preserve"> prvog dana) (XELIRI</w:t>
      </w:r>
      <w:r w:rsidR="00F20D79" w:rsidRPr="00012278">
        <w:rPr>
          <w:szCs w:val="22"/>
          <w:lang w:val="sr-Latn-ME"/>
        </w:rPr>
        <w:t xml:space="preserve"> protokol</w:t>
      </w:r>
      <w:r w:rsidRPr="00012278">
        <w:rPr>
          <w:szCs w:val="22"/>
          <w:lang w:val="sr-Latn-ME"/>
        </w:rPr>
        <w:t xml:space="preserve">) </w:t>
      </w:r>
      <w:r w:rsidR="00F20D79" w:rsidRPr="00012278">
        <w:rPr>
          <w:szCs w:val="22"/>
          <w:lang w:val="sr-Latn-ME"/>
        </w:rPr>
        <w:t>u prvoj liniji liječenja, a zatim od primjene</w:t>
      </w:r>
      <w:r w:rsidRPr="00012278">
        <w:rPr>
          <w:szCs w:val="22"/>
          <w:lang w:val="sr-Latn-ME"/>
        </w:rPr>
        <w:t xml:space="preserve"> kapecitabina  (1000 mg/m</w:t>
      </w:r>
      <w:r w:rsidRPr="00012278">
        <w:rPr>
          <w:szCs w:val="22"/>
          <w:vertAlign w:val="superscript"/>
          <w:lang w:val="sr-Latn-ME"/>
        </w:rPr>
        <w:t>2</w:t>
      </w:r>
      <w:r w:rsidRPr="00012278">
        <w:rPr>
          <w:szCs w:val="22"/>
          <w:lang w:val="sr-Latn-ME"/>
        </w:rPr>
        <w:t xml:space="preserve"> dva puta na dan tokom 14 dana) </w:t>
      </w:r>
      <w:r w:rsidR="00F20D79" w:rsidRPr="00012278">
        <w:rPr>
          <w:szCs w:val="22"/>
          <w:lang w:val="sr-Latn-ME"/>
        </w:rPr>
        <w:t xml:space="preserve">i </w:t>
      </w:r>
      <w:r w:rsidRPr="00012278">
        <w:rPr>
          <w:szCs w:val="22"/>
          <w:lang w:val="sr-Latn-ME"/>
        </w:rPr>
        <w:t>oksaliplatin</w:t>
      </w:r>
      <w:r w:rsidR="00F20D79" w:rsidRPr="00012278">
        <w:rPr>
          <w:szCs w:val="22"/>
          <w:lang w:val="sr-Latn-ME"/>
        </w:rPr>
        <w:t>a</w:t>
      </w:r>
      <w:r w:rsidRPr="00012278">
        <w:rPr>
          <w:szCs w:val="22"/>
          <w:lang w:val="sr-Latn-ME"/>
        </w:rPr>
        <w:t xml:space="preserve"> (130 mg/m</w:t>
      </w:r>
      <w:r w:rsidRPr="00012278">
        <w:rPr>
          <w:szCs w:val="22"/>
          <w:vertAlign w:val="superscript"/>
          <w:lang w:val="sr-Latn-ME"/>
        </w:rPr>
        <w:t>2</w:t>
      </w:r>
      <w:r w:rsidRPr="00012278">
        <w:rPr>
          <w:szCs w:val="22"/>
          <w:lang w:val="sr-Latn-ME"/>
        </w:rPr>
        <w:t xml:space="preserve"> prvog dana)</w:t>
      </w:r>
      <w:r w:rsidR="00F20D79" w:rsidRPr="00012278">
        <w:rPr>
          <w:szCs w:val="22"/>
          <w:lang w:val="sr-Latn-ME"/>
        </w:rPr>
        <w:t xml:space="preserve"> u drugoj liniji liječenja</w:t>
      </w:r>
      <w:r w:rsidRPr="00012278">
        <w:rPr>
          <w:szCs w:val="22"/>
          <w:lang w:val="sr-Latn-ME"/>
        </w:rPr>
        <w:t xml:space="preserve">. Svi terapijski ciklusi su davani u intervalima od 3 nedjelje. U prvoj liniji terapije, </w:t>
      </w:r>
      <w:r w:rsidR="00F20D79" w:rsidRPr="00012278">
        <w:rPr>
          <w:szCs w:val="22"/>
          <w:lang w:val="sr-Latn-ME"/>
        </w:rPr>
        <w:t xml:space="preserve">medijan vremena </w:t>
      </w:r>
      <w:r w:rsidRPr="00012278">
        <w:rPr>
          <w:szCs w:val="22"/>
          <w:lang w:val="sr-Latn-ME"/>
        </w:rPr>
        <w:t>preživljavanj</w:t>
      </w:r>
      <w:r w:rsidR="00F20D79" w:rsidRPr="00012278">
        <w:rPr>
          <w:szCs w:val="22"/>
          <w:lang w:val="sr-Latn-ME"/>
        </w:rPr>
        <w:t>a</w:t>
      </w:r>
      <w:r w:rsidRPr="00012278">
        <w:rPr>
          <w:szCs w:val="22"/>
          <w:lang w:val="sr-Latn-ME"/>
        </w:rPr>
        <w:t xml:space="preserve"> bez progresije </w:t>
      </w:r>
      <w:r w:rsidR="00F20D79" w:rsidRPr="00012278">
        <w:rPr>
          <w:szCs w:val="22"/>
          <w:lang w:val="sr-Latn-ME"/>
        </w:rPr>
        <w:t xml:space="preserve">bolesti </w:t>
      </w:r>
      <w:r w:rsidRPr="00012278">
        <w:rPr>
          <w:szCs w:val="22"/>
          <w:lang w:val="sr-Latn-ME"/>
        </w:rPr>
        <w:t>u populaciji pacijenata predviđenih za liječenje iznosio je 5,8 mjeseci (95%CI, 5,1 -6,2 mjeseci) za monoterapiju kapecitabinom, i 7,8 mjeseci (95%CI, 7,0-8,3 mjeseci; p=0.0002) za XELIRI</w:t>
      </w:r>
      <w:r w:rsidR="00F20D79" w:rsidRPr="00012278">
        <w:rPr>
          <w:szCs w:val="22"/>
          <w:lang w:val="sr-Latn-ME"/>
        </w:rPr>
        <w:t xml:space="preserve"> protokol</w:t>
      </w:r>
      <w:r w:rsidRPr="00012278">
        <w:rPr>
          <w:szCs w:val="22"/>
          <w:lang w:val="sr-Latn-ME"/>
        </w:rPr>
        <w:t xml:space="preserve">. Međutim, ovo je bilo povezano sa povećanom incidencom gastrointestinalne toksičnosti i neutropenije tokom primjene prve linije  XELIRI </w:t>
      </w:r>
      <w:r w:rsidR="00F20D79" w:rsidRPr="00012278">
        <w:rPr>
          <w:szCs w:val="22"/>
          <w:lang w:val="sr-Latn-ME"/>
        </w:rPr>
        <w:t>protokola</w:t>
      </w:r>
      <w:r w:rsidRPr="00012278">
        <w:rPr>
          <w:szCs w:val="22"/>
          <w:lang w:val="sr-Latn-ME"/>
        </w:rPr>
        <w:t xml:space="preserve"> (26% i 11% za XELIRI </w:t>
      </w:r>
      <w:r w:rsidR="00F20D79" w:rsidRPr="00012278">
        <w:rPr>
          <w:szCs w:val="22"/>
          <w:lang w:val="sr-Latn-ME"/>
        </w:rPr>
        <w:t xml:space="preserve">protokol </w:t>
      </w:r>
      <w:r w:rsidRPr="00012278">
        <w:rPr>
          <w:szCs w:val="22"/>
          <w:lang w:val="sr-Latn-ME"/>
        </w:rPr>
        <w:t>i prvu liniju kapecitabin</w:t>
      </w:r>
      <w:r w:rsidR="00F20D79" w:rsidRPr="00012278">
        <w:rPr>
          <w:szCs w:val="22"/>
          <w:lang w:val="sr-Latn-ME"/>
        </w:rPr>
        <w:t>om</w:t>
      </w:r>
      <w:r w:rsidRPr="00012278">
        <w:rPr>
          <w:szCs w:val="22"/>
          <w:lang w:val="sr-Latn-ME"/>
        </w:rPr>
        <w:t>).</w:t>
      </w:r>
    </w:p>
    <w:p w14:paraId="41F16D5B" w14:textId="77777777" w:rsidR="006140B9" w:rsidRPr="00012278" w:rsidRDefault="006140B9" w:rsidP="002B4BD7">
      <w:pPr>
        <w:jc w:val="both"/>
        <w:rPr>
          <w:szCs w:val="22"/>
          <w:lang w:val="sr-Latn-ME"/>
        </w:rPr>
      </w:pPr>
    </w:p>
    <w:p w14:paraId="65FD00EB" w14:textId="526808C6" w:rsidR="006140B9" w:rsidRPr="00012278" w:rsidRDefault="006140B9" w:rsidP="002B4BD7">
      <w:pPr>
        <w:jc w:val="both"/>
        <w:rPr>
          <w:szCs w:val="22"/>
          <w:lang w:val="sr-Latn-ME"/>
        </w:rPr>
      </w:pPr>
      <w:r w:rsidRPr="00012278">
        <w:rPr>
          <w:szCs w:val="22"/>
          <w:lang w:val="sr-Latn-ME"/>
        </w:rPr>
        <w:t xml:space="preserve">XELIRI protokol upoređen je sa kombinacijom 5-FU + irinotekan (FOLFIRI protokol) u tri randomizovane studije kod pacijenata sa metastatskim kolorektalnim karcinomom. </w:t>
      </w:r>
      <w:r w:rsidR="00F20D79" w:rsidRPr="00012278">
        <w:rPr>
          <w:szCs w:val="22"/>
          <w:lang w:val="sr-Latn-ME"/>
        </w:rPr>
        <w:t xml:space="preserve">XELIRI protokol </w:t>
      </w:r>
      <w:r w:rsidRPr="00012278">
        <w:rPr>
          <w:szCs w:val="22"/>
          <w:lang w:val="sr-Latn-ME"/>
        </w:rPr>
        <w:t>obuhvatao je primjenu kapecitabina u dozi od 1000 mg/ m</w:t>
      </w:r>
      <w:r w:rsidRPr="00012278">
        <w:rPr>
          <w:szCs w:val="22"/>
          <w:vertAlign w:val="superscript"/>
          <w:lang w:val="sr-Latn-ME"/>
        </w:rPr>
        <w:t>2</w:t>
      </w:r>
      <w:r w:rsidRPr="00012278">
        <w:rPr>
          <w:szCs w:val="22"/>
          <w:lang w:val="sr-Latn-ME"/>
        </w:rPr>
        <w:t xml:space="preserve"> dva puta dnevno od 1. do 14. dana u tronedjeljnom ciklusu u kombinaciji sa irinotekanom u dozi od 250 mg/ m</w:t>
      </w:r>
      <w:r w:rsidRPr="00012278">
        <w:rPr>
          <w:szCs w:val="22"/>
          <w:vertAlign w:val="superscript"/>
          <w:lang w:val="sr-Latn-ME"/>
        </w:rPr>
        <w:t xml:space="preserve">2  </w:t>
      </w:r>
      <w:r w:rsidRPr="00012278">
        <w:rPr>
          <w:szCs w:val="22"/>
          <w:lang w:val="sr-Latn-ME"/>
        </w:rPr>
        <w:t>koji se daje 1. dana terapije. U najvećoj studiji (BICC-C), pacijenti su randomizovan</w:t>
      </w:r>
      <w:r w:rsidR="00F20D79" w:rsidRPr="00012278">
        <w:rPr>
          <w:szCs w:val="22"/>
          <w:lang w:val="sr-Latn-ME"/>
        </w:rPr>
        <w:t>i</w:t>
      </w:r>
      <w:r w:rsidRPr="00012278">
        <w:rPr>
          <w:szCs w:val="22"/>
          <w:lang w:val="sr-Latn-ME"/>
        </w:rPr>
        <w:t xml:space="preserve"> u 3 grupe, gdje su pacijenti po grupama </w:t>
      </w:r>
      <w:r w:rsidR="00F20D79" w:rsidRPr="00012278">
        <w:rPr>
          <w:szCs w:val="22"/>
          <w:lang w:val="sr-Latn-ME"/>
        </w:rPr>
        <w:t xml:space="preserve">otvoreno </w:t>
      </w:r>
      <w:r w:rsidRPr="00012278">
        <w:rPr>
          <w:szCs w:val="22"/>
          <w:lang w:val="sr-Latn-ME"/>
        </w:rPr>
        <w:t>primali ili FOLFIRI</w:t>
      </w:r>
      <w:r w:rsidR="00DD51BD" w:rsidRPr="00012278">
        <w:rPr>
          <w:szCs w:val="22"/>
          <w:lang w:val="sr-Latn-ME"/>
        </w:rPr>
        <w:t xml:space="preserve"> protokol</w:t>
      </w:r>
      <w:r w:rsidRPr="00012278">
        <w:rPr>
          <w:szCs w:val="22"/>
          <w:lang w:val="sr-Latn-ME"/>
        </w:rPr>
        <w:t xml:space="preserve"> (n=144), bolus 5-FU (mIFL) (n=145) ili XELIRI </w:t>
      </w:r>
      <w:r w:rsidR="00DD51BD" w:rsidRPr="00012278">
        <w:rPr>
          <w:szCs w:val="22"/>
          <w:lang w:val="sr-Latn-ME"/>
        </w:rPr>
        <w:t>protokol</w:t>
      </w:r>
      <w:r w:rsidRPr="00012278">
        <w:rPr>
          <w:szCs w:val="22"/>
          <w:lang w:val="sr-Latn-ME"/>
        </w:rPr>
        <w:t xml:space="preserve"> (n=141), a dodatno su randomizovani u okviru grupa gdje su primali dvostruko slijepu terapiju  celekoksibom ili placebo</w:t>
      </w:r>
      <w:r w:rsidR="00DD51BD" w:rsidRPr="00012278">
        <w:rPr>
          <w:szCs w:val="22"/>
          <w:lang w:val="sr-Latn-ME"/>
        </w:rPr>
        <w:t>m</w:t>
      </w:r>
      <w:r w:rsidRPr="00012278">
        <w:rPr>
          <w:szCs w:val="22"/>
          <w:lang w:val="sr-Latn-ME"/>
        </w:rPr>
        <w:t>. Medijana preživljavanja bez progresije bolesti iznosila je 7,6 mjeseci za FOLFIRI, 5,9 mjeseci za mIFL (p=0,004) u poređenju sa FOLFIRI</w:t>
      </w:r>
      <w:r w:rsidR="00DD51BD" w:rsidRPr="00012278">
        <w:rPr>
          <w:szCs w:val="22"/>
          <w:lang w:val="sr-Latn-ME"/>
        </w:rPr>
        <w:t xml:space="preserve"> protokolom</w:t>
      </w:r>
      <w:r w:rsidRPr="00012278">
        <w:rPr>
          <w:szCs w:val="22"/>
          <w:lang w:val="sr-Latn-ME"/>
        </w:rPr>
        <w:t>,  i 5,8 mjeseci za XELIRI</w:t>
      </w:r>
      <w:r w:rsidR="00DD51BD" w:rsidRPr="00012278">
        <w:rPr>
          <w:szCs w:val="22"/>
          <w:lang w:val="sr-Latn-ME"/>
        </w:rPr>
        <w:t xml:space="preserve"> protokol</w:t>
      </w:r>
      <w:r w:rsidRPr="00012278">
        <w:rPr>
          <w:szCs w:val="22"/>
          <w:lang w:val="sr-Latn-ME"/>
        </w:rPr>
        <w:t xml:space="preserve"> (p=0,015). Medijana ukupnog preživljavanja bila je 23,1 mjesec za FOLFIRI, 17,6 mjeseci za mIFL (p=0,09) i 18,9 mjeseci za XELIRI (p=0,27). Kod pacijenata liječenih </w:t>
      </w:r>
      <w:r w:rsidR="00DD51BD" w:rsidRPr="00012278">
        <w:rPr>
          <w:szCs w:val="22"/>
          <w:lang w:val="sr-Latn-ME"/>
        </w:rPr>
        <w:t>XELIRI protokolom</w:t>
      </w:r>
      <w:r w:rsidRPr="00012278">
        <w:rPr>
          <w:szCs w:val="22"/>
          <w:lang w:val="sr-Latn-ME"/>
        </w:rPr>
        <w:t xml:space="preserve"> zabilježena je znatno veća gastrointestinalna toksičnost u poređenju sa pacijentima </w:t>
      </w:r>
      <w:r w:rsidR="00DD51BD" w:rsidRPr="00012278">
        <w:rPr>
          <w:szCs w:val="22"/>
          <w:lang w:val="sr-Latn-ME"/>
        </w:rPr>
        <w:t>liječenim</w:t>
      </w:r>
      <w:r w:rsidRPr="00012278">
        <w:rPr>
          <w:szCs w:val="22"/>
          <w:lang w:val="sr-Latn-ME"/>
        </w:rPr>
        <w:t xml:space="preserve"> FOLFIRI</w:t>
      </w:r>
      <w:r w:rsidR="00DD51BD" w:rsidRPr="00012278">
        <w:rPr>
          <w:szCs w:val="22"/>
          <w:lang w:val="sr-Latn-ME"/>
        </w:rPr>
        <w:t xml:space="preserve"> protokolom</w:t>
      </w:r>
      <w:r w:rsidRPr="00012278">
        <w:rPr>
          <w:szCs w:val="22"/>
          <w:lang w:val="sr-Latn-ME"/>
        </w:rPr>
        <w:t xml:space="preserve"> (dijareja kod 48% pacijenata koji su primali XELIRI i kod 14% onih koji su primali FOLFIRI).</w:t>
      </w:r>
    </w:p>
    <w:p w14:paraId="36192571" w14:textId="77777777" w:rsidR="006140B9" w:rsidRPr="00012278" w:rsidRDefault="006140B9" w:rsidP="002B4BD7">
      <w:pPr>
        <w:jc w:val="both"/>
        <w:rPr>
          <w:szCs w:val="22"/>
          <w:lang w:val="sr-Latn-ME"/>
        </w:rPr>
      </w:pPr>
    </w:p>
    <w:p w14:paraId="7DBE335E" w14:textId="76820F5D" w:rsidR="006140B9" w:rsidRPr="00012278" w:rsidRDefault="006140B9" w:rsidP="002B4BD7">
      <w:pPr>
        <w:jc w:val="both"/>
        <w:rPr>
          <w:szCs w:val="22"/>
          <w:lang w:val="sr-Latn-ME"/>
        </w:rPr>
      </w:pPr>
      <w:r w:rsidRPr="00012278">
        <w:rPr>
          <w:szCs w:val="22"/>
          <w:lang w:val="sr-Latn-ME"/>
        </w:rPr>
        <w:t>U EORTC studiji pacijenti su randomizovan</w:t>
      </w:r>
      <w:r w:rsidR="00DD51BD" w:rsidRPr="00012278">
        <w:rPr>
          <w:szCs w:val="22"/>
          <w:lang w:val="sr-Latn-ME"/>
        </w:rPr>
        <w:t>i</w:t>
      </w:r>
      <w:r w:rsidRPr="00012278">
        <w:rPr>
          <w:szCs w:val="22"/>
          <w:lang w:val="sr-Latn-ME"/>
        </w:rPr>
        <w:t xml:space="preserve"> u 2 grupe, </w:t>
      </w:r>
      <w:r w:rsidR="00DD51BD" w:rsidRPr="00012278">
        <w:rPr>
          <w:szCs w:val="22"/>
          <w:lang w:val="sr-Latn-ME"/>
        </w:rPr>
        <w:t>da</w:t>
      </w:r>
      <w:r w:rsidRPr="00012278">
        <w:rPr>
          <w:szCs w:val="22"/>
          <w:lang w:val="sr-Latn-ME"/>
        </w:rPr>
        <w:t xml:space="preserve"> otvoren</w:t>
      </w:r>
      <w:r w:rsidR="00DD51BD" w:rsidRPr="00012278">
        <w:rPr>
          <w:szCs w:val="22"/>
          <w:lang w:val="sr-Latn-ME"/>
        </w:rPr>
        <w:t>o primaju</w:t>
      </w:r>
      <w:r w:rsidRPr="00012278">
        <w:rPr>
          <w:szCs w:val="22"/>
          <w:lang w:val="sr-Latn-ME"/>
        </w:rPr>
        <w:t xml:space="preserve"> </w:t>
      </w:r>
      <w:r w:rsidR="00DD51BD" w:rsidRPr="00012278">
        <w:rPr>
          <w:szCs w:val="22"/>
          <w:lang w:val="sr-Latn-ME"/>
        </w:rPr>
        <w:t>protokole</w:t>
      </w:r>
      <w:r w:rsidRPr="00012278">
        <w:rPr>
          <w:szCs w:val="22"/>
          <w:lang w:val="sr-Latn-ME"/>
        </w:rPr>
        <w:t xml:space="preserve"> FOLFIRI (n=41) ili XELIRI (n=44), i dodatno su randomizovani </w:t>
      </w:r>
      <w:r w:rsidR="00DD51BD" w:rsidRPr="00012278">
        <w:rPr>
          <w:szCs w:val="22"/>
          <w:lang w:val="sr-Latn-ME"/>
        </w:rPr>
        <w:t xml:space="preserve">na </w:t>
      </w:r>
      <w:r w:rsidRPr="00012278">
        <w:rPr>
          <w:szCs w:val="22"/>
          <w:lang w:val="sr-Latn-ME"/>
        </w:rPr>
        <w:t xml:space="preserve"> dvostruko slijep</w:t>
      </w:r>
      <w:r w:rsidR="00DD51BD" w:rsidRPr="00012278">
        <w:rPr>
          <w:szCs w:val="22"/>
          <w:lang w:val="sr-Latn-ME"/>
        </w:rPr>
        <w:t>u</w:t>
      </w:r>
      <w:r w:rsidRPr="00012278">
        <w:rPr>
          <w:szCs w:val="22"/>
          <w:lang w:val="sr-Latn-ME"/>
        </w:rPr>
        <w:t xml:space="preserve"> terapiju celekoksibom ili placebo</w:t>
      </w:r>
      <w:r w:rsidR="00DD51BD" w:rsidRPr="00012278">
        <w:rPr>
          <w:szCs w:val="22"/>
          <w:lang w:val="sr-Latn-ME"/>
        </w:rPr>
        <w:t>m</w:t>
      </w:r>
      <w:r w:rsidRPr="00012278">
        <w:rPr>
          <w:szCs w:val="22"/>
          <w:lang w:val="sr-Latn-ME"/>
        </w:rPr>
        <w:t>. Medijana preživljavanja bez progresije bolesti (PFS) i  medijana ukupnog preživljavanja (OS) su bile kraća kod primjene XELIRI u odnosu na FOLFIRI (PFS 5,9 u poređenju sa 9,6 mjeseci, a OS 14,8 u poređenju sa 19,9 mjeseci), a uz to su prijavljene znatno veće stope dijareje kod pacijenata koji su primali XELIRI</w:t>
      </w:r>
      <w:r w:rsidR="00DD51BD" w:rsidRPr="00012278">
        <w:rPr>
          <w:szCs w:val="22"/>
          <w:lang w:val="sr-Latn-ME"/>
        </w:rPr>
        <w:t xml:space="preserve"> protokol</w:t>
      </w:r>
      <w:r w:rsidRPr="00012278">
        <w:rPr>
          <w:szCs w:val="22"/>
          <w:lang w:val="sr-Latn-ME"/>
        </w:rPr>
        <w:t xml:space="preserve"> (41% XELIRI, 5,1% FOLFIRI).</w:t>
      </w:r>
    </w:p>
    <w:p w14:paraId="04C59CC1" w14:textId="77777777" w:rsidR="006140B9" w:rsidRPr="00012278" w:rsidRDefault="006140B9" w:rsidP="006140B9">
      <w:pPr>
        <w:rPr>
          <w:szCs w:val="22"/>
          <w:lang w:val="sr-Latn-ME"/>
        </w:rPr>
      </w:pPr>
    </w:p>
    <w:p w14:paraId="2C1B587A" w14:textId="356FB80A" w:rsidR="006140B9" w:rsidRPr="00012278" w:rsidRDefault="006140B9" w:rsidP="002B4BD7">
      <w:pPr>
        <w:jc w:val="both"/>
        <w:rPr>
          <w:szCs w:val="22"/>
          <w:lang w:val="sr-Latn-ME"/>
        </w:rPr>
      </w:pPr>
      <w:r w:rsidRPr="00012278">
        <w:rPr>
          <w:szCs w:val="22"/>
          <w:lang w:val="sr-Latn-ME"/>
        </w:rPr>
        <w:t>U studiji koju su objavili Skof i saradnici, pacijenti su randomizovan</w:t>
      </w:r>
      <w:r w:rsidR="00C3503D" w:rsidRPr="00012278">
        <w:rPr>
          <w:szCs w:val="22"/>
          <w:lang w:val="sr-Latn-ME"/>
        </w:rPr>
        <w:t>i</w:t>
      </w:r>
      <w:r w:rsidRPr="00012278">
        <w:rPr>
          <w:szCs w:val="22"/>
          <w:lang w:val="sr-Latn-ME"/>
        </w:rPr>
        <w:t xml:space="preserve"> u 2 grupe, gdje su pacijenti po grupama primali ili FOLFIRI ili XELIRI</w:t>
      </w:r>
      <w:r w:rsidR="00C3503D" w:rsidRPr="00012278">
        <w:rPr>
          <w:szCs w:val="22"/>
          <w:lang w:val="sr-Latn-ME"/>
        </w:rPr>
        <w:t xml:space="preserve"> protokol</w:t>
      </w:r>
      <w:r w:rsidRPr="00012278">
        <w:rPr>
          <w:szCs w:val="22"/>
          <w:lang w:val="sr-Latn-ME"/>
        </w:rPr>
        <w:t xml:space="preserve">. Stopa ukupnog odgovora je iznosila 49% u grupi koja je primala XELIRI, i 48% u grupi koja je primala FOLFIRI p (p=0,76). Na kraju terapije, 37% pacijenata koji su primali XELIRI i 26% pacijenata koji su primali FOLFIRI nisu imali dokaz o prisustvu bolesti (p=0,56). Toksičnost je bila slična kod oba režima liječenja, uz izuzetak neutropenije koja je prijavljena češće kod pacijenata koji su primili FOLFIRI </w:t>
      </w:r>
      <w:r w:rsidR="00C3503D" w:rsidRPr="00012278">
        <w:rPr>
          <w:szCs w:val="22"/>
          <w:lang w:val="sr-Latn-ME"/>
        </w:rPr>
        <w:t>protokol</w:t>
      </w:r>
      <w:r w:rsidRPr="00012278">
        <w:rPr>
          <w:szCs w:val="22"/>
          <w:lang w:val="sr-Latn-ME"/>
        </w:rPr>
        <w:t>.</w:t>
      </w:r>
    </w:p>
    <w:p w14:paraId="301E1B49" w14:textId="77777777" w:rsidR="006140B9" w:rsidRPr="00012278" w:rsidRDefault="006140B9" w:rsidP="002B4BD7">
      <w:pPr>
        <w:jc w:val="both"/>
        <w:rPr>
          <w:szCs w:val="22"/>
          <w:lang w:val="sr-Latn-ME"/>
        </w:rPr>
      </w:pPr>
    </w:p>
    <w:p w14:paraId="0E0986A1" w14:textId="29C35821" w:rsidR="006140B9" w:rsidRPr="00012278" w:rsidRDefault="006140B9" w:rsidP="002B4BD7">
      <w:pPr>
        <w:jc w:val="both"/>
        <w:rPr>
          <w:szCs w:val="22"/>
          <w:lang w:val="sr-Latn-ME"/>
        </w:rPr>
      </w:pPr>
      <w:r w:rsidRPr="00012278">
        <w:rPr>
          <w:szCs w:val="22"/>
          <w:lang w:val="sr-Latn-ME"/>
        </w:rPr>
        <w:t>Montagnani i saradnici su koristili rezultate tri gore navedene studije</w:t>
      </w:r>
      <w:r w:rsidR="00C3503D" w:rsidRPr="00012278">
        <w:rPr>
          <w:szCs w:val="22"/>
          <w:lang w:val="sr-Latn-ME"/>
        </w:rPr>
        <w:t>,</w:t>
      </w:r>
      <w:r w:rsidRPr="00012278">
        <w:rPr>
          <w:szCs w:val="22"/>
          <w:lang w:val="sr-Latn-ME"/>
        </w:rPr>
        <w:t xml:space="preserve"> kako bi obezbijedili sveobuhvatnu  analizu randomizovanih studija, poredeći </w:t>
      </w:r>
      <w:r w:rsidR="00C3503D" w:rsidRPr="00012278">
        <w:rPr>
          <w:szCs w:val="22"/>
          <w:lang w:val="sr-Latn-ME"/>
        </w:rPr>
        <w:t>protokole</w:t>
      </w:r>
      <w:r w:rsidRPr="00012278">
        <w:rPr>
          <w:szCs w:val="22"/>
          <w:lang w:val="sr-Latn-ME"/>
        </w:rPr>
        <w:t xml:space="preserve"> FOLFIRI i XELIRI u liječenju metastatskog kolorektalnog karcinoma. Primjena FOLFIRI </w:t>
      </w:r>
      <w:r w:rsidR="00C3503D" w:rsidRPr="00012278">
        <w:rPr>
          <w:szCs w:val="22"/>
          <w:lang w:val="sr-Latn-ME"/>
        </w:rPr>
        <w:t>protokola</w:t>
      </w:r>
      <w:r w:rsidRPr="00012278">
        <w:rPr>
          <w:szCs w:val="22"/>
          <w:lang w:val="sr-Latn-ME"/>
        </w:rPr>
        <w:t xml:space="preserve"> povezana je sa značajnim smanjenjem rizika od progresije bolesti (HR: 0,76; 95% CI: 0,62-0,95; p &lt; 0,01), što je dijelom posljedica </w:t>
      </w:r>
      <w:r w:rsidR="00C3503D" w:rsidRPr="00012278">
        <w:rPr>
          <w:szCs w:val="22"/>
          <w:lang w:val="sr-Latn-ME"/>
        </w:rPr>
        <w:t>slabe podno[ljivosti XELIRI protokola</w:t>
      </w:r>
      <w:r w:rsidRPr="00012278">
        <w:rPr>
          <w:szCs w:val="22"/>
          <w:lang w:val="sr-Latn-ME"/>
        </w:rPr>
        <w:t>.</w:t>
      </w:r>
    </w:p>
    <w:p w14:paraId="1E7E906D" w14:textId="77777777" w:rsidR="006140B9" w:rsidRPr="00012278" w:rsidRDefault="006140B9" w:rsidP="002B4BD7">
      <w:pPr>
        <w:jc w:val="both"/>
        <w:rPr>
          <w:szCs w:val="22"/>
          <w:lang w:val="sr-Latn-ME"/>
        </w:rPr>
      </w:pPr>
    </w:p>
    <w:p w14:paraId="78777970" w14:textId="1ECF0091" w:rsidR="006140B9" w:rsidRPr="00012278" w:rsidRDefault="006140B9" w:rsidP="002B4BD7">
      <w:pPr>
        <w:jc w:val="both"/>
        <w:rPr>
          <w:szCs w:val="22"/>
          <w:lang w:val="sr-Latn-ME"/>
        </w:rPr>
      </w:pPr>
      <w:r w:rsidRPr="00012278">
        <w:rPr>
          <w:szCs w:val="22"/>
          <w:lang w:val="sr-Latn-ME"/>
        </w:rPr>
        <w:t xml:space="preserve">Podaci iz randomizovane kliničke studije (Souglakos i saradnici, 2012.) u kojoj </w:t>
      </w:r>
      <w:r w:rsidR="00C3503D" w:rsidRPr="00012278">
        <w:rPr>
          <w:szCs w:val="22"/>
          <w:lang w:val="sr-Latn-ME"/>
        </w:rPr>
        <w:t xml:space="preserve">je upoređeno liječenje </w:t>
      </w:r>
      <w:r w:rsidRPr="00012278">
        <w:rPr>
          <w:szCs w:val="22"/>
          <w:lang w:val="sr-Latn-ME"/>
        </w:rPr>
        <w:t>FOLFIRI</w:t>
      </w:r>
      <w:r w:rsidR="00C3503D" w:rsidRPr="00012278">
        <w:rPr>
          <w:szCs w:val="22"/>
          <w:lang w:val="sr-Latn-ME"/>
        </w:rPr>
        <w:t xml:space="preserve"> protokol</w:t>
      </w:r>
      <w:r w:rsidRPr="00012278">
        <w:rPr>
          <w:szCs w:val="22"/>
          <w:lang w:val="sr-Latn-ME"/>
        </w:rPr>
        <w:t xml:space="preserve">+ bevacizumabom sa </w:t>
      </w:r>
      <w:r w:rsidR="00C3503D" w:rsidRPr="00012278">
        <w:rPr>
          <w:szCs w:val="22"/>
          <w:lang w:val="sr-Latn-ME"/>
        </w:rPr>
        <w:t>protokolom</w:t>
      </w:r>
      <w:r w:rsidRPr="00012278">
        <w:rPr>
          <w:szCs w:val="22"/>
          <w:lang w:val="sr-Latn-ME"/>
        </w:rPr>
        <w:t xml:space="preserve"> XELIRI+bevacizumab nisu pokazali značajnu razliku u PFS-u i OS-u između ta dva </w:t>
      </w:r>
      <w:r w:rsidR="00C3503D" w:rsidRPr="00012278">
        <w:rPr>
          <w:szCs w:val="22"/>
          <w:lang w:val="sr-Latn-ME"/>
        </w:rPr>
        <w:t>protokola</w:t>
      </w:r>
      <w:r w:rsidRPr="00012278">
        <w:rPr>
          <w:szCs w:val="22"/>
          <w:lang w:val="sr-Latn-ME"/>
        </w:rPr>
        <w:t xml:space="preserve"> liječenja. Pacijenti su randomizovan</w:t>
      </w:r>
      <w:r w:rsidR="00C3503D" w:rsidRPr="00012278">
        <w:rPr>
          <w:szCs w:val="22"/>
          <w:lang w:val="sr-Latn-ME"/>
        </w:rPr>
        <w:t>i</w:t>
      </w:r>
      <w:r w:rsidRPr="00012278">
        <w:rPr>
          <w:szCs w:val="22"/>
          <w:lang w:val="sr-Latn-ME"/>
        </w:rPr>
        <w:t xml:space="preserve">  u 2 grupe, gdje su pacijenti po grupama primali ili FOLFIRI </w:t>
      </w:r>
      <w:r w:rsidR="00C3503D" w:rsidRPr="00012278">
        <w:rPr>
          <w:szCs w:val="22"/>
          <w:lang w:val="sr-Latn-ME"/>
        </w:rPr>
        <w:t xml:space="preserve">protokol </w:t>
      </w:r>
      <w:r w:rsidRPr="00012278">
        <w:rPr>
          <w:szCs w:val="22"/>
          <w:lang w:val="sr-Latn-ME"/>
        </w:rPr>
        <w:t>+bevacizumab (grupa A, n=167) ili XELIRI</w:t>
      </w:r>
      <w:r w:rsidR="00C3503D" w:rsidRPr="00012278">
        <w:rPr>
          <w:szCs w:val="22"/>
          <w:lang w:val="sr-Latn-ME"/>
        </w:rPr>
        <w:t xml:space="preserve"> protokol</w:t>
      </w:r>
      <w:r w:rsidRPr="00012278">
        <w:rPr>
          <w:szCs w:val="22"/>
          <w:lang w:val="sr-Latn-ME"/>
        </w:rPr>
        <w:t xml:space="preserve"> + bevacizumab (grupa B, n=166). U grupi B je XELIRI protokol obuhvatao primjenu kapecitabina u dozi od 1000 mg/m</w:t>
      </w:r>
      <w:r w:rsidRPr="00012278">
        <w:rPr>
          <w:szCs w:val="22"/>
          <w:vertAlign w:val="superscript"/>
          <w:lang w:val="sr-Latn-ME"/>
        </w:rPr>
        <w:t>2</w:t>
      </w:r>
      <w:r w:rsidRPr="00012278">
        <w:rPr>
          <w:szCs w:val="22"/>
          <w:lang w:val="sr-Latn-ME"/>
        </w:rPr>
        <w:t xml:space="preserve"> dva puta dnevno tokom 14 dana uz primjenu irinotekana u dozi od 250 mg/m</w:t>
      </w:r>
      <w:r w:rsidRPr="00012278">
        <w:rPr>
          <w:szCs w:val="22"/>
          <w:vertAlign w:val="superscript"/>
          <w:lang w:val="sr-Latn-ME"/>
        </w:rPr>
        <w:t>2</w:t>
      </w:r>
      <w:r w:rsidRPr="00012278">
        <w:rPr>
          <w:szCs w:val="22"/>
          <w:lang w:val="sr-Latn-ME"/>
        </w:rPr>
        <w:t xml:space="preserve"> 1. dana. Medijana preživljavanja bez progresije bolesti (PFS) iznosila je 10,0 mjeseci za FOLFIRI-Bev i 8,9 mjeseci za XELIRI-Bev (p=0,64), medijana ukupnog preživljavanja 25,7 odnosno </w:t>
      </w:r>
      <w:r w:rsidRPr="00012278">
        <w:rPr>
          <w:szCs w:val="22"/>
          <w:lang w:val="sr-Latn-ME"/>
        </w:rPr>
        <w:lastRenderedPageBreak/>
        <w:t xml:space="preserve">27,5 mjeseci (p=0,55), a stope odgovora 45,5% odnosno 39,8% (p=0,32). Pacijenti liječeni </w:t>
      </w:r>
      <w:r w:rsidR="00C3503D" w:rsidRPr="00012278">
        <w:rPr>
          <w:szCs w:val="22"/>
          <w:lang w:val="sr-Latn-ME"/>
        </w:rPr>
        <w:t xml:space="preserve">protokolom </w:t>
      </w:r>
      <w:r w:rsidRPr="00012278">
        <w:rPr>
          <w:szCs w:val="22"/>
          <w:lang w:val="sr-Latn-ME"/>
        </w:rPr>
        <w:t>XELIRI+bevacizumab prijavili su značajno veću incidencu dijareje, febrilne neutropenije i sindroma šaka-stopalo nego pacijenti koji su primali FOLFIRI i bevacizumab, kod kojih se</w:t>
      </w:r>
      <w:r w:rsidR="00C3503D" w:rsidRPr="00012278">
        <w:rPr>
          <w:szCs w:val="22"/>
          <w:lang w:val="sr-Latn-ME"/>
        </w:rPr>
        <w:t xml:space="preserve"> češće</w:t>
      </w:r>
      <w:r w:rsidRPr="00012278">
        <w:rPr>
          <w:szCs w:val="22"/>
          <w:lang w:val="sr-Latn-ME"/>
        </w:rPr>
        <w:t xml:space="preserve"> javljalo odlaganje terapije, smanjenje doze i prekid liječenja.</w:t>
      </w:r>
    </w:p>
    <w:p w14:paraId="1A7AC7B5" w14:textId="77777777" w:rsidR="006140B9" w:rsidRPr="00012278" w:rsidRDefault="006140B9" w:rsidP="002B4BD7">
      <w:pPr>
        <w:jc w:val="both"/>
        <w:rPr>
          <w:szCs w:val="22"/>
          <w:lang w:val="sr-Latn-ME"/>
        </w:rPr>
      </w:pPr>
    </w:p>
    <w:p w14:paraId="7E72EF8B" w14:textId="57D90A32" w:rsidR="00260675" w:rsidRPr="00012278" w:rsidRDefault="006140B9" w:rsidP="002B4BD7">
      <w:pPr>
        <w:jc w:val="both"/>
        <w:rPr>
          <w:szCs w:val="22"/>
          <w:lang w:val="sr-Latn-ME"/>
        </w:rPr>
      </w:pPr>
      <w:r w:rsidRPr="00012278">
        <w:rPr>
          <w:szCs w:val="22"/>
          <w:lang w:val="sr-Latn-ME"/>
        </w:rPr>
        <w:t>Podaci iz  multicentričnog, randomizovanog, kontrolisanog ispitivanja faze II (AIO KRK 0604) podržavaju primjenu kapecitabina u početnoj dozi od  800 mg/m</w:t>
      </w:r>
      <w:r w:rsidRPr="00012278">
        <w:rPr>
          <w:szCs w:val="22"/>
          <w:vertAlign w:val="superscript"/>
          <w:lang w:val="sr-Latn-ME"/>
        </w:rPr>
        <w:t>2</w:t>
      </w:r>
      <w:r w:rsidRPr="00012278">
        <w:rPr>
          <w:szCs w:val="22"/>
          <w:lang w:val="sr-Latn-ME"/>
        </w:rPr>
        <w:t xml:space="preserve"> tokom 2 nedjelje</w:t>
      </w:r>
      <w:r w:rsidR="00C3503D" w:rsidRPr="00012278">
        <w:rPr>
          <w:szCs w:val="22"/>
          <w:lang w:val="sr-Latn-ME"/>
        </w:rPr>
        <w:t>,</w:t>
      </w:r>
      <w:r w:rsidRPr="00012278">
        <w:rPr>
          <w:szCs w:val="22"/>
          <w:lang w:val="sr-Latn-ME"/>
        </w:rPr>
        <w:t xml:space="preserve"> na svake 3 nedjelje u kombinaciji sa irinotekanom i bevacizumabom kao prvu liniju terapije pacijenata sa metastatskim kolorektalnim karcinomom.  Randomizovano je 120 pacijenta da primaju</w:t>
      </w:r>
      <w:r w:rsidR="00C3503D" w:rsidRPr="00012278">
        <w:rPr>
          <w:szCs w:val="22"/>
          <w:lang w:val="sr-Latn-ME"/>
        </w:rPr>
        <w:t xml:space="preserve"> modifikovani XELIRI protokol,</w:t>
      </w:r>
      <w:r w:rsidRPr="00012278">
        <w:rPr>
          <w:szCs w:val="22"/>
          <w:lang w:val="sr-Latn-ME"/>
        </w:rPr>
        <w:t xml:space="preserve"> kapecitabin u kombinaciji sa  irinotekanom (XELIRI) i bevacizumabom:  kapecitabin (800 mg/m</w:t>
      </w:r>
      <w:r w:rsidRPr="00012278">
        <w:rPr>
          <w:szCs w:val="22"/>
          <w:vertAlign w:val="superscript"/>
          <w:lang w:val="sr-Latn-ME"/>
        </w:rPr>
        <w:t>2</w:t>
      </w:r>
      <w:r w:rsidRPr="00012278">
        <w:rPr>
          <w:szCs w:val="22"/>
          <w:lang w:val="sr-Latn-ME"/>
        </w:rPr>
        <w:t xml:space="preserve"> dva puta na dan  tokom dvije nedjelje poslije čega slijedi period odmora od 7 dana), irinotekan (200 mg/m</w:t>
      </w:r>
      <w:r w:rsidRPr="00012278">
        <w:rPr>
          <w:szCs w:val="22"/>
          <w:vertAlign w:val="superscript"/>
          <w:lang w:val="sr-Latn-ME"/>
        </w:rPr>
        <w:t>2</w:t>
      </w:r>
      <w:r w:rsidRPr="00012278">
        <w:rPr>
          <w:szCs w:val="22"/>
          <w:lang w:val="sr-Latn-ME"/>
        </w:rPr>
        <w:t xml:space="preserve"> u vidu 30-minutne infuzije prvog dana svake 3 nedjelje), i bevacizumab (7,5 mg/kg u vidu </w:t>
      </w:r>
      <w:r w:rsidR="00260675" w:rsidRPr="00012278">
        <w:rPr>
          <w:szCs w:val="22"/>
          <w:lang w:val="sr-Latn-ME"/>
        </w:rPr>
        <w:t>30-90 minutne</w:t>
      </w:r>
      <w:r w:rsidRPr="00012278">
        <w:rPr>
          <w:szCs w:val="22"/>
          <w:lang w:val="sr-Latn-ME"/>
        </w:rPr>
        <w:t xml:space="preserve"> infuzije prvog dana svake 3 nedjelje);  ukupno je 127 pacijenata randomizovano  da prima kapecitabin (1000 mg/m2 dva puta na dan  tokom dvije nedjelje poslije čega slijedi period odmora od 7 dana), oksaliplatin (130 mg/m</w:t>
      </w:r>
      <w:r w:rsidRPr="00012278">
        <w:rPr>
          <w:szCs w:val="22"/>
          <w:vertAlign w:val="superscript"/>
          <w:lang w:val="sr-Latn-ME"/>
        </w:rPr>
        <w:t>2</w:t>
      </w:r>
      <w:r w:rsidRPr="00012278">
        <w:rPr>
          <w:szCs w:val="22"/>
          <w:lang w:val="sr-Latn-ME"/>
        </w:rPr>
        <w:t xml:space="preserve"> u vidu dvočasovne infuzije prvog dana svake 3 nedjelje), i bevacizumab (7,5 mg/kg u vidu 30- do 90-minutne  infuzije prvog dana svake 3 nedjelje).  Odgovori na liječenje nakon razdoblja praćenja studijske populacije u srednjem trajanju od 26,2 mjeseca prikazani su ispod:</w:t>
      </w:r>
    </w:p>
    <w:p w14:paraId="1A5CA754" w14:textId="77777777" w:rsidR="00260675" w:rsidRPr="00012278" w:rsidRDefault="00260675" w:rsidP="006140B9">
      <w:pPr>
        <w:rPr>
          <w:szCs w:val="22"/>
          <w:lang w:val="sr-Latn-ME"/>
        </w:rPr>
      </w:pPr>
    </w:p>
    <w:p w14:paraId="6F8BF07E" w14:textId="77777777" w:rsidR="006140B9" w:rsidRPr="00012278" w:rsidRDefault="006140B9" w:rsidP="006140B9">
      <w:pPr>
        <w:rPr>
          <w:szCs w:val="22"/>
          <w:lang w:val="sr-Latn-ME"/>
        </w:rPr>
      </w:pPr>
      <w:r w:rsidRPr="00012278">
        <w:rPr>
          <w:szCs w:val="22"/>
          <w:lang w:val="sr-Latn-ME"/>
        </w:rPr>
        <w:t>Tabela 8     Ključni rezultati o efikasnosti iz ispitivanja AIO KRK</w:t>
      </w:r>
    </w:p>
    <w:p w14:paraId="66960DB4" w14:textId="77777777" w:rsidR="006140B9" w:rsidRPr="00012278" w:rsidRDefault="006140B9" w:rsidP="006140B9">
      <w:pPr>
        <w:rPr>
          <w:szCs w:val="22"/>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307"/>
        <w:gridCol w:w="2307"/>
        <w:gridCol w:w="2261"/>
      </w:tblGrid>
      <w:tr w:rsidR="006140B9" w:rsidRPr="00012278" w14:paraId="1D565E56" w14:textId="77777777" w:rsidTr="00183A6F">
        <w:tc>
          <w:tcPr>
            <w:tcW w:w="2489" w:type="dxa"/>
            <w:shd w:val="clear" w:color="auto" w:fill="auto"/>
          </w:tcPr>
          <w:p w14:paraId="25989D04" w14:textId="77777777" w:rsidR="006140B9" w:rsidRPr="00012278" w:rsidRDefault="006140B9" w:rsidP="0012640D">
            <w:pPr>
              <w:keepNext/>
              <w:rPr>
                <w:szCs w:val="22"/>
                <w:lang w:val="sr-Latn-ME"/>
              </w:rPr>
            </w:pPr>
          </w:p>
        </w:tc>
        <w:tc>
          <w:tcPr>
            <w:tcW w:w="2489" w:type="dxa"/>
            <w:shd w:val="clear" w:color="auto" w:fill="auto"/>
          </w:tcPr>
          <w:p w14:paraId="6ACC6822" w14:textId="77777777" w:rsidR="006140B9" w:rsidRPr="00012278" w:rsidRDefault="006140B9" w:rsidP="0012640D">
            <w:pPr>
              <w:keepNext/>
              <w:rPr>
                <w:b/>
                <w:bCs/>
                <w:i/>
                <w:iCs/>
                <w:szCs w:val="22"/>
                <w:lang w:val="sr-Latn-ME"/>
              </w:rPr>
            </w:pPr>
            <w:r w:rsidRPr="00012278">
              <w:rPr>
                <w:b/>
                <w:bCs/>
                <w:i/>
                <w:iCs/>
                <w:szCs w:val="22"/>
                <w:lang w:val="sr-Latn-ME"/>
              </w:rPr>
              <w:t>XELOX + bevacizumab</w:t>
            </w:r>
          </w:p>
          <w:p w14:paraId="3EC3DDB5" w14:textId="77777777" w:rsidR="006140B9" w:rsidRPr="00012278" w:rsidRDefault="006140B9" w:rsidP="0012640D">
            <w:pPr>
              <w:keepNext/>
              <w:rPr>
                <w:b/>
                <w:bCs/>
                <w:i/>
                <w:iCs/>
                <w:szCs w:val="22"/>
                <w:lang w:val="sr-Latn-ME"/>
              </w:rPr>
            </w:pPr>
          </w:p>
          <w:p w14:paraId="7B1D3E3E" w14:textId="77777777" w:rsidR="006140B9" w:rsidRPr="00012278" w:rsidRDefault="006140B9" w:rsidP="0012640D">
            <w:pPr>
              <w:keepNext/>
              <w:rPr>
                <w:szCs w:val="22"/>
                <w:lang w:val="sr-Latn-ME"/>
              </w:rPr>
            </w:pPr>
            <w:r w:rsidRPr="00012278">
              <w:rPr>
                <w:b/>
                <w:bCs/>
                <w:i/>
                <w:iCs/>
                <w:szCs w:val="22"/>
                <w:lang w:val="sr-Latn-ME"/>
              </w:rPr>
              <w:t>(ITT: N=127)</w:t>
            </w:r>
          </w:p>
        </w:tc>
        <w:tc>
          <w:tcPr>
            <w:tcW w:w="2489" w:type="dxa"/>
            <w:shd w:val="clear" w:color="auto" w:fill="auto"/>
          </w:tcPr>
          <w:p w14:paraId="2BE9DA65" w14:textId="77777777" w:rsidR="006140B9" w:rsidRPr="00012278" w:rsidRDefault="006140B9" w:rsidP="0012640D">
            <w:pPr>
              <w:keepNext/>
              <w:rPr>
                <w:b/>
                <w:bCs/>
                <w:i/>
                <w:iCs/>
                <w:szCs w:val="22"/>
                <w:lang w:val="sr-Latn-ME"/>
              </w:rPr>
            </w:pPr>
            <w:r w:rsidRPr="00012278">
              <w:rPr>
                <w:b/>
                <w:bCs/>
                <w:i/>
                <w:iCs/>
                <w:szCs w:val="22"/>
                <w:lang w:val="sr-Latn-ME"/>
              </w:rPr>
              <w:t>Modifikovan XELIRI +</w:t>
            </w:r>
          </w:p>
          <w:p w14:paraId="456C108F" w14:textId="77777777" w:rsidR="006140B9" w:rsidRPr="00012278" w:rsidRDefault="006140B9" w:rsidP="0012640D">
            <w:pPr>
              <w:keepNext/>
              <w:rPr>
                <w:b/>
                <w:bCs/>
                <w:i/>
                <w:iCs/>
                <w:szCs w:val="22"/>
                <w:lang w:val="sr-Latn-ME"/>
              </w:rPr>
            </w:pPr>
            <w:r w:rsidRPr="00012278">
              <w:rPr>
                <w:b/>
                <w:bCs/>
                <w:i/>
                <w:iCs/>
                <w:szCs w:val="22"/>
                <w:lang w:val="sr-Latn-ME"/>
              </w:rPr>
              <w:t>bevacizumab</w:t>
            </w:r>
          </w:p>
          <w:p w14:paraId="5DC41CCF" w14:textId="77777777" w:rsidR="006140B9" w:rsidRPr="00012278" w:rsidRDefault="006140B9" w:rsidP="0012640D">
            <w:pPr>
              <w:keepNext/>
              <w:rPr>
                <w:szCs w:val="22"/>
                <w:lang w:val="sr-Latn-ME"/>
              </w:rPr>
            </w:pPr>
            <w:r w:rsidRPr="00012278">
              <w:rPr>
                <w:b/>
                <w:bCs/>
                <w:i/>
                <w:iCs/>
                <w:szCs w:val="22"/>
                <w:lang w:val="sr-Latn-ME"/>
              </w:rPr>
              <w:t>(ITT: N= 120)</w:t>
            </w:r>
          </w:p>
        </w:tc>
        <w:tc>
          <w:tcPr>
            <w:tcW w:w="2490" w:type="dxa"/>
            <w:shd w:val="clear" w:color="auto" w:fill="auto"/>
          </w:tcPr>
          <w:p w14:paraId="47920964" w14:textId="3C69028C" w:rsidR="006140B9" w:rsidRPr="00012278" w:rsidRDefault="00260675" w:rsidP="0012640D">
            <w:pPr>
              <w:keepNext/>
              <w:rPr>
                <w:b/>
                <w:bCs/>
                <w:i/>
                <w:iCs/>
                <w:szCs w:val="22"/>
                <w:lang w:val="sr-Latn-ME"/>
              </w:rPr>
            </w:pPr>
            <w:r w:rsidRPr="00012278">
              <w:rPr>
                <w:b/>
                <w:bCs/>
                <w:i/>
                <w:iCs/>
                <w:szCs w:val="22"/>
                <w:lang w:val="sr-Latn-ME"/>
              </w:rPr>
              <w:t xml:space="preserve">Odnos </w:t>
            </w:r>
            <w:r w:rsidR="006140B9" w:rsidRPr="00012278">
              <w:rPr>
                <w:b/>
                <w:bCs/>
                <w:i/>
                <w:iCs/>
                <w:szCs w:val="22"/>
                <w:lang w:val="sr-Latn-ME"/>
              </w:rPr>
              <w:t>rizika</w:t>
            </w:r>
          </w:p>
          <w:p w14:paraId="487F1326" w14:textId="77777777" w:rsidR="006140B9" w:rsidRPr="00012278" w:rsidRDefault="006140B9" w:rsidP="0012640D">
            <w:pPr>
              <w:keepNext/>
              <w:rPr>
                <w:b/>
                <w:bCs/>
                <w:i/>
                <w:iCs/>
                <w:szCs w:val="22"/>
                <w:lang w:val="sr-Latn-ME"/>
              </w:rPr>
            </w:pPr>
            <w:r w:rsidRPr="00012278">
              <w:rPr>
                <w:b/>
                <w:bCs/>
                <w:i/>
                <w:iCs/>
                <w:szCs w:val="22"/>
                <w:lang w:val="sr-Latn-ME"/>
              </w:rPr>
              <w:t>95% CI</w:t>
            </w:r>
          </w:p>
          <w:p w14:paraId="4E0E8021" w14:textId="77777777" w:rsidR="006140B9" w:rsidRPr="00012278" w:rsidRDefault="006140B9" w:rsidP="0012640D">
            <w:pPr>
              <w:keepNext/>
              <w:rPr>
                <w:szCs w:val="22"/>
                <w:lang w:val="sr-Latn-ME"/>
              </w:rPr>
            </w:pPr>
            <w:r w:rsidRPr="00012278">
              <w:rPr>
                <w:b/>
                <w:bCs/>
                <w:i/>
                <w:iCs/>
                <w:szCs w:val="22"/>
                <w:lang w:val="sr-Latn-ME"/>
              </w:rPr>
              <w:t>P-vrijednost</w:t>
            </w:r>
          </w:p>
        </w:tc>
      </w:tr>
      <w:tr w:rsidR="006140B9" w:rsidRPr="00012278" w14:paraId="31ADC552" w14:textId="77777777" w:rsidTr="00183A6F">
        <w:tc>
          <w:tcPr>
            <w:tcW w:w="9957" w:type="dxa"/>
            <w:gridSpan w:val="4"/>
            <w:shd w:val="clear" w:color="auto" w:fill="auto"/>
          </w:tcPr>
          <w:p w14:paraId="156DD5BF" w14:textId="77777777" w:rsidR="006140B9" w:rsidRPr="00012278" w:rsidRDefault="006140B9" w:rsidP="0012640D">
            <w:pPr>
              <w:keepNext/>
              <w:rPr>
                <w:i/>
                <w:szCs w:val="22"/>
                <w:lang w:val="sr-Latn-ME"/>
              </w:rPr>
            </w:pPr>
            <w:r w:rsidRPr="00012278">
              <w:rPr>
                <w:i/>
                <w:szCs w:val="22"/>
                <w:lang w:val="sr-Latn-ME"/>
              </w:rPr>
              <w:t>Preživljavanje bez progresije bolesti nakon 6 mjeseci</w:t>
            </w:r>
          </w:p>
        </w:tc>
      </w:tr>
      <w:tr w:rsidR="006140B9" w:rsidRPr="00012278" w14:paraId="4ADADE7D" w14:textId="77777777" w:rsidTr="00183A6F">
        <w:tc>
          <w:tcPr>
            <w:tcW w:w="2489" w:type="dxa"/>
            <w:shd w:val="clear" w:color="auto" w:fill="auto"/>
          </w:tcPr>
          <w:p w14:paraId="7277B8D2" w14:textId="77777777" w:rsidR="006140B9" w:rsidRPr="00012278" w:rsidRDefault="006140B9" w:rsidP="0012640D">
            <w:pPr>
              <w:keepNext/>
              <w:rPr>
                <w:b/>
                <w:bCs/>
                <w:szCs w:val="22"/>
                <w:lang w:val="sr-Latn-ME"/>
              </w:rPr>
            </w:pPr>
            <w:r w:rsidRPr="00012278">
              <w:rPr>
                <w:b/>
                <w:bCs/>
                <w:szCs w:val="22"/>
                <w:lang w:val="sr-Latn-ME"/>
              </w:rPr>
              <w:t>ITT</w:t>
            </w:r>
          </w:p>
          <w:p w14:paraId="75FA4EEA" w14:textId="77777777" w:rsidR="006140B9" w:rsidRPr="00012278" w:rsidRDefault="006140B9" w:rsidP="0012640D">
            <w:pPr>
              <w:keepNext/>
              <w:rPr>
                <w:szCs w:val="22"/>
                <w:lang w:val="sr-Latn-ME"/>
              </w:rPr>
            </w:pPr>
            <w:r w:rsidRPr="00012278">
              <w:rPr>
                <w:b/>
                <w:bCs/>
                <w:szCs w:val="22"/>
                <w:lang w:val="sr-Latn-ME"/>
              </w:rPr>
              <w:t>95% CI</w:t>
            </w:r>
          </w:p>
        </w:tc>
        <w:tc>
          <w:tcPr>
            <w:tcW w:w="2489" w:type="dxa"/>
            <w:shd w:val="clear" w:color="auto" w:fill="auto"/>
          </w:tcPr>
          <w:p w14:paraId="1EB26650" w14:textId="77777777" w:rsidR="006140B9" w:rsidRPr="00012278" w:rsidRDefault="006140B9" w:rsidP="0012640D">
            <w:pPr>
              <w:keepNext/>
              <w:rPr>
                <w:bCs/>
                <w:iCs/>
                <w:szCs w:val="22"/>
                <w:lang w:val="sr-Latn-ME"/>
              </w:rPr>
            </w:pPr>
            <w:r w:rsidRPr="00012278">
              <w:rPr>
                <w:bCs/>
                <w:iCs/>
                <w:szCs w:val="22"/>
                <w:lang w:val="sr-Latn-ME"/>
              </w:rPr>
              <w:t>76%</w:t>
            </w:r>
          </w:p>
          <w:p w14:paraId="3D0BD5EB" w14:textId="77777777" w:rsidR="006140B9" w:rsidRPr="00012278" w:rsidRDefault="006140B9" w:rsidP="0012640D">
            <w:pPr>
              <w:keepNext/>
              <w:rPr>
                <w:szCs w:val="22"/>
                <w:lang w:val="sr-Latn-ME"/>
              </w:rPr>
            </w:pPr>
            <w:r w:rsidRPr="00012278">
              <w:rPr>
                <w:bCs/>
                <w:iCs/>
                <w:szCs w:val="22"/>
                <w:lang w:val="sr-Latn-ME"/>
              </w:rPr>
              <w:t>69 - 84%</w:t>
            </w:r>
          </w:p>
        </w:tc>
        <w:tc>
          <w:tcPr>
            <w:tcW w:w="2489" w:type="dxa"/>
            <w:shd w:val="clear" w:color="auto" w:fill="auto"/>
          </w:tcPr>
          <w:p w14:paraId="0A1A5D75" w14:textId="77777777" w:rsidR="006140B9" w:rsidRPr="00012278" w:rsidRDefault="006140B9" w:rsidP="0012640D">
            <w:pPr>
              <w:keepNext/>
              <w:rPr>
                <w:bCs/>
                <w:iCs/>
                <w:szCs w:val="22"/>
                <w:lang w:val="sr-Latn-ME"/>
              </w:rPr>
            </w:pPr>
            <w:r w:rsidRPr="00012278">
              <w:rPr>
                <w:bCs/>
                <w:iCs/>
                <w:szCs w:val="22"/>
                <w:lang w:val="sr-Latn-ME"/>
              </w:rPr>
              <w:t>84%</w:t>
            </w:r>
          </w:p>
          <w:p w14:paraId="3080171D" w14:textId="77777777" w:rsidR="006140B9" w:rsidRPr="00012278" w:rsidRDefault="006140B9" w:rsidP="0012640D">
            <w:pPr>
              <w:keepNext/>
              <w:rPr>
                <w:szCs w:val="22"/>
                <w:lang w:val="sr-Latn-ME"/>
              </w:rPr>
            </w:pPr>
            <w:r w:rsidRPr="00012278">
              <w:rPr>
                <w:bCs/>
                <w:iCs/>
                <w:szCs w:val="22"/>
                <w:lang w:val="sr-Latn-ME"/>
              </w:rPr>
              <w:t>77 - 90%</w:t>
            </w:r>
          </w:p>
        </w:tc>
        <w:tc>
          <w:tcPr>
            <w:tcW w:w="2490" w:type="dxa"/>
            <w:shd w:val="clear" w:color="auto" w:fill="auto"/>
          </w:tcPr>
          <w:p w14:paraId="3D03838F" w14:textId="77777777" w:rsidR="006140B9" w:rsidRPr="00012278" w:rsidRDefault="006140B9" w:rsidP="0012640D">
            <w:pPr>
              <w:keepNext/>
              <w:rPr>
                <w:szCs w:val="22"/>
                <w:lang w:val="sr-Latn-ME"/>
              </w:rPr>
            </w:pPr>
            <w:r w:rsidRPr="00012278">
              <w:rPr>
                <w:b/>
                <w:bCs/>
                <w:i/>
                <w:iCs/>
                <w:szCs w:val="22"/>
                <w:lang w:val="sr-Latn-ME"/>
              </w:rPr>
              <w:t xml:space="preserve">        -</w:t>
            </w:r>
          </w:p>
        </w:tc>
      </w:tr>
      <w:tr w:rsidR="006140B9" w:rsidRPr="00012278" w14:paraId="23C4F3EA" w14:textId="77777777" w:rsidTr="00183A6F">
        <w:tc>
          <w:tcPr>
            <w:tcW w:w="9957" w:type="dxa"/>
            <w:gridSpan w:val="4"/>
            <w:shd w:val="clear" w:color="auto" w:fill="auto"/>
          </w:tcPr>
          <w:p w14:paraId="49963D92" w14:textId="77777777" w:rsidR="006140B9" w:rsidRPr="00012278" w:rsidRDefault="006140B9" w:rsidP="0012640D">
            <w:pPr>
              <w:keepNext/>
              <w:rPr>
                <w:i/>
                <w:szCs w:val="22"/>
                <w:lang w:val="sr-Latn-ME"/>
              </w:rPr>
            </w:pPr>
            <w:r w:rsidRPr="00012278">
              <w:rPr>
                <w:i/>
                <w:szCs w:val="22"/>
                <w:lang w:val="sr-Latn-ME"/>
              </w:rPr>
              <w:t>Medijana preživljavanja bez progresije bolesti</w:t>
            </w:r>
          </w:p>
        </w:tc>
      </w:tr>
      <w:tr w:rsidR="006140B9" w:rsidRPr="00012278" w14:paraId="1E9DFF58" w14:textId="77777777" w:rsidTr="00183A6F">
        <w:tc>
          <w:tcPr>
            <w:tcW w:w="2489" w:type="dxa"/>
            <w:shd w:val="clear" w:color="auto" w:fill="auto"/>
          </w:tcPr>
          <w:p w14:paraId="55CE24BC" w14:textId="77777777" w:rsidR="006140B9" w:rsidRPr="00012278" w:rsidRDefault="006140B9" w:rsidP="0012640D">
            <w:pPr>
              <w:keepNext/>
              <w:rPr>
                <w:b/>
                <w:bCs/>
                <w:szCs w:val="22"/>
                <w:lang w:val="sr-Latn-ME"/>
              </w:rPr>
            </w:pPr>
            <w:r w:rsidRPr="00012278">
              <w:rPr>
                <w:b/>
                <w:bCs/>
                <w:szCs w:val="22"/>
                <w:lang w:val="sr-Latn-ME"/>
              </w:rPr>
              <w:t>ITT</w:t>
            </w:r>
          </w:p>
          <w:p w14:paraId="60641A22" w14:textId="77777777" w:rsidR="006140B9" w:rsidRPr="00012278" w:rsidRDefault="006140B9" w:rsidP="0012640D">
            <w:pPr>
              <w:keepNext/>
              <w:rPr>
                <w:szCs w:val="22"/>
                <w:lang w:val="sr-Latn-ME"/>
              </w:rPr>
            </w:pPr>
            <w:r w:rsidRPr="00012278">
              <w:rPr>
                <w:b/>
                <w:bCs/>
                <w:szCs w:val="22"/>
                <w:lang w:val="sr-Latn-ME"/>
              </w:rPr>
              <w:t>95% CI</w:t>
            </w:r>
          </w:p>
        </w:tc>
        <w:tc>
          <w:tcPr>
            <w:tcW w:w="2489" w:type="dxa"/>
            <w:shd w:val="clear" w:color="auto" w:fill="auto"/>
          </w:tcPr>
          <w:p w14:paraId="7B4B8262" w14:textId="77777777" w:rsidR="006140B9" w:rsidRPr="00012278" w:rsidRDefault="006140B9" w:rsidP="0012640D">
            <w:pPr>
              <w:keepNext/>
              <w:rPr>
                <w:szCs w:val="22"/>
                <w:lang w:val="sr-Latn-ME"/>
              </w:rPr>
            </w:pPr>
            <w:r w:rsidRPr="00012278">
              <w:rPr>
                <w:szCs w:val="22"/>
                <w:lang w:val="sr-Latn-ME"/>
              </w:rPr>
              <w:t>10,4 mjeseca</w:t>
            </w:r>
          </w:p>
          <w:p w14:paraId="1AD5E95B" w14:textId="77777777" w:rsidR="006140B9" w:rsidRPr="00012278" w:rsidRDefault="006140B9" w:rsidP="0012640D">
            <w:pPr>
              <w:keepNext/>
              <w:rPr>
                <w:szCs w:val="22"/>
                <w:lang w:val="sr-Latn-ME"/>
              </w:rPr>
            </w:pPr>
            <w:r w:rsidRPr="00012278">
              <w:rPr>
                <w:szCs w:val="22"/>
                <w:lang w:val="sr-Latn-ME"/>
              </w:rPr>
              <w:t>9,0-12,0</w:t>
            </w:r>
          </w:p>
        </w:tc>
        <w:tc>
          <w:tcPr>
            <w:tcW w:w="2489" w:type="dxa"/>
            <w:shd w:val="clear" w:color="auto" w:fill="auto"/>
          </w:tcPr>
          <w:p w14:paraId="1B66165C" w14:textId="77777777" w:rsidR="006140B9" w:rsidRPr="00012278" w:rsidRDefault="006140B9" w:rsidP="0012640D">
            <w:pPr>
              <w:keepNext/>
              <w:rPr>
                <w:szCs w:val="22"/>
                <w:lang w:val="sr-Latn-ME"/>
              </w:rPr>
            </w:pPr>
            <w:r w:rsidRPr="00012278">
              <w:rPr>
                <w:szCs w:val="22"/>
                <w:lang w:val="sr-Latn-ME"/>
              </w:rPr>
              <w:t>12.1 mjesec</w:t>
            </w:r>
          </w:p>
          <w:p w14:paraId="36749A25" w14:textId="77777777" w:rsidR="006140B9" w:rsidRPr="00012278" w:rsidRDefault="006140B9" w:rsidP="0012640D">
            <w:pPr>
              <w:keepNext/>
              <w:rPr>
                <w:szCs w:val="22"/>
                <w:lang w:val="sr-Latn-ME"/>
              </w:rPr>
            </w:pPr>
            <w:r w:rsidRPr="00012278">
              <w:rPr>
                <w:szCs w:val="22"/>
                <w:lang w:val="sr-Latn-ME"/>
              </w:rPr>
              <w:t>10,8 - 13,2</w:t>
            </w:r>
          </w:p>
        </w:tc>
        <w:tc>
          <w:tcPr>
            <w:tcW w:w="2490" w:type="dxa"/>
            <w:shd w:val="clear" w:color="auto" w:fill="auto"/>
          </w:tcPr>
          <w:p w14:paraId="324A454C" w14:textId="77777777" w:rsidR="006140B9" w:rsidRPr="00012278" w:rsidRDefault="006140B9" w:rsidP="0012640D">
            <w:pPr>
              <w:keepNext/>
              <w:rPr>
                <w:szCs w:val="22"/>
                <w:lang w:val="sr-Latn-ME"/>
              </w:rPr>
            </w:pPr>
            <w:r w:rsidRPr="00012278">
              <w:rPr>
                <w:szCs w:val="22"/>
                <w:lang w:val="sr-Latn-ME"/>
              </w:rPr>
              <w:t>0,93</w:t>
            </w:r>
          </w:p>
          <w:p w14:paraId="665155DD" w14:textId="77777777" w:rsidR="006140B9" w:rsidRPr="00012278" w:rsidRDefault="006140B9" w:rsidP="0012640D">
            <w:pPr>
              <w:keepNext/>
              <w:rPr>
                <w:szCs w:val="22"/>
                <w:lang w:val="sr-Latn-ME"/>
              </w:rPr>
            </w:pPr>
            <w:r w:rsidRPr="00012278">
              <w:rPr>
                <w:szCs w:val="22"/>
                <w:lang w:val="sr-Latn-ME"/>
              </w:rPr>
              <w:t>0,82 – 1,07</w:t>
            </w:r>
          </w:p>
          <w:p w14:paraId="5957F6A5" w14:textId="77777777" w:rsidR="006140B9" w:rsidRPr="00012278" w:rsidRDefault="006140B9" w:rsidP="0012640D">
            <w:pPr>
              <w:keepNext/>
              <w:rPr>
                <w:szCs w:val="22"/>
                <w:lang w:val="sr-Latn-ME"/>
              </w:rPr>
            </w:pPr>
            <w:r w:rsidRPr="00012278">
              <w:rPr>
                <w:szCs w:val="22"/>
                <w:lang w:val="sr-Latn-ME"/>
              </w:rPr>
              <w:t>P=0,30</w:t>
            </w:r>
          </w:p>
        </w:tc>
      </w:tr>
      <w:tr w:rsidR="006140B9" w:rsidRPr="00012278" w14:paraId="3F58E91E" w14:textId="77777777" w:rsidTr="00183A6F">
        <w:tc>
          <w:tcPr>
            <w:tcW w:w="9957" w:type="dxa"/>
            <w:gridSpan w:val="4"/>
            <w:shd w:val="clear" w:color="auto" w:fill="auto"/>
          </w:tcPr>
          <w:p w14:paraId="2E599FEC" w14:textId="77777777" w:rsidR="006140B9" w:rsidRPr="00012278" w:rsidRDefault="006140B9" w:rsidP="0012640D">
            <w:pPr>
              <w:keepNext/>
              <w:rPr>
                <w:i/>
                <w:szCs w:val="22"/>
                <w:lang w:val="sr-Latn-ME"/>
              </w:rPr>
            </w:pPr>
            <w:r w:rsidRPr="00012278">
              <w:rPr>
                <w:i/>
                <w:szCs w:val="22"/>
                <w:lang w:val="sr-Latn-ME"/>
              </w:rPr>
              <w:t>Medijana ukupnog preživljavanja</w:t>
            </w:r>
          </w:p>
        </w:tc>
      </w:tr>
      <w:tr w:rsidR="006140B9" w:rsidRPr="00012278" w14:paraId="1CFB702E" w14:textId="77777777" w:rsidTr="00183A6F">
        <w:tc>
          <w:tcPr>
            <w:tcW w:w="2489" w:type="dxa"/>
            <w:shd w:val="clear" w:color="auto" w:fill="auto"/>
          </w:tcPr>
          <w:p w14:paraId="50F3E935" w14:textId="77777777" w:rsidR="006140B9" w:rsidRPr="00012278" w:rsidRDefault="006140B9" w:rsidP="0012640D">
            <w:pPr>
              <w:keepNext/>
              <w:rPr>
                <w:b/>
                <w:bCs/>
                <w:szCs w:val="22"/>
                <w:lang w:val="sr-Latn-ME"/>
              </w:rPr>
            </w:pPr>
            <w:r w:rsidRPr="00012278">
              <w:rPr>
                <w:b/>
                <w:bCs/>
                <w:szCs w:val="22"/>
                <w:lang w:val="sr-Latn-ME"/>
              </w:rPr>
              <w:t>ITT</w:t>
            </w:r>
          </w:p>
          <w:p w14:paraId="384670C5" w14:textId="77777777" w:rsidR="006140B9" w:rsidRPr="00012278" w:rsidRDefault="006140B9" w:rsidP="0012640D">
            <w:pPr>
              <w:keepNext/>
              <w:rPr>
                <w:szCs w:val="22"/>
                <w:lang w:val="sr-Latn-ME"/>
              </w:rPr>
            </w:pPr>
            <w:r w:rsidRPr="00012278">
              <w:rPr>
                <w:b/>
                <w:bCs/>
                <w:szCs w:val="22"/>
                <w:lang w:val="sr-Latn-ME"/>
              </w:rPr>
              <w:t>95% CI</w:t>
            </w:r>
          </w:p>
        </w:tc>
        <w:tc>
          <w:tcPr>
            <w:tcW w:w="2489" w:type="dxa"/>
            <w:shd w:val="clear" w:color="auto" w:fill="auto"/>
          </w:tcPr>
          <w:p w14:paraId="0160F93B" w14:textId="77777777" w:rsidR="006140B9" w:rsidRPr="00012278" w:rsidRDefault="006140B9" w:rsidP="0012640D">
            <w:pPr>
              <w:keepNext/>
              <w:rPr>
                <w:szCs w:val="22"/>
                <w:lang w:val="sr-Latn-ME"/>
              </w:rPr>
            </w:pPr>
            <w:r w:rsidRPr="00012278">
              <w:rPr>
                <w:szCs w:val="22"/>
                <w:lang w:val="sr-Latn-ME"/>
              </w:rPr>
              <w:t>24,4 mjeseca</w:t>
            </w:r>
          </w:p>
          <w:p w14:paraId="004600BD" w14:textId="77777777" w:rsidR="006140B9" w:rsidRPr="00012278" w:rsidRDefault="006140B9" w:rsidP="0012640D">
            <w:pPr>
              <w:keepNext/>
              <w:rPr>
                <w:szCs w:val="22"/>
                <w:lang w:val="sr-Latn-ME"/>
              </w:rPr>
            </w:pPr>
            <w:r w:rsidRPr="00012278">
              <w:rPr>
                <w:szCs w:val="22"/>
                <w:lang w:val="sr-Latn-ME"/>
              </w:rPr>
              <w:t>19,3 – 30,7</w:t>
            </w:r>
          </w:p>
        </w:tc>
        <w:tc>
          <w:tcPr>
            <w:tcW w:w="2489" w:type="dxa"/>
            <w:shd w:val="clear" w:color="auto" w:fill="auto"/>
          </w:tcPr>
          <w:p w14:paraId="1896FDE6" w14:textId="77777777" w:rsidR="006140B9" w:rsidRPr="00012278" w:rsidRDefault="006140B9" w:rsidP="0012640D">
            <w:pPr>
              <w:keepNext/>
              <w:rPr>
                <w:szCs w:val="22"/>
                <w:lang w:val="sr-Latn-ME"/>
              </w:rPr>
            </w:pPr>
            <w:r w:rsidRPr="00012278">
              <w:rPr>
                <w:szCs w:val="22"/>
                <w:lang w:val="sr-Latn-ME"/>
              </w:rPr>
              <w:t>25,5 mjeseci</w:t>
            </w:r>
          </w:p>
          <w:p w14:paraId="7397181C" w14:textId="77777777" w:rsidR="006140B9" w:rsidRPr="00012278" w:rsidRDefault="006140B9" w:rsidP="0012640D">
            <w:pPr>
              <w:keepNext/>
              <w:rPr>
                <w:szCs w:val="22"/>
                <w:lang w:val="sr-Latn-ME"/>
              </w:rPr>
            </w:pPr>
            <w:r w:rsidRPr="00012278">
              <w:rPr>
                <w:szCs w:val="22"/>
                <w:lang w:val="sr-Latn-ME"/>
              </w:rPr>
              <w:t>21,0 – 31,0</w:t>
            </w:r>
          </w:p>
        </w:tc>
        <w:tc>
          <w:tcPr>
            <w:tcW w:w="2490" w:type="dxa"/>
            <w:shd w:val="clear" w:color="auto" w:fill="auto"/>
          </w:tcPr>
          <w:p w14:paraId="0684DD6A" w14:textId="77777777" w:rsidR="006140B9" w:rsidRPr="00012278" w:rsidRDefault="006140B9" w:rsidP="0012640D">
            <w:pPr>
              <w:keepNext/>
              <w:rPr>
                <w:szCs w:val="22"/>
                <w:lang w:val="sr-Latn-ME"/>
              </w:rPr>
            </w:pPr>
            <w:r w:rsidRPr="00012278">
              <w:rPr>
                <w:szCs w:val="22"/>
                <w:lang w:val="sr-Latn-ME"/>
              </w:rPr>
              <w:t>0,90</w:t>
            </w:r>
          </w:p>
          <w:p w14:paraId="322EED12" w14:textId="77777777" w:rsidR="006140B9" w:rsidRPr="00012278" w:rsidRDefault="006140B9" w:rsidP="0012640D">
            <w:pPr>
              <w:keepNext/>
              <w:rPr>
                <w:szCs w:val="22"/>
                <w:lang w:val="sr-Latn-ME"/>
              </w:rPr>
            </w:pPr>
            <w:r w:rsidRPr="00012278">
              <w:rPr>
                <w:szCs w:val="22"/>
                <w:lang w:val="sr-Latn-ME"/>
              </w:rPr>
              <w:t>0,68 – 1,19</w:t>
            </w:r>
          </w:p>
          <w:p w14:paraId="4D49A2E8" w14:textId="77777777" w:rsidR="006140B9" w:rsidRPr="00012278" w:rsidRDefault="006140B9" w:rsidP="0012640D">
            <w:pPr>
              <w:keepNext/>
              <w:rPr>
                <w:szCs w:val="22"/>
                <w:lang w:val="sr-Latn-ME"/>
              </w:rPr>
            </w:pPr>
            <w:r w:rsidRPr="00012278">
              <w:rPr>
                <w:szCs w:val="22"/>
                <w:lang w:val="sr-Latn-ME"/>
              </w:rPr>
              <w:t>P=0,45</w:t>
            </w:r>
          </w:p>
        </w:tc>
      </w:tr>
    </w:tbl>
    <w:p w14:paraId="750B5CA4" w14:textId="77777777" w:rsidR="006140B9" w:rsidRPr="00012278" w:rsidRDefault="006140B9" w:rsidP="006140B9">
      <w:pPr>
        <w:rPr>
          <w:szCs w:val="22"/>
          <w:lang w:val="sr-Latn-ME"/>
        </w:rPr>
      </w:pPr>
    </w:p>
    <w:p w14:paraId="4FEDE7CE" w14:textId="77777777" w:rsidR="006140B9" w:rsidRPr="00012278" w:rsidRDefault="006140B9" w:rsidP="006140B9">
      <w:pPr>
        <w:rPr>
          <w:i/>
          <w:szCs w:val="22"/>
          <w:u w:val="single"/>
          <w:lang w:val="sr-Latn-ME"/>
        </w:rPr>
      </w:pPr>
      <w:r w:rsidRPr="00012278">
        <w:rPr>
          <w:i/>
          <w:szCs w:val="22"/>
          <w:u w:val="single"/>
          <w:lang w:val="sr-Latn-ME"/>
        </w:rPr>
        <w:t>Kombinovana terapija u drugoj liniji liječenja metastatskog kolorektalnog karcinoma</w:t>
      </w:r>
    </w:p>
    <w:p w14:paraId="74E296C9" w14:textId="4B86AE86" w:rsidR="006140B9" w:rsidRPr="00012278" w:rsidRDefault="006140B9" w:rsidP="002B4BD7">
      <w:pPr>
        <w:jc w:val="both"/>
        <w:rPr>
          <w:szCs w:val="22"/>
          <w:lang w:val="sr-Latn-ME"/>
        </w:rPr>
      </w:pPr>
      <w:r w:rsidRPr="00012278">
        <w:rPr>
          <w:szCs w:val="22"/>
          <w:lang w:val="sr-Latn-ME"/>
        </w:rPr>
        <w:t>Podaci iz jedne multicentrične, randomizovane kontrolisane studije faze III (NO16967) podržavaju upotrebu kapecitabina  u kombinaciji sa oksaliplatinom za drugu liniju terapije metastatskog kolorektalnog karcinoma. U ovom ispitivanju, 627 pacijenata sa metastatskim kolorektalnim ka</w:t>
      </w:r>
      <w:r w:rsidR="007642AF" w:rsidRPr="00012278">
        <w:rPr>
          <w:szCs w:val="22"/>
          <w:lang w:val="sr-Latn-ME"/>
        </w:rPr>
        <w:t xml:space="preserve">rcinomom, </w:t>
      </w:r>
      <w:r w:rsidRPr="00012278">
        <w:rPr>
          <w:szCs w:val="22"/>
          <w:lang w:val="sr-Latn-ME"/>
        </w:rPr>
        <w:t xml:space="preserve"> koji su prethodno primali irinotekan u kombinaciji sa režimom sa fluoropirimidinom kao prvu liniju terapije</w:t>
      </w:r>
      <w:r w:rsidR="007642AF" w:rsidRPr="00012278">
        <w:rPr>
          <w:szCs w:val="22"/>
          <w:lang w:val="sr-Latn-ME"/>
        </w:rPr>
        <w:t>,</w:t>
      </w:r>
      <w:r w:rsidRPr="00012278">
        <w:rPr>
          <w:szCs w:val="22"/>
          <w:lang w:val="sr-Latn-ME"/>
        </w:rPr>
        <w:t xml:space="preserve"> randomizovani su da primaju </w:t>
      </w:r>
      <w:r w:rsidR="007642AF" w:rsidRPr="00012278">
        <w:rPr>
          <w:szCs w:val="22"/>
          <w:lang w:val="sr-Latn-ME"/>
        </w:rPr>
        <w:t>protokole</w:t>
      </w:r>
      <w:r w:rsidRPr="00012278">
        <w:rPr>
          <w:szCs w:val="22"/>
          <w:lang w:val="sr-Latn-ME"/>
        </w:rPr>
        <w:t xml:space="preserve">  XELOX ili  FOLFOX-4. U Tabeli 6 prikazani su terapijski </w:t>
      </w:r>
      <w:r w:rsidR="007642AF" w:rsidRPr="00012278">
        <w:rPr>
          <w:szCs w:val="22"/>
          <w:lang w:val="sr-Latn-ME"/>
        </w:rPr>
        <w:t xml:space="preserve">protokoli </w:t>
      </w:r>
      <w:r w:rsidRPr="00012278">
        <w:rPr>
          <w:szCs w:val="22"/>
          <w:lang w:val="sr-Latn-ME"/>
        </w:rPr>
        <w:t xml:space="preserve"> XELOX i FOLFOX-4 (bez dodavanja placeba ili bevacizumaba). Pokazano je da </w:t>
      </w:r>
      <w:r w:rsidR="007642AF" w:rsidRPr="00012278">
        <w:rPr>
          <w:szCs w:val="22"/>
          <w:lang w:val="sr-Latn-ME"/>
        </w:rPr>
        <w:t xml:space="preserve">je </w:t>
      </w:r>
      <w:r w:rsidRPr="00012278">
        <w:rPr>
          <w:szCs w:val="22"/>
          <w:lang w:val="sr-Latn-ME"/>
        </w:rPr>
        <w:t xml:space="preserve">XELOX </w:t>
      </w:r>
      <w:r w:rsidR="007642AF" w:rsidRPr="00012278">
        <w:rPr>
          <w:szCs w:val="22"/>
          <w:lang w:val="sr-Latn-ME"/>
        </w:rPr>
        <w:t xml:space="preserve">protokol </w:t>
      </w:r>
      <w:r w:rsidRPr="00012278">
        <w:rPr>
          <w:szCs w:val="22"/>
          <w:lang w:val="sr-Latn-ME"/>
        </w:rPr>
        <w:t>nije inferiorniji u odnosu na FOLFOX-4</w:t>
      </w:r>
      <w:r w:rsidR="007642AF" w:rsidRPr="00012278">
        <w:rPr>
          <w:szCs w:val="22"/>
          <w:lang w:val="sr-Latn-ME"/>
        </w:rPr>
        <w:t xml:space="preserve"> protokol </w:t>
      </w:r>
      <w:r w:rsidRPr="00012278">
        <w:rPr>
          <w:szCs w:val="22"/>
          <w:lang w:val="sr-Latn-ME"/>
        </w:rPr>
        <w:t xml:space="preserve"> u smislu preživljavanja bez progresije </w:t>
      </w:r>
      <w:r w:rsidR="007642AF" w:rsidRPr="00012278">
        <w:rPr>
          <w:szCs w:val="22"/>
          <w:lang w:val="sr-Latn-ME"/>
        </w:rPr>
        <w:t xml:space="preserve">bolesti, </w:t>
      </w:r>
      <w:r w:rsidRPr="00012278">
        <w:rPr>
          <w:szCs w:val="22"/>
          <w:lang w:val="sr-Latn-ME"/>
        </w:rPr>
        <w:t>u populaciji po protokolu i u ITT populaciji</w:t>
      </w:r>
      <w:r w:rsidR="007642AF" w:rsidRPr="00012278">
        <w:rPr>
          <w:szCs w:val="22"/>
          <w:lang w:val="sr-Latn-ME"/>
        </w:rPr>
        <w:t xml:space="preserve"> pacijenata</w:t>
      </w:r>
      <w:r w:rsidRPr="00012278">
        <w:rPr>
          <w:szCs w:val="22"/>
          <w:lang w:val="sr-Latn-ME"/>
        </w:rPr>
        <w:t xml:space="preserve"> (vidjeti Tabelu 9). Rezultati pokazuju da je </w:t>
      </w:r>
      <w:r w:rsidR="007642AF" w:rsidRPr="00012278">
        <w:rPr>
          <w:szCs w:val="22"/>
          <w:lang w:val="sr-Latn-ME"/>
        </w:rPr>
        <w:t xml:space="preserve">protokol </w:t>
      </w:r>
      <w:r w:rsidRPr="00012278">
        <w:rPr>
          <w:szCs w:val="22"/>
          <w:lang w:val="sr-Latn-ME"/>
        </w:rPr>
        <w:t xml:space="preserve">XELOX </w:t>
      </w:r>
      <w:r w:rsidR="007642AF" w:rsidRPr="00012278">
        <w:rPr>
          <w:szCs w:val="22"/>
          <w:lang w:val="sr-Latn-ME"/>
        </w:rPr>
        <w:t>jednako efikasan kao protokol</w:t>
      </w:r>
      <w:r w:rsidRPr="00012278">
        <w:rPr>
          <w:szCs w:val="22"/>
          <w:lang w:val="sr-Latn-ME"/>
        </w:rPr>
        <w:t xml:space="preserve"> FOLFOX-4 u smislu ukupnog preživljavanja (vidjeti Tabelu 9). </w:t>
      </w:r>
      <w:r w:rsidR="007642AF" w:rsidRPr="00012278">
        <w:rPr>
          <w:szCs w:val="22"/>
          <w:lang w:val="sr-Latn-ME"/>
        </w:rPr>
        <w:t xml:space="preserve">Medijana </w:t>
      </w:r>
      <w:r w:rsidRPr="00012278">
        <w:rPr>
          <w:szCs w:val="22"/>
          <w:lang w:val="sr-Latn-ME"/>
        </w:rPr>
        <w:t>praćenj</w:t>
      </w:r>
      <w:r w:rsidR="007642AF" w:rsidRPr="00012278">
        <w:rPr>
          <w:szCs w:val="22"/>
          <w:lang w:val="sr-Latn-ME"/>
        </w:rPr>
        <w:t>a</w:t>
      </w:r>
      <w:r w:rsidRPr="00012278">
        <w:rPr>
          <w:szCs w:val="22"/>
          <w:lang w:val="sr-Latn-ME"/>
        </w:rPr>
        <w:t xml:space="preserve"> u vrijeme primarne analize u ITT populaciji </w:t>
      </w:r>
      <w:r w:rsidR="007642AF" w:rsidRPr="00012278">
        <w:rPr>
          <w:szCs w:val="22"/>
          <w:lang w:val="sr-Latn-ME"/>
        </w:rPr>
        <w:t xml:space="preserve">pacijenata </w:t>
      </w:r>
      <w:r w:rsidRPr="00012278">
        <w:rPr>
          <w:szCs w:val="22"/>
          <w:lang w:val="sr-Latn-ME"/>
        </w:rPr>
        <w:t>iznosil</w:t>
      </w:r>
      <w:r w:rsidR="007642AF" w:rsidRPr="00012278">
        <w:rPr>
          <w:szCs w:val="22"/>
          <w:lang w:val="sr-Latn-ME"/>
        </w:rPr>
        <w:t>a</w:t>
      </w:r>
      <w:r w:rsidRPr="00012278">
        <w:rPr>
          <w:szCs w:val="22"/>
          <w:lang w:val="sr-Latn-ME"/>
        </w:rPr>
        <w:t xml:space="preserve"> je 2,1 godinu. Podaci iz analiza poslije dodatnih 6 mjeseci praćenja uključeni su u Tabelu 9. </w:t>
      </w:r>
    </w:p>
    <w:p w14:paraId="33BF8BC4" w14:textId="77777777" w:rsidR="006140B9" w:rsidRPr="00012278" w:rsidRDefault="006140B9" w:rsidP="002B4BD7">
      <w:pPr>
        <w:jc w:val="both"/>
        <w:rPr>
          <w:szCs w:val="22"/>
          <w:lang w:val="sr-Latn-ME"/>
        </w:rPr>
      </w:pPr>
    </w:p>
    <w:p w14:paraId="1F02CE28" w14:textId="77777777" w:rsidR="00012278" w:rsidRDefault="00012278">
      <w:pPr>
        <w:tabs>
          <w:tab w:val="clear" w:pos="567"/>
        </w:tabs>
        <w:spacing w:line="240" w:lineRule="auto"/>
        <w:rPr>
          <w:szCs w:val="22"/>
          <w:lang w:val="sr-Latn-ME"/>
        </w:rPr>
      </w:pPr>
      <w:r>
        <w:rPr>
          <w:szCs w:val="22"/>
          <w:lang w:val="sr-Latn-ME"/>
        </w:rPr>
        <w:br w:type="page"/>
      </w:r>
    </w:p>
    <w:p w14:paraId="5661A3A9" w14:textId="728CCF8A" w:rsidR="006140B9" w:rsidRPr="00012278" w:rsidRDefault="006140B9" w:rsidP="006140B9">
      <w:pPr>
        <w:rPr>
          <w:szCs w:val="22"/>
          <w:lang w:val="sr-Latn-ME"/>
        </w:rPr>
      </w:pPr>
      <w:r w:rsidRPr="00012278">
        <w:rPr>
          <w:szCs w:val="22"/>
          <w:lang w:val="sr-Latn-ME"/>
        </w:rPr>
        <w:lastRenderedPageBreak/>
        <w:t>Tabela 9. Ključni rezultati</w:t>
      </w:r>
      <w:r w:rsidR="007642AF" w:rsidRPr="00012278">
        <w:rPr>
          <w:szCs w:val="22"/>
          <w:lang w:val="sr-Latn-ME"/>
        </w:rPr>
        <w:t xml:space="preserve"> efikasnosti</w:t>
      </w:r>
      <w:r w:rsidRPr="00012278">
        <w:rPr>
          <w:szCs w:val="22"/>
          <w:lang w:val="sr-Latn-ME"/>
        </w:rPr>
        <w:t xml:space="preserve"> u analizi neinferiornosti u kliničkom ispitivanju NO 16967</w:t>
      </w:r>
    </w:p>
    <w:p w14:paraId="7AD072D7" w14:textId="77777777" w:rsidR="006140B9" w:rsidRPr="00012278" w:rsidRDefault="006140B9" w:rsidP="006140B9">
      <w:pPr>
        <w:rPr>
          <w:szCs w:val="22"/>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2709"/>
        <w:gridCol w:w="38"/>
        <w:gridCol w:w="2745"/>
        <w:gridCol w:w="2044"/>
      </w:tblGrid>
      <w:tr w:rsidR="006140B9" w:rsidRPr="00012278" w14:paraId="11DA34BE" w14:textId="77777777" w:rsidTr="00183A6F">
        <w:tc>
          <w:tcPr>
            <w:tcW w:w="5000" w:type="pct"/>
            <w:gridSpan w:val="5"/>
            <w:shd w:val="clear" w:color="auto" w:fill="E6E6E6"/>
            <w:vAlign w:val="center"/>
          </w:tcPr>
          <w:p w14:paraId="29D2AA40" w14:textId="77777777" w:rsidR="006140B9" w:rsidRPr="00012278" w:rsidRDefault="006140B9" w:rsidP="002B4BD7">
            <w:pPr>
              <w:jc w:val="center"/>
              <w:rPr>
                <w:b/>
                <w:szCs w:val="22"/>
                <w:lang w:val="sr-Latn-ME"/>
              </w:rPr>
            </w:pPr>
            <w:r w:rsidRPr="00012278">
              <w:rPr>
                <w:b/>
                <w:szCs w:val="22"/>
                <w:lang w:val="sr-Latn-ME"/>
              </w:rPr>
              <w:t>PRIMARNA ANALIZA</w:t>
            </w:r>
          </w:p>
        </w:tc>
      </w:tr>
      <w:tr w:rsidR="006140B9" w:rsidRPr="00012278" w14:paraId="59972F00" w14:textId="77777777" w:rsidTr="00183A6F">
        <w:tc>
          <w:tcPr>
            <w:tcW w:w="2336" w:type="pct"/>
            <w:gridSpan w:val="2"/>
            <w:shd w:val="clear" w:color="auto" w:fill="auto"/>
            <w:vAlign w:val="bottom"/>
          </w:tcPr>
          <w:p w14:paraId="7B26082E" w14:textId="77777777" w:rsidR="006140B9" w:rsidRPr="00012278" w:rsidRDefault="006140B9" w:rsidP="002B4BD7">
            <w:pPr>
              <w:jc w:val="center"/>
              <w:rPr>
                <w:b/>
                <w:szCs w:val="22"/>
                <w:lang w:val="sr-Latn-ME"/>
              </w:rPr>
            </w:pPr>
            <w:r w:rsidRPr="00012278">
              <w:rPr>
                <w:b/>
                <w:szCs w:val="22"/>
                <w:lang w:val="sr-Latn-ME"/>
              </w:rPr>
              <w:t>XELOX</w:t>
            </w:r>
          </w:p>
          <w:p w14:paraId="7D14BE86" w14:textId="77777777" w:rsidR="006140B9" w:rsidRPr="00012278" w:rsidRDefault="006140B9" w:rsidP="002B4BD7">
            <w:pPr>
              <w:jc w:val="center"/>
              <w:rPr>
                <w:b/>
                <w:szCs w:val="22"/>
                <w:lang w:val="sr-Latn-ME"/>
              </w:rPr>
            </w:pPr>
            <w:r w:rsidRPr="00012278">
              <w:rPr>
                <w:b/>
                <w:szCs w:val="22"/>
                <w:lang w:val="sr-Latn-ME"/>
              </w:rPr>
              <w:t>(PPP*: N=251; ITT**: N=313)</w:t>
            </w:r>
          </w:p>
        </w:tc>
        <w:tc>
          <w:tcPr>
            <w:tcW w:w="2664" w:type="pct"/>
            <w:gridSpan w:val="3"/>
            <w:shd w:val="clear" w:color="auto" w:fill="auto"/>
            <w:vAlign w:val="bottom"/>
          </w:tcPr>
          <w:p w14:paraId="1FDE1796" w14:textId="77777777" w:rsidR="006140B9" w:rsidRPr="00012278" w:rsidRDefault="006140B9" w:rsidP="002B4BD7">
            <w:pPr>
              <w:jc w:val="center"/>
              <w:rPr>
                <w:b/>
                <w:szCs w:val="22"/>
                <w:lang w:val="sr-Latn-ME"/>
              </w:rPr>
            </w:pPr>
            <w:r w:rsidRPr="00012278">
              <w:rPr>
                <w:b/>
                <w:szCs w:val="22"/>
                <w:lang w:val="sr-Latn-ME"/>
              </w:rPr>
              <w:t>FOLFOX-4</w:t>
            </w:r>
          </w:p>
          <w:p w14:paraId="263BA78A" w14:textId="77777777" w:rsidR="006140B9" w:rsidRPr="00012278" w:rsidRDefault="006140B9" w:rsidP="002B4BD7">
            <w:pPr>
              <w:jc w:val="center"/>
              <w:rPr>
                <w:b/>
                <w:szCs w:val="22"/>
                <w:lang w:val="sr-Latn-ME"/>
              </w:rPr>
            </w:pPr>
            <w:r w:rsidRPr="00012278">
              <w:rPr>
                <w:b/>
                <w:szCs w:val="22"/>
                <w:lang w:val="sr-Latn-ME"/>
              </w:rPr>
              <w:t>(PPP*: N = 252; ITT**: N= 314)</w:t>
            </w:r>
          </w:p>
        </w:tc>
      </w:tr>
      <w:tr w:rsidR="006140B9" w:rsidRPr="00012278" w14:paraId="38D7277C" w14:textId="77777777" w:rsidTr="00183A6F">
        <w:tc>
          <w:tcPr>
            <w:tcW w:w="841" w:type="pct"/>
            <w:tcBorders>
              <w:bottom w:val="single" w:sz="4" w:space="0" w:color="auto"/>
            </w:tcBorders>
            <w:shd w:val="clear" w:color="auto" w:fill="auto"/>
            <w:vAlign w:val="bottom"/>
          </w:tcPr>
          <w:p w14:paraId="17F2F2FC" w14:textId="77777777" w:rsidR="006140B9" w:rsidRPr="00012278" w:rsidRDefault="006140B9" w:rsidP="006140B9">
            <w:pPr>
              <w:rPr>
                <w:b/>
                <w:szCs w:val="22"/>
                <w:lang w:val="sr-Latn-ME"/>
              </w:rPr>
            </w:pPr>
            <w:r w:rsidRPr="00012278">
              <w:rPr>
                <w:b/>
                <w:szCs w:val="22"/>
                <w:lang w:val="sr-Latn-ME"/>
              </w:rPr>
              <w:t>Populacija</w:t>
            </w:r>
          </w:p>
        </w:tc>
        <w:tc>
          <w:tcPr>
            <w:tcW w:w="3030" w:type="pct"/>
            <w:gridSpan w:val="3"/>
            <w:tcBorders>
              <w:bottom w:val="single" w:sz="4" w:space="0" w:color="auto"/>
            </w:tcBorders>
            <w:shd w:val="clear" w:color="auto" w:fill="auto"/>
            <w:vAlign w:val="bottom"/>
          </w:tcPr>
          <w:p w14:paraId="5E607B2C" w14:textId="08E23395" w:rsidR="006140B9" w:rsidRPr="00012278" w:rsidRDefault="006B17A2" w:rsidP="006140B9">
            <w:pPr>
              <w:rPr>
                <w:b/>
                <w:szCs w:val="22"/>
                <w:lang w:val="sr-Latn-ME"/>
              </w:rPr>
            </w:pPr>
            <w:r w:rsidRPr="00012278">
              <w:rPr>
                <w:b/>
                <w:szCs w:val="22"/>
                <w:lang w:val="sr-Latn-ME"/>
              </w:rPr>
              <w:t>Medijana vremena</w:t>
            </w:r>
            <w:r w:rsidR="006140B9" w:rsidRPr="00012278">
              <w:rPr>
                <w:b/>
                <w:szCs w:val="22"/>
                <w:lang w:val="sr-Latn-ME"/>
              </w:rPr>
              <w:t xml:space="preserve"> do događaja (dani)</w:t>
            </w:r>
          </w:p>
        </w:tc>
        <w:tc>
          <w:tcPr>
            <w:tcW w:w="1129" w:type="pct"/>
            <w:tcBorders>
              <w:bottom w:val="single" w:sz="4" w:space="0" w:color="auto"/>
            </w:tcBorders>
            <w:shd w:val="clear" w:color="auto" w:fill="auto"/>
            <w:vAlign w:val="bottom"/>
          </w:tcPr>
          <w:p w14:paraId="366227B8" w14:textId="77777777" w:rsidR="006140B9" w:rsidRPr="00012278" w:rsidRDefault="006140B9" w:rsidP="002B4BD7">
            <w:pPr>
              <w:jc w:val="center"/>
              <w:rPr>
                <w:b/>
                <w:szCs w:val="22"/>
                <w:lang w:val="sr-Latn-ME"/>
              </w:rPr>
            </w:pPr>
            <w:r w:rsidRPr="00012278">
              <w:rPr>
                <w:b/>
                <w:szCs w:val="22"/>
                <w:lang w:val="sr-Latn-ME"/>
              </w:rPr>
              <w:t>HR</w:t>
            </w:r>
          </w:p>
          <w:p w14:paraId="6E9A846C" w14:textId="77777777" w:rsidR="006140B9" w:rsidRPr="00012278" w:rsidRDefault="006140B9" w:rsidP="002B4BD7">
            <w:pPr>
              <w:jc w:val="center"/>
              <w:rPr>
                <w:b/>
                <w:szCs w:val="22"/>
                <w:lang w:val="sr-Latn-ME"/>
              </w:rPr>
            </w:pPr>
            <w:r w:rsidRPr="00012278">
              <w:rPr>
                <w:b/>
                <w:szCs w:val="22"/>
                <w:lang w:val="sr-Latn-ME"/>
              </w:rPr>
              <w:t>(95% CI)</w:t>
            </w:r>
          </w:p>
        </w:tc>
      </w:tr>
      <w:tr w:rsidR="006140B9" w:rsidRPr="00012278" w14:paraId="2F5645C7" w14:textId="77777777" w:rsidTr="00183A6F">
        <w:tc>
          <w:tcPr>
            <w:tcW w:w="5000" w:type="pct"/>
            <w:gridSpan w:val="5"/>
            <w:shd w:val="clear" w:color="auto" w:fill="E6E6E6"/>
            <w:vAlign w:val="center"/>
          </w:tcPr>
          <w:p w14:paraId="31128A74" w14:textId="77777777" w:rsidR="006140B9" w:rsidRPr="00012278" w:rsidRDefault="006140B9" w:rsidP="006140B9">
            <w:pPr>
              <w:rPr>
                <w:b/>
                <w:szCs w:val="22"/>
                <w:lang w:val="sr-Latn-ME"/>
              </w:rPr>
            </w:pPr>
            <w:r w:rsidRPr="00012278">
              <w:rPr>
                <w:b/>
                <w:szCs w:val="22"/>
                <w:lang w:val="sr-Latn-ME"/>
              </w:rPr>
              <w:t>Parametar: Preživljavanje bez progresije</w:t>
            </w:r>
            <w:r w:rsidR="006B17A2" w:rsidRPr="00012278">
              <w:rPr>
                <w:b/>
                <w:szCs w:val="22"/>
                <w:lang w:val="sr-Latn-ME"/>
              </w:rPr>
              <w:t xml:space="preserve"> bolesti</w:t>
            </w:r>
          </w:p>
        </w:tc>
      </w:tr>
      <w:tr w:rsidR="006140B9" w:rsidRPr="00012278" w14:paraId="411992E1" w14:textId="77777777" w:rsidTr="00183A6F">
        <w:trPr>
          <w:trHeight w:val="430"/>
        </w:trPr>
        <w:tc>
          <w:tcPr>
            <w:tcW w:w="841" w:type="pct"/>
            <w:tcBorders>
              <w:bottom w:val="single" w:sz="4" w:space="0" w:color="auto"/>
            </w:tcBorders>
            <w:shd w:val="clear" w:color="auto" w:fill="auto"/>
            <w:vAlign w:val="center"/>
          </w:tcPr>
          <w:p w14:paraId="1BBFC1A1" w14:textId="77777777" w:rsidR="006140B9" w:rsidRPr="00012278" w:rsidRDefault="006140B9" w:rsidP="006140B9">
            <w:pPr>
              <w:rPr>
                <w:szCs w:val="22"/>
                <w:lang w:val="sr-Latn-ME"/>
              </w:rPr>
            </w:pPr>
            <w:r w:rsidRPr="00012278">
              <w:rPr>
                <w:szCs w:val="22"/>
                <w:lang w:val="sr-Latn-ME"/>
              </w:rPr>
              <w:t>PPP</w:t>
            </w:r>
          </w:p>
          <w:p w14:paraId="26740B44" w14:textId="77777777" w:rsidR="006140B9" w:rsidRPr="00012278" w:rsidRDefault="006140B9" w:rsidP="006140B9">
            <w:pPr>
              <w:rPr>
                <w:szCs w:val="22"/>
                <w:lang w:val="sr-Latn-ME"/>
              </w:rPr>
            </w:pPr>
            <w:r w:rsidRPr="00012278">
              <w:rPr>
                <w:szCs w:val="22"/>
                <w:lang w:val="sr-Latn-ME"/>
              </w:rPr>
              <w:t>ITT</w:t>
            </w:r>
          </w:p>
        </w:tc>
        <w:tc>
          <w:tcPr>
            <w:tcW w:w="1516" w:type="pct"/>
            <w:gridSpan w:val="2"/>
            <w:tcBorders>
              <w:bottom w:val="single" w:sz="4" w:space="0" w:color="auto"/>
            </w:tcBorders>
            <w:shd w:val="clear" w:color="auto" w:fill="auto"/>
          </w:tcPr>
          <w:p w14:paraId="4CE0F802" w14:textId="77777777" w:rsidR="006140B9" w:rsidRPr="00012278" w:rsidRDefault="006140B9" w:rsidP="006140B9">
            <w:pPr>
              <w:rPr>
                <w:szCs w:val="22"/>
                <w:lang w:val="sr-Latn-ME"/>
              </w:rPr>
            </w:pPr>
            <w:r w:rsidRPr="00012278">
              <w:rPr>
                <w:szCs w:val="22"/>
                <w:lang w:val="sr-Latn-ME"/>
              </w:rPr>
              <w:t>154</w:t>
            </w:r>
          </w:p>
          <w:p w14:paraId="6D97496D" w14:textId="77777777" w:rsidR="006140B9" w:rsidRPr="00012278" w:rsidRDefault="006140B9" w:rsidP="006140B9">
            <w:pPr>
              <w:rPr>
                <w:szCs w:val="22"/>
                <w:lang w:val="sr-Latn-ME"/>
              </w:rPr>
            </w:pPr>
            <w:r w:rsidRPr="00012278">
              <w:rPr>
                <w:szCs w:val="22"/>
                <w:lang w:val="sr-Latn-ME"/>
              </w:rPr>
              <w:t>144</w:t>
            </w:r>
          </w:p>
        </w:tc>
        <w:tc>
          <w:tcPr>
            <w:tcW w:w="1515" w:type="pct"/>
            <w:tcBorders>
              <w:bottom w:val="single" w:sz="4" w:space="0" w:color="auto"/>
            </w:tcBorders>
            <w:shd w:val="clear" w:color="auto" w:fill="auto"/>
            <w:vAlign w:val="center"/>
          </w:tcPr>
          <w:p w14:paraId="5FE8DF98" w14:textId="77777777" w:rsidR="006140B9" w:rsidRPr="00012278" w:rsidRDefault="006140B9" w:rsidP="006140B9">
            <w:pPr>
              <w:rPr>
                <w:szCs w:val="22"/>
                <w:lang w:val="sr-Latn-ME"/>
              </w:rPr>
            </w:pPr>
            <w:r w:rsidRPr="00012278">
              <w:rPr>
                <w:szCs w:val="22"/>
                <w:lang w:val="sr-Latn-ME"/>
              </w:rPr>
              <w:t>168</w:t>
            </w:r>
          </w:p>
          <w:p w14:paraId="03D6B3F2" w14:textId="77777777" w:rsidR="006140B9" w:rsidRPr="00012278" w:rsidRDefault="006140B9" w:rsidP="006140B9">
            <w:pPr>
              <w:rPr>
                <w:szCs w:val="22"/>
                <w:lang w:val="sr-Latn-ME"/>
              </w:rPr>
            </w:pPr>
            <w:r w:rsidRPr="00012278">
              <w:rPr>
                <w:szCs w:val="22"/>
                <w:lang w:val="sr-Latn-ME"/>
              </w:rPr>
              <w:t>146</w:t>
            </w:r>
          </w:p>
        </w:tc>
        <w:tc>
          <w:tcPr>
            <w:tcW w:w="1129" w:type="pct"/>
            <w:tcBorders>
              <w:bottom w:val="single" w:sz="4" w:space="0" w:color="auto"/>
            </w:tcBorders>
            <w:shd w:val="clear" w:color="auto" w:fill="auto"/>
            <w:vAlign w:val="center"/>
          </w:tcPr>
          <w:p w14:paraId="5EC209B4" w14:textId="77777777" w:rsidR="006140B9" w:rsidRPr="00012278" w:rsidRDefault="006140B9" w:rsidP="006140B9">
            <w:pPr>
              <w:rPr>
                <w:szCs w:val="22"/>
                <w:lang w:val="sr-Latn-ME"/>
              </w:rPr>
            </w:pPr>
            <w:r w:rsidRPr="00012278">
              <w:rPr>
                <w:szCs w:val="22"/>
                <w:lang w:val="sr-Latn-ME"/>
              </w:rPr>
              <w:t>1,03 (0,87; 1,24)</w:t>
            </w:r>
          </w:p>
          <w:p w14:paraId="54FB2079" w14:textId="77777777" w:rsidR="006140B9" w:rsidRPr="00012278" w:rsidRDefault="006140B9" w:rsidP="006140B9">
            <w:pPr>
              <w:rPr>
                <w:szCs w:val="22"/>
                <w:lang w:val="sr-Latn-ME"/>
              </w:rPr>
            </w:pPr>
            <w:r w:rsidRPr="00012278">
              <w:rPr>
                <w:szCs w:val="22"/>
                <w:lang w:val="sr-Latn-ME"/>
              </w:rPr>
              <w:t>0,97 (0,83; 1,14)</w:t>
            </w:r>
          </w:p>
        </w:tc>
      </w:tr>
      <w:tr w:rsidR="006140B9" w:rsidRPr="00012278" w14:paraId="516E430E" w14:textId="77777777" w:rsidTr="00183A6F">
        <w:tc>
          <w:tcPr>
            <w:tcW w:w="5000" w:type="pct"/>
            <w:gridSpan w:val="5"/>
            <w:shd w:val="clear" w:color="auto" w:fill="E6E6E6"/>
            <w:vAlign w:val="center"/>
          </w:tcPr>
          <w:p w14:paraId="0D24A22D" w14:textId="77777777" w:rsidR="006140B9" w:rsidRPr="00012278" w:rsidRDefault="006140B9" w:rsidP="006140B9">
            <w:pPr>
              <w:rPr>
                <w:b/>
                <w:szCs w:val="22"/>
                <w:lang w:val="sr-Latn-ME"/>
              </w:rPr>
            </w:pPr>
            <w:r w:rsidRPr="00012278">
              <w:rPr>
                <w:b/>
                <w:szCs w:val="22"/>
                <w:lang w:val="sr-Latn-ME"/>
              </w:rPr>
              <w:t>Parametar: Ukupno preživljavanje</w:t>
            </w:r>
          </w:p>
        </w:tc>
      </w:tr>
      <w:tr w:rsidR="006140B9" w:rsidRPr="00012278" w14:paraId="74E52939" w14:textId="77777777" w:rsidTr="00183A6F">
        <w:tc>
          <w:tcPr>
            <w:tcW w:w="841" w:type="pct"/>
            <w:tcBorders>
              <w:bottom w:val="single" w:sz="4" w:space="0" w:color="auto"/>
            </w:tcBorders>
            <w:shd w:val="clear" w:color="auto" w:fill="auto"/>
            <w:vAlign w:val="center"/>
          </w:tcPr>
          <w:p w14:paraId="0E0F5E75" w14:textId="77777777" w:rsidR="006140B9" w:rsidRPr="00012278" w:rsidRDefault="006140B9" w:rsidP="006140B9">
            <w:pPr>
              <w:rPr>
                <w:szCs w:val="22"/>
                <w:lang w:val="sr-Latn-ME"/>
              </w:rPr>
            </w:pPr>
            <w:r w:rsidRPr="00012278">
              <w:rPr>
                <w:szCs w:val="22"/>
                <w:lang w:val="sr-Latn-ME"/>
              </w:rPr>
              <w:t>PPP</w:t>
            </w:r>
          </w:p>
          <w:p w14:paraId="7EA77755" w14:textId="77777777" w:rsidR="006140B9" w:rsidRPr="00012278" w:rsidRDefault="006140B9" w:rsidP="006140B9">
            <w:pPr>
              <w:rPr>
                <w:szCs w:val="22"/>
                <w:lang w:val="sr-Latn-ME"/>
              </w:rPr>
            </w:pPr>
            <w:r w:rsidRPr="00012278">
              <w:rPr>
                <w:szCs w:val="22"/>
                <w:lang w:val="sr-Latn-ME"/>
              </w:rPr>
              <w:t>ITT</w:t>
            </w:r>
          </w:p>
        </w:tc>
        <w:tc>
          <w:tcPr>
            <w:tcW w:w="1516" w:type="pct"/>
            <w:gridSpan w:val="2"/>
            <w:tcBorders>
              <w:bottom w:val="single" w:sz="4" w:space="0" w:color="auto"/>
            </w:tcBorders>
            <w:shd w:val="clear" w:color="auto" w:fill="auto"/>
            <w:vAlign w:val="center"/>
          </w:tcPr>
          <w:p w14:paraId="7999E6FF" w14:textId="77777777" w:rsidR="006140B9" w:rsidRPr="00012278" w:rsidRDefault="006140B9" w:rsidP="006140B9">
            <w:pPr>
              <w:rPr>
                <w:szCs w:val="22"/>
                <w:lang w:val="sr-Latn-ME"/>
              </w:rPr>
            </w:pPr>
            <w:r w:rsidRPr="00012278">
              <w:rPr>
                <w:szCs w:val="22"/>
                <w:lang w:val="sr-Latn-ME"/>
              </w:rPr>
              <w:t>388</w:t>
            </w:r>
          </w:p>
          <w:p w14:paraId="203FACDD" w14:textId="77777777" w:rsidR="006140B9" w:rsidRPr="00012278" w:rsidRDefault="006140B9" w:rsidP="006140B9">
            <w:pPr>
              <w:rPr>
                <w:szCs w:val="22"/>
                <w:lang w:val="sr-Latn-ME"/>
              </w:rPr>
            </w:pPr>
            <w:r w:rsidRPr="00012278">
              <w:rPr>
                <w:szCs w:val="22"/>
                <w:lang w:val="sr-Latn-ME"/>
              </w:rPr>
              <w:t>363</w:t>
            </w:r>
          </w:p>
        </w:tc>
        <w:tc>
          <w:tcPr>
            <w:tcW w:w="1515" w:type="pct"/>
            <w:tcBorders>
              <w:bottom w:val="single" w:sz="4" w:space="0" w:color="auto"/>
            </w:tcBorders>
            <w:shd w:val="clear" w:color="auto" w:fill="auto"/>
            <w:vAlign w:val="center"/>
          </w:tcPr>
          <w:p w14:paraId="45D7673D" w14:textId="77777777" w:rsidR="006140B9" w:rsidRPr="00012278" w:rsidRDefault="006140B9" w:rsidP="006140B9">
            <w:pPr>
              <w:rPr>
                <w:szCs w:val="22"/>
                <w:lang w:val="sr-Latn-ME"/>
              </w:rPr>
            </w:pPr>
            <w:r w:rsidRPr="00012278">
              <w:rPr>
                <w:szCs w:val="22"/>
                <w:lang w:val="sr-Latn-ME"/>
              </w:rPr>
              <w:t>401</w:t>
            </w:r>
          </w:p>
          <w:p w14:paraId="73A0578A" w14:textId="77777777" w:rsidR="006140B9" w:rsidRPr="00012278" w:rsidRDefault="006140B9" w:rsidP="006140B9">
            <w:pPr>
              <w:rPr>
                <w:szCs w:val="22"/>
                <w:lang w:val="sr-Latn-ME"/>
              </w:rPr>
            </w:pPr>
            <w:r w:rsidRPr="00012278">
              <w:rPr>
                <w:szCs w:val="22"/>
                <w:lang w:val="sr-Latn-ME"/>
              </w:rPr>
              <w:t>382</w:t>
            </w:r>
          </w:p>
        </w:tc>
        <w:tc>
          <w:tcPr>
            <w:tcW w:w="1129" w:type="pct"/>
            <w:tcBorders>
              <w:bottom w:val="single" w:sz="4" w:space="0" w:color="auto"/>
            </w:tcBorders>
            <w:shd w:val="clear" w:color="auto" w:fill="auto"/>
            <w:vAlign w:val="center"/>
          </w:tcPr>
          <w:p w14:paraId="694B34CD" w14:textId="77777777" w:rsidR="006140B9" w:rsidRPr="00012278" w:rsidRDefault="006140B9" w:rsidP="006140B9">
            <w:pPr>
              <w:rPr>
                <w:szCs w:val="22"/>
                <w:lang w:val="sr-Latn-ME"/>
              </w:rPr>
            </w:pPr>
            <w:r w:rsidRPr="00012278">
              <w:rPr>
                <w:szCs w:val="22"/>
                <w:lang w:val="sr-Latn-ME"/>
              </w:rPr>
              <w:t>1,07 (0,88; 1,31)</w:t>
            </w:r>
          </w:p>
          <w:p w14:paraId="05359D6E" w14:textId="77777777" w:rsidR="006140B9" w:rsidRPr="00012278" w:rsidRDefault="006140B9" w:rsidP="006140B9">
            <w:pPr>
              <w:rPr>
                <w:szCs w:val="22"/>
                <w:lang w:val="sr-Latn-ME"/>
              </w:rPr>
            </w:pPr>
            <w:r w:rsidRPr="00012278">
              <w:rPr>
                <w:szCs w:val="22"/>
                <w:lang w:val="sr-Latn-ME"/>
              </w:rPr>
              <w:t>1,03 (0,87; 1,23)</w:t>
            </w:r>
          </w:p>
        </w:tc>
      </w:tr>
      <w:tr w:rsidR="006140B9" w:rsidRPr="00012278" w14:paraId="32329515" w14:textId="77777777" w:rsidTr="00183A6F">
        <w:tc>
          <w:tcPr>
            <w:tcW w:w="5000" w:type="pct"/>
            <w:gridSpan w:val="5"/>
            <w:shd w:val="clear" w:color="auto" w:fill="E6E6E6"/>
            <w:vAlign w:val="center"/>
          </w:tcPr>
          <w:p w14:paraId="166B6C9E" w14:textId="77777777" w:rsidR="006140B9" w:rsidRPr="00012278" w:rsidRDefault="006140B9" w:rsidP="006140B9">
            <w:pPr>
              <w:rPr>
                <w:b/>
                <w:szCs w:val="22"/>
                <w:lang w:val="sr-Latn-ME"/>
              </w:rPr>
            </w:pPr>
            <w:r w:rsidRPr="00012278">
              <w:rPr>
                <w:b/>
                <w:szCs w:val="22"/>
                <w:lang w:val="sr-Latn-ME"/>
              </w:rPr>
              <w:t>DODATNIH  6 MJESECI PRAĆENJA</w:t>
            </w:r>
          </w:p>
        </w:tc>
      </w:tr>
      <w:tr w:rsidR="006140B9" w:rsidRPr="00012278" w14:paraId="1820821D" w14:textId="77777777" w:rsidTr="00183A6F">
        <w:tc>
          <w:tcPr>
            <w:tcW w:w="841" w:type="pct"/>
            <w:tcBorders>
              <w:bottom w:val="single" w:sz="4" w:space="0" w:color="auto"/>
            </w:tcBorders>
            <w:shd w:val="clear" w:color="auto" w:fill="auto"/>
            <w:vAlign w:val="bottom"/>
          </w:tcPr>
          <w:p w14:paraId="598E1C7F" w14:textId="77777777" w:rsidR="006140B9" w:rsidRPr="00012278" w:rsidRDefault="006140B9" w:rsidP="006140B9">
            <w:pPr>
              <w:rPr>
                <w:b/>
                <w:szCs w:val="22"/>
                <w:lang w:val="sr-Latn-ME"/>
              </w:rPr>
            </w:pPr>
            <w:r w:rsidRPr="00012278">
              <w:rPr>
                <w:b/>
                <w:szCs w:val="22"/>
                <w:lang w:val="sr-Latn-ME"/>
              </w:rPr>
              <w:t>Populacija</w:t>
            </w:r>
          </w:p>
        </w:tc>
        <w:tc>
          <w:tcPr>
            <w:tcW w:w="3030" w:type="pct"/>
            <w:gridSpan w:val="3"/>
            <w:tcBorders>
              <w:bottom w:val="single" w:sz="4" w:space="0" w:color="auto"/>
            </w:tcBorders>
            <w:shd w:val="clear" w:color="auto" w:fill="auto"/>
            <w:vAlign w:val="bottom"/>
          </w:tcPr>
          <w:p w14:paraId="3BE8141F" w14:textId="68E199FE" w:rsidR="006140B9" w:rsidRPr="00012278" w:rsidRDefault="006B17A2" w:rsidP="006140B9">
            <w:pPr>
              <w:rPr>
                <w:b/>
                <w:szCs w:val="22"/>
                <w:lang w:val="sr-Latn-ME"/>
              </w:rPr>
            </w:pPr>
            <w:r w:rsidRPr="00012278">
              <w:rPr>
                <w:b/>
                <w:szCs w:val="22"/>
                <w:lang w:val="sr-Latn-ME"/>
              </w:rPr>
              <w:t>Medijan</w:t>
            </w:r>
            <w:r w:rsidR="00576467" w:rsidRPr="00012278">
              <w:rPr>
                <w:b/>
                <w:szCs w:val="22"/>
                <w:lang w:val="sr-Latn-ME"/>
              </w:rPr>
              <w:t>a</w:t>
            </w:r>
            <w:r w:rsidRPr="00012278">
              <w:rPr>
                <w:b/>
                <w:szCs w:val="22"/>
                <w:lang w:val="sr-Latn-ME"/>
              </w:rPr>
              <w:t xml:space="preserve"> vremena</w:t>
            </w:r>
            <w:r w:rsidR="006140B9" w:rsidRPr="00012278">
              <w:rPr>
                <w:b/>
                <w:szCs w:val="22"/>
                <w:lang w:val="sr-Latn-ME"/>
              </w:rPr>
              <w:t xml:space="preserve"> do događaja (dani) </w:t>
            </w:r>
          </w:p>
        </w:tc>
        <w:tc>
          <w:tcPr>
            <w:tcW w:w="1129" w:type="pct"/>
            <w:tcBorders>
              <w:bottom w:val="single" w:sz="4" w:space="0" w:color="auto"/>
            </w:tcBorders>
            <w:shd w:val="clear" w:color="auto" w:fill="auto"/>
            <w:vAlign w:val="bottom"/>
          </w:tcPr>
          <w:p w14:paraId="5158B6E3" w14:textId="77777777" w:rsidR="006140B9" w:rsidRPr="00012278" w:rsidRDefault="006140B9" w:rsidP="002B4BD7">
            <w:pPr>
              <w:jc w:val="center"/>
              <w:rPr>
                <w:b/>
                <w:szCs w:val="22"/>
                <w:lang w:val="sr-Latn-ME"/>
              </w:rPr>
            </w:pPr>
            <w:r w:rsidRPr="00012278">
              <w:rPr>
                <w:b/>
                <w:szCs w:val="22"/>
                <w:lang w:val="sr-Latn-ME"/>
              </w:rPr>
              <w:t>HR</w:t>
            </w:r>
          </w:p>
          <w:p w14:paraId="536D0332" w14:textId="77777777" w:rsidR="006140B9" w:rsidRPr="00012278" w:rsidRDefault="006140B9" w:rsidP="002B4BD7">
            <w:pPr>
              <w:jc w:val="center"/>
              <w:rPr>
                <w:b/>
                <w:szCs w:val="22"/>
                <w:lang w:val="sr-Latn-ME"/>
              </w:rPr>
            </w:pPr>
            <w:r w:rsidRPr="00012278">
              <w:rPr>
                <w:b/>
                <w:szCs w:val="22"/>
                <w:lang w:val="sr-Latn-ME"/>
              </w:rPr>
              <w:t>(95% CI)</w:t>
            </w:r>
          </w:p>
        </w:tc>
      </w:tr>
      <w:tr w:rsidR="006140B9" w:rsidRPr="00012278" w14:paraId="6821EBC7" w14:textId="77777777" w:rsidTr="00183A6F">
        <w:tc>
          <w:tcPr>
            <w:tcW w:w="5000" w:type="pct"/>
            <w:gridSpan w:val="5"/>
            <w:shd w:val="clear" w:color="auto" w:fill="E6E6E6"/>
            <w:vAlign w:val="center"/>
          </w:tcPr>
          <w:p w14:paraId="322C4A0F" w14:textId="77777777" w:rsidR="006140B9" w:rsidRPr="00012278" w:rsidRDefault="006140B9" w:rsidP="006140B9">
            <w:pPr>
              <w:rPr>
                <w:b/>
                <w:szCs w:val="22"/>
                <w:lang w:val="sr-Latn-ME"/>
              </w:rPr>
            </w:pPr>
            <w:r w:rsidRPr="00012278">
              <w:rPr>
                <w:b/>
                <w:szCs w:val="22"/>
                <w:lang w:val="sr-Latn-ME"/>
              </w:rPr>
              <w:t>Parametar: Preživljavanje bez progresije</w:t>
            </w:r>
            <w:r w:rsidR="006B17A2" w:rsidRPr="00012278">
              <w:rPr>
                <w:b/>
                <w:szCs w:val="22"/>
                <w:lang w:val="sr-Latn-ME"/>
              </w:rPr>
              <w:t xml:space="preserve"> bolesti</w:t>
            </w:r>
          </w:p>
        </w:tc>
      </w:tr>
      <w:tr w:rsidR="006140B9" w:rsidRPr="00012278" w14:paraId="38060505" w14:textId="77777777" w:rsidTr="00183A6F">
        <w:trPr>
          <w:trHeight w:val="430"/>
        </w:trPr>
        <w:tc>
          <w:tcPr>
            <w:tcW w:w="841" w:type="pct"/>
            <w:tcBorders>
              <w:bottom w:val="single" w:sz="4" w:space="0" w:color="auto"/>
            </w:tcBorders>
            <w:shd w:val="clear" w:color="auto" w:fill="auto"/>
            <w:vAlign w:val="center"/>
          </w:tcPr>
          <w:p w14:paraId="785F1252" w14:textId="77777777" w:rsidR="006140B9" w:rsidRPr="00012278" w:rsidRDefault="006140B9" w:rsidP="006140B9">
            <w:pPr>
              <w:rPr>
                <w:szCs w:val="22"/>
                <w:lang w:val="sr-Latn-ME"/>
              </w:rPr>
            </w:pPr>
            <w:r w:rsidRPr="00012278">
              <w:rPr>
                <w:szCs w:val="22"/>
                <w:lang w:val="sr-Latn-ME"/>
              </w:rPr>
              <w:t>PPP</w:t>
            </w:r>
          </w:p>
          <w:p w14:paraId="724EDC9B" w14:textId="77777777" w:rsidR="006140B9" w:rsidRPr="00012278" w:rsidRDefault="006140B9" w:rsidP="006140B9">
            <w:pPr>
              <w:rPr>
                <w:szCs w:val="22"/>
                <w:lang w:val="sr-Latn-ME"/>
              </w:rPr>
            </w:pPr>
            <w:r w:rsidRPr="00012278">
              <w:rPr>
                <w:szCs w:val="22"/>
                <w:lang w:val="sr-Latn-ME"/>
              </w:rPr>
              <w:t>ITT</w:t>
            </w:r>
          </w:p>
        </w:tc>
        <w:tc>
          <w:tcPr>
            <w:tcW w:w="1516" w:type="pct"/>
            <w:gridSpan w:val="2"/>
            <w:tcBorders>
              <w:bottom w:val="single" w:sz="4" w:space="0" w:color="auto"/>
            </w:tcBorders>
            <w:shd w:val="clear" w:color="auto" w:fill="auto"/>
          </w:tcPr>
          <w:p w14:paraId="56721A39" w14:textId="77777777" w:rsidR="006140B9" w:rsidRPr="00012278" w:rsidRDefault="006140B9" w:rsidP="006140B9">
            <w:pPr>
              <w:rPr>
                <w:szCs w:val="22"/>
                <w:lang w:val="sr-Latn-ME"/>
              </w:rPr>
            </w:pPr>
            <w:r w:rsidRPr="00012278">
              <w:rPr>
                <w:szCs w:val="22"/>
                <w:lang w:val="sr-Latn-ME"/>
              </w:rPr>
              <w:t>154</w:t>
            </w:r>
          </w:p>
          <w:p w14:paraId="7264D68B" w14:textId="77777777" w:rsidR="006140B9" w:rsidRPr="00012278" w:rsidRDefault="006140B9" w:rsidP="006140B9">
            <w:pPr>
              <w:rPr>
                <w:szCs w:val="22"/>
                <w:lang w:val="sr-Latn-ME"/>
              </w:rPr>
            </w:pPr>
            <w:r w:rsidRPr="00012278">
              <w:rPr>
                <w:szCs w:val="22"/>
                <w:lang w:val="sr-Latn-ME"/>
              </w:rPr>
              <w:t>143</w:t>
            </w:r>
          </w:p>
        </w:tc>
        <w:tc>
          <w:tcPr>
            <w:tcW w:w="1515" w:type="pct"/>
            <w:tcBorders>
              <w:bottom w:val="single" w:sz="4" w:space="0" w:color="auto"/>
            </w:tcBorders>
            <w:shd w:val="clear" w:color="auto" w:fill="auto"/>
            <w:vAlign w:val="center"/>
          </w:tcPr>
          <w:p w14:paraId="21878A89" w14:textId="77777777" w:rsidR="006140B9" w:rsidRPr="00012278" w:rsidRDefault="006140B9" w:rsidP="006140B9">
            <w:pPr>
              <w:rPr>
                <w:szCs w:val="22"/>
                <w:lang w:val="sr-Latn-ME"/>
              </w:rPr>
            </w:pPr>
            <w:r w:rsidRPr="00012278">
              <w:rPr>
                <w:szCs w:val="22"/>
                <w:lang w:val="sr-Latn-ME"/>
              </w:rPr>
              <w:t>166</w:t>
            </w:r>
          </w:p>
          <w:p w14:paraId="67DA5CF2" w14:textId="77777777" w:rsidR="006140B9" w:rsidRPr="00012278" w:rsidRDefault="006140B9" w:rsidP="006140B9">
            <w:pPr>
              <w:rPr>
                <w:szCs w:val="22"/>
                <w:lang w:val="sr-Latn-ME"/>
              </w:rPr>
            </w:pPr>
            <w:r w:rsidRPr="00012278">
              <w:rPr>
                <w:szCs w:val="22"/>
                <w:lang w:val="sr-Latn-ME"/>
              </w:rPr>
              <w:t>146</w:t>
            </w:r>
          </w:p>
        </w:tc>
        <w:tc>
          <w:tcPr>
            <w:tcW w:w="1129" w:type="pct"/>
            <w:tcBorders>
              <w:bottom w:val="single" w:sz="4" w:space="0" w:color="auto"/>
            </w:tcBorders>
            <w:shd w:val="clear" w:color="auto" w:fill="auto"/>
            <w:vAlign w:val="center"/>
          </w:tcPr>
          <w:p w14:paraId="3F2C8C14" w14:textId="77777777" w:rsidR="006140B9" w:rsidRPr="00012278" w:rsidRDefault="006140B9" w:rsidP="006140B9">
            <w:pPr>
              <w:rPr>
                <w:szCs w:val="22"/>
                <w:lang w:val="sr-Latn-ME"/>
              </w:rPr>
            </w:pPr>
            <w:r w:rsidRPr="00012278">
              <w:rPr>
                <w:szCs w:val="22"/>
                <w:lang w:val="sr-Latn-ME"/>
              </w:rPr>
              <w:t>1,04 (0,87; 1,24)</w:t>
            </w:r>
          </w:p>
          <w:p w14:paraId="2B069EC7" w14:textId="77777777" w:rsidR="006140B9" w:rsidRPr="00012278" w:rsidRDefault="006140B9" w:rsidP="006140B9">
            <w:pPr>
              <w:rPr>
                <w:szCs w:val="22"/>
                <w:lang w:val="sr-Latn-ME"/>
              </w:rPr>
            </w:pPr>
            <w:r w:rsidRPr="00012278">
              <w:rPr>
                <w:szCs w:val="22"/>
                <w:lang w:val="sr-Latn-ME"/>
              </w:rPr>
              <w:t>0,97 (0,83; 1,14)</w:t>
            </w:r>
          </w:p>
        </w:tc>
      </w:tr>
      <w:tr w:rsidR="006140B9" w:rsidRPr="00012278" w14:paraId="1D3780B5" w14:textId="77777777" w:rsidTr="00183A6F">
        <w:tc>
          <w:tcPr>
            <w:tcW w:w="5000" w:type="pct"/>
            <w:gridSpan w:val="5"/>
            <w:shd w:val="clear" w:color="auto" w:fill="E6E6E6"/>
            <w:vAlign w:val="center"/>
          </w:tcPr>
          <w:p w14:paraId="59FB6AA7" w14:textId="77777777" w:rsidR="006140B9" w:rsidRPr="00012278" w:rsidRDefault="006140B9" w:rsidP="006140B9">
            <w:pPr>
              <w:rPr>
                <w:b/>
                <w:szCs w:val="22"/>
                <w:lang w:val="sr-Latn-ME"/>
              </w:rPr>
            </w:pPr>
            <w:r w:rsidRPr="00012278">
              <w:rPr>
                <w:b/>
                <w:szCs w:val="22"/>
                <w:lang w:val="sr-Latn-ME"/>
              </w:rPr>
              <w:t>Parametar: Ukupno preživljavanje</w:t>
            </w:r>
          </w:p>
        </w:tc>
      </w:tr>
      <w:tr w:rsidR="006140B9" w:rsidRPr="00012278" w14:paraId="5A0BD1F2" w14:textId="77777777" w:rsidTr="00183A6F">
        <w:tc>
          <w:tcPr>
            <w:tcW w:w="841" w:type="pct"/>
            <w:shd w:val="clear" w:color="auto" w:fill="auto"/>
            <w:vAlign w:val="center"/>
          </w:tcPr>
          <w:p w14:paraId="755152C7" w14:textId="77777777" w:rsidR="006140B9" w:rsidRPr="00012278" w:rsidRDefault="006140B9" w:rsidP="006140B9">
            <w:pPr>
              <w:rPr>
                <w:szCs w:val="22"/>
                <w:lang w:val="sr-Latn-ME"/>
              </w:rPr>
            </w:pPr>
            <w:r w:rsidRPr="00012278">
              <w:rPr>
                <w:szCs w:val="22"/>
                <w:lang w:val="sr-Latn-ME"/>
              </w:rPr>
              <w:t>PPP</w:t>
            </w:r>
          </w:p>
          <w:p w14:paraId="4BE190E2" w14:textId="77777777" w:rsidR="006140B9" w:rsidRPr="00012278" w:rsidRDefault="006140B9" w:rsidP="006140B9">
            <w:pPr>
              <w:rPr>
                <w:szCs w:val="22"/>
                <w:lang w:val="sr-Latn-ME"/>
              </w:rPr>
            </w:pPr>
            <w:r w:rsidRPr="00012278">
              <w:rPr>
                <w:szCs w:val="22"/>
                <w:lang w:val="sr-Latn-ME"/>
              </w:rPr>
              <w:t>ITT</w:t>
            </w:r>
          </w:p>
        </w:tc>
        <w:tc>
          <w:tcPr>
            <w:tcW w:w="1516" w:type="pct"/>
            <w:gridSpan w:val="2"/>
            <w:shd w:val="clear" w:color="auto" w:fill="auto"/>
            <w:vAlign w:val="center"/>
          </w:tcPr>
          <w:p w14:paraId="277FF9DB" w14:textId="77777777" w:rsidR="006140B9" w:rsidRPr="00012278" w:rsidRDefault="006140B9" w:rsidP="006140B9">
            <w:pPr>
              <w:rPr>
                <w:szCs w:val="22"/>
                <w:lang w:val="sr-Latn-ME"/>
              </w:rPr>
            </w:pPr>
            <w:r w:rsidRPr="00012278">
              <w:rPr>
                <w:szCs w:val="22"/>
                <w:lang w:val="sr-Latn-ME"/>
              </w:rPr>
              <w:t>393</w:t>
            </w:r>
          </w:p>
          <w:p w14:paraId="73A11288" w14:textId="77777777" w:rsidR="006140B9" w:rsidRPr="00012278" w:rsidRDefault="006140B9" w:rsidP="006140B9">
            <w:pPr>
              <w:rPr>
                <w:szCs w:val="22"/>
                <w:lang w:val="sr-Latn-ME"/>
              </w:rPr>
            </w:pPr>
            <w:r w:rsidRPr="00012278">
              <w:rPr>
                <w:szCs w:val="22"/>
                <w:lang w:val="sr-Latn-ME"/>
              </w:rPr>
              <w:t>363</w:t>
            </w:r>
          </w:p>
        </w:tc>
        <w:tc>
          <w:tcPr>
            <w:tcW w:w="1515" w:type="pct"/>
            <w:shd w:val="clear" w:color="auto" w:fill="auto"/>
            <w:vAlign w:val="center"/>
          </w:tcPr>
          <w:p w14:paraId="0550F2A8" w14:textId="77777777" w:rsidR="006140B9" w:rsidRPr="00012278" w:rsidRDefault="006140B9" w:rsidP="006140B9">
            <w:pPr>
              <w:rPr>
                <w:szCs w:val="22"/>
                <w:lang w:val="sr-Latn-ME"/>
              </w:rPr>
            </w:pPr>
            <w:r w:rsidRPr="00012278">
              <w:rPr>
                <w:szCs w:val="22"/>
                <w:lang w:val="sr-Latn-ME"/>
              </w:rPr>
              <w:t>402</w:t>
            </w:r>
          </w:p>
          <w:p w14:paraId="0D79C544" w14:textId="77777777" w:rsidR="006140B9" w:rsidRPr="00012278" w:rsidRDefault="006140B9" w:rsidP="006140B9">
            <w:pPr>
              <w:rPr>
                <w:szCs w:val="22"/>
                <w:lang w:val="sr-Latn-ME"/>
              </w:rPr>
            </w:pPr>
            <w:r w:rsidRPr="00012278">
              <w:rPr>
                <w:szCs w:val="22"/>
                <w:lang w:val="sr-Latn-ME"/>
              </w:rPr>
              <w:t>382</w:t>
            </w:r>
          </w:p>
        </w:tc>
        <w:tc>
          <w:tcPr>
            <w:tcW w:w="1129" w:type="pct"/>
            <w:shd w:val="clear" w:color="auto" w:fill="auto"/>
            <w:vAlign w:val="center"/>
          </w:tcPr>
          <w:p w14:paraId="139177F4" w14:textId="77777777" w:rsidR="006140B9" w:rsidRPr="00012278" w:rsidRDefault="006140B9" w:rsidP="006140B9">
            <w:pPr>
              <w:rPr>
                <w:szCs w:val="22"/>
                <w:lang w:val="sr-Latn-ME"/>
              </w:rPr>
            </w:pPr>
            <w:r w:rsidRPr="00012278">
              <w:rPr>
                <w:szCs w:val="22"/>
                <w:lang w:val="sr-Latn-ME"/>
              </w:rPr>
              <w:t>1,05 (0,88; 1,27)</w:t>
            </w:r>
          </w:p>
          <w:p w14:paraId="4EB39299" w14:textId="77777777" w:rsidR="006140B9" w:rsidRPr="00012278" w:rsidRDefault="006140B9" w:rsidP="006140B9">
            <w:pPr>
              <w:rPr>
                <w:szCs w:val="22"/>
                <w:lang w:val="sr-Latn-ME"/>
              </w:rPr>
            </w:pPr>
            <w:r w:rsidRPr="00012278">
              <w:rPr>
                <w:szCs w:val="22"/>
                <w:lang w:val="sr-Latn-ME"/>
              </w:rPr>
              <w:t>1,02 (0,86; 1,21)</w:t>
            </w:r>
          </w:p>
        </w:tc>
      </w:tr>
    </w:tbl>
    <w:p w14:paraId="12820D01" w14:textId="31DD8E53" w:rsidR="006140B9" w:rsidRPr="00012278" w:rsidRDefault="006140B9" w:rsidP="006140B9">
      <w:pPr>
        <w:rPr>
          <w:szCs w:val="22"/>
          <w:lang w:val="sr-Latn-ME"/>
        </w:rPr>
      </w:pPr>
      <w:r w:rsidRPr="00012278">
        <w:rPr>
          <w:szCs w:val="22"/>
          <w:lang w:val="sr-Latn-ME"/>
        </w:rPr>
        <w:t xml:space="preserve">*PPP=populacija po protokolu; **ITT=populacija pacijenata </w:t>
      </w:r>
      <w:r w:rsidR="006B17A2" w:rsidRPr="00012278">
        <w:rPr>
          <w:szCs w:val="22"/>
          <w:lang w:val="sr-Latn-ME"/>
        </w:rPr>
        <w:t>predviđenih za liječenje</w:t>
      </w:r>
    </w:p>
    <w:p w14:paraId="22399BE8" w14:textId="77777777" w:rsidR="006140B9" w:rsidRPr="00012278" w:rsidRDefault="006140B9" w:rsidP="006140B9">
      <w:pPr>
        <w:rPr>
          <w:szCs w:val="22"/>
          <w:lang w:val="sr-Latn-ME"/>
        </w:rPr>
      </w:pPr>
    </w:p>
    <w:p w14:paraId="171EE422" w14:textId="77777777" w:rsidR="006140B9" w:rsidRPr="00012278" w:rsidRDefault="006140B9" w:rsidP="002B4BD7">
      <w:pPr>
        <w:jc w:val="both"/>
        <w:rPr>
          <w:szCs w:val="22"/>
          <w:u w:val="single"/>
          <w:lang w:val="sr-Latn-ME"/>
        </w:rPr>
      </w:pPr>
      <w:r w:rsidRPr="00012278">
        <w:rPr>
          <w:szCs w:val="22"/>
          <w:u w:val="single"/>
          <w:lang w:val="sr-Latn-ME"/>
        </w:rPr>
        <w:t>Uznapredovali karcinom želuca:</w:t>
      </w:r>
    </w:p>
    <w:p w14:paraId="17229F75" w14:textId="1939F855" w:rsidR="006140B9" w:rsidRPr="00012278" w:rsidRDefault="006140B9" w:rsidP="002B4BD7">
      <w:pPr>
        <w:jc w:val="both"/>
        <w:rPr>
          <w:szCs w:val="22"/>
          <w:lang w:val="sr-Latn-ME"/>
        </w:rPr>
      </w:pPr>
      <w:r w:rsidRPr="00012278">
        <w:rPr>
          <w:szCs w:val="22"/>
          <w:lang w:val="sr-Latn-ME"/>
        </w:rPr>
        <w:t>Podaci iz jednog multicentričnog, randomizovanog kontrolisanog kliničkog ispitivanja treće faze kod pacijenata sa uznapredovalim karcinomom želuca podržavaju upotrebu kapecitabina kao prve linije terapije uznapredovalog karcinoma želuca (ML17032). U ovom ispitivanju, 160 pacijenata je randomizovano da prima kapecitabin (1000 mg/m</w:t>
      </w:r>
      <w:r w:rsidRPr="00012278">
        <w:rPr>
          <w:szCs w:val="22"/>
          <w:vertAlign w:val="superscript"/>
          <w:lang w:val="sr-Latn-ME"/>
        </w:rPr>
        <w:t>2</w:t>
      </w:r>
      <w:r w:rsidRPr="00012278">
        <w:rPr>
          <w:szCs w:val="22"/>
          <w:lang w:val="sr-Latn-ME"/>
        </w:rPr>
        <w:t xml:space="preserve"> dva puta dnevno tokom 2 nedjelje, poslije čega slijedi sedmodnevni period odmora) i cisplatin (80 mg/m</w:t>
      </w:r>
      <w:r w:rsidRPr="00012278">
        <w:rPr>
          <w:szCs w:val="22"/>
          <w:vertAlign w:val="superscript"/>
          <w:lang w:val="sr-Latn-ME"/>
        </w:rPr>
        <w:t>2</w:t>
      </w:r>
      <w:r w:rsidRPr="00012278">
        <w:rPr>
          <w:szCs w:val="22"/>
          <w:lang w:val="sr-Latn-ME"/>
        </w:rPr>
        <w:t xml:space="preserve"> u vidu dvočasovne infuzije svake tri nedjelje). Ukupno je 156 pacijenata randomizovano da prima terapiju 5-FU (800 mg/m</w:t>
      </w:r>
      <w:r w:rsidRPr="00012278">
        <w:rPr>
          <w:szCs w:val="22"/>
          <w:vertAlign w:val="superscript"/>
          <w:lang w:val="sr-Latn-ME"/>
        </w:rPr>
        <w:t>2</w:t>
      </w:r>
      <w:r w:rsidRPr="00012278">
        <w:rPr>
          <w:szCs w:val="22"/>
          <w:lang w:val="sr-Latn-ME"/>
        </w:rPr>
        <w:t xml:space="preserve"> dnevno, kontinuirana infuzija od prvog do petog dana svake tri nedjelje) i cisplatin (80 mg/m</w:t>
      </w:r>
      <w:r w:rsidRPr="00012278">
        <w:rPr>
          <w:szCs w:val="22"/>
          <w:vertAlign w:val="superscript"/>
          <w:lang w:val="sr-Latn-ME"/>
        </w:rPr>
        <w:t>2</w:t>
      </w:r>
      <w:r w:rsidRPr="00012278">
        <w:rPr>
          <w:szCs w:val="22"/>
          <w:lang w:val="sr-Latn-ME"/>
        </w:rPr>
        <w:t xml:space="preserve"> u vidu dvočasovne infuzije prvog dana svake tri nedjelje). Kapecitabin u kombinaciji sa cisplatinom nije bio inferiorniji od kombinacije  5-FU plus cisplatin u smislu preživljavanja bez progresije bolesti u analizi po protokolu ( </w:t>
      </w:r>
      <w:r w:rsidR="00E12DD3" w:rsidRPr="00012278">
        <w:rPr>
          <w:szCs w:val="22"/>
          <w:lang w:val="sr-Latn-ME"/>
        </w:rPr>
        <w:t xml:space="preserve">odnos </w:t>
      </w:r>
      <w:r w:rsidRPr="00012278">
        <w:rPr>
          <w:szCs w:val="22"/>
          <w:lang w:val="sr-Latn-ME"/>
        </w:rPr>
        <w:t xml:space="preserve">rizika 0,81; 95%CI 0,63-1,04). Srednje preživljavanje bez progresije bolesti iznosilo je 5,6 mjeseci (kapecitabin plus cisplatin) u poređenju sa 5,0 mjeseci (5-FU plus cisplatin). Koeficijent rizika za trajanje preživljavanja (ukupno preživljavanje) bio je sličan koeficijentu rizika za preživljavanje bez progresije bolesti (koeficijent rizika 0,85; 95%CI 0,64-1,13). </w:t>
      </w:r>
      <w:r w:rsidR="00E12DD3" w:rsidRPr="00012278">
        <w:rPr>
          <w:szCs w:val="22"/>
          <w:lang w:val="sr-Latn-ME"/>
        </w:rPr>
        <w:t>Medijana</w:t>
      </w:r>
      <w:r w:rsidRPr="00012278">
        <w:rPr>
          <w:szCs w:val="22"/>
          <w:lang w:val="sr-Latn-ME"/>
        </w:rPr>
        <w:t xml:space="preserve"> preživljavanja iznosil</w:t>
      </w:r>
      <w:r w:rsidR="00E12DD3" w:rsidRPr="00012278">
        <w:rPr>
          <w:szCs w:val="22"/>
          <w:lang w:val="sr-Latn-ME"/>
        </w:rPr>
        <w:t>a</w:t>
      </w:r>
      <w:r w:rsidRPr="00012278">
        <w:rPr>
          <w:szCs w:val="22"/>
          <w:lang w:val="sr-Latn-ME"/>
        </w:rPr>
        <w:t xml:space="preserve"> je 10,5 mjeseci (kapecitabin plus cisplatin) u poređenju sa 9,3 mjeseca (5-FU plus cisplatin).</w:t>
      </w:r>
    </w:p>
    <w:p w14:paraId="264BFA56" w14:textId="77777777" w:rsidR="006140B9" w:rsidRPr="00012278" w:rsidRDefault="006140B9" w:rsidP="002B4BD7">
      <w:pPr>
        <w:jc w:val="both"/>
        <w:rPr>
          <w:szCs w:val="22"/>
          <w:lang w:val="sr-Latn-ME"/>
        </w:rPr>
      </w:pPr>
    </w:p>
    <w:p w14:paraId="4BCF7CE0" w14:textId="5FF88847" w:rsidR="006140B9" w:rsidRPr="00012278" w:rsidRDefault="006140B9" w:rsidP="002B4BD7">
      <w:pPr>
        <w:jc w:val="both"/>
        <w:rPr>
          <w:szCs w:val="22"/>
          <w:lang w:val="sr-Latn-ME"/>
        </w:rPr>
      </w:pPr>
      <w:r w:rsidRPr="00012278">
        <w:rPr>
          <w:szCs w:val="22"/>
          <w:lang w:val="sr-Latn-ME"/>
        </w:rPr>
        <w:t xml:space="preserve">Podaci iz jedne randomizovane, multicentrične studije treće faze u kojoj je upoređen kapecitabin sa 5-FU  i oksaliplatin sa cisplatinom kod pacijenata sa uznapredovalim karcinomom želuca podržavaju upotrebu kapecitabina za prvu liniju terapije uznapredovalog karcinoma želuca (REAL-2). U ovom ispitivanju, 1002 pacijenta je randomizovano u 2x2 faktorskom dizajnu u jednu od sljedeće četiri grupe: </w:t>
      </w:r>
    </w:p>
    <w:p w14:paraId="71F669B9" w14:textId="4141616F" w:rsidR="006140B9" w:rsidRPr="00012278" w:rsidRDefault="006140B9" w:rsidP="002B4BD7">
      <w:pPr>
        <w:numPr>
          <w:ilvl w:val="0"/>
          <w:numId w:val="35"/>
        </w:numPr>
        <w:jc w:val="both"/>
        <w:rPr>
          <w:szCs w:val="22"/>
          <w:lang w:val="sr-Latn-ME"/>
        </w:rPr>
      </w:pPr>
      <w:r w:rsidRPr="00012278">
        <w:rPr>
          <w:szCs w:val="22"/>
          <w:lang w:val="sr-Latn-ME"/>
        </w:rPr>
        <w:t>ECF: epirubicin (50 mg/m</w:t>
      </w:r>
      <w:r w:rsidRPr="00012278">
        <w:rPr>
          <w:szCs w:val="22"/>
          <w:vertAlign w:val="superscript"/>
          <w:lang w:val="sr-Latn-ME"/>
        </w:rPr>
        <w:t>2</w:t>
      </w:r>
      <w:r w:rsidRPr="00012278">
        <w:rPr>
          <w:szCs w:val="22"/>
          <w:lang w:val="sr-Latn-ME"/>
        </w:rPr>
        <w:t xml:space="preserve"> kao bolus prvog dana svake 3 nedjelje), cisplatin (60 mg/m</w:t>
      </w:r>
      <w:r w:rsidRPr="00012278">
        <w:rPr>
          <w:szCs w:val="22"/>
          <w:vertAlign w:val="superscript"/>
          <w:lang w:val="sr-Latn-ME"/>
        </w:rPr>
        <w:t>2</w:t>
      </w:r>
      <w:r w:rsidRPr="00012278">
        <w:rPr>
          <w:szCs w:val="22"/>
          <w:lang w:val="sr-Latn-ME"/>
        </w:rPr>
        <w:t xml:space="preserve"> u vidu dvočasovne infuzije prvog dana svake 3 nedjelje) i 5-FU (200 mg/m</w:t>
      </w:r>
      <w:r w:rsidRPr="00012278">
        <w:rPr>
          <w:szCs w:val="22"/>
          <w:vertAlign w:val="superscript"/>
          <w:lang w:val="sr-Latn-ME"/>
        </w:rPr>
        <w:t>2</w:t>
      </w:r>
      <w:r w:rsidRPr="00012278">
        <w:rPr>
          <w:szCs w:val="22"/>
          <w:lang w:val="sr-Latn-ME"/>
        </w:rPr>
        <w:t xml:space="preserve"> dnevno u kontinuiranoj infuziji preko centraln</w:t>
      </w:r>
      <w:r w:rsidR="00E12DD3" w:rsidRPr="00012278">
        <w:rPr>
          <w:szCs w:val="22"/>
          <w:lang w:val="sr-Latn-ME"/>
        </w:rPr>
        <w:t>og</w:t>
      </w:r>
      <w:r w:rsidRPr="00012278">
        <w:rPr>
          <w:szCs w:val="22"/>
          <w:lang w:val="sr-Latn-ME"/>
        </w:rPr>
        <w:t xml:space="preserve"> </w:t>
      </w:r>
      <w:r w:rsidR="00E12DD3" w:rsidRPr="00012278">
        <w:rPr>
          <w:szCs w:val="22"/>
          <w:lang w:val="sr-Latn-ME"/>
        </w:rPr>
        <w:t>venskog katetera</w:t>
      </w:r>
      <w:r w:rsidRPr="00012278">
        <w:rPr>
          <w:szCs w:val="22"/>
          <w:lang w:val="sr-Latn-ME"/>
        </w:rPr>
        <w:t>),</w:t>
      </w:r>
    </w:p>
    <w:p w14:paraId="1542E1EF" w14:textId="77777777" w:rsidR="006140B9" w:rsidRPr="00012278" w:rsidRDefault="006140B9" w:rsidP="002B4BD7">
      <w:pPr>
        <w:numPr>
          <w:ilvl w:val="0"/>
          <w:numId w:val="35"/>
        </w:numPr>
        <w:jc w:val="both"/>
        <w:rPr>
          <w:szCs w:val="22"/>
          <w:lang w:val="sr-Latn-ME"/>
        </w:rPr>
      </w:pPr>
      <w:r w:rsidRPr="00012278">
        <w:rPr>
          <w:szCs w:val="22"/>
          <w:lang w:val="sr-Latn-ME"/>
        </w:rPr>
        <w:t>ECX: epirubicin (50 mg/m</w:t>
      </w:r>
      <w:r w:rsidRPr="00012278">
        <w:rPr>
          <w:szCs w:val="22"/>
          <w:vertAlign w:val="superscript"/>
          <w:lang w:val="sr-Latn-ME"/>
        </w:rPr>
        <w:t>2</w:t>
      </w:r>
      <w:r w:rsidRPr="00012278">
        <w:rPr>
          <w:szCs w:val="22"/>
          <w:lang w:val="sr-Latn-ME"/>
        </w:rPr>
        <w:t xml:space="preserve"> kao bolus prvog dana svake 3 nedjelje), cisplatin (60 mg/m</w:t>
      </w:r>
      <w:r w:rsidRPr="00012278">
        <w:rPr>
          <w:szCs w:val="22"/>
          <w:vertAlign w:val="superscript"/>
          <w:lang w:val="sr-Latn-ME"/>
        </w:rPr>
        <w:t>2</w:t>
      </w:r>
      <w:r w:rsidRPr="00012278">
        <w:rPr>
          <w:szCs w:val="22"/>
          <w:lang w:val="sr-Latn-ME"/>
        </w:rPr>
        <w:t xml:space="preserve"> u vidu dvočasovne infuzije prvog dana svake 3 nedjelje) i kapecitabin (625 mg/m</w:t>
      </w:r>
      <w:r w:rsidRPr="00012278">
        <w:rPr>
          <w:szCs w:val="22"/>
          <w:vertAlign w:val="superscript"/>
          <w:lang w:val="sr-Latn-ME"/>
        </w:rPr>
        <w:t>2</w:t>
      </w:r>
      <w:r w:rsidRPr="00012278">
        <w:rPr>
          <w:szCs w:val="22"/>
          <w:lang w:val="sr-Latn-ME"/>
        </w:rPr>
        <w:t xml:space="preserve"> dva puta dnevno, kontinuirano); </w:t>
      </w:r>
    </w:p>
    <w:p w14:paraId="41E24DE3" w14:textId="0443AD2E" w:rsidR="006140B9" w:rsidRPr="00012278" w:rsidRDefault="006140B9" w:rsidP="002B4BD7">
      <w:pPr>
        <w:numPr>
          <w:ilvl w:val="0"/>
          <w:numId w:val="35"/>
        </w:numPr>
        <w:jc w:val="both"/>
        <w:rPr>
          <w:szCs w:val="22"/>
          <w:lang w:val="sr-Latn-ME"/>
        </w:rPr>
      </w:pPr>
      <w:r w:rsidRPr="00012278">
        <w:rPr>
          <w:szCs w:val="22"/>
          <w:lang w:val="sr-Latn-ME"/>
        </w:rPr>
        <w:t>EOF: epirubicin (50 mg/m</w:t>
      </w:r>
      <w:r w:rsidRPr="00012278">
        <w:rPr>
          <w:szCs w:val="22"/>
          <w:vertAlign w:val="superscript"/>
          <w:lang w:val="sr-Latn-ME"/>
        </w:rPr>
        <w:t>2</w:t>
      </w:r>
      <w:r w:rsidRPr="00012278">
        <w:rPr>
          <w:szCs w:val="22"/>
          <w:lang w:val="sr-Latn-ME"/>
        </w:rPr>
        <w:t xml:space="preserve"> kao bolus prvog dana svake 3 nedjelje), oksaliplatin (130 mg/m</w:t>
      </w:r>
      <w:r w:rsidRPr="00012278">
        <w:rPr>
          <w:szCs w:val="22"/>
          <w:vertAlign w:val="superscript"/>
          <w:lang w:val="sr-Latn-ME"/>
        </w:rPr>
        <w:t>2</w:t>
      </w:r>
      <w:r w:rsidRPr="00012278">
        <w:rPr>
          <w:szCs w:val="22"/>
          <w:lang w:val="sr-Latn-ME"/>
        </w:rPr>
        <w:t xml:space="preserve"> u vidu dvočasovne infuzije prvog dana svake 3 nedjelje) i 5-FU (200 mg/m</w:t>
      </w:r>
      <w:r w:rsidRPr="00012278">
        <w:rPr>
          <w:szCs w:val="22"/>
          <w:vertAlign w:val="superscript"/>
          <w:lang w:val="sr-Latn-ME"/>
        </w:rPr>
        <w:t>2</w:t>
      </w:r>
      <w:r w:rsidRPr="00012278">
        <w:rPr>
          <w:szCs w:val="22"/>
          <w:lang w:val="sr-Latn-ME"/>
        </w:rPr>
        <w:t xml:space="preserve"> dnevno u kontinuiranoj infuziji preko centraln</w:t>
      </w:r>
      <w:r w:rsidR="00E12DD3" w:rsidRPr="00012278">
        <w:rPr>
          <w:szCs w:val="22"/>
          <w:lang w:val="sr-Latn-ME"/>
        </w:rPr>
        <w:t>og venskog katetera</w:t>
      </w:r>
      <w:r w:rsidRPr="00012278">
        <w:rPr>
          <w:szCs w:val="22"/>
          <w:lang w:val="sr-Latn-ME"/>
        </w:rPr>
        <w:t>),</w:t>
      </w:r>
    </w:p>
    <w:p w14:paraId="21D2E2EB" w14:textId="77777777" w:rsidR="006140B9" w:rsidRPr="00012278" w:rsidRDefault="006140B9" w:rsidP="002B4BD7">
      <w:pPr>
        <w:numPr>
          <w:ilvl w:val="0"/>
          <w:numId w:val="35"/>
        </w:numPr>
        <w:jc w:val="both"/>
        <w:rPr>
          <w:szCs w:val="22"/>
          <w:lang w:val="sr-Latn-ME"/>
        </w:rPr>
      </w:pPr>
      <w:r w:rsidRPr="00012278">
        <w:rPr>
          <w:szCs w:val="22"/>
          <w:lang w:val="sr-Latn-ME"/>
        </w:rPr>
        <w:lastRenderedPageBreak/>
        <w:t>EOX: epirubicin (50 mg/m</w:t>
      </w:r>
      <w:r w:rsidRPr="00012278">
        <w:rPr>
          <w:szCs w:val="22"/>
          <w:vertAlign w:val="superscript"/>
          <w:lang w:val="sr-Latn-ME"/>
        </w:rPr>
        <w:t>2</w:t>
      </w:r>
      <w:r w:rsidRPr="00012278">
        <w:rPr>
          <w:szCs w:val="22"/>
          <w:lang w:val="sr-Latn-ME"/>
        </w:rPr>
        <w:t xml:space="preserve"> kao bolus prvog dana svake 3 nedjelje), oksaliplatin (130 mg/m</w:t>
      </w:r>
      <w:r w:rsidRPr="00012278">
        <w:rPr>
          <w:szCs w:val="22"/>
          <w:vertAlign w:val="superscript"/>
          <w:lang w:val="sr-Latn-ME"/>
        </w:rPr>
        <w:t>2</w:t>
      </w:r>
      <w:r w:rsidRPr="00012278">
        <w:rPr>
          <w:szCs w:val="22"/>
          <w:lang w:val="sr-Latn-ME"/>
        </w:rPr>
        <w:t xml:space="preserve"> u vidu dvočasovne infuzije prvog dana svake 3 nedjelje)  i kapecitabin (625 mg/m</w:t>
      </w:r>
      <w:r w:rsidRPr="00012278">
        <w:rPr>
          <w:szCs w:val="22"/>
          <w:vertAlign w:val="superscript"/>
          <w:lang w:val="sr-Latn-ME"/>
        </w:rPr>
        <w:t>2</w:t>
      </w:r>
      <w:r w:rsidRPr="00012278">
        <w:rPr>
          <w:szCs w:val="22"/>
          <w:lang w:val="sr-Latn-ME"/>
        </w:rPr>
        <w:t xml:space="preserve"> dva puta dnevno, kontinuirano).</w:t>
      </w:r>
    </w:p>
    <w:p w14:paraId="325828F7" w14:textId="77777777" w:rsidR="006140B9" w:rsidRPr="00012278" w:rsidRDefault="006140B9" w:rsidP="006140B9">
      <w:pPr>
        <w:rPr>
          <w:szCs w:val="22"/>
          <w:lang w:val="sr-Latn-ME"/>
        </w:rPr>
      </w:pPr>
    </w:p>
    <w:p w14:paraId="7B284C2A" w14:textId="03CE0761" w:rsidR="006140B9" w:rsidRPr="00012278" w:rsidRDefault="00E12DD3" w:rsidP="002B4BD7">
      <w:pPr>
        <w:jc w:val="both"/>
        <w:rPr>
          <w:szCs w:val="22"/>
          <w:lang w:val="sr-Latn-ME"/>
        </w:rPr>
      </w:pPr>
      <w:r w:rsidRPr="00012278">
        <w:rPr>
          <w:szCs w:val="22"/>
          <w:lang w:val="sr-Latn-ME"/>
        </w:rPr>
        <w:t xml:space="preserve">Analize primarnih parametara </w:t>
      </w:r>
      <w:r w:rsidR="006140B9" w:rsidRPr="00012278">
        <w:rPr>
          <w:szCs w:val="22"/>
          <w:lang w:val="sr-Latn-ME"/>
        </w:rPr>
        <w:t>efikasnosti u populaciji po protokolu</w:t>
      </w:r>
      <w:r w:rsidRPr="00012278">
        <w:rPr>
          <w:szCs w:val="22"/>
          <w:lang w:val="sr-Latn-ME"/>
        </w:rPr>
        <w:t>,</w:t>
      </w:r>
      <w:r w:rsidR="006140B9" w:rsidRPr="00012278">
        <w:rPr>
          <w:szCs w:val="22"/>
          <w:lang w:val="sr-Latn-ME"/>
        </w:rPr>
        <w:t xml:space="preserve"> pokazale su da u sveukupnom preživljavanju nisu inferiorniji režimi bazirani na kapecitabinu u poređenju sa 5-FU (</w:t>
      </w:r>
      <w:r w:rsidRPr="00012278">
        <w:rPr>
          <w:szCs w:val="22"/>
          <w:lang w:val="sr-Latn-ME"/>
        </w:rPr>
        <w:t>odnos</w:t>
      </w:r>
      <w:r w:rsidR="006140B9" w:rsidRPr="00012278">
        <w:rPr>
          <w:szCs w:val="22"/>
          <w:lang w:val="sr-Latn-ME"/>
        </w:rPr>
        <w:t xml:space="preserve"> rizika 0,86; 95%CI 0,8 do 0,99) , kao ni režimi bazirani na oksaliplatinu u poređenju sa cisplatinom  (</w:t>
      </w:r>
      <w:r w:rsidRPr="00012278">
        <w:rPr>
          <w:szCs w:val="22"/>
          <w:lang w:val="sr-Latn-ME"/>
        </w:rPr>
        <w:t>odnos</w:t>
      </w:r>
      <w:r w:rsidR="006140B9" w:rsidRPr="00012278">
        <w:rPr>
          <w:szCs w:val="22"/>
          <w:lang w:val="sr-Latn-ME"/>
        </w:rPr>
        <w:t xml:space="preserve"> rizika 0,92; 95%CI 0,80 do 1,1). </w:t>
      </w:r>
      <w:r w:rsidRPr="00012278">
        <w:rPr>
          <w:szCs w:val="22"/>
          <w:lang w:val="sr-Latn-ME"/>
        </w:rPr>
        <w:t>Medijana</w:t>
      </w:r>
      <w:r w:rsidR="006140B9" w:rsidRPr="00012278">
        <w:rPr>
          <w:szCs w:val="22"/>
          <w:lang w:val="sr-Latn-ME"/>
        </w:rPr>
        <w:t xml:space="preserve"> ukupno</w:t>
      </w:r>
      <w:r w:rsidRPr="00012278">
        <w:rPr>
          <w:szCs w:val="22"/>
          <w:lang w:val="sr-Latn-ME"/>
        </w:rPr>
        <w:t>g</w:t>
      </w:r>
      <w:r w:rsidR="006140B9" w:rsidRPr="00012278">
        <w:rPr>
          <w:szCs w:val="22"/>
          <w:lang w:val="sr-Latn-ME"/>
        </w:rPr>
        <w:t xml:space="preserve"> preživljavanj</w:t>
      </w:r>
      <w:r w:rsidRPr="00012278">
        <w:rPr>
          <w:szCs w:val="22"/>
          <w:lang w:val="sr-Latn-ME"/>
        </w:rPr>
        <w:t>a</w:t>
      </w:r>
      <w:r w:rsidR="006140B9" w:rsidRPr="00012278">
        <w:rPr>
          <w:szCs w:val="22"/>
          <w:lang w:val="sr-Latn-ME"/>
        </w:rPr>
        <w:t xml:space="preserve"> iznosil</w:t>
      </w:r>
      <w:r w:rsidR="008D4165" w:rsidRPr="00012278">
        <w:rPr>
          <w:szCs w:val="22"/>
          <w:lang w:val="sr-Latn-ME"/>
        </w:rPr>
        <w:t>a</w:t>
      </w:r>
      <w:r w:rsidR="006140B9" w:rsidRPr="00012278">
        <w:rPr>
          <w:szCs w:val="22"/>
          <w:lang w:val="sr-Latn-ME"/>
        </w:rPr>
        <w:t xml:space="preserve"> je 10,9 mjeseci </w:t>
      </w:r>
      <w:r w:rsidR="008D4165" w:rsidRPr="00012278">
        <w:rPr>
          <w:szCs w:val="22"/>
          <w:lang w:val="sr-Latn-ME"/>
        </w:rPr>
        <w:t>za</w:t>
      </w:r>
      <w:r w:rsidR="006140B9" w:rsidRPr="00012278">
        <w:rPr>
          <w:szCs w:val="22"/>
          <w:lang w:val="sr-Latn-ME"/>
        </w:rPr>
        <w:t xml:space="preserve"> </w:t>
      </w:r>
      <w:r w:rsidR="008D4165" w:rsidRPr="00012278">
        <w:rPr>
          <w:szCs w:val="22"/>
          <w:lang w:val="sr-Latn-ME"/>
        </w:rPr>
        <w:t xml:space="preserve">protokole </w:t>
      </w:r>
      <w:r w:rsidR="006140B9" w:rsidRPr="00012278">
        <w:rPr>
          <w:szCs w:val="22"/>
          <w:lang w:val="sr-Latn-ME"/>
        </w:rPr>
        <w:t>baziran</w:t>
      </w:r>
      <w:r w:rsidR="008D4165" w:rsidRPr="00012278">
        <w:rPr>
          <w:szCs w:val="22"/>
          <w:lang w:val="sr-Latn-ME"/>
        </w:rPr>
        <w:t>e</w:t>
      </w:r>
      <w:r w:rsidR="006140B9" w:rsidRPr="00012278">
        <w:rPr>
          <w:szCs w:val="22"/>
          <w:lang w:val="sr-Latn-ME"/>
        </w:rPr>
        <w:t xml:space="preserve"> na kapecitabinu, a 9,6 mjeseci </w:t>
      </w:r>
      <w:r w:rsidR="008D4165" w:rsidRPr="00012278">
        <w:rPr>
          <w:szCs w:val="22"/>
          <w:lang w:val="sr-Latn-ME"/>
        </w:rPr>
        <w:t>za protokole</w:t>
      </w:r>
      <w:r w:rsidR="006140B9" w:rsidRPr="00012278">
        <w:rPr>
          <w:szCs w:val="22"/>
          <w:lang w:val="sr-Latn-ME"/>
        </w:rPr>
        <w:t xml:space="preserve"> baziran</w:t>
      </w:r>
      <w:r w:rsidR="008D4165" w:rsidRPr="00012278">
        <w:rPr>
          <w:szCs w:val="22"/>
          <w:lang w:val="sr-Latn-ME"/>
        </w:rPr>
        <w:t>e</w:t>
      </w:r>
      <w:r w:rsidR="006140B9" w:rsidRPr="00012278">
        <w:rPr>
          <w:szCs w:val="22"/>
          <w:lang w:val="sr-Latn-ME"/>
        </w:rPr>
        <w:t xml:space="preserve"> na 5-FU. </w:t>
      </w:r>
      <w:r w:rsidR="008D4165" w:rsidRPr="00012278">
        <w:rPr>
          <w:szCs w:val="22"/>
          <w:lang w:val="sr-Latn-ME"/>
        </w:rPr>
        <w:t>Medijana</w:t>
      </w:r>
      <w:r w:rsidR="006140B9" w:rsidRPr="00012278">
        <w:rPr>
          <w:szCs w:val="22"/>
          <w:lang w:val="sr-Latn-ME"/>
        </w:rPr>
        <w:t xml:space="preserve"> ukupno</w:t>
      </w:r>
      <w:r w:rsidR="008D4165" w:rsidRPr="00012278">
        <w:rPr>
          <w:szCs w:val="22"/>
          <w:lang w:val="sr-Latn-ME"/>
        </w:rPr>
        <w:t>g</w:t>
      </w:r>
      <w:r w:rsidR="006140B9" w:rsidRPr="00012278">
        <w:rPr>
          <w:szCs w:val="22"/>
          <w:lang w:val="sr-Latn-ME"/>
        </w:rPr>
        <w:t xml:space="preserve"> preživljavanj</w:t>
      </w:r>
      <w:r w:rsidR="008D4165" w:rsidRPr="00012278">
        <w:rPr>
          <w:szCs w:val="22"/>
          <w:lang w:val="sr-Latn-ME"/>
        </w:rPr>
        <w:t>a</w:t>
      </w:r>
      <w:r w:rsidR="006140B9" w:rsidRPr="00012278">
        <w:rPr>
          <w:szCs w:val="22"/>
          <w:lang w:val="sr-Latn-ME"/>
        </w:rPr>
        <w:t xml:space="preserve"> iznosil</w:t>
      </w:r>
      <w:r w:rsidR="008D4165" w:rsidRPr="00012278">
        <w:rPr>
          <w:szCs w:val="22"/>
          <w:lang w:val="sr-Latn-ME"/>
        </w:rPr>
        <w:t>a</w:t>
      </w:r>
      <w:r w:rsidR="006140B9" w:rsidRPr="00012278">
        <w:rPr>
          <w:szCs w:val="22"/>
          <w:lang w:val="sr-Latn-ME"/>
        </w:rPr>
        <w:t xml:space="preserve"> je 10,0 mjeseci </w:t>
      </w:r>
      <w:r w:rsidR="008D4165" w:rsidRPr="00012278">
        <w:rPr>
          <w:szCs w:val="22"/>
          <w:lang w:val="sr-Latn-ME"/>
        </w:rPr>
        <w:t>za protokole</w:t>
      </w:r>
      <w:r w:rsidR="006140B9" w:rsidRPr="00012278">
        <w:rPr>
          <w:szCs w:val="22"/>
          <w:lang w:val="sr-Latn-ME"/>
        </w:rPr>
        <w:t xml:space="preserve"> baziran</w:t>
      </w:r>
      <w:r w:rsidR="008D4165" w:rsidRPr="00012278">
        <w:rPr>
          <w:szCs w:val="22"/>
          <w:lang w:val="sr-Latn-ME"/>
        </w:rPr>
        <w:t>e</w:t>
      </w:r>
      <w:r w:rsidR="006140B9" w:rsidRPr="00012278">
        <w:rPr>
          <w:szCs w:val="22"/>
          <w:lang w:val="sr-Latn-ME"/>
        </w:rPr>
        <w:t xml:space="preserve"> na cisplatinu, a 10,4 mjesec</w:t>
      </w:r>
      <w:r w:rsidR="008D4165" w:rsidRPr="00012278">
        <w:rPr>
          <w:szCs w:val="22"/>
          <w:lang w:val="sr-Latn-ME"/>
        </w:rPr>
        <w:t>a</w:t>
      </w:r>
      <w:r w:rsidR="006140B9" w:rsidRPr="00012278">
        <w:rPr>
          <w:szCs w:val="22"/>
          <w:lang w:val="sr-Latn-ME"/>
        </w:rPr>
        <w:t xml:space="preserve"> </w:t>
      </w:r>
      <w:r w:rsidR="008D4165" w:rsidRPr="00012278">
        <w:rPr>
          <w:szCs w:val="22"/>
          <w:lang w:val="sr-Latn-ME"/>
        </w:rPr>
        <w:t>za protokole</w:t>
      </w:r>
      <w:r w:rsidR="006140B9" w:rsidRPr="00012278">
        <w:rPr>
          <w:szCs w:val="22"/>
          <w:lang w:val="sr-Latn-ME"/>
        </w:rPr>
        <w:t xml:space="preserve"> baziran</w:t>
      </w:r>
      <w:r w:rsidR="008D4165" w:rsidRPr="00012278">
        <w:rPr>
          <w:szCs w:val="22"/>
          <w:lang w:val="sr-Latn-ME"/>
        </w:rPr>
        <w:t>e</w:t>
      </w:r>
      <w:r w:rsidR="006140B9" w:rsidRPr="00012278">
        <w:rPr>
          <w:szCs w:val="22"/>
          <w:lang w:val="sr-Latn-ME"/>
        </w:rPr>
        <w:t xml:space="preserve"> na oksaliplatinu. </w:t>
      </w:r>
    </w:p>
    <w:p w14:paraId="53FEEF8D" w14:textId="77777777" w:rsidR="006140B9" w:rsidRPr="00012278" w:rsidRDefault="006140B9" w:rsidP="006140B9">
      <w:pPr>
        <w:rPr>
          <w:szCs w:val="22"/>
          <w:lang w:val="sr-Latn-ME"/>
        </w:rPr>
      </w:pPr>
    </w:p>
    <w:p w14:paraId="7638DDA5" w14:textId="2FA078D9" w:rsidR="006140B9" w:rsidRPr="00012278" w:rsidRDefault="006140B9" w:rsidP="002B4BD7">
      <w:pPr>
        <w:jc w:val="both"/>
        <w:rPr>
          <w:szCs w:val="22"/>
          <w:lang w:val="sr-Latn-ME"/>
        </w:rPr>
      </w:pPr>
      <w:r w:rsidRPr="00012278">
        <w:rPr>
          <w:szCs w:val="22"/>
          <w:lang w:val="sr-Latn-ME"/>
        </w:rPr>
        <w:t xml:space="preserve">Kapecitabin je u kombinaciji sa oksaliplatinom </w:t>
      </w:r>
      <w:r w:rsidR="008D4165" w:rsidRPr="00012278">
        <w:rPr>
          <w:szCs w:val="22"/>
          <w:lang w:val="sr-Latn-ME"/>
        </w:rPr>
        <w:t xml:space="preserve">primijenjen i u </w:t>
      </w:r>
      <w:r w:rsidRPr="00012278">
        <w:rPr>
          <w:szCs w:val="22"/>
          <w:lang w:val="sr-Latn-ME"/>
        </w:rPr>
        <w:t>liječenj</w:t>
      </w:r>
      <w:r w:rsidR="008D4165" w:rsidRPr="00012278">
        <w:rPr>
          <w:szCs w:val="22"/>
          <w:lang w:val="sr-Latn-ME"/>
        </w:rPr>
        <w:t>u</w:t>
      </w:r>
      <w:r w:rsidRPr="00012278">
        <w:rPr>
          <w:szCs w:val="22"/>
          <w:lang w:val="sr-Latn-ME"/>
        </w:rPr>
        <w:t xml:space="preserve"> uznapredovalog karcinoma želuca.  Studije sa kapecitabinom kao monoterapijom ukazuju da kapecitabin ima </w:t>
      </w:r>
      <w:r w:rsidR="008D4165" w:rsidRPr="00012278">
        <w:rPr>
          <w:szCs w:val="22"/>
          <w:lang w:val="sr-Latn-ME"/>
        </w:rPr>
        <w:t>efekat</w:t>
      </w:r>
      <w:r w:rsidRPr="00012278">
        <w:rPr>
          <w:szCs w:val="22"/>
          <w:lang w:val="sr-Latn-ME"/>
        </w:rPr>
        <w:t xml:space="preserve"> kod uznapredovalog karcinoma želuca. </w:t>
      </w:r>
    </w:p>
    <w:p w14:paraId="7E9BF295" w14:textId="77777777" w:rsidR="006140B9" w:rsidRPr="00012278" w:rsidRDefault="006140B9" w:rsidP="002B4BD7">
      <w:pPr>
        <w:jc w:val="both"/>
        <w:rPr>
          <w:szCs w:val="22"/>
          <w:u w:val="single"/>
          <w:lang w:val="sr-Latn-ME"/>
        </w:rPr>
      </w:pPr>
    </w:p>
    <w:p w14:paraId="3FB630D8" w14:textId="77777777" w:rsidR="006140B9" w:rsidRPr="00012278" w:rsidRDefault="006140B9" w:rsidP="002B4BD7">
      <w:pPr>
        <w:jc w:val="both"/>
        <w:rPr>
          <w:szCs w:val="22"/>
          <w:u w:val="single"/>
          <w:lang w:val="sr-Latn-ME"/>
        </w:rPr>
      </w:pPr>
      <w:r w:rsidRPr="00012278">
        <w:rPr>
          <w:szCs w:val="22"/>
          <w:u w:val="single"/>
          <w:lang w:val="sr-Latn-ME"/>
        </w:rPr>
        <w:t xml:space="preserve">Karcinom kolona, kolorektalni karcinom i uznapredovali karcinom želuca: meta-analiza </w:t>
      </w:r>
    </w:p>
    <w:p w14:paraId="4B7CABE7" w14:textId="4ECE75F6" w:rsidR="006140B9" w:rsidRPr="00012278" w:rsidRDefault="006140B9" w:rsidP="002B4BD7">
      <w:pPr>
        <w:jc w:val="both"/>
        <w:rPr>
          <w:szCs w:val="22"/>
          <w:lang w:val="sr-Latn-ME"/>
        </w:rPr>
      </w:pPr>
      <w:r w:rsidRPr="00012278">
        <w:rPr>
          <w:szCs w:val="22"/>
          <w:lang w:val="sr-Latn-ME"/>
        </w:rPr>
        <w:t xml:space="preserve">Jedna meta analiza šest kliničkih ispitivanja (SO14695, SO14796, M66001, NO16966, NO16967, M17032) podržava zamjenu 5-FU kapecitabinom u monoterapiji i kombinovanoj terapiji gastrointestinalnih maligniteta. Ova objedinjena analiza uključuje 3097 pacijenata koji su liječeni terapijskim protokolima koji su uključivali kapecitabin i 3074 pacijenata koji su liječeni terapijskim protokolima koji su uključivali lijek 5-FU. </w:t>
      </w:r>
      <w:r w:rsidR="008D4165" w:rsidRPr="00012278">
        <w:rPr>
          <w:szCs w:val="22"/>
          <w:lang w:val="sr-Latn-ME"/>
        </w:rPr>
        <w:t xml:space="preserve">Medijana </w:t>
      </w:r>
      <w:r w:rsidRPr="00012278">
        <w:rPr>
          <w:szCs w:val="22"/>
          <w:lang w:val="sr-Latn-ME"/>
        </w:rPr>
        <w:t>ukupno</w:t>
      </w:r>
      <w:r w:rsidR="008D4165" w:rsidRPr="00012278">
        <w:rPr>
          <w:szCs w:val="22"/>
          <w:lang w:val="sr-Latn-ME"/>
        </w:rPr>
        <w:t>g</w:t>
      </w:r>
      <w:r w:rsidRPr="00012278">
        <w:rPr>
          <w:szCs w:val="22"/>
          <w:lang w:val="sr-Latn-ME"/>
        </w:rPr>
        <w:t xml:space="preserve"> </w:t>
      </w:r>
      <w:r w:rsidR="008D4165" w:rsidRPr="00012278">
        <w:rPr>
          <w:szCs w:val="22"/>
          <w:lang w:val="sr-Latn-ME"/>
        </w:rPr>
        <w:t xml:space="preserve">vremena </w:t>
      </w:r>
      <w:r w:rsidRPr="00012278">
        <w:rPr>
          <w:szCs w:val="22"/>
          <w:lang w:val="sr-Latn-ME"/>
        </w:rPr>
        <w:t>preživljavanj</w:t>
      </w:r>
      <w:r w:rsidR="008D4165" w:rsidRPr="00012278">
        <w:rPr>
          <w:szCs w:val="22"/>
          <w:lang w:val="sr-Latn-ME"/>
        </w:rPr>
        <w:t>a</w:t>
      </w:r>
      <w:r w:rsidRPr="00012278">
        <w:rPr>
          <w:szCs w:val="22"/>
          <w:lang w:val="sr-Latn-ME"/>
        </w:rPr>
        <w:t xml:space="preserve">  iznosil</w:t>
      </w:r>
      <w:r w:rsidR="008D4165" w:rsidRPr="00012278">
        <w:rPr>
          <w:szCs w:val="22"/>
          <w:lang w:val="sr-Latn-ME"/>
        </w:rPr>
        <w:t>a</w:t>
      </w:r>
      <w:r w:rsidRPr="00012278">
        <w:rPr>
          <w:szCs w:val="22"/>
          <w:lang w:val="sr-Latn-ME"/>
        </w:rPr>
        <w:t xml:space="preserve"> je 703 dana (95% CI: 671; 745) kod pacijenata koji su liječeni terapijskim protokolom koji je uključivao kapecitabin, odnosno  683 dana (95% CI: 646; 715) kod pacijenata koji su liječeni terapijskim protokolima koji su uključivali lijek 5-FU. </w:t>
      </w:r>
      <w:r w:rsidR="008D4165" w:rsidRPr="00012278">
        <w:rPr>
          <w:szCs w:val="22"/>
          <w:lang w:val="sr-Latn-ME"/>
        </w:rPr>
        <w:t xml:space="preserve">Odnos </w:t>
      </w:r>
      <w:r w:rsidRPr="00012278">
        <w:rPr>
          <w:szCs w:val="22"/>
          <w:lang w:val="sr-Latn-ME"/>
        </w:rPr>
        <w:t>rizika za ukupno preživljavanje iznosio je  0,94 (95% CI: 0,89; 1,00, p=0,0489), što govori da su terapijski protokoli koji sadrže kapecitabin  superiorniji od  onih koji sadrže 5-FU.</w:t>
      </w:r>
    </w:p>
    <w:p w14:paraId="08DBAA2B" w14:textId="77777777" w:rsidR="006140B9" w:rsidRPr="00012278" w:rsidRDefault="006140B9" w:rsidP="006140B9">
      <w:pPr>
        <w:rPr>
          <w:szCs w:val="22"/>
          <w:lang w:val="sr-Latn-ME"/>
        </w:rPr>
      </w:pPr>
    </w:p>
    <w:p w14:paraId="6E1BE0A7" w14:textId="77777777" w:rsidR="006140B9" w:rsidRPr="00012278" w:rsidRDefault="006140B9" w:rsidP="006140B9">
      <w:pPr>
        <w:rPr>
          <w:i/>
          <w:szCs w:val="22"/>
          <w:u w:val="single"/>
          <w:lang w:val="sr-Latn-ME"/>
        </w:rPr>
      </w:pPr>
      <w:r w:rsidRPr="00012278">
        <w:rPr>
          <w:szCs w:val="22"/>
          <w:u w:val="single"/>
          <w:lang w:val="sr-Latn-ME"/>
        </w:rPr>
        <w:t>Karcinom dojke:</w:t>
      </w:r>
    </w:p>
    <w:p w14:paraId="3E8646E0" w14:textId="77777777" w:rsidR="006140B9" w:rsidRPr="00012278" w:rsidRDefault="006140B9" w:rsidP="006140B9">
      <w:pPr>
        <w:rPr>
          <w:i/>
          <w:szCs w:val="22"/>
          <w:lang w:val="sr-Latn-ME"/>
        </w:rPr>
      </w:pPr>
    </w:p>
    <w:p w14:paraId="4059E1E8" w14:textId="77777777" w:rsidR="006140B9" w:rsidRPr="00012278" w:rsidRDefault="006140B9" w:rsidP="002B4BD7">
      <w:pPr>
        <w:jc w:val="both"/>
        <w:rPr>
          <w:i/>
          <w:szCs w:val="22"/>
          <w:lang w:val="sr-Latn-ME"/>
        </w:rPr>
      </w:pPr>
      <w:r w:rsidRPr="00012278">
        <w:rPr>
          <w:i/>
          <w:szCs w:val="22"/>
          <w:lang w:val="sr-Latn-ME"/>
        </w:rPr>
        <w:t>Kombinovana terapija kapecitabinom i docetakselom kod lokalno uznapredovalog ili metastatskog karcinoma dojke</w:t>
      </w:r>
    </w:p>
    <w:p w14:paraId="533C55A6" w14:textId="44D3DE60" w:rsidR="006140B9" w:rsidRPr="00012278" w:rsidRDefault="006140B9" w:rsidP="002B4BD7">
      <w:pPr>
        <w:jc w:val="both"/>
        <w:rPr>
          <w:szCs w:val="22"/>
          <w:lang w:val="sr-Latn-ME"/>
        </w:rPr>
      </w:pPr>
      <w:r w:rsidRPr="00012278">
        <w:rPr>
          <w:szCs w:val="22"/>
          <w:lang w:val="sr-Latn-ME"/>
        </w:rPr>
        <w:t>Podaci iz jedne multicentrične, randomizovane, kontrolisane kliničke studije treće faze  podržavaju korišćenje kapecitabina u kombinaciji sa docetakselom</w:t>
      </w:r>
      <w:r w:rsidR="008D4165" w:rsidRPr="00012278">
        <w:rPr>
          <w:szCs w:val="22"/>
          <w:lang w:val="sr-Latn-ME"/>
        </w:rPr>
        <w:t>,</w:t>
      </w:r>
      <w:r w:rsidRPr="00012278">
        <w:rPr>
          <w:szCs w:val="22"/>
          <w:lang w:val="sr-Latn-ME"/>
        </w:rPr>
        <w:t xml:space="preserve"> za liječenje pacijenata sa lokalno uznapredovalim ili metastatskim karcinomom dojke </w:t>
      </w:r>
      <w:r w:rsidR="008D4165" w:rsidRPr="00012278">
        <w:rPr>
          <w:szCs w:val="22"/>
          <w:lang w:val="sr-Latn-ME"/>
        </w:rPr>
        <w:t xml:space="preserve">nakon </w:t>
      </w:r>
      <w:r w:rsidRPr="00012278">
        <w:rPr>
          <w:szCs w:val="22"/>
          <w:lang w:val="sr-Latn-ME"/>
        </w:rPr>
        <w:t>neuspjeh</w:t>
      </w:r>
      <w:r w:rsidR="008D4165" w:rsidRPr="00012278">
        <w:rPr>
          <w:szCs w:val="22"/>
          <w:lang w:val="sr-Latn-ME"/>
        </w:rPr>
        <w:t>a</w:t>
      </w:r>
      <w:r w:rsidRPr="00012278">
        <w:rPr>
          <w:szCs w:val="22"/>
          <w:lang w:val="sr-Latn-ME"/>
        </w:rPr>
        <w:t xml:space="preserve"> citotoksične terapije, </w:t>
      </w:r>
      <w:r w:rsidR="008D4165" w:rsidRPr="00012278">
        <w:rPr>
          <w:szCs w:val="22"/>
          <w:lang w:val="sr-Latn-ME"/>
        </w:rPr>
        <w:t>koja je uključivala</w:t>
      </w:r>
      <w:r w:rsidRPr="00012278">
        <w:rPr>
          <w:szCs w:val="22"/>
          <w:lang w:val="sr-Latn-ME"/>
        </w:rPr>
        <w:t xml:space="preserve"> antraciklin. U ovom ispitivanju, 255 pacijenata je nasumično podijeljeno da prima kapecitabin (1250 mg/m</w:t>
      </w:r>
      <w:r w:rsidRPr="00012278">
        <w:rPr>
          <w:szCs w:val="22"/>
          <w:vertAlign w:val="superscript"/>
          <w:lang w:val="sr-Latn-ME"/>
        </w:rPr>
        <w:t>2</w:t>
      </w:r>
      <w:r w:rsidRPr="00012278">
        <w:rPr>
          <w:szCs w:val="22"/>
          <w:lang w:val="sr-Latn-ME"/>
        </w:rPr>
        <w:t xml:space="preserve"> dva puta dnevno u trajanju od dvije nedjelje, poslije čega slijedi jednonedjeljni odmor, i docetaksel 75 mg/m</w:t>
      </w:r>
      <w:r w:rsidRPr="00012278">
        <w:rPr>
          <w:szCs w:val="22"/>
          <w:vertAlign w:val="superscript"/>
          <w:lang w:val="sr-Latn-ME"/>
        </w:rPr>
        <w:t>2</w:t>
      </w:r>
      <w:r w:rsidRPr="00012278">
        <w:rPr>
          <w:szCs w:val="22"/>
          <w:lang w:val="sr-Latn-ME"/>
        </w:rPr>
        <w:t xml:space="preserve"> kao jednosatna intravenska infuzija svake tri nedjelje), a 256 pacijenata je nasumično određeno da prima samo docetaksel (100 mg/m</w:t>
      </w:r>
      <w:r w:rsidRPr="00012278">
        <w:rPr>
          <w:szCs w:val="22"/>
          <w:vertAlign w:val="superscript"/>
          <w:lang w:val="sr-Latn-ME"/>
        </w:rPr>
        <w:t>2</w:t>
      </w:r>
      <w:r w:rsidRPr="00012278">
        <w:rPr>
          <w:szCs w:val="22"/>
          <w:lang w:val="sr-Latn-ME"/>
        </w:rPr>
        <w:t xml:space="preserve"> kao jednosatnu intravensku infuziju svake tri nedjelje). Preživljavanje je bilo bolje u grupi koja je primala kombinaciju kapecitabin plus docetaksel (p=0,0126). </w:t>
      </w:r>
      <w:r w:rsidR="008D4165" w:rsidRPr="00012278">
        <w:rPr>
          <w:szCs w:val="22"/>
          <w:lang w:val="sr-Latn-ME"/>
        </w:rPr>
        <w:t xml:space="preserve">Medijan </w:t>
      </w:r>
      <w:r w:rsidRPr="00012278">
        <w:rPr>
          <w:szCs w:val="22"/>
          <w:lang w:val="sr-Latn-ME"/>
        </w:rPr>
        <w:t>preživljavanj</w:t>
      </w:r>
      <w:r w:rsidR="008D4165" w:rsidRPr="00012278">
        <w:rPr>
          <w:szCs w:val="22"/>
          <w:lang w:val="sr-Latn-ME"/>
        </w:rPr>
        <w:t>a</w:t>
      </w:r>
      <w:r w:rsidRPr="00012278">
        <w:rPr>
          <w:szCs w:val="22"/>
          <w:lang w:val="sr-Latn-ME"/>
        </w:rPr>
        <w:t xml:space="preserve"> iznosi</w:t>
      </w:r>
      <w:r w:rsidR="008D4165" w:rsidRPr="00012278">
        <w:rPr>
          <w:szCs w:val="22"/>
          <w:lang w:val="sr-Latn-ME"/>
        </w:rPr>
        <w:t>o</w:t>
      </w:r>
      <w:r w:rsidRPr="00012278">
        <w:rPr>
          <w:szCs w:val="22"/>
          <w:lang w:val="sr-Latn-ME"/>
        </w:rPr>
        <w:t xml:space="preserve"> je 442 dana (kapecitabin + docetaksel) prema 352 dana (samo docetaksel). </w:t>
      </w:r>
      <w:r w:rsidR="008D4165" w:rsidRPr="00012278">
        <w:rPr>
          <w:szCs w:val="22"/>
          <w:lang w:val="sr-Latn-ME"/>
        </w:rPr>
        <w:t>Ukupni</w:t>
      </w:r>
      <w:r w:rsidRPr="00012278">
        <w:rPr>
          <w:szCs w:val="22"/>
          <w:lang w:val="sr-Latn-ME"/>
        </w:rPr>
        <w:t xml:space="preserve"> terapijsk</w:t>
      </w:r>
      <w:r w:rsidR="008D4165" w:rsidRPr="00012278">
        <w:rPr>
          <w:szCs w:val="22"/>
          <w:lang w:val="sr-Latn-ME"/>
        </w:rPr>
        <w:t>i</w:t>
      </w:r>
      <w:r w:rsidRPr="00012278">
        <w:rPr>
          <w:szCs w:val="22"/>
          <w:lang w:val="sr-Latn-ME"/>
        </w:rPr>
        <w:t xml:space="preserve"> odgovor u cjelokupnoj randomizovanoj populaciji (procjena istraživača) iznosi</w:t>
      </w:r>
      <w:r w:rsidR="00385718" w:rsidRPr="00012278">
        <w:rPr>
          <w:szCs w:val="22"/>
          <w:lang w:val="sr-Latn-ME"/>
        </w:rPr>
        <w:t>o je</w:t>
      </w:r>
      <w:r w:rsidRPr="00012278">
        <w:rPr>
          <w:szCs w:val="22"/>
          <w:lang w:val="sr-Latn-ME"/>
        </w:rPr>
        <w:t xml:space="preserve">  41,6% (kapecitabin + docetaksel) prema 29,7% (samo docetaksel ); p = 0,0058. Vrijeme do progresije bolesti opet je bilo bolje u grupi koja je primala kombinaciju kapecitabin + docetaksel (p&lt;0,0001). </w:t>
      </w:r>
      <w:r w:rsidR="00385718" w:rsidRPr="00012278">
        <w:rPr>
          <w:szCs w:val="22"/>
          <w:lang w:val="sr-Latn-ME"/>
        </w:rPr>
        <w:t xml:space="preserve">Medijan </w:t>
      </w:r>
      <w:r w:rsidRPr="00012278">
        <w:rPr>
          <w:szCs w:val="22"/>
          <w:lang w:val="sr-Latn-ME"/>
        </w:rPr>
        <w:t>vr</w:t>
      </w:r>
      <w:r w:rsidR="00385718" w:rsidRPr="00012278">
        <w:rPr>
          <w:szCs w:val="22"/>
          <w:lang w:val="sr-Latn-ME"/>
        </w:rPr>
        <w:t>emena</w:t>
      </w:r>
      <w:r w:rsidRPr="00012278">
        <w:rPr>
          <w:szCs w:val="22"/>
          <w:lang w:val="sr-Latn-ME"/>
        </w:rPr>
        <w:t xml:space="preserve"> do progresije bolesti iznosi</w:t>
      </w:r>
      <w:r w:rsidR="00385718" w:rsidRPr="00012278">
        <w:rPr>
          <w:szCs w:val="22"/>
          <w:lang w:val="sr-Latn-ME"/>
        </w:rPr>
        <w:t>o</w:t>
      </w:r>
      <w:r w:rsidRPr="00012278">
        <w:rPr>
          <w:szCs w:val="22"/>
          <w:lang w:val="sr-Latn-ME"/>
        </w:rPr>
        <w:t xml:space="preserve"> je 186 dana (kapecitabin + docetaksel) prema 128 dana (samo docetaksel).</w:t>
      </w:r>
    </w:p>
    <w:p w14:paraId="4CAEAF60" w14:textId="77777777" w:rsidR="006140B9" w:rsidRPr="00012278" w:rsidRDefault="006140B9" w:rsidP="002B4BD7">
      <w:pPr>
        <w:jc w:val="both"/>
        <w:rPr>
          <w:szCs w:val="22"/>
          <w:lang w:val="sr-Latn-ME"/>
        </w:rPr>
      </w:pPr>
    </w:p>
    <w:p w14:paraId="648AC931" w14:textId="29826D8B" w:rsidR="006140B9" w:rsidRPr="00012278" w:rsidRDefault="006140B9" w:rsidP="002B4BD7">
      <w:pPr>
        <w:jc w:val="both"/>
        <w:rPr>
          <w:i/>
          <w:szCs w:val="22"/>
          <w:lang w:val="sr-Latn-ME"/>
        </w:rPr>
      </w:pPr>
      <w:r w:rsidRPr="00012278">
        <w:rPr>
          <w:i/>
          <w:szCs w:val="22"/>
          <w:lang w:val="sr-Latn-ME"/>
        </w:rPr>
        <w:t>Monoterapija kapecitabinom poslije neuspje</w:t>
      </w:r>
      <w:r w:rsidR="00385718" w:rsidRPr="00012278">
        <w:rPr>
          <w:i/>
          <w:szCs w:val="22"/>
          <w:lang w:val="sr-Latn-ME"/>
        </w:rPr>
        <w:t xml:space="preserve">šne hemioterapije </w:t>
      </w:r>
      <w:r w:rsidRPr="00012278">
        <w:rPr>
          <w:i/>
          <w:szCs w:val="22"/>
          <w:lang w:val="sr-Latn-ME"/>
        </w:rPr>
        <w:t xml:space="preserve"> taksan</w:t>
      </w:r>
      <w:r w:rsidR="00385718" w:rsidRPr="00012278">
        <w:rPr>
          <w:i/>
          <w:szCs w:val="22"/>
          <w:lang w:val="sr-Latn-ME"/>
        </w:rPr>
        <w:t xml:space="preserve">ima i </w:t>
      </w:r>
      <w:r w:rsidRPr="00012278">
        <w:rPr>
          <w:i/>
          <w:szCs w:val="22"/>
          <w:lang w:val="sr-Latn-ME"/>
        </w:rPr>
        <w:t xml:space="preserve"> antraciklin</w:t>
      </w:r>
      <w:r w:rsidR="00385718" w:rsidRPr="00012278">
        <w:rPr>
          <w:i/>
          <w:szCs w:val="22"/>
          <w:lang w:val="sr-Latn-ME"/>
        </w:rPr>
        <w:t>ima</w:t>
      </w:r>
      <w:r w:rsidRPr="00012278">
        <w:rPr>
          <w:i/>
          <w:szCs w:val="22"/>
          <w:lang w:val="sr-Latn-ME"/>
        </w:rPr>
        <w:t>, i kod pacijenata kod kojih antraciklinska terapija nije indikovana</w:t>
      </w:r>
    </w:p>
    <w:p w14:paraId="3B555C67" w14:textId="55CE047E" w:rsidR="006140B9" w:rsidRPr="00012278" w:rsidRDefault="006140B9" w:rsidP="002B4BD7">
      <w:pPr>
        <w:jc w:val="both"/>
        <w:rPr>
          <w:szCs w:val="22"/>
          <w:lang w:val="sr-Latn-ME"/>
        </w:rPr>
      </w:pPr>
      <w:r w:rsidRPr="00012278">
        <w:rPr>
          <w:szCs w:val="22"/>
          <w:lang w:val="sr-Latn-ME"/>
        </w:rPr>
        <w:t xml:space="preserve">Podaci iz dvije multicentrične kliničke studije druge faze podržavaju upotrebu kapecitabin monoterapije za liječenje pacijenata nakon neuspjeha </w:t>
      </w:r>
      <w:r w:rsidR="00385718" w:rsidRPr="00012278">
        <w:rPr>
          <w:szCs w:val="22"/>
          <w:lang w:val="sr-Latn-ME"/>
        </w:rPr>
        <w:t xml:space="preserve">liječenja </w:t>
      </w:r>
      <w:r w:rsidRPr="00012278">
        <w:rPr>
          <w:szCs w:val="22"/>
          <w:lang w:val="sr-Latn-ME"/>
        </w:rPr>
        <w:t>taksan</w:t>
      </w:r>
      <w:r w:rsidR="00385718" w:rsidRPr="00012278">
        <w:rPr>
          <w:szCs w:val="22"/>
          <w:lang w:val="sr-Latn-ME"/>
        </w:rPr>
        <w:t>ima</w:t>
      </w:r>
      <w:r w:rsidRPr="00012278">
        <w:rPr>
          <w:szCs w:val="22"/>
          <w:lang w:val="sr-Latn-ME"/>
        </w:rPr>
        <w:t xml:space="preserve"> i </w:t>
      </w:r>
      <w:r w:rsidR="00385718" w:rsidRPr="00012278">
        <w:rPr>
          <w:szCs w:val="22"/>
          <w:lang w:val="sr-Latn-ME"/>
        </w:rPr>
        <w:t xml:space="preserve">antraciklinskim </w:t>
      </w:r>
      <w:r w:rsidRPr="00012278">
        <w:rPr>
          <w:szCs w:val="22"/>
          <w:lang w:val="sr-Latn-ME"/>
        </w:rPr>
        <w:t>terapijski</w:t>
      </w:r>
      <w:r w:rsidR="00385718" w:rsidRPr="00012278">
        <w:rPr>
          <w:szCs w:val="22"/>
          <w:lang w:val="sr-Latn-ME"/>
        </w:rPr>
        <w:t xml:space="preserve">m protokolima </w:t>
      </w:r>
      <w:r w:rsidRPr="00012278">
        <w:rPr>
          <w:szCs w:val="22"/>
          <w:lang w:val="sr-Latn-ME"/>
        </w:rPr>
        <w:t xml:space="preserve"> ili za koje dalja antraciklinska terapija nije indikovana. U ovim ispitivanjima, ukupno 236 pacijenata dobijalo je kapecitabin (1250 mg/m</w:t>
      </w:r>
      <w:r w:rsidRPr="00012278">
        <w:rPr>
          <w:szCs w:val="22"/>
          <w:vertAlign w:val="superscript"/>
          <w:lang w:val="sr-Latn-ME"/>
        </w:rPr>
        <w:t>2</w:t>
      </w:r>
      <w:r w:rsidRPr="00012278">
        <w:rPr>
          <w:szCs w:val="22"/>
          <w:lang w:val="sr-Latn-ME"/>
        </w:rPr>
        <w:t xml:space="preserve"> dva puta dnevno u trajanju od dvije nedjelje, poslije čega slijedi jednonedjeljni odmor). </w:t>
      </w:r>
      <w:r w:rsidR="00385718" w:rsidRPr="00012278">
        <w:rPr>
          <w:szCs w:val="22"/>
          <w:lang w:val="sr-Latn-ME"/>
        </w:rPr>
        <w:t>Ukupni terapijski odgovor</w:t>
      </w:r>
      <w:r w:rsidRPr="00012278">
        <w:rPr>
          <w:szCs w:val="22"/>
          <w:lang w:val="sr-Latn-ME"/>
        </w:rPr>
        <w:t xml:space="preserve"> (procjena istraživača) iznosi</w:t>
      </w:r>
      <w:r w:rsidR="00385718" w:rsidRPr="00012278">
        <w:rPr>
          <w:szCs w:val="22"/>
          <w:lang w:val="sr-Latn-ME"/>
        </w:rPr>
        <w:t>o je</w:t>
      </w:r>
      <w:r w:rsidRPr="00012278">
        <w:rPr>
          <w:szCs w:val="22"/>
          <w:lang w:val="sr-Latn-ME"/>
        </w:rPr>
        <w:t xml:space="preserve"> 20% (prva studija) i 25% (druga studija). </w:t>
      </w:r>
      <w:r w:rsidR="00385718" w:rsidRPr="00012278">
        <w:rPr>
          <w:szCs w:val="22"/>
          <w:lang w:val="sr-Latn-ME"/>
        </w:rPr>
        <w:t xml:space="preserve">Medijana </w:t>
      </w:r>
      <w:r w:rsidRPr="00012278">
        <w:rPr>
          <w:szCs w:val="22"/>
          <w:lang w:val="sr-Latn-ME"/>
        </w:rPr>
        <w:t>vr</w:t>
      </w:r>
      <w:r w:rsidR="00385718" w:rsidRPr="00012278">
        <w:rPr>
          <w:szCs w:val="22"/>
          <w:lang w:val="sr-Latn-ME"/>
        </w:rPr>
        <w:t>emena</w:t>
      </w:r>
      <w:r w:rsidRPr="00012278">
        <w:rPr>
          <w:szCs w:val="22"/>
          <w:lang w:val="sr-Latn-ME"/>
        </w:rPr>
        <w:t xml:space="preserve"> do progresije bolesti iznosil</w:t>
      </w:r>
      <w:r w:rsidR="00385718" w:rsidRPr="00012278">
        <w:rPr>
          <w:szCs w:val="22"/>
          <w:lang w:val="sr-Latn-ME"/>
        </w:rPr>
        <w:t>a</w:t>
      </w:r>
      <w:r w:rsidRPr="00012278">
        <w:rPr>
          <w:szCs w:val="22"/>
          <w:lang w:val="sr-Latn-ME"/>
        </w:rPr>
        <w:t xml:space="preserve"> je 93, odnosno 98 dana. </w:t>
      </w:r>
      <w:r w:rsidR="00385718" w:rsidRPr="00012278">
        <w:rPr>
          <w:szCs w:val="22"/>
          <w:lang w:val="sr-Latn-ME"/>
        </w:rPr>
        <w:t xml:space="preserve">Medijana </w:t>
      </w:r>
      <w:r w:rsidRPr="00012278">
        <w:rPr>
          <w:szCs w:val="22"/>
          <w:lang w:val="sr-Latn-ME"/>
        </w:rPr>
        <w:t>preživljavanj</w:t>
      </w:r>
      <w:r w:rsidR="00385718" w:rsidRPr="00012278">
        <w:rPr>
          <w:szCs w:val="22"/>
          <w:lang w:val="sr-Latn-ME"/>
        </w:rPr>
        <w:t>a</w:t>
      </w:r>
      <w:r w:rsidRPr="00012278">
        <w:rPr>
          <w:szCs w:val="22"/>
          <w:lang w:val="sr-Latn-ME"/>
        </w:rPr>
        <w:t xml:space="preserve"> iznosil</w:t>
      </w:r>
      <w:r w:rsidR="00385718" w:rsidRPr="00012278">
        <w:rPr>
          <w:szCs w:val="22"/>
          <w:lang w:val="sr-Latn-ME"/>
        </w:rPr>
        <w:t>a</w:t>
      </w:r>
      <w:r w:rsidRPr="00012278">
        <w:rPr>
          <w:szCs w:val="22"/>
          <w:lang w:val="sr-Latn-ME"/>
        </w:rPr>
        <w:t xml:space="preserve"> je 384 i 373 dana. </w:t>
      </w:r>
    </w:p>
    <w:p w14:paraId="54C6C212" w14:textId="77777777" w:rsidR="006140B9" w:rsidRPr="00012278" w:rsidRDefault="006140B9" w:rsidP="002B4BD7">
      <w:pPr>
        <w:jc w:val="both"/>
        <w:rPr>
          <w:szCs w:val="22"/>
          <w:lang w:val="sr-Latn-ME"/>
        </w:rPr>
      </w:pPr>
    </w:p>
    <w:p w14:paraId="68100088" w14:textId="77777777" w:rsidR="006140B9" w:rsidRPr="00012278" w:rsidRDefault="006140B9" w:rsidP="002B4BD7">
      <w:pPr>
        <w:jc w:val="both"/>
        <w:rPr>
          <w:szCs w:val="22"/>
          <w:lang w:val="sr-Latn-ME"/>
        </w:rPr>
      </w:pPr>
      <w:r w:rsidRPr="00012278">
        <w:rPr>
          <w:szCs w:val="22"/>
          <w:u w:val="single"/>
          <w:lang w:val="sr-Latn-ME"/>
        </w:rPr>
        <w:t>Sve indikacije</w:t>
      </w:r>
      <w:r w:rsidRPr="00012278">
        <w:rPr>
          <w:szCs w:val="22"/>
          <w:lang w:val="sr-Latn-ME"/>
        </w:rPr>
        <w:t xml:space="preserve">: </w:t>
      </w:r>
    </w:p>
    <w:p w14:paraId="48F152FF" w14:textId="77777777" w:rsidR="006140B9" w:rsidRPr="00012278" w:rsidRDefault="006140B9" w:rsidP="002B4BD7">
      <w:pPr>
        <w:jc w:val="both"/>
        <w:rPr>
          <w:szCs w:val="22"/>
          <w:lang w:val="sr-Latn-ME"/>
        </w:rPr>
      </w:pPr>
    </w:p>
    <w:p w14:paraId="6D09E88F" w14:textId="74455D77" w:rsidR="006140B9" w:rsidRPr="00012278" w:rsidRDefault="006140B9" w:rsidP="002B4BD7">
      <w:pPr>
        <w:jc w:val="both"/>
        <w:rPr>
          <w:szCs w:val="22"/>
          <w:lang w:val="sr-Latn-ME"/>
        </w:rPr>
      </w:pPr>
      <w:r w:rsidRPr="00012278">
        <w:rPr>
          <w:szCs w:val="22"/>
          <w:lang w:val="sr-Latn-ME"/>
        </w:rPr>
        <w:t>Meta-analiza 14 kliničkih studija sa podacima</w:t>
      </w:r>
      <w:r w:rsidR="00385718" w:rsidRPr="00012278">
        <w:rPr>
          <w:szCs w:val="22"/>
          <w:lang w:val="sr-Latn-ME"/>
        </w:rPr>
        <w:t xml:space="preserve"> od</w:t>
      </w:r>
      <w:r w:rsidRPr="00012278">
        <w:rPr>
          <w:szCs w:val="22"/>
          <w:lang w:val="sr-Latn-ME"/>
        </w:rPr>
        <w:t xml:space="preserve"> preko 4700 pacijenata liječenih kapecitabinom u monoterapiji ili u kombinaciji sa različitim hem</w:t>
      </w:r>
      <w:r w:rsidR="00385718" w:rsidRPr="00012278">
        <w:rPr>
          <w:szCs w:val="22"/>
          <w:lang w:val="sr-Latn-ME"/>
        </w:rPr>
        <w:t>io</w:t>
      </w:r>
      <w:r w:rsidRPr="00012278">
        <w:rPr>
          <w:szCs w:val="22"/>
          <w:lang w:val="sr-Latn-ME"/>
        </w:rPr>
        <w:t xml:space="preserve">oterapijskim </w:t>
      </w:r>
      <w:r w:rsidR="00385718" w:rsidRPr="00012278">
        <w:rPr>
          <w:szCs w:val="22"/>
          <w:lang w:val="sr-Latn-ME"/>
        </w:rPr>
        <w:t>protokolima</w:t>
      </w:r>
      <w:r w:rsidRPr="00012278">
        <w:rPr>
          <w:szCs w:val="22"/>
          <w:lang w:val="sr-Latn-ME"/>
        </w:rPr>
        <w:t xml:space="preserve"> u </w:t>
      </w:r>
      <w:r w:rsidR="00385718" w:rsidRPr="00012278">
        <w:rPr>
          <w:szCs w:val="22"/>
          <w:lang w:val="sr-Latn-ME"/>
        </w:rPr>
        <w:t>različitim</w:t>
      </w:r>
      <w:r w:rsidRPr="00012278">
        <w:rPr>
          <w:szCs w:val="22"/>
          <w:lang w:val="sr-Latn-ME"/>
        </w:rPr>
        <w:t xml:space="preserve"> indikacija</w:t>
      </w:r>
      <w:r w:rsidR="00385718" w:rsidRPr="00012278">
        <w:rPr>
          <w:szCs w:val="22"/>
          <w:lang w:val="sr-Latn-ME"/>
        </w:rPr>
        <w:t>ma</w:t>
      </w:r>
      <w:r w:rsidRPr="00012278">
        <w:rPr>
          <w:szCs w:val="22"/>
          <w:lang w:val="sr-Latn-ME"/>
        </w:rPr>
        <w:t xml:space="preserve"> (karcinom kolona, kolorektalni karcinom, uznapredovali karcinom želuca i dojke) pokazala je da pacijenti na kapecitabinu koji razviju sindrom šaka-stopalo imaju duže ukupno preživljavanje u poređenju sa pacijentima koji nisu razvili sindrom šaka-stopalo: </w:t>
      </w:r>
      <w:r w:rsidR="00385718" w:rsidRPr="00012278">
        <w:rPr>
          <w:szCs w:val="22"/>
          <w:lang w:val="sr-Latn-ME"/>
        </w:rPr>
        <w:t xml:space="preserve">medijana </w:t>
      </w:r>
      <w:r w:rsidRPr="00012278">
        <w:rPr>
          <w:szCs w:val="22"/>
          <w:lang w:val="sr-Latn-ME"/>
        </w:rPr>
        <w:t>ukupno</w:t>
      </w:r>
      <w:r w:rsidR="00385718" w:rsidRPr="00012278">
        <w:rPr>
          <w:szCs w:val="22"/>
          <w:lang w:val="sr-Latn-ME"/>
        </w:rPr>
        <w:t>g</w:t>
      </w:r>
      <w:r w:rsidRPr="00012278">
        <w:rPr>
          <w:szCs w:val="22"/>
          <w:lang w:val="sr-Latn-ME"/>
        </w:rPr>
        <w:t xml:space="preserve"> preživljavanje </w:t>
      </w:r>
      <w:r w:rsidR="00385718" w:rsidRPr="00012278">
        <w:rPr>
          <w:szCs w:val="22"/>
          <w:lang w:val="sr-Latn-ME"/>
        </w:rPr>
        <w:t xml:space="preserve">iznosila je </w:t>
      </w:r>
      <w:r w:rsidRPr="00012278">
        <w:rPr>
          <w:szCs w:val="22"/>
          <w:lang w:val="sr-Latn-ME"/>
        </w:rPr>
        <w:t>1100 dana (95% CI 1007; 1200) u poređenju sa 691 dan</w:t>
      </w:r>
      <w:r w:rsidR="00385718" w:rsidRPr="00012278">
        <w:rPr>
          <w:szCs w:val="22"/>
          <w:lang w:val="sr-Latn-ME"/>
        </w:rPr>
        <w:t>om</w:t>
      </w:r>
      <w:r w:rsidRPr="00012278">
        <w:rPr>
          <w:szCs w:val="22"/>
          <w:lang w:val="sr-Latn-ME"/>
        </w:rPr>
        <w:t xml:space="preserve"> (95% CI </w:t>
      </w:r>
      <w:r w:rsidR="00385718" w:rsidRPr="00012278">
        <w:rPr>
          <w:szCs w:val="22"/>
          <w:lang w:val="sr-Latn-ME"/>
        </w:rPr>
        <w:t>638</w:t>
      </w:r>
      <w:r w:rsidRPr="00012278">
        <w:rPr>
          <w:szCs w:val="22"/>
          <w:lang w:val="sr-Latn-ME"/>
        </w:rPr>
        <w:t xml:space="preserve">; </w:t>
      </w:r>
      <w:r w:rsidR="00385718" w:rsidRPr="00012278">
        <w:rPr>
          <w:szCs w:val="22"/>
          <w:lang w:val="sr-Latn-ME"/>
        </w:rPr>
        <w:t>754</w:t>
      </w:r>
      <w:r w:rsidRPr="00012278">
        <w:rPr>
          <w:szCs w:val="22"/>
          <w:lang w:val="sr-Latn-ME"/>
        </w:rPr>
        <w:t xml:space="preserve">) uz  </w:t>
      </w:r>
      <w:r w:rsidR="00385718" w:rsidRPr="00012278">
        <w:rPr>
          <w:szCs w:val="22"/>
          <w:lang w:val="sr-Latn-ME"/>
        </w:rPr>
        <w:t xml:space="preserve">odnos </w:t>
      </w:r>
      <w:r w:rsidRPr="00012278">
        <w:rPr>
          <w:szCs w:val="22"/>
          <w:lang w:val="sr-Latn-ME"/>
        </w:rPr>
        <w:t xml:space="preserve">rizika 0,61(95% CI 0,56; 0,66). </w:t>
      </w:r>
    </w:p>
    <w:p w14:paraId="302BB3AE" w14:textId="77777777" w:rsidR="006140B9" w:rsidRPr="00012278" w:rsidRDefault="006140B9" w:rsidP="006140B9">
      <w:pPr>
        <w:rPr>
          <w:szCs w:val="22"/>
          <w:lang w:val="sr-Latn-ME"/>
        </w:rPr>
      </w:pPr>
    </w:p>
    <w:p w14:paraId="1798EC43" w14:textId="77777777" w:rsidR="006140B9" w:rsidRPr="00012278" w:rsidRDefault="006140B9" w:rsidP="005112A3">
      <w:pPr>
        <w:pStyle w:val="Heading1"/>
        <w:rPr>
          <w:szCs w:val="22"/>
        </w:rPr>
      </w:pPr>
      <w:r w:rsidRPr="00012278">
        <w:rPr>
          <w:szCs w:val="22"/>
        </w:rPr>
        <w:t>5.2.     Farmakokinetički podaci</w:t>
      </w:r>
    </w:p>
    <w:p w14:paraId="60AC75D8" w14:textId="77777777" w:rsidR="006140B9" w:rsidRPr="00012278" w:rsidRDefault="006140B9" w:rsidP="006140B9">
      <w:pPr>
        <w:rPr>
          <w:szCs w:val="22"/>
          <w:lang w:val="sr-Latn-ME"/>
        </w:rPr>
      </w:pPr>
    </w:p>
    <w:p w14:paraId="5331BF73" w14:textId="241FA0E8" w:rsidR="006140B9" w:rsidRPr="00012278" w:rsidRDefault="006140B9" w:rsidP="002B4BD7">
      <w:pPr>
        <w:jc w:val="both"/>
        <w:rPr>
          <w:szCs w:val="22"/>
          <w:lang w:val="sr-Latn-ME"/>
        </w:rPr>
      </w:pPr>
      <w:r w:rsidRPr="00012278">
        <w:rPr>
          <w:szCs w:val="22"/>
          <w:lang w:val="sr-Latn-ME"/>
        </w:rPr>
        <w:t xml:space="preserve">Farmakokinetika kapecitabina procjenjivana je u rasponu </w:t>
      </w:r>
      <w:r w:rsidR="00CF1CA9" w:rsidRPr="00012278">
        <w:rPr>
          <w:szCs w:val="22"/>
          <w:lang w:val="sr-Latn-ME"/>
        </w:rPr>
        <w:t xml:space="preserve">dnevne doze </w:t>
      </w:r>
      <w:r w:rsidRPr="00012278">
        <w:rPr>
          <w:szCs w:val="22"/>
          <w:lang w:val="sr-Latn-ME"/>
        </w:rPr>
        <w:t>od 502 – 3514 mg/m</w:t>
      </w:r>
      <w:r w:rsidRPr="00012278">
        <w:rPr>
          <w:szCs w:val="22"/>
          <w:vertAlign w:val="superscript"/>
          <w:lang w:val="sr-Latn-ME"/>
        </w:rPr>
        <w:t>2</w:t>
      </w:r>
      <w:r w:rsidRPr="00012278">
        <w:rPr>
          <w:szCs w:val="22"/>
          <w:lang w:val="sr-Latn-ME"/>
        </w:rPr>
        <w:t xml:space="preserve">/dan. Pokazatelji aktivnosti kapecitabina, 5'-deoksi-5-fluorocitidina (5'-DFCR) i 5'-deoksi-5-fluorouridina (5'-DFUR) mjereno prvog i 14. dana bili su slični. PIK (površina ispod krive)  5-FU bila je 30-35% veća 14. dana. Smanjenje doze kapecitabina smanjuje sistemsku izloženost 5-FU više nego srazmjerno dozi, zbog nelinearne farmakokinetike ovog aktivnog metabolita. </w:t>
      </w:r>
    </w:p>
    <w:p w14:paraId="368A92C4" w14:textId="77777777" w:rsidR="006140B9" w:rsidRPr="00012278" w:rsidRDefault="006140B9" w:rsidP="002B4BD7">
      <w:pPr>
        <w:jc w:val="both"/>
        <w:rPr>
          <w:szCs w:val="22"/>
          <w:lang w:val="sr-Latn-ME"/>
        </w:rPr>
      </w:pPr>
    </w:p>
    <w:p w14:paraId="7D2D49EF" w14:textId="77777777" w:rsidR="006140B9" w:rsidRPr="00012278" w:rsidRDefault="006140B9" w:rsidP="002B4BD7">
      <w:pPr>
        <w:jc w:val="both"/>
        <w:rPr>
          <w:szCs w:val="22"/>
          <w:u w:val="single"/>
          <w:lang w:val="sr-Latn-ME"/>
        </w:rPr>
      </w:pPr>
      <w:r w:rsidRPr="00012278">
        <w:rPr>
          <w:szCs w:val="22"/>
          <w:u w:val="single"/>
          <w:lang w:val="sr-Latn-ME"/>
        </w:rPr>
        <w:t>Resorpcija</w:t>
      </w:r>
    </w:p>
    <w:p w14:paraId="4D7A42C5" w14:textId="6C6CB5BA" w:rsidR="006140B9" w:rsidRPr="00012278" w:rsidRDefault="006140B9" w:rsidP="002B4BD7">
      <w:pPr>
        <w:jc w:val="both"/>
        <w:rPr>
          <w:szCs w:val="22"/>
          <w:lang w:val="sr-Latn-ME"/>
        </w:rPr>
      </w:pPr>
      <w:r w:rsidRPr="00012278">
        <w:rPr>
          <w:szCs w:val="22"/>
          <w:lang w:val="sr-Latn-ME"/>
        </w:rPr>
        <w:t>Nakon oralne primjene, kapecitabin se brzo i ekstenzivno resorbuje, poslije čega slijedi ekstenzivna konverzija u metabolite, 5'-DFCR i 5'-DFUR. Primjena sa hranom smanjuje brzinu resorpcije kapecitabina, ali to ima samo malo dejstvo na PIK 5'-DFUR, kao i na PIK narednog metabolita, 5-FU. Pri dozi od 1250 mg/m</w:t>
      </w:r>
      <w:r w:rsidRPr="00012278">
        <w:rPr>
          <w:szCs w:val="22"/>
          <w:vertAlign w:val="superscript"/>
          <w:lang w:val="sr-Latn-ME"/>
        </w:rPr>
        <w:t>2</w:t>
      </w:r>
      <w:r w:rsidRPr="00012278">
        <w:rPr>
          <w:szCs w:val="22"/>
          <w:lang w:val="sr-Latn-ME"/>
        </w:rPr>
        <w:t xml:space="preserve"> 14. dana  po unosu hrane, maksimalne koncentracije u plazmi (C</w:t>
      </w:r>
      <w:r w:rsidRPr="00012278">
        <w:rPr>
          <w:szCs w:val="22"/>
          <w:vertAlign w:val="subscript"/>
          <w:lang w:val="sr-Latn-ME"/>
        </w:rPr>
        <w:t>max</w:t>
      </w:r>
      <w:r w:rsidRPr="00012278">
        <w:rPr>
          <w:szCs w:val="22"/>
          <w:lang w:val="sr-Latn-ME"/>
        </w:rPr>
        <w:t xml:space="preserve"> u μg/ml) kapecitabina, 5'-DFCR, 5'-DFUR, 5-FU i FBAL iznosile su 4,67; 3,05; 12,1; 0,95, odnosno 5,46. Vrijeme potrebno za postizanje maksimalne koncetracije u plazmi (T</w:t>
      </w:r>
      <w:r w:rsidRPr="00012278">
        <w:rPr>
          <w:szCs w:val="22"/>
          <w:vertAlign w:val="subscript"/>
          <w:lang w:val="sr-Latn-ME"/>
        </w:rPr>
        <w:t>max</w:t>
      </w:r>
      <w:r w:rsidRPr="00012278">
        <w:rPr>
          <w:szCs w:val="22"/>
          <w:lang w:val="sr-Latn-ME"/>
        </w:rPr>
        <w:t xml:space="preserve"> u satima)  iznosilo je 1,50; 2,00; 2,00; 2,00, odnosno 3,34 časa. Vrijednosti PIK</w:t>
      </w:r>
      <w:r w:rsidRPr="00012278">
        <w:rPr>
          <w:szCs w:val="22"/>
          <w:vertAlign w:val="subscript"/>
          <w:lang w:val="sr-Latn-ME"/>
        </w:rPr>
        <w:t>0-∞</w:t>
      </w:r>
      <w:r w:rsidRPr="00012278">
        <w:rPr>
          <w:szCs w:val="22"/>
          <w:lang w:val="sr-Latn-ME"/>
        </w:rPr>
        <w:t xml:space="preserve"> u μg</w:t>
      </w:r>
      <w:r w:rsidRPr="00012278">
        <w:rPr>
          <w:b/>
          <w:szCs w:val="22"/>
          <w:lang w:val="sr-Latn-ME"/>
        </w:rPr>
        <w:t>·</w:t>
      </w:r>
      <w:r w:rsidRPr="00012278">
        <w:rPr>
          <w:szCs w:val="22"/>
          <w:lang w:val="sr-Latn-ME"/>
        </w:rPr>
        <w:t xml:space="preserve">h/ml iznosile su 7,75; 7,24; 24,6; 2,03 i 36,3. </w:t>
      </w:r>
    </w:p>
    <w:p w14:paraId="66605D99" w14:textId="77777777" w:rsidR="006140B9" w:rsidRPr="00012278" w:rsidRDefault="006140B9" w:rsidP="002B4BD7">
      <w:pPr>
        <w:jc w:val="both"/>
        <w:rPr>
          <w:szCs w:val="22"/>
          <w:lang w:val="sr-Latn-ME"/>
        </w:rPr>
      </w:pPr>
    </w:p>
    <w:p w14:paraId="19F3B537" w14:textId="77777777" w:rsidR="006140B9" w:rsidRPr="00012278" w:rsidRDefault="006140B9" w:rsidP="002B4BD7">
      <w:pPr>
        <w:jc w:val="both"/>
        <w:rPr>
          <w:szCs w:val="22"/>
          <w:u w:val="single"/>
          <w:lang w:val="sr-Latn-ME"/>
        </w:rPr>
      </w:pPr>
      <w:r w:rsidRPr="00012278">
        <w:rPr>
          <w:szCs w:val="22"/>
          <w:u w:val="single"/>
          <w:lang w:val="sr-Latn-ME"/>
        </w:rPr>
        <w:t>Distribucija</w:t>
      </w:r>
    </w:p>
    <w:p w14:paraId="357BB168" w14:textId="77777777" w:rsidR="006140B9" w:rsidRPr="00012278" w:rsidRDefault="006140B9" w:rsidP="002B4BD7">
      <w:pPr>
        <w:jc w:val="both"/>
        <w:rPr>
          <w:szCs w:val="22"/>
          <w:lang w:val="sr-Latn-ME"/>
        </w:rPr>
      </w:pPr>
      <w:r w:rsidRPr="00012278">
        <w:rPr>
          <w:i/>
          <w:szCs w:val="22"/>
          <w:lang w:val="sr-Latn-ME"/>
        </w:rPr>
        <w:t>In vitro</w:t>
      </w:r>
      <w:r w:rsidRPr="00012278">
        <w:rPr>
          <w:szCs w:val="22"/>
          <w:lang w:val="sr-Latn-ME"/>
        </w:rPr>
        <w:t xml:space="preserve"> ispitivanja humane plazme pokazala su da se kapecitabin, 5'-DFCR, 5'-DFUR i 5-FU vezuju za proteine plazme 54%, 10%, 62% odnosno 10%, i to uglavnom za albumin.</w:t>
      </w:r>
    </w:p>
    <w:p w14:paraId="6551C5FC" w14:textId="77777777" w:rsidR="006140B9" w:rsidRPr="00012278" w:rsidRDefault="006140B9" w:rsidP="002B4BD7">
      <w:pPr>
        <w:jc w:val="both"/>
        <w:rPr>
          <w:szCs w:val="22"/>
          <w:lang w:val="sr-Latn-ME"/>
        </w:rPr>
      </w:pPr>
    </w:p>
    <w:p w14:paraId="0D254145" w14:textId="77777777" w:rsidR="006140B9" w:rsidRPr="00012278" w:rsidRDefault="006140B9" w:rsidP="006140B9">
      <w:pPr>
        <w:rPr>
          <w:szCs w:val="22"/>
          <w:lang w:val="sr-Latn-ME"/>
        </w:rPr>
      </w:pPr>
      <w:r w:rsidRPr="00012278">
        <w:rPr>
          <w:szCs w:val="22"/>
          <w:u w:val="single"/>
          <w:lang w:val="sr-Latn-ME"/>
        </w:rPr>
        <w:t>Biotransformacija</w:t>
      </w:r>
    </w:p>
    <w:p w14:paraId="6945BD0B" w14:textId="77777777" w:rsidR="006140B9" w:rsidRPr="00012278" w:rsidRDefault="006140B9" w:rsidP="002B4BD7">
      <w:pPr>
        <w:jc w:val="both"/>
        <w:rPr>
          <w:szCs w:val="22"/>
          <w:lang w:val="sr-Latn-ME"/>
        </w:rPr>
      </w:pPr>
      <w:r w:rsidRPr="00012278">
        <w:rPr>
          <w:szCs w:val="22"/>
          <w:lang w:val="sr-Latn-ME"/>
        </w:rPr>
        <w:t xml:space="preserve">Kapecitabin se prvo metaboliše hepatičnom karboksilesterazom u 5'-DFCR koji se onda pomoću citidin deaminaze konvertuje u 5'-DFUR, koja se uglavnom nalazi u jetri i tumorskom tkivu. Dalja katalitička aktivacija 5'-DFUR  se onda odvija pomoću timidin fosforilaze (ThyPase). Enzimi koji su uključeni u katalitičku aktivaciju nalaze se u tumorskom tkivu, ali i u normalnim tkivima, iako obično u nižim nivoima. Sekvencijalna enzimska biotransformacija kapecitabina u 5-FU dovodi do većih koncentracija u tumorskim tkivima. U slučaju kolorektalnih tumora, generisanje 5-FU je izgleda u velikoj mjeri lokalizovano u stromalnim tumorskim ćelijama. Po oralnom davanju kapecitabina pacijentima sa kolorektalnim karcinomom, odnos koncentracije 5-FU u kolorektalnom tumoru i onoga u okolnom tkivu iznosio je 3,2 (u rasponu od 0,9 do 8,0). Odnos koncentracije 5-FU u tumoru i plazmi iznosio je 21,4 (raspon 3,9 do 59,9, n=8), dok je odnos u zdravim tkivima prema plazmi bio 8,9 (raspon od 3,0 do 25,8, n=8). Aktivnost timidin fosforilaze bila je mjerena i pokazala se 4 puta većom u primarnom kolorektalnom tumoru nego u okolnom normalnom tkivu. Po imunohistohemijskim ispitivanjima, izgleda da je timidin fosforilaza u velikoj mjeri lokalizovana u tumorskim stromalnim ćelijama. </w:t>
      </w:r>
    </w:p>
    <w:p w14:paraId="33724C0D" w14:textId="77777777" w:rsidR="006140B9" w:rsidRPr="00012278" w:rsidRDefault="006140B9" w:rsidP="002B4BD7">
      <w:pPr>
        <w:jc w:val="both"/>
        <w:rPr>
          <w:szCs w:val="22"/>
          <w:lang w:val="sr-Latn-ME"/>
        </w:rPr>
      </w:pPr>
    </w:p>
    <w:p w14:paraId="42DC6EA2" w14:textId="1F04D33D" w:rsidR="006140B9" w:rsidRPr="00012278" w:rsidRDefault="006140B9" w:rsidP="002B4BD7">
      <w:pPr>
        <w:jc w:val="both"/>
        <w:rPr>
          <w:szCs w:val="22"/>
          <w:lang w:val="sr-Latn-ME"/>
        </w:rPr>
      </w:pPr>
      <w:r w:rsidRPr="00012278">
        <w:rPr>
          <w:szCs w:val="22"/>
          <w:lang w:val="sr-Latn-ME"/>
        </w:rPr>
        <w:t>5-FU se dalje katabolizuje enzimom dihidropirimidin dehidrogenaza (DPD) u daleko manje toksični dihidro-5-fluorouracil (FUH</w:t>
      </w:r>
      <w:r w:rsidRPr="00012278">
        <w:rPr>
          <w:szCs w:val="22"/>
          <w:vertAlign w:val="subscript"/>
          <w:lang w:val="sr-Latn-ME"/>
        </w:rPr>
        <w:t>2</w:t>
      </w:r>
      <w:r w:rsidRPr="00012278">
        <w:rPr>
          <w:szCs w:val="22"/>
          <w:lang w:val="sr-Latn-ME"/>
        </w:rPr>
        <w:t xml:space="preserve">). Dihidropirimidinaza cijepa pirimidinski prsten </w:t>
      </w:r>
      <w:r w:rsidR="009318ED" w:rsidRPr="00012278">
        <w:rPr>
          <w:szCs w:val="22"/>
          <w:lang w:val="sr-Latn-ME"/>
        </w:rPr>
        <w:t>i nastaje</w:t>
      </w:r>
      <w:r w:rsidRPr="00012278">
        <w:rPr>
          <w:szCs w:val="22"/>
          <w:lang w:val="sr-Latn-ME"/>
        </w:rPr>
        <w:t xml:space="preserve"> 5-fluoro-ureidopropionska kiselina (FUPA). Konačno, beta-ureido-propionaza cijepa FUPA u alfa-fluoro-beta-alanin (FBAL) koji se izbacuje urinom. Aktivnost dihidropirimidin dehidrogenaze (DPD) </w:t>
      </w:r>
      <w:r w:rsidR="009318ED" w:rsidRPr="00012278">
        <w:rPr>
          <w:szCs w:val="22"/>
          <w:lang w:val="sr-Latn-ME"/>
        </w:rPr>
        <w:t xml:space="preserve">ima ključnu ulogu na brzinu transformacije. </w:t>
      </w:r>
      <w:r w:rsidRPr="00012278">
        <w:rPr>
          <w:szCs w:val="22"/>
          <w:lang w:val="sr-Latn-ME"/>
        </w:rPr>
        <w:t xml:space="preserve"> Deficijencija DPD može da dovede do pojačane toksičnosti kapecitabina (vidjeti </w:t>
      </w:r>
      <w:r w:rsidR="009318ED" w:rsidRPr="00012278">
        <w:rPr>
          <w:szCs w:val="22"/>
          <w:lang w:val="sr-Latn-ME"/>
        </w:rPr>
        <w:t>djelove</w:t>
      </w:r>
      <w:r w:rsidRPr="00012278">
        <w:rPr>
          <w:szCs w:val="22"/>
          <w:lang w:val="sr-Latn-ME"/>
        </w:rPr>
        <w:t xml:space="preserve"> 4.3 i 4.4). </w:t>
      </w:r>
    </w:p>
    <w:p w14:paraId="1D8D0383" w14:textId="77777777" w:rsidR="006140B9" w:rsidRPr="00012278" w:rsidRDefault="006140B9" w:rsidP="002B4BD7">
      <w:pPr>
        <w:jc w:val="both"/>
        <w:rPr>
          <w:szCs w:val="22"/>
          <w:lang w:val="sr-Latn-ME"/>
        </w:rPr>
      </w:pPr>
    </w:p>
    <w:p w14:paraId="45CC7714" w14:textId="77777777" w:rsidR="006140B9" w:rsidRPr="00012278" w:rsidRDefault="006140B9" w:rsidP="006140B9">
      <w:pPr>
        <w:rPr>
          <w:szCs w:val="22"/>
          <w:u w:val="single"/>
          <w:lang w:val="sr-Latn-ME"/>
        </w:rPr>
      </w:pPr>
      <w:r w:rsidRPr="00012278">
        <w:rPr>
          <w:szCs w:val="22"/>
          <w:u w:val="single"/>
          <w:lang w:val="sr-Latn-ME"/>
        </w:rPr>
        <w:t>Eliminacija</w:t>
      </w:r>
    </w:p>
    <w:p w14:paraId="500126D6" w14:textId="77777777" w:rsidR="006140B9" w:rsidRPr="00012278" w:rsidRDefault="006140B9" w:rsidP="002B4BD7">
      <w:pPr>
        <w:jc w:val="both"/>
        <w:rPr>
          <w:szCs w:val="22"/>
          <w:lang w:val="sr-Latn-ME"/>
        </w:rPr>
      </w:pPr>
      <w:r w:rsidRPr="00012278">
        <w:rPr>
          <w:szCs w:val="22"/>
          <w:lang w:val="sr-Latn-ME"/>
        </w:rPr>
        <w:lastRenderedPageBreak/>
        <w:t>Poluvrijeme eliminacije (t</w:t>
      </w:r>
      <w:r w:rsidRPr="00012278">
        <w:rPr>
          <w:szCs w:val="22"/>
          <w:vertAlign w:val="subscript"/>
          <w:lang w:val="sr-Latn-ME"/>
        </w:rPr>
        <w:t>½</w:t>
      </w:r>
      <w:r w:rsidRPr="00012278">
        <w:rPr>
          <w:szCs w:val="22"/>
          <w:lang w:val="sr-Latn-ME"/>
        </w:rPr>
        <w:t xml:space="preserve"> u časovima) kapecitabina, 5'-DFCR, 5'-DFUR, 5-FU i FBAL iznosi 0,85; 1,11; 0,66; 0,76, odnosno 3,23 časova. Kapecitabin i njegovi metaboliti se pretežno izlučuju urinom: 95,5% date doze kapecitabina izluči se urinom. Fekalna ekskrecija je minimalna (2,6%). Glavni metabolit koji se izlučuje urinom je FBAL, na koji  otpada 57% date doze. Oko 3% date doze se izlučuje urinom u vidu neizmijenjenog lijeka. </w:t>
      </w:r>
    </w:p>
    <w:p w14:paraId="573BC126" w14:textId="77777777" w:rsidR="006140B9" w:rsidRPr="00012278" w:rsidRDefault="006140B9" w:rsidP="002B4BD7">
      <w:pPr>
        <w:jc w:val="both"/>
        <w:rPr>
          <w:szCs w:val="22"/>
          <w:lang w:val="sr-Latn-ME"/>
        </w:rPr>
      </w:pPr>
    </w:p>
    <w:p w14:paraId="2A6DADBE" w14:textId="77777777" w:rsidR="006140B9" w:rsidRPr="00012278" w:rsidRDefault="006140B9" w:rsidP="002B4BD7">
      <w:pPr>
        <w:jc w:val="both"/>
        <w:rPr>
          <w:szCs w:val="22"/>
          <w:lang w:val="sr-Latn-ME"/>
        </w:rPr>
      </w:pPr>
      <w:r w:rsidRPr="00012278">
        <w:rPr>
          <w:szCs w:val="22"/>
          <w:u w:val="single"/>
          <w:lang w:val="sr-Latn-ME"/>
        </w:rPr>
        <w:t>Kombinovana terapija</w:t>
      </w:r>
      <w:r w:rsidRPr="00012278">
        <w:rPr>
          <w:szCs w:val="22"/>
          <w:lang w:val="sr-Latn-ME"/>
        </w:rPr>
        <w:t xml:space="preserve"> </w:t>
      </w:r>
    </w:p>
    <w:p w14:paraId="4CAF0AD2" w14:textId="0B99D655" w:rsidR="006140B9" w:rsidRPr="00012278" w:rsidRDefault="009318ED" w:rsidP="002B4BD7">
      <w:pPr>
        <w:jc w:val="both"/>
        <w:rPr>
          <w:szCs w:val="22"/>
          <w:lang w:val="sr-Latn-ME"/>
        </w:rPr>
      </w:pPr>
      <w:r w:rsidRPr="00012278">
        <w:rPr>
          <w:szCs w:val="22"/>
          <w:lang w:val="sr-Latn-ME"/>
        </w:rPr>
        <w:t xml:space="preserve">Klinička ispitivanja </w:t>
      </w:r>
      <w:r w:rsidR="006140B9" w:rsidRPr="00012278">
        <w:rPr>
          <w:szCs w:val="22"/>
          <w:lang w:val="sr-Latn-ME"/>
        </w:rPr>
        <w:t>faze I kojima se procjenjuje dejstvo kapecitabina na farmakokinetiku  docetaksela ili paklitaksela i obrnuto, nisu pokazala dejstvo kapecitabina na farmakokinetiku docetaksela ili paklitaksela (C</w:t>
      </w:r>
      <w:r w:rsidR="006140B9" w:rsidRPr="00012278">
        <w:rPr>
          <w:szCs w:val="22"/>
          <w:vertAlign w:val="subscript"/>
          <w:lang w:val="sr-Latn-ME"/>
        </w:rPr>
        <w:t>max</w:t>
      </w:r>
      <w:r w:rsidR="006140B9" w:rsidRPr="00012278">
        <w:rPr>
          <w:szCs w:val="22"/>
          <w:lang w:val="sr-Latn-ME"/>
        </w:rPr>
        <w:t xml:space="preserve"> i PIK), niti su docetaksel ili paklitaksel uticali na farmakokinetiku 5'-DFUR. </w:t>
      </w:r>
    </w:p>
    <w:p w14:paraId="723EE7FD" w14:textId="77777777" w:rsidR="006140B9" w:rsidRPr="00012278" w:rsidRDefault="006140B9" w:rsidP="006140B9">
      <w:pPr>
        <w:rPr>
          <w:szCs w:val="22"/>
          <w:lang w:val="sr-Latn-ME"/>
        </w:rPr>
      </w:pPr>
    </w:p>
    <w:p w14:paraId="7256BC9C" w14:textId="77777777" w:rsidR="006140B9" w:rsidRPr="00012278" w:rsidRDefault="006140B9" w:rsidP="006140B9">
      <w:pPr>
        <w:rPr>
          <w:szCs w:val="22"/>
          <w:lang w:val="sr-Latn-ME"/>
        </w:rPr>
      </w:pPr>
      <w:r w:rsidRPr="00012278">
        <w:rPr>
          <w:szCs w:val="22"/>
          <w:u w:val="single"/>
          <w:lang w:val="sr-Latn-ME"/>
        </w:rPr>
        <w:t>Farmakokinetika u posebnim grupama pacijenata</w:t>
      </w:r>
      <w:r w:rsidRPr="00012278">
        <w:rPr>
          <w:szCs w:val="22"/>
          <w:lang w:val="sr-Latn-ME"/>
        </w:rPr>
        <w:t xml:space="preserve"> </w:t>
      </w:r>
    </w:p>
    <w:p w14:paraId="048E9580" w14:textId="77777777" w:rsidR="006140B9" w:rsidRPr="00012278" w:rsidRDefault="006140B9" w:rsidP="002B4BD7">
      <w:pPr>
        <w:jc w:val="both"/>
        <w:rPr>
          <w:szCs w:val="22"/>
          <w:lang w:val="sr-Latn-ME"/>
        </w:rPr>
      </w:pPr>
      <w:r w:rsidRPr="00012278">
        <w:rPr>
          <w:szCs w:val="22"/>
          <w:lang w:val="sr-Latn-ME"/>
        </w:rPr>
        <w:t>Populaciona farmakokinetička analiza izvedena je poslije terapije kapecitabinom kod 505 pacijenata sa kolorektalnim karcinomom, koji je primjenjivan u dozi od 1250 mg/m</w:t>
      </w:r>
      <w:r w:rsidRPr="00012278">
        <w:rPr>
          <w:szCs w:val="22"/>
          <w:vertAlign w:val="superscript"/>
          <w:lang w:val="sr-Latn-ME"/>
        </w:rPr>
        <w:t>2</w:t>
      </w:r>
      <w:r w:rsidRPr="00012278">
        <w:rPr>
          <w:szCs w:val="22"/>
          <w:lang w:val="sr-Latn-ME"/>
        </w:rPr>
        <w:t xml:space="preserve"> dva puta dnevno. Pol, prisustvo ili odsustvo metastaza u jetri na početku terapije, Karnofski performans status, ukupni bilirubin, albumin u serumu, ASAT i ALAT nisu imali statistički signifikantno dejstvo na farmakokinetiku 5'-DFUR, 5-FU i FBAL. </w:t>
      </w:r>
    </w:p>
    <w:p w14:paraId="6D0A0778" w14:textId="77777777" w:rsidR="006140B9" w:rsidRPr="00012278" w:rsidRDefault="006140B9" w:rsidP="002B4BD7">
      <w:pPr>
        <w:jc w:val="both"/>
        <w:rPr>
          <w:szCs w:val="22"/>
          <w:lang w:val="sr-Latn-ME"/>
        </w:rPr>
      </w:pPr>
    </w:p>
    <w:p w14:paraId="34CD7ABC" w14:textId="77777777" w:rsidR="006140B9" w:rsidRPr="00012278" w:rsidRDefault="006140B9" w:rsidP="002B4BD7">
      <w:pPr>
        <w:jc w:val="both"/>
        <w:rPr>
          <w:szCs w:val="22"/>
          <w:u w:val="single"/>
          <w:lang w:val="sr-Latn-ME"/>
        </w:rPr>
      </w:pPr>
      <w:r w:rsidRPr="00012278">
        <w:rPr>
          <w:i/>
          <w:szCs w:val="22"/>
          <w:u w:val="single"/>
          <w:lang w:val="sr-Latn-ME"/>
        </w:rPr>
        <w:t>Pacijenti sa hepatičkom insuficijencijom zbog metastaza u jetri</w:t>
      </w:r>
      <w:r w:rsidRPr="00012278">
        <w:rPr>
          <w:szCs w:val="22"/>
          <w:u w:val="single"/>
          <w:lang w:val="sr-Latn-ME"/>
        </w:rPr>
        <w:t>:</w:t>
      </w:r>
      <w:r w:rsidR="009318ED" w:rsidRPr="00012278">
        <w:rPr>
          <w:szCs w:val="22"/>
          <w:u w:val="single"/>
          <w:lang w:val="sr-Latn-ME"/>
        </w:rPr>
        <w:t xml:space="preserve"> </w:t>
      </w:r>
      <w:r w:rsidRPr="00012278">
        <w:rPr>
          <w:szCs w:val="22"/>
          <w:lang w:val="sr-Latn-ME"/>
        </w:rPr>
        <w:t xml:space="preserve">Po ispitivanjima farmakokinetike kod oboljelih od karcinoma sa blagom do umjerenom hepatičkom insuficijencijom zbog metastaza u jetri, pokazalo se da se biološka raspoloživost kapecitabina i izlaganje 5-FU mogu povećati u poređenju sa pacijentima koji nemaju hepatičku insuficijenciju. Nema farmakokinetičkih podataka o pacijentima sa teškom hepatičkom insuficijencijom. </w:t>
      </w:r>
    </w:p>
    <w:p w14:paraId="49EA46C1" w14:textId="77777777" w:rsidR="006140B9" w:rsidRPr="00012278" w:rsidRDefault="006140B9" w:rsidP="002B4BD7">
      <w:pPr>
        <w:jc w:val="both"/>
        <w:rPr>
          <w:szCs w:val="22"/>
          <w:lang w:val="sr-Latn-ME"/>
        </w:rPr>
      </w:pPr>
    </w:p>
    <w:p w14:paraId="3BA92664" w14:textId="77777777" w:rsidR="006140B9" w:rsidRPr="00012278" w:rsidRDefault="006140B9" w:rsidP="002B4BD7">
      <w:pPr>
        <w:jc w:val="both"/>
        <w:rPr>
          <w:szCs w:val="22"/>
          <w:u w:val="single"/>
          <w:lang w:val="sr-Latn-ME"/>
        </w:rPr>
      </w:pPr>
      <w:r w:rsidRPr="00012278">
        <w:rPr>
          <w:i/>
          <w:szCs w:val="22"/>
          <w:u w:val="single"/>
          <w:lang w:val="sr-Latn-ME"/>
        </w:rPr>
        <w:t>Pacijenti sa bubrežnom insuficijencijom:</w:t>
      </w:r>
      <w:r w:rsidR="009318ED" w:rsidRPr="00012278">
        <w:rPr>
          <w:i/>
          <w:szCs w:val="22"/>
          <w:u w:val="single"/>
          <w:lang w:val="sr-Latn-ME"/>
        </w:rPr>
        <w:t xml:space="preserve"> </w:t>
      </w:r>
      <w:r w:rsidRPr="00012278">
        <w:rPr>
          <w:szCs w:val="22"/>
          <w:lang w:val="sr-Latn-ME"/>
        </w:rPr>
        <w:t xml:space="preserve">Po ispitivanjima farmakokinetike kod pacijenata sa karcinomom i sa umjerenom do teškom bubrežnom insuficijencijom, nema dokaza o dejstvu klirensa kreatinina na farmakokinetiku intaktnog lijeka i 5-FU. Pokazano je da klirens kreatinina utiče na sistemsku izloženost 5'-DFUR (35% povećanje PIK kada se klirens kreatinina smanji za 50%) i FBAL (114% povećanje PIK kada se klirens kreatinina smanji za 50%). FBAL je metabolit bez antiproliferativnog dejstva. </w:t>
      </w:r>
    </w:p>
    <w:p w14:paraId="6332A0B8" w14:textId="77777777" w:rsidR="006140B9" w:rsidRPr="00012278" w:rsidRDefault="006140B9" w:rsidP="002B4BD7">
      <w:pPr>
        <w:jc w:val="both"/>
        <w:rPr>
          <w:szCs w:val="22"/>
          <w:lang w:val="sr-Latn-ME"/>
        </w:rPr>
      </w:pPr>
    </w:p>
    <w:p w14:paraId="284C9D3E" w14:textId="1366239D" w:rsidR="006140B9" w:rsidRPr="00012278" w:rsidRDefault="006140B9" w:rsidP="002B4BD7">
      <w:pPr>
        <w:jc w:val="both"/>
        <w:rPr>
          <w:szCs w:val="22"/>
          <w:u w:val="single"/>
          <w:lang w:val="sr-Latn-ME"/>
        </w:rPr>
      </w:pPr>
      <w:r w:rsidRPr="00012278">
        <w:rPr>
          <w:i/>
          <w:szCs w:val="22"/>
          <w:u w:val="single"/>
          <w:lang w:val="sr-Latn-ME"/>
        </w:rPr>
        <w:t>Starije osobe:</w:t>
      </w:r>
      <w:r w:rsidR="009318ED" w:rsidRPr="00012278">
        <w:rPr>
          <w:i/>
          <w:szCs w:val="22"/>
          <w:u w:val="single"/>
          <w:lang w:val="sr-Latn-ME"/>
        </w:rPr>
        <w:t xml:space="preserve"> </w:t>
      </w:r>
      <w:r w:rsidRPr="00012278">
        <w:rPr>
          <w:szCs w:val="22"/>
          <w:lang w:val="sr-Latn-ME"/>
        </w:rPr>
        <w:t>Na osnovu populacione farmakokinetičke analize koja je uključila pacijente različit</w:t>
      </w:r>
      <w:r w:rsidR="009318ED" w:rsidRPr="00012278">
        <w:rPr>
          <w:szCs w:val="22"/>
          <w:lang w:val="sr-Latn-ME"/>
        </w:rPr>
        <w:t>og</w:t>
      </w:r>
      <w:r w:rsidRPr="00012278">
        <w:rPr>
          <w:szCs w:val="22"/>
          <w:lang w:val="sr-Latn-ME"/>
        </w:rPr>
        <w:t xml:space="preserve"> </w:t>
      </w:r>
      <w:r w:rsidR="009318ED" w:rsidRPr="00012278">
        <w:rPr>
          <w:szCs w:val="22"/>
          <w:lang w:val="sr-Latn-ME"/>
        </w:rPr>
        <w:t xml:space="preserve">uzrasta </w:t>
      </w:r>
      <w:r w:rsidRPr="00012278">
        <w:rPr>
          <w:szCs w:val="22"/>
          <w:lang w:val="sr-Latn-ME"/>
        </w:rPr>
        <w:t xml:space="preserve">(27 do 86 godina) i obuhvatila 234 pacijenta (46%) ≥65 godina, </w:t>
      </w:r>
      <w:r w:rsidR="009318ED" w:rsidRPr="00012278">
        <w:rPr>
          <w:szCs w:val="22"/>
          <w:lang w:val="sr-Latn-ME"/>
        </w:rPr>
        <w:t xml:space="preserve">ustanovljeno je da </w:t>
      </w:r>
      <w:r w:rsidRPr="00012278">
        <w:rPr>
          <w:szCs w:val="22"/>
          <w:lang w:val="sr-Latn-ME"/>
        </w:rPr>
        <w:t xml:space="preserve">ovaj parametar nema uticaja na farmakokinetiku 5'-DFUR i 5-FU. PIK FBL povećava se sa starenjem (20% </w:t>
      </w:r>
      <w:r w:rsidR="009318ED" w:rsidRPr="00012278">
        <w:rPr>
          <w:szCs w:val="22"/>
          <w:lang w:val="sr-Latn-ME"/>
        </w:rPr>
        <w:t>veći uzrast</w:t>
      </w:r>
      <w:r w:rsidRPr="00012278">
        <w:rPr>
          <w:szCs w:val="22"/>
          <w:lang w:val="sr-Latn-ME"/>
        </w:rPr>
        <w:t xml:space="preserve"> dovodi do 15% povećanja PIK FBL). Ova promjena je vjerovatno uzrokovana promjenama bubrežne funkcije. </w:t>
      </w:r>
    </w:p>
    <w:p w14:paraId="1E392AAB" w14:textId="77777777" w:rsidR="006140B9" w:rsidRPr="00012278" w:rsidRDefault="006140B9" w:rsidP="002B4BD7">
      <w:pPr>
        <w:jc w:val="both"/>
        <w:rPr>
          <w:szCs w:val="22"/>
          <w:lang w:val="sr-Latn-ME"/>
        </w:rPr>
      </w:pPr>
    </w:p>
    <w:p w14:paraId="12269F1E" w14:textId="77777777" w:rsidR="006140B9" w:rsidRPr="00012278" w:rsidRDefault="006140B9" w:rsidP="002B4BD7">
      <w:pPr>
        <w:jc w:val="both"/>
        <w:rPr>
          <w:szCs w:val="22"/>
          <w:lang w:val="sr-Latn-ME"/>
        </w:rPr>
      </w:pPr>
      <w:r w:rsidRPr="00012278">
        <w:rPr>
          <w:i/>
          <w:szCs w:val="22"/>
          <w:u w:val="single"/>
          <w:lang w:val="sr-Latn-ME"/>
        </w:rPr>
        <w:t>Faktori etničke pripadnosti:</w:t>
      </w:r>
      <w:r w:rsidRPr="00012278">
        <w:rPr>
          <w:szCs w:val="22"/>
          <w:lang w:val="sr-Latn-ME"/>
        </w:rPr>
        <w:t xml:space="preserve"> Nakon peroralne primjene 825 mg/m</w:t>
      </w:r>
      <w:r w:rsidRPr="00012278">
        <w:rPr>
          <w:szCs w:val="22"/>
          <w:vertAlign w:val="superscript"/>
          <w:lang w:val="sr-Latn-ME"/>
        </w:rPr>
        <w:t>2</w:t>
      </w:r>
      <w:r w:rsidRPr="00012278">
        <w:rPr>
          <w:szCs w:val="22"/>
          <w:lang w:val="sr-Latn-ME"/>
        </w:rPr>
        <w:t xml:space="preserve"> kapecitabina dva puta dnevno u trajanju od 14 dana, japanski pacijenti (n=18) su imali oko 36% niži C</w:t>
      </w:r>
      <w:r w:rsidRPr="00012278">
        <w:rPr>
          <w:szCs w:val="22"/>
          <w:vertAlign w:val="subscript"/>
          <w:lang w:val="sr-Latn-ME"/>
        </w:rPr>
        <w:t>max</w:t>
      </w:r>
      <w:r w:rsidRPr="00012278">
        <w:rPr>
          <w:szCs w:val="22"/>
          <w:lang w:val="sr-Latn-ME"/>
        </w:rPr>
        <w:t xml:space="preserve"> i 24% nižu PIK za kapecitabin od pacijenata bijele rase (N=22). Japanski pacijenti su imali oko 25% niži C</w:t>
      </w:r>
      <w:r w:rsidRPr="00012278">
        <w:rPr>
          <w:szCs w:val="22"/>
          <w:vertAlign w:val="subscript"/>
          <w:lang w:val="sr-Latn-ME"/>
        </w:rPr>
        <w:t>max</w:t>
      </w:r>
      <w:r w:rsidRPr="00012278">
        <w:rPr>
          <w:szCs w:val="22"/>
          <w:lang w:val="sr-Latn-ME"/>
        </w:rPr>
        <w:t xml:space="preserve"> i 34% nižu PIK za FBAL od pacijenata bijele rase. Klinička relevantnost ovih razlika nije utvrđena. U izloženosti drugim metabolitima nema većih razlika (5'-DFCR, 5'-DFUR i 5-FU). </w:t>
      </w:r>
    </w:p>
    <w:p w14:paraId="6EB2EFD4" w14:textId="77777777" w:rsidR="006140B9" w:rsidRPr="00012278" w:rsidRDefault="006140B9" w:rsidP="002B4BD7">
      <w:pPr>
        <w:jc w:val="both"/>
        <w:rPr>
          <w:szCs w:val="22"/>
          <w:lang w:val="sr-Latn-ME"/>
        </w:rPr>
      </w:pPr>
    </w:p>
    <w:p w14:paraId="61A77F1D" w14:textId="77777777" w:rsidR="006140B9" w:rsidRPr="00012278" w:rsidRDefault="006140B9" w:rsidP="005112A3">
      <w:pPr>
        <w:pStyle w:val="Heading1"/>
        <w:rPr>
          <w:szCs w:val="22"/>
        </w:rPr>
      </w:pPr>
      <w:r w:rsidRPr="00012278">
        <w:rPr>
          <w:szCs w:val="22"/>
        </w:rPr>
        <w:t xml:space="preserve">5.3.     Pretklinički podaci o bezbjednosti </w:t>
      </w:r>
    </w:p>
    <w:p w14:paraId="71C47956" w14:textId="77777777" w:rsidR="006140B9" w:rsidRPr="00012278" w:rsidRDefault="006140B9" w:rsidP="006140B9">
      <w:pPr>
        <w:rPr>
          <w:szCs w:val="22"/>
          <w:lang w:val="sr-Latn-ME"/>
        </w:rPr>
      </w:pPr>
    </w:p>
    <w:p w14:paraId="196FD779" w14:textId="77777777" w:rsidR="006140B9" w:rsidRPr="00012278" w:rsidRDefault="006140B9" w:rsidP="002B4BD7">
      <w:pPr>
        <w:jc w:val="both"/>
        <w:rPr>
          <w:szCs w:val="22"/>
          <w:lang w:val="sr-Latn-ME"/>
        </w:rPr>
      </w:pPr>
      <w:r w:rsidRPr="00012278">
        <w:rPr>
          <w:szCs w:val="22"/>
          <w:lang w:val="sr-Latn-ME"/>
        </w:rPr>
        <w:t>U ispitivanjima toksičnosti ponovljenih doza, dnevno oralno davanje kapecitabina cinomolgus majmunima i miševima dovodilo je do toksičnog dejstva na gastrointestinalni, limfni i hematopoetski sistem, tipičnog za fluoropirimidine. Toksičnost je bila reverzibilna. Primijećeno je da kapecitabin može izazvati i toksičnost kože, koja se odlikuje degenerativnim/regresivnim promjenama. Kapecitabin nije imao toksično dejstvo na jetru i CNS. Kardiovaskularna toksičnost (npr. produženje intervala PR i QT) bila je mjerljiva kod cinomolgus majmuna nakon intravenskog davanja (100 mg/kg), ali ne i nakon ponovljene oralne doze (1379 mg/m</w:t>
      </w:r>
      <w:r w:rsidRPr="00012278">
        <w:rPr>
          <w:szCs w:val="22"/>
          <w:vertAlign w:val="superscript"/>
          <w:lang w:val="sr-Latn-ME"/>
        </w:rPr>
        <w:t>2</w:t>
      </w:r>
      <w:r w:rsidRPr="00012278">
        <w:rPr>
          <w:szCs w:val="22"/>
          <w:lang w:val="sr-Latn-ME"/>
        </w:rPr>
        <w:t xml:space="preserve">/dan). </w:t>
      </w:r>
    </w:p>
    <w:p w14:paraId="72AA00EA" w14:textId="77777777" w:rsidR="006140B9" w:rsidRPr="00012278" w:rsidRDefault="006140B9" w:rsidP="002B4BD7">
      <w:pPr>
        <w:jc w:val="both"/>
        <w:rPr>
          <w:szCs w:val="22"/>
          <w:lang w:val="sr-Latn-ME"/>
        </w:rPr>
      </w:pPr>
    </w:p>
    <w:p w14:paraId="7EF2078A" w14:textId="5070FC3A" w:rsidR="006140B9" w:rsidRPr="00012278" w:rsidRDefault="006140B9" w:rsidP="002B4BD7">
      <w:pPr>
        <w:jc w:val="both"/>
        <w:rPr>
          <w:szCs w:val="22"/>
          <w:lang w:val="sr-Latn-ME"/>
        </w:rPr>
      </w:pPr>
      <w:r w:rsidRPr="00012278">
        <w:rPr>
          <w:szCs w:val="22"/>
          <w:lang w:val="sr-Latn-ME"/>
        </w:rPr>
        <w:t xml:space="preserve">Dvogodišnje ispitivanje kancerogenosti na miševima nije dalo nikakve dokaze o </w:t>
      </w:r>
      <w:r w:rsidR="00101193" w:rsidRPr="00012278">
        <w:rPr>
          <w:szCs w:val="22"/>
          <w:lang w:val="sr-Latn-ME"/>
        </w:rPr>
        <w:t xml:space="preserve">kancerogenosti </w:t>
      </w:r>
      <w:r w:rsidRPr="00012278">
        <w:rPr>
          <w:szCs w:val="22"/>
          <w:lang w:val="sr-Latn-ME"/>
        </w:rPr>
        <w:t xml:space="preserve">kapecitabina. </w:t>
      </w:r>
    </w:p>
    <w:p w14:paraId="26184720" w14:textId="77777777" w:rsidR="006140B9" w:rsidRPr="00012278" w:rsidRDefault="006140B9" w:rsidP="002B4BD7">
      <w:pPr>
        <w:jc w:val="both"/>
        <w:rPr>
          <w:szCs w:val="22"/>
          <w:lang w:val="sr-Latn-ME"/>
        </w:rPr>
      </w:pPr>
    </w:p>
    <w:p w14:paraId="0C6D5232" w14:textId="19890DC5" w:rsidR="006140B9" w:rsidRPr="00012278" w:rsidRDefault="006140B9" w:rsidP="002B4BD7">
      <w:pPr>
        <w:jc w:val="both"/>
        <w:rPr>
          <w:szCs w:val="22"/>
          <w:lang w:val="sr-Latn-ME"/>
        </w:rPr>
      </w:pPr>
      <w:r w:rsidRPr="00012278">
        <w:rPr>
          <w:szCs w:val="22"/>
          <w:lang w:val="sr-Latn-ME"/>
        </w:rPr>
        <w:lastRenderedPageBreak/>
        <w:t xml:space="preserve">Tokom standardnog ispitivanja dejstva na fertilnost, primijećena je smanjena fertilnost ženki miševa koje su primale kapecitabin. Međutim, ovo dejstvo je bilo reverzibilno nakon prestanka primanja lijeka. Uz to, tokom ispitivanja koje je trajalo 13 nedjelja, atrofične i degenerativne promjene pojavile su se na reproduktivnim organima mužjaka miševa. Međutim, i dejstvo je bilo reverzibilno nakon određenog perioda bez primanja lijeka (vidjeti </w:t>
      </w:r>
      <w:r w:rsidR="00101193" w:rsidRPr="00012278">
        <w:rPr>
          <w:szCs w:val="22"/>
          <w:lang w:val="sr-Latn-ME"/>
        </w:rPr>
        <w:t>dio</w:t>
      </w:r>
      <w:r w:rsidRPr="00012278">
        <w:rPr>
          <w:szCs w:val="22"/>
          <w:lang w:val="sr-Latn-ME"/>
        </w:rPr>
        <w:t xml:space="preserve"> 4.6).</w:t>
      </w:r>
    </w:p>
    <w:p w14:paraId="58F70B26" w14:textId="77777777" w:rsidR="006140B9" w:rsidRPr="00012278" w:rsidRDefault="006140B9" w:rsidP="002B4BD7">
      <w:pPr>
        <w:jc w:val="both"/>
        <w:rPr>
          <w:szCs w:val="22"/>
          <w:lang w:val="sr-Latn-ME"/>
        </w:rPr>
      </w:pPr>
    </w:p>
    <w:p w14:paraId="1873997B" w14:textId="77777777" w:rsidR="006140B9" w:rsidRPr="00012278" w:rsidRDefault="006140B9" w:rsidP="002B4BD7">
      <w:pPr>
        <w:jc w:val="both"/>
        <w:rPr>
          <w:szCs w:val="22"/>
          <w:lang w:val="sr-Latn-ME"/>
        </w:rPr>
      </w:pPr>
      <w:r w:rsidRPr="00012278">
        <w:rPr>
          <w:szCs w:val="22"/>
          <w:lang w:val="sr-Latn-ME"/>
        </w:rPr>
        <w:t xml:space="preserve">U ispitivanjima embriotoksičnosti i teratogenosti kod miševa, primijećeno je dozno srazmjerno povećanje fetalne resorpcije i teratogenosti. Kod majmuna, pobačaji i embrioletalnost su zabilježeni pri korišćenju visokih doza, ali nije bilo dokaza o teratogenosti. </w:t>
      </w:r>
    </w:p>
    <w:p w14:paraId="25D3D402" w14:textId="77777777" w:rsidR="006140B9" w:rsidRPr="00012278" w:rsidRDefault="006140B9" w:rsidP="002B4BD7">
      <w:pPr>
        <w:jc w:val="both"/>
        <w:rPr>
          <w:szCs w:val="22"/>
          <w:lang w:val="sr-Latn-ME"/>
        </w:rPr>
      </w:pPr>
    </w:p>
    <w:p w14:paraId="4A791FC7" w14:textId="77777777" w:rsidR="006140B9" w:rsidRPr="00012278" w:rsidRDefault="006140B9" w:rsidP="002B4BD7">
      <w:pPr>
        <w:jc w:val="both"/>
        <w:rPr>
          <w:szCs w:val="22"/>
          <w:lang w:val="sr-Latn-ME"/>
        </w:rPr>
      </w:pPr>
      <w:r w:rsidRPr="00012278">
        <w:rPr>
          <w:szCs w:val="22"/>
          <w:lang w:val="sr-Latn-ME"/>
        </w:rPr>
        <w:t xml:space="preserve">Kapecitabin nije bio mutagen u </w:t>
      </w:r>
      <w:r w:rsidRPr="00012278">
        <w:rPr>
          <w:i/>
          <w:szCs w:val="22"/>
          <w:lang w:val="sr-Latn-ME"/>
        </w:rPr>
        <w:t>in vitro</w:t>
      </w:r>
      <w:r w:rsidRPr="00012278">
        <w:rPr>
          <w:szCs w:val="22"/>
          <w:lang w:val="sr-Latn-ME"/>
        </w:rPr>
        <w:t xml:space="preserve"> uslovima na bakterijama (Amesov test) ili ćelijama sisara (test genske mutacije V79/HPRT kod </w:t>
      </w:r>
      <w:r w:rsidR="00101193" w:rsidRPr="00012278">
        <w:rPr>
          <w:szCs w:val="22"/>
          <w:lang w:val="sr-Latn-ME"/>
        </w:rPr>
        <w:t xml:space="preserve">modela </w:t>
      </w:r>
      <w:r w:rsidRPr="00012278">
        <w:rPr>
          <w:szCs w:val="22"/>
          <w:lang w:val="sr-Latn-ME"/>
        </w:rPr>
        <w:t>kineskog hrčka). Međutim, slično drugim analozima nukleozida (tj. 5-FU), kapecitabin je imao klastogeno dejstvo na humane limfocite (</w:t>
      </w:r>
      <w:r w:rsidRPr="00012278">
        <w:rPr>
          <w:i/>
          <w:szCs w:val="22"/>
          <w:lang w:val="sr-Latn-ME"/>
        </w:rPr>
        <w:t>in vitro</w:t>
      </w:r>
      <w:r w:rsidRPr="00012278">
        <w:rPr>
          <w:szCs w:val="22"/>
          <w:lang w:val="sr-Latn-ME"/>
        </w:rPr>
        <w:t>), a uočen je pozitivan trend u mikronukleusnim testovima (</w:t>
      </w:r>
      <w:r w:rsidRPr="00012278">
        <w:rPr>
          <w:i/>
          <w:szCs w:val="22"/>
          <w:lang w:val="sr-Latn-ME"/>
        </w:rPr>
        <w:t>in vivo</w:t>
      </w:r>
      <w:r w:rsidRPr="00012278">
        <w:rPr>
          <w:szCs w:val="22"/>
          <w:lang w:val="sr-Latn-ME"/>
        </w:rPr>
        <w:t xml:space="preserve">) na kostnoj srži miša. </w:t>
      </w:r>
    </w:p>
    <w:p w14:paraId="23C4E0F9" w14:textId="77777777" w:rsidR="006140B9" w:rsidRPr="00012278" w:rsidRDefault="006140B9" w:rsidP="002B4BD7">
      <w:pPr>
        <w:jc w:val="both"/>
        <w:rPr>
          <w:szCs w:val="22"/>
          <w:lang w:val="sr-Latn-ME"/>
        </w:rPr>
      </w:pPr>
    </w:p>
    <w:p w14:paraId="52F77577" w14:textId="77777777" w:rsidR="006140B9" w:rsidRPr="00012278" w:rsidRDefault="006140B9" w:rsidP="006140B9">
      <w:pPr>
        <w:rPr>
          <w:szCs w:val="22"/>
          <w:lang w:val="sr-Latn-ME"/>
        </w:rPr>
      </w:pPr>
    </w:p>
    <w:p w14:paraId="7A623B3B" w14:textId="77777777" w:rsidR="006140B9" w:rsidRPr="00012278" w:rsidRDefault="006140B9" w:rsidP="006140B9">
      <w:pPr>
        <w:rPr>
          <w:b/>
          <w:bCs/>
          <w:szCs w:val="22"/>
          <w:lang w:val="sr-Latn-ME"/>
        </w:rPr>
      </w:pPr>
      <w:r w:rsidRPr="00012278">
        <w:rPr>
          <w:b/>
          <w:bCs/>
          <w:szCs w:val="22"/>
          <w:lang w:val="sr-Latn-ME"/>
        </w:rPr>
        <w:t>6.      FARMACEUTSKI PODACI</w:t>
      </w:r>
    </w:p>
    <w:p w14:paraId="258740F1" w14:textId="77777777" w:rsidR="006140B9" w:rsidRPr="00012278" w:rsidRDefault="006140B9" w:rsidP="006140B9">
      <w:pPr>
        <w:rPr>
          <w:b/>
          <w:bCs/>
          <w:szCs w:val="22"/>
          <w:lang w:val="sr-Latn-ME"/>
        </w:rPr>
      </w:pPr>
    </w:p>
    <w:p w14:paraId="50D336CA" w14:textId="77777777" w:rsidR="006140B9" w:rsidRPr="00012278" w:rsidRDefault="006140B9" w:rsidP="006140B9">
      <w:pPr>
        <w:rPr>
          <w:b/>
          <w:bCs/>
          <w:szCs w:val="22"/>
          <w:lang w:val="sr-Latn-ME"/>
        </w:rPr>
      </w:pPr>
      <w:r w:rsidRPr="00012278">
        <w:rPr>
          <w:b/>
          <w:bCs/>
          <w:szCs w:val="22"/>
          <w:lang w:val="sr-Latn-ME"/>
        </w:rPr>
        <w:t>6.1.   Lista pomoćnih supstanci (ekscipijenasa)</w:t>
      </w:r>
    </w:p>
    <w:p w14:paraId="51E9CA09" w14:textId="77777777" w:rsidR="006140B9" w:rsidRPr="00012278" w:rsidRDefault="006140B9" w:rsidP="006140B9">
      <w:pPr>
        <w:rPr>
          <w:b/>
          <w:bCs/>
          <w:szCs w:val="22"/>
          <w:lang w:val="sr-Latn-ME"/>
        </w:rPr>
      </w:pPr>
    </w:p>
    <w:p w14:paraId="10F88F44" w14:textId="4F4AEA93" w:rsidR="006140B9" w:rsidRPr="00012278" w:rsidRDefault="006140B9" w:rsidP="006140B9">
      <w:pPr>
        <w:rPr>
          <w:i/>
          <w:szCs w:val="22"/>
          <w:lang w:val="sr-Latn-ME"/>
        </w:rPr>
      </w:pPr>
      <w:r w:rsidRPr="00012278">
        <w:rPr>
          <w:i/>
          <w:szCs w:val="22"/>
          <w:lang w:val="sr-Latn-ME"/>
        </w:rPr>
        <w:t>Jezgr</w:t>
      </w:r>
      <w:r w:rsidR="00A36CC0" w:rsidRPr="00012278">
        <w:rPr>
          <w:i/>
          <w:szCs w:val="22"/>
          <w:lang w:val="sr-Latn-ME"/>
        </w:rPr>
        <w:t>o</w:t>
      </w:r>
      <w:r w:rsidRPr="00012278">
        <w:rPr>
          <w:i/>
          <w:szCs w:val="22"/>
          <w:lang w:val="sr-Latn-ME"/>
        </w:rPr>
        <w:t xml:space="preserve"> tablete: </w:t>
      </w:r>
    </w:p>
    <w:p w14:paraId="2A9CEEEF" w14:textId="77777777" w:rsidR="004A51AB" w:rsidRPr="00012278" w:rsidRDefault="006140B9" w:rsidP="006140B9">
      <w:pPr>
        <w:rPr>
          <w:szCs w:val="22"/>
          <w:lang w:val="sr-Latn-ME"/>
        </w:rPr>
      </w:pPr>
      <w:r w:rsidRPr="00012278">
        <w:rPr>
          <w:szCs w:val="22"/>
          <w:lang w:val="sr-Latn-ME"/>
        </w:rPr>
        <w:t>Laktoza</w:t>
      </w:r>
    </w:p>
    <w:p w14:paraId="61870862" w14:textId="77777777" w:rsidR="006140B9" w:rsidRPr="00012278" w:rsidRDefault="006140B9" w:rsidP="006140B9">
      <w:pPr>
        <w:rPr>
          <w:szCs w:val="22"/>
          <w:lang w:val="sr-Latn-ME"/>
        </w:rPr>
      </w:pPr>
      <w:r w:rsidRPr="00012278">
        <w:rPr>
          <w:szCs w:val="22"/>
          <w:lang w:val="sr-Latn-ME"/>
        </w:rPr>
        <w:t>Celuloza, mikrokristalna (E460)</w:t>
      </w:r>
    </w:p>
    <w:p w14:paraId="14599556" w14:textId="77777777" w:rsidR="006140B9" w:rsidRPr="00012278" w:rsidRDefault="006140B9" w:rsidP="006140B9">
      <w:pPr>
        <w:rPr>
          <w:szCs w:val="22"/>
          <w:lang w:val="sr-Latn-ME"/>
        </w:rPr>
      </w:pPr>
      <w:r w:rsidRPr="00012278">
        <w:rPr>
          <w:szCs w:val="22"/>
          <w:lang w:val="sr-Latn-ME"/>
        </w:rPr>
        <w:t xml:space="preserve">Hipromeloza </w:t>
      </w:r>
    </w:p>
    <w:p w14:paraId="4BC2AFC6" w14:textId="77777777" w:rsidR="006140B9" w:rsidRPr="00012278" w:rsidRDefault="006140B9" w:rsidP="006140B9">
      <w:pPr>
        <w:rPr>
          <w:szCs w:val="22"/>
          <w:lang w:val="sr-Latn-ME"/>
        </w:rPr>
      </w:pPr>
      <w:r w:rsidRPr="00012278">
        <w:rPr>
          <w:szCs w:val="22"/>
          <w:lang w:val="sr-Latn-ME"/>
        </w:rPr>
        <w:t>Kroskarmeloza natrijum</w:t>
      </w:r>
    </w:p>
    <w:p w14:paraId="06DE2D3A" w14:textId="77777777" w:rsidR="006140B9" w:rsidRPr="00012278" w:rsidRDefault="006140B9" w:rsidP="006140B9">
      <w:pPr>
        <w:rPr>
          <w:szCs w:val="22"/>
          <w:lang w:val="sr-Latn-ME"/>
        </w:rPr>
      </w:pPr>
      <w:r w:rsidRPr="00012278">
        <w:rPr>
          <w:szCs w:val="22"/>
          <w:lang w:val="sr-Latn-ME"/>
        </w:rPr>
        <w:t>Magnezijum stearat</w:t>
      </w:r>
    </w:p>
    <w:p w14:paraId="1479CBEF" w14:textId="77777777" w:rsidR="006140B9" w:rsidRPr="00012278" w:rsidRDefault="006140B9" w:rsidP="006140B9">
      <w:pPr>
        <w:rPr>
          <w:szCs w:val="22"/>
          <w:lang w:val="sr-Latn-ME"/>
        </w:rPr>
      </w:pPr>
    </w:p>
    <w:p w14:paraId="1F915CB4" w14:textId="77777777" w:rsidR="006140B9" w:rsidRPr="00012278" w:rsidRDefault="006140B9" w:rsidP="006140B9">
      <w:pPr>
        <w:rPr>
          <w:i/>
          <w:szCs w:val="22"/>
          <w:lang w:val="sr-Latn-ME"/>
        </w:rPr>
      </w:pPr>
      <w:r w:rsidRPr="00012278">
        <w:rPr>
          <w:i/>
          <w:szCs w:val="22"/>
          <w:lang w:val="sr-Latn-ME"/>
        </w:rPr>
        <w:t xml:space="preserve">Film (omotač) tablete: </w:t>
      </w:r>
    </w:p>
    <w:p w14:paraId="269E26CE" w14:textId="77777777" w:rsidR="006140B9" w:rsidRPr="00012278" w:rsidRDefault="006140B9" w:rsidP="006140B9">
      <w:pPr>
        <w:rPr>
          <w:szCs w:val="22"/>
          <w:lang w:val="sr-Latn-ME"/>
        </w:rPr>
      </w:pPr>
      <w:r w:rsidRPr="00012278">
        <w:rPr>
          <w:szCs w:val="22"/>
          <w:lang w:val="sr-Latn-ME"/>
        </w:rPr>
        <w:t>Hipromeloza</w:t>
      </w:r>
    </w:p>
    <w:p w14:paraId="1C437645" w14:textId="77777777" w:rsidR="006140B9" w:rsidRPr="00012278" w:rsidRDefault="006140B9" w:rsidP="006140B9">
      <w:pPr>
        <w:rPr>
          <w:szCs w:val="22"/>
          <w:lang w:val="sr-Latn-ME"/>
        </w:rPr>
      </w:pPr>
      <w:r w:rsidRPr="00012278">
        <w:rPr>
          <w:szCs w:val="22"/>
          <w:lang w:val="sr-Latn-ME"/>
        </w:rPr>
        <w:t>Talk</w:t>
      </w:r>
    </w:p>
    <w:p w14:paraId="631CE8D7" w14:textId="77777777" w:rsidR="006140B9" w:rsidRPr="00012278" w:rsidRDefault="006140B9" w:rsidP="006140B9">
      <w:pPr>
        <w:rPr>
          <w:szCs w:val="22"/>
          <w:lang w:val="sr-Latn-ME"/>
        </w:rPr>
      </w:pPr>
      <w:r w:rsidRPr="00012278">
        <w:rPr>
          <w:szCs w:val="22"/>
          <w:lang w:val="sr-Latn-ME"/>
        </w:rPr>
        <w:t>Titan dioksid (E171)</w:t>
      </w:r>
    </w:p>
    <w:p w14:paraId="671D6DA6" w14:textId="34F8A7B7" w:rsidR="006140B9" w:rsidRPr="00012278" w:rsidRDefault="006140B9" w:rsidP="006140B9">
      <w:pPr>
        <w:rPr>
          <w:szCs w:val="22"/>
          <w:lang w:val="sr-Latn-ME"/>
        </w:rPr>
      </w:pPr>
      <w:r w:rsidRPr="00012278">
        <w:rPr>
          <w:szCs w:val="22"/>
          <w:lang w:val="sr-Latn-ME"/>
        </w:rPr>
        <w:t xml:space="preserve">Gvožđe </w:t>
      </w:r>
      <w:r w:rsidR="00A36CC0" w:rsidRPr="00012278">
        <w:rPr>
          <w:szCs w:val="22"/>
          <w:lang w:val="sr-Latn-ME"/>
        </w:rPr>
        <w:t xml:space="preserve">(III) </w:t>
      </w:r>
      <w:r w:rsidRPr="00012278">
        <w:rPr>
          <w:szCs w:val="22"/>
          <w:lang w:val="sr-Latn-ME"/>
        </w:rPr>
        <w:t>oksid, crveni (E172)</w:t>
      </w:r>
    </w:p>
    <w:p w14:paraId="6F046892" w14:textId="51AD1E3D" w:rsidR="006140B9" w:rsidRPr="00012278" w:rsidRDefault="006140B9" w:rsidP="006140B9">
      <w:pPr>
        <w:rPr>
          <w:szCs w:val="22"/>
          <w:lang w:val="sr-Latn-ME"/>
        </w:rPr>
      </w:pPr>
      <w:r w:rsidRPr="00012278">
        <w:rPr>
          <w:szCs w:val="22"/>
          <w:lang w:val="sr-Latn-ME"/>
        </w:rPr>
        <w:t xml:space="preserve">Gvožđe </w:t>
      </w:r>
      <w:r w:rsidR="00A36CC0" w:rsidRPr="00012278">
        <w:rPr>
          <w:szCs w:val="22"/>
          <w:lang w:val="sr-Latn-ME"/>
        </w:rPr>
        <w:t xml:space="preserve">(III) </w:t>
      </w:r>
      <w:r w:rsidRPr="00012278">
        <w:rPr>
          <w:szCs w:val="22"/>
          <w:lang w:val="sr-Latn-ME"/>
        </w:rPr>
        <w:t>oksid, žuti (E172)</w:t>
      </w:r>
    </w:p>
    <w:p w14:paraId="172C9F21" w14:textId="77777777" w:rsidR="006140B9" w:rsidRPr="00012278" w:rsidRDefault="006140B9" w:rsidP="006140B9">
      <w:pPr>
        <w:rPr>
          <w:szCs w:val="22"/>
          <w:lang w:val="sr-Latn-ME"/>
        </w:rPr>
      </w:pPr>
    </w:p>
    <w:p w14:paraId="25E172A8" w14:textId="77777777" w:rsidR="006140B9" w:rsidRPr="00012278" w:rsidRDefault="006140B9" w:rsidP="006140B9">
      <w:pPr>
        <w:rPr>
          <w:b/>
          <w:bCs/>
          <w:szCs w:val="22"/>
          <w:lang w:val="sr-Latn-ME"/>
        </w:rPr>
      </w:pPr>
      <w:r w:rsidRPr="00012278">
        <w:rPr>
          <w:b/>
          <w:bCs/>
          <w:szCs w:val="22"/>
          <w:lang w:val="sr-Latn-ME"/>
        </w:rPr>
        <w:t>6.2.    Inkompatibilnosti</w:t>
      </w:r>
    </w:p>
    <w:p w14:paraId="54F85D50" w14:textId="77777777" w:rsidR="006140B9" w:rsidRPr="00012278" w:rsidRDefault="006140B9" w:rsidP="006140B9">
      <w:pPr>
        <w:rPr>
          <w:b/>
          <w:bCs/>
          <w:szCs w:val="22"/>
          <w:lang w:val="sr-Latn-ME"/>
        </w:rPr>
      </w:pPr>
    </w:p>
    <w:p w14:paraId="5720AE70" w14:textId="77777777" w:rsidR="006140B9" w:rsidRPr="00012278" w:rsidRDefault="006140B9" w:rsidP="006140B9">
      <w:pPr>
        <w:rPr>
          <w:szCs w:val="22"/>
          <w:lang w:val="sr-Latn-ME"/>
        </w:rPr>
      </w:pPr>
      <w:r w:rsidRPr="00012278">
        <w:rPr>
          <w:szCs w:val="22"/>
          <w:lang w:val="sr-Latn-ME"/>
        </w:rPr>
        <w:t>Nije primjenljivo.</w:t>
      </w:r>
    </w:p>
    <w:p w14:paraId="1BD0D981" w14:textId="77777777" w:rsidR="006140B9" w:rsidRPr="00012278" w:rsidRDefault="006140B9" w:rsidP="006140B9">
      <w:pPr>
        <w:rPr>
          <w:b/>
          <w:bCs/>
          <w:szCs w:val="22"/>
          <w:lang w:val="sr-Latn-ME"/>
        </w:rPr>
      </w:pPr>
    </w:p>
    <w:p w14:paraId="3634E309" w14:textId="77777777" w:rsidR="006140B9" w:rsidRPr="00012278" w:rsidRDefault="006140B9" w:rsidP="006140B9">
      <w:pPr>
        <w:rPr>
          <w:b/>
          <w:bCs/>
          <w:szCs w:val="22"/>
          <w:lang w:val="sr-Latn-ME"/>
        </w:rPr>
      </w:pPr>
      <w:r w:rsidRPr="00012278">
        <w:rPr>
          <w:b/>
          <w:bCs/>
          <w:szCs w:val="22"/>
          <w:lang w:val="sr-Latn-ME"/>
        </w:rPr>
        <w:t>6.3.     Rok upotrebe</w:t>
      </w:r>
    </w:p>
    <w:p w14:paraId="25F69A73" w14:textId="77777777" w:rsidR="006140B9" w:rsidRPr="00012278" w:rsidRDefault="006140B9" w:rsidP="006140B9">
      <w:pPr>
        <w:rPr>
          <w:b/>
          <w:bCs/>
          <w:szCs w:val="22"/>
          <w:lang w:val="sr-Latn-ME"/>
        </w:rPr>
      </w:pPr>
    </w:p>
    <w:p w14:paraId="2F7E55B6" w14:textId="77777777" w:rsidR="006140B9" w:rsidRPr="00012278" w:rsidRDefault="006140B9" w:rsidP="006140B9">
      <w:pPr>
        <w:rPr>
          <w:szCs w:val="22"/>
          <w:lang w:val="sr-Latn-ME"/>
        </w:rPr>
      </w:pPr>
      <w:r w:rsidRPr="00012278">
        <w:rPr>
          <w:szCs w:val="22"/>
          <w:lang w:val="sr-Latn-ME"/>
        </w:rPr>
        <w:t>3 godine.</w:t>
      </w:r>
    </w:p>
    <w:p w14:paraId="1CAAF3C6" w14:textId="77777777" w:rsidR="006140B9" w:rsidRPr="00012278" w:rsidRDefault="006140B9" w:rsidP="006140B9">
      <w:pPr>
        <w:rPr>
          <w:szCs w:val="22"/>
          <w:lang w:val="sr-Latn-ME"/>
        </w:rPr>
      </w:pPr>
    </w:p>
    <w:p w14:paraId="12221FD6" w14:textId="77777777" w:rsidR="006140B9" w:rsidRPr="00012278" w:rsidRDefault="006140B9" w:rsidP="006140B9">
      <w:pPr>
        <w:rPr>
          <w:b/>
          <w:bCs/>
          <w:szCs w:val="22"/>
          <w:lang w:val="sr-Latn-ME"/>
        </w:rPr>
      </w:pPr>
      <w:r w:rsidRPr="00012278">
        <w:rPr>
          <w:b/>
          <w:bCs/>
          <w:szCs w:val="22"/>
          <w:lang w:val="sr-Latn-ME"/>
        </w:rPr>
        <w:t>6.4.    Posebne mjere upozorenja pri čuvanju lijeka</w:t>
      </w:r>
    </w:p>
    <w:p w14:paraId="422C1C60" w14:textId="77777777" w:rsidR="006140B9" w:rsidRPr="00012278" w:rsidRDefault="006140B9" w:rsidP="006140B9">
      <w:pPr>
        <w:rPr>
          <w:i/>
          <w:iCs/>
          <w:szCs w:val="22"/>
          <w:lang w:val="sr-Latn-ME"/>
        </w:rPr>
      </w:pPr>
    </w:p>
    <w:p w14:paraId="31495B3A" w14:textId="77777777" w:rsidR="006140B9" w:rsidRPr="00012278" w:rsidRDefault="006140B9" w:rsidP="006140B9">
      <w:pPr>
        <w:rPr>
          <w:i/>
          <w:iCs/>
          <w:szCs w:val="22"/>
          <w:lang w:val="sr-Latn-ME"/>
        </w:rPr>
      </w:pPr>
      <w:r w:rsidRPr="00012278">
        <w:rPr>
          <w:i/>
          <w:iCs/>
          <w:szCs w:val="22"/>
          <w:lang w:val="sr-Latn-ME"/>
        </w:rPr>
        <w:t>PVC/PVdC/Aluminijum blisteri</w:t>
      </w:r>
    </w:p>
    <w:p w14:paraId="663D9D6E" w14:textId="0036AE7D" w:rsidR="006140B9" w:rsidRPr="00012278" w:rsidRDefault="006140B9" w:rsidP="006140B9">
      <w:pPr>
        <w:rPr>
          <w:szCs w:val="22"/>
          <w:lang w:val="sr-Latn-ME"/>
        </w:rPr>
      </w:pPr>
      <w:r w:rsidRPr="00012278">
        <w:rPr>
          <w:szCs w:val="22"/>
          <w:lang w:val="sr-Latn-ME"/>
        </w:rPr>
        <w:t>Lijek čuva</w:t>
      </w:r>
      <w:r w:rsidR="00A36CC0" w:rsidRPr="00012278">
        <w:rPr>
          <w:szCs w:val="22"/>
          <w:lang w:val="sr-Latn-ME"/>
        </w:rPr>
        <w:t>ti</w:t>
      </w:r>
      <w:r w:rsidRPr="00012278">
        <w:rPr>
          <w:szCs w:val="22"/>
          <w:lang w:val="sr-Latn-ME"/>
        </w:rPr>
        <w:t xml:space="preserve"> na temperaturi do 30</w:t>
      </w:r>
      <w:r w:rsidRPr="00012278">
        <w:rPr>
          <w:szCs w:val="22"/>
          <w:lang w:val="sr-Latn-ME"/>
        </w:rPr>
        <w:sym w:font="Symbol" w:char="F0B0"/>
      </w:r>
      <w:r w:rsidRPr="00012278">
        <w:rPr>
          <w:szCs w:val="22"/>
          <w:lang w:val="sr-Latn-ME"/>
        </w:rPr>
        <w:t>C.</w:t>
      </w:r>
    </w:p>
    <w:p w14:paraId="64CD6B3C" w14:textId="77777777" w:rsidR="006140B9" w:rsidRPr="00012278" w:rsidRDefault="006140B9" w:rsidP="006140B9">
      <w:pPr>
        <w:rPr>
          <w:i/>
          <w:iCs/>
          <w:szCs w:val="22"/>
          <w:lang w:val="sr-Latn-ME"/>
        </w:rPr>
      </w:pPr>
    </w:p>
    <w:p w14:paraId="3797DAAD" w14:textId="77777777" w:rsidR="006140B9" w:rsidRPr="00012278" w:rsidRDefault="006140B9" w:rsidP="006140B9">
      <w:pPr>
        <w:rPr>
          <w:i/>
          <w:iCs/>
          <w:szCs w:val="22"/>
          <w:lang w:val="sr-Latn-ME"/>
        </w:rPr>
      </w:pPr>
      <w:r w:rsidRPr="00012278">
        <w:rPr>
          <w:i/>
          <w:iCs/>
          <w:szCs w:val="22"/>
          <w:lang w:val="sr-Latn-ME"/>
        </w:rPr>
        <w:t>Aluminijum/Aluminijum blisteri</w:t>
      </w:r>
    </w:p>
    <w:p w14:paraId="57ACFEAE" w14:textId="77777777" w:rsidR="006140B9" w:rsidRPr="00012278" w:rsidRDefault="006140B9" w:rsidP="006140B9">
      <w:pPr>
        <w:rPr>
          <w:szCs w:val="22"/>
          <w:lang w:val="sr-Latn-ME"/>
        </w:rPr>
      </w:pPr>
      <w:r w:rsidRPr="00012278">
        <w:rPr>
          <w:szCs w:val="22"/>
          <w:lang w:val="sr-Latn-ME"/>
        </w:rPr>
        <w:t>Lijek ne zahtijeva posebne uslove čuvanja.</w:t>
      </w:r>
    </w:p>
    <w:p w14:paraId="22B33F44" w14:textId="77777777" w:rsidR="006140B9" w:rsidRPr="00012278" w:rsidRDefault="006140B9" w:rsidP="006140B9">
      <w:pPr>
        <w:rPr>
          <w:szCs w:val="22"/>
          <w:lang w:val="sr-Latn-ME"/>
        </w:rPr>
      </w:pPr>
    </w:p>
    <w:p w14:paraId="518ED650" w14:textId="77777777" w:rsidR="006140B9" w:rsidRPr="00012278" w:rsidRDefault="006140B9" w:rsidP="006140B9">
      <w:pPr>
        <w:rPr>
          <w:b/>
          <w:bCs/>
          <w:szCs w:val="22"/>
          <w:lang w:val="sr-Latn-ME"/>
        </w:rPr>
      </w:pPr>
      <w:r w:rsidRPr="00012278">
        <w:rPr>
          <w:b/>
          <w:bCs/>
          <w:szCs w:val="22"/>
          <w:lang w:val="sr-Latn-ME"/>
        </w:rPr>
        <w:t>6.5.    Vrsta i sadržaj pakovanja</w:t>
      </w:r>
    </w:p>
    <w:p w14:paraId="6FC0A742" w14:textId="77777777" w:rsidR="006140B9" w:rsidRPr="00012278" w:rsidRDefault="006140B9" w:rsidP="006140B9">
      <w:pPr>
        <w:rPr>
          <w:szCs w:val="22"/>
          <w:lang w:val="sr-Latn-ME"/>
        </w:rPr>
      </w:pPr>
    </w:p>
    <w:p w14:paraId="54C7AC15" w14:textId="7AF38E67" w:rsidR="00A36CC0" w:rsidRPr="00012278" w:rsidRDefault="00A36CC0" w:rsidP="002B4BD7">
      <w:pPr>
        <w:jc w:val="both"/>
        <w:rPr>
          <w:szCs w:val="22"/>
          <w:lang w:val="sr-Latn-ME"/>
        </w:rPr>
      </w:pPr>
      <w:r w:rsidRPr="00012278">
        <w:rPr>
          <w:szCs w:val="22"/>
          <w:lang w:val="sr-Latn-ME"/>
        </w:rPr>
        <w:t xml:space="preserve">Unutrašnje pakovanje lijeka je </w:t>
      </w:r>
      <w:r w:rsidR="006140B9" w:rsidRPr="00012278">
        <w:rPr>
          <w:szCs w:val="22"/>
          <w:lang w:val="sr-Latn-ME"/>
        </w:rPr>
        <w:t>Aluminijum/Aluminijum ili PVC/PVdC/Aluminijum blister</w:t>
      </w:r>
      <w:r w:rsidRPr="00012278">
        <w:rPr>
          <w:szCs w:val="22"/>
          <w:lang w:val="sr-Latn-ME"/>
        </w:rPr>
        <w:t xml:space="preserve"> koji</w:t>
      </w:r>
      <w:r w:rsidR="006140B9" w:rsidRPr="00012278">
        <w:rPr>
          <w:szCs w:val="22"/>
          <w:lang w:val="sr-Latn-ME"/>
        </w:rPr>
        <w:t xml:space="preserve"> sadrž</w:t>
      </w:r>
      <w:r w:rsidRPr="00012278">
        <w:rPr>
          <w:szCs w:val="22"/>
          <w:lang w:val="sr-Latn-ME"/>
        </w:rPr>
        <w:t>i</w:t>
      </w:r>
      <w:r w:rsidR="006140B9" w:rsidRPr="00012278">
        <w:rPr>
          <w:szCs w:val="22"/>
          <w:lang w:val="sr-Latn-ME"/>
        </w:rPr>
        <w:t xml:space="preserve"> 10 film tableta</w:t>
      </w:r>
      <w:r w:rsidRPr="00012278">
        <w:rPr>
          <w:szCs w:val="22"/>
          <w:lang w:val="sr-Latn-ME"/>
        </w:rPr>
        <w:t>.</w:t>
      </w:r>
    </w:p>
    <w:p w14:paraId="42DA6031" w14:textId="77777777" w:rsidR="00A36CC0" w:rsidRPr="00012278" w:rsidRDefault="00A36CC0" w:rsidP="002B4BD7">
      <w:pPr>
        <w:jc w:val="both"/>
        <w:rPr>
          <w:szCs w:val="22"/>
          <w:lang w:val="sr-Latn-ME"/>
        </w:rPr>
      </w:pPr>
    </w:p>
    <w:p w14:paraId="4F1F4938" w14:textId="77777777" w:rsidR="00012278" w:rsidRDefault="00012278" w:rsidP="00A36CC0">
      <w:pPr>
        <w:jc w:val="both"/>
        <w:rPr>
          <w:szCs w:val="22"/>
          <w:u w:val="single"/>
          <w:lang w:val="sr-Latn-ME"/>
        </w:rPr>
      </w:pPr>
    </w:p>
    <w:p w14:paraId="44E7633C" w14:textId="412BF9E9" w:rsidR="00A36CC0" w:rsidRPr="00012278" w:rsidRDefault="00A36CC0" w:rsidP="00A36CC0">
      <w:pPr>
        <w:jc w:val="both"/>
        <w:rPr>
          <w:szCs w:val="22"/>
          <w:u w:val="single"/>
          <w:lang w:val="sr-Latn-ME"/>
        </w:rPr>
      </w:pPr>
      <w:r w:rsidRPr="00012278">
        <w:rPr>
          <w:szCs w:val="22"/>
          <w:u w:val="single"/>
          <w:lang w:val="sr-Latn-ME"/>
        </w:rPr>
        <w:lastRenderedPageBreak/>
        <w:t xml:space="preserve">Ecansya, 150 mg, film tableta </w:t>
      </w:r>
    </w:p>
    <w:p w14:paraId="7BD6CAA9" w14:textId="77777777" w:rsidR="00A36CC0" w:rsidRPr="00012278" w:rsidRDefault="00A36CC0" w:rsidP="00A36CC0">
      <w:pPr>
        <w:jc w:val="both"/>
        <w:rPr>
          <w:szCs w:val="22"/>
          <w:lang w:val="sr-Latn-ME"/>
        </w:rPr>
      </w:pPr>
      <w:r w:rsidRPr="00012278">
        <w:rPr>
          <w:szCs w:val="22"/>
          <w:lang w:val="sr-Latn-ME"/>
        </w:rPr>
        <w:t>Spoljašnje pakovanje lijeka je složiva kartonska kutija koja sadrži 6 blistera (ukupno 60 film tableta) i Uputstvo za lijek.</w:t>
      </w:r>
    </w:p>
    <w:p w14:paraId="7A29BBBD" w14:textId="77777777" w:rsidR="00A36CC0" w:rsidRPr="00012278" w:rsidRDefault="00A36CC0" w:rsidP="00A36CC0">
      <w:pPr>
        <w:jc w:val="both"/>
        <w:rPr>
          <w:szCs w:val="22"/>
          <w:lang w:val="sr-Latn-ME"/>
        </w:rPr>
      </w:pPr>
    </w:p>
    <w:p w14:paraId="2E1435BA" w14:textId="77777777" w:rsidR="00A36CC0" w:rsidRPr="00012278" w:rsidRDefault="00A36CC0" w:rsidP="00A36CC0">
      <w:pPr>
        <w:jc w:val="both"/>
        <w:rPr>
          <w:szCs w:val="22"/>
          <w:u w:val="single"/>
          <w:lang w:val="sr-Latn-ME"/>
        </w:rPr>
      </w:pPr>
      <w:r w:rsidRPr="00012278">
        <w:rPr>
          <w:szCs w:val="22"/>
          <w:u w:val="single"/>
          <w:lang w:val="sr-Latn-ME"/>
        </w:rPr>
        <w:t xml:space="preserve">Ecansya, 500 mg, film tableta </w:t>
      </w:r>
    </w:p>
    <w:p w14:paraId="66B45888" w14:textId="7AC78AF4" w:rsidR="006140B9" w:rsidRDefault="00A36CC0" w:rsidP="0003312D">
      <w:pPr>
        <w:jc w:val="both"/>
        <w:rPr>
          <w:szCs w:val="22"/>
          <w:lang w:val="sr-Latn-ME"/>
        </w:rPr>
      </w:pPr>
      <w:r w:rsidRPr="00012278">
        <w:rPr>
          <w:szCs w:val="22"/>
          <w:lang w:val="sr-Latn-ME"/>
        </w:rPr>
        <w:t>Spoljašnje pakovanje lijeka je složiva kartonska kutija koja sadrži 12 blistera (ukupno 120 film tableta) i Uputstvo za lijek.</w:t>
      </w:r>
    </w:p>
    <w:p w14:paraId="542A9C97" w14:textId="77777777" w:rsidR="00012278" w:rsidRPr="00012278" w:rsidRDefault="00012278" w:rsidP="0003312D">
      <w:pPr>
        <w:jc w:val="both"/>
        <w:rPr>
          <w:szCs w:val="22"/>
          <w:lang w:val="sr-Latn-ME"/>
        </w:rPr>
      </w:pPr>
    </w:p>
    <w:p w14:paraId="2FB53DA9" w14:textId="77777777" w:rsidR="006140B9" w:rsidRPr="00012278" w:rsidRDefault="006140B9" w:rsidP="006140B9">
      <w:pPr>
        <w:rPr>
          <w:szCs w:val="22"/>
          <w:lang w:val="sr-Latn-ME"/>
        </w:rPr>
      </w:pPr>
      <w:r w:rsidRPr="00012278">
        <w:rPr>
          <w:b/>
          <w:bCs/>
          <w:szCs w:val="22"/>
          <w:lang w:val="sr-Latn-ME"/>
        </w:rPr>
        <w:t xml:space="preserve">6.6.    Posebne mjere opreza pri odlaganju materijala koji treba odbaciti nakon primjene lijeka (i druga uputstva za rukovanje lijekom) </w:t>
      </w:r>
    </w:p>
    <w:p w14:paraId="570B5795" w14:textId="77777777" w:rsidR="00183A6F" w:rsidRPr="00012278" w:rsidRDefault="00183A6F" w:rsidP="006140B9">
      <w:pPr>
        <w:rPr>
          <w:szCs w:val="22"/>
          <w:lang w:val="sr-Latn-ME"/>
        </w:rPr>
      </w:pPr>
    </w:p>
    <w:p w14:paraId="692BCB23" w14:textId="77777777" w:rsidR="006140B9" w:rsidRPr="00012278" w:rsidRDefault="004A51AB" w:rsidP="006140B9">
      <w:pPr>
        <w:rPr>
          <w:szCs w:val="22"/>
          <w:lang w:val="sr-Latn-ME"/>
        </w:rPr>
      </w:pPr>
      <w:r w:rsidRPr="00012278">
        <w:rPr>
          <w:szCs w:val="22"/>
          <w:lang w:val="sr-Latn-ME"/>
        </w:rPr>
        <w:t xml:space="preserve">Potrebno je pridržavati se postupaka za sigurno rukovanje citotoksičnim ljekovima. </w:t>
      </w:r>
    </w:p>
    <w:p w14:paraId="501D0004" w14:textId="4CC1C130" w:rsidR="00835DFB" w:rsidRPr="00012278" w:rsidRDefault="00A36CC0" w:rsidP="006140B9">
      <w:pPr>
        <w:rPr>
          <w:szCs w:val="22"/>
          <w:lang w:val="sr-Latn-ME"/>
        </w:rPr>
      </w:pPr>
      <w:r w:rsidRPr="00012278">
        <w:rPr>
          <w:szCs w:val="22"/>
          <w:lang w:val="sr-Latn-ME"/>
        </w:rPr>
        <w:t>Neupotrijebljeni lijek se uništava u skladu sa važećim propisima.</w:t>
      </w:r>
    </w:p>
    <w:p w14:paraId="03966E6D" w14:textId="4DC5AC04" w:rsidR="005E7374" w:rsidRPr="00012278" w:rsidRDefault="005E7374" w:rsidP="006140B9">
      <w:pPr>
        <w:rPr>
          <w:szCs w:val="22"/>
          <w:lang w:val="sr-Latn-ME"/>
        </w:rPr>
      </w:pPr>
    </w:p>
    <w:p w14:paraId="3364F297" w14:textId="77777777" w:rsidR="00A36CC0" w:rsidRPr="00012278" w:rsidRDefault="00A36CC0" w:rsidP="006140B9">
      <w:pPr>
        <w:rPr>
          <w:szCs w:val="22"/>
          <w:lang w:val="sr-Latn-ME"/>
        </w:rPr>
      </w:pPr>
    </w:p>
    <w:p w14:paraId="3D16FE53" w14:textId="77777777" w:rsidR="006140B9" w:rsidRPr="00012278" w:rsidRDefault="006140B9" w:rsidP="006140B9">
      <w:pPr>
        <w:rPr>
          <w:b/>
          <w:bCs/>
          <w:szCs w:val="22"/>
          <w:lang w:val="sr-Latn-ME"/>
        </w:rPr>
      </w:pPr>
      <w:r w:rsidRPr="00012278">
        <w:rPr>
          <w:b/>
          <w:bCs/>
          <w:szCs w:val="22"/>
          <w:lang w:val="sr-Latn-ME"/>
        </w:rPr>
        <w:t xml:space="preserve">7.      NOSILAC DOZVOLE </w:t>
      </w:r>
    </w:p>
    <w:p w14:paraId="36278EDE" w14:textId="77777777" w:rsidR="006140B9" w:rsidRPr="00012278" w:rsidRDefault="006140B9" w:rsidP="006140B9">
      <w:pPr>
        <w:rPr>
          <w:szCs w:val="22"/>
          <w:lang w:val="sr-Latn-ME"/>
        </w:rPr>
      </w:pPr>
    </w:p>
    <w:p w14:paraId="26A0B6E3" w14:textId="0CF5B620" w:rsidR="006140B9" w:rsidRPr="00012278" w:rsidRDefault="006140B9" w:rsidP="006140B9">
      <w:pPr>
        <w:rPr>
          <w:szCs w:val="22"/>
          <w:lang w:val="sr-Latn-ME"/>
        </w:rPr>
      </w:pPr>
      <w:r w:rsidRPr="00012278">
        <w:rPr>
          <w:szCs w:val="22"/>
          <w:lang w:val="sr-Latn-ME"/>
        </w:rPr>
        <w:t>DSD „KRKA d.d. Novo mesto“</w:t>
      </w:r>
      <w:r w:rsidR="00A36CC0" w:rsidRPr="00012278">
        <w:rPr>
          <w:szCs w:val="22"/>
          <w:lang w:val="sr-Latn-ME"/>
        </w:rPr>
        <w:t xml:space="preserve"> Slovenija</w:t>
      </w:r>
      <w:r w:rsidRPr="00012278">
        <w:rPr>
          <w:szCs w:val="22"/>
          <w:lang w:val="sr-Latn-ME"/>
        </w:rPr>
        <w:t xml:space="preserve"> - predstavništvo Podgorica</w:t>
      </w:r>
      <w:r w:rsidR="00183A6F" w:rsidRPr="00012278">
        <w:rPr>
          <w:szCs w:val="22"/>
          <w:lang w:val="sr-Latn-ME"/>
        </w:rPr>
        <w:t>,</w:t>
      </w:r>
    </w:p>
    <w:p w14:paraId="7E94ECF1" w14:textId="5B38D009" w:rsidR="006140B9" w:rsidRPr="00012278" w:rsidRDefault="006140B9" w:rsidP="006140B9">
      <w:pPr>
        <w:rPr>
          <w:szCs w:val="22"/>
          <w:lang w:val="sr-Latn-ME"/>
        </w:rPr>
      </w:pPr>
      <w:r w:rsidRPr="00012278">
        <w:rPr>
          <w:szCs w:val="22"/>
          <w:lang w:val="sr-Latn-ME"/>
        </w:rPr>
        <w:t>Svetlane Kane Radević br. 3, 81000 Podgorica, Crna Gora</w:t>
      </w:r>
    </w:p>
    <w:p w14:paraId="3252C885" w14:textId="77777777" w:rsidR="006140B9" w:rsidRPr="00012278" w:rsidRDefault="006140B9" w:rsidP="006140B9">
      <w:pPr>
        <w:rPr>
          <w:szCs w:val="22"/>
          <w:lang w:val="sr-Latn-ME"/>
        </w:rPr>
      </w:pPr>
    </w:p>
    <w:p w14:paraId="2CE3709B" w14:textId="77777777" w:rsidR="00835DFB" w:rsidRPr="00012278" w:rsidRDefault="00835DFB" w:rsidP="006140B9">
      <w:pPr>
        <w:rPr>
          <w:szCs w:val="22"/>
          <w:lang w:val="sr-Latn-ME"/>
        </w:rPr>
      </w:pPr>
    </w:p>
    <w:p w14:paraId="2C63BF6E" w14:textId="77777777" w:rsidR="006140B9" w:rsidRPr="00012278" w:rsidRDefault="006140B9" w:rsidP="006140B9">
      <w:pPr>
        <w:rPr>
          <w:b/>
          <w:bCs/>
          <w:szCs w:val="22"/>
          <w:lang w:val="sr-Latn-ME"/>
        </w:rPr>
      </w:pPr>
      <w:r w:rsidRPr="00012278">
        <w:rPr>
          <w:b/>
          <w:bCs/>
          <w:szCs w:val="22"/>
          <w:lang w:val="sr-Latn-ME"/>
        </w:rPr>
        <w:t>8.     BROJ DOZVOLE ZA STAVLJANJE LIJEKA U PROMET</w:t>
      </w:r>
    </w:p>
    <w:p w14:paraId="09B39FA1" w14:textId="77777777" w:rsidR="006140B9" w:rsidRPr="00012278" w:rsidRDefault="006140B9" w:rsidP="006140B9">
      <w:pPr>
        <w:rPr>
          <w:szCs w:val="22"/>
          <w:lang w:val="sr-Latn-ME"/>
        </w:rPr>
      </w:pPr>
    </w:p>
    <w:p w14:paraId="4AFF8D99" w14:textId="774AC9C1" w:rsidR="006140B9" w:rsidRPr="00012278" w:rsidRDefault="006140B9" w:rsidP="006140B9">
      <w:pPr>
        <w:rPr>
          <w:szCs w:val="22"/>
          <w:lang w:val="sr-Latn-ME"/>
        </w:rPr>
      </w:pPr>
      <w:r w:rsidRPr="00012278">
        <w:rPr>
          <w:szCs w:val="22"/>
          <w:lang w:val="sr-Latn-ME"/>
        </w:rPr>
        <w:t>Ecansya, film tableta, 150 mg, blister, 60 film tableta:</w:t>
      </w:r>
      <w:r w:rsidR="00841368" w:rsidRPr="00012278">
        <w:rPr>
          <w:szCs w:val="22"/>
          <w:lang w:val="sr-Latn-ME" w:eastAsia="sr-Latn-ME"/>
        </w:rPr>
        <w:t xml:space="preserve"> 2030/24/4699 – 5985 </w:t>
      </w:r>
    </w:p>
    <w:p w14:paraId="48E80391" w14:textId="6568AC79" w:rsidR="006140B9" w:rsidRPr="00012278" w:rsidRDefault="006140B9" w:rsidP="006140B9">
      <w:pPr>
        <w:rPr>
          <w:szCs w:val="22"/>
          <w:lang w:val="sr-Latn-ME"/>
        </w:rPr>
      </w:pPr>
      <w:r w:rsidRPr="00012278">
        <w:rPr>
          <w:szCs w:val="22"/>
          <w:lang w:val="sr-Latn-ME"/>
        </w:rPr>
        <w:t xml:space="preserve">Ecansya, film tableta, 500 mg, blister, 120 film tableta: </w:t>
      </w:r>
      <w:r w:rsidR="00012278" w:rsidRPr="00012278">
        <w:rPr>
          <w:szCs w:val="22"/>
          <w:lang w:val="sr-Latn-ME" w:eastAsia="sr-Latn-ME"/>
        </w:rPr>
        <w:t xml:space="preserve">2030/24/4700 – 5986 </w:t>
      </w:r>
    </w:p>
    <w:p w14:paraId="07DDBB7A" w14:textId="77777777" w:rsidR="006140B9" w:rsidRPr="00012278" w:rsidRDefault="006140B9" w:rsidP="006140B9">
      <w:pPr>
        <w:rPr>
          <w:b/>
          <w:bCs/>
          <w:szCs w:val="22"/>
          <w:lang w:val="sr-Latn-ME"/>
        </w:rPr>
      </w:pPr>
    </w:p>
    <w:p w14:paraId="606DFD14" w14:textId="77777777" w:rsidR="00835DFB" w:rsidRPr="00012278" w:rsidRDefault="00835DFB" w:rsidP="006140B9">
      <w:pPr>
        <w:rPr>
          <w:b/>
          <w:bCs/>
          <w:szCs w:val="22"/>
          <w:lang w:val="sr-Latn-ME"/>
        </w:rPr>
      </w:pPr>
    </w:p>
    <w:p w14:paraId="7692C639" w14:textId="77777777" w:rsidR="006140B9" w:rsidRPr="00012278" w:rsidRDefault="006140B9" w:rsidP="006140B9">
      <w:pPr>
        <w:rPr>
          <w:b/>
          <w:bCs/>
          <w:szCs w:val="22"/>
          <w:lang w:val="sr-Latn-ME"/>
        </w:rPr>
      </w:pPr>
      <w:r w:rsidRPr="00012278">
        <w:rPr>
          <w:b/>
          <w:bCs/>
          <w:szCs w:val="22"/>
          <w:lang w:val="sr-Latn-ME"/>
        </w:rPr>
        <w:t>9.      DATUM PRVE DOZVOLE/OBNOVE DOZVOLE ZA STAVLJANJE LIJEKA U PROMET</w:t>
      </w:r>
    </w:p>
    <w:p w14:paraId="77CB705D" w14:textId="77777777" w:rsidR="006140B9" w:rsidRPr="00012278" w:rsidRDefault="006140B9" w:rsidP="006140B9">
      <w:pPr>
        <w:rPr>
          <w:b/>
          <w:bCs/>
          <w:szCs w:val="22"/>
          <w:lang w:val="sr-Latn-ME"/>
        </w:rPr>
      </w:pPr>
    </w:p>
    <w:p w14:paraId="52A2A322" w14:textId="27961027" w:rsidR="006140B9" w:rsidRPr="00012278" w:rsidRDefault="00A36CC0" w:rsidP="006140B9">
      <w:pPr>
        <w:rPr>
          <w:szCs w:val="22"/>
          <w:lang w:val="sr-Latn-ME"/>
        </w:rPr>
      </w:pPr>
      <w:r w:rsidRPr="00012278">
        <w:rPr>
          <w:szCs w:val="22"/>
          <w:lang w:val="sr-Latn-ME"/>
        </w:rPr>
        <w:t>Datum prve dozvole</w:t>
      </w:r>
      <w:r w:rsidR="006140B9" w:rsidRPr="00012278">
        <w:rPr>
          <w:szCs w:val="22"/>
          <w:lang w:val="sr-Latn-ME"/>
        </w:rPr>
        <w:t xml:space="preserve">: </w:t>
      </w:r>
      <w:r w:rsidR="00994A8C" w:rsidRPr="00012278">
        <w:rPr>
          <w:szCs w:val="22"/>
          <w:lang w:val="sr-Latn-ME"/>
        </w:rPr>
        <w:t>08.04.2016. godine</w:t>
      </w:r>
      <w:r w:rsidR="006140B9" w:rsidRPr="00012278">
        <w:rPr>
          <w:szCs w:val="22"/>
          <w:lang w:val="sr-Latn-ME"/>
        </w:rPr>
        <w:t xml:space="preserve"> </w:t>
      </w:r>
    </w:p>
    <w:p w14:paraId="0C1E9C34" w14:textId="1AFC96D7" w:rsidR="00A36CC0" w:rsidRPr="00012278" w:rsidRDefault="00A36CC0" w:rsidP="00A36CC0">
      <w:pPr>
        <w:rPr>
          <w:b/>
          <w:color w:val="FF0000"/>
          <w:szCs w:val="22"/>
          <w:u w:val="single"/>
          <w:lang w:val="sr-Latn-ME"/>
        </w:rPr>
      </w:pPr>
      <w:r w:rsidRPr="00012278">
        <w:rPr>
          <w:szCs w:val="22"/>
          <w:lang w:val="sr-Latn-ME"/>
        </w:rPr>
        <w:t>Datum posljednje obnove dozvole:</w:t>
      </w:r>
      <w:r w:rsidR="00646385">
        <w:rPr>
          <w:szCs w:val="22"/>
          <w:lang w:val="sr-Latn-ME" w:eastAsia="sr-Latn-ME"/>
        </w:rPr>
        <w:t xml:space="preserve"> 23</w:t>
      </w:r>
      <w:r w:rsidR="00841368" w:rsidRPr="00012278">
        <w:rPr>
          <w:szCs w:val="22"/>
          <w:lang w:val="sr-Latn-ME" w:eastAsia="sr-Latn-ME"/>
        </w:rPr>
        <w:t>.09.2024. godine</w:t>
      </w:r>
      <w:r w:rsidR="00841368" w:rsidRPr="00012278">
        <w:rPr>
          <w:szCs w:val="22"/>
          <w:lang w:val="sr-Latn-ME"/>
        </w:rPr>
        <w:t xml:space="preserve">   </w:t>
      </w:r>
    </w:p>
    <w:p w14:paraId="2DF532CC" w14:textId="77777777" w:rsidR="006140B9" w:rsidRPr="00012278" w:rsidRDefault="006140B9" w:rsidP="006140B9">
      <w:pPr>
        <w:rPr>
          <w:b/>
          <w:bCs/>
          <w:szCs w:val="22"/>
          <w:lang w:val="sr-Latn-ME"/>
        </w:rPr>
      </w:pPr>
    </w:p>
    <w:p w14:paraId="32AA95F3" w14:textId="77777777" w:rsidR="00835DFB" w:rsidRPr="00012278" w:rsidRDefault="00835DFB" w:rsidP="006140B9">
      <w:pPr>
        <w:rPr>
          <w:b/>
          <w:bCs/>
          <w:szCs w:val="22"/>
          <w:lang w:val="sr-Latn-ME"/>
        </w:rPr>
      </w:pPr>
    </w:p>
    <w:p w14:paraId="55475CF3" w14:textId="77777777" w:rsidR="006140B9" w:rsidRPr="00012278" w:rsidRDefault="006140B9" w:rsidP="006140B9">
      <w:pPr>
        <w:rPr>
          <w:b/>
          <w:bCs/>
          <w:szCs w:val="22"/>
          <w:lang w:val="sr-Latn-ME"/>
        </w:rPr>
      </w:pPr>
      <w:r w:rsidRPr="00012278">
        <w:rPr>
          <w:b/>
          <w:bCs/>
          <w:szCs w:val="22"/>
          <w:lang w:val="sr-Latn-ME"/>
        </w:rPr>
        <w:t>10. DATUM REVIZIJE TEKSTA</w:t>
      </w:r>
    </w:p>
    <w:p w14:paraId="2DC5AFAB" w14:textId="77777777" w:rsidR="006140B9" w:rsidRPr="00012278" w:rsidRDefault="006140B9" w:rsidP="006140B9">
      <w:pPr>
        <w:rPr>
          <w:b/>
          <w:bCs/>
          <w:szCs w:val="22"/>
          <w:lang w:val="sr-Latn-ME"/>
        </w:rPr>
      </w:pPr>
    </w:p>
    <w:p w14:paraId="1FCD7F16" w14:textId="6C316DBD" w:rsidR="006140B9" w:rsidRPr="00012278" w:rsidRDefault="00841368" w:rsidP="006140B9">
      <w:pPr>
        <w:rPr>
          <w:szCs w:val="22"/>
          <w:lang w:val="sr-Latn-ME"/>
        </w:rPr>
      </w:pPr>
      <w:r w:rsidRPr="00012278">
        <w:rPr>
          <w:szCs w:val="22"/>
          <w:lang w:val="sr-Latn-ME"/>
        </w:rPr>
        <w:t>Septembar, 2024. godine</w:t>
      </w:r>
    </w:p>
    <w:p w14:paraId="29913AF9" w14:textId="77777777" w:rsidR="00812D16" w:rsidRPr="00012278" w:rsidRDefault="00812D16" w:rsidP="004E5A77">
      <w:pPr>
        <w:rPr>
          <w:szCs w:val="22"/>
          <w:lang w:val="sr-Latn-ME"/>
        </w:rPr>
      </w:pPr>
    </w:p>
    <w:sectPr w:rsidR="00812D16" w:rsidRPr="00012278" w:rsidSect="0084318B">
      <w:footerReference w:type="default" r:id="rId11"/>
      <w:footerReference w:type="first" r:id="rId12"/>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EDECC" w14:textId="77777777" w:rsidR="000F0F1A" w:rsidRDefault="000F0F1A">
      <w:pPr>
        <w:spacing w:line="240" w:lineRule="auto"/>
      </w:pPr>
      <w:r>
        <w:separator/>
      </w:r>
    </w:p>
  </w:endnote>
  <w:endnote w:type="continuationSeparator" w:id="0">
    <w:p w14:paraId="15AFD4AA" w14:textId="77777777" w:rsidR="000F0F1A" w:rsidRDefault="000F0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Humanist777">
    <w:altName w:val="Lucida Sans Unicode"/>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D572" w14:textId="1556C020" w:rsidR="00A0423B" w:rsidRPr="002B4BD7" w:rsidRDefault="00A0423B" w:rsidP="002B4BD7">
    <w:pPr>
      <w:pStyle w:val="Footer"/>
      <w:jc w:val="center"/>
      <w:rPr>
        <w:sz w:val="22"/>
        <w:szCs w:val="22"/>
      </w:rPr>
    </w:pPr>
    <w:r>
      <w:fldChar w:fldCharType="begin"/>
    </w:r>
    <w:r>
      <w:instrText xml:space="preserve"> EQ </w:instrText>
    </w:r>
    <w:r>
      <w:fldChar w:fldCharType="end"/>
    </w:r>
    <w:r w:rsidRPr="002B4BD7">
      <w:rPr>
        <w:rFonts w:ascii="Times New Roman" w:hAnsi="Times New Roman"/>
        <w:sz w:val="22"/>
        <w:szCs w:val="22"/>
      </w:rPr>
      <w:fldChar w:fldCharType="begin"/>
    </w:r>
    <w:r w:rsidRPr="002B4BD7">
      <w:rPr>
        <w:rFonts w:ascii="Times New Roman" w:hAnsi="Times New Roman"/>
        <w:sz w:val="22"/>
        <w:szCs w:val="22"/>
      </w:rPr>
      <w:instrText xml:space="preserve"> PAGE </w:instrText>
    </w:r>
    <w:r w:rsidRPr="002B4BD7">
      <w:rPr>
        <w:rFonts w:ascii="Times New Roman" w:hAnsi="Times New Roman"/>
        <w:sz w:val="22"/>
        <w:szCs w:val="22"/>
      </w:rPr>
      <w:fldChar w:fldCharType="separate"/>
    </w:r>
    <w:r w:rsidR="0084318B">
      <w:rPr>
        <w:rFonts w:ascii="Times New Roman" w:hAnsi="Times New Roman"/>
        <w:sz w:val="22"/>
        <w:szCs w:val="22"/>
      </w:rPr>
      <w:t>10</w:t>
    </w:r>
    <w:r w:rsidRPr="002B4BD7">
      <w:rPr>
        <w:rFonts w:ascii="Times New Roman" w:hAnsi="Times New Roman"/>
        <w:sz w:val="22"/>
        <w:szCs w:val="22"/>
      </w:rPr>
      <w:fldChar w:fldCharType="end"/>
    </w:r>
    <w:r w:rsidRPr="002B4BD7">
      <w:rPr>
        <w:rFonts w:ascii="Times New Roman" w:hAnsi="Times New Roman"/>
        <w:sz w:val="22"/>
        <w:szCs w:val="22"/>
      </w:rPr>
      <w:t xml:space="preserve"> / </w:t>
    </w:r>
    <w:r w:rsidRPr="002B4BD7">
      <w:rPr>
        <w:rFonts w:ascii="Times New Roman" w:hAnsi="Times New Roman"/>
        <w:sz w:val="22"/>
        <w:szCs w:val="22"/>
      </w:rPr>
      <w:fldChar w:fldCharType="begin"/>
    </w:r>
    <w:r w:rsidRPr="002B4BD7">
      <w:rPr>
        <w:rFonts w:ascii="Times New Roman" w:hAnsi="Times New Roman"/>
        <w:sz w:val="22"/>
        <w:szCs w:val="22"/>
      </w:rPr>
      <w:instrText xml:space="preserve"> NUMPAGES </w:instrText>
    </w:r>
    <w:r w:rsidRPr="002B4BD7">
      <w:rPr>
        <w:rFonts w:ascii="Times New Roman" w:hAnsi="Times New Roman"/>
        <w:sz w:val="22"/>
        <w:szCs w:val="22"/>
      </w:rPr>
      <w:fldChar w:fldCharType="separate"/>
    </w:r>
    <w:r w:rsidR="0084318B">
      <w:rPr>
        <w:rFonts w:ascii="Times New Roman" w:hAnsi="Times New Roman"/>
        <w:sz w:val="22"/>
        <w:szCs w:val="22"/>
      </w:rPr>
      <w:t>29</w:t>
    </w:r>
    <w:r w:rsidRPr="002B4BD7">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1134" w14:textId="77777777" w:rsidR="00A0423B" w:rsidRPr="006C3553" w:rsidRDefault="00A0423B" w:rsidP="004E5A77">
    <w:pPr>
      <w:pStyle w:val="Footer"/>
      <w:tabs>
        <w:tab w:val="right" w:pos="8931"/>
      </w:tabs>
      <w:ind w:right="96"/>
      <w:jc w:val="center"/>
      <w:rPr>
        <w:rFonts w:ascii="Times New Roman" w:hAnsi="Times New Roman"/>
        <w:sz w:val="18"/>
        <w:szCs w:val="18"/>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0007" w14:textId="77777777" w:rsidR="000F0F1A" w:rsidRDefault="000F0F1A">
      <w:pPr>
        <w:spacing w:line="240" w:lineRule="auto"/>
      </w:pPr>
      <w:r>
        <w:separator/>
      </w:r>
    </w:p>
  </w:footnote>
  <w:footnote w:type="continuationSeparator" w:id="0">
    <w:p w14:paraId="48F42906" w14:textId="77777777" w:rsidR="000F0F1A" w:rsidRDefault="000F0F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E752CC1E">
      <w:start w:val="1"/>
      <w:numFmt w:val="bullet"/>
      <w:lvlText w:val=""/>
      <w:lvlJc w:val="left"/>
      <w:pPr>
        <w:tabs>
          <w:tab w:val="num" w:pos="360"/>
        </w:tabs>
        <w:ind w:left="360" w:hanging="360"/>
      </w:pPr>
      <w:rPr>
        <w:rFonts w:ascii="Symbol" w:hAnsi="Symbol" w:hint="default"/>
      </w:rPr>
    </w:lvl>
    <w:lvl w:ilvl="1" w:tplc="57503432" w:tentative="1">
      <w:start w:val="1"/>
      <w:numFmt w:val="bullet"/>
      <w:lvlText w:val="o"/>
      <w:lvlJc w:val="left"/>
      <w:pPr>
        <w:tabs>
          <w:tab w:val="num" w:pos="1080"/>
        </w:tabs>
        <w:ind w:left="1080" w:hanging="360"/>
      </w:pPr>
      <w:rPr>
        <w:rFonts w:ascii="Courier New" w:hAnsi="Courier New" w:cs="Courier New" w:hint="default"/>
      </w:rPr>
    </w:lvl>
    <w:lvl w:ilvl="2" w:tplc="ABE89012" w:tentative="1">
      <w:start w:val="1"/>
      <w:numFmt w:val="bullet"/>
      <w:lvlText w:val=""/>
      <w:lvlJc w:val="left"/>
      <w:pPr>
        <w:tabs>
          <w:tab w:val="num" w:pos="1800"/>
        </w:tabs>
        <w:ind w:left="1800" w:hanging="360"/>
      </w:pPr>
      <w:rPr>
        <w:rFonts w:ascii="Wingdings" w:hAnsi="Wingdings" w:hint="default"/>
      </w:rPr>
    </w:lvl>
    <w:lvl w:ilvl="3" w:tplc="754C4518" w:tentative="1">
      <w:start w:val="1"/>
      <w:numFmt w:val="bullet"/>
      <w:lvlText w:val=""/>
      <w:lvlJc w:val="left"/>
      <w:pPr>
        <w:tabs>
          <w:tab w:val="num" w:pos="2520"/>
        </w:tabs>
        <w:ind w:left="2520" w:hanging="360"/>
      </w:pPr>
      <w:rPr>
        <w:rFonts w:ascii="Symbol" w:hAnsi="Symbol" w:hint="default"/>
      </w:rPr>
    </w:lvl>
    <w:lvl w:ilvl="4" w:tplc="1BCC9FF4" w:tentative="1">
      <w:start w:val="1"/>
      <w:numFmt w:val="bullet"/>
      <w:lvlText w:val="o"/>
      <w:lvlJc w:val="left"/>
      <w:pPr>
        <w:tabs>
          <w:tab w:val="num" w:pos="3240"/>
        </w:tabs>
        <w:ind w:left="3240" w:hanging="360"/>
      </w:pPr>
      <w:rPr>
        <w:rFonts w:ascii="Courier New" w:hAnsi="Courier New" w:cs="Courier New" w:hint="default"/>
      </w:rPr>
    </w:lvl>
    <w:lvl w:ilvl="5" w:tplc="F8FA5298" w:tentative="1">
      <w:start w:val="1"/>
      <w:numFmt w:val="bullet"/>
      <w:lvlText w:val=""/>
      <w:lvlJc w:val="left"/>
      <w:pPr>
        <w:tabs>
          <w:tab w:val="num" w:pos="3960"/>
        </w:tabs>
        <w:ind w:left="3960" w:hanging="360"/>
      </w:pPr>
      <w:rPr>
        <w:rFonts w:ascii="Wingdings" w:hAnsi="Wingdings" w:hint="default"/>
      </w:rPr>
    </w:lvl>
    <w:lvl w:ilvl="6" w:tplc="108C322C" w:tentative="1">
      <w:start w:val="1"/>
      <w:numFmt w:val="bullet"/>
      <w:lvlText w:val=""/>
      <w:lvlJc w:val="left"/>
      <w:pPr>
        <w:tabs>
          <w:tab w:val="num" w:pos="4680"/>
        </w:tabs>
        <w:ind w:left="4680" w:hanging="360"/>
      </w:pPr>
      <w:rPr>
        <w:rFonts w:ascii="Symbol" w:hAnsi="Symbol" w:hint="default"/>
      </w:rPr>
    </w:lvl>
    <w:lvl w:ilvl="7" w:tplc="31C00D9A" w:tentative="1">
      <w:start w:val="1"/>
      <w:numFmt w:val="bullet"/>
      <w:lvlText w:val="o"/>
      <w:lvlJc w:val="left"/>
      <w:pPr>
        <w:tabs>
          <w:tab w:val="num" w:pos="5400"/>
        </w:tabs>
        <w:ind w:left="5400" w:hanging="360"/>
      </w:pPr>
      <w:rPr>
        <w:rFonts w:ascii="Courier New" w:hAnsi="Courier New" w:cs="Courier New" w:hint="default"/>
      </w:rPr>
    </w:lvl>
    <w:lvl w:ilvl="8" w:tplc="15D4D9F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9B932C1"/>
    <w:multiLevelType w:val="hybridMultilevel"/>
    <w:tmpl w:val="0AE68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C44CC1"/>
    <w:multiLevelType w:val="hybridMultilevel"/>
    <w:tmpl w:val="7FF2C56E"/>
    <w:lvl w:ilvl="0" w:tplc="DC46E300">
      <w:start w:val="1"/>
      <w:numFmt w:val="bullet"/>
      <w:lvlText w:val=""/>
      <w:lvlJc w:val="left"/>
      <w:pPr>
        <w:tabs>
          <w:tab w:val="num" w:pos="720"/>
        </w:tabs>
        <w:ind w:left="720" w:hanging="360"/>
      </w:pPr>
      <w:rPr>
        <w:rFonts w:ascii="Symbol" w:hAnsi="Symbol" w:hint="default"/>
      </w:rPr>
    </w:lvl>
    <w:lvl w:ilvl="1" w:tplc="24646B90" w:tentative="1">
      <w:start w:val="1"/>
      <w:numFmt w:val="bullet"/>
      <w:lvlText w:val="o"/>
      <w:lvlJc w:val="left"/>
      <w:pPr>
        <w:tabs>
          <w:tab w:val="num" w:pos="1440"/>
        </w:tabs>
        <w:ind w:left="1440" w:hanging="360"/>
      </w:pPr>
      <w:rPr>
        <w:rFonts w:ascii="Courier New" w:hAnsi="Courier New" w:cs="Courier New" w:hint="default"/>
      </w:rPr>
    </w:lvl>
    <w:lvl w:ilvl="2" w:tplc="0D8C3330" w:tentative="1">
      <w:start w:val="1"/>
      <w:numFmt w:val="bullet"/>
      <w:lvlText w:val=""/>
      <w:lvlJc w:val="left"/>
      <w:pPr>
        <w:tabs>
          <w:tab w:val="num" w:pos="2160"/>
        </w:tabs>
        <w:ind w:left="2160" w:hanging="360"/>
      </w:pPr>
      <w:rPr>
        <w:rFonts w:ascii="Wingdings" w:hAnsi="Wingdings" w:hint="default"/>
      </w:rPr>
    </w:lvl>
    <w:lvl w:ilvl="3" w:tplc="28BC1490" w:tentative="1">
      <w:start w:val="1"/>
      <w:numFmt w:val="bullet"/>
      <w:lvlText w:val=""/>
      <w:lvlJc w:val="left"/>
      <w:pPr>
        <w:tabs>
          <w:tab w:val="num" w:pos="2880"/>
        </w:tabs>
        <w:ind w:left="2880" w:hanging="360"/>
      </w:pPr>
      <w:rPr>
        <w:rFonts w:ascii="Symbol" w:hAnsi="Symbol" w:hint="default"/>
      </w:rPr>
    </w:lvl>
    <w:lvl w:ilvl="4" w:tplc="2948105A" w:tentative="1">
      <w:start w:val="1"/>
      <w:numFmt w:val="bullet"/>
      <w:lvlText w:val="o"/>
      <w:lvlJc w:val="left"/>
      <w:pPr>
        <w:tabs>
          <w:tab w:val="num" w:pos="3600"/>
        </w:tabs>
        <w:ind w:left="3600" w:hanging="360"/>
      </w:pPr>
      <w:rPr>
        <w:rFonts w:ascii="Courier New" w:hAnsi="Courier New" w:cs="Courier New" w:hint="default"/>
      </w:rPr>
    </w:lvl>
    <w:lvl w:ilvl="5" w:tplc="9B627F14" w:tentative="1">
      <w:start w:val="1"/>
      <w:numFmt w:val="bullet"/>
      <w:lvlText w:val=""/>
      <w:lvlJc w:val="left"/>
      <w:pPr>
        <w:tabs>
          <w:tab w:val="num" w:pos="4320"/>
        </w:tabs>
        <w:ind w:left="4320" w:hanging="360"/>
      </w:pPr>
      <w:rPr>
        <w:rFonts w:ascii="Wingdings" w:hAnsi="Wingdings" w:hint="default"/>
      </w:rPr>
    </w:lvl>
    <w:lvl w:ilvl="6" w:tplc="C08074C2" w:tentative="1">
      <w:start w:val="1"/>
      <w:numFmt w:val="bullet"/>
      <w:lvlText w:val=""/>
      <w:lvlJc w:val="left"/>
      <w:pPr>
        <w:tabs>
          <w:tab w:val="num" w:pos="5040"/>
        </w:tabs>
        <w:ind w:left="5040" w:hanging="360"/>
      </w:pPr>
      <w:rPr>
        <w:rFonts w:ascii="Symbol" w:hAnsi="Symbol" w:hint="default"/>
      </w:rPr>
    </w:lvl>
    <w:lvl w:ilvl="7" w:tplc="B1163768" w:tentative="1">
      <w:start w:val="1"/>
      <w:numFmt w:val="bullet"/>
      <w:lvlText w:val="o"/>
      <w:lvlJc w:val="left"/>
      <w:pPr>
        <w:tabs>
          <w:tab w:val="num" w:pos="5760"/>
        </w:tabs>
        <w:ind w:left="5760" w:hanging="360"/>
      </w:pPr>
      <w:rPr>
        <w:rFonts w:ascii="Courier New" w:hAnsi="Courier New" w:cs="Courier New" w:hint="default"/>
      </w:rPr>
    </w:lvl>
    <w:lvl w:ilvl="8" w:tplc="F7D8D7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CA7AA5"/>
    <w:multiLevelType w:val="hybridMultilevel"/>
    <w:tmpl w:val="B8F8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80BA7"/>
    <w:multiLevelType w:val="hybridMultilevel"/>
    <w:tmpl w:val="7ACA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B2666"/>
    <w:multiLevelType w:val="hybridMultilevel"/>
    <w:tmpl w:val="EFA4F8F0"/>
    <w:lvl w:ilvl="0" w:tplc="644E8E56">
      <w:start w:val="10"/>
      <w:numFmt w:val="decimal"/>
      <w:lvlText w:val="%1."/>
      <w:lvlJc w:val="left"/>
      <w:pPr>
        <w:tabs>
          <w:tab w:val="num" w:pos="930"/>
        </w:tabs>
        <w:ind w:left="930" w:hanging="57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93D6622"/>
    <w:multiLevelType w:val="hybridMultilevel"/>
    <w:tmpl w:val="0056627E"/>
    <w:lvl w:ilvl="0" w:tplc="4C72472E">
      <w:start w:val="19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F5A8A"/>
    <w:multiLevelType w:val="hybridMultilevel"/>
    <w:tmpl w:val="6FA0D8B2"/>
    <w:lvl w:ilvl="0" w:tplc="A50E79C0">
      <w:start w:val="2"/>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613904"/>
    <w:multiLevelType w:val="hybridMultilevel"/>
    <w:tmpl w:val="06A8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E135BD9"/>
    <w:multiLevelType w:val="hybridMultilevel"/>
    <w:tmpl w:val="DAD6C0E0"/>
    <w:lvl w:ilvl="0" w:tplc="78D61154">
      <w:start w:val="1"/>
      <w:numFmt w:val="bullet"/>
      <w:lvlText w:val=""/>
      <w:lvlJc w:val="left"/>
      <w:pPr>
        <w:tabs>
          <w:tab w:val="num" w:pos="397"/>
        </w:tabs>
        <w:ind w:left="397" w:hanging="397"/>
      </w:pPr>
      <w:rPr>
        <w:rFonts w:ascii="Symbol" w:hAnsi="Symbol" w:hint="default"/>
      </w:rPr>
    </w:lvl>
    <w:lvl w:ilvl="1" w:tplc="456EE5D0" w:tentative="1">
      <w:start w:val="1"/>
      <w:numFmt w:val="bullet"/>
      <w:lvlText w:val="o"/>
      <w:lvlJc w:val="left"/>
      <w:pPr>
        <w:tabs>
          <w:tab w:val="num" w:pos="1440"/>
        </w:tabs>
        <w:ind w:left="1440" w:hanging="360"/>
      </w:pPr>
      <w:rPr>
        <w:rFonts w:ascii="Courier New" w:hAnsi="Courier New" w:cs="Courier New" w:hint="default"/>
      </w:rPr>
    </w:lvl>
    <w:lvl w:ilvl="2" w:tplc="FDDEE800" w:tentative="1">
      <w:start w:val="1"/>
      <w:numFmt w:val="bullet"/>
      <w:lvlText w:val=""/>
      <w:lvlJc w:val="left"/>
      <w:pPr>
        <w:tabs>
          <w:tab w:val="num" w:pos="2160"/>
        </w:tabs>
        <w:ind w:left="2160" w:hanging="360"/>
      </w:pPr>
      <w:rPr>
        <w:rFonts w:ascii="Wingdings" w:hAnsi="Wingdings" w:hint="default"/>
      </w:rPr>
    </w:lvl>
    <w:lvl w:ilvl="3" w:tplc="1040AAE8" w:tentative="1">
      <w:start w:val="1"/>
      <w:numFmt w:val="bullet"/>
      <w:lvlText w:val=""/>
      <w:lvlJc w:val="left"/>
      <w:pPr>
        <w:tabs>
          <w:tab w:val="num" w:pos="2880"/>
        </w:tabs>
        <w:ind w:left="2880" w:hanging="360"/>
      </w:pPr>
      <w:rPr>
        <w:rFonts w:ascii="Symbol" w:hAnsi="Symbol" w:hint="default"/>
      </w:rPr>
    </w:lvl>
    <w:lvl w:ilvl="4" w:tplc="11D4554A" w:tentative="1">
      <w:start w:val="1"/>
      <w:numFmt w:val="bullet"/>
      <w:lvlText w:val="o"/>
      <w:lvlJc w:val="left"/>
      <w:pPr>
        <w:tabs>
          <w:tab w:val="num" w:pos="3600"/>
        </w:tabs>
        <w:ind w:left="3600" w:hanging="360"/>
      </w:pPr>
      <w:rPr>
        <w:rFonts w:ascii="Courier New" w:hAnsi="Courier New" w:cs="Courier New" w:hint="default"/>
      </w:rPr>
    </w:lvl>
    <w:lvl w:ilvl="5" w:tplc="552C1100" w:tentative="1">
      <w:start w:val="1"/>
      <w:numFmt w:val="bullet"/>
      <w:lvlText w:val=""/>
      <w:lvlJc w:val="left"/>
      <w:pPr>
        <w:tabs>
          <w:tab w:val="num" w:pos="4320"/>
        </w:tabs>
        <w:ind w:left="4320" w:hanging="360"/>
      </w:pPr>
      <w:rPr>
        <w:rFonts w:ascii="Wingdings" w:hAnsi="Wingdings" w:hint="default"/>
      </w:rPr>
    </w:lvl>
    <w:lvl w:ilvl="6" w:tplc="983CE05E" w:tentative="1">
      <w:start w:val="1"/>
      <w:numFmt w:val="bullet"/>
      <w:lvlText w:val=""/>
      <w:lvlJc w:val="left"/>
      <w:pPr>
        <w:tabs>
          <w:tab w:val="num" w:pos="5040"/>
        </w:tabs>
        <w:ind w:left="5040" w:hanging="360"/>
      </w:pPr>
      <w:rPr>
        <w:rFonts w:ascii="Symbol" w:hAnsi="Symbol" w:hint="default"/>
      </w:rPr>
    </w:lvl>
    <w:lvl w:ilvl="7" w:tplc="02746824" w:tentative="1">
      <w:start w:val="1"/>
      <w:numFmt w:val="bullet"/>
      <w:lvlText w:val="o"/>
      <w:lvlJc w:val="left"/>
      <w:pPr>
        <w:tabs>
          <w:tab w:val="num" w:pos="5760"/>
        </w:tabs>
        <w:ind w:left="5760" w:hanging="360"/>
      </w:pPr>
      <w:rPr>
        <w:rFonts w:ascii="Courier New" w:hAnsi="Courier New" w:cs="Courier New" w:hint="default"/>
      </w:rPr>
    </w:lvl>
    <w:lvl w:ilvl="8" w:tplc="A560BC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41609"/>
    <w:multiLevelType w:val="hybridMultilevel"/>
    <w:tmpl w:val="1E5AABE8"/>
    <w:lvl w:ilvl="0" w:tplc="AC329CAE">
      <w:start w:val="1"/>
      <w:numFmt w:val="decimal"/>
      <w:lvlText w:val="%1."/>
      <w:lvlJc w:val="left"/>
      <w:pPr>
        <w:tabs>
          <w:tab w:val="num" w:pos="570"/>
        </w:tabs>
        <w:ind w:left="570" w:hanging="570"/>
      </w:pPr>
      <w:rPr>
        <w:rFonts w:hint="default"/>
      </w:rPr>
    </w:lvl>
    <w:lvl w:ilvl="1" w:tplc="66704108" w:tentative="1">
      <w:start w:val="1"/>
      <w:numFmt w:val="lowerLetter"/>
      <w:lvlText w:val="%2."/>
      <w:lvlJc w:val="left"/>
      <w:pPr>
        <w:tabs>
          <w:tab w:val="num" w:pos="1080"/>
        </w:tabs>
        <w:ind w:left="1080" w:hanging="360"/>
      </w:pPr>
    </w:lvl>
    <w:lvl w:ilvl="2" w:tplc="4B16DA44" w:tentative="1">
      <w:start w:val="1"/>
      <w:numFmt w:val="lowerRoman"/>
      <w:lvlText w:val="%3."/>
      <w:lvlJc w:val="right"/>
      <w:pPr>
        <w:tabs>
          <w:tab w:val="num" w:pos="1800"/>
        </w:tabs>
        <w:ind w:left="1800" w:hanging="180"/>
      </w:pPr>
    </w:lvl>
    <w:lvl w:ilvl="3" w:tplc="05D06C7C" w:tentative="1">
      <w:start w:val="1"/>
      <w:numFmt w:val="decimal"/>
      <w:lvlText w:val="%4."/>
      <w:lvlJc w:val="left"/>
      <w:pPr>
        <w:tabs>
          <w:tab w:val="num" w:pos="2520"/>
        </w:tabs>
        <w:ind w:left="2520" w:hanging="360"/>
      </w:pPr>
    </w:lvl>
    <w:lvl w:ilvl="4" w:tplc="4A3C3D34" w:tentative="1">
      <w:start w:val="1"/>
      <w:numFmt w:val="lowerLetter"/>
      <w:lvlText w:val="%5."/>
      <w:lvlJc w:val="left"/>
      <w:pPr>
        <w:tabs>
          <w:tab w:val="num" w:pos="3240"/>
        </w:tabs>
        <w:ind w:left="3240" w:hanging="360"/>
      </w:pPr>
    </w:lvl>
    <w:lvl w:ilvl="5" w:tplc="6908BB0E" w:tentative="1">
      <w:start w:val="1"/>
      <w:numFmt w:val="lowerRoman"/>
      <w:lvlText w:val="%6."/>
      <w:lvlJc w:val="right"/>
      <w:pPr>
        <w:tabs>
          <w:tab w:val="num" w:pos="3960"/>
        </w:tabs>
        <w:ind w:left="3960" w:hanging="180"/>
      </w:pPr>
    </w:lvl>
    <w:lvl w:ilvl="6" w:tplc="B492ED1C" w:tentative="1">
      <w:start w:val="1"/>
      <w:numFmt w:val="decimal"/>
      <w:lvlText w:val="%7."/>
      <w:lvlJc w:val="left"/>
      <w:pPr>
        <w:tabs>
          <w:tab w:val="num" w:pos="4680"/>
        </w:tabs>
        <w:ind w:left="4680" w:hanging="360"/>
      </w:pPr>
    </w:lvl>
    <w:lvl w:ilvl="7" w:tplc="0AC0A3A6" w:tentative="1">
      <w:start w:val="1"/>
      <w:numFmt w:val="lowerLetter"/>
      <w:lvlText w:val="%8."/>
      <w:lvlJc w:val="left"/>
      <w:pPr>
        <w:tabs>
          <w:tab w:val="num" w:pos="5400"/>
        </w:tabs>
        <w:ind w:left="5400" w:hanging="360"/>
      </w:pPr>
    </w:lvl>
    <w:lvl w:ilvl="8" w:tplc="7EBEB39A" w:tentative="1">
      <w:start w:val="1"/>
      <w:numFmt w:val="lowerRoman"/>
      <w:lvlText w:val="%9."/>
      <w:lvlJc w:val="right"/>
      <w:pPr>
        <w:tabs>
          <w:tab w:val="num" w:pos="6120"/>
        </w:tabs>
        <w:ind w:left="6120" w:hanging="180"/>
      </w:pPr>
    </w:lvl>
  </w:abstractNum>
  <w:abstractNum w:abstractNumId="14" w15:restartNumberingAfterBreak="0">
    <w:nsid w:val="31F12943"/>
    <w:multiLevelType w:val="hybridMultilevel"/>
    <w:tmpl w:val="7CFA0166"/>
    <w:lvl w:ilvl="0" w:tplc="51662C04">
      <w:start w:val="1"/>
      <w:numFmt w:val="bullet"/>
      <w:lvlText w:val="-"/>
      <w:lvlJc w:val="left"/>
      <w:pPr>
        <w:tabs>
          <w:tab w:val="num" w:pos="540"/>
        </w:tabs>
        <w:ind w:left="540" w:hanging="360"/>
      </w:pPr>
      <w:rPr>
        <w:rFonts w:ascii="Times New Roman" w:eastAsia="SimSu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964572"/>
    <w:multiLevelType w:val="hybridMultilevel"/>
    <w:tmpl w:val="1F4C18AA"/>
    <w:lvl w:ilvl="0" w:tplc="E2D8FEBE">
      <w:start w:val="1"/>
      <w:numFmt w:val="bullet"/>
      <w:lvlText w:val="-"/>
      <w:lvlJc w:val="left"/>
      <w:pPr>
        <w:tabs>
          <w:tab w:val="num" w:pos="567"/>
        </w:tabs>
        <w:ind w:left="567" w:hanging="567"/>
      </w:pPr>
      <w:rPr>
        <w:rFonts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5C12E84"/>
    <w:multiLevelType w:val="hybridMultilevel"/>
    <w:tmpl w:val="9686022E"/>
    <w:lvl w:ilvl="0" w:tplc="3544FE76">
      <w:start w:val="9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46BC5415"/>
    <w:multiLevelType w:val="hybridMultilevel"/>
    <w:tmpl w:val="075A5F7C"/>
    <w:lvl w:ilvl="0" w:tplc="71B0FED2">
      <w:start w:val="1"/>
      <w:numFmt w:val="bullet"/>
      <w:lvlText w:val="-"/>
      <w:lvlJc w:val="left"/>
      <w:pPr>
        <w:tabs>
          <w:tab w:val="num" w:pos="567"/>
        </w:tabs>
        <w:ind w:left="567" w:hanging="567"/>
      </w:pPr>
      <w:rPr>
        <w:rFonts w:hAnsi="Arial" w:hint="default"/>
      </w:rPr>
    </w:lvl>
    <w:lvl w:ilvl="1" w:tplc="ACFA8BC2">
      <w:start w:val="2"/>
      <w:numFmt w:val="bullet"/>
      <w:lvlText w:val="-"/>
      <w:lvlJc w:val="left"/>
      <w:pPr>
        <w:tabs>
          <w:tab w:val="num" w:pos="1647"/>
        </w:tabs>
        <w:ind w:left="1647" w:hanging="567"/>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895242"/>
    <w:multiLevelType w:val="hybridMultilevel"/>
    <w:tmpl w:val="0D70C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8B56C73"/>
    <w:multiLevelType w:val="hybridMultilevel"/>
    <w:tmpl w:val="5BA42128"/>
    <w:lvl w:ilvl="0" w:tplc="FD48396C">
      <w:start w:val="2"/>
      <w:numFmt w:val="decimal"/>
      <w:lvlText w:val="%1."/>
      <w:lvlJc w:val="left"/>
      <w:pPr>
        <w:tabs>
          <w:tab w:val="num" w:pos="570"/>
        </w:tabs>
        <w:ind w:left="570" w:hanging="570"/>
      </w:pPr>
      <w:rPr>
        <w:rFonts w:hint="default"/>
      </w:rPr>
    </w:lvl>
    <w:lvl w:ilvl="1" w:tplc="46163F28" w:tentative="1">
      <w:start w:val="1"/>
      <w:numFmt w:val="lowerLetter"/>
      <w:lvlText w:val="%2."/>
      <w:lvlJc w:val="left"/>
      <w:pPr>
        <w:tabs>
          <w:tab w:val="num" w:pos="1080"/>
        </w:tabs>
        <w:ind w:left="1080" w:hanging="360"/>
      </w:pPr>
    </w:lvl>
    <w:lvl w:ilvl="2" w:tplc="2B9EB966" w:tentative="1">
      <w:start w:val="1"/>
      <w:numFmt w:val="lowerRoman"/>
      <w:lvlText w:val="%3."/>
      <w:lvlJc w:val="right"/>
      <w:pPr>
        <w:tabs>
          <w:tab w:val="num" w:pos="1800"/>
        </w:tabs>
        <w:ind w:left="1800" w:hanging="180"/>
      </w:pPr>
    </w:lvl>
    <w:lvl w:ilvl="3" w:tplc="03507B1C" w:tentative="1">
      <w:start w:val="1"/>
      <w:numFmt w:val="decimal"/>
      <w:lvlText w:val="%4."/>
      <w:lvlJc w:val="left"/>
      <w:pPr>
        <w:tabs>
          <w:tab w:val="num" w:pos="2520"/>
        </w:tabs>
        <w:ind w:left="2520" w:hanging="360"/>
      </w:pPr>
    </w:lvl>
    <w:lvl w:ilvl="4" w:tplc="756AFA38" w:tentative="1">
      <w:start w:val="1"/>
      <w:numFmt w:val="lowerLetter"/>
      <w:lvlText w:val="%5."/>
      <w:lvlJc w:val="left"/>
      <w:pPr>
        <w:tabs>
          <w:tab w:val="num" w:pos="3240"/>
        </w:tabs>
        <w:ind w:left="3240" w:hanging="360"/>
      </w:pPr>
    </w:lvl>
    <w:lvl w:ilvl="5" w:tplc="DECE11CA" w:tentative="1">
      <w:start w:val="1"/>
      <w:numFmt w:val="lowerRoman"/>
      <w:lvlText w:val="%6."/>
      <w:lvlJc w:val="right"/>
      <w:pPr>
        <w:tabs>
          <w:tab w:val="num" w:pos="3960"/>
        </w:tabs>
        <w:ind w:left="3960" w:hanging="180"/>
      </w:pPr>
    </w:lvl>
    <w:lvl w:ilvl="6" w:tplc="EEA4BDDE" w:tentative="1">
      <w:start w:val="1"/>
      <w:numFmt w:val="decimal"/>
      <w:lvlText w:val="%7."/>
      <w:lvlJc w:val="left"/>
      <w:pPr>
        <w:tabs>
          <w:tab w:val="num" w:pos="4680"/>
        </w:tabs>
        <w:ind w:left="4680" w:hanging="360"/>
      </w:pPr>
    </w:lvl>
    <w:lvl w:ilvl="7" w:tplc="8A426E68" w:tentative="1">
      <w:start w:val="1"/>
      <w:numFmt w:val="lowerLetter"/>
      <w:lvlText w:val="%8."/>
      <w:lvlJc w:val="left"/>
      <w:pPr>
        <w:tabs>
          <w:tab w:val="num" w:pos="5400"/>
        </w:tabs>
        <w:ind w:left="5400" w:hanging="360"/>
      </w:pPr>
    </w:lvl>
    <w:lvl w:ilvl="8" w:tplc="1DA490F6" w:tentative="1">
      <w:start w:val="1"/>
      <w:numFmt w:val="lowerRoman"/>
      <w:lvlText w:val="%9."/>
      <w:lvlJc w:val="right"/>
      <w:pPr>
        <w:tabs>
          <w:tab w:val="num" w:pos="6120"/>
        </w:tabs>
        <w:ind w:left="6120" w:hanging="180"/>
      </w:pPr>
    </w:lvl>
  </w:abstractNum>
  <w:abstractNum w:abstractNumId="24"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6" w15:restartNumberingAfterBreak="0">
    <w:nsid w:val="67865875"/>
    <w:multiLevelType w:val="hybridMultilevel"/>
    <w:tmpl w:val="D7BE4504"/>
    <w:lvl w:ilvl="0" w:tplc="C8829954">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8" w15:restartNumberingAfterBreak="0">
    <w:nsid w:val="68E42EC4"/>
    <w:multiLevelType w:val="hybridMultilevel"/>
    <w:tmpl w:val="4A728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E95A54"/>
    <w:multiLevelType w:val="hybridMultilevel"/>
    <w:tmpl w:val="3C18EFB0"/>
    <w:lvl w:ilvl="0" w:tplc="02826D6A">
      <w:start w:val="1"/>
      <w:numFmt w:val="bullet"/>
      <w:lvlText w:val=""/>
      <w:lvlJc w:val="left"/>
      <w:pPr>
        <w:tabs>
          <w:tab w:val="num" w:pos="397"/>
        </w:tabs>
        <w:ind w:left="397" w:hanging="397"/>
      </w:pPr>
      <w:rPr>
        <w:rFonts w:ascii="Symbol" w:hAnsi="Symbol" w:hint="default"/>
      </w:rPr>
    </w:lvl>
    <w:lvl w:ilvl="1" w:tplc="E7147BFC" w:tentative="1">
      <w:start w:val="1"/>
      <w:numFmt w:val="bullet"/>
      <w:lvlText w:val="o"/>
      <w:lvlJc w:val="left"/>
      <w:pPr>
        <w:tabs>
          <w:tab w:val="num" w:pos="1440"/>
        </w:tabs>
        <w:ind w:left="1440" w:hanging="360"/>
      </w:pPr>
      <w:rPr>
        <w:rFonts w:ascii="Courier New" w:hAnsi="Courier New" w:cs="Courier New" w:hint="default"/>
      </w:rPr>
    </w:lvl>
    <w:lvl w:ilvl="2" w:tplc="D9563CA6" w:tentative="1">
      <w:start w:val="1"/>
      <w:numFmt w:val="bullet"/>
      <w:lvlText w:val=""/>
      <w:lvlJc w:val="left"/>
      <w:pPr>
        <w:tabs>
          <w:tab w:val="num" w:pos="2160"/>
        </w:tabs>
        <w:ind w:left="2160" w:hanging="360"/>
      </w:pPr>
      <w:rPr>
        <w:rFonts w:ascii="Wingdings" w:hAnsi="Wingdings" w:hint="default"/>
      </w:rPr>
    </w:lvl>
    <w:lvl w:ilvl="3" w:tplc="3E5A4D64" w:tentative="1">
      <w:start w:val="1"/>
      <w:numFmt w:val="bullet"/>
      <w:lvlText w:val=""/>
      <w:lvlJc w:val="left"/>
      <w:pPr>
        <w:tabs>
          <w:tab w:val="num" w:pos="2880"/>
        </w:tabs>
        <w:ind w:left="2880" w:hanging="360"/>
      </w:pPr>
      <w:rPr>
        <w:rFonts w:ascii="Symbol" w:hAnsi="Symbol" w:hint="default"/>
      </w:rPr>
    </w:lvl>
    <w:lvl w:ilvl="4" w:tplc="4AF026B8" w:tentative="1">
      <w:start w:val="1"/>
      <w:numFmt w:val="bullet"/>
      <w:lvlText w:val="o"/>
      <w:lvlJc w:val="left"/>
      <w:pPr>
        <w:tabs>
          <w:tab w:val="num" w:pos="3600"/>
        </w:tabs>
        <w:ind w:left="3600" w:hanging="360"/>
      </w:pPr>
      <w:rPr>
        <w:rFonts w:ascii="Courier New" w:hAnsi="Courier New" w:cs="Courier New" w:hint="default"/>
      </w:rPr>
    </w:lvl>
    <w:lvl w:ilvl="5" w:tplc="B55E83A8" w:tentative="1">
      <w:start w:val="1"/>
      <w:numFmt w:val="bullet"/>
      <w:lvlText w:val=""/>
      <w:lvlJc w:val="left"/>
      <w:pPr>
        <w:tabs>
          <w:tab w:val="num" w:pos="4320"/>
        </w:tabs>
        <w:ind w:left="4320" w:hanging="360"/>
      </w:pPr>
      <w:rPr>
        <w:rFonts w:ascii="Wingdings" w:hAnsi="Wingdings" w:hint="default"/>
      </w:rPr>
    </w:lvl>
    <w:lvl w:ilvl="6" w:tplc="40FA1026" w:tentative="1">
      <w:start w:val="1"/>
      <w:numFmt w:val="bullet"/>
      <w:lvlText w:val=""/>
      <w:lvlJc w:val="left"/>
      <w:pPr>
        <w:tabs>
          <w:tab w:val="num" w:pos="5040"/>
        </w:tabs>
        <w:ind w:left="5040" w:hanging="360"/>
      </w:pPr>
      <w:rPr>
        <w:rFonts w:ascii="Symbol" w:hAnsi="Symbol" w:hint="default"/>
      </w:rPr>
    </w:lvl>
    <w:lvl w:ilvl="7" w:tplc="CAB048C6" w:tentative="1">
      <w:start w:val="1"/>
      <w:numFmt w:val="bullet"/>
      <w:lvlText w:val="o"/>
      <w:lvlJc w:val="left"/>
      <w:pPr>
        <w:tabs>
          <w:tab w:val="num" w:pos="5760"/>
        </w:tabs>
        <w:ind w:left="5760" w:hanging="360"/>
      </w:pPr>
      <w:rPr>
        <w:rFonts w:ascii="Courier New" w:hAnsi="Courier New" w:cs="Courier New" w:hint="default"/>
      </w:rPr>
    </w:lvl>
    <w:lvl w:ilvl="8" w:tplc="570CC92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2" w15:restartNumberingAfterBreak="0">
    <w:nsid w:val="6F9337D0"/>
    <w:multiLevelType w:val="hybridMultilevel"/>
    <w:tmpl w:val="B6C885E6"/>
    <w:lvl w:ilvl="0" w:tplc="DE0E4526">
      <w:start w:val="1"/>
      <w:numFmt w:val="bullet"/>
      <w:lvlText w:val=""/>
      <w:lvlJc w:val="left"/>
      <w:pPr>
        <w:tabs>
          <w:tab w:val="num" w:pos="720"/>
        </w:tabs>
        <w:ind w:left="720" w:hanging="360"/>
      </w:pPr>
      <w:rPr>
        <w:rFonts w:ascii="Symbol" w:hAnsi="Symbol" w:hint="default"/>
      </w:rPr>
    </w:lvl>
    <w:lvl w:ilvl="1" w:tplc="4246C2A6" w:tentative="1">
      <w:start w:val="1"/>
      <w:numFmt w:val="bullet"/>
      <w:lvlText w:val="o"/>
      <w:lvlJc w:val="left"/>
      <w:pPr>
        <w:tabs>
          <w:tab w:val="num" w:pos="1440"/>
        </w:tabs>
        <w:ind w:left="1440" w:hanging="360"/>
      </w:pPr>
      <w:rPr>
        <w:rFonts w:ascii="Courier New" w:hAnsi="Courier New" w:cs="Courier New" w:hint="default"/>
      </w:rPr>
    </w:lvl>
    <w:lvl w:ilvl="2" w:tplc="F556953C" w:tentative="1">
      <w:start w:val="1"/>
      <w:numFmt w:val="bullet"/>
      <w:lvlText w:val=""/>
      <w:lvlJc w:val="left"/>
      <w:pPr>
        <w:tabs>
          <w:tab w:val="num" w:pos="2160"/>
        </w:tabs>
        <w:ind w:left="2160" w:hanging="360"/>
      </w:pPr>
      <w:rPr>
        <w:rFonts w:ascii="Wingdings" w:hAnsi="Wingdings" w:hint="default"/>
      </w:rPr>
    </w:lvl>
    <w:lvl w:ilvl="3" w:tplc="C5446F00" w:tentative="1">
      <w:start w:val="1"/>
      <w:numFmt w:val="bullet"/>
      <w:lvlText w:val=""/>
      <w:lvlJc w:val="left"/>
      <w:pPr>
        <w:tabs>
          <w:tab w:val="num" w:pos="2880"/>
        </w:tabs>
        <w:ind w:left="2880" w:hanging="360"/>
      </w:pPr>
      <w:rPr>
        <w:rFonts w:ascii="Symbol" w:hAnsi="Symbol" w:hint="default"/>
      </w:rPr>
    </w:lvl>
    <w:lvl w:ilvl="4" w:tplc="AAEA799E" w:tentative="1">
      <w:start w:val="1"/>
      <w:numFmt w:val="bullet"/>
      <w:lvlText w:val="o"/>
      <w:lvlJc w:val="left"/>
      <w:pPr>
        <w:tabs>
          <w:tab w:val="num" w:pos="3600"/>
        </w:tabs>
        <w:ind w:left="3600" w:hanging="360"/>
      </w:pPr>
      <w:rPr>
        <w:rFonts w:ascii="Courier New" w:hAnsi="Courier New" w:cs="Courier New" w:hint="default"/>
      </w:rPr>
    </w:lvl>
    <w:lvl w:ilvl="5" w:tplc="366ACEE6" w:tentative="1">
      <w:start w:val="1"/>
      <w:numFmt w:val="bullet"/>
      <w:lvlText w:val=""/>
      <w:lvlJc w:val="left"/>
      <w:pPr>
        <w:tabs>
          <w:tab w:val="num" w:pos="4320"/>
        </w:tabs>
        <w:ind w:left="4320" w:hanging="360"/>
      </w:pPr>
      <w:rPr>
        <w:rFonts w:ascii="Wingdings" w:hAnsi="Wingdings" w:hint="default"/>
      </w:rPr>
    </w:lvl>
    <w:lvl w:ilvl="6" w:tplc="C6E8638C" w:tentative="1">
      <w:start w:val="1"/>
      <w:numFmt w:val="bullet"/>
      <w:lvlText w:val=""/>
      <w:lvlJc w:val="left"/>
      <w:pPr>
        <w:tabs>
          <w:tab w:val="num" w:pos="5040"/>
        </w:tabs>
        <w:ind w:left="5040" w:hanging="360"/>
      </w:pPr>
      <w:rPr>
        <w:rFonts w:ascii="Symbol" w:hAnsi="Symbol" w:hint="default"/>
      </w:rPr>
    </w:lvl>
    <w:lvl w:ilvl="7" w:tplc="85E62980" w:tentative="1">
      <w:start w:val="1"/>
      <w:numFmt w:val="bullet"/>
      <w:lvlText w:val="o"/>
      <w:lvlJc w:val="left"/>
      <w:pPr>
        <w:tabs>
          <w:tab w:val="num" w:pos="5760"/>
        </w:tabs>
        <w:ind w:left="5760" w:hanging="360"/>
      </w:pPr>
      <w:rPr>
        <w:rFonts w:ascii="Courier New" w:hAnsi="Courier New" w:cs="Courier New" w:hint="default"/>
      </w:rPr>
    </w:lvl>
    <w:lvl w:ilvl="8" w:tplc="858A845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B50F1"/>
    <w:multiLevelType w:val="hybridMultilevel"/>
    <w:tmpl w:val="64CEA6CC"/>
    <w:lvl w:ilvl="0" w:tplc="83A49770">
      <w:start w:val="1"/>
      <w:numFmt w:val="decimal"/>
      <w:lvlText w:val="%1)"/>
      <w:lvlJc w:val="left"/>
      <w:pPr>
        <w:ind w:left="720" w:hanging="360"/>
      </w:pPr>
      <w:rPr>
        <w:rFonts w:hint="default"/>
      </w:rPr>
    </w:lvl>
    <w:lvl w:ilvl="1" w:tplc="1CCAF29E" w:tentative="1">
      <w:start w:val="1"/>
      <w:numFmt w:val="lowerLetter"/>
      <w:lvlText w:val="%2."/>
      <w:lvlJc w:val="left"/>
      <w:pPr>
        <w:ind w:left="1440" w:hanging="360"/>
      </w:pPr>
    </w:lvl>
    <w:lvl w:ilvl="2" w:tplc="30383A04" w:tentative="1">
      <w:start w:val="1"/>
      <w:numFmt w:val="lowerRoman"/>
      <w:lvlText w:val="%3."/>
      <w:lvlJc w:val="right"/>
      <w:pPr>
        <w:ind w:left="2160" w:hanging="180"/>
      </w:pPr>
    </w:lvl>
    <w:lvl w:ilvl="3" w:tplc="372E571C" w:tentative="1">
      <w:start w:val="1"/>
      <w:numFmt w:val="decimal"/>
      <w:lvlText w:val="%4."/>
      <w:lvlJc w:val="left"/>
      <w:pPr>
        <w:ind w:left="2880" w:hanging="360"/>
      </w:pPr>
    </w:lvl>
    <w:lvl w:ilvl="4" w:tplc="32160774" w:tentative="1">
      <w:start w:val="1"/>
      <w:numFmt w:val="lowerLetter"/>
      <w:lvlText w:val="%5."/>
      <w:lvlJc w:val="left"/>
      <w:pPr>
        <w:ind w:left="3600" w:hanging="360"/>
      </w:pPr>
    </w:lvl>
    <w:lvl w:ilvl="5" w:tplc="4B08026A" w:tentative="1">
      <w:start w:val="1"/>
      <w:numFmt w:val="lowerRoman"/>
      <w:lvlText w:val="%6."/>
      <w:lvlJc w:val="right"/>
      <w:pPr>
        <w:ind w:left="4320" w:hanging="180"/>
      </w:pPr>
    </w:lvl>
    <w:lvl w:ilvl="6" w:tplc="1C403200" w:tentative="1">
      <w:start w:val="1"/>
      <w:numFmt w:val="decimal"/>
      <w:lvlText w:val="%7."/>
      <w:lvlJc w:val="left"/>
      <w:pPr>
        <w:ind w:left="5040" w:hanging="360"/>
      </w:pPr>
    </w:lvl>
    <w:lvl w:ilvl="7" w:tplc="983A684A" w:tentative="1">
      <w:start w:val="1"/>
      <w:numFmt w:val="lowerLetter"/>
      <w:lvlText w:val="%8."/>
      <w:lvlJc w:val="left"/>
      <w:pPr>
        <w:ind w:left="5760" w:hanging="360"/>
      </w:pPr>
    </w:lvl>
    <w:lvl w:ilvl="8" w:tplc="69C4EE52" w:tentative="1">
      <w:start w:val="1"/>
      <w:numFmt w:val="lowerRoman"/>
      <w:lvlText w:val="%9."/>
      <w:lvlJc w:val="right"/>
      <w:pPr>
        <w:ind w:left="6480" w:hanging="180"/>
      </w:pPr>
    </w:lvl>
  </w:abstractNum>
  <w:abstractNum w:abstractNumId="34" w15:restartNumberingAfterBreak="0">
    <w:nsid w:val="733755FF"/>
    <w:multiLevelType w:val="hybridMultilevel"/>
    <w:tmpl w:val="D446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B358C4"/>
    <w:multiLevelType w:val="hybridMultilevel"/>
    <w:tmpl w:val="CAD83890"/>
    <w:lvl w:ilvl="0" w:tplc="5846C876">
      <w:start w:val="5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7"/>
  </w:num>
  <w:num w:numId="6">
    <w:abstractNumId w:val="23"/>
  </w:num>
  <w:num w:numId="7">
    <w:abstractNumId w:val="13"/>
  </w:num>
  <w:num w:numId="8">
    <w:abstractNumId w:val="17"/>
  </w:num>
  <w:num w:numId="9">
    <w:abstractNumId w:val="33"/>
  </w:num>
  <w:num w:numId="10">
    <w:abstractNumId w:val="1"/>
  </w:num>
  <w:num w:numId="11">
    <w:abstractNumId w:val="30"/>
  </w:num>
  <w:num w:numId="12">
    <w:abstractNumId w:val="15"/>
  </w:num>
  <w:num w:numId="13">
    <w:abstractNumId w:val="11"/>
  </w:num>
  <w:num w:numId="14">
    <w:abstractNumId w:val="4"/>
  </w:num>
  <w:num w:numId="15">
    <w:abstractNumId w:val="0"/>
    <w:lvlOverride w:ilvl="0">
      <w:lvl w:ilvl="0">
        <w:start w:val="1"/>
        <w:numFmt w:val="bullet"/>
        <w:lvlText w:val="-"/>
        <w:legacy w:legacy="1" w:legacySpace="0" w:legacyIndent="360"/>
        <w:lvlJc w:val="left"/>
        <w:pPr>
          <w:ind w:left="360" w:hanging="360"/>
        </w:pPr>
      </w:lvl>
    </w:lvlOverride>
  </w:num>
  <w:num w:numId="16">
    <w:abstractNumId w:val="31"/>
  </w:num>
  <w:num w:numId="17">
    <w:abstractNumId w:val="20"/>
  </w:num>
  <w:num w:numId="18">
    <w:abstractNumId w:val="22"/>
  </w:num>
  <w:num w:numId="19">
    <w:abstractNumId w:val="35"/>
  </w:num>
  <w:num w:numId="20">
    <w:abstractNumId w:val="24"/>
  </w:num>
  <w:num w:numId="21">
    <w:abstractNumId w:val="32"/>
  </w:num>
  <w:num w:numId="22">
    <w:abstractNumId w:val="29"/>
  </w:num>
  <w:num w:numId="23">
    <w:abstractNumId w:val="12"/>
  </w:num>
  <w:num w:numId="24">
    <w:abstractNumId w:val="32"/>
  </w:num>
  <w:num w:numId="25">
    <w:abstractNumId w:val="4"/>
  </w:num>
  <w:num w:numId="26">
    <w:abstractNumId w:val="19"/>
  </w:num>
  <w:num w:numId="27">
    <w:abstractNumId w:val="9"/>
  </w:num>
  <w:num w:numId="28">
    <w:abstractNumId w:val="7"/>
  </w:num>
  <w:num w:numId="29">
    <w:abstractNumId w:val="16"/>
  </w:num>
  <w:num w:numId="30">
    <w:abstractNumId w:val="36"/>
  </w:num>
  <w:num w:numId="31">
    <w:abstractNumId w:val="18"/>
  </w:num>
  <w:num w:numId="32">
    <w:abstractNumId w:val="28"/>
  </w:num>
  <w:num w:numId="33">
    <w:abstractNumId w:val="14"/>
  </w:num>
  <w:num w:numId="34">
    <w:abstractNumId w:val="8"/>
  </w:num>
  <w:num w:numId="35">
    <w:abstractNumId w:val="21"/>
  </w:num>
  <w:num w:numId="36">
    <w:abstractNumId w:val="34"/>
  </w:num>
  <w:num w:numId="37">
    <w:abstractNumId w:val="3"/>
  </w:num>
  <w:num w:numId="38">
    <w:abstractNumId w:val="5"/>
  </w:num>
  <w:num w:numId="39">
    <w:abstractNumId w:val="6"/>
  </w:num>
  <w:num w:numId="40">
    <w:abstractNumId w:val="1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812D16"/>
    <w:rsid w:val="00000D62"/>
    <w:rsid w:val="00001587"/>
    <w:rsid w:val="0000362A"/>
    <w:rsid w:val="00003AEF"/>
    <w:rsid w:val="00005701"/>
    <w:rsid w:val="00007528"/>
    <w:rsid w:val="0001164F"/>
    <w:rsid w:val="00012278"/>
    <w:rsid w:val="00014869"/>
    <w:rsid w:val="00014D59"/>
    <w:rsid w:val="000150D3"/>
    <w:rsid w:val="000166C1"/>
    <w:rsid w:val="0002006B"/>
    <w:rsid w:val="00020AE8"/>
    <w:rsid w:val="000212BB"/>
    <w:rsid w:val="00023150"/>
    <w:rsid w:val="00023A2C"/>
    <w:rsid w:val="00025EBE"/>
    <w:rsid w:val="00026BF2"/>
    <w:rsid w:val="000271F6"/>
    <w:rsid w:val="00030445"/>
    <w:rsid w:val="000318C7"/>
    <w:rsid w:val="0003312D"/>
    <w:rsid w:val="00033D26"/>
    <w:rsid w:val="00033FDB"/>
    <w:rsid w:val="000344F6"/>
    <w:rsid w:val="00042263"/>
    <w:rsid w:val="00043505"/>
    <w:rsid w:val="00043C70"/>
    <w:rsid w:val="00043E88"/>
    <w:rsid w:val="00044042"/>
    <w:rsid w:val="000474D2"/>
    <w:rsid w:val="000479C5"/>
    <w:rsid w:val="00050DFD"/>
    <w:rsid w:val="00052601"/>
    <w:rsid w:val="00053809"/>
    <w:rsid w:val="00053914"/>
    <w:rsid w:val="00054756"/>
    <w:rsid w:val="000556C8"/>
    <w:rsid w:val="000560C5"/>
    <w:rsid w:val="00056C49"/>
    <w:rsid w:val="00056FE0"/>
    <w:rsid w:val="00060090"/>
    <w:rsid w:val="000603C8"/>
    <w:rsid w:val="000608A4"/>
    <w:rsid w:val="00060AA1"/>
    <w:rsid w:val="00061FEE"/>
    <w:rsid w:val="000631FD"/>
    <w:rsid w:val="000643D3"/>
    <w:rsid w:val="00067B16"/>
    <w:rsid w:val="00071F8A"/>
    <w:rsid w:val="000734A2"/>
    <w:rsid w:val="00073CA0"/>
    <w:rsid w:val="00073E04"/>
    <w:rsid w:val="0007401B"/>
    <w:rsid w:val="000757B2"/>
    <w:rsid w:val="0007628D"/>
    <w:rsid w:val="00077B80"/>
    <w:rsid w:val="00081DAB"/>
    <w:rsid w:val="00083303"/>
    <w:rsid w:val="00092829"/>
    <w:rsid w:val="00092B09"/>
    <w:rsid w:val="0009351E"/>
    <w:rsid w:val="0009479A"/>
    <w:rsid w:val="00094AD6"/>
    <w:rsid w:val="00095D61"/>
    <w:rsid w:val="00095E44"/>
    <w:rsid w:val="00096D8D"/>
    <w:rsid w:val="0009755A"/>
    <w:rsid w:val="000A1232"/>
    <w:rsid w:val="000A30E5"/>
    <w:rsid w:val="000A3B08"/>
    <w:rsid w:val="000A40D0"/>
    <w:rsid w:val="000B0097"/>
    <w:rsid w:val="000B101F"/>
    <w:rsid w:val="000B1F4B"/>
    <w:rsid w:val="000B2F27"/>
    <w:rsid w:val="000B2F58"/>
    <w:rsid w:val="000B37A8"/>
    <w:rsid w:val="000B394B"/>
    <w:rsid w:val="000B51D9"/>
    <w:rsid w:val="000C03FB"/>
    <w:rsid w:val="000C12D1"/>
    <w:rsid w:val="000C308F"/>
    <w:rsid w:val="000C5A4E"/>
    <w:rsid w:val="000C635D"/>
    <w:rsid w:val="000C7F49"/>
    <w:rsid w:val="000D1AEE"/>
    <w:rsid w:val="000D1F4F"/>
    <w:rsid w:val="000D4D07"/>
    <w:rsid w:val="000D7535"/>
    <w:rsid w:val="000E165D"/>
    <w:rsid w:val="000E1BAF"/>
    <w:rsid w:val="000E223E"/>
    <w:rsid w:val="000E2491"/>
    <w:rsid w:val="000E2EA9"/>
    <w:rsid w:val="000E46A3"/>
    <w:rsid w:val="000E4E88"/>
    <w:rsid w:val="000E5726"/>
    <w:rsid w:val="000E5E30"/>
    <w:rsid w:val="000E6C94"/>
    <w:rsid w:val="000F0F1A"/>
    <w:rsid w:val="000F1BB2"/>
    <w:rsid w:val="000F217A"/>
    <w:rsid w:val="000F3F94"/>
    <w:rsid w:val="000F5235"/>
    <w:rsid w:val="000F5B21"/>
    <w:rsid w:val="00101193"/>
    <w:rsid w:val="00103501"/>
    <w:rsid w:val="00103B2D"/>
    <w:rsid w:val="00103CD2"/>
    <w:rsid w:val="00104061"/>
    <w:rsid w:val="00104341"/>
    <w:rsid w:val="00107186"/>
    <w:rsid w:val="00107236"/>
    <w:rsid w:val="001074B3"/>
    <w:rsid w:val="001101A2"/>
    <w:rsid w:val="001106F7"/>
    <w:rsid w:val="001108A9"/>
    <w:rsid w:val="001111FD"/>
    <w:rsid w:val="00112EDA"/>
    <w:rsid w:val="00114174"/>
    <w:rsid w:val="00117243"/>
    <w:rsid w:val="00117B4A"/>
    <w:rsid w:val="00117C1D"/>
    <w:rsid w:val="00121291"/>
    <w:rsid w:val="00123688"/>
    <w:rsid w:val="0012640D"/>
    <w:rsid w:val="00127F47"/>
    <w:rsid w:val="00133572"/>
    <w:rsid w:val="00134E4A"/>
    <w:rsid w:val="001364FB"/>
    <w:rsid w:val="001365F2"/>
    <w:rsid w:val="00136D7A"/>
    <w:rsid w:val="001374C5"/>
    <w:rsid w:val="00141470"/>
    <w:rsid w:val="00141540"/>
    <w:rsid w:val="001449DF"/>
    <w:rsid w:val="0014569B"/>
    <w:rsid w:val="001470E0"/>
    <w:rsid w:val="00150060"/>
    <w:rsid w:val="00154C69"/>
    <w:rsid w:val="00156C6C"/>
    <w:rsid w:val="0015704C"/>
    <w:rsid w:val="00157895"/>
    <w:rsid w:val="00161701"/>
    <w:rsid w:val="00161E87"/>
    <w:rsid w:val="0016566C"/>
    <w:rsid w:val="001727F0"/>
    <w:rsid w:val="00172B06"/>
    <w:rsid w:val="0017347E"/>
    <w:rsid w:val="00173F63"/>
    <w:rsid w:val="001752D8"/>
    <w:rsid w:val="00175931"/>
    <w:rsid w:val="00176B25"/>
    <w:rsid w:val="0018238B"/>
    <w:rsid w:val="00183419"/>
    <w:rsid w:val="0018394A"/>
    <w:rsid w:val="00183A6F"/>
    <w:rsid w:val="00184DCC"/>
    <w:rsid w:val="00186A9D"/>
    <w:rsid w:val="001874A6"/>
    <w:rsid w:val="0018765B"/>
    <w:rsid w:val="001904AE"/>
    <w:rsid w:val="00190913"/>
    <w:rsid w:val="0019236A"/>
    <w:rsid w:val="00193B21"/>
    <w:rsid w:val="00193DD3"/>
    <w:rsid w:val="001948AA"/>
    <w:rsid w:val="00195F65"/>
    <w:rsid w:val="001A07E2"/>
    <w:rsid w:val="001A0A5D"/>
    <w:rsid w:val="001A2018"/>
    <w:rsid w:val="001A56F1"/>
    <w:rsid w:val="001A5D0E"/>
    <w:rsid w:val="001B01C8"/>
    <w:rsid w:val="001B0B52"/>
    <w:rsid w:val="001B13F6"/>
    <w:rsid w:val="001B1747"/>
    <w:rsid w:val="001B1DBF"/>
    <w:rsid w:val="001B2D44"/>
    <w:rsid w:val="001B738B"/>
    <w:rsid w:val="001B7400"/>
    <w:rsid w:val="001B752A"/>
    <w:rsid w:val="001C12FB"/>
    <w:rsid w:val="001C1A5C"/>
    <w:rsid w:val="001C1B42"/>
    <w:rsid w:val="001C2DB4"/>
    <w:rsid w:val="001C3228"/>
    <w:rsid w:val="001C35E9"/>
    <w:rsid w:val="001C36BD"/>
    <w:rsid w:val="001C3733"/>
    <w:rsid w:val="001C49B3"/>
    <w:rsid w:val="001C5B30"/>
    <w:rsid w:val="001D19DF"/>
    <w:rsid w:val="001D2669"/>
    <w:rsid w:val="001D2953"/>
    <w:rsid w:val="001D3C05"/>
    <w:rsid w:val="001D6AF4"/>
    <w:rsid w:val="001E0CC1"/>
    <w:rsid w:val="001E1C10"/>
    <w:rsid w:val="001E3CC0"/>
    <w:rsid w:val="001E77C3"/>
    <w:rsid w:val="001F090B"/>
    <w:rsid w:val="001F180A"/>
    <w:rsid w:val="001F1A28"/>
    <w:rsid w:val="001F1AD0"/>
    <w:rsid w:val="001F2B49"/>
    <w:rsid w:val="001F35E8"/>
    <w:rsid w:val="001F4014"/>
    <w:rsid w:val="001F445E"/>
    <w:rsid w:val="001F6423"/>
    <w:rsid w:val="00201213"/>
    <w:rsid w:val="0020165E"/>
    <w:rsid w:val="0020272E"/>
    <w:rsid w:val="00202E50"/>
    <w:rsid w:val="00204AAB"/>
    <w:rsid w:val="00205180"/>
    <w:rsid w:val="00207F81"/>
    <w:rsid w:val="002109F4"/>
    <w:rsid w:val="00211FDA"/>
    <w:rsid w:val="00215FDA"/>
    <w:rsid w:val="002160C2"/>
    <w:rsid w:val="00222BB9"/>
    <w:rsid w:val="002258D6"/>
    <w:rsid w:val="002274FB"/>
    <w:rsid w:val="002309D2"/>
    <w:rsid w:val="00231B61"/>
    <w:rsid w:val="0023315B"/>
    <w:rsid w:val="002347FE"/>
    <w:rsid w:val="002360D3"/>
    <w:rsid w:val="00237905"/>
    <w:rsid w:val="0024178D"/>
    <w:rsid w:val="0024392B"/>
    <w:rsid w:val="002450C6"/>
    <w:rsid w:val="00245DCF"/>
    <w:rsid w:val="00246C65"/>
    <w:rsid w:val="00246EF4"/>
    <w:rsid w:val="0024721F"/>
    <w:rsid w:val="00251A10"/>
    <w:rsid w:val="00252BFF"/>
    <w:rsid w:val="0025349D"/>
    <w:rsid w:val="00253732"/>
    <w:rsid w:val="002542A8"/>
    <w:rsid w:val="00260675"/>
    <w:rsid w:val="00260A11"/>
    <w:rsid w:val="0026169A"/>
    <w:rsid w:val="00262763"/>
    <w:rsid w:val="00264BEA"/>
    <w:rsid w:val="00267850"/>
    <w:rsid w:val="00271032"/>
    <w:rsid w:val="00271DB4"/>
    <w:rsid w:val="00273E3E"/>
    <w:rsid w:val="00274147"/>
    <w:rsid w:val="00275189"/>
    <w:rsid w:val="002756DC"/>
    <w:rsid w:val="00276412"/>
    <w:rsid w:val="00276437"/>
    <w:rsid w:val="00280053"/>
    <w:rsid w:val="0028063F"/>
    <w:rsid w:val="00280740"/>
    <w:rsid w:val="00280F9E"/>
    <w:rsid w:val="00283B02"/>
    <w:rsid w:val="00283C5D"/>
    <w:rsid w:val="002844B0"/>
    <w:rsid w:val="00286322"/>
    <w:rsid w:val="00296B03"/>
    <w:rsid w:val="00296C1F"/>
    <w:rsid w:val="002A41E6"/>
    <w:rsid w:val="002A44C8"/>
    <w:rsid w:val="002A545A"/>
    <w:rsid w:val="002A5E48"/>
    <w:rsid w:val="002B0059"/>
    <w:rsid w:val="002B0455"/>
    <w:rsid w:val="002B158D"/>
    <w:rsid w:val="002B261C"/>
    <w:rsid w:val="002B2BEE"/>
    <w:rsid w:val="002B35C5"/>
    <w:rsid w:val="002B3935"/>
    <w:rsid w:val="002B406A"/>
    <w:rsid w:val="002B41D4"/>
    <w:rsid w:val="002B4BD7"/>
    <w:rsid w:val="002B543F"/>
    <w:rsid w:val="002B6165"/>
    <w:rsid w:val="002B7D73"/>
    <w:rsid w:val="002C06E3"/>
    <w:rsid w:val="002C0801"/>
    <w:rsid w:val="002C145F"/>
    <w:rsid w:val="002C33B3"/>
    <w:rsid w:val="002C44B0"/>
    <w:rsid w:val="002C4E07"/>
    <w:rsid w:val="002D0586"/>
    <w:rsid w:val="002D1023"/>
    <w:rsid w:val="002D1459"/>
    <w:rsid w:val="002D1470"/>
    <w:rsid w:val="002D21CF"/>
    <w:rsid w:val="002D3DB7"/>
    <w:rsid w:val="002D4705"/>
    <w:rsid w:val="002D5B65"/>
    <w:rsid w:val="002D634C"/>
    <w:rsid w:val="002D6396"/>
    <w:rsid w:val="002D7E5E"/>
    <w:rsid w:val="002E07BA"/>
    <w:rsid w:val="002E07EF"/>
    <w:rsid w:val="002E0D06"/>
    <w:rsid w:val="002E1810"/>
    <w:rsid w:val="002E4E94"/>
    <w:rsid w:val="002F1F28"/>
    <w:rsid w:val="002F43CA"/>
    <w:rsid w:val="002F57AA"/>
    <w:rsid w:val="002F6AAA"/>
    <w:rsid w:val="002F6EF7"/>
    <w:rsid w:val="002F714C"/>
    <w:rsid w:val="002F77BF"/>
    <w:rsid w:val="003004A2"/>
    <w:rsid w:val="00303DD5"/>
    <w:rsid w:val="003070E0"/>
    <w:rsid w:val="00307B74"/>
    <w:rsid w:val="00310764"/>
    <w:rsid w:val="00311BFD"/>
    <w:rsid w:val="00314718"/>
    <w:rsid w:val="0031488A"/>
    <w:rsid w:val="003175E1"/>
    <w:rsid w:val="00320203"/>
    <w:rsid w:val="00322002"/>
    <w:rsid w:val="00324101"/>
    <w:rsid w:val="003247B0"/>
    <w:rsid w:val="00325E81"/>
    <w:rsid w:val="00326948"/>
    <w:rsid w:val="00327052"/>
    <w:rsid w:val="00332602"/>
    <w:rsid w:val="0033486D"/>
    <w:rsid w:val="00335228"/>
    <w:rsid w:val="003367C4"/>
    <w:rsid w:val="00336D8E"/>
    <w:rsid w:val="003376B3"/>
    <w:rsid w:val="00342DBA"/>
    <w:rsid w:val="00345F79"/>
    <w:rsid w:val="00345F9C"/>
    <w:rsid w:val="00347776"/>
    <w:rsid w:val="00351A91"/>
    <w:rsid w:val="003520C4"/>
    <w:rsid w:val="003533AE"/>
    <w:rsid w:val="00355E14"/>
    <w:rsid w:val="00357C5E"/>
    <w:rsid w:val="003608BD"/>
    <w:rsid w:val="00361280"/>
    <w:rsid w:val="003615F1"/>
    <w:rsid w:val="00361A6E"/>
    <w:rsid w:val="003626AF"/>
    <w:rsid w:val="00363D7F"/>
    <w:rsid w:val="0036655E"/>
    <w:rsid w:val="003673F5"/>
    <w:rsid w:val="00367C66"/>
    <w:rsid w:val="003700B2"/>
    <w:rsid w:val="0037233D"/>
    <w:rsid w:val="003736EF"/>
    <w:rsid w:val="003737E3"/>
    <w:rsid w:val="00380A1A"/>
    <w:rsid w:val="00380D80"/>
    <w:rsid w:val="0038500E"/>
    <w:rsid w:val="00385718"/>
    <w:rsid w:val="0038761D"/>
    <w:rsid w:val="003906F8"/>
    <w:rsid w:val="003935EE"/>
    <w:rsid w:val="00393EE9"/>
    <w:rsid w:val="0039408A"/>
    <w:rsid w:val="003945F5"/>
    <w:rsid w:val="0039673D"/>
    <w:rsid w:val="003975DA"/>
    <w:rsid w:val="00397893"/>
    <w:rsid w:val="003A2407"/>
    <w:rsid w:val="003A2CF0"/>
    <w:rsid w:val="003A33D3"/>
    <w:rsid w:val="003A3880"/>
    <w:rsid w:val="003A4B52"/>
    <w:rsid w:val="003A5BC5"/>
    <w:rsid w:val="003A5D55"/>
    <w:rsid w:val="003A75E6"/>
    <w:rsid w:val="003B255B"/>
    <w:rsid w:val="003B3317"/>
    <w:rsid w:val="003B360E"/>
    <w:rsid w:val="003B4B2F"/>
    <w:rsid w:val="003B4B5A"/>
    <w:rsid w:val="003B4C50"/>
    <w:rsid w:val="003B52D4"/>
    <w:rsid w:val="003B76AE"/>
    <w:rsid w:val="003C1CA5"/>
    <w:rsid w:val="003C1EC7"/>
    <w:rsid w:val="003C3D8E"/>
    <w:rsid w:val="003C5E61"/>
    <w:rsid w:val="003C64A0"/>
    <w:rsid w:val="003C6F0B"/>
    <w:rsid w:val="003C7BA3"/>
    <w:rsid w:val="003D3642"/>
    <w:rsid w:val="003D4E9C"/>
    <w:rsid w:val="003D5EE8"/>
    <w:rsid w:val="003E0D78"/>
    <w:rsid w:val="003E1CB1"/>
    <w:rsid w:val="003E3A1D"/>
    <w:rsid w:val="003E6CA0"/>
    <w:rsid w:val="003E7D34"/>
    <w:rsid w:val="003F1F41"/>
    <w:rsid w:val="003F2FDE"/>
    <w:rsid w:val="003F330B"/>
    <w:rsid w:val="003F58B9"/>
    <w:rsid w:val="003F6FDF"/>
    <w:rsid w:val="004016F5"/>
    <w:rsid w:val="004045AA"/>
    <w:rsid w:val="0040549A"/>
    <w:rsid w:val="00405CC9"/>
    <w:rsid w:val="0040711E"/>
    <w:rsid w:val="00407D67"/>
    <w:rsid w:val="00412450"/>
    <w:rsid w:val="004138DE"/>
    <w:rsid w:val="00413B39"/>
    <w:rsid w:val="00414B2F"/>
    <w:rsid w:val="004154EB"/>
    <w:rsid w:val="00415E58"/>
    <w:rsid w:val="00416231"/>
    <w:rsid w:val="004208AB"/>
    <w:rsid w:val="004219EF"/>
    <w:rsid w:val="00421A72"/>
    <w:rsid w:val="00424348"/>
    <w:rsid w:val="00426CD9"/>
    <w:rsid w:val="00430FEB"/>
    <w:rsid w:val="004310EE"/>
    <w:rsid w:val="00433677"/>
    <w:rsid w:val="004340D5"/>
    <w:rsid w:val="00434880"/>
    <w:rsid w:val="00434A21"/>
    <w:rsid w:val="0043526D"/>
    <w:rsid w:val="004460E9"/>
    <w:rsid w:val="00447B6F"/>
    <w:rsid w:val="00453623"/>
    <w:rsid w:val="00453C11"/>
    <w:rsid w:val="004557B0"/>
    <w:rsid w:val="00457946"/>
    <w:rsid w:val="00457D8B"/>
    <w:rsid w:val="00460A17"/>
    <w:rsid w:val="00460B1C"/>
    <w:rsid w:val="0046120A"/>
    <w:rsid w:val="00462F79"/>
    <w:rsid w:val="00463438"/>
    <w:rsid w:val="00463ECE"/>
    <w:rsid w:val="00465388"/>
    <w:rsid w:val="00466D2D"/>
    <w:rsid w:val="004677C9"/>
    <w:rsid w:val="00470CB5"/>
    <w:rsid w:val="00471EAB"/>
    <w:rsid w:val="004723EE"/>
    <w:rsid w:val="00475A92"/>
    <w:rsid w:val="00477BB9"/>
    <w:rsid w:val="004859EE"/>
    <w:rsid w:val="00487366"/>
    <w:rsid w:val="004873E4"/>
    <w:rsid w:val="0049072C"/>
    <w:rsid w:val="00490FD1"/>
    <w:rsid w:val="00491AD2"/>
    <w:rsid w:val="004935C0"/>
    <w:rsid w:val="00493B43"/>
    <w:rsid w:val="00494EB1"/>
    <w:rsid w:val="00496414"/>
    <w:rsid w:val="00497A38"/>
    <w:rsid w:val="004A361B"/>
    <w:rsid w:val="004A45BD"/>
    <w:rsid w:val="004A4656"/>
    <w:rsid w:val="004A51AB"/>
    <w:rsid w:val="004A77B0"/>
    <w:rsid w:val="004B08A9"/>
    <w:rsid w:val="004B1CED"/>
    <w:rsid w:val="004B34A7"/>
    <w:rsid w:val="004B3B06"/>
    <w:rsid w:val="004B3ED5"/>
    <w:rsid w:val="004B4643"/>
    <w:rsid w:val="004B7F67"/>
    <w:rsid w:val="004C06BE"/>
    <w:rsid w:val="004C0938"/>
    <w:rsid w:val="004C1994"/>
    <w:rsid w:val="004C70FC"/>
    <w:rsid w:val="004D022C"/>
    <w:rsid w:val="004D2675"/>
    <w:rsid w:val="004D4080"/>
    <w:rsid w:val="004E05FD"/>
    <w:rsid w:val="004E1A0D"/>
    <w:rsid w:val="004E23F5"/>
    <w:rsid w:val="004E2ED1"/>
    <w:rsid w:val="004E5418"/>
    <w:rsid w:val="004E5A77"/>
    <w:rsid w:val="004E63E5"/>
    <w:rsid w:val="004E6A47"/>
    <w:rsid w:val="004E6B76"/>
    <w:rsid w:val="004F1437"/>
    <w:rsid w:val="004F3540"/>
    <w:rsid w:val="004F4FE2"/>
    <w:rsid w:val="004F52DB"/>
    <w:rsid w:val="004F5624"/>
    <w:rsid w:val="004F5DA4"/>
    <w:rsid w:val="004F62B2"/>
    <w:rsid w:val="004F6424"/>
    <w:rsid w:val="0050072D"/>
    <w:rsid w:val="005040CD"/>
    <w:rsid w:val="00504229"/>
    <w:rsid w:val="00505229"/>
    <w:rsid w:val="00507F98"/>
    <w:rsid w:val="005108A3"/>
    <w:rsid w:val="00510DB5"/>
    <w:rsid w:val="00510F6E"/>
    <w:rsid w:val="005112A3"/>
    <w:rsid w:val="00511422"/>
    <w:rsid w:val="005118AE"/>
    <w:rsid w:val="0051212F"/>
    <w:rsid w:val="0051340B"/>
    <w:rsid w:val="0051587A"/>
    <w:rsid w:val="005158FA"/>
    <w:rsid w:val="005169AD"/>
    <w:rsid w:val="005208B9"/>
    <w:rsid w:val="005221F0"/>
    <w:rsid w:val="00524807"/>
    <w:rsid w:val="005252FE"/>
    <w:rsid w:val="005257A1"/>
    <w:rsid w:val="00525FF9"/>
    <w:rsid w:val="00532C41"/>
    <w:rsid w:val="00532D3F"/>
    <w:rsid w:val="0053386D"/>
    <w:rsid w:val="00534700"/>
    <w:rsid w:val="0053791F"/>
    <w:rsid w:val="005441C4"/>
    <w:rsid w:val="005448F7"/>
    <w:rsid w:val="00546622"/>
    <w:rsid w:val="00547538"/>
    <w:rsid w:val="00553BFA"/>
    <w:rsid w:val="005547AA"/>
    <w:rsid w:val="00554D05"/>
    <w:rsid w:val="0055596B"/>
    <w:rsid w:val="005574AA"/>
    <w:rsid w:val="0056077E"/>
    <w:rsid w:val="00560EDA"/>
    <w:rsid w:val="005629EE"/>
    <w:rsid w:val="005648FA"/>
    <w:rsid w:val="00564D50"/>
    <w:rsid w:val="00567346"/>
    <w:rsid w:val="0057371B"/>
    <w:rsid w:val="00575EB8"/>
    <w:rsid w:val="0057613A"/>
    <w:rsid w:val="00576467"/>
    <w:rsid w:val="00582A9B"/>
    <w:rsid w:val="005832AB"/>
    <w:rsid w:val="0058437C"/>
    <w:rsid w:val="005935F4"/>
    <w:rsid w:val="00593E0A"/>
    <w:rsid w:val="005971B0"/>
    <w:rsid w:val="005A167F"/>
    <w:rsid w:val="005A346E"/>
    <w:rsid w:val="005A34B4"/>
    <w:rsid w:val="005A73CF"/>
    <w:rsid w:val="005B3EB1"/>
    <w:rsid w:val="005B3F6F"/>
    <w:rsid w:val="005B4587"/>
    <w:rsid w:val="005B798B"/>
    <w:rsid w:val="005C1FAE"/>
    <w:rsid w:val="005C39E8"/>
    <w:rsid w:val="005C51D2"/>
    <w:rsid w:val="005C5660"/>
    <w:rsid w:val="005C71E4"/>
    <w:rsid w:val="005C72E3"/>
    <w:rsid w:val="005D11B2"/>
    <w:rsid w:val="005D1CCC"/>
    <w:rsid w:val="005D4B68"/>
    <w:rsid w:val="005D52D7"/>
    <w:rsid w:val="005E11C1"/>
    <w:rsid w:val="005E2563"/>
    <w:rsid w:val="005E2DA1"/>
    <w:rsid w:val="005E394C"/>
    <w:rsid w:val="005E42BF"/>
    <w:rsid w:val="005E4E70"/>
    <w:rsid w:val="005E65BB"/>
    <w:rsid w:val="005E7374"/>
    <w:rsid w:val="005F0DA0"/>
    <w:rsid w:val="005F1D8B"/>
    <w:rsid w:val="005F2767"/>
    <w:rsid w:val="005F34CB"/>
    <w:rsid w:val="005F4790"/>
    <w:rsid w:val="005F4914"/>
    <w:rsid w:val="005F62B7"/>
    <w:rsid w:val="005F67FC"/>
    <w:rsid w:val="005F6869"/>
    <w:rsid w:val="005F6BB9"/>
    <w:rsid w:val="00603097"/>
    <w:rsid w:val="00603148"/>
    <w:rsid w:val="0060414B"/>
    <w:rsid w:val="00606FC7"/>
    <w:rsid w:val="00607A68"/>
    <w:rsid w:val="00610456"/>
    <w:rsid w:val="00611473"/>
    <w:rsid w:val="00611B36"/>
    <w:rsid w:val="00613A34"/>
    <w:rsid w:val="006140B9"/>
    <w:rsid w:val="00615ADA"/>
    <w:rsid w:val="006221CD"/>
    <w:rsid w:val="00622220"/>
    <w:rsid w:val="00625CC6"/>
    <w:rsid w:val="006266A9"/>
    <w:rsid w:val="00630426"/>
    <w:rsid w:val="006316C1"/>
    <w:rsid w:val="00631ED4"/>
    <w:rsid w:val="00633BC7"/>
    <w:rsid w:val="00635AC7"/>
    <w:rsid w:val="00635E9C"/>
    <w:rsid w:val="0063753F"/>
    <w:rsid w:val="00637B41"/>
    <w:rsid w:val="006414EE"/>
    <w:rsid w:val="00642524"/>
    <w:rsid w:val="00642D0A"/>
    <w:rsid w:val="0064630E"/>
    <w:rsid w:val="00646385"/>
    <w:rsid w:val="00646FE1"/>
    <w:rsid w:val="00647075"/>
    <w:rsid w:val="0065581D"/>
    <w:rsid w:val="00655C2F"/>
    <w:rsid w:val="00660403"/>
    <w:rsid w:val="00661140"/>
    <w:rsid w:val="006710DD"/>
    <w:rsid w:val="00671FC9"/>
    <w:rsid w:val="00673200"/>
    <w:rsid w:val="006742E9"/>
    <w:rsid w:val="00674492"/>
    <w:rsid w:val="0067501E"/>
    <w:rsid w:val="006773D2"/>
    <w:rsid w:val="00680581"/>
    <w:rsid w:val="00680A56"/>
    <w:rsid w:val="00681A41"/>
    <w:rsid w:val="006821B2"/>
    <w:rsid w:val="006838C0"/>
    <w:rsid w:val="00685856"/>
    <w:rsid w:val="00685901"/>
    <w:rsid w:val="00685BB9"/>
    <w:rsid w:val="00687E06"/>
    <w:rsid w:val="00690127"/>
    <w:rsid w:val="00691BFF"/>
    <w:rsid w:val="006953C1"/>
    <w:rsid w:val="00696EB2"/>
    <w:rsid w:val="0069741A"/>
    <w:rsid w:val="006A0DEA"/>
    <w:rsid w:val="006A16E9"/>
    <w:rsid w:val="006A5450"/>
    <w:rsid w:val="006B0199"/>
    <w:rsid w:val="006B0A32"/>
    <w:rsid w:val="006B0BD8"/>
    <w:rsid w:val="006B17A2"/>
    <w:rsid w:val="006B4557"/>
    <w:rsid w:val="006C0251"/>
    <w:rsid w:val="006C0320"/>
    <w:rsid w:val="006C2B9A"/>
    <w:rsid w:val="006C3553"/>
    <w:rsid w:val="006C39BB"/>
    <w:rsid w:val="006C4502"/>
    <w:rsid w:val="006C6114"/>
    <w:rsid w:val="006D2288"/>
    <w:rsid w:val="006D306A"/>
    <w:rsid w:val="006D4464"/>
    <w:rsid w:val="006D5E91"/>
    <w:rsid w:val="006D7E87"/>
    <w:rsid w:val="006E14E6"/>
    <w:rsid w:val="006E1AEE"/>
    <w:rsid w:val="006E2F52"/>
    <w:rsid w:val="006E32A9"/>
    <w:rsid w:val="006E3B9C"/>
    <w:rsid w:val="006E51A2"/>
    <w:rsid w:val="006F0759"/>
    <w:rsid w:val="006F0DE2"/>
    <w:rsid w:val="006F11BD"/>
    <w:rsid w:val="006F25B4"/>
    <w:rsid w:val="006F32C7"/>
    <w:rsid w:val="006F3392"/>
    <w:rsid w:val="006F3495"/>
    <w:rsid w:val="006F417D"/>
    <w:rsid w:val="006F460B"/>
    <w:rsid w:val="006F5C83"/>
    <w:rsid w:val="006F67CC"/>
    <w:rsid w:val="006F6B89"/>
    <w:rsid w:val="00701C2D"/>
    <w:rsid w:val="00702162"/>
    <w:rsid w:val="00703930"/>
    <w:rsid w:val="0070610E"/>
    <w:rsid w:val="00707032"/>
    <w:rsid w:val="00707759"/>
    <w:rsid w:val="00710081"/>
    <w:rsid w:val="00710B0D"/>
    <w:rsid w:val="00713CB5"/>
    <w:rsid w:val="00714E3F"/>
    <w:rsid w:val="0071558B"/>
    <w:rsid w:val="0071776A"/>
    <w:rsid w:val="00721189"/>
    <w:rsid w:val="007221C3"/>
    <w:rsid w:val="007227E4"/>
    <w:rsid w:val="00722F2C"/>
    <w:rsid w:val="007254D1"/>
    <w:rsid w:val="00725B32"/>
    <w:rsid w:val="00725B3C"/>
    <w:rsid w:val="00733D54"/>
    <w:rsid w:val="007340CD"/>
    <w:rsid w:val="00734CEE"/>
    <w:rsid w:val="007362D1"/>
    <w:rsid w:val="00736A4F"/>
    <w:rsid w:val="00737753"/>
    <w:rsid w:val="00737768"/>
    <w:rsid w:val="00737FFA"/>
    <w:rsid w:val="00740BB8"/>
    <w:rsid w:val="00740CE9"/>
    <w:rsid w:val="007428E3"/>
    <w:rsid w:val="0074394E"/>
    <w:rsid w:val="0074422D"/>
    <w:rsid w:val="00744888"/>
    <w:rsid w:val="00747D71"/>
    <w:rsid w:val="00750D0A"/>
    <w:rsid w:val="007517C0"/>
    <w:rsid w:val="00751D93"/>
    <w:rsid w:val="00752300"/>
    <w:rsid w:val="00753BF5"/>
    <w:rsid w:val="007546F8"/>
    <w:rsid w:val="0075579B"/>
    <w:rsid w:val="00755BAB"/>
    <w:rsid w:val="0076080E"/>
    <w:rsid w:val="0076411D"/>
    <w:rsid w:val="007642AF"/>
    <w:rsid w:val="007670F8"/>
    <w:rsid w:val="007671D4"/>
    <w:rsid w:val="00770A85"/>
    <w:rsid w:val="00773DC9"/>
    <w:rsid w:val="0077572E"/>
    <w:rsid w:val="00777BE4"/>
    <w:rsid w:val="0078031B"/>
    <w:rsid w:val="00784F44"/>
    <w:rsid w:val="00785A9A"/>
    <w:rsid w:val="00786672"/>
    <w:rsid w:val="007870BF"/>
    <w:rsid w:val="007872CF"/>
    <w:rsid w:val="0079201C"/>
    <w:rsid w:val="0079307F"/>
    <w:rsid w:val="007940C5"/>
    <w:rsid w:val="007947C4"/>
    <w:rsid w:val="00795812"/>
    <w:rsid w:val="00795CE1"/>
    <w:rsid w:val="007A0208"/>
    <w:rsid w:val="007A0646"/>
    <w:rsid w:val="007A06AC"/>
    <w:rsid w:val="007A1B2F"/>
    <w:rsid w:val="007A4636"/>
    <w:rsid w:val="007A5719"/>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45D3"/>
    <w:rsid w:val="007C597B"/>
    <w:rsid w:val="007C760C"/>
    <w:rsid w:val="007D08FD"/>
    <w:rsid w:val="007D1584"/>
    <w:rsid w:val="007D2044"/>
    <w:rsid w:val="007D4F33"/>
    <w:rsid w:val="007D554B"/>
    <w:rsid w:val="007D65C7"/>
    <w:rsid w:val="007D74D2"/>
    <w:rsid w:val="007D79B5"/>
    <w:rsid w:val="007E2334"/>
    <w:rsid w:val="007E23CE"/>
    <w:rsid w:val="007E2CE7"/>
    <w:rsid w:val="007E43D0"/>
    <w:rsid w:val="007E49E9"/>
    <w:rsid w:val="007E4F00"/>
    <w:rsid w:val="007E54F8"/>
    <w:rsid w:val="007E5987"/>
    <w:rsid w:val="007E5BD8"/>
    <w:rsid w:val="007E7BF9"/>
    <w:rsid w:val="007F02BC"/>
    <w:rsid w:val="007F1D17"/>
    <w:rsid w:val="007F20D7"/>
    <w:rsid w:val="007F2E65"/>
    <w:rsid w:val="007F43BA"/>
    <w:rsid w:val="007F45D1"/>
    <w:rsid w:val="007F64BE"/>
    <w:rsid w:val="007F6DC3"/>
    <w:rsid w:val="008006B4"/>
    <w:rsid w:val="008015B6"/>
    <w:rsid w:val="00803FD4"/>
    <w:rsid w:val="0080481C"/>
    <w:rsid w:val="00804C54"/>
    <w:rsid w:val="008056DD"/>
    <w:rsid w:val="0081104C"/>
    <w:rsid w:val="008121F2"/>
    <w:rsid w:val="00812D16"/>
    <w:rsid w:val="00816C51"/>
    <w:rsid w:val="00821865"/>
    <w:rsid w:val="008225EB"/>
    <w:rsid w:val="0082327D"/>
    <w:rsid w:val="0082433D"/>
    <w:rsid w:val="00826509"/>
    <w:rsid w:val="008272BE"/>
    <w:rsid w:val="0083354D"/>
    <w:rsid w:val="0083561B"/>
    <w:rsid w:val="00835DFB"/>
    <w:rsid w:val="00837D78"/>
    <w:rsid w:val="00840D79"/>
    <w:rsid w:val="00841368"/>
    <w:rsid w:val="00842939"/>
    <w:rsid w:val="00842A21"/>
    <w:rsid w:val="0084318B"/>
    <w:rsid w:val="00845DAD"/>
    <w:rsid w:val="00846827"/>
    <w:rsid w:val="00851377"/>
    <w:rsid w:val="0085437C"/>
    <w:rsid w:val="00854B2F"/>
    <w:rsid w:val="00855481"/>
    <w:rsid w:val="00856354"/>
    <w:rsid w:val="008568E1"/>
    <w:rsid w:val="00856BE9"/>
    <w:rsid w:val="008578F8"/>
    <w:rsid w:val="00860566"/>
    <w:rsid w:val="00860DEB"/>
    <w:rsid w:val="0086129A"/>
    <w:rsid w:val="0086165C"/>
    <w:rsid w:val="00861B26"/>
    <w:rsid w:val="00862EED"/>
    <w:rsid w:val="008643FC"/>
    <w:rsid w:val="008649B9"/>
    <w:rsid w:val="00864FDB"/>
    <w:rsid w:val="00865E61"/>
    <w:rsid w:val="0086784F"/>
    <w:rsid w:val="00870394"/>
    <w:rsid w:val="0087073B"/>
    <w:rsid w:val="00873967"/>
    <w:rsid w:val="008743BB"/>
    <w:rsid w:val="008770D4"/>
    <w:rsid w:val="008800E5"/>
    <w:rsid w:val="0088127F"/>
    <w:rsid w:val="008815EF"/>
    <w:rsid w:val="00883ED5"/>
    <w:rsid w:val="00884C14"/>
    <w:rsid w:val="00885273"/>
    <w:rsid w:val="00885F2C"/>
    <w:rsid w:val="00886386"/>
    <w:rsid w:val="0088701C"/>
    <w:rsid w:val="0089189D"/>
    <w:rsid w:val="00892233"/>
    <w:rsid w:val="00892459"/>
    <w:rsid w:val="008929AA"/>
    <w:rsid w:val="00892AA5"/>
    <w:rsid w:val="0089499B"/>
    <w:rsid w:val="00894ACA"/>
    <w:rsid w:val="00894EC5"/>
    <w:rsid w:val="00896357"/>
    <w:rsid w:val="00896658"/>
    <w:rsid w:val="008967B5"/>
    <w:rsid w:val="008A03AC"/>
    <w:rsid w:val="008A1008"/>
    <w:rsid w:val="008A305C"/>
    <w:rsid w:val="008A345A"/>
    <w:rsid w:val="008A3DB9"/>
    <w:rsid w:val="008A6A5C"/>
    <w:rsid w:val="008A7316"/>
    <w:rsid w:val="008B4A1C"/>
    <w:rsid w:val="008B500A"/>
    <w:rsid w:val="008C090B"/>
    <w:rsid w:val="008C1610"/>
    <w:rsid w:val="008C2F1E"/>
    <w:rsid w:val="008C30E5"/>
    <w:rsid w:val="008C3B5B"/>
    <w:rsid w:val="008C409F"/>
    <w:rsid w:val="008C4858"/>
    <w:rsid w:val="008C602D"/>
    <w:rsid w:val="008C6BCC"/>
    <w:rsid w:val="008D098D"/>
    <w:rsid w:val="008D0F0C"/>
    <w:rsid w:val="008D135A"/>
    <w:rsid w:val="008D2205"/>
    <w:rsid w:val="008D2331"/>
    <w:rsid w:val="008D347F"/>
    <w:rsid w:val="008D35AD"/>
    <w:rsid w:val="008D36CD"/>
    <w:rsid w:val="008D4165"/>
    <w:rsid w:val="008D4380"/>
    <w:rsid w:val="008D48D1"/>
    <w:rsid w:val="008D6BE8"/>
    <w:rsid w:val="008E27E9"/>
    <w:rsid w:val="008E42DE"/>
    <w:rsid w:val="008E6991"/>
    <w:rsid w:val="008F2C49"/>
    <w:rsid w:val="008F36F0"/>
    <w:rsid w:val="008F5CF0"/>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4067"/>
    <w:rsid w:val="00917C0F"/>
    <w:rsid w:val="0092040E"/>
    <w:rsid w:val="00920C6C"/>
    <w:rsid w:val="00921897"/>
    <w:rsid w:val="00921C6D"/>
    <w:rsid w:val="009227D9"/>
    <w:rsid w:val="00923C44"/>
    <w:rsid w:val="00927791"/>
    <w:rsid w:val="00930607"/>
    <w:rsid w:val="00930D0A"/>
    <w:rsid w:val="009318ED"/>
    <w:rsid w:val="009329BA"/>
    <w:rsid w:val="00932A89"/>
    <w:rsid w:val="0093304D"/>
    <w:rsid w:val="00934E99"/>
    <w:rsid w:val="00936939"/>
    <w:rsid w:val="0094053B"/>
    <w:rsid w:val="00942040"/>
    <w:rsid w:val="009427BD"/>
    <w:rsid w:val="00942C9F"/>
    <w:rsid w:val="00943F98"/>
    <w:rsid w:val="00945631"/>
    <w:rsid w:val="00947549"/>
    <w:rsid w:val="00947CF3"/>
    <w:rsid w:val="00950C3F"/>
    <w:rsid w:val="0095793C"/>
    <w:rsid w:val="0096111E"/>
    <w:rsid w:val="00961125"/>
    <w:rsid w:val="009623D8"/>
    <w:rsid w:val="00963362"/>
    <w:rsid w:val="00963BD1"/>
    <w:rsid w:val="00966B1F"/>
    <w:rsid w:val="00970A7E"/>
    <w:rsid w:val="0097116E"/>
    <w:rsid w:val="00974518"/>
    <w:rsid w:val="00980FE0"/>
    <w:rsid w:val="00983B65"/>
    <w:rsid w:val="00985F8B"/>
    <w:rsid w:val="00990B70"/>
    <w:rsid w:val="00990C3B"/>
    <w:rsid w:val="00991CBD"/>
    <w:rsid w:val="009921E6"/>
    <w:rsid w:val="009928B7"/>
    <w:rsid w:val="0099321A"/>
    <w:rsid w:val="009947E8"/>
    <w:rsid w:val="00994A8C"/>
    <w:rsid w:val="009960B7"/>
    <w:rsid w:val="00996F08"/>
    <w:rsid w:val="009972FE"/>
    <w:rsid w:val="009B536C"/>
    <w:rsid w:val="009B5C19"/>
    <w:rsid w:val="009B6496"/>
    <w:rsid w:val="009C01DA"/>
    <w:rsid w:val="009C1528"/>
    <w:rsid w:val="009C20CC"/>
    <w:rsid w:val="009C2BDF"/>
    <w:rsid w:val="009C3558"/>
    <w:rsid w:val="009C562E"/>
    <w:rsid w:val="009C5E44"/>
    <w:rsid w:val="009C7531"/>
    <w:rsid w:val="009D220C"/>
    <w:rsid w:val="009D221F"/>
    <w:rsid w:val="009D2A3C"/>
    <w:rsid w:val="009D69B7"/>
    <w:rsid w:val="009E09F0"/>
    <w:rsid w:val="009E19E8"/>
    <w:rsid w:val="009E377C"/>
    <w:rsid w:val="009E411C"/>
    <w:rsid w:val="009E458A"/>
    <w:rsid w:val="009E5316"/>
    <w:rsid w:val="009E5D7C"/>
    <w:rsid w:val="009E5DFC"/>
    <w:rsid w:val="009F1789"/>
    <w:rsid w:val="009F2E3B"/>
    <w:rsid w:val="009F36D2"/>
    <w:rsid w:val="009F39E9"/>
    <w:rsid w:val="009F3AC9"/>
    <w:rsid w:val="009F3B6B"/>
    <w:rsid w:val="009F4504"/>
    <w:rsid w:val="009F502C"/>
    <w:rsid w:val="009F603B"/>
    <w:rsid w:val="009F654B"/>
    <w:rsid w:val="009F6987"/>
    <w:rsid w:val="009F720F"/>
    <w:rsid w:val="00A010E7"/>
    <w:rsid w:val="00A01A17"/>
    <w:rsid w:val="00A01A60"/>
    <w:rsid w:val="00A03D43"/>
    <w:rsid w:val="00A0423B"/>
    <w:rsid w:val="00A04FAC"/>
    <w:rsid w:val="00A06E6E"/>
    <w:rsid w:val="00A076F9"/>
    <w:rsid w:val="00A07997"/>
    <w:rsid w:val="00A07DCB"/>
    <w:rsid w:val="00A07F87"/>
    <w:rsid w:val="00A10AA9"/>
    <w:rsid w:val="00A13659"/>
    <w:rsid w:val="00A1637F"/>
    <w:rsid w:val="00A16E74"/>
    <w:rsid w:val="00A206ED"/>
    <w:rsid w:val="00A20806"/>
    <w:rsid w:val="00A20C7F"/>
    <w:rsid w:val="00A21D41"/>
    <w:rsid w:val="00A22DBA"/>
    <w:rsid w:val="00A2329D"/>
    <w:rsid w:val="00A2490E"/>
    <w:rsid w:val="00A25442"/>
    <w:rsid w:val="00A25539"/>
    <w:rsid w:val="00A25BFF"/>
    <w:rsid w:val="00A26648"/>
    <w:rsid w:val="00A26F79"/>
    <w:rsid w:val="00A27522"/>
    <w:rsid w:val="00A3136F"/>
    <w:rsid w:val="00A34D0C"/>
    <w:rsid w:val="00A34D76"/>
    <w:rsid w:val="00A35125"/>
    <w:rsid w:val="00A365D0"/>
    <w:rsid w:val="00A36CC0"/>
    <w:rsid w:val="00A402B8"/>
    <w:rsid w:val="00A4043E"/>
    <w:rsid w:val="00A437D9"/>
    <w:rsid w:val="00A43C16"/>
    <w:rsid w:val="00A443A6"/>
    <w:rsid w:val="00A45A1A"/>
    <w:rsid w:val="00A45E61"/>
    <w:rsid w:val="00A47F32"/>
    <w:rsid w:val="00A53220"/>
    <w:rsid w:val="00A538E6"/>
    <w:rsid w:val="00A54514"/>
    <w:rsid w:val="00A56102"/>
    <w:rsid w:val="00A56800"/>
    <w:rsid w:val="00A56D7E"/>
    <w:rsid w:val="00A57404"/>
    <w:rsid w:val="00A575BD"/>
    <w:rsid w:val="00A60EEC"/>
    <w:rsid w:val="00A630BA"/>
    <w:rsid w:val="00A63B83"/>
    <w:rsid w:val="00A643C6"/>
    <w:rsid w:val="00A65BD9"/>
    <w:rsid w:val="00A66718"/>
    <w:rsid w:val="00A671EF"/>
    <w:rsid w:val="00A70B31"/>
    <w:rsid w:val="00A73A74"/>
    <w:rsid w:val="00A759FE"/>
    <w:rsid w:val="00A75CF1"/>
    <w:rsid w:val="00A75FE1"/>
    <w:rsid w:val="00A76D67"/>
    <w:rsid w:val="00A77562"/>
    <w:rsid w:val="00A776B8"/>
    <w:rsid w:val="00A81EB6"/>
    <w:rsid w:val="00A82DE9"/>
    <w:rsid w:val="00A837FE"/>
    <w:rsid w:val="00A85357"/>
    <w:rsid w:val="00A856B8"/>
    <w:rsid w:val="00A86A99"/>
    <w:rsid w:val="00A871E5"/>
    <w:rsid w:val="00A902DD"/>
    <w:rsid w:val="00A91617"/>
    <w:rsid w:val="00A93C1C"/>
    <w:rsid w:val="00A96FA8"/>
    <w:rsid w:val="00A9770A"/>
    <w:rsid w:val="00AA0A43"/>
    <w:rsid w:val="00AA0DD3"/>
    <w:rsid w:val="00AA1C07"/>
    <w:rsid w:val="00AA3688"/>
    <w:rsid w:val="00AA4006"/>
    <w:rsid w:val="00AA5887"/>
    <w:rsid w:val="00AB19F8"/>
    <w:rsid w:val="00AB2A61"/>
    <w:rsid w:val="00AB3A12"/>
    <w:rsid w:val="00AB5A8D"/>
    <w:rsid w:val="00AB6642"/>
    <w:rsid w:val="00AC26A9"/>
    <w:rsid w:val="00AC2EFE"/>
    <w:rsid w:val="00AC3930"/>
    <w:rsid w:val="00AC3AB1"/>
    <w:rsid w:val="00AC5E4D"/>
    <w:rsid w:val="00AC68C6"/>
    <w:rsid w:val="00AC7612"/>
    <w:rsid w:val="00AC79C1"/>
    <w:rsid w:val="00AC7CA4"/>
    <w:rsid w:val="00AD1F03"/>
    <w:rsid w:val="00AD493B"/>
    <w:rsid w:val="00AD4A64"/>
    <w:rsid w:val="00AD4D4E"/>
    <w:rsid w:val="00AD598F"/>
    <w:rsid w:val="00AD6D09"/>
    <w:rsid w:val="00AE07DA"/>
    <w:rsid w:val="00AE098E"/>
    <w:rsid w:val="00AE0BBA"/>
    <w:rsid w:val="00AE1B55"/>
    <w:rsid w:val="00AE2291"/>
    <w:rsid w:val="00AE25C8"/>
    <w:rsid w:val="00AE4003"/>
    <w:rsid w:val="00AE4113"/>
    <w:rsid w:val="00AE4380"/>
    <w:rsid w:val="00AE4FAC"/>
    <w:rsid w:val="00AE5525"/>
    <w:rsid w:val="00AE6381"/>
    <w:rsid w:val="00AE656F"/>
    <w:rsid w:val="00AE7D78"/>
    <w:rsid w:val="00AF41F6"/>
    <w:rsid w:val="00AF438E"/>
    <w:rsid w:val="00AF45CA"/>
    <w:rsid w:val="00AF5CEE"/>
    <w:rsid w:val="00AF7506"/>
    <w:rsid w:val="00B007DD"/>
    <w:rsid w:val="00B0098A"/>
    <w:rsid w:val="00B01016"/>
    <w:rsid w:val="00B0146E"/>
    <w:rsid w:val="00B01641"/>
    <w:rsid w:val="00B02160"/>
    <w:rsid w:val="00B027CB"/>
    <w:rsid w:val="00B0352B"/>
    <w:rsid w:val="00B073E6"/>
    <w:rsid w:val="00B074F8"/>
    <w:rsid w:val="00B11A3D"/>
    <w:rsid w:val="00B121B0"/>
    <w:rsid w:val="00B13B87"/>
    <w:rsid w:val="00B17FAB"/>
    <w:rsid w:val="00B21BE7"/>
    <w:rsid w:val="00B22C5F"/>
    <w:rsid w:val="00B23687"/>
    <w:rsid w:val="00B25710"/>
    <w:rsid w:val="00B269A5"/>
    <w:rsid w:val="00B27B03"/>
    <w:rsid w:val="00B31B62"/>
    <w:rsid w:val="00B3208E"/>
    <w:rsid w:val="00B33711"/>
    <w:rsid w:val="00B34889"/>
    <w:rsid w:val="00B37550"/>
    <w:rsid w:val="00B3779E"/>
    <w:rsid w:val="00B402C6"/>
    <w:rsid w:val="00B41DC1"/>
    <w:rsid w:val="00B42F69"/>
    <w:rsid w:val="00B46EC7"/>
    <w:rsid w:val="00B50A91"/>
    <w:rsid w:val="00B5160B"/>
    <w:rsid w:val="00B51761"/>
    <w:rsid w:val="00B51871"/>
    <w:rsid w:val="00B52022"/>
    <w:rsid w:val="00B52187"/>
    <w:rsid w:val="00B54691"/>
    <w:rsid w:val="00B60CCD"/>
    <w:rsid w:val="00B62854"/>
    <w:rsid w:val="00B62EF1"/>
    <w:rsid w:val="00B640CC"/>
    <w:rsid w:val="00B645B6"/>
    <w:rsid w:val="00B64B2F"/>
    <w:rsid w:val="00B667BF"/>
    <w:rsid w:val="00B674D6"/>
    <w:rsid w:val="00B6797D"/>
    <w:rsid w:val="00B7245B"/>
    <w:rsid w:val="00B735B8"/>
    <w:rsid w:val="00B73935"/>
    <w:rsid w:val="00B73F56"/>
    <w:rsid w:val="00B7436E"/>
    <w:rsid w:val="00B74858"/>
    <w:rsid w:val="00B752EB"/>
    <w:rsid w:val="00B77BE4"/>
    <w:rsid w:val="00B812BE"/>
    <w:rsid w:val="00B813D5"/>
    <w:rsid w:val="00B8258D"/>
    <w:rsid w:val="00B825B4"/>
    <w:rsid w:val="00B84E7E"/>
    <w:rsid w:val="00B86608"/>
    <w:rsid w:val="00B87847"/>
    <w:rsid w:val="00B90477"/>
    <w:rsid w:val="00B92AA5"/>
    <w:rsid w:val="00B93904"/>
    <w:rsid w:val="00B955FE"/>
    <w:rsid w:val="00B96744"/>
    <w:rsid w:val="00BA0B9F"/>
    <w:rsid w:val="00BA12EE"/>
    <w:rsid w:val="00BA3287"/>
    <w:rsid w:val="00BA5868"/>
    <w:rsid w:val="00BA6419"/>
    <w:rsid w:val="00BA6550"/>
    <w:rsid w:val="00BB19CC"/>
    <w:rsid w:val="00BB3642"/>
    <w:rsid w:val="00BB4A3B"/>
    <w:rsid w:val="00BB59F6"/>
    <w:rsid w:val="00BB5EF0"/>
    <w:rsid w:val="00BB66AB"/>
    <w:rsid w:val="00BB7BBA"/>
    <w:rsid w:val="00BC0AD6"/>
    <w:rsid w:val="00BC122E"/>
    <w:rsid w:val="00BC3584"/>
    <w:rsid w:val="00BC5838"/>
    <w:rsid w:val="00BC6DC2"/>
    <w:rsid w:val="00BD0E2E"/>
    <w:rsid w:val="00BE442D"/>
    <w:rsid w:val="00BE4ED6"/>
    <w:rsid w:val="00BE54F3"/>
    <w:rsid w:val="00BE5F67"/>
    <w:rsid w:val="00BE7920"/>
    <w:rsid w:val="00BF1E46"/>
    <w:rsid w:val="00BF2A3A"/>
    <w:rsid w:val="00BF2CD1"/>
    <w:rsid w:val="00BF4B6A"/>
    <w:rsid w:val="00BF5135"/>
    <w:rsid w:val="00BF544B"/>
    <w:rsid w:val="00C00312"/>
    <w:rsid w:val="00C00828"/>
    <w:rsid w:val="00C009F5"/>
    <w:rsid w:val="00C01129"/>
    <w:rsid w:val="00C01DD9"/>
    <w:rsid w:val="00C02239"/>
    <w:rsid w:val="00C022E1"/>
    <w:rsid w:val="00C0398D"/>
    <w:rsid w:val="00C05C3D"/>
    <w:rsid w:val="00C06859"/>
    <w:rsid w:val="00C071AC"/>
    <w:rsid w:val="00C109A2"/>
    <w:rsid w:val="00C11707"/>
    <w:rsid w:val="00C11E4C"/>
    <w:rsid w:val="00C130D8"/>
    <w:rsid w:val="00C14954"/>
    <w:rsid w:val="00C179B0"/>
    <w:rsid w:val="00C20245"/>
    <w:rsid w:val="00C20CA6"/>
    <w:rsid w:val="00C21AD6"/>
    <w:rsid w:val="00C226F9"/>
    <w:rsid w:val="00C23398"/>
    <w:rsid w:val="00C23B23"/>
    <w:rsid w:val="00C23EC3"/>
    <w:rsid w:val="00C2428B"/>
    <w:rsid w:val="00C26C22"/>
    <w:rsid w:val="00C27B03"/>
    <w:rsid w:val="00C3089B"/>
    <w:rsid w:val="00C34B40"/>
    <w:rsid w:val="00C3503D"/>
    <w:rsid w:val="00C35836"/>
    <w:rsid w:val="00C41CD3"/>
    <w:rsid w:val="00C43438"/>
    <w:rsid w:val="00C44264"/>
    <w:rsid w:val="00C46251"/>
    <w:rsid w:val="00C4790F"/>
    <w:rsid w:val="00C47FC0"/>
    <w:rsid w:val="00C5189F"/>
    <w:rsid w:val="00C51DEE"/>
    <w:rsid w:val="00C528CC"/>
    <w:rsid w:val="00C53ABD"/>
    <w:rsid w:val="00C53AD3"/>
    <w:rsid w:val="00C53C94"/>
    <w:rsid w:val="00C57741"/>
    <w:rsid w:val="00C6074F"/>
    <w:rsid w:val="00C62568"/>
    <w:rsid w:val="00C6296C"/>
    <w:rsid w:val="00C64143"/>
    <w:rsid w:val="00C6434D"/>
    <w:rsid w:val="00C652E5"/>
    <w:rsid w:val="00C65967"/>
    <w:rsid w:val="00C67446"/>
    <w:rsid w:val="00C70962"/>
    <w:rsid w:val="00C71674"/>
    <w:rsid w:val="00C733F7"/>
    <w:rsid w:val="00C7697F"/>
    <w:rsid w:val="00C7716A"/>
    <w:rsid w:val="00C8136C"/>
    <w:rsid w:val="00C82FAC"/>
    <w:rsid w:val="00C82FFA"/>
    <w:rsid w:val="00C84032"/>
    <w:rsid w:val="00C84A1B"/>
    <w:rsid w:val="00C85521"/>
    <w:rsid w:val="00C856C0"/>
    <w:rsid w:val="00C863EE"/>
    <w:rsid w:val="00C87C6C"/>
    <w:rsid w:val="00C92646"/>
    <w:rsid w:val="00C9316A"/>
    <w:rsid w:val="00C937E7"/>
    <w:rsid w:val="00C93B5E"/>
    <w:rsid w:val="00C95D8D"/>
    <w:rsid w:val="00C97C7F"/>
    <w:rsid w:val="00CA0BE1"/>
    <w:rsid w:val="00CA2283"/>
    <w:rsid w:val="00CA2AEF"/>
    <w:rsid w:val="00CA2CA3"/>
    <w:rsid w:val="00CA325F"/>
    <w:rsid w:val="00CA33B8"/>
    <w:rsid w:val="00CA6255"/>
    <w:rsid w:val="00CA6DD8"/>
    <w:rsid w:val="00CB1582"/>
    <w:rsid w:val="00CB22B7"/>
    <w:rsid w:val="00CB31DA"/>
    <w:rsid w:val="00CB5032"/>
    <w:rsid w:val="00CB7DF6"/>
    <w:rsid w:val="00CC303F"/>
    <w:rsid w:val="00CC3C96"/>
    <w:rsid w:val="00CD077C"/>
    <w:rsid w:val="00CD342A"/>
    <w:rsid w:val="00CD3940"/>
    <w:rsid w:val="00CE1CBF"/>
    <w:rsid w:val="00CE2F14"/>
    <w:rsid w:val="00CE52B8"/>
    <w:rsid w:val="00CE6A0B"/>
    <w:rsid w:val="00CE7BF6"/>
    <w:rsid w:val="00CF0950"/>
    <w:rsid w:val="00CF1CA9"/>
    <w:rsid w:val="00CF3B07"/>
    <w:rsid w:val="00CF4C13"/>
    <w:rsid w:val="00CF62E0"/>
    <w:rsid w:val="00CF6384"/>
    <w:rsid w:val="00CF6902"/>
    <w:rsid w:val="00D02B8F"/>
    <w:rsid w:val="00D0401F"/>
    <w:rsid w:val="00D06E88"/>
    <w:rsid w:val="00D11F90"/>
    <w:rsid w:val="00D13527"/>
    <w:rsid w:val="00D15E4E"/>
    <w:rsid w:val="00D17601"/>
    <w:rsid w:val="00D20D6E"/>
    <w:rsid w:val="00D21300"/>
    <w:rsid w:val="00D22F7B"/>
    <w:rsid w:val="00D230DC"/>
    <w:rsid w:val="00D2583E"/>
    <w:rsid w:val="00D26C9A"/>
    <w:rsid w:val="00D27134"/>
    <w:rsid w:val="00D303E8"/>
    <w:rsid w:val="00D31BA6"/>
    <w:rsid w:val="00D335E1"/>
    <w:rsid w:val="00D3545E"/>
    <w:rsid w:val="00D35FEA"/>
    <w:rsid w:val="00D366E4"/>
    <w:rsid w:val="00D423AC"/>
    <w:rsid w:val="00D44B15"/>
    <w:rsid w:val="00D44DC6"/>
    <w:rsid w:val="00D476EA"/>
    <w:rsid w:val="00D514E5"/>
    <w:rsid w:val="00D53589"/>
    <w:rsid w:val="00D539D5"/>
    <w:rsid w:val="00D544D5"/>
    <w:rsid w:val="00D54642"/>
    <w:rsid w:val="00D575C2"/>
    <w:rsid w:val="00D57897"/>
    <w:rsid w:val="00D602DE"/>
    <w:rsid w:val="00D6096A"/>
    <w:rsid w:val="00D60ABE"/>
    <w:rsid w:val="00D60CE5"/>
    <w:rsid w:val="00D61811"/>
    <w:rsid w:val="00D63F9F"/>
    <w:rsid w:val="00D646D3"/>
    <w:rsid w:val="00D662F2"/>
    <w:rsid w:val="00D665F1"/>
    <w:rsid w:val="00D6711E"/>
    <w:rsid w:val="00D730D4"/>
    <w:rsid w:val="00D73B08"/>
    <w:rsid w:val="00D80127"/>
    <w:rsid w:val="00D804E2"/>
    <w:rsid w:val="00D805D1"/>
    <w:rsid w:val="00D81FB3"/>
    <w:rsid w:val="00D82FD7"/>
    <w:rsid w:val="00D84FA6"/>
    <w:rsid w:val="00D85C5F"/>
    <w:rsid w:val="00D85ECC"/>
    <w:rsid w:val="00D864C7"/>
    <w:rsid w:val="00D86EB7"/>
    <w:rsid w:val="00D91E9F"/>
    <w:rsid w:val="00D92025"/>
    <w:rsid w:val="00D9204D"/>
    <w:rsid w:val="00D92B5E"/>
    <w:rsid w:val="00D93388"/>
    <w:rsid w:val="00D93CFF"/>
    <w:rsid w:val="00D95457"/>
    <w:rsid w:val="00D97A7B"/>
    <w:rsid w:val="00DA1259"/>
    <w:rsid w:val="00DA1AAD"/>
    <w:rsid w:val="00DA1E08"/>
    <w:rsid w:val="00DA4A52"/>
    <w:rsid w:val="00DA4FBC"/>
    <w:rsid w:val="00DA61B9"/>
    <w:rsid w:val="00DA7457"/>
    <w:rsid w:val="00DB1083"/>
    <w:rsid w:val="00DB1B31"/>
    <w:rsid w:val="00DB2995"/>
    <w:rsid w:val="00DB2ED0"/>
    <w:rsid w:val="00DB38F0"/>
    <w:rsid w:val="00DB3EE8"/>
    <w:rsid w:val="00DB4701"/>
    <w:rsid w:val="00DB4E76"/>
    <w:rsid w:val="00DB59C0"/>
    <w:rsid w:val="00DC0146"/>
    <w:rsid w:val="00DC03EE"/>
    <w:rsid w:val="00DC36B8"/>
    <w:rsid w:val="00DC53F2"/>
    <w:rsid w:val="00DC6B01"/>
    <w:rsid w:val="00DC7797"/>
    <w:rsid w:val="00DC7E53"/>
    <w:rsid w:val="00DD078A"/>
    <w:rsid w:val="00DD1737"/>
    <w:rsid w:val="00DD34E1"/>
    <w:rsid w:val="00DD441D"/>
    <w:rsid w:val="00DD45E7"/>
    <w:rsid w:val="00DD468C"/>
    <w:rsid w:val="00DD51BD"/>
    <w:rsid w:val="00DD71F6"/>
    <w:rsid w:val="00DD7667"/>
    <w:rsid w:val="00DD777C"/>
    <w:rsid w:val="00DE0D2F"/>
    <w:rsid w:val="00DE0D75"/>
    <w:rsid w:val="00DE19EB"/>
    <w:rsid w:val="00DE39D7"/>
    <w:rsid w:val="00DE5B0F"/>
    <w:rsid w:val="00DF0FE3"/>
    <w:rsid w:val="00DF2CB1"/>
    <w:rsid w:val="00DF69F9"/>
    <w:rsid w:val="00DF6A59"/>
    <w:rsid w:val="00E02579"/>
    <w:rsid w:val="00E02B50"/>
    <w:rsid w:val="00E04B3F"/>
    <w:rsid w:val="00E060C1"/>
    <w:rsid w:val="00E06B1E"/>
    <w:rsid w:val="00E07787"/>
    <w:rsid w:val="00E10AAF"/>
    <w:rsid w:val="00E11D49"/>
    <w:rsid w:val="00E12DD3"/>
    <w:rsid w:val="00E147D5"/>
    <w:rsid w:val="00E14C0E"/>
    <w:rsid w:val="00E16642"/>
    <w:rsid w:val="00E1787C"/>
    <w:rsid w:val="00E2249E"/>
    <w:rsid w:val="00E22B76"/>
    <w:rsid w:val="00E234F1"/>
    <w:rsid w:val="00E241ED"/>
    <w:rsid w:val="00E24E3A"/>
    <w:rsid w:val="00E25AF8"/>
    <w:rsid w:val="00E26C55"/>
    <w:rsid w:val="00E26F6C"/>
    <w:rsid w:val="00E31BD0"/>
    <w:rsid w:val="00E348EA"/>
    <w:rsid w:val="00E34CA3"/>
    <w:rsid w:val="00E35C4A"/>
    <w:rsid w:val="00E37A0F"/>
    <w:rsid w:val="00E37DA6"/>
    <w:rsid w:val="00E37FE3"/>
    <w:rsid w:val="00E40EB7"/>
    <w:rsid w:val="00E43AAA"/>
    <w:rsid w:val="00E44C62"/>
    <w:rsid w:val="00E5275F"/>
    <w:rsid w:val="00E5387C"/>
    <w:rsid w:val="00E54EF2"/>
    <w:rsid w:val="00E60DC5"/>
    <w:rsid w:val="00E627BF"/>
    <w:rsid w:val="00E63559"/>
    <w:rsid w:val="00E67180"/>
    <w:rsid w:val="00E676E2"/>
    <w:rsid w:val="00E727C0"/>
    <w:rsid w:val="00E74FA5"/>
    <w:rsid w:val="00E756A8"/>
    <w:rsid w:val="00E76032"/>
    <w:rsid w:val="00E768F2"/>
    <w:rsid w:val="00E77E9E"/>
    <w:rsid w:val="00E80EE4"/>
    <w:rsid w:val="00E81DED"/>
    <w:rsid w:val="00E82316"/>
    <w:rsid w:val="00E825B3"/>
    <w:rsid w:val="00E849DE"/>
    <w:rsid w:val="00E85948"/>
    <w:rsid w:val="00E86536"/>
    <w:rsid w:val="00E9167E"/>
    <w:rsid w:val="00E922A4"/>
    <w:rsid w:val="00E925CE"/>
    <w:rsid w:val="00E93F3F"/>
    <w:rsid w:val="00E967CB"/>
    <w:rsid w:val="00EA05D9"/>
    <w:rsid w:val="00EA1104"/>
    <w:rsid w:val="00EA5257"/>
    <w:rsid w:val="00EA59B6"/>
    <w:rsid w:val="00EA7415"/>
    <w:rsid w:val="00EB0433"/>
    <w:rsid w:val="00EB1B8B"/>
    <w:rsid w:val="00EB24EC"/>
    <w:rsid w:val="00EB3C54"/>
    <w:rsid w:val="00EB4951"/>
    <w:rsid w:val="00EB595B"/>
    <w:rsid w:val="00EC098E"/>
    <w:rsid w:val="00EC0BCB"/>
    <w:rsid w:val="00EC0E71"/>
    <w:rsid w:val="00ED613A"/>
    <w:rsid w:val="00ED6CFA"/>
    <w:rsid w:val="00ED6D53"/>
    <w:rsid w:val="00EE029C"/>
    <w:rsid w:val="00EE1855"/>
    <w:rsid w:val="00EE1E1F"/>
    <w:rsid w:val="00EE2B68"/>
    <w:rsid w:val="00EE3733"/>
    <w:rsid w:val="00EE395E"/>
    <w:rsid w:val="00EE6D70"/>
    <w:rsid w:val="00EF1386"/>
    <w:rsid w:val="00EF2491"/>
    <w:rsid w:val="00EF256B"/>
    <w:rsid w:val="00EF5277"/>
    <w:rsid w:val="00EF5CAD"/>
    <w:rsid w:val="00EF611F"/>
    <w:rsid w:val="00EF76E1"/>
    <w:rsid w:val="00F026BC"/>
    <w:rsid w:val="00F029AF"/>
    <w:rsid w:val="00F04099"/>
    <w:rsid w:val="00F05B66"/>
    <w:rsid w:val="00F1030E"/>
    <w:rsid w:val="00F10925"/>
    <w:rsid w:val="00F12F6C"/>
    <w:rsid w:val="00F13DAE"/>
    <w:rsid w:val="00F157D8"/>
    <w:rsid w:val="00F201AD"/>
    <w:rsid w:val="00F20D79"/>
    <w:rsid w:val="00F21481"/>
    <w:rsid w:val="00F21B21"/>
    <w:rsid w:val="00F222BB"/>
    <w:rsid w:val="00F2491A"/>
    <w:rsid w:val="00F24EF6"/>
    <w:rsid w:val="00F254E4"/>
    <w:rsid w:val="00F26AAB"/>
    <w:rsid w:val="00F26F5D"/>
    <w:rsid w:val="00F313FE"/>
    <w:rsid w:val="00F3381E"/>
    <w:rsid w:val="00F34C92"/>
    <w:rsid w:val="00F35D19"/>
    <w:rsid w:val="00F377AE"/>
    <w:rsid w:val="00F41269"/>
    <w:rsid w:val="00F41319"/>
    <w:rsid w:val="00F44B13"/>
    <w:rsid w:val="00F45BE7"/>
    <w:rsid w:val="00F463D7"/>
    <w:rsid w:val="00F50163"/>
    <w:rsid w:val="00F510E2"/>
    <w:rsid w:val="00F5150F"/>
    <w:rsid w:val="00F515F1"/>
    <w:rsid w:val="00F5273A"/>
    <w:rsid w:val="00F52D6B"/>
    <w:rsid w:val="00F52E18"/>
    <w:rsid w:val="00F535E2"/>
    <w:rsid w:val="00F54516"/>
    <w:rsid w:val="00F546FB"/>
    <w:rsid w:val="00F55335"/>
    <w:rsid w:val="00F55CF7"/>
    <w:rsid w:val="00F57D1C"/>
    <w:rsid w:val="00F6077A"/>
    <w:rsid w:val="00F6086A"/>
    <w:rsid w:val="00F6169B"/>
    <w:rsid w:val="00F62824"/>
    <w:rsid w:val="00F62D7C"/>
    <w:rsid w:val="00F634C8"/>
    <w:rsid w:val="00F67155"/>
    <w:rsid w:val="00F7058F"/>
    <w:rsid w:val="00F70D21"/>
    <w:rsid w:val="00F70FEF"/>
    <w:rsid w:val="00F73F06"/>
    <w:rsid w:val="00F74F3A"/>
    <w:rsid w:val="00F75C02"/>
    <w:rsid w:val="00F77ECB"/>
    <w:rsid w:val="00F80602"/>
    <w:rsid w:val="00F81936"/>
    <w:rsid w:val="00F81BF8"/>
    <w:rsid w:val="00F81E47"/>
    <w:rsid w:val="00F824EF"/>
    <w:rsid w:val="00F84408"/>
    <w:rsid w:val="00F8515F"/>
    <w:rsid w:val="00F86474"/>
    <w:rsid w:val="00F868B4"/>
    <w:rsid w:val="00F8730A"/>
    <w:rsid w:val="00F9016F"/>
    <w:rsid w:val="00F90601"/>
    <w:rsid w:val="00F93703"/>
    <w:rsid w:val="00F97E41"/>
    <w:rsid w:val="00FA2685"/>
    <w:rsid w:val="00FA78FD"/>
    <w:rsid w:val="00FB11BE"/>
    <w:rsid w:val="00FB1357"/>
    <w:rsid w:val="00FB1799"/>
    <w:rsid w:val="00FB1B56"/>
    <w:rsid w:val="00FB27F1"/>
    <w:rsid w:val="00FB4C6F"/>
    <w:rsid w:val="00FB7370"/>
    <w:rsid w:val="00FC5E76"/>
    <w:rsid w:val="00FC69CF"/>
    <w:rsid w:val="00FC7214"/>
    <w:rsid w:val="00FC7FB3"/>
    <w:rsid w:val="00FD058F"/>
    <w:rsid w:val="00FD0B70"/>
    <w:rsid w:val="00FD11B8"/>
    <w:rsid w:val="00FD1440"/>
    <w:rsid w:val="00FD1489"/>
    <w:rsid w:val="00FD1494"/>
    <w:rsid w:val="00FD17D7"/>
    <w:rsid w:val="00FD2DA9"/>
    <w:rsid w:val="00FD35FA"/>
    <w:rsid w:val="00FD3AEE"/>
    <w:rsid w:val="00FD59F1"/>
    <w:rsid w:val="00FD66A4"/>
    <w:rsid w:val="00FD6FE2"/>
    <w:rsid w:val="00FD74CB"/>
    <w:rsid w:val="00FD7543"/>
    <w:rsid w:val="00FD7BF5"/>
    <w:rsid w:val="00FE185C"/>
    <w:rsid w:val="00FE1BD0"/>
    <w:rsid w:val="00FE3C5F"/>
    <w:rsid w:val="00FE401B"/>
    <w:rsid w:val="00FE4705"/>
    <w:rsid w:val="00FE557C"/>
    <w:rsid w:val="00FF4C3A"/>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16521"/>
  <w15:docId w15:val="{7CD070D8-7EC9-4FE0-9277-7C5BB5B5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qFormat/>
    <w:rsid w:val="005112A3"/>
    <w:pPr>
      <w:outlineLvl w:val="0"/>
    </w:pPr>
    <w:rPr>
      <w:b/>
      <w:bCs/>
      <w:lang w:val="sr-Latn-ME"/>
    </w:rPr>
  </w:style>
  <w:style w:type="paragraph" w:styleId="Heading2">
    <w:name w:val="heading 2"/>
    <w:basedOn w:val="Normal"/>
    <w:next w:val="Normal"/>
    <w:link w:val="Heading2Char"/>
    <w:qFormat/>
    <w:rsid w:val="006140B9"/>
    <w:pPr>
      <w:keepNext/>
      <w:tabs>
        <w:tab w:val="clear" w:pos="567"/>
        <w:tab w:val="left" w:pos="4300"/>
        <w:tab w:val="left" w:pos="5940"/>
        <w:tab w:val="left" w:pos="8180"/>
      </w:tabs>
      <w:spacing w:line="360" w:lineRule="atLeast"/>
      <w:outlineLvl w:val="1"/>
    </w:pPr>
    <w:rPr>
      <w:b/>
      <w:noProof/>
      <w:sz w:val="24"/>
      <w:u w:val="single"/>
      <w:lang w:val="en-US" w:eastAsia="sl-SI"/>
    </w:rPr>
  </w:style>
  <w:style w:type="paragraph" w:styleId="Heading3">
    <w:name w:val="heading 3"/>
    <w:basedOn w:val="Normal"/>
    <w:next w:val="Normal"/>
    <w:link w:val="Heading3Char"/>
    <w:qFormat/>
    <w:rsid w:val="006140B9"/>
    <w:pPr>
      <w:keepNext/>
      <w:tabs>
        <w:tab w:val="clear" w:pos="567"/>
        <w:tab w:val="decimal" w:pos="6760"/>
      </w:tabs>
      <w:spacing w:line="480" w:lineRule="atLeast"/>
      <w:outlineLvl w:val="2"/>
    </w:pPr>
    <w:rPr>
      <w:b/>
      <w:noProof/>
      <w:sz w:val="24"/>
      <w:lang w:val="en-US" w:eastAsia="sl-SI"/>
    </w:rPr>
  </w:style>
  <w:style w:type="paragraph" w:styleId="Heading4">
    <w:name w:val="heading 4"/>
    <w:basedOn w:val="Normal"/>
    <w:next w:val="Normal"/>
    <w:link w:val="Heading4Char"/>
    <w:qFormat/>
    <w:rsid w:val="006140B9"/>
    <w:pPr>
      <w:keepNext/>
      <w:tabs>
        <w:tab w:val="clear" w:pos="567"/>
      </w:tabs>
      <w:spacing w:before="240" w:after="60" w:line="240" w:lineRule="auto"/>
      <w:outlineLvl w:val="3"/>
    </w:pPr>
    <w:rPr>
      <w:b/>
      <w:bCs/>
      <w:noProof/>
      <w:sz w:val="28"/>
      <w:szCs w:val="28"/>
      <w:lang w:val="sr-Latn-ME" w:eastAsia="sl-SI"/>
    </w:rPr>
  </w:style>
  <w:style w:type="paragraph" w:styleId="Heading5">
    <w:name w:val="heading 5"/>
    <w:basedOn w:val="Normal"/>
    <w:next w:val="Normal"/>
    <w:link w:val="Heading5Char"/>
    <w:qFormat/>
    <w:rsid w:val="006140B9"/>
    <w:pPr>
      <w:keepNext/>
      <w:tabs>
        <w:tab w:val="clear" w:pos="567"/>
        <w:tab w:val="num" w:pos="1008"/>
      </w:tabs>
      <w:spacing w:line="240" w:lineRule="auto"/>
      <w:ind w:left="1008" w:hanging="1008"/>
      <w:outlineLvl w:val="4"/>
    </w:pPr>
    <w:rPr>
      <w:b/>
      <w:noProof/>
      <w:sz w:val="24"/>
    </w:rPr>
  </w:style>
  <w:style w:type="paragraph" w:styleId="Heading6">
    <w:name w:val="heading 6"/>
    <w:basedOn w:val="Normal"/>
    <w:next w:val="Normal"/>
    <w:link w:val="Heading6Char"/>
    <w:qFormat/>
    <w:rsid w:val="006140B9"/>
    <w:pPr>
      <w:keepNext/>
      <w:keepLines/>
      <w:tabs>
        <w:tab w:val="clear" w:pos="567"/>
        <w:tab w:val="right" w:pos="4536"/>
        <w:tab w:val="left" w:pos="5180"/>
        <w:tab w:val="left" w:pos="5380"/>
        <w:tab w:val="left" w:pos="8222"/>
      </w:tabs>
      <w:spacing w:line="240" w:lineRule="auto"/>
      <w:outlineLvl w:val="5"/>
    </w:pPr>
    <w:rPr>
      <w:b/>
      <w:noProof/>
      <w:sz w:val="24"/>
      <w:lang w:val="en-US" w:eastAsia="sl-SI"/>
    </w:rPr>
  </w:style>
  <w:style w:type="paragraph" w:styleId="Heading7">
    <w:name w:val="heading 7"/>
    <w:basedOn w:val="Normal"/>
    <w:next w:val="Normal"/>
    <w:link w:val="Heading7Char"/>
    <w:unhideWhenUsed/>
    <w:qFormat/>
    <w:rsid w:val="006140B9"/>
    <w:pPr>
      <w:keepNext/>
      <w:tabs>
        <w:tab w:val="left" w:pos="-720"/>
        <w:tab w:val="left" w:pos="4536"/>
      </w:tabs>
      <w:suppressAutoHyphens/>
      <w:jc w:val="both"/>
      <w:outlineLvl w:val="6"/>
    </w:pPr>
    <w:rPr>
      <w:i/>
      <w:noProof/>
      <w:lang w:val="x-none"/>
    </w:rPr>
  </w:style>
  <w:style w:type="paragraph" w:styleId="Heading8">
    <w:name w:val="heading 8"/>
    <w:basedOn w:val="Normal"/>
    <w:next w:val="Normal"/>
    <w:link w:val="Heading8Char"/>
    <w:qFormat/>
    <w:rsid w:val="006140B9"/>
    <w:pPr>
      <w:tabs>
        <w:tab w:val="clear" w:pos="567"/>
      </w:tabs>
      <w:spacing w:before="240" w:after="60" w:line="240" w:lineRule="auto"/>
      <w:outlineLvl w:val="7"/>
    </w:pPr>
    <w:rPr>
      <w:i/>
      <w:iCs/>
      <w:noProof/>
      <w:sz w:val="24"/>
      <w:szCs w:val="24"/>
      <w:lang w:val="en-US"/>
    </w:rPr>
  </w:style>
  <w:style w:type="paragraph" w:styleId="Heading9">
    <w:name w:val="heading 9"/>
    <w:basedOn w:val="Normal"/>
    <w:next w:val="Normal"/>
    <w:link w:val="Heading9Char"/>
    <w:qFormat/>
    <w:rsid w:val="006140B9"/>
    <w:pPr>
      <w:tabs>
        <w:tab w:val="clear" w:pos="567"/>
        <w:tab w:val="num" w:pos="1584"/>
      </w:tabs>
      <w:spacing w:before="240" w:after="60" w:line="240" w:lineRule="auto"/>
      <w:ind w:left="1584" w:hanging="1584"/>
      <w:outlineLvl w:val="8"/>
    </w:pPr>
    <w:rPr>
      <w:rFonts w:ascii="Arial" w:hAnsi="Arial" w:cs="Arial"/>
      <w:noProo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aliases w:val="Header Char1,Header Char Char,Header Char1 Char Char,Header Char Char Char Char,Char Char Char Char Char,Char Char1 Char Char,Char Char Char,Char Char1,Header Char1 Char Char Char Char,Header Char Char Char Char Char Char,Header Char, Char,Char"/>
    <w:basedOn w:val="Normal"/>
    <w:link w:val="HeaderChar2"/>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basedOn w:val="Normal"/>
    <w:link w:val="CommentTextChar"/>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val="en-GB" w:eastAsia="en-US"/>
    </w:rPr>
  </w:style>
  <w:style w:type="character" w:customStyle="1" w:styleId="Heading1Char">
    <w:name w:val="Heading 1 Char"/>
    <w:link w:val="Heading1"/>
    <w:rsid w:val="005112A3"/>
    <w:rPr>
      <w:rFonts w:eastAsia="Times New Roman"/>
      <w:b/>
      <w:bCs/>
      <w:sz w:val="22"/>
      <w:lang w:val="sr-Latn-ME" w:eastAsia="en-US"/>
    </w:rPr>
  </w:style>
  <w:style w:type="character" w:customStyle="1" w:styleId="Heading2Char">
    <w:name w:val="Heading 2 Char"/>
    <w:link w:val="Heading2"/>
    <w:rsid w:val="006140B9"/>
    <w:rPr>
      <w:rFonts w:eastAsia="Times New Roman"/>
      <w:b/>
      <w:noProof/>
      <w:sz w:val="24"/>
      <w:u w:val="single"/>
      <w:lang w:val="en-US" w:eastAsia="sl-SI"/>
    </w:rPr>
  </w:style>
  <w:style w:type="character" w:customStyle="1" w:styleId="Heading3Char">
    <w:name w:val="Heading 3 Char"/>
    <w:link w:val="Heading3"/>
    <w:rsid w:val="006140B9"/>
    <w:rPr>
      <w:rFonts w:eastAsia="Times New Roman"/>
      <w:b/>
      <w:noProof/>
      <w:sz w:val="24"/>
      <w:lang w:val="en-US" w:eastAsia="sl-SI"/>
    </w:rPr>
  </w:style>
  <w:style w:type="character" w:customStyle="1" w:styleId="Heading4Char">
    <w:name w:val="Heading 4 Char"/>
    <w:link w:val="Heading4"/>
    <w:rsid w:val="006140B9"/>
    <w:rPr>
      <w:rFonts w:eastAsia="Times New Roman"/>
      <w:b/>
      <w:bCs/>
      <w:noProof/>
      <w:sz w:val="28"/>
      <w:szCs w:val="28"/>
      <w:lang w:val="sr-Latn-ME" w:eastAsia="sl-SI"/>
    </w:rPr>
  </w:style>
  <w:style w:type="character" w:customStyle="1" w:styleId="Heading5Char">
    <w:name w:val="Heading 5 Char"/>
    <w:link w:val="Heading5"/>
    <w:rsid w:val="006140B9"/>
    <w:rPr>
      <w:rFonts w:eastAsia="Times New Roman"/>
      <w:b/>
      <w:noProof/>
      <w:sz w:val="24"/>
      <w:lang w:eastAsia="en-US"/>
    </w:rPr>
  </w:style>
  <w:style w:type="character" w:customStyle="1" w:styleId="Heading6Char">
    <w:name w:val="Heading 6 Char"/>
    <w:link w:val="Heading6"/>
    <w:rsid w:val="006140B9"/>
    <w:rPr>
      <w:rFonts w:eastAsia="Times New Roman"/>
      <w:b/>
      <w:noProof/>
      <w:sz w:val="24"/>
      <w:lang w:val="en-US" w:eastAsia="sl-SI"/>
    </w:rPr>
  </w:style>
  <w:style w:type="character" w:customStyle="1" w:styleId="Heading7Char">
    <w:name w:val="Heading 7 Char"/>
    <w:link w:val="Heading7"/>
    <w:rsid w:val="006140B9"/>
    <w:rPr>
      <w:rFonts w:eastAsia="Times New Roman"/>
      <w:i/>
      <w:noProof/>
      <w:sz w:val="22"/>
      <w:lang w:val="x-none" w:eastAsia="en-US"/>
    </w:rPr>
  </w:style>
  <w:style w:type="character" w:customStyle="1" w:styleId="Heading8Char">
    <w:name w:val="Heading 8 Char"/>
    <w:link w:val="Heading8"/>
    <w:rsid w:val="006140B9"/>
    <w:rPr>
      <w:rFonts w:eastAsia="Times New Roman"/>
      <w:i/>
      <w:iCs/>
      <w:noProof/>
      <w:sz w:val="24"/>
      <w:szCs w:val="24"/>
      <w:lang w:val="en-US" w:eastAsia="en-US"/>
    </w:rPr>
  </w:style>
  <w:style w:type="character" w:customStyle="1" w:styleId="Heading9Char">
    <w:name w:val="Heading 9 Char"/>
    <w:link w:val="Heading9"/>
    <w:rsid w:val="006140B9"/>
    <w:rPr>
      <w:rFonts w:ascii="Arial" w:eastAsia="Times New Roman" w:hAnsi="Arial" w:cs="Arial"/>
      <w:noProof/>
      <w:sz w:val="22"/>
      <w:szCs w:val="22"/>
      <w:lang w:val="en-AU" w:eastAsia="en-US"/>
    </w:rPr>
  </w:style>
  <w:style w:type="table" w:styleId="TableGrid">
    <w:name w:val="Table Grid"/>
    <w:basedOn w:val="TableNormal"/>
    <w:rsid w:val="006140B9"/>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140B9"/>
    <w:rPr>
      <w:color w:val="800080"/>
      <w:u w:val="single"/>
    </w:rPr>
  </w:style>
  <w:style w:type="paragraph" w:styleId="PlainText">
    <w:name w:val="Plain Text"/>
    <w:basedOn w:val="Normal"/>
    <w:link w:val="PlainTextChar"/>
    <w:rsid w:val="006140B9"/>
    <w:pPr>
      <w:tabs>
        <w:tab w:val="clear" w:pos="567"/>
      </w:tabs>
      <w:spacing w:line="240" w:lineRule="auto"/>
    </w:pPr>
    <w:rPr>
      <w:rFonts w:ascii="Courier New" w:hAnsi="Courier New"/>
      <w:noProof/>
      <w:sz w:val="20"/>
      <w:lang w:eastAsia="sl-SI"/>
    </w:rPr>
  </w:style>
  <w:style w:type="character" w:customStyle="1" w:styleId="PlainTextChar">
    <w:name w:val="Plain Text Char"/>
    <w:link w:val="PlainText"/>
    <w:rsid w:val="006140B9"/>
    <w:rPr>
      <w:rFonts w:ascii="Courier New" w:eastAsia="Times New Roman" w:hAnsi="Courier New"/>
      <w:noProof/>
      <w:lang w:eastAsia="sl-SI"/>
    </w:rPr>
  </w:style>
  <w:style w:type="paragraph" w:styleId="Caption">
    <w:name w:val="caption"/>
    <w:basedOn w:val="Normal"/>
    <w:next w:val="Normal"/>
    <w:qFormat/>
    <w:rsid w:val="006140B9"/>
    <w:pPr>
      <w:tabs>
        <w:tab w:val="clear" w:pos="567"/>
      </w:tabs>
      <w:spacing w:line="240" w:lineRule="auto"/>
      <w:jc w:val="both"/>
    </w:pPr>
    <w:rPr>
      <w:noProof/>
      <w:sz w:val="24"/>
      <w:lang w:eastAsia="sl-SI"/>
    </w:rPr>
  </w:style>
  <w:style w:type="paragraph" w:customStyle="1" w:styleId="Naslov1">
    <w:name w:val="Naslov1"/>
    <w:basedOn w:val="Heading1"/>
    <w:rsid w:val="006140B9"/>
    <w:rPr>
      <w:bCs w:val="0"/>
      <w:u w:val="single"/>
    </w:rPr>
  </w:style>
  <w:style w:type="paragraph" w:styleId="TOC1">
    <w:name w:val="toc 1"/>
    <w:basedOn w:val="Normal"/>
    <w:next w:val="Normal"/>
    <w:autoRedefine/>
    <w:rsid w:val="006140B9"/>
    <w:pPr>
      <w:tabs>
        <w:tab w:val="clear" w:pos="567"/>
      </w:tabs>
      <w:spacing w:before="120" w:line="240" w:lineRule="auto"/>
    </w:pPr>
    <w:rPr>
      <w:b/>
      <w:bCs/>
      <w:i/>
      <w:iCs/>
      <w:noProof/>
      <w:sz w:val="24"/>
      <w:szCs w:val="28"/>
      <w:lang w:val="sr-Latn-ME" w:eastAsia="sl-SI"/>
    </w:rPr>
  </w:style>
  <w:style w:type="paragraph" w:styleId="BodyText2">
    <w:name w:val="Body Text 2"/>
    <w:basedOn w:val="Normal"/>
    <w:link w:val="BodyText2Char"/>
    <w:rsid w:val="006140B9"/>
    <w:pPr>
      <w:tabs>
        <w:tab w:val="clear" w:pos="567"/>
      </w:tabs>
      <w:spacing w:after="120" w:line="480" w:lineRule="auto"/>
    </w:pPr>
    <w:rPr>
      <w:noProof/>
      <w:sz w:val="24"/>
      <w:lang w:val="sr-Latn-ME" w:eastAsia="sl-SI"/>
    </w:rPr>
  </w:style>
  <w:style w:type="character" w:customStyle="1" w:styleId="BodyText2Char">
    <w:name w:val="Body Text 2 Char"/>
    <w:link w:val="BodyText2"/>
    <w:rsid w:val="006140B9"/>
    <w:rPr>
      <w:rFonts w:eastAsia="Times New Roman"/>
      <w:noProof/>
      <w:sz w:val="24"/>
      <w:lang w:val="sr-Latn-ME" w:eastAsia="sl-SI"/>
    </w:rPr>
  </w:style>
  <w:style w:type="paragraph" w:customStyle="1" w:styleId="Default">
    <w:name w:val="Default"/>
    <w:rsid w:val="006140B9"/>
    <w:pPr>
      <w:autoSpaceDE w:val="0"/>
      <w:autoSpaceDN w:val="0"/>
      <w:adjustRightInd w:val="0"/>
    </w:pPr>
    <w:rPr>
      <w:rFonts w:eastAsia="Times New Roman"/>
      <w:color w:val="000000"/>
      <w:sz w:val="24"/>
      <w:szCs w:val="24"/>
    </w:rPr>
  </w:style>
  <w:style w:type="paragraph" w:styleId="NormalWeb">
    <w:name w:val="Normal (Web)"/>
    <w:basedOn w:val="Normal"/>
    <w:uiPriority w:val="99"/>
    <w:unhideWhenUsed/>
    <w:rsid w:val="006140B9"/>
    <w:pPr>
      <w:tabs>
        <w:tab w:val="clear" w:pos="567"/>
      </w:tabs>
      <w:spacing w:before="100" w:beforeAutospacing="1" w:after="75" w:line="240" w:lineRule="auto"/>
    </w:pPr>
    <w:rPr>
      <w:noProof/>
      <w:color w:val="000000"/>
      <w:sz w:val="24"/>
      <w:szCs w:val="24"/>
      <w:lang w:val="en-IN" w:eastAsia="en-IN"/>
    </w:rPr>
  </w:style>
  <w:style w:type="character" w:customStyle="1" w:styleId="HeaderChar2">
    <w:name w:val="Header Char2"/>
    <w:aliases w:val="Header Char1 Char,Header Char Char Char,Header Char1 Char Char Char,Header Char Char Char Char Char,Char Char Char Char Char Char,Char Char1 Char Char Char,Char Char Char Char,Char Char1 Char,Header Char1 Char Char Char Char Char, Char Char"/>
    <w:link w:val="Header"/>
    <w:rsid w:val="006140B9"/>
    <w:rPr>
      <w:rFonts w:ascii="Arial" w:eastAsia="Times New Roman" w:hAnsi="Arial"/>
      <w:lang w:eastAsia="en-US"/>
    </w:rPr>
  </w:style>
  <w:style w:type="character" w:customStyle="1" w:styleId="FooterChar">
    <w:name w:val="Footer Char"/>
    <w:link w:val="Footer"/>
    <w:rsid w:val="006140B9"/>
    <w:rPr>
      <w:rFonts w:ascii="Arial" w:eastAsia="Times New Roman" w:hAnsi="Arial"/>
      <w:noProof/>
      <w:sz w:val="16"/>
      <w:lang w:eastAsia="en-US"/>
    </w:rPr>
  </w:style>
  <w:style w:type="character" w:customStyle="1" w:styleId="BodyTextChar">
    <w:name w:val="Body Text Char"/>
    <w:link w:val="BodyText"/>
    <w:rsid w:val="006140B9"/>
    <w:rPr>
      <w:rFonts w:eastAsia="Times New Roman"/>
      <w:i/>
      <w:color w:val="008000"/>
      <w:sz w:val="22"/>
      <w:lang w:eastAsia="en-US"/>
    </w:rPr>
  </w:style>
  <w:style w:type="paragraph" w:styleId="BodyText3">
    <w:name w:val="Body Text 3"/>
    <w:basedOn w:val="Normal"/>
    <w:link w:val="BodyText3Char"/>
    <w:unhideWhenUsed/>
    <w:rsid w:val="006140B9"/>
    <w:pPr>
      <w:spacing w:after="120"/>
    </w:pPr>
    <w:rPr>
      <w:noProof/>
      <w:sz w:val="16"/>
      <w:szCs w:val="16"/>
      <w:lang w:val="x-none"/>
    </w:rPr>
  </w:style>
  <w:style w:type="character" w:customStyle="1" w:styleId="BodyText3Char">
    <w:name w:val="Body Text 3 Char"/>
    <w:link w:val="BodyText3"/>
    <w:rsid w:val="006140B9"/>
    <w:rPr>
      <w:rFonts w:eastAsia="Times New Roman"/>
      <w:noProof/>
      <w:sz w:val="16"/>
      <w:szCs w:val="16"/>
      <w:lang w:val="x-none" w:eastAsia="en-US"/>
    </w:rPr>
  </w:style>
  <w:style w:type="character" w:customStyle="1" w:styleId="BalloonTextChar">
    <w:name w:val="Balloon Text Char"/>
    <w:link w:val="BalloonText"/>
    <w:rsid w:val="006140B9"/>
    <w:rPr>
      <w:rFonts w:ascii="Tahoma" w:eastAsia="Times New Roman" w:hAnsi="Tahoma" w:cs="Tahoma"/>
      <w:sz w:val="16"/>
      <w:szCs w:val="16"/>
      <w:lang w:eastAsia="en-US"/>
    </w:rPr>
  </w:style>
  <w:style w:type="paragraph" w:styleId="ListParagraph">
    <w:name w:val="List Paragraph"/>
    <w:basedOn w:val="Normal"/>
    <w:qFormat/>
    <w:rsid w:val="006140B9"/>
    <w:pPr>
      <w:ind w:left="720"/>
      <w:contextualSpacing/>
    </w:pPr>
    <w:rPr>
      <w:noProof/>
      <w:lang w:val="sr-Latn-ME"/>
    </w:rPr>
  </w:style>
  <w:style w:type="character" w:customStyle="1" w:styleId="TextTi10Char">
    <w:name w:val="Text:Ti10 Char"/>
    <w:link w:val="TextTi10"/>
    <w:locked/>
    <w:rsid w:val="006140B9"/>
    <w:rPr>
      <w:noProof/>
      <w:sz w:val="22"/>
      <w:lang w:val="en-US" w:eastAsia="ja-JP"/>
    </w:rPr>
  </w:style>
  <w:style w:type="paragraph" w:customStyle="1" w:styleId="TextTi10">
    <w:name w:val="Text:Ti10"/>
    <w:basedOn w:val="Normal"/>
    <w:link w:val="TextTi10Char"/>
    <w:rsid w:val="006140B9"/>
    <w:pPr>
      <w:tabs>
        <w:tab w:val="clear" w:pos="567"/>
      </w:tabs>
      <w:spacing w:line="240" w:lineRule="auto"/>
    </w:pPr>
    <w:rPr>
      <w:rFonts w:eastAsia="SimSun"/>
      <w:noProof/>
      <w:lang w:val="en-US" w:eastAsia="ja-JP"/>
    </w:rPr>
  </w:style>
  <w:style w:type="paragraph" w:customStyle="1" w:styleId="TableCellCenter">
    <w:name w:val="Table Cell Center"/>
    <w:basedOn w:val="Normal"/>
    <w:rsid w:val="006140B9"/>
    <w:pPr>
      <w:keepNext/>
      <w:keepLines/>
      <w:tabs>
        <w:tab w:val="clear" w:pos="567"/>
      </w:tabs>
      <w:spacing w:before="50" w:after="50" w:line="240" w:lineRule="exact"/>
      <w:jc w:val="center"/>
    </w:pPr>
    <w:rPr>
      <w:noProof/>
      <w:sz w:val="20"/>
      <w:szCs w:val="24"/>
      <w:lang w:eastAsia="de-DE"/>
    </w:rPr>
  </w:style>
  <w:style w:type="paragraph" w:customStyle="1" w:styleId="TableCellLeft">
    <w:name w:val="Table Cell Left"/>
    <w:basedOn w:val="Normal"/>
    <w:rsid w:val="006140B9"/>
    <w:pPr>
      <w:keepNext/>
      <w:keepLines/>
      <w:tabs>
        <w:tab w:val="clear" w:pos="567"/>
      </w:tabs>
      <w:spacing w:before="50" w:after="50" w:line="240" w:lineRule="exact"/>
    </w:pPr>
    <w:rPr>
      <w:noProof/>
      <w:sz w:val="20"/>
      <w:szCs w:val="24"/>
      <w:lang w:eastAsia="de-DE"/>
    </w:rPr>
  </w:style>
  <w:style w:type="paragraph" w:customStyle="1" w:styleId="TableFooter">
    <w:name w:val="Table Footer"/>
    <w:basedOn w:val="Normal"/>
    <w:rsid w:val="006140B9"/>
    <w:pPr>
      <w:keepNext/>
      <w:keepLines/>
      <w:tabs>
        <w:tab w:val="clear" w:pos="567"/>
        <w:tab w:val="right" w:pos="144"/>
      </w:tabs>
      <w:spacing w:before="60" w:line="240" w:lineRule="exact"/>
      <w:ind w:left="216" w:hanging="216"/>
    </w:pPr>
    <w:rPr>
      <w:noProof/>
      <w:sz w:val="20"/>
      <w:szCs w:val="24"/>
      <w:lang w:eastAsia="de-DE"/>
    </w:rPr>
  </w:style>
  <w:style w:type="paragraph" w:styleId="Title">
    <w:name w:val="Title"/>
    <w:basedOn w:val="Normal"/>
    <w:link w:val="TitleChar"/>
    <w:qFormat/>
    <w:rsid w:val="006140B9"/>
    <w:pPr>
      <w:tabs>
        <w:tab w:val="clear" w:pos="567"/>
      </w:tabs>
      <w:spacing w:line="240" w:lineRule="auto"/>
      <w:jc w:val="center"/>
    </w:pPr>
    <w:rPr>
      <w:b/>
      <w:noProof/>
      <w:sz w:val="24"/>
      <w:szCs w:val="24"/>
      <w:lang w:val="en-US"/>
    </w:rPr>
  </w:style>
  <w:style w:type="character" w:customStyle="1" w:styleId="TitleChar">
    <w:name w:val="Title Char"/>
    <w:link w:val="Title"/>
    <w:rsid w:val="006140B9"/>
    <w:rPr>
      <w:rFonts w:eastAsia="Times New Roman"/>
      <w:b/>
      <w:noProof/>
      <w:sz w:val="24"/>
      <w:szCs w:val="24"/>
      <w:lang w:val="en-US" w:eastAsia="en-US"/>
    </w:rPr>
  </w:style>
  <w:style w:type="paragraph" w:styleId="EndnoteText">
    <w:name w:val="endnote text"/>
    <w:basedOn w:val="Normal"/>
    <w:link w:val="EndnoteTextChar"/>
    <w:rsid w:val="006140B9"/>
    <w:pPr>
      <w:tabs>
        <w:tab w:val="clear" w:pos="567"/>
      </w:tabs>
      <w:spacing w:line="240" w:lineRule="auto"/>
    </w:pPr>
    <w:rPr>
      <w:rFonts w:ascii="TmsRmn 12pt" w:hAnsi="TmsRmn 12pt"/>
      <w:noProof/>
      <w:sz w:val="24"/>
      <w:szCs w:val="24"/>
      <w:lang w:val="en-US"/>
    </w:rPr>
  </w:style>
  <w:style w:type="character" w:customStyle="1" w:styleId="EndnoteTextChar">
    <w:name w:val="Endnote Text Char"/>
    <w:link w:val="EndnoteText"/>
    <w:rsid w:val="006140B9"/>
    <w:rPr>
      <w:rFonts w:ascii="TmsRmn 12pt" w:eastAsia="Times New Roman" w:hAnsi="TmsRmn 12pt"/>
      <w:noProof/>
      <w:sz w:val="24"/>
      <w:szCs w:val="24"/>
      <w:lang w:val="en-US" w:eastAsia="en-US"/>
    </w:rPr>
  </w:style>
  <w:style w:type="paragraph" w:styleId="BodyTextIndent2">
    <w:name w:val="Body Text Indent 2"/>
    <w:basedOn w:val="Normal"/>
    <w:link w:val="BodyTextIndent2Char"/>
    <w:rsid w:val="006140B9"/>
    <w:pPr>
      <w:tabs>
        <w:tab w:val="clear" w:pos="567"/>
      </w:tabs>
      <w:spacing w:line="240" w:lineRule="auto"/>
      <w:ind w:left="1440"/>
    </w:pPr>
    <w:rPr>
      <w:i/>
      <w:noProof/>
      <w:sz w:val="24"/>
      <w:szCs w:val="24"/>
      <w:lang w:val="en-US"/>
    </w:rPr>
  </w:style>
  <w:style w:type="character" w:customStyle="1" w:styleId="BodyTextIndent2Char">
    <w:name w:val="Body Text Indent 2 Char"/>
    <w:link w:val="BodyTextIndent2"/>
    <w:rsid w:val="006140B9"/>
    <w:rPr>
      <w:rFonts w:eastAsia="Times New Roman"/>
      <w:i/>
      <w:noProof/>
      <w:sz w:val="24"/>
      <w:szCs w:val="24"/>
      <w:lang w:val="en-US" w:eastAsia="en-US"/>
    </w:rPr>
  </w:style>
  <w:style w:type="paragraph" w:customStyle="1" w:styleId="TimesNewRoman">
    <w:name w:val="Times New Roman"/>
    <w:basedOn w:val="Normal"/>
    <w:rsid w:val="006140B9"/>
    <w:pPr>
      <w:tabs>
        <w:tab w:val="clear" w:pos="567"/>
      </w:tabs>
      <w:spacing w:line="240" w:lineRule="auto"/>
      <w:jc w:val="both"/>
    </w:pPr>
    <w:rPr>
      <w:b/>
      <w:noProof/>
      <w:sz w:val="24"/>
      <w:szCs w:val="24"/>
      <w:lang w:val="en-US"/>
    </w:rPr>
  </w:style>
  <w:style w:type="paragraph" w:styleId="BodyTextIndent3">
    <w:name w:val="Body Text Indent 3"/>
    <w:basedOn w:val="Normal"/>
    <w:link w:val="BodyTextIndent3Char"/>
    <w:rsid w:val="006140B9"/>
    <w:pPr>
      <w:tabs>
        <w:tab w:val="clear" w:pos="567"/>
      </w:tabs>
      <w:spacing w:after="120" w:line="240" w:lineRule="auto"/>
      <w:ind w:left="360"/>
    </w:pPr>
    <w:rPr>
      <w:noProof/>
      <w:sz w:val="16"/>
      <w:szCs w:val="16"/>
      <w:lang w:val="en-US"/>
    </w:rPr>
  </w:style>
  <w:style w:type="character" w:customStyle="1" w:styleId="BodyTextIndent3Char">
    <w:name w:val="Body Text Indent 3 Char"/>
    <w:link w:val="BodyTextIndent3"/>
    <w:rsid w:val="006140B9"/>
    <w:rPr>
      <w:rFonts w:eastAsia="Times New Roman"/>
      <w:noProof/>
      <w:sz w:val="16"/>
      <w:szCs w:val="16"/>
      <w:lang w:val="en-US" w:eastAsia="en-US"/>
    </w:rPr>
  </w:style>
  <w:style w:type="paragraph" w:styleId="BodyTextIndent">
    <w:name w:val="Body Text Indent"/>
    <w:basedOn w:val="Normal"/>
    <w:link w:val="BodyTextIndentChar"/>
    <w:rsid w:val="006140B9"/>
    <w:pPr>
      <w:tabs>
        <w:tab w:val="clear" w:pos="567"/>
      </w:tabs>
      <w:spacing w:after="120" w:line="240" w:lineRule="auto"/>
      <w:ind w:left="360"/>
    </w:pPr>
    <w:rPr>
      <w:noProof/>
      <w:sz w:val="20"/>
      <w:lang w:val="en-US"/>
    </w:rPr>
  </w:style>
  <w:style w:type="character" w:customStyle="1" w:styleId="BodyTextIndentChar">
    <w:name w:val="Body Text Indent Char"/>
    <w:link w:val="BodyTextIndent"/>
    <w:rsid w:val="006140B9"/>
    <w:rPr>
      <w:rFonts w:eastAsia="Times New Roman"/>
      <w:noProof/>
      <w:lang w:val="en-US" w:eastAsia="en-US"/>
    </w:rPr>
  </w:style>
  <w:style w:type="character" w:styleId="Strong">
    <w:name w:val="Strong"/>
    <w:qFormat/>
    <w:rsid w:val="006140B9"/>
    <w:rPr>
      <w:b/>
      <w:bCs w:val="0"/>
    </w:rPr>
  </w:style>
  <w:style w:type="paragraph" w:styleId="NoSpacing">
    <w:name w:val="No Spacing"/>
    <w:uiPriority w:val="1"/>
    <w:qFormat/>
    <w:rsid w:val="006140B9"/>
    <w:rPr>
      <w:rFonts w:ascii="Arial" w:eastAsia="Times New Roman" w:hAnsi="Arial"/>
      <w:sz w:val="22"/>
      <w:szCs w:val="22"/>
      <w:lang w:val="en-US" w:eastAsia="en-US"/>
    </w:rPr>
  </w:style>
  <w:style w:type="character" w:styleId="Emphasis">
    <w:name w:val="Emphasis"/>
    <w:qFormat/>
    <w:rsid w:val="006140B9"/>
    <w:rPr>
      <w:b/>
      <w:bCs/>
      <w:i w:val="0"/>
      <w:iCs w:val="0"/>
    </w:rPr>
  </w:style>
  <w:style w:type="paragraph" w:customStyle="1" w:styleId="IntoksikacijesaovimpreparatomsuupreporueenomdoziranjunemogueeSobzromda">
    <w:name w:val="Intoksikacije sa ovim preparatom su u preporueenom doziranju nemoguee. S obzromda"/>
    <w:basedOn w:val="Normal"/>
    <w:rsid w:val="006140B9"/>
    <w:pPr>
      <w:tabs>
        <w:tab w:val="clear" w:pos="567"/>
      </w:tabs>
      <w:spacing w:line="240" w:lineRule="auto"/>
    </w:pPr>
    <w:rPr>
      <w:rFonts w:ascii="Arial" w:eastAsia="Univers Condensed" w:hAnsi="Arial"/>
      <w:noProof/>
      <w:sz w:val="24"/>
    </w:rPr>
  </w:style>
  <w:style w:type="paragraph" w:styleId="ListNumber">
    <w:name w:val="List Number"/>
    <w:basedOn w:val="Normal"/>
    <w:rsid w:val="006140B9"/>
    <w:pPr>
      <w:tabs>
        <w:tab w:val="clear" w:pos="567"/>
        <w:tab w:val="num" w:pos="360"/>
      </w:tabs>
      <w:spacing w:line="240" w:lineRule="auto"/>
      <w:ind w:left="360" w:hanging="360"/>
    </w:pPr>
    <w:rPr>
      <w:rFonts w:ascii="Arial" w:hAnsi="Arial"/>
      <w:noProof/>
      <w:sz w:val="24"/>
      <w:lang w:val="en-AU"/>
    </w:rPr>
  </w:style>
  <w:style w:type="paragraph" w:styleId="Subtitle">
    <w:name w:val="Subtitle"/>
    <w:basedOn w:val="Normal"/>
    <w:link w:val="SubtitleChar"/>
    <w:qFormat/>
    <w:rsid w:val="006140B9"/>
    <w:pPr>
      <w:tabs>
        <w:tab w:val="clear" w:pos="567"/>
      </w:tabs>
      <w:spacing w:line="240" w:lineRule="auto"/>
      <w:jc w:val="center"/>
    </w:pPr>
    <w:rPr>
      <w:b/>
      <w:bCs/>
      <w:noProof/>
      <w:sz w:val="24"/>
      <w:szCs w:val="24"/>
      <w:lang w:val="hr-HR"/>
    </w:rPr>
  </w:style>
  <w:style w:type="character" w:customStyle="1" w:styleId="SubtitleChar">
    <w:name w:val="Subtitle Char"/>
    <w:link w:val="Subtitle"/>
    <w:rsid w:val="006140B9"/>
    <w:rPr>
      <w:rFonts w:eastAsia="Times New Roman"/>
      <w:b/>
      <w:bCs/>
      <w:noProof/>
      <w:sz w:val="24"/>
      <w:szCs w:val="24"/>
      <w:lang w:val="hr-HR" w:eastAsia="en-US"/>
    </w:rPr>
  </w:style>
  <w:style w:type="character" w:customStyle="1" w:styleId="CharChar4">
    <w:name w:val="Char Char4"/>
    <w:rsid w:val="006140B9"/>
    <w:rPr>
      <w:rFonts w:ascii="Humanist777" w:hAnsi="Humanist777"/>
      <w:sz w:val="24"/>
      <w:szCs w:val="24"/>
    </w:rPr>
  </w:style>
  <w:style w:type="paragraph" w:customStyle="1" w:styleId="lstpara1">
    <w:name w:val="lst_para1"/>
    <w:basedOn w:val="Normal"/>
    <w:rsid w:val="006140B9"/>
    <w:pPr>
      <w:tabs>
        <w:tab w:val="clear" w:pos="567"/>
      </w:tabs>
      <w:spacing w:after="240" w:line="312" w:lineRule="atLeast"/>
      <w:ind w:left="360"/>
    </w:pPr>
    <w:rPr>
      <w:rFonts w:ascii="Times" w:hAnsi="Times"/>
      <w:noProof/>
      <w:sz w:val="24"/>
      <w:lang w:eastAsia="en-GB"/>
    </w:rPr>
  </w:style>
  <w:style w:type="character" w:customStyle="1" w:styleId="CharCharChar1">
    <w:name w:val="Char Char Char1"/>
    <w:aliases w:val=" Char Char Char1, Char Char Char Char Char, Char Char1 Char Char,Header Char Char1, Char Char1 Char Char Char"/>
    <w:rsid w:val="006140B9"/>
    <w:rPr>
      <w:rFonts w:ascii="Humanist777" w:hAnsi="Humanist777"/>
      <w:sz w:val="24"/>
      <w:szCs w:val="24"/>
      <w:lang w:val="en-US" w:eastAsia="en-US" w:bidi="ar-SA"/>
    </w:rPr>
  </w:style>
  <w:style w:type="paragraph" w:customStyle="1" w:styleId="MSD">
    <w:name w:val="MSD"/>
    <w:basedOn w:val="Normal"/>
    <w:rsid w:val="006140B9"/>
    <w:pPr>
      <w:widowControl w:val="0"/>
      <w:tabs>
        <w:tab w:val="clear" w:pos="567"/>
      </w:tabs>
      <w:spacing w:after="10" w:line="240" w:lineRule="auto"/>
      <w:ind w:left="6067"/>
    </w:pPr>
    <w:rPr>
      <w:rFonts w:ascii="Arial" w:hAnsi="Arial" w:cs="Angsana New"/>
      <w:noProof/>
      <w:sz w:val="16"/>
      <w:szCs w:val="16"/>
      <w:lang w:eastAsia="sr-Latn-C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zeljenadejstva@cinmed.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nmed.m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primaryreporting.who-umc.org/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29</Pages>
  <Words>13265</Words>
  <Characters>75611</Characters>
  <Application>Microsoft Office Word</Application>
  <DocSecurity>0</DocSecurity>
  <Lines>630</Lines>
  <Paragraphs>177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Poleksić, Katarina</dc:creator>
  <cp:lastModifiedBy>Ninoslava Lalatović</cp:lastModifiedBy>
  <cp:revision>11</cp:revision>
  <dcterms:created xsi:type="dcterms:W3CDTF">2023-11-01T14:06:00Z</dcterms:created>
  <dcterms:modified xsi:type="dcterms:W3CDTF">2024-09-24T06:03:00Z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DM_Author">
    <vt:lpwstr/>
  </property>
  <property fmtid="{D5CDD505-2E9C-101B-9397-08002B2CF9AE}" pid="4" name="DM_Authors">
    <vt:lpwstr/>
  </property>
  <property fmtid="{D5CDD505-2E9C-101B-9397-08002B2CF9AE}" pid="5" name="DM_Category">
    <vt:lpwstr/>
  </property>
  <property fmtid="{D5CDD505-2E9C-101B-9397-08002B2CF9AE}" pid="6" name="DM_Creation_Date">
    <vt:lpwstr/>
  </property>
  <property fmtid="{D5CDD505-2E9C-101B-9397-08002B2CF9AE}" pid="7" name="DM_Creator_Name">
    <vt:lpwstr/>
  </property>
  <property fmtid="{D5CDD505-2E9C-101B-9397-08002B2CF9AE}" pid="8" name="DM_DocRefId">
    <vt:lpwstr/>
  </property>
  <property fmtid="{D5CDD505-2E9C-101B-9397-08002B2CF9AE}" pid="9" name="DM_emea_bcc">
    <vt:lpwstr/>
  </property>
  <property fmtid="{D5CDD505-2E9C-101B-9397-08002B2CF9AE}" pid="10" name="DM_emea_cc">
    <vt:lpwstr/>
  </property>
  <property fmtid="{D5CDD505-2E9C-101B-9397-08002B2CF9AE}" pid="11" name="DM_emea_doc_category">
    <vt:lpwstr/>
  </property>
  <property fmtid="{D5CDD505-2E9C-101B-9397-08002B2CF9AE}" pid="12" name="DM_emea_doc_lang">
    <vt:lpwstr/>
  </property>
  <property fmtid="{D5CDD505-2E9C-101B-9397-08002B2CF9AE}" pid="13" name="DM_emea_doc_number">
    <vt:lpwstr/>
  </property>
  <property fmtid="{D5CDD505-2E9C-101B-9397-08002B2CF9AE}" pid="14" name="DM_emea_doc_ref_id">
    <vt:lpwstr/>
  </property>
  <property fmtid="{D5CDD505-2E9C-101B-9397-08002B2CF9AE}" pid="15" name="DM_emea_from">
    <vt:lpwstr/>
  </property>
  <property fmtid="{D5CDD505-2E9C-101B-9397-08002B2CF9AE}" pid="16" name="DM_emea_internal_label">
    <vt:lpwstr/>
  </property>
  <property fmtid="{D5CDD505-2E9C-101B-9397-08002B2CF9AE}" pid="17" name="DM_emea_legal_date">
    <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
  </property>
  <property fmtid="{D5CDD505-2E9C-101B-9397-08002B2CF9AE}" pid="29" name="DM_emea_to">
    <vt:lpwstr/>
  </property>
  <property fmtid="{D5CDD505-2E9C-101B-9397-08002B2CF9AE}" pid="30" name="DM_emea_year">
    <vt:lpwstr/>
  </property>
  <property fmtid="{D5CDD505-2E9C-101B-9397-08002B2CF9AE}" pid="31" name="DM_Keywords">
    <vt:lpwstr/>
  </property>
  <property fmtid="{D5CDD505-2E9C-101B-9397-08002B2CF9AE}" pid="32" name="DM_Language">
    <vt:lpwstr/>
  </property>
  <property fmtid="{D5CDD505-2E9C-101B-9397-08002B2CF9AE}" pid="33" name="DM_Modifer_Name">
    <vt:lpwstr/>
  </property>
  <property fmtid="{D5CDD505-2E9C-101B-9397-08002B2CF9AE}" pid="34" name="DM_Modified_Date">
    <vt:lpwstr/>
  </property>
  <property fmtid="{D5CDD505-2E9C-101B-9397-08002B2CF9AE}" pid="35" name="DM_Modifier_Name">
    <vt:lpwstr/>
  </property>
  <property fmtid="{D5CDD505-2E9C-101B-9397-08002B2CF9AE}" pid="36" name="DM_Modify_Date">
    <vt:lpwstr/>
  </property>
  <property fmtid="{D5CDD505-2E9C-101B-9397-08002B2CF9AE}" pid="37" name="DM_Name">
    <vt:lpwstr/>
  </property>
  <property fmtid="{D5CDD505-2E9C-101B-9397-08002B2CF9AE}" pid="38" name="DM_Owner">
    <vt:lpwstr/>
  </property>
  <property fmtid="{D5CDD505-2E9C-101B-9397-08002B2CF9AE}" pid="39" name="DM_Path">
    <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
  </property>
  <property fmtid="{D5CDD505-2E9C-101B-9397-08002B2CF9AE}" pid="44" name="DM_Version">
    <vt:lpwstr/>
  </property>
  <property fmtid="{D5CDD505-2E9C-101B-9397-08002B2CF9AE}" pid="45" name="MSIP_Label_0eea11ca-d417-4147-80ed-01a58412c458_ActionId">
    <vt:lpwstr/>
  </property>
  <property fmtid="{D5CDD505-2E9C-101B-9397-08002B2CF9AE}" pid="46" name="MSIP_Label_0eea11ca-d417-4147-80ed-01a58412c458_Application">
    <vt:lpwstr/>
  </property>
  <property fmtid="{D5CDD505-2E9C-101B-9397-08002B2CF9AE}" pid="47" name="MSIP_Label_0eea11ca-d417-4147-80ed-01a58412c458_Enabled">
    <vt:lpwstr/>
  </property>
  <property fmtid="{D5CDD505-2E9C-101B-9397-08002B2CF9AE}" pid="48" name="MSIP_Label_0eea11ca-d417-4147-80ed-01a58412c458_Extended_MSFT_Method">
    <vt:lpwstr/>
  </property>
  <property fmtid="{D5CDD505-2E9C-101B-9397-08002B2CF9AE}" pid="49" name="MSIP_Label_0eea11ca-d417-4147-80ed-01a58412c458_Name">
    <vt:lpwstr/>
  </property>
  <property fmtid="{D5CDD505-2E9C-101B-9397-08002B2CF9AE}" pid="50" name="MSIP_Label_0eea11ca-d417-4147-80ed-01a58412c458_Owner">
    <vt:lpwstr/>
  </property>
  <property fmtid="{D5CDD505-2E9C-101B-9397-08002B2CF9AE}" pid="51" name="MSIP_Label_0eea11ca-d417-4147-80ed-01a58412c458_Parent">
    <vt:lpwstr/>
  </property>
  <property fmtid="{D5CDD505-2E9C-101B-9397-08002B2CF9AE}" pid="52" name="MSIP_Label_0eea11ca-d417-4147-80ed-01a58412c458_SetDate">
    <vt:lpwstr/>
  </property>
  <property fmtid="{D5CDD505-2E9C-101B-9397-08002B2CF9AE}" pid="53" name="MSIP_Label_0eea11ca-d417-4147-80ed-01a58412c458_SiteId">
    <vt:lpwstr/>
  </property>
  <property fmtid="{D5CDD505-2E9C-101B-9397-08002B2CF9AE}" pid="54" name="MSIP_Label_afe1b31d-cec0-4074-b4bd-f07689e43d84_ActionId">
    <vt:lpwstr/>
  </property>
  <property fmtid="{D5CDD505-2E9C-101B-9397-08002B2CF9AE}" pid="55" name="MSIP_Label_afe1b31d-cec0-4074-b4bd-f07689e43d84_Application">
    <vt:lpwstr/>
  </property>
  <property fmtid="{D5CDD505-2E9C-101B-9397-08002B2CF9AE}" pid="56" name="MSIP_Label_afe1b31d-cec0-4074-b4bd-f07689e43d84_Enabled">
    <vt:lpwstr/>
  </property>
  <property fmtid="{D5CDD505-2E9C-101B-9397-08002B2CF9AE}" pid="57" name="MSIP_Label_afe1b31d-cec0-4074-b4bd-f07689e43d84_Extended_MSFT_Method">
    <vt:lpwstr/>
  </property>
  <property fmtid="{D5CDD505-2E9C-101B-9397-08002B2CF9AE}" pid="58" name="MSIP_Label_afe1b31d-cec0-4074-b4bd-f07689e43d84_Name">
    <vt:lpwstr/>
  </property>
  <property fmtid="{D5CDD505-2E9C-101B-9397-08002B2CF9AE}" pid="59" name="MSIP_Label_afe1b31d-cec0-4074-b4bd-f07689e43d84_Owner">
    <vt:lpwstr/>
  </property>
  <property fmtid="{D5CDD505-2E9C-101B-9397-08002B2CF9AE}" pid="60" name="MSIP_Label_afe1b31d-cec0-4074-b4bd-f07689e43d84_SetDate">
    <vt:lpwstr/>
  </property>
  <property fmtid="{D5CDD505-2E9C-101B-9397-08002B2CF9AE}" pid="61" name="MSIP_Label_afe1b31d-cec0-4074-b4bd-f07689e43d84_SiteId">
    <vt:lpwstr/>
  </property>
</Properties>
</file>