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4875F9" w14:textId="77777777" w:rsidR="001A5518" w:rsidRDefault="001A5518" w:rsidP="001A5518">
      <w:pPr>
        <w:rPr>
          <w:b/>
          <w:bCs/>
          <w:i/>
          <w:iCs/>
          <w:sz w:val="22"/>
          <w:szCs w:val="22"/>
          <w:u w:val="single"/>
        </w:rPr>
      </w:pPr>
    </w:p>
    <w:p w14:paraId="1CE2BABC" w14:textId="77777777" w:rsidR="00F91C7B" w:rsidRPr="00786071" w:rsidRDefault="00F91C7B" w:rsidP="001A5518">
      <w:pPr>
        <w:rPr>
          <w:b/>
          <w:bCs/>
          <w:i/>
          <w:iCs/>
          <w:sz w:val="22"/>
          <w:szCs w:val="22"/>
          <w:u w:val="single"/>
        </w:rPr>
      </w:pPr>
    </w:p>
    <w:p w14:paraId="412279A4" w14:textId="77777777" w:rsidR="002510A5" w:rsidRPr="002510A5" w:rsidRDefault="002510A5" w:rsidP="002510A5">
      <w:pPr>
        <w:jc w:val="center"/>
        <w:rPr>
          <w:b/>
          <w:bCs/>
          <w:iCs/>
          <w:sz w:val="22"/>
          <w:szCs w:val="22"/>
          <w:u w:val="single"/>
        </w:rPr>
      </w:pPr>
      <w:r w:rsidRPr="002510A5">
        <w:rPr>
          <w:b/>
          <w:bCs/>
          <w:iCs/>
          <w:sz w:val="22"/>
          <w:szCs w:val="22"/>
          <w:u w:val="single"/>
        </w:rPr>
        <w:t>SAŽETAK KARAKTERISTIKA LIJEKA</w:t>
      </w:r>
    </w:p>
    <w:p w14:paraId="62A15D05" w14:textId="77777777" w:rsidR="002510A5" w:rsidRPr="002510A5" w:rsidRDefault="002510A5" w:rsidP="002510A5">
      <w:pPr>
        <w:rPr>
          <w:b/>
          <w:bCs/>
          <w:i/>
          <w:iCs/>
          <w:sz w:val="22"/>
          <w:szCs w:val="22"/>
          <w:u w:val="single"/>
        </w:rPr>
      </w:pPr>
    </w:p>
    <w:p w14:paraId="0CF23118" w14:textId="77777777" w:rsidR="003C17AB" w:rsidRDefault="003C17AB" w:rsidP="00F5167F">
      <w:pPr>
        <w:tabs>
          <w:tab w:val="left" w:pos="540"/>
          <w:tab w:val="left" w:pos="569"/>
        </w:tabs>
        <w:rPr>
          <w:noProof/>
          <w:sz w:val="22"/>
          <w:szCs w:val="22"/>
          <w:lang w:val="hr-HR"/>
        </w:rPr>
      </w:pPr>
    </w:p>
    <w:p w14:paraId="4252227C" w14:textId="77777777" w:rsidR="00C37FD7" w:rsidRPr="00786071" w:rsidRDefault="00C37FD7" w:rsidP="00F5167F">
      <w:pPr>
        <w:tabs>
          <w:tab w:val="left" w:pos="540"/>
          <w:tab w:val="left" w:pos="569"/>
        </w:tabs>
        <w:rPr>
          <w:bCs/>
          <w:sz w:val="22"/>
          <w:szCs w:val="22"/>
        </w:rPr>
      </w:pPr>
    </w:p>
    <w:p w14:paraId="6401D4CC" w14:textId="77777777" w:rsidR="00411B4B" w:rsidRPr="00786071" w:rsidRDefault="00411B4B" w:rsidP="00F5167F">
      <w:pPr>
        <w:tabs>
          <w:tab w:val="left" w:pos="540"/>
          <w:tab w:val="left" w:pos="569"/>
        </w:tabs>
        <w:rPr>
          <w:b/>
          <w:bCs/>
          <w:sz w:val="22"/>
          <w:szCs w:val="22"/>
        </w:rPr>
      </w:pPr>
      <w:r w:rsidRPr="00786071">
        <w:rPr>
          <w:b/>
          <w:bCs/>
          <w:sz w:val="22"/>
          <w:szCs w:val="22"/>
        </w:rPr>
        <w:t>1.</w:t>
      </w:r>
      <w:r w:rsidR="00F5167F" w:rsidRPr="00786071">
        <w:rPr>
          <w:b/>
          <w:bCs/>
          <w:sz w:val="22"/>
          <w:szCs w:val="22"/>
        </w:rPr>
        <w:tab/>
      </w:r>
      <w:r w:rsidR="002846DB" w:rsidRPr="00786071">
        <w:rPr>
          <w:b/>
          <w:bCs/>
          <w:sz w:val="22"/>
          <w:szCs w:val="22"/>
        </w:rPr>
        <w:t xml:space="preserve">NAZIV </w:t>
      </w:r>
      <w:r w:rsidRPr="00786071">
        <w:rPr>
          <w:b/>
          <w:bCs/>
          <w:sz w:val="22"/>
          <w:szCs w:val="22"/>
        </w:rPr>
        <w:t>LIJEKA</w:t>
      </w:r>
    </w:p>
    <w:p w14:paraId="354D8993" w14:textId="77777777" w:rsidR="00EC2532" w:rsidRPr="00786071" w:rsidRDefault="00EC2532">
      <w:pPr>
        <w:rPr>
          <w:sz w:val="22"/>
          <w:szCs w:val="22"/>
          <w:lang w:val="pl-PL"/>
        </w:rPr>
      </w:pPr>
    </w:p>
    <w:p w14:paraId="1136F540" w14:textId="77777777" w:rsidR="000B2A5C" w:rsidRPr="00DF79AE" w:rsidRDefault="000B2A5C" w:rsidP="000B2A5C">
      <w:pPr>
        <w:jc w:val="both"/>
        <w:rPr>
          <w:rFonts w:eastAsiaTheme="minorHAnsi"/>
          <w:sz w:val="22"/>
          <w:szCs w:val="22"/>
          <w:lang w:val="sr-Latn-ME"/>
        </w:rPr>
      </w:pPr>
      <w:r w:rsidRPr="00DF79AE">
        <w:rPr>
          <w:rFonts w:eastAsiaTheme="minorHAnsi"/>
          <w:sz w:val="22"/>
          <w:szCs w:val="22"/>
          <w:lang w:val="sr-Latn-ME"/>
        </w:rPr>
        <w:t>Simponi, 100 mg, rastvor za injekciju u napunjenom injekcionom špricu</w:t>
      </w:r>
    </w:p>
    <w:p w14:paraId="046B6594" w14:textId="77777777" w:rsidR="000B2A5C" w:rsidRPr="00DF79AE" w:rsidRDefault="000B2A5C" w:rsidP="000B2A5C">
      <w:pPr>
        <w:jc w:val="both"/>
        <w:rPr>
          <w:rFonts w:eastAsiaTheme="minorHAnsi"/>
          <w:sz w:val="22"/>
          <w:szCs w:val="22"/>
          <w:lang w:val="sr-Latn-ME"/>
        </w:rPr>
      </w:pPr>
    </w:p>
    <w:p w14:paraId="2724A3A0" w14:textId="77777777" w:rsidR="000B2A5C" w:rsidRPr="00DF79AE" w:rsidRDefault="000B2A5C" w:rsidP="000B2A5C">
      <w:pPr>
        <w:jc w:val="both"/>
        <w:rPr>
          <w:rFonts w:eastAsiaTheme="minorHAnsi"/>
          <w:sz w:val="22"/>
          <w:szCs w:val="22"/>
          <w:lang w:val="sr-Latn-ME"/>
        </w:rPr>
      </w:pPr>
      <w:r w:rsidRPr="00DF79AE">
        <w:rPr>
          <w:rFonts w:eastAsiaTheme="minorHAnsi"/>
          <w:sz w:val="22"/>
          <w:szCs w:val="22"/>
          <w:lang w:val="sr-Latn-ME"/>
        </w:rPr>
        <w:t>INN: golimumab</w:t>
      </w:r>
    </w:p>
    <w:p w14:paraId="675A1139" w14:textId="77777777" w:rsidR="006D20A5" w:rsidRPr="00786071" w:rsidRDefault="006D20A5">
      <w:pPr>
        <w:rPr>
          <w:bCs/>
          <w:sz w:val="22"/>
          <w:szCs w:val="22"/>
          <w:lang w:val="sv-SE"/>
        </w:rPr>
      </w:pPr>
    </w:p>
    <w:p w14:paraId="0553B8D0" w14:textId="77777777" w:rsidR="00530BD7" w:rsidRPr="00786071" w:rsidRDefault="00530BD7">
      <w:pPr>
        <w:rPr>
          <w:bCs/>
          <w:sz w:val="22"/>
          <w:szCs w:val="22"/>
          <w:lang w:val="sv-SE"/>
        </w:rPr>
      </w:pPr>
    </w:p>
    <w:p w14:paraId="77E5B5C3" w14:textId="77777777" w:rsidR="00411B4B" w:rsidRPr="00786071" w:rsidRDefault="00411B4B" w:rsidP="00F5167F">
      <w:pPr>
        <w:tabs>
          <w:tab w:val="left" w:pos="540"/>
          <w:tab w:val="left" w:pos="569"/>
        </w:tabs>
        <w:rPr>
          <w:b/>
          <w:bCs/>
          <w:sz w:val="22"/>
          <w:szCs w:val="22"/>
        </w:rPr>
      </w:pPr>
      <w:r w:rsidRPr="00786071">
        <w:rPr>
          <w:b/>
          <w:bCs/>
          <w:sz w:val="22"/>
          <w:szCs w:val="22"/>
        </w:rPr>
        <w:t xml:space="preserve">2. </w:t>
      </w:r>
      <w:r w:rsidR="00F5167F" w:rsidRPr="00786071">
        <w:rPr>
          <w:b/>
          <w:bCs/>
          <w:sz w:val="22"/>
          <w:szCs w:val="22"/>
        </w:rPr>
        <w:tab/>
      </w:r>
      <w:r w:rsidRPr="00786071">
        <w:rPr>
          <w:b/>
          <w:bCs/>
          <w:sz w:val="22"/>
          <w:szCs w:val="22"/>
        </w:rPr>
        <w:t>KVALITATIVNI I KVANTITATIVNI SASTAV</w:t>
      </w:r>
    </w:p>
    <w:p w14:paraId="427AEE81" w14:textId="6CEAF060" w:rsidR="005A0B2E" w:rsidRDefault="005A0B2E">
      <w:pPr>
        <w:rPr>
          <w:sz w:val="22"/>
          <w:szCs w:val="22"/>
          <w:lang w:val="sr-Latn-CS"/>
        </w:rPr>
      </w:pPr>
    </w:p>
    <w:p w14:paraId="0830C7EC" w14:textId="77777777" w:rsidR="000B2A5C" w:rsidRPr="00A67A74" w:rsidRDefault="000B2A5C" w:rsidP="000B2A5C">
      <w:pPr>
        <w:tabs>
          <w:tab w:val="left" w:pos="284"/>
        </w:tabs>
        <w:jc w:val="both"/>
        <w:rPr>
          <w:sz w:val="22"/>
          <w:szCs w:val="22"/>
          <w:u w:val="single"/>
          <w:lang w:val="sr-Latn-ME"/>
        </w:rPr>
      </w:pPr>
      <w:r w:rsidRPr="00A67A74">
        <w:rPr>
          <w:sz w:val="22"/>
          <w:szCs w:val="22"/>
          <w:u w:val="single"/>
          <w:lang w:val="sr-Latn-ME"/>
        </w:rPr>
        <w:t>Simponi, 100 mg, rastvor za injekciju u napunjenom injekcionom špricu</w:t>
      </w:r>
    </w:p>
    <w:p w14:paraId="52725624" w14:textId="36DCDD6F" w:rsidR="000B2A5C" w:rsidRPr="00DF79AE" w:rsidRDefault="000B2A5C" w:rsidP="000B2A5C">
      <w:pPr>
        <w:tabs>
          <w:tab w:val="left" w:pos="284"/>
        </w:tabs>
        <w:jc w:val="both"/>
        <w:rPr>
          <w:sz w:val="22"/>
          <w:szCs w:val="22"/>
          <w:lang w:val="sr-Latn-ME"/>
        </w:rPr>
      </w:pPr>
      <w:r w:rsidRPr="00DF79AE">
        <w:rPr>
          <w:sz w:val="22"/>
          <w:szCs w:val="22"/>
          <w:lang w:val="sr-Latn-ME"/>
        </w:rPr>
        <w:t>Svaki napunjeni injekcioni špric od 1 ml sadrži 100 mg golimumaba*.</w:t>
      </w:r>
    </w:p>
    <w:p w14:paraId="075F7FC5" w14:textId="77777777" w:rsidR="000B2A5C" w:rsidRPr="00DF79AE" w:rsidRDefault="000B2A5C" w:rsidP="000B2A5C">
      <w:pPr>
        <w:tabs>
          <w:tab w:val="left" w:pos="284"/>
        </w:tabs>
        <w:jc w:val="both"/>
        <w:rPr>
          <w:sz w:val="22"/>
          <w:szCs w:val="22"/>
          <w:lang w:val="sr-Latn-ME"/>
        </w:rPr>
      </w:pPr>
    </w:p>
    <w:p w14:paraId="75B55020" w14:textId="735F3E5D" w:rsidR="000B2A5C" w:rsidRPr="00DF79AE" w:rsidRDefault="000B2A5C" w:rsidP="000B2A5C">
      <w:pPr>
        <w:tabs>
          <w:tab w:val="left" w:pos="284"/>
        </w:tabs>
        <w:jc w:val="both"/>
        <w:rPr>
          <w:sz w:val="22"/>
          <w:szCs w:val="22"/>
          <w:lang w:val="sr-Latn-ME"/>
        </w:rPr>
      </w:pPr>
      <w:r w:rsidRPr="00DF79AE">
        <w:rPr>
          <w:sz w:val="22"/>
          <w:szCs w:val="22"/>
          <w:lang w:val="sr-Latn-ME"/>
        </w:rPr>
        <w:t xml:space="preserve">* Humano </w:t>
      </w:r>
      <w:r w:rsidR="00C563C2" w:rsidRPr="00DF79AE">
        <w:rPr>
          <w:sz w:val="22"/>
          <w:szCs w:val="22"/>
          <w:lang w:val="sr-Latn-ME"/>
        </w:rPr>
        <w:t xml:space="preserve">IgG1κ </w:t>
      </w:r>
      <w:r w:rsidRPr="00DF79AE">
        <w:rPr>
          <w:sz w:val="22"/>
          <w:szCs w:val="22"/>
          <w:lang w:val="sr-Latn-ME"/>
        </w:rPr>
        <w:t>monoklonsko antitijelo proizvedeno na ćelijskoj liniji mišijeg hibridoma tehnologijom rekombinantne DNK.</w:t>
      </w:r>
    </w:p>
    <w:p w14:paraId="47CFD83B" w14:textId="77777777" w:rsidR="000B2A5C" w:rsidRPr="00DF79AE" w:rsidRDefault="000B2A5C" w:rsidP="000B2A5C">
      <w:pPr>
        <w:tabs>
          <w:tab w:val="left" w:pos="284"/>
        </w:tabs>
        <w:jc w:val="both"/>
        <w:rPr>
          <w:sz w:val="22"/>
          <w:szCs w:val="22"/>
          <w:lang w:val="sr-Latn-ME"/>
        </w:rPr>
      </w:pPr>
    </w:p>
    <w:p w14:paraId="0BA72BF9" w14:textId="27E85E76" w:rsidR="000B2A5C" w:rsidRPr="00DF79AE" w:rsidRDefault="000B2A5C" w:rsidP="000B2A5C">
      <w:pPr>
        <w:tabs>
          <w:tab w:val="left" w:pos="284"/>
        </w:tabs>
        <w:jc w:val="both"/>
        <w:rPr>
          <w:bCs/>
          <w:noProof/>
          <w:sz w:val="22"/>
          <w:szCs w:val="22"/>
          <w:lang w:val="sr-Latn-ME"/>
        </w:rPr>
      </w:pPr>
      <w:r w:rsidRPr="00DF79AE">
        <w:rPr>
          <w:bCs/>
          <w:noProof/>
          <w:sz w:val="22"/>
          <w:szCs w:val="22"/>
          <w:lang w:val="sr-Latn-ME"/>
        </w:rPr>
        <w:t>Pomoćna supstanca sa po</w:t>
      </w:r>
      <w:r w:rsidR="007C2FF4">
        <w:rPr>
          <w:bCs/>
          <w:noProof/>
          <w:sz w:val="22"/>
          <w:szCs w:val="22"/>
          <w:lang w:val="sr-Latn-ME"/>
        </w:rPr>
        <w:t>tvrđenim</w:t>
      </w:r>
      <w:r w:rsidRPr="00DF79AE">
        <w:rPr>
          <w:bCs/>
          <w:noProof/>
          <w:sz w:val="22"/>
          <w:szCs w:val="22"/>
          <w:lang w:val="sr-Latn-ME"/>
        </w:rPr>
        <w:t xml:space="preserve"> dejstvom:</w:t>
      </w:r>
    </w:p>
    <w:p w14:paraId="274EAF73" w14:textId="2E72EAF3" w:rsidR="000B2A5C" w:rsidRPr="00DF79AE" w:rsidRDefault="000B2A5C" w:rsidP="000B2A5C">
      <w:pPr>
        <w:tabs>
          <w:tab w:val="left" w:pos="284"/>
        </w:tabs>
        <w:jc w:val="both"/>
        <w:rPr>
          <w:bCs/>
          <w:noProof/>
          <w:sz w:val="22"/>
          <w:szCs w:val="22"/>
          <w:lang w:val="sr-Latn-ME"/>
        </w:rPr>
      </w:pPr>
      <w:r w:rsidRPr="00DF79AE">
        <w:rPr>
          <w:bCs/>
          <w:noProof/>
          <w:sz w:val="22"/>
          <w:szCs w:val="22"/>
          <w:lang w:val="sr-Latn-ME"/>
        </w:rPr>
        <w:t>Jedan napunjen</w:t>
      </w:r>
      <w:r w:rsidR="003518BE">
        <w:rPr>
          <w:bCs/>
          <w:noProof/>
          <w:sz w:val="22"/>
          <w:szCs w:val="22"/>
          <w:lang w:val="sr-Latn-ME"/>
        </w:rPr>
        <w:t>i</w:t>
      </w:r>
      <w:r w:rsidRPr="00DF79AE">
        <w:rPr>
          <w:bCs/>
          <w:noProof/>
          <w:sz w:val="22"/>
          <w:szCs w:val="22"/>
          <w:lang w:val="sr-Latn-ME"/>
        </w:rPr>
        <w:t xml:space="preserve"> injekcioni špric sadrži 41 mg sorbitola po dozi od 100 mg.</w:t>
      </w:r>
    </w:p>
    <w:p w14:paraId="0C147748" w14:textId="77777777" w:rsidR="000B2A5C" w:rsidRPr="00786071" w:rsidRDefault="000B2A5C">
      <w:pPr>
        <w:rPr>
          <w:sz w:val="22"/>
          <w:szCs w:val="22"/>
          <w:lang w:val="sr-Latn-CS"/>
        </w:rPr>
      </w:pPr>
    </w:p>
    <w:p w14:paraId="011C9DAA" w14:textId="77777777" w:rsidR="0003793F" w:rsidRPr="00786071" w:rsidRDefault="0003793F">
      <w:pPr>
        <w:rPr>
          <w:sz w:val="22"/>
          <w:szCs w:val="22"/>
          <w:lang w:val="sr-Latn-CS"/>
        </w:rPr>
      </w:pPr>
      <w:r w:rsidRPr="00786071">
        <w:rPr>
          <w:sz w:val="22"/>
          <w:szCs w:val="22"/>
          <w:lang w:val="sr-Latn-CS"/>
        </w:rPr>
        <w:t>Za spisak svih ekscipijenasa, pogledati dio 6.1.</w:t>
      </w:r>
    </w:p>
    <w:p w14:paraId="41D92B38" w14:textId="77777777" w:rsidR="0003793F" w:rsidRDefault="0003793F">
      <w:pPr>
        <w:rPr>
          <w:sz w:val="22"/>
          <w:szCs w:val="22"/>
          <w:lang w:val="sr-Latn-CS"/>
        </w:rPr>
      </w:pPr>
    </w:p>
    <w:p w14:paraId="435BE07B" w14:textId="77777777" w:rsidR="00C37FD7" w:rsidRPr="00786071" w:rsidRDefault="00C37FD7">
      <w:pPr>
        <w:rPr>
          <w:sz w:val="22"/>
          <w:szCs w:val="22"/>
          <w:lang w:val="sr-Latn-CS"/>
        </w:rPr>
      </w:pPr>
    </w:p>
    <w:p w14:paraId="36BFAB85" w14:textId="77777777" w:rsidR="00411B4B" w:rsidRPr="00786071" w:rsidRDefault="00411B4B" w:rsidP="00F5167F">
      <w:pPr>
        <w:tabs>
          <w:tab w:val="left" w:pos="540"/>
          <w:tab w:val="left" w:pos="569"/>
        </w:tabs>
        <w:rPr>
          <w:b/>
          <w:bCs/>
          <w:sz w:val="22"/>
          <w:szCs w:val="22"/>
        </w:rPr>
      </w:pPr>
      <w:r w:rsidRPr="00786071">
        <w:rPr>
          <w:b/>
          <w:bCs/>
          <w:sz w:val="22"/>
          <w:szCs w:val="22"/>
        </w:rPr>
        <w:t xml:space="preserve">3. </w:t>
      </w:r>
      <w:r w:rsidR="00F5167F" w:rsidRPr="00786071">
        <w:rPr>
          <w:b/>
          <w:bCs/>
          <w:sz w:val="22"/>
          <w:szCs w:val="22"/>
        </w:rPr>
        <w:tab/>
      </w:r>
      <w:r w:rsidRPr="00786071">
        <w:rPr>
          <w:b/>
          <w:bCs/>
          <w:sz w:val="22"/>
          <w:szCs w:val="22"/>
        </w:rPr>
        <w:t>FARMACEUTSKI OBLIK</w:t>
      </w:r>
      <w:r w:rsidR="009F2D23" w:rsidRPr="00786071">
        <w:rPr>
          <w:b/>
          <w:bCs/>
          <w:sz w:val="22"/>
          <w:szCs w:val="22"/>
        </w:rPr>
        <w:t xml:space="preserve"> </w:t>
      </w:r>
    </w:p>
    <w:p w14:paraId="7223E92D" w14:textId="77777777" w:rsidR="00411B4B" w:rsidRPr="00786071" w:rsidRDefault="00411B4B">
      <w:pPr>
        <w:rPr>
          <w:bCs/>
          <w:sz w:val="22"/>
          <w:szCs w:val="22"/>
          <w:lang w:val="sr-Latn-CS"/>
        </w:rPr>
      </w:pPr>
    </w:p>
    <w:p w14:paraId="0E552B9E" w14:textId="77777777" w:rsidR="000B2A5C" w:rsidRPr="00DF79AE" w:rsidRDefault="000B2A5C" w:rsidP="000B2A5C">
      <w:pPr>
        <w:tabs>
          <w:tab w:val="left" w:pos="284"/>
        </w:tabs>
        <w:jc w:val="both"/>
        <w:rPr>
          <w:noProof/>
          <w:sz w:val="22"/>
          <w:szCs w:val="22"/>
          <w:lang w:val="sr-Latn-ME"/>
        </w:rPr>
      </w:pPr>
      <w:r w:rsidRPr="00DF79AE">
        <w:rPr>
          <w:noProof/>
          <w:sz w:val="22"/>
          <w:szCs w:val="22"/>
          <w:lang w:val="sr-Latn-ME"/>
        </w:rPr>
        <w:t xml:space="preserve">Rastvor za injekciju u napunjenom injekcionom špricu (injekcija). </w:t>
      </w:r>
    </w:p>
    <w:p w14:paraId="74770185" w14:textId="77777777" w:rsidR="000B2A5C" w:rsidRPr="00DF79AE" w:rsidRDefault="000B2A5C" w:rsidP="000B2A5C">
      <w:pPr>
        <w:tabs>
          <w:tab w:val="left" w:pos="284"/>
        </w:tabs>
        <w:jc w:val="both"/>
        <w:rPr>
          <w:sz w:val="22"/>
          <w:szCs w:val="22"/>
          <w:lang w:val="sr-Latn-ME"/>
        </w:rPr>
      </w:pPr>
    </w:p>
    <w:p w14:paraId="14824334" w14:textId="43CFF00F" w:rsidR="000B2A5C" w:rsidRDefault="000B2A5C" w:rsidP="000B2A5C">
      <w:pPr>
        <w:tabs>
          <w:tab w:val="left" w:pos="284"/>
        </w:tabs>
        <w:jc w:val="both"/>
        <w:rPr>
          <w:sz w:val="22"/>
          <w:szCs w:val="22"/>
          <w:lang w:val="sr-Latn-ME"/>
        </w:rPr>
      </w:pPr>
      <w:r w:rsidRPr="00DF79AE">
        <w:rPr>
          <w:sz w:val="22"/>
          <w:szCs w:val="22"/>
          <w:lang w:val="sr-Latn-ME"/>
        </w:rPr>
        <w:t xml:space="preserve">Rastvor je bistar do blago opalescentan, bezbojan do </w:t>
      </w:r>
      <w:r w:rsidRPr="00DF79AE">
        <w:rPr>
          <w:noProof/>
          <w:sz w:val="22"/>
          <w:szCs w:val="22"/>
          <w:lang w:val="sr-Latn-ME"/>
        </w:rPr>
        <w:t>svijetlo žute boje</w:t>
      </w:r>
      <w:r w:rsidRPr="00DF79AE">
        <w:rPr>
          <w:sz w:val="22"/>
          <w:szCs w:val="22"/>
          <w:lang w:val="sr-Latn-ME"/>
        </w:rPr>
        <w:t>.</w:t>
      </w:r>
    </w:p>
    <w:p w14:paraId="1B394C10" w14:textId="77777777" w:rsidR="00C563C2" w:rsidRPr="00DF79AE" w:rsidRDefault="00C563C2" w:rsidP="000B2A5C">
      <w:pPr>
        <w:tabs>
          <w:tab w:val="left" w:pos="284"/>
        </w:tabs>
        <w:jc w:val="both"/>
        <w:rPr>
          <w:sz w:val="22"/>
          <w:szCs w:val="22"/>
          <w:lang w:val="sr-Latn-ME"/>
        </w:rPr>
      </w:pPr>
    </w:p>
    <w:p w14:paraId="66B557B6" w14:textId="77777777" w:rsidR="00EC2532" w:rsidRPr="00786071" w:rsidRDefault="00EC2532">
      <w:pPr>
        <w:rPr>
          <w:bCs/>
          <w:sz w:val="22"/>
          <w:szCs w:val="22"/>
          <w:lang w:val="sr-Latn-CS"/>
        </w:rPr>
      </w:pPr>
    </w:p>
    <w:p w14:paraId="55F2BE67" w14:textId="77777777" w:rsidR="00411B4B" w:rsidRPr="00786071" w:rsidRDefault="00411B4B" w:rsidP="00F5167F">
      <w:pPr>
        <w:tabs>
          <w:tab w:val="left" w:pos="540"/>
          <w:tab w:val="left" w:pos="569"/>
        </w:tabs>
        <w:rPr>
          <w:b/>
          <w:bCs/>
          <w:sz w:val="22"/>
          <w:szCs w:val="22"/>
        </w:rPr>
      </w:pPr>
      <w:r w:rsidRPr="00786071">
        <w:rPr>
          <w:b/>
          <w:bCs/>
          <w:sz w:val="22"/>
          <w:szCs w:val="22"/>
        </w:rPr>
        <w:t xml:space="preserve">4. </w:t>
      </w:r>
      <w:r w:rsidR="00480FB1" w:rsidRPr="00786071">
        <w:rPr>
          <w:b/>
          <w:bCs/>
          <w:sz w:val="22"/>
          <w:szCs w:val="22"/>
        </w:rPr>
        <w:tab/>
      </w:r>
      <w:r w:rsidRPr="00786071">
        <w:rPr>
          <w:b/>
          <w:bCs/>
          <w:sz w:val="22"/>
          <w:szCs w:val="22"/>
        </w:rPr>
        <w:t>KLINIČKI PODACI</w:t>
      </w:r>
    </w:p>
    <w:p w14:paraId="5C7F54BA" w14:textId="77777777" w:rsidR="00CD6F02" w:rsidRPr="00786071" w:rsidRDefault="00CD6F02" w:rsidP="00480FB1">
      <w:pPr>
        <w:tabs>
          <w:tab w:val="left" w:pos="540"/>
          <w:tab w:val="left" w:pos="569"/>
        </w:tabs>
        <w:rPr>
          <w:bCs/>
          <w:sz w:val="22"/>
          <w:szCs w:val="22"/>
        </w:rPr>
      </w:pPr>
    </w:p>
    <w:p w14:paraId="1BE23F36" w14:textId="77777777" w:rsidR="00411B4B" w:rsidRPr="00FF1314" w:rsidRDefault="00411B4B" w:rsidP="00480FB1">
      <w:pPr>
        <w:tabs>
          <w:tab w:val="left" w:pos="540"/>
          <w:tab w:val="left" w:pos="569"/>
        </w:tabs>
        <w:rPr>
          <w:b/>
          <w:bCs/>
          <w:sz w:val="22"/>
          <w:szCs w:val="22"/>
          <w:lang w:val="sr-Latn-ME"/>
        </w:rPr>
      </w:pPr>
      <w:r w:rsidRPr="00FF1314">
        <w:rPr>
          <w:b/>
          <w:bCs/>
          <w:sz w:val="22"/>
          <w:szCs w:val="22"/>
          <w:lang w:val="sr-Latn-ME"/>
        </w:rPr>
        <w:t xml:space="preserve">4.1. </w:t>
      </w:r>
      <w:r w:rsidR="00480FB1" w:rsidRPr="00FF1314">
        <w:rPr>
          <w:b/>
          <w:bCs/>
          <w:sz w:val="22"/>
          <w:szCs w:val="22"/>
          <w:lang w:val="sr-Latn-ME"/>
        </w:rPr>
        <w:tab/>
      </w:r>
      <w:r w:rsidRPr="00FF1314">
        <w:rPr>
          <w:b/>
          <w:bCs/>
          <w:sz w:val="22"/>
          <w:szCs w:val="22"/>
          <w:lang w:val="sr-Latn-ME"/>
        </w:rPr>
        <w:t>Terapijske indikacije</w:t>
      </w:r>
    </w:p>
    <w:p w14:paraId="519FB3B6" w14:textId="78B49BAB" w:rsidR="00411B4B" w:rsidRDefault="00411B4B" w:rsidP="00480FB1">
      <w:pPr>
        <w:tabs>
          <w:tab w:val="left" w:pos="540"/>
          <w:tab w:val="left" w:pos="569"/>
        </w:tabs>
        <w:rPr>
          <w:bCs/>
          <w:sz w:val="22"/>
          <w:szCs w:val="22"/>
        </w:rPr>
      </w:pPr>
    </w:p>
    <w:p w14:paraId="72F62DBA" w14:textId="77777777" w:rsidR="000B2A5C" w:rsidRPr="00DF79AE" w:rsidRDefault="000B2A5C" w:rsidP="000B2A5C">
      <w:pPr>
        <w:tabs>
          <w:tab w:val="left" w:pos="284"/>
        </w:tabs>
        <w:jc w:val="both"/>
        <w:rPr>
          <w:sz w:val="22"/>
          <w:szCs w:val="22"/>
          <w:u w:val="single"/>
          <w:lang w:val="sr-Latn-ME"/>
        </w:rPr>
      </w:pPr>
      <w:r w:rsidRPr="00DF79AE">
        <w:rPr>
          <w:sz w:val="22"/>
          <w:szCs w:val="22"/>
          <w:u w:val="single"/>
          <w:lang w:val="sr-Latn-ME"/>
        </w:rPr>
        <w:t>Reumatoidni artritis (RA)</w:t>
      </w:r>
    </w:p>
    <w:p w14:paraId="694530E7" w14:textId="77777777" w:rsidR="000B2A5C" w:rsidRPr="00DF79AE" w:rsidRDefault="000B2A5C" w:rsidP="000B2A5C">
      <w:pPr>
        <w:tabs>
          <w:tab w:val="left" w:pos="284"/>
        </w:tabs>
        <w:jc w:val="both"/>
        <w:rPr>
          <w:sz w:val="22"/>
          <w:szCs w:val="22"/>
          <w:lang w:val="sr-Latn-ME"/>
        </w:rPr>
      </w:pPr>
      <w:r w:rsidRPr="00DF79AE">
        <w:rPr>
          <w:sz w:val="22"/>
          <w:szCs w:val="22"/>
          <w:lang w:val="sr-Latn-ME"/>
        </w:rPr>
        <w:t>Lijek Simponi, u kombinaciji sa metotreksatom (MTX), je indikovan za liječenje:</w:t>
      </w:r>
    </w:p>
    <w:p w14:paraId="1E720355" w14:textId="77777777" w:rsidR="000B2A5C" w:rsidRPr="00DF79AE" w:rsidRDefault="000B2A5C" w:rsidP="000B2A5C">
      <w:pPr>
        <w:numPr>
          <w:ilvl w:val="0"/>
          <w:numId w:val="12"/>
        </w:numPr>
        <w:tabs>
          <w:tab w:val="num" w:pos="851"/>
        </w:tabs>
        <w:spacing w:after="160" w:line="259" w:lineRule="auto"/>
        <w:ind w:left="709" w:hanging="283"/>
        <w:jc w:val="both"/>
        <w:rPr>
          <w:sz w:val="22"/>
          <w:szCs w:val="22"/>
          <w:lang w:val="sr-Latn-ME"/>
        </w:rPr>
      </w:pPr>
      <w:r w:rsidRPr="00DF79AE">
        <w:rPr>
          <w:sz w:val="22"/>
          <w:szCs w:val="22"/>
          <w:lang w:val="sr-Latn-ME"/>
        </w:rPr>
        <w:t>umjerenog do teškog aktivnog reumatoidnog artritisa kod odraslih pacijenata čiji je odgovor na antireumatske ljekove koji modifikuju tok bolesti (terapija DMARD), uključujući metotreksat, neadekvatan;</w:t>
      </w:r>
    </w:p>
    <w:p w14:paraId="0E53F5F6" w14:textId="187CA545" w:rsidR="000B2A5C" w:rsidRPr="007C2FF4" w:rsidRDefault="000B2A5C" w:rsidP="00FF1314">
      <w:pPr>
        <w:numPr>
          <w:ilvl w:val="0"/>
          <w:numId w:val="12"/>
        </w:numPr>
        <w:tabs>
          <w:tab w:val="num" w:pos="851"/>
        </w:tabs>
        <w:spacing w:after="160" w:line="259" w:lineRule="auto"/>
        <w:ind w:left="709" w:hanging="283"/>
        <w:jc w:val="both"/>
        <w:rPr>
          <w:sz w:val="22"/>
          <w:szCs w:val="22"/>
          <w:lang w:val="sr-Latn-ME"/>
        </w:rPr>
      </w:pPr>
      <w:r w:rsidRPr="00DF79AE">
        <w:rPr>
          <w:sz w:val="22"/>
          <w:szCs w:val="22"/>
          <w:lang w:val="sr-Latn-ME"/>
        </w:rPr>
        <w:t>teškog, aktivnog i progresivnog reumatoidnog artritisa kod odraslih pacijenata koji prethodno nisu bili liječeni metotreksatom (MTX).</w:t>
      </w:r>
    </w:p>
    <w:p w14:paraId="460F9D02" w14:textId="77777777" w:rsidR="000B2A5C" w:rsidRPr="00DF79AE" w:rsidRDefault="000B2A5C" w:rsidP="000B2A5C">
      <w:pPr>
        <w:tabs>
          <w:tab w:val="left" w:pos="284"/>
        </w:tabs>
        <w:jc w:val="both"/>
        <w:rPr>
          <w:sz w:val="22"/>
          <w:szCs w:val="22"/>
          <w:lang w:val="sr-Latn-ME"/>
        </w:rPr>
      </w:pPr>
      <w:r w:rsidRPr="00DF79AE">
        <w:rPr>
          <w:sz w:val="22"/>
          <w:szCs w:val="22"/>
          <w:lang w:val="sr-Latn-ME"/>
        </w:rPr>
        <w:t>Pokazano je da lijek Simponi, u kombinaciji sa MTX, smanjuje stepen progresije oštećenja zglobova, na osnovu rentgenskog snimka, i poboljšava fizičku funkciju.</w:t>
      </w:r>
    </w:p>
    <w:p w14:paraId="600729DF" w14:textId="77777777" w:rsidR="000B2A5C" w:rsidRPr="00DF79AE" w:rsidRDefault="000B2A5C" w:rsidP="000B2A5C">
      <w:pPr>
        <w:tabs>
          <w:tab w:val="left" w:pos="284"/>
        </w:tabs>
        <w:jc w:val="both"/>
        <w:rPr>
          <w:sz w:val="22"/>
          <w:szCs w:val="22"/>
          <w:lang w:val="sr-Latn-ME"/>
        </w:rPr>
      </w:pPr>
    </w:p>
    <w:p w14:paraId="0DDE292E" w14:textId="77777777" w:rsidR="000B2A5C" w:rsidRPr="00D75363" w:rsidRDefault="000B2A5C" w:rsidP="000B2A5C">
      <w:pPr>
        <w:tabs>
          <w:tab w:val="left" w:pos="284"/>
        </w:tabs>
        <w:jc w:val="both"/>
        <w:rPr>
          <w:sz w:val="22"/>
          <w:szCs w:val="22"/>
          <w:lang w:val="sr-Latn-ME"/>
        </w:rPr>
      </w:pPr>
      <w:r w:rsidRPr="00A67A74">
        <w:rPr>
          <w:snapToGrid w:val="0"/>
          <w:sz w:val="22"/>
          <w:szCs w:val="22"/>
          <w:lang w:val="sr-Latn-ME"/>
        </w:rPr>
        <w:t>Za informacije koje se odnose na indikaciju poliartikularni juvenilni idiopatski artritis, molimo Vas pogledajte SmPC za Simponi 50 mg.</w:t>
      </w:r>
    </w:p>
    <w:p w14:paraId="6FFCE87B" w14:textId="4D88A005" w:rsidR="00DA562C" w:rsidRPr="00DF79AE" w:rsidRDefault="00DA562C" w:rsidP="000B2A5C">
      <w:pPr>
        <w:tabs>
          <w:tab w:val="left" w:pos="284"/>
        </w:tabs>
        <w:jc w:val="both"/>
        <w:rPr>
          <w:snapToGrid w:val="0"/>
          <w:sz w:val="22"/>
          <w:szCs w:val="22"/>
          <w:u w:val="single"/>
          <w:lang w:val="sr-Latn-ME"/>
        </w:rPr>
      </w:pPr>
    </w:p>
    <w:p w14:paraId="5955A205" w14:textId="77777777" w:rsidR="000B2A5C" w:rsidRPr="00DF79AE" w:rsidRDefault="000B2A5C" w:rsidP="000B2A5C">
      <w:pPr>
        <w:tabs>
          <w:tab w:val="left" w:pos="284"/>
        </w:tabs>
        <w:jc w:val="both"/>
        <w:rPr>
          <w:snapToGrid w:val="0"/>
          <w:sz w:val="22"/>
          <w:szCs w:val="22"/>
          <w:u w:val="single"/>
          <w:lang w:val="sr-Latn-ME"/>
        </w:rPr>
      </w:pPr>
      <w:r w:rsidRPr="00DF79AE">
        <w:rPr>
          <w:snapToGrid w:val="0"/>
          <w:sz w:val="22"/>
          <w:szCs w:val="22"/>
          <w:u w:val="single"/>
          <w:lang w:val="sr-Latn-ME"/>
        </w:rPr>
        <w:t>Psorijatični artritis (PsA)</w:t>
      </w:r>
    </w:p>
    <w:p w14:paraId="45358B08" w14:textId="77777777" w:rsidR="000B2A5C" w:rsidRPr="00DF79AE" w:rsidRDefault="000B2A5C" w:rsidP="000B2A5C">
      <w:pPr>
        <w:widowControl w:val="0"/>
        <w:tabs>
          <w:tab w:val="left" w:pos="284"/>
          <w:tab w:val="left" w:pos="1298"/>
          <w:tab w:val="left" w:pos="2596"/>
          <w:tab w:val="left" w:pos="3895"/>
          <w:tab w:val="left" w:pos="5193"/>
          <w:tab w:val="left" w:pos="6492"/>
          <w:tab w:val="left" w:pos="7790"/>
        </w:tabs>
        <w:autoSpaceDE w:val="0"/>
        <w:autoSpaceDN w:val="0"/>
        <w:jc w:val="both"/>
        <w:rPr>
          <w:snapToGrid w:val="0"/>
          <w:sz w:val="22"/>
          <w:szCs w:val="22"/>
          <w:lang w:val="sr-Latn-ME"/>
        </w:rPr>
      </w:pPr>
    </w:p>
    <w:p w14:paraId="32239D5B" w14:textId="77777777" w:rsidR="000B2A5C" w:rsidRPr="00DF79AE" w:rsidRDefault="000B2A5C" w:rsidP="000B2A5C">
      <w:pPr>
        <w:tabs>
          <w:tab w:val="left" w:pos="284"/>
        </w:tabs>
        <w:jc w:val="both"/>
        <w:rPr>
          <w:sz w:val="22"/>
          <w:szCs w:val="22"/>
          <w:lang w:val="sr-Latn-ME"/>
        </w:rPr>
      </w:pPr>
      <w:r w:rsidRPr="00DF79AE">
        <w:rPr>
          <w:snapToGrid w:val="0"/>
          <w:sz w:val="22"/>
          <w:szCs w:val="22"/>
          <w:lang w:val="sr-Latn-ME"/>
        </w:rPr>
        <w:t>Lijek Simponi, primijenjen sam ili u kombinaciji s metotreksatom,</w:t>
      </w:r>
      <w:r w:rsidRPr="00DF79AE">
        <w:rPr>
          <w:sz w:val="22"/>
          <w:szCs w:val="22"/>
          <w:lang w:val="sr-Latn-ME"/>
        </w:rPr>
        <w:t xml:space="preserve"> indikovan je za liječenje aktivnog i progresivnog psorijatičnog artritisa kod odraslih pacijenata kod kojih je odgovor na prethodno liječenje </w:t>
      </w:r>
      <w:r w:rsidRPr="00DF79AE">
        <w:rPr>
          <w:sz w:val="22"/>
          <w:szCs w:val="22"/>
          <w:lang w:val="sr-Latn-ME"/>
        </w:rPr>
        <w:lastRenderedPageBreak/>
        <w:t>DMARD bio neadekvatan. Pokazano je da lijek Simponi smanjuje stepen progresije oštećenja perifernih zglobova, na osnovu rentgenskog snimka, kod pacijenata sa poliartikularnim simetričnim podtipom oboljenja (vidjeti dio 5.1) i da poboljšava fizičku funkciju.</w:t>
      </w:r>
    </w:p>
    <w:p w14:paraId="1B5871AB" w14:textId="77777777" w:rsidR="000B2A5C" w:rsidRPr="00DF79AE" w:rsidRDefault="000B2A5C" w:rsidP="000B2A5C">
      <w:pPr>
        <w:tabs>
          <w:tab w:val="left" w:pos="284"/>
        </w:tabs>
        <w:jc w:val="both"/>
        <w:rPr>
          <w:sz w:val="22"/>
          <w:szCs w:val="22"/>
          <w:lang w:val="sr-Latn-ME"/>
        </w:rPr>
      </w:pPr>
    </w:p>
    <w:p w14:paraId="2B0D7D25" w14:textId="77777777" w:rsidR="000B2A5C" w:rsidRPr="00DF79AE" w:rsidRDefault="000B2A5C" w:rsidP="000B2A5C">
      <w:pPr>
        <w:jc w:val="both"/>
        <w:rPr>
          <w:sz w:val="22"/>
          <w:szCs w:val="22"/>
          <w:u w:val="single"/>
          <w:lang w:val="sr-Latn-ME"/>
        </w:rPr>
      </w:pPr>
      <w:r w:rsidRPr="00DF79AE">
        <w:rPr>
          <w:sz w:val="22"/>
          <w:szCs w:val="22"/>
          <w:u w:val="single"/>
          <w:lang w:val="sr-Latn-ME"/>
        </w:rPr>
        <w:t>Aksijalni spondiloartritis</w:t>
      </w:r>
    </w:p>
    <w:p w14:paraId="3F86CDFB" w14:textId="77777777" w:rsidR="000B2A5C" w:rsidRPr="00DF79AE" w:rsidRDefault="000B2A5C" w:rsidP="000B2A5C">
      <w:pPr>
        <w:tabs>
          <w:tab w:val="left" w:pos="284"/>
        </w:tabs>
        <w:jc w:val="both"/>
        <w:rPr>
          <w:i/>
          <w:sz w:val="22"/>
          <w:szCs w:val="22"/>
          <w:lang w:val="sr-Latn-ME"/>
        </w:rPr>
      </w:pPr>
    </w:p>
    <w:p w14:paraId="3198F259" w14:textId="77777777" w:rsidR="000B2A5C" w:rsidRPr="00DF79AE" w:rsidRDefault="000B2A5C" w:rsidP="000B2A5C">
      <w:pPr>
        <w:tabs>
          <w:tab w:val="left" w:pos="284"/>
        </w:tabs>
        <w:jc w:val="both"/>
        <w:rPr>
          <w:i/>
          <w:snapToGrid w:val="0"/>
          <w:sz w:val="22"/>
          <w:szCs w:val="22"/>
          <w:lang w:val="sr-Latn-ME"/>
        </w:rPr>
      </w:pPr>
      <w:r w:rsidRPr="00DF79AE">
        <w:rPr>
          <w:i/>
          <w:sz w:val="22"/>
          <w:szCs w:val="22"/>
          <w:lang w:val="sr-Latn-ME"/>
        </w:rPr>
        <w:t xml:space="preserve">Ankilozirajući spondilitis </w:t>
      </w:r>
      <w:r w:rsidRPr="00DF79AE">
        <w:rPr>
          <w:i/>
          <w:snapToGrid w:val="0"/>
          <w:sz w:val="22"/>
          <w:szCs w:val="22"/>
          <w:lang w:val="sr-Latn-ME"/>
        </w:rPr>
        <w:t>(AS)</w:t>
      </w:r>
    </w:p>
    <w:p w14:paraId="539603D7" w14:textId="77777777" w:rsidR="000B2A5C" w:rsidRPr="00DF79AE" w:rsidRDefault="000B2A5C" w:rsidP="000B2A5C">
      <w:pPr>
        <w:tabs>
          <w:tab w:val="left" w:pos="540"/>
          <w:tab w:val="left" w:pos="569"/>
        </w:tabs>
        <w:jc w:val="both"/>
        <w:rPr>
          <w:sz w:val="22"/>
          <w:szCs w:val="22"/>
          <w:lang w:val="sr-Latn-ME"/>
        </w:rPr>
      </w:pPr>
      <w:r w:rsidRPr="00DF79AE">
        <w:rPr>
          <w:snapToGrid w:val="0"/>
          <w:sz w:val="22"/>
          <w:szCs w:val="22"/>
          <w:lang w:val="sr-Latn-ME"/>
        </w:rPr>
        <w:t xml:space="preserve">Lijek Simponi </w:t>
      </w:r>
      <w:r w:rsidRPr="00DF79AE">
        <w:rPr>
          <w:sz w:val="22"/>
          <w:szCs w:val="22"/>
          <w:lang w:val="sr-Latn-ME"/>
        </w:rPr>
        <w:t>je indikovan za liječenje teškog oblika aktivnog ankilozirajućeg spondilitisa kod odraslih pacijenata koji nisu adekvatno reagovali na konvencionalnu terapiju.</w:t>
      </w:r>
    </w:p>
    <w:p w14:paraId="3D1E4232" w14:textId="77777777" w:rsidR="000B2A5C" w:rsidRPr="00DF79AE" w:rsidRDefault="000B2A5C" w:rsidP="000B2A5C">
      <w:pPr>
        <w:tabs>
          <w:tab w:val="left" w:pos="540"/>
          <w:tab w:val="left" w:pos="569"/>
        </w:tabs>
        <w:jc w:val="both"/>
        <w:rPr>
          <w:sz w:val="22"/>
          <w:szCs w:val="22"/>
          <w:lang w:val="sr-Latn-ME"/>
        </w:rPr>
      </w:pPr>
    </w:p>
    <w:p w14:paraId="4CDE5201" w14:textId="00DCF7BA" w:rsidR="000B2A5C" w:rsidRPr="00DF79AE" w:rsidRDefault="00A06D4D" w:rsidP="000B2A5C">
      <w:pPr>
        <w:jc w:val="both"/>
        <w:rPr>
          <w:i/>
          <w:sz w:val="22"/>
          <w:szCs w:val="22"/>
          <w:lang w:val="sr-Latn-ME"/>
        </w:rPr>
      </w:pPr>
      <w:r>
        <w:rPr>
          <w:i/>
          <w:sz w:val="22"/>
          <w:szCs w:val="22"/>
          <w:lang w:val="sr-Latn-ME"/>
        </w:rPr>
        <w:t>A</w:t>
      </w:r>
      <w:r w:rsidR="000B2A5C" w:rsidRPr="00DF79AE">
        <w:rPr>
          <w:i/>
          <w:sz w:val="22"/>
          <w:szCs w:val="22"/>
          <w:lang w:val="sr-Latn-ME"/>
        </w:rPr>
        <w:t xml:space="preserve">ksijalni spondiloartritis </w:t>
      </w:r>
      <w:r w:rsidRPr="00A06D4D">
        <w:rPr>
          <w:i/>
          <w:sz w:val="22"/>
          <w:szCs w:val="22"/>
          <w:lang w:val="sr-Latn-ME"/>
        </w:rPr>
        <w:t xml:space="preserve">bez radiografskog dokaza </w:t>
      </w:r>
      <w:r w:rsidR="000B2A5C" w:rsidRPr="00DF79AE">
        <w:rPr>
          <w:i/>
          <w:sz w:val="22"/>
          <w:szCs w:val="22"/>
          <w:lang w:val="sr-Latn-ME"/>
        </w:rPr>
        <w:t>(nr-Axial SpA)</w:t>
      </w:r>
    </w:p>
    <w:p w14:paraId="07FCC20A" w14:textId="38183BC4" w:rsidR="000B2A5C" w:rsidRPr="00DF79AE" w:rsidRDefault="000B2A5C" w:rsidP="000B2A5C">
      <w:pPr>
        <w:tabs>
          <w:tab w:val="left" w:pos="540"/>
          <w:tab w:val="left" w:pos="569"/>
        </w:tabs>
        <w:jc w:val="both"/>
        <w:rPr>
          <w:sz w:val="22"/>
          <w:szCs w:val="22"/>
          <w:u w:val="single"/>
          <w:lang w:val="sr-Latn-ME"/>
        </w:rPr>
      </w:pPr>
      <w:r w:rsidRPr="00DF79AE">
        <w:rPr>
          <w:sz w:val="22"/>
          <w:szCs w:val="22"/>
          <w:lang w:val="sr-Latn-ME"/>
        </w:rPr>
        <w:t xml:space="preserve">Lijek Simponi je indikovan za liječenje odraslih pacijenata sa teškim, aktivnim aksijalnim spondiloartritisom </w:t>
      </w:r>
      <w:r w:rsidR="00A06D4D" w:rsidRPr="00A06D4D">
        <w:rPr>
          <w:sz w:val="22"/>
          <w:szCs w:val="22"/>
          <w:lang w:val="sr-Latn-ME"/>
        </w:rPr>
        <w:t xml:space="preserve">bez radiografskog dokaza </w:t>
      </w:r>
      <w:r w:rsidRPr="00DF79AE">
        <w:rPr>
          <w:sz w:val="22"/>
          <w:szCs w:val="22"/>
          <w:lang w:val="sr-Latn-ME"/>
        </w:rPr>
        <w:t>sa objektivnim znacima inflamacije, na koju ukazuju povišene vrijednosti C reaktivnog proteina (CRP) i/ili snimci magnetne rezonance (MRI), a koji nisu adekvatno reagovali na, ili ne podnose terapiju nesteroidnim antiinflamatornim ljekovima (NSAIL).</w:t>
      </w:r>
    </w:p>
    <w:p w14:paraId="06ACACAA" w14:textId="77777777" w:rsidR="000B2A5C" w:rsidRPr="00DF79AE" w:rsidRDefault="000B2A5C" w:rsidP="000B2A5C">
      <w:pPr>
        <w:tabs>
          <w:tab w:val="left" w:pos="540"/>
          <w:tab w:val="left" w:pos="569"/>
        </w:tabs>
        <w:jc w:val="both"/>
        <w:rPr>
          <w:sz w:val="22"/>
          <w:szCs w:val="22"/>
          <w:u w:val="single"/>
          <w:lang w:val="sr-Latn-ME"/>
        </w:rPr>
      </w:pPr>
    </w:p>
    <w:p w14:paraId="29689D9F" w14:textId="77777777" w:rsidR="000B2A5C" w:rsidRPr="00DF79AE" w:rsidRDefault="000B2A5C" w:rsidP="000B2A5C">
      <w:pPr>
        <w:tabs>
          <w:tab w:val="left" w:pos="540"/>
          <w:tab w:val="left" w:pos="569"/>
        </w:tabs>
        <w:jc w:val="both"/>
        <w:rPr>
          <w:sz w:val="22"/>
          <w:szCs w:val="22"/>
          <w:u w:val="single"/>
          <w:lang w:val="sr-Latn-ME"/>
        </w:rPr>
      </w:pPr>
      <w:r w:rsidRPr="00DF79AE">
        <w:rPr>
          <w:sz w:val="22"/>
          <w:szCs w:val="22"/>
          <w:u w:val="single"/>
          <w:lang w:val="sr-Latn-ME"/>
        </w:rPr>
        <w:t>Ulcerozni kolitis (UC)</w:t>
      </w:r>
    </w:p>
    <w:p w14:paraId="2D73A884" w14:textId="77777777" w:rsidR="000B2A5C" w:rsidRPr="00DF79AE" w:rsidRDefault="000B2A5C" w:rsidP="000B2A5C">
      <w:pPr>
        <w:tabs>
          <w:tab w:val="left" w:pos="540"/>
          <w:tab w:val="left" w:pos="569"/>
        </w:tabs>
        <w:jc w:val="both"/>
        <w:rPr>
          <w:sz w:val="22"/>
          <w:szCs w:val="22"/>
          <w:lang w:val="sr-Latn-ME"/>
        </w:rPr>
      </w:pPr>
    </w:p>
    <w:p w14:paraId="49149BEE" w14:textId="77777777" w:rsidR="000B2A5C" w:rsidRPr="00DF79AE" w:rsidRDefault="000B2A5C" w:rsidP="000B2A5C">
      <w:pPr>
        <w:tabs>
          <w:tab w:val="left" w:pos="540"/>
          <w:tab w:val="left" w:pos="569"/>
        </w:tabs>
        <w:jc w:val="both"/>
        <w:rPr>
          <w:sz w:val="22"/>
          <w:szCs w:val="22"/>
          <w:lang w:val="sr-Latn-ME"/>
        </w:rPr>
      </w:pPr>
      <w:r w:rsidRPr="00DF79AE">
        <w:rPr>
          <w:sz w:val="22"/>
          <w:szCs w:val="22"/>
          <w:lang w:val="sr-Latn-ME"/>
        </w:rPr>
        <w:t>Lijek Simponi je indikovan za liječenje umjerenog do teškog oblika aktivnog ulceroznog kolitisa kod odraslih pacijenata koji nijesu adekvatno odreagovali na konvencionalnu terapiju, uključujući kortikosteroide i 6-merkaptopurin (6-MP) ili azatiopin (AZA), ili koji ne podnose ili imaju medicinske kontraindikacije za takvu terapiju.</w:t>
      </w:r>
    </w:p>
    <w:p w14:paraId="43C4E0F0" w14:textId="77777777" w:rsidR="000B2A5C" w:rsidRPr="00786071" w:rsidRDefault="000B2A5C" w:rsidP="00480FB1">
      <w:pPr>
        <w:tabs>
          <w:tab w:val="left" w:pos="540"/>
          <w:tab w:val="left" w:pos="569"/>
        </w:tabs>
        <w:rPr>
          <w:bCs/>
          <w:sz w:val="22"/>
          <w:szCs w:val="22"/>
        </w:rPr>
      </w:pPr>
    </w:p>
    <w:p w14:paraId="76BE36B0" w14:textId="77777777" w:rsidR="00411B4B" w:rsidRPr="00FF1314" w:rsidRDefault="00411B4B" w:rsidP="00480FB1">
      <w:pPr>
        <w:tabs>
          <w:tab w:val="left" w:pos="540"/>
          <w:tab w:val="left" w:pos="569"/>
        </w:tabs>
        <w:rPr>
          <w:b/>
          <w:bCs/>
          <w:sz w:val="22"/>
          <w:szCs w:val="22"/>
          <w:lang w:val="sr-Latn-ME"/>
        </w:rPr>
      </w:pPr>
      <w:r w:rsidRPr="00FF1314">
        <w:rPr>
          <w:b/>
          <w:bCs/>
          <w:sz w:val="22"/>
          <w:szCs w:val="22"/>
          <w:lang w:val="sr-Latn-ME"/>
        </w:rPr>
        <w:t xml:space="preserve">4.2. </w:t>
      </w:r>
      <w:r w:rsidR="00480FB1" w:rsidRPr="00FF1314">
        <w:rPr>
          <w:b/>
          <w:bCs/>
          <w:sz w:val="22"/>
          <w:szCs w:val="22"/>
          <w:lang w:val="sr-Latn-ME"/>
        </w:rPr>
        <w:tab/>
      </w:r>
      <w:r w:rsidRPr="00FF1314">
        <w:rPr>
          <w:b/>
          <w:bCs/>
          <w:sz w:val="22"/>
          <w:szCs w:val="22"/>
          <w:lang w:val="sr-Latn-ME"/>
        </w:rPr>
        <w:t>Doziranje i način primjene</w:t>
      </w:r>
    </w:p>
    <w:p w14:paraId="7A44FB84" w14:textId="77777777" w:rsidR="0072020E" w:rsidRPr="00FF1314" w:rsidRDefault="0072020E" w:rsidP="00480FB1">
      <w:pPr>
        <w:tabs>
          <w:tab w:val="left" w:pos="540"/>
          <w:tab w:val="left" w:pos="569"/>
        </w:tabs>
        <w:rPr>
          <w:bCs/>
          <w:sz w:val="22"/>
          <w:szCs w:val="22"/>
          <w:lang w:val="sr-Latn-ME"/>
        </w:rPr>
      </w:pPr>
    </w:p>
    <w:p w14:paraId="76047906" w14:textId="14B99397" w:rsidR="000B2A5C" w:rsidRPr="007C2FF4" w:rsidRDefault="000B2A5C" w:rsidP="000B2A5C">
      <w:pPr>
        <w:tabs>
          <w:tab w:val="left" w:pos="284"/>
        </w:tabs>
        <w:jc w:val="both"/>
        <w:rPr>
          <w:sz w:val="22"/>
          <w:szCs w:val="22"/>
          <w:lang w:val="sr-Latn-ME"/>
        </w:rPr>
      </w:pPr>
      <w:r w:rsidRPr="007C2FF4">
        <w:rPr>
          <w:sz w:val="22"/>
          <w:szCs w:val="22"/>
          <w:lang w:val="sr-Latn-ME"/>
        </w:rPr>
        <w:t xml:space="preserve">Liječenje se započinje i sprovodi pod nadzorom ljekara specijalista s iskustvom u dijagnostikovanju i liječenju reumatoidnog artritisa, psorijatičnog artritisa, ankilozirajućeg spondilitisa, aksijalnog spondiloartritisa </w:t>
      </w:r>
      <w:r w:rsidR="00A06D4D" w:rsidRPr="007C2FF4">
        <w:rPr>
          <w:sz w:val="22"/>
          <w:szCs w:val="22"/>
          <w:lang w:val="sr-Latn-ME"/>
        </w:rPr>
        <w:t xml:space="preserve">bez radiografskog dokaza </w:t>
      </w:r>
      <w:r w:rsidRPr="007C2FF4">
        <w:rPr>
          <w:sz w:val="22"/>
          <w:szCs w:val="22"/>
          <w:lang w:val="sr-Latn-ME"/>
        </w:rPr>
        <w:t xml:space="preserve">ili ulceroznog kolitisa. Pacijenti koji se liječe lijekom Simponi trebalo bi da dobiju tzv. Karticu sa podsjetnikom za pacijenta. </w:t>
      </w:r>
    </w:p>
    <w:p w14:paraId="24A3D431" w14:textId="77777777" w:rsidR="000B2A5C" w:rsidRPr="00FF1314" w:rsidRDefault="000B2A5C" w:rsidP="000B2A5C">
      <w:pPr>
        <w:tabs>
          <w:tab w:val="left" w:pos="540"/>
          <w:tab w:val="left" w:pos="569"/>
        </w:tabs>
        <w:rPr>
          <w:bCs/>
          <w:sz w:val="22"/>
          <w:szCs w:val="22"/>
          <w:lang w:val="sr-Latn-ME"/>
        </w:rPr>
      </w:pPr>
    </w:p>
    <w:p w14:paraId="3C101CC4" w14:textId="77777777" w:rsidR="000B2A5C" w:rsidRPr="00FF1314" w:rsidRDefault="000B2A5C" w:rsidP="000B2A5C">
      <w:pPr>
        <w:tabs>
          <w:tab w:val="left" w:pos="540"/>
          <w:tab w:val="left" w:pos="569"/>
        </w:tabs>
        <w:rPr>
          <w:bCs/>
          <w:sz w:val="22"/>
          <w:szCs w:val="22"/>
          <w:u w:val="single"/>
          <w:lang w:val="sr-Latn-ME"/>
        </w:rPr>
      </w:pPr>
      <w:r w:rsidRPr="00FF1314">
        <w:rPr>
          <w:bCs/>
          <w:sz w:val="22"/>
          <w:szCs w:val="22"/>
          <w:u w:val="single"/>
          <w:lang w:val="sr-Latn-ME"/>
        </w:rPr>
        <w:t>Doziranje</w:t>
      </w:r>
    </w:p>
    <w:p w14:paraId="512C512F" w14:textId="77777777" w:rsidR="000B2A5C" w:rsidRPr="007C2FF4" w:rsidRDefault="000B2A5C" w:rsidP="000B2A5C">
      <w:pPr>
        <w:tabs>
          <w:tab w:val="left" w:pos="284"/>
        </w:tabs>
        <w:jc w:val="both"/>
        <w:rPr>
          <w:i/>
          <w:iCs/>
          <w:sz w:val="22"/>
          <w:szCs w:val="22"/>
          <w:lang w:val="sr-Latn-ME"/>
        </w:rPr>
      </w:pPr>
      <w:r w:rsidRPr="007C2FF4">
        <w:rPr>
          <w:i/>
          <w:iCs/>
          <w:sz w:val="22"/>
          <w:szCs w:val="22"/>
          <w:lang w:val="sr-Latn-ME"/>
        </w:rPr>
        <w:t>Reumatoidni artritis</w:t>
      </w:r>
    </w:p>
    <w:p w14:paraId="2C336AF1" w14:textId="77777777" w:rsidR="000B2A5C" w:rsidRPr="007C2FF4" w:rsidRDefault="000B2A5C" w:rsidP="000B2A5C">
      <w:pPr>
        <w:tabs>
          <w:tab w:val="left" w:pos="284"/>
        </w:tabs>
        <w:jc w:val="both"/>
        <w:rPr>
          <w:sz w:val="22"/>
          <w:szCs w:val="22"/>
          <w:lang w:val="sr-Latn-ME"/>
        </w:rPr>
      </w:pPr>
      <w:r w:rsidRPr="007C2FF4">
        <w:rPr>
          <w:sz w:val="22"/>
          <w:szCs w:val="22"/>
          <w:lang w:val="sr-Latn-ME"/>
        </w:rPr>
        <w:t>Daje se 50 mg lijeka Simponi jednom mjesečno, istog dana u mjesecu.</w:t>
      </w:r>
    </w:p>
    <w:p w14:paraId="4B9A647C" w14:textId="2E5FCE70" w:rsidR="000B2A5C" w:rsidRPr="007C2FF4" w:rsidRDefault="000B2A5C" w:rsidP="000B2A5C">
      <w:pPr>
        <w:tabs>
          <w:tab w:val="left" w:pos="284"/>
        </w:tabs>
        <w:jc w:val="both"/>
        <w:rPr>
          <w:bCs/>
          <w:iCs/>
          <w:sz w:val="22"/>
          <w:szCs w:val="22"/>
          <w:lang w:val="sr-Latn-ME"/>
        </w:rPr>
      </w:pPr>
      <w:r w:rsidRPr="007C2FF4">
        <w:rPr>
          <w:bCs/>
          <w:iCs/>
          <w:sz w:val="22"/>
          <w:szCs w:val="22"/>
          <w:lang w:val="sr-Latn-ME"/>
        </w:rPr>
        <w:t xml:space="preserve">Lijek Simponi se mora primijeniti istovremeno sa </w:t>
      </w:r>
      <w:r w:rsidR="00A94E93" w:rsidRPr="007C2FF4">
        <w:rPr>
          <w:bCs/>
          <w:iCs/>
          <w:sz w:val="22"/>
          <w:szCs w:val="22"/>
          <w:lang w:val="sr-Latn-ME"/>
        </w:rPr>
        <w:t>metotreksatom</w:t>
      </w:r>
      <w:r w:rsidRPr="007C2FF4">
        <w:rPr>
          <w:bCs/>
          <w:iCs/>
          <w:sz w:val="22"/>
          <w:szCs w:val="22"/>
          <w:lang w:val="sr-Latn-ME"/>
        </w:rPr>
        <w:t>.</w:t>
      </w:r>
    </w:p>
    <w:p w14:paraId="7D0DC714" w14:textId="77777777" w:rsidR="000B2A5C" w:rsidRPr="007C2FF4" w:rsidRDefault="000B2A5C" w:rsidP="000B2A5C">
      <w:pPr>
        <w:tabs>
          <w:tab w:val="left" w:pos="284"/>
        </w:tabs>
        <w:jc w:val="both"/>
        <w:rPr>
          <w:sz w:val="22"/>
          <w:szCs w:val="22"/>
          <w:u w:val="single"/>
          <w:lang w:val="sr-Latn-ME"/>
        </w:rPr>
      </w:pPr>
    </w:p>
    <w:p w14:paraId="149B48E6" w14:textId="2C7F7C93" w:rsidR="000B2A5C" w:rsidRPr="007C2FF4" w:rsidRDefault="000B2A5C" w:rsidP="000B2A5C">
      <w:pPr>
        <w:tabs>
          <w:tab w:val="left" w:pos="284"/>
        </w:tabs>
        <w:jc w:val="both"/>
        <w:rPr>
          <w:i/>
          <w:iCs/>
          <w:snapToGrid w:val="0"/>
          <w:sz w:val="22"/>
          <w:szCs w:val="22"/>
          <w:lang w:val="sr-Latn-ME"/>
        </w:rPr>
      </w:pPr>
      <w:r w:rsidRPr="007C2FF4">
        <w:rPr>
          <w:i/>
          <w:iCs/>
          <w:snapToGrid w:val="0"/>
          <w:sz w:val="22"/>
          <w:szCs w:val="22"/>
          <w:lang w:val="sr-Latn-ME"/>
        </w:rPr>
        <w:t>Psorijatični artritis, ankilozirajući spondilitis ili aksijalni spondiloartritis</w:t>
      </w:r>
      <w:r w:rsidR="00A06D4D" w:rsidRPr="007C2FF4">
        <w:rPr>
          <w:i/>
          <w:iCs/>
          <w:snapToGrid w:val="0"/>
          <w:sz w:val="22"/>
          <w:szCs w:val="22"/>
          <w:lang w:val="sr-Latn-ME"/>
        </w:rPr>
        <w:t xml:space="preserve"> bez radiografskog dokaza</w:t>
      </w:r>
    </w:p>
    <w:p w14:paraId="24485222" w14:textId="77777777" w:rsidR="000B2A5C" w:rsidRPr="007C2FF4" w:rsidRDefault="000B2A5C" w:rsidP="000B2A5C">
      <w:pPr>
        <w:tabs>
          <w:tab w:val="left" w:pos="284"/>
        </w:tabs>
        <w:jc w:val="both"/>
        <w:rPr>
          <w:sz w:val="22"/>
          <w:szCs w:val="22"/>
          <w:lang w:val="sr-Latn-ME"/>
        </w:rPr>
      </w:pPr>
      <w:r w:rsidRPr="007C2FF4">
        <w:rPr>
          <w:sz w:val="22"/>
          <w:szCs w:val="22"/>
          <w:lang w:val="sr-Latn-ME"/>
        </w:rPr>
        <w:t>Daje se 50 mg lijeka Simponi jednom mjesečno, istog dana u mjesecu.</w:t>
      </w:r>
    </w:p>
    <w:p w14:paraId="0583AD22" w14:textId="77777777" w:rsidR="000B2A5C" w:rsidRPr="007C2FF4" w:rsidRDefault="000B2A5C" w:rsidP="000B2A5C">
      <w:pPr>
        <w:tabs>
          <w:tab w:val="left" w:pos="284"/>
        </w:tabs>
        <w:jc w:val="both"/>
        <w:rPr>
          <w:sz w:val="22"/>
          <w:szCs w:val="22"/>
          <w:lang w:val="sr-Latn-ME"/>
        </w:rPr>
      </w:pPr>
    </w:p>
    <w:p w14:paraId="2795AF78" w14:textId="77777777" w:rsidR="000B2A5C" w:rsidRPr="007C2FF4" w:rsidRDefault="000B2A5C" w:rsidP="000B2A5C">
      <w:pPr>
        <w:autoSpaceDE w:val="0"/>
        <w:autoSpaceDN w:val="0"/>
        <w:adjustRightInd w:val="0"/>
        <w:jc w:val="both"/>
        <w:rPr>
          <w:sz w:val="22"/>
          <w:szCs w:val="22"/>
          <w:lang w:val="sr-Latn-ME"/>
        </w:rPr>
      </w:pPr>
      <w:r w:rsidRPr="007C2FF4">
        <w:rPr>
          <w:sz w:val="22"/>
          <w:szCs w:val="22"/>
          <w:lang w:val="sr-Latn-ME"/>
        </w:rPr>
        <w:t xml:space="preserve">Za sve gore navedene indikacije, na osnovu dostupnih podataka, klinički odgovor se obično postiže u periodu od 12 do 14 nedjelja liječenja (nakon 3-4 doze). Kod pacijenata kod kojih nije dokazano terapijsko djelovanje u tom vremenskom periodu, treba ponovno razmotriti nastavak terapije. </w:t>
      </w:r>
    </w:p>
    <w:p w14:paraId="34795853" w14:textId="77777777" w:rsidR="000B2A5C" w:rsidRPr="007C2FF4" w:rsidRDefault="000B2A5C" w:rsidP="000B2A5C">
      <w:pPr>
        <w:autoSpaceDE w:val="0"/>
        <w:autoSpaceDN w:val="0"/>
        <w:adjustRightInd w:val="0"/>
        <w:jc w:val="both"/>
        <w:rPr>
          <w:sz w:val="22"/>
          <w:szCs w:val="22"/>
          <w:lang w:val="sr-Latn-ME"/>
        </w:rPr>
      </w:pPr>
    </w:p>
    <w:p w14:paraId="2E3E37CD" w14:textId="77777777" w:rsidR="000B2A5C" w:rsidRPr="007C2FF4" w:rsidRDefault="000B2A5C" w:rsidP="000B2A5C">
      <w:pPr>
        <w:autoSpaceDE w:val="0"/>
        <w:autoSpaceDN w:val="0"/>
        <w:adjustRightInd w:val="0"/>
        <w:jc w:val="both"/>
        <w:rPr>
          <w:sz w:val="22"/>
          <w:szCs w:val="22"/>
          <w:lang w:val="sr-Latn-ME"/>
        </w:rPr>
      </w:pPr>
      <w:r w:rsidRPr="007C2FF4">
        <w:rPr>
          <w:sz w:val="22"/>
          <w:szCs w:val="22"/>
          <w:lang w:val="sr-Latn-ME"/>
        </w:rPr>
        <w:t>Pacijenti sa tjelesnom masom većom od 100kg</w:t>
      </w:r>
    </w:p>
    <w:p w14:paraId="23EF9089" w14:textId="31DADDBB" w:rsidR="000B2A5C" w:rsidRPr="007C2FF4" w:rsidRDefault="000B2A5C" w:rsidP="000B2A5C">
      <w:pPr>
        <w:autoSpaceDE w:val="0"/>
        <w:autoSpaceDN w:val="0"/>
        <w:adjustRightInd w:val="0"/>
        <w:jc w:val="both"/>
        <w:rPr>
          <w:sz w:val="22"/>
          <w:szCs w:val="22"/>
          <w:lang w:val="sr-Latn-ME"/>
        </w:rPr>
      </w:pPr>
      <w:r w:rsidRPr="007C2FF4">
        <w:rPr>
          <w:sz w:val="22"/>
          <w:szCs w:val="22"/>
          <w:lang w:val="sr-Latn-ME"/>
        </w:rPr>
        <w:t>Za sve gore navedene indikacije, kod pacijenata sa reumatoidnim artritisom, psorijatičnim artritisom, ankilozirajućim spondilitisom ili aksijalnim spondiloartritisom</w:t>
      </w:r>
      <w:r w:rsidR="00A06D4D" w:rsidRPr="007C2FF4">
        <w:rPr>
          <w:sz w:val="22"/>
          <w:szCs w:val="22"/>
          <w:lang w:val="sr-Latn-ME"/>
        </w:rPr>
        <w:t xml:space="preserve"> bez radiografskog dokaza</w:t>
      </w:r>
      <w:r w:rsidRPr="007C2FF4">
        <w:rPr>
          <w:sz w:val="22"/>
          <w:szCs w:val="22"/>
          <w:lang w:val="sr-Latn-ME"/>
        </w:rPr>
        <w:t xml:space="preserve"> i tjelesnom masom većom od 100 kg kod kojih se ne postigne odgovarajući klinički odgovor nakon 3 ili 4 doze, može se razmotriti povećanje doze golimumaba na 100 mg jednom mjesečno, ali imajući u vidu da pritom dolazi do povećanja rizika od pojave pojedinih ozbiljnih neželjenih dejstava pri primjeni doze od 100 mg u poređenju sa dozom od 50 mg (vidjeti dio 4.8). Kod pacijenata kod kojih nema dokazanog terapijskog dejstva nakon 3 do 4 dodatne doze od 100 mg, treba ponovno razmotriti nastavak terapije. </w:t>
      </w:r>
    </w:p>
    <w:p w14:paraId="3888A22D" w14:textId="77777777" w:rsidR="000B2A5C" w:rsidRPr="007C2FF4" w:rsidRDefault="000B2A5C" w:rsidP="000B2A5C">
      <w:pPr>
        <w:tabs>
          <w:tab w:val="left" w:pos="284"/>
        </w:tabs>
        <w:autoSpaceDE w:val="0"/>
        <w:autoSpaceDN w:val="0"/>
        <w:adjustRightInd w:val="0"/>
        <w:jc w:val="both"/>
        <w:rPr>
          <w:sz w:val="22"/>
          <w:szCs w:val="22"/>
          <w:lang w:val="sr-Latn-ME"/>
        </w:rPr>
      </w:pPr>
    </w:p>
    <w:p w14:paraId="6CC259FC" w14:textId="77777777" w:rsidR="000B2A5C" w:rsidRPr="007C2FF4" w:rsidRDefault="000B2A5C" w:rsidP="000B2A5C">
      <w:pPr>
        <w:autoSpaceDE w:val="0"/>
        <w:autoSpaceDN w:val="0"/>
        <w:adjustRightInd w:val="0"/>
        <w:jc w:val="both"/>
        <w:rPr>
          <w:i/>
          <w:iCs/>
          <w:sz w:val="22"/>
          <w:szCs w:val="22"/>
          <w:lang w:val="sr-Latn-ME"/>
        </w:rPr>
      </w:pPr>
      <w:r w:rsidRPr="007C2FF4">
        <w:rPr>
          <w:i/>
          <w:iCs/>
          <w:sz w:val="22"/>
          <w:szCs w:val="22"/>
          <w:lang w:val="sr-Latn-ME"/>
        </w:rPr>
        <w:t>Ulcerozni kolitis</w:t>
      </w:r>
    </w:p>
    <w:p w14:paraId="7702F6E1" w14:textId="77777777" w:rsidR="000B2A5C" w:rsidRPr="007C2FF4" w:rsidRDefault="000B2A5C" w:rsidP="000B2A5C">
      <w:pPr>
        <w:autoSpaceDE w:val="0"/>
        <w:autoSpaceDN w:val="0"/>
        <w:adjustRightInd w:val="0"/>
        <w:jc w:val="both"/>
        <w:rPr>
          <w:iCs/>
          <w:sz w:val="22"/>
          <w:szCs w:val="22"/>
          <w:lang w:val="sr-Latn-ME"/>
        </w:rPr>
      </w:pPr>
      <w:r w:rsidRPr="007C2FF4">
        <w:rPr>
          <w:iCs/>
          <w:sz w:val="22"/>
          <w:szCs w:val="22"/>
          <w:lang w:val="sr-Latn-ME"/>
        </w:rPr>
        <w:t>Pacijenti sa tjelesnom masom manjom od 80 kg</w:t>
      </w:r>
    </w:p>
    <w:p w14:paraId="47C609F4" w14:textId="77777777" w:rsidR="000B2A5C" w:rsidRPr="007C2FF4" w:rsidRDefault="000B2A5C" w:rsidP="000B2A5C">
      <w:pPr>
        <w:autoSpaceDE w:val="0"/>
        <w:autoSpaceDN w:val="0"/>
        <w:adjustRightInd w:val="0"/>
        <w:jc w:val="both"/>
        <w:rPr>
          <w:sz w:val="22"/>
          <w:szCs w:val="22"/>
          <w:lang w:val="sr-Latn-ME"/>
        </w:rPr>
      </w:pPr>
      <w:r w:rsidRPr="00FF1314">
        <w:rPr>
          <w:sz w:val="22"/>
          <w:szCs w:val="22"/>
          <w:lang w:val="sr-Latn-ME"/>
        </w:rPr>
        <w:t xml:space="preserve">Inicijalna (indukciona) doza lijeka Simponi je 200 mg, a nakon dvije nedjelje se daje doza od 100 mg. Pacijenti koji su postigli odgovarajući odgovor,u nastavku terapije u 6. nedjelji   treba da prime 50 mg, a nakon toga istu dozu ponavljati svake 4 nedjelje. Pacijenti koji nijesu postigli adekvatan odgovor u </w:t>
      </w:r>
      <w:r w:rsidRPr="00FF1314">
        <w:rPr>
          <w:sz w:val="22"/>
          <w:szCs w:val="22"/>
          <w:lang w:val="sr-Latn-ME"/>
        </w:rPr>
        <w:lastRenderedPageBreak/>
        <w:t>nastavku terapije u 6. nedjelji mogu koristiti 100 mg i istu dozu ponavljati svake 4 nedjelje nakon toga</w:t>
      </w:r>
      <w:r w:rsidRPr="007C2FF4" w:rsidDel="00F97758">
        <w:rPr>
          <w:sz w:val="22"/>
          <w:szCs w:val="22"/>
          <w:lang w:val="sr-Latn-ME"/>
        </w:rPr>
        <w:t xml:space="preserve"> </w:t>
      </w:r>
      <w:r w:rsidRPr="007C2FF4">
        <w:rPr>
          <w:sz w:val="22"/>
          <w:szCs w:val="22"/>
          <w:lang w:val="sr-Latn-ME"/>
        </w:rPr>
        <w:t>(vidjeti dio 5.1).</w:t>
      </w:r>
    </w:p>
    <w:p w14:paraId="1378A4FE" w14:textId="77777777" w:rsidR="000B2A5C" w:rsidRPr="00DF79AE" w:rsidRDefault="000B2A5C" w:rsidP="000B2A5C">
      <w:pPr>
        <w:autoSpaceDE w:val="0"/>
        <w:autoSpaceDN w:val="0"/>
        <w:adjustRightInd w:val="0"/>
        <w:jc w:val="both"/>
        <w:rPr>
          <w:sz w:val="22"/>
          <w:szCs w:val="22"/>
          <w:lang w:val="sr-Latn-ME"/>
        </w:rPr>
      </w:pPr>
    </w:p>
    <w:p w14:paraId="165E6577" w14:textId="77777777" w:rsidR="000B2A5C" w:rsidRPr="00A67A74" w:rsidRDefault="000B2A5C" w:rsidP="000B2A5C">
      <w:pPr>
        <w:autoSpaceDE w:val="0"/>
        <w:autoSpaceDN w:val="0"/>
        <w:adjustRightInd w:val="0"/>
        <w:jc w:val="both"/>
        <w:rPr>
          <w:iCs/>
          <w:sz w:val="22"/>
          <w:szCs w:val="22"/>
          <w:lang w:val="sr-Latn-ME"/>
        </w:rPr>
      </w:pPr>
      <w:r w:rsidRPr="00A67A74">
        <w:rPr>
          <w:iCs/>
          <w:sz w:val="22"/>
          <w:szCs w:val="22"/>
          <w:lang w:val="sr-Latn-ME"/>
        </w:rPr>
        <w:t>Pacijenti sa tjelesnom masom većom ili jednakom 80 kg</w:t>
      </w:r>
    </w:p>
    <w:p w14:paraId="3E673AC1" w14:textId="77777777" w:rsidR="000B2A5C" w:rsidRPr="00DF79AE" w:rsidRDefault="000B2A5C" w:rsidP="000B2A5C">
      <w:pPr>
        <w:autoSpaceDE w:val="0"/>
        <w:autoSpaceDN w:val="0"/>
        <w:adjustRightInd w:val="0"/>
        <w:jc w:val="both"/>
        <w:rPr>
          <w:sz w:val="22"/>
          <w:szCs w:val="22"/>
          <w:lang w:val="sr-Latn-ME"/>
        </w:rPr>
      </w:pPr>
      <w:r w:rsidRPr="00DF79AE">
        <w:rPr>
          <w:sz w:val="22"/>
          <w:szCs w:val="22"/>
          <w:lang w:val="sr-Latn-ME"/>
        </w:rPr>
        <w:t>Daje se inicijalna doza od 200 mg lijeka Simponi, praćena dozom od 100 mg nakon dvije nedjelje, a nakon toga 100 mg na svake 4 nedjelje (vidjeti dio 5.1).</w:t>
      </w:r>
    </w:p>
    <w:p w14:paraId="1945E49E" w14:textId="77777777" w:rsidR="000B2A5C" w:rsidRPr="00DF79AE" w:rsidRDefault="000B2A5C" w:rsidP="000B2A5C">
      <w:pPr>
        <w:autoSpaceDE w:val="0"/>
        <w:autoSpaceDN w:val="0"/>
        <w:adjustRightInd w:val="0"/>
        <w:jc w:val="both"/>
        <w:rPr>
          <w:sz w:val="22"/>
          <w:szCs w:val="22"/>
          <w:lang w:val="sr-Latn-ME"/>
        </w:rPr>
      </w:pPr>
    </w:p>
    <w:p w14:paraId="29604775" w14:textId="77777777" w:rsidR="000B2A5C" w:rsidRPr="00DF79AE" w:rsidRDefault="000B2A5C" w:rsidP="000B2A5C">
      <w:pPr>
        <w:autoSpaceDE w:val="0"/>
        <w:autoSpaceDN w:val="0"/>
        <w:adjustRightInd w:val="0"/>
        <w:jc w:val="both"/>
        <w:rPr>
          <w:sz w:val="22"/>
          <w:szCs w:val="22"/>
          <w:lang w:val="sr-Latn-ME"/>
        </w:rPr>
      </w:pPr>
      <w:r w:rsidRPr="00DF79AE">
        <w:rPr>
          <w:sz w:val="22"/>
          <w:szCs w:val="22"/>
          <w:lang w:val="sr-Latn-ME"/>
        </w:rPr>
        <w:t>U toku terapije održavanja, doza kortikosteroida se može smanjiti u skladu sa vodičima kliničke prakse.</w:t>
      </w:r>
    </w:p>
    <w:p w14:paraId="6DA226F9" w14:textId="77777777" w:rsidR="000B2A5C" w:rsidRPr="00DF79AE" w:rsidRDefault="000B2A5C" w:rsidP="000B2A5C">
      <w:pPr>
        <w:autoSpaceDE w:val="0"/>
        <w:autoSpaceDN w:val="0"/>
        <w:adjustRightInd w:val="0"/>
        <w:jc w:val="both"/>
        <w:rPr>
          <w:sz w:val="22"/>
          <w:szCs w:val="22"/>
          <w:lang w:val="sr-Latn-ME"/>
        </w:rPr>
      </w:pPr>
    </w:p>
    <w:p w14:paraId="00BE05A3" w14:textId="77777777" w:rsidR="000B2A5C" w:rsidRPr="00DF79AE" w:rsidRDefault="000B2A5C" w:rsidP="000B2A5C">
      <w:pPr>
        <w:tabs>
          <w:tab w:val="left" w:pos="284"/>
        </w:tabs>
        <w:autoSpaceDE w:val="0"/>
        <w:autoSpaceDN w:val="0"/>
        <w:adjustRightInd w:val="0"/>
        <w:jc w:val="both"/>
        <w:rPr>
          <w:sz w:val="22"/>
          <w:szCs w:val="22"/>
          <w:lang w:val="sr-Latn-ME"/>
        </w:rPr>
      </w:pPr>
      <w:r w:rsidRPr="00DF79AE">
        <w:rPr>
          <w:sz w:val="22"/>
          <w:szCs w:val="22"/>
          <w:lang w:val="sr-Latn-ME"/>
        </w:rPr>
        <w:t>Na osnovu dostupnih podataka, klinički odgovor se obično postiže u periodu od 12 do 14 nedjelja liječenja (nakon 4 doze). Kod pacijenata kod kojih nije dokazano terapijsko djelovanje u tom vremenskom periodu, treba ponovno razmotriti nastavak terapije.</w:t>
      </w:r>
    </w:p>
    <w:p w14:paraId="14EAF657" w14:textId="77777777" w:rsidR="000B2A5C" w:rsidRPr="00DF79AE" w:rsidRDefault="000B2A5C" w:rsidP="000B2A5C">
      <w:pPr>
        <w:tabs>
          <w:tab w:val="left" w:pos="284"/>
        </w:tabs>
        <w:autoSpaceDE w:val="0"/>
        <w:autoSpaceDN w:val="0"/>
        <w:adjustRightInd w:val="0"/>
        <w:jc w:val="both"/>
        <w:rPr>
          <w:sz w:val="22"/>
          <w:szCs w:val="22"/>
          <w:lang w:val="sr-Latn-ME"/>
        </w:rPr>
      </w:pPr>
    </w:p>
    <w:p w14:paraId="14F91CF5" w14:textId="77777777" w:rsidR="000B2A5C" w:rsidRPr="00A67A74" w:rsidRDefault="000B2A5C" w:rsidP="000B2A5C">
      <w:pPr>
        <w:autoSpaceDE w:val="0"/>
        <w:autoSpaceDN w:val="0"/>
        <w:adjustRightInd w:val="0"/>
        <w:jc w:val="both"/>
        <w:rPr>
          <w:sz w:val="22"/>
          <w:szCs w:val="22"/>
          <w:u w:val="single"/>
          <w:lang w:val="sr-Latn-ME"/>
        </w:rPr>
      </w:pPr>
      <w:r w:rsidRPr="00A67A74">
        <w:rPr>
          <w:sz w:val="22"/>
          <w:szCs w:val="22"/>
          <w:u w:val="single"/>
          <w:lang w:val="sr-Latn-ME"/>
        </w:rPr>
        <w:t>Propuštena doza</w:t>
      </w:r>
    </w:p>
    <w:p w14:paraId="33D8AE92" w14:textId="77777777" w:rsidR="000B2A5C" w:rsidRPr="00DF79AE" w:rsidRDefault="000B2A5C" w:rsidP="000B2A5C">
      <w:pPr>
        <w:autoSpaceDE w:val="0"/>
        <w:autoSpaceDN w:val="0"/>
        <w:adjustRightInd w:val="0"/>
        <w:jc w:val="both"/>
        <w:rPr>
          <w:sz w:val="22"/>
          <w:szCs w:val="22"/>
          <w:lang w:val="sr-Latn-ME"/>
        </w:rPr>
      </w:pPr>
      <w:r w:rsidRPr="00DF79AE">
        <w:rPr>
          <w:sz w:val="22"/>
          <w:szCs w:val="22"/>
          <w:lang w:val="sr-Latn-ME"/>
        </w:rPr>
        <w:t xml:space="preserve">Ako pacijent zaboravi da primijeni lijek Simponi predviđenog dana, zaboravljenu dozu treba injicirati čim se pacijent sjeti. Pacijenta treba upozoriti da sebi ne smije da ubrizga dvostruku dozu da bi nadoknadio propuštenu. </w:t>
      </w:r>
    </w:p>
    <w:p w14:paraId="1AADE4C8" w14:textId="77777777" w:rsidR="000B2A5C" w:rsidRPr="00DF79AE" w:rsidRDefault="000B2A5C" w:rsidP="000B2A5C">
      <w:pPr>
        <w:autoSpaceDE w:val="0"/>
        <w:autoSpaceDN w:val="0"/>
        <w:adjustRightInd w:val="0"/>
        <w:jc w:val="both"/>
        <w:rPr>
          <w:sz w:val="22"/>
          <w:szCs w:val="22"/>
          <w:lang w:val="sr-Latn-ME"/>
        </w:rPr>
      </w:pPr>
    </w:p>
    <w:p w14:paraId="1C2E7E4C" w14:textId="77777777" w:rsidR="000B2A5C" w:rsidRPr="00DF79AE" w:rsidRDefault="000B2A5C" w:rsidP="000B2A5C">
      <w:pPr>
        <w:autoSpaceDE w:val="0"/>
        <w:autoSpaceDN w:val="0"/>
        <w:adjustRightInd w:val="0"/>
        <w:jc w:val="both"/>
        <w:rPr>
          <w:sz w:val="22"/>
          <w:szCs w:val="22"/>
          <w:lang w:val="sr-Latn-ME"/>
        </w:rPr>
      </w:pPr>
      <w:r w:rsidRPr="00DF79AE">
        <w:rPr>
          <w:sz w:val="22"/>
          <w:szCs w:val="22"/>
          <w:lang w:val="sr-Latn-ME"/>
        </w:rPr>
        <w:t xml:space="preserve">Sljedeću dozu treba primijeniti na osnovu sljedećih preporuka: </w:t>
      </w:r>
    </w:p>
    <w:p w14:paraId="3EAFFD31" w14:textId="77777777" w:rsidR="000B2A5C" w:rsidRPr="00DF79AE" w:rsidRDefault="000B2A5C" w:rsidP="000B2A5C">
      <w:pPr>
        <w:numPr>
          <w:ilvl w:val="0"/>
          <w:numId w:val="13"/>
        </w:numPr>
        <w:autoSpaceDE w:val="0"/>
        <w:autoSpaceDN w:val="0"/>
        <w:adjustRightInd w:val="0"/>
        <w:spacing w:after="160" w:line="259" w:lineRule="auto"/>
        <w:contextualSpacing/>
        <w:jc w:val="both"/>
        <w:rPr>
          <w:sz w:val="22"/>
          <w:szCs w:val="22"/>
          <w:lang w:val="sr-Latn-ME"/>
        </w:rPr>
      </w:pPr>
      <w:r w:rsidRPr="00DF79AE">
        <w:rPr>
          <w:sz w:val="22"/>
          <w:szCs w:val="22"/>
          <w:lang w:val="sr-Latn-ME"/>
        </w:rPr>
        <w:t>Ako se s primjenom kasni manje od 2 nedjelje, pacijent treba da sebi da zaboravljenu dozu i da nastavi prema dotadašnjem mjesečnom rasporedu.</w:t>
      </w:r>
    </w:p>
    <w:p w14:paraId="00911F41" w14:textId="77777777" w:rsidR="000B2A5C" w:rsidRPr="00DF79AE" w:rsidRDefault="000B2A5C" w:rsidP="000B2A5C">
      <w:pPr>
        <w:numPr>
          <w:ilvl w:val="0"/>
          <w:numId w:val="13"/>
        </w:numPr>
        <w:autoSpaceDE w:val="0"/>
        <w:autoSpaceDN w:val="0"/>
        <w:adjustRightInd w:val="0"/>
        <w:spacing w:after="160" w:line="259" w:lineRule="auto"/>
        <w:contextualSpacing/>
        <w:jc w:val="both"/>
        <w:rPr>
          <w:sz w:val="22"/>
          <w:szCs w:val="22"/>
          <w:lang w:val="sr-Latn-ME"/>
        </w:rPr>
      </w:pPr>
      <w:r w:rsidRPr="00DF79AE">
        <w:rPr>
          <w:sz w:val="22"/>
          <w:szCs w:val="22"/>
          <w:lang w:val="sr-Latn-ME"/>
        </w:rPr>
        <w:t>Ako se s primjenom kasni više od 2 nedjelje, pacijent treba da sebi da zaboravljenu dozu i uspostavi novi mjesečni raspored počevši od datuma primjene te injekcije.</w:t>
      </w:r>
    </w:p>
    <w:p w14:paraId="5A689F55" w14:textId="77777777" w:rsidR="000B2A5C" w:rsidRPr="007C2FF4" w:rsidRDefault="000B2A5C" w:rsidP="000B2A5C">
      <w:pPr>
        <w:tabs>
          <w:tab w:val="left" w:pos="284"/>
        </w:tabs>
        <w:autoSpaceDE w:val="0"/>
        <w:autoSpaceDN w:val="0"/>
        <w:adjustRightInd w:val="0"/>
        <w:jc w:val="both"/>
        <w:rPr>
          <w:sz w:val="22"/>
          <w:szCs w:val="22"/>
          <w:lang w:val="sr-Latn-ME"/>
        </w:rPr>
      </w:pPr>
    </w:p>
    <w:p w14:paraId="7AB56BD9" w14:textId="77777777" w:rsidR="000B2A5C" w:rsidRPr="007C2FF4" w:rsidRDefault="000B2A5C" w:rsidP="000B2A5C">
      <w:pPr>
        <w:tabs>
          <w:tab w:val="left" w:pos="284"/>
        </w:tabs>
        <w:autoSpaceDE w:val="0"/>
        <w:autoSpaceDN w:val="0"/>
        <w:adjustRightInd w:val="0"/>
        <w:jc w:val="both"/>
        <w:rPr>
          <w:sz w:val="22"/>
          <w:szCs w:val="22"/>
          <w:u w:val="single"/>
          <w:lang w:val="sr-Latn-ME"/>
        </w:rPr>
      </w:pPr>
      <w:r w:rsidRPr="007C2FF4">
        <w:rPr>
          <w:sz w:val="22"/>
          <w:szCs w:val="22"/>
          <w:u w:val="single"/>
          <w:lang w:val="sr-Latn-ME"/>
        </w:rPr>
        <w:t>Posebne populacije</w:t>
      </w:r>
    </w:p>
    <w:p w14:paraId="1CF765AF" w14:textId="77777777" w:rsidR="000B2A5C" w:rsidRPr="007C2FF4" w:rsidRDefault="000B2A5C" w:rsidP="000B2A5C">
      <w:pPr>
        <w:tabs>
          <w:tab w:val="left" w:pos="284"/>
        </w:tabs>
        <w:jc w:val="both"/>
        <w:rPr>
          <w:bCs/>
          <w:i/>
          <w:iCs/>
          <w:sz w:val="22"/>
          <w:szCs w:val="22"/>
          <w:lang w:val="sr-Latn-ME"/>
        </w:rPr>
      </w:pPr>
      <w:r w:rsidRPr="007C2FF4">
        <w:rPr>
          <w:i/>
          <w:iCs/>
          <w:sz w:val="22"/>
          <w:szCs w:val="22"/>
          <w:lang w:val="sr-Latn-ME"/>
        </w:rPr>
        <w:t xml:space="preserve">Starije osobe </w:t>
      </w:r>
      <w:r w:rsidRPr="007C2FF4">
        <w:rPr>
          <w:bCs/>
          <w:i/>
          <w:iCs/>
          <w:sz w:val="22"/>
          <w:szCs w:val="22"/>
          <w:lang w:val="sr-Latn-ME"/>
        </w:rPr>
        <w:t>(≥65 godina starosti)</w:t>
      </w:r>
    </w:p>
    <w:p w14:paraId="5A04BC2B" w14:textId="77777777" w:rsidR="000B2A5C" w:rsidRPr="007C2FF4" w:rsidRDefault="000B2A5C" w:rsidP="000B2A5C">
      <w:pPr>
        <w:tabs>
          <w:tab w:val="left" w:pos="284"/>
        </w:tabs>
        <w:jc w:val="both"/>
        <w:rPr>
          <w:bCs/>
          <w:iCs/>
          <w:sz w:val="22"/>
          <w:szCs w:val="22"/>
          <w:lang w:val="sr-Latn-ME"/>
        </w:rPr>
      </w:pPr>
      <w:r w:rsidRPr="007C2FF4">
        <w:rPr>
          <w:bCs/>
          <w:iCs/>
          <w:sz w:val="22"/>
          <w:szCs w:val="22"/>
          <w:lang w:val="sr-Latn-ME"/>
        </w:rPr>
        <w:t>Nije potrebno prilagođavanje doze kod starijih osoba.</w:t>
      </w:r>
    </w:p>
    <w:p w14:paraId="02B3B669" w14:textId="77777777" w:rsidR="000B2A5C" w:rsidRPr="007C2FF4" w:rsidRDefault="000B2A5C" w:rsidP="000B2A5C">
      <w:pPr>
        <w:tabs>
          <w:tab w:val="left" w:pos="284"/>
        </w:tabs>
        <w:autoSpaceDE w:val="0"/>
        <w:autoSpaceDN w:val="0"/>
        <w:adjustRightInd w:val="0"/>
        <w:jc w:val="both"/>
        <w:rPr>
          <w:sz w:val="22"/>
          <w:szCs w:val="22"/>
          <w:lang w:val="sr-Latn-ME"/>
        </w:rPr>
      </w:pPr>
    </w:p>
    <w:p w14:paraId="43698621" w14:textId="77777777" w:rsidR="000B2A5C" w:rsidRPr="007C2FF4" w:rsidRDefault="000B2A5C" w:rsidP="000B2A5C">
      <w:pPr>
        <w:tabs>
          <w:tab w:val="left" w:pos="284"/>
        </w:tabs>
        <w:jc w:val="both"/>
        <w:rPr>
          <w:i/>
          <w:iCs/>
          <w:sz w:val="22"/>
          <w:szCs w:val="22"/>
          <w:lang w:val="sr-Latn-ME"/>
        </w:rPr>
      </w:pPr>
      <w:r w:rsidRPr="007C2FF4">
        <w:rPr>
          <w:i/>
          <w:iCs/>
          <w:sz w:val="22"/>
          <w:szCs w:val="22"/>
          <w:lang w:val="sr-Latn-ME"/>
        </w:rPr>
        <w:t>Bubrežna insuficijencija i insuficijencija jetre</w:t>
      </w:r>
    </w:p>
    <w:p w14:paraId="424B6B5E" w14:textId="77777777" w:rsidR="000B2A5C" w:rsidRPr="007C2FF4" w:rsidRDefault="000B2A5C" w:rsidP="000B2A5C">
      <w:pPr>
        <w:tabs>
          <w:tab w:val="left" w:pos="284"/>
        </w:tabs>
        <w:autoSpaceDE w:val="0"/>
        <w:autoSpaceDN w:val="0"/>
        <w:adjustRightInd w:val="0"/>
        <w:jc w:val="both"/>
        <w:rPr>
          <w:sz w:val="22"/>
          <w:szCs w:val="22"/>
          <w:lang w:val="sr-Latn-ME"/>
        </w:rPr>
      </w:pPr>
      <w:r w:rsidRPr="007C2FF4">
        <w:rPr>
          <w:sz w:val="22"/>
          <w:szCs w:val="22"/>
          <w:lang w:val="sr-Latn-ME"/>
        </w:rPr>
        <w:t xml:space="preserve">Lijek Simponi nije ispitivan u ovim populacijama pacijenata. Ne mogu se dati preporuke za doziranje. </w:t>
      </w:r>
    </w:p>
    <w:p w14:paraId="6262DBA6" w14:textId="77777777" w:rsidR="000B2A5C" w:rsidRPr="007C2FF4" w:rsidRDefault="000B2A5C" w:rsidP="000B2A5C">
      <w:pPr>
        <w:tabs>
          <w:tab w:val="left" w:pos="284"/>
        </w:tabs>
        <w:autoSpaceDE w:val="0"/>
        <w:autoSpaceDN w:val="0"/>
        <w:adjustRightInd w:val="0"/>
        <w:jc w:val="both"/>
        <w:rPr>
          <w:sz w:val="22"/>
          <w:szCs w:val="22"/>
          <w:lang w:val="sr-Latn-ME"/>
        </w:rPr>
      </w:pPr>
    </w:p>
    <w:p w14:paraId="05915BBB" w14:textId="77777777" w:rsidR="000B2A5C" w:rsidRPr="007C2FF4" w:rsidRDefault="000B2A5C" w:rsidP="000B2A5C">
      <w:pPr>
        <w:tabs>
          <w:tab w:val="left" w:pos="284"/>
        </w:tabs>
        <w:jc w:val="both"/>
        <w:rPr>
          <w:i/>
          <w:iCs/>
          <w:sz w:val="22"/>
          <w:szCs w:val="22"/>
          <w:lang w:val="sr-Latn-ME"/>
        </w:rPr>
      </w:pPr>
      <w:r w:rsidRPr="007C2FF4">
        <w:rPr>
          <w:i/>
          <w:iCs/>
          <w:sz w:val="22"/>
          <w:szCs w:val="22"/>
          <w:lang w:val="sr-Latn-ME"/>
        </w:rPr>
        <w:t>Pedijatrijska populacija</w:t>
      </w:r>
    </w:p>
    <w:p w14:paraId="3478C20B" w14:textId="77777777" w:rsidR="000B2A5C" w:rsidRPr="007C2FF4" w:rsidRDefault="000B2A5C" w:rsidP="000B2A5C">
      <w:pPr>
        <w:tabs>
          <w:tab w:val="left" w:pos="284"/>
        </w:tabs>
        <w:jc w:val="both"/>
        <w:rPr>
          <w:noProof/>
          <w:sz w:val="22"/>
          <w:szCs w:val="22"/>
          <w:lang w:val="sr-Latn-ME"/>
        </w:rPr>
      </w:pPr>
      <w:r w:rsidRPr="007C2FF4">
        <w:rPr>
          <w:noProof/>
          <w:sz w:val="22"/>
          <w:szCs w:val="22"/>
          <w:lang w:val="sr-Latn-ME"/>
        </w:rPr>
        <w:t>Lijek Simponi 100 mg se ne preporučuje za primjenu kod pacijenata koji su mlađi od 18 godina.</w:t>
      </w:r>
    </w:p>
    <w:p w14:paraId="17B8E0D0" w14:textId="77777777" w:rsidR="000B2A5C" w:rsidRPr="00FF1314" w:rsidRDefault="000B2A5C" w:rsidP="000B2A5C">
      <w:pPr>
        <w:tabs>
          <w:tab w:val="left" w:pos="540"/>
          <w:tab w:val="left" w:pos="569"/>
        </w:tabs>
        <w:rPr>
          <w:bCs/>
          <w:sz w:val="22"/>
          <w:szCs w:val="22"/>
          <w:u w:val="single"/>
          <w:lang w:val="sr-Latn-ME"/>
        </w:rPr>
      </w:pPr>
    </w:p>
    <w:p w14:paraId="2A95439C" w14:textId="77777777" w:rsidR="000B2A5C" w:rsidRPr="00FF1314" w:rsidRDefault="000B2A5C" w:rsidP="000B2A5C">
      <w:pPr>
        <w:tabs>
          <w:tab w:val="left" w:pos="540"/>
          <w:tab w:val="left" w:pos="569"/>
        </w:tabs>
        <w:rPr>
          <w:bCs/>
          <w:sz w:val="22"/>
          <w:szCs w:val="22"/>
          <w:u w:val="single"/>
          <w:lang w:val="sr-Latn-ME"/>
        </w:rPr>
      </w:pPr>
      <w:r w:rsidRPr="00FF1314">
        <w:rPr>
          <w:bCs/>
          <w:sz w:val="22"/>
          <w:szCs w:val="22"/>
          <w:u w:val="single"/>
          <w:lang w:val="sr-Latn-ME"/>
        </w:rPr>
        <w:t>Način primjene</w:t>
      </w:r>
    </w:p>
    <w:p w14:paraId="3B4F8C6B" w14:textId="77777777" w:rsidR="000B2A5C" w:rsidRPr="007C2FF4" w:rsidRDefault="000B2A5C" w:rsidP="000B2A5C">
      <w:pPr>
        <w:tabs>
          <w:tab w:val="left" w:pos="284"/>
        </w:tabs>
        <w:jc w:val="both"/>
        <w:rPr>
          <w:noProof/>
          <w:sz w:val="22"/>
          <w:szCs w:val="22"/>
          <w:lang w:val="sr-Latn-ME"/>
        </w:rPr>
      </w:pPr>
      <w:r w:rsidRPr="007C2FF4">
        <w:rPr>
          <w:noProof/>
          <w:sz w:val="22"/>
          <w:szCs w:val="22"/>
          <w:lang w:val="sr-Latn-ME"/>
        </w:rPr>
        <w:t>Lijek Simponi je namijenjen za subkutanu primjenu. Nakon odgovarajućeg osposobljavanja u tehnici primjene subkutane injekcije, pacijent može sam sebi da daje lijek Simponi ako ljekar procijeni da je to odgovarajuće ili mu, po potrebi, može dati dodatna uputstva. Pacijentima treba reći da ubrizgaju cijelu količinu lijeka Simponi u skladu sa opsežnim uputstvima za upotrebu lijeka koja su sastavni dio uputstva za upotrebu lijeka. Ukoliko je potrebno više injekcija, injekcije treba primjenjivati na različitim djelovima tijela.</w:t>
      </w:r>
    </w:p>
    <w:p w14:paraId="75CAA90E" w14:textId="77777777" w:rsidR="000B2A5C" w:rsidRPr="007C2FF4" w:rsidRDefault="000B2A5C" w:rsidP="000B2A5C">
      <w:pPr>
        <w:tabs>
          <w:tab w:val="left" w:pos="284"/>
        </w:tabs>
        <w:jc w:val="both"/>
        <w:rPr>
          <w:noProof/>
          <w:sz w:val="22"/>
          <w:szCs w:val="22"/>
          <w:lang w:val="sr-Latn-ME"/>
        </w:rPr>
      </w:pPr>
    </w:p>
    <w:p w14:paraId="7AC46329" w14:textId="77777777" w:rsidR="000B2A5C" w:rsidRPr="007C2FF4" w:rsidRDefault="000B2A5C" w:rsidP="000B2A5C">
      <w:pPr>
        <w:tabs>
          <w:tab w:val="left" w:pos="284"/>
        </w:tabs>
        <w:jc w:val="both"/>
        <w:rPr>
          <w:noProof/>
          <w:sz w:val="22"/>
          <w:szCs w:val="22"/>
          <w:lang w:val="sr-Latn-ME"/>
        </w:rPr>
      </w:pPr>
      <w:r w:rsidRPr="007C2FF4">
        <w:rPr>
          <w:noProof/>
          <w:sz w:val="22"/>
          <w:szCs w:val="22"/>
          <w:lang w:val="sr-Latn-ME"/>
        </w:rPr>
        <w:t>Uputstvo za upotrebu lijeka navedeno je u dijelu 6.6.</w:t>
      </w:r>
    </w:p>
    <w:p w14:paraId="5B1D1D72" w14:textId="77777777" w:rsidR="000B2A5C" w:rsidRPr="00FF1314" w:rsidRDefault="000B2A5C" w:rsidP="000B2A5C">
      <w:pPr>
        <w:tabs>
          <w:tab w:val="left" w:pos="540"/>
          <w:tab w:val="left" w:pos="569"/>
        </w:tabs>
        <w:rPr>
          <w:bCs/>
          <w:sz w:val="22"/>
          <w:szCs w:val="22"/>
          <w:lang w:val="sr-Latn-ME"/>
        </w:rPr>
      </w:pPr>
    </w:p>
    <w:p w14:paraId="06FF7A81" w14:textId="77777777" w:rsidR="000B2A5C" w:rsidRPr="00FF1314" w:rsidRDefault="000B2A5C" w:rsidP="000B2A5C">
      <w:pPr>
        <w:tabs>
          <w:tab w:val="left" w:pos="540"/>
          <w:tab w:val="left" w:pos="569"/>
        </w:tabs>
        <w:rPr>
          <w:b/>
          <w:bCs/>
          <w:sz w:val="22"/>
          <w:szCs w:val="22"/>
          <w:lang w:val="sr-Latn-ME"/>
        </w:rPr>
      </w:pPr>
      <w:r w:rsidRPr="00FF1314">
        <w:rPr>
          <w:b/>
          <w:bCs/>
          <w:sz w:val="22"/>
          <w:szCs w:val="22"/>
          <w:lang w:val="sr-Latn-ME"/>
        </w:rPr>
        <w:t xml:space="preserve">4.3. </w:t>
      </w:r>
      <w:r w:rsidRPr="00FF1314">
        <w:rPr>
          <w:b/>
          <w:bCs/>
          <w:sz w:val="22"/>
          <w:szCs w:val="22"/>
          <w:lang w:val="sr-Latn-ME"/>
        </w:rPr>
        <w:tab/>
        <w:t>Kontraindikacije</w:t>
      </w:r>
    </w:p>
    <w:p w14:paraId="120B6369" w14:textId="77777777" w:rsidR="000B2A5C" w:rsidRPr="00FF1314" w:rsidRDefault="000B2A5C" w:rsidP="000B2A5C">
      <w:pPr>
        <w:tabs>
          <w:tab w:val="left" w:pos="540"/>
          <w:tab w:val="left" w:pos="569"/>
        </w:tabs>
        <w:rPr>
          <w:b/>
          <w:bCs/>
          <w:sz w:val="22"/>
          <w:szCs w:val="22"/>
          <w:lang w:val="sr-Latn-ME"/>
        </w:rPr>
      </w:pPr>
    </w:p>
    <w:p w14:paraId="59F15DA1" w14:textId="77777777" w:rsidR="000B2A5C" w:rsidRPr="007C2FF4" w:rsidRDefault="000B2A5C" w:rsidP="000B2A5C">
      <w:pPr>
        <w:tabs>
          <w:tab w:val="left" w:pos="284"/>
        </w:tabs>
        <w:jc w:val="both"/>
        <w:rPr>
          <w:noProof/>
          <w:sz w:val="22"/>
          <w:szCs w:val="22"/>
          <w:lang w:val="sr-Latn-ME"/>
        </w:rPr>
      </w:pPr>
      <w:r w:rsidRPr="007C2FF4">
        <w:rPr>
          <w:noProof/>
          <w:sz w:val="22"/>
          <w:szCs w:val="22"/>
          <w:lang w:val="sr-Latn-ME"/>
        </w:rPr>
        <w:t xml:space="preserve">Preosjetljivost na aktivnu supstancu </w:t>
      </w:r>
      <w:r w:rsidRPr="007C2FF4">
        <w:rPr>
          <w:sz w:val="22"/>
          <w:szCs w:val="22"/>
          <w:lang w:val="sr-Latn-ME"/>
        </w:rPr>
        <w:t xml:space="preserve">ili na neku od pomoćnih supstanci </w:t>
      </w:r>
      <w:r w:rsidRPr="007C2FF4">
        <w:rPr>
          <w:noProof/>
          <w:sz w:val="22"/>
          <w:szCs w:val="22"/>
          <w:lang w:val="sr-Latn-ME"/>
        </w:rPr>
        <w:t>navedenih u dijelu 6.1.</w:t>
      </w:r>
    </w:p>
    <w:p w14:paraId="1BA1C2F5" w14:textId="77777777" w:rsidR="000B2A5C" w:rsidRPr="007C2FF4" w:rsidRDefault="000B2A5C" w:rsidP="000B2A5C">
      <w:pPr>
        <w:tabs>
          <w:tab w:val="left" w:pos="284"/>
        </w:tabs>
        <w:jc w:val="both"/>
        <w:rPr>
          <w:noProof/>
          <w:sz w:val="22"/>
          <w:szCs w:val="22"/>
          <w:lang w:val="sr-Latn-ME"/>
        </w:rPr>
      </w:pPr>
    </w:p>
    <w:p w14:paraId="27C0DFD6" w14:textId="77777777" w:rsidR="000B2A5C" w:rsidRPr="007C2FF4" w:rsidRDefault="000B2A5C" w:rsidP="000B2A5C">
      <w:pPr>
        <w:tabs>
          <w:tab w:val="left" w:pos="284"/>
        </w:tabs>
        <w:jc w:val="both"/>
        <w:rPr>
          <w:sz w:val="22"/>
          <w:szCs w:val="22"/>
          <w:lang w:val="sr-Latn-ME"/>
        </w:rPr>
      </w:pPr>
      <w:r w:rsidRPr="007C2FF4">
        <w:rPr>
          <w:sz w:val="22"/>
          <w:szCs w:val="22"/>
          <w:lang w:val="sr-Latn-ME"/>
        </w:rPr>
        <w:t>Aktivna tuberkuloza (TB) ili druge teške infekcije, poput sepse i oportunističkih infekcija (vidjeti dio 4.4).</w:t>
      </w:r>
    </w:p>
    <w:p w14:paraId="2D57DC60" w14:textId="77777777" w:rsidR="000B2A5C" w:rsidRPr="007C2FF4" w:rsidRDefault="000B2A5C" w:rsidP="000B2A5C">
      <w:pPr>
        <w:tabs>
          <w:tab w:val="left" w:pos="284"/>
        </w:tabs>
        <w:jc w:val="both"/>
        <w:rPr>
          <w:noProof/>
          <w:sz w:val="22"/>
          <w:szCs w:val="22"/>
          <w:lang w:val="sr-Latn-ME"/>
        </w:rPr>
      </w:pPr>
    </w:p>
    <w:p w14:paraId="1EAE1B3B" w14:textId="77777777" w:rsidR="000B2A5C" w:rsidRPr="007C2FF4" w:rsidRDefault="000B2A5C" w:rsidP="000B2A5C">
      <w:pPr>
        <w:widowControl w:val="0"/>
        <w:tabs>
          <w:tab w:val="left" w:pos="284"/>
        </w:tabs>
        <w:jc w:val="both"/>
        <w:rPr>
          <w:sz w:val="22"/>
          <w:szCs w:val="22"/>
          <w:lang w:val="sr-Latn-ME"/>
        </w:rPr>
      </w:pPr>
      <w:r w:rsidRPr="007C2FF4">
        <w:rPr>
          <w:sz w:val="22"/>
          <w:szCs w:val="22"/>
          <w:lang w:val="sr-Latn-ME"/>
        </w:rPr>
        <w:t>Umjerena ili teška insuficijencija miokarda (NYHA stepen III/IV) (vidjeti dio 4.4).</w:t>
      </w:r>
    </w:p>
    <w:p w14:paraId="19FE2419" w14:textId="77777777" w:rsidR="0072020E" w:rsidRPr="00FF1314" w:rsidRDefault="0072020E" w:rsidP="00480FB1">
      <w:pPr>
        <w:tabs>
          <w:tab w:val="left" w:pos="540"/>
          <w:tab w:val="left" w:pos="569"/>
        </w:tabs>
        <w:rPr>
          <w:bCs/>
          <w:sz w:val="22"/>
          <w:szCs w:val="22"/>
          <w:lang w:val="sr-Latn-ME"/>
        </w:rPr>
      </w:pPr>
    </w:p>
    <w:p w14:paraId="708FA576" w14:textId="77777777" w:rsidR="00F30B92" w:rsidRDefault="00F30B92" w:rsidP="00480FB1">
      <w:pPr>
        <w:tabs>
          <w:tab w:val="left" w:pos="540"/>
          <w:tab w:val="left" w:pos="569"/>
        </w:tabs>
        <w:rPr>
          <w:b/>
          <w:bCs/>
          <w:sz w:val="22"/>
          <w:szCs w:val="22"/>
          <w:lang w:val="sr-Latn-ME"/>
        </w:rPr>
      </w:pPr>
    </w:p>
    <w:p w14:paraId="1545DF29" w14:textId="77777777" w:rsidR="00F30B92" w:rsidRDefault="00F30B92" w:rsidP="00480FB1">
      <w:pPr>
        <w:tabs>
          <w:tab w:val="left" w:pos="540"/>
          <w:tab w:val="left" w:pos="569"/>
        </w:tabs>
        <w:rPr>
          <w:b/>
          <w:bCs/>
          <w:sz w:val="22"/>
          <w:szCs w:val="22"/>
          <w:lang w:val="sr-Latn-ME"/>
        </w:rPr>
      </w:pPr>
    </w:p>
    <w:p w14:paraId="4415197C" w14:textId="77777777" w:rsidR="00F30B92" w:rsidRDefault="00F30B92" w:rsidP="00480FB1">
      <w:pPr>
        <w:tabs>
          <w:tab w:val="left" w:pos="540"/>
          <w:tab w:val="left" w:pos="569"/>
        </w:tabs>
        <w:rPr>
          <w:b/>
          <w:bCs/>
          <w:sz w:val="22"/>
          <w:szCs w:val="22"/>
          <w:lang w:val="sr-Latn-ME"/>
        </w:rPr>
      </w:pPr>
    </w:p>
    <w:p w14:paraId="7C10CF82" w14:textId="77777777" w:rsidR="00F30B92" w:rsidRDefault="00F30B92" w:rsidP="00480FB1">
      <w:pPr>
        <w:tabs>
          <w:tab w:val="left" w:pos="540"/>
          <w:tab w:val="left" w:pos="569"/>
        </w:tabs>
        <w:rPr>
          <w:b/>
          <w:bCs/>
          <w:sz w:val="22"/>
          <w:szCs w:val="22"/>
          <w:lang w:val="sr-Latn-ME"/>
        </w:rPr>
      </w:pPr>
    </w:p>
    <w:p w14:paraId="45BB9D43" w14:textId="30B3C81D" w:rsidR="00411B4B" w:rsidRPr="00FF1314" w:rsidRDefault="00411B4B" w:rsidP="00480FB1">
      <w:pPr>
        <w:tabs>
          <w:tab w:val="left" w:pos="540"/>
          <w:tab w:val="left" w:pos="569"/>
        </w:tabs>
        <w:rPr>
          <w:b/>
          <w:bCs/>
          <w:sz w:val="22"/>
          <w:szCs w:val="22"/>
          <w:lang w:val="sr-Latn-ME"/>
        </w:rPr>
      </w:pPr>
      <w:r w:rsidRPr="00FF1314">
        <w:rPr>
          <w:b/>
          <w:bCs/>
          <w:sz w:val="22"/>
          <w:szCs w:val="22"/>
          <w:lang w:val="sr-Latn-ME"/>
        </w:rPr>
        <w:lastRenderedPageBreak/>
        <w:t xml:space="preserve">4.4. </w:t>
      </w:r>
      <w:r w:rsidR="00480FB1" w:rsidRPr="00FF1314">
        <w:rPr>
          <w:b/>
          <w:bCs/>
          <w:sz w:val="22"/>
          <w:szCs w:val="22"/>
          <w:lang w:val="sr-Latn-ME"/>
        </w:rPr>
        <w:tab/>
      </w:r>
      <w:r w:rsidRPr="00FF1314">
        <w:rPr>
          <w:b/>
          <w:bCs/>
          <w:sz w:val="22"/>
          <w:szCs w:val="22"/>
          <w:lang w:val="sr-Latn-ME"/>
        </w:rPr>
        <w:t>Posebna upozorenja i mjere opreza pri upotrebi lijeka</w:t>
      </w:r>
    </w:p>
    <w:p w14:paraId="498CE66F" w14:textId="0359FF40" w:rsidR="0072020E" w:rsidRPr="00FF1314" w:rsidRDefault="0072020E" w:rsidP="00480FB1">
      <w:pPr>
        <w:tabs>
          <w:tab w:val="left" w:pos="540"/>
          <w:tab w:val="left" w:pos="569"/>
        </w:tabs>
        <w:rPr>
          <w:bCs/>
          <w:sz w:val="22"/>
          <w:szCs w:val="22"/>
          <w:lang w:val="sr-Latn-ME"/>
        </w:rPr>
      </w:pPr>
    </w:p>
    <w:p w14:paraId="14CDCE62" w14:textId="77777777" w:rsidR="000B2A5C" w:rsidRPr="007C2FF4" w:rsidRDefault="000B2A5C" w:rsidP="000B2A5C">
      <w:pPr>
        <w:tabs>
          <w:tab w:val="left" w:pos="540"/>
          <w:tab w:val="left" w:pos="569"/>
        </w:tabs>
        <w:jc w:val="both"/>
        <w:rPr>
          <w:sz w:val="22"/>
          <w:szCs w:val="22"/>
          <w:u w:val="single"/>
          <w:lang w:val="sr-Latn-ME"/>
        </w:rPr>
      </w:pPr>
      <w:r w:rsidRPr="007C2FF4">
        <w:rPr>
          <w:sz w:val="22"/>
          <w:szCs w:val="22"/>
          <w:u w:val="single"/>
          <w:lang w:val="sr-Latn-ME"/>
        </w:rPr>
        <w:t>Sledljivost</w:t>
      </w:r>
    </w:p>
    <w:p w14:paraId="3673496A" w14:textId="77777777" w:rsidR="000B2A5C" w:rsidRPr="00DF79AE" w:rsidRDefault="000B2A5C" w:rsidP="000B2A5C">
      <w:pPr>
        <w:tabs>
          <w:tab w:val="left" w:pos="540"/>
          <w:tab w:val="left" w:pos="569"/>
        </w:tabs>
        <w:jc w:val="both"/>
        <w:rPr>
          <w:bCs/>
          <w:sz w:val="22"/>
          <w:szCs w:val="22"/>
          <w:lang w:val="sr-Latn-ME"/>
        </w:rPr>
      </w:pPr>
      <w:r w:rsidRPr="00DF79AE">
        <w:rPr>
          <w:bCs/>
          <w:sz w:val="22"/>
          <w:szCs w:val="22"/>
          <w:lang w:val="sr-Latn-ME"/>
        </w:rPr>
        <w:t>U cilju poboljšanja sledljivosti bioloških ljekova, naziv i broj serije primijenjenog lijeka treba da budu jasno zabilježeni.</w:t>
      </w:r>
    </w:p>
    <w:p w14:paraId="7FD429BE" w14:textId="77777777" w:rsidR="000B2A5C" w:rsidRPr="00DF79AE" w:rsidRDefault="000B2A5C" w:rsidP="000B2A5C">
      <w:pPr>
        <w:tabs>
          <w:tab w:val="left" w:pos="540"/>
          <w:tab w:val="left" w:pos="569"/>
        </w:tabs>
        <w:jc w:val="both"/>
        <w:rPr>
          <w:b/>
          <w:bCs/>
          <w:sz w:val="22"/>
          <w:szCs w:val="22"/>
          <w:lang w:val="sr-Latn-ME"/>
        </w:rPr>
      </w:pPr>
    </w:p>
    <w:p w14:paraId="09524DBF" w14:textId="77777777" w:rsidR="000B2A5C" w:rsidRPr="00DF79AE" w:rsidRDefault="000B2A5C" w:rsidP="000B2A5C">
      <w:pPr>
        <w:tabs>
          <w:tab w:val="left" w:pos="284"/>
        </w:tabs>
        <w:jc w:val="both"/>
        <w:rPr>
          <w:sz w:val="22"/>
          <w:szCs w:val="22"/>
          <w:u w:val="single"/>
          <w:lang w:val="sr-Latn-ME"/>
        </w:rPr>
      </w:pPr>
      <w:r w:rsidRPr="00DF79AE">
        <w:rPr>
          <w:sz w:val="22"/>
          <w:szCs w:val="22"/>
          <w:u w:val="single"/>
          <w:lang w:val="sr-Latn-ME"/>
        </w:rPr>
        <w:t>Infekcije</w:t>
      </w:r>
    </w:p>
    <w:p w14:paraId="357D4545" w14:textId="77777777" w:rsidR="000B2A5C" w:rsidRPr="00DF79AE" w:rsidRDefault="000B2A5C" w:rsidP="000B2A5C">
      <w:pPr>
        <w:tabs>
          <w:tab w:val="left" w:pos="284"/>
        </w:tabs>
        <w:jc w:val="both"/>
        <w:rPr>
          <w:sz w:val="22"/>
          <w:szCs w:val="22"/>
          <w:lang w:val="sr-Latn-ME"/>
        </w:rPr>
      </w:pPr>
      <w:r w:rsidRPr="00DF79AE">
        <w:rPr>
          <w:sz w:val="22"/>
          <w:szCs w:val="22"/>
          <w:lang w:val="sr-Latn-ME"/>
        </w:rPr>
        <w:t xml:space="preserve">Pacijente je neophodno pažljivo pratiti zbog infekcija, uključujući i tuberkulozu, prije, tokom i nakon liječenja golimumabom. Budući da eliminacija golimumaba može da traje i do 5 mjeseci, pacijent mora biti pod nadzorom i tokom tog perioda. Ako se kod pacijenta razvije ozbiljna infekcija ili sepsa, ne smije se nastaviti dalje sa liječenjem golimumabom (vidjeti dio 4.3). </w:t>
      </w:r>
    </w:p>
    <w:p w14:paraId="21D73A57" w14:textId="77777777" w:rsidR="000B2A5C" w:rsidRPr="00DF79AE" w:rsidRDefault="000B2A5C" w:rsidP="000B2A5C">
      <w:pPr>
        <w:tabs>
          <w:tab w:val="left" w:pos="284"/>
        </w:tabs>
        <w:jc w:val="both"/>
        <w:rPr>
          <w:sz w:val="22"/>
          <w:szCs w:val="22"/>
          <w:lang w:val="sr-Latn-ME"/>
        </w:rPr>
      </w:pPr>
    </w:p>
    <w:p w14:paraId="58E5E004" w14:textId="77777777" w:rsidR="000B2A5C" w:rsidRPr="00DF79AE" w:rsidRDefault="000B2A5C" w:rsidP="000B2A5C">
      <w:pPr>
        <w:tabs>
          <w:tab w:val="left" w:pos="284"/>
        </w:tabs>
        <w:jc w:val="both"/>
        <w:rPr>
          <w:sz w:val="22"/>
          <w:szCs w:val="22"/>
          <w:lang w:val="sr-Latn-ME" w:eastAsia="sv-SE"/>
        </w:rPr>
      </w:pPr>
      <w:r w:rsidRPr="00DF79AE">
        <w:rPr>
          <w:sz w:val="22"/>
          <w:szCs w:val="22"/>
          <w:lang w:val="sr-Latn-ME"/>
        </w:rPr>
        <w:t>Golimumab se ne smije davati pacijentima s klinički značajnom aktivnom infekcijom. P</w:t>
      </w:r>
      <w:r w:rsidRPr="00DF79AE">
        <w:rPr>
          <w:sz w:val="22"/>
          <w:szCs w:val="22"/>
          <w:lang w:val="sr-Latn-ME" w:eastAsia="sv-SE"/>
        </w:rPr>
        <w:t>otreban je oprez kad se razmatra mogućnost primjene golimumaba kod pacijenata s hroničnim ili rekurentnim infekcijama.</w:t>
      </w:r>
    </w:p>
    <w:p w14:paraId="05CFCD14" w14:textId="77777777" w:rsidR="000B2A5C" w:rsidRPr="00DF79AE" w:rsidRDefault="000B2A5C" w:rsidP="000B2A5C">
      <w:pPr>
        <w:tabs>
          <w:tab w:val="left" w:pos="284"/>
        </w:tabs>
        <w:adjustRightInd w:val="0"/>
        <w:jc w:val="both"/>
        <w:rPr>
          <w:sz w:val="22"/>
          <w:szCs w:val="22"/>
          <w:lang w:val="sr-Latn-ME" w:eastAsia="sv-SE"/>
        </w:rPr>
      </w:pPr>
      <w:r w:rsidRPr="00DF79AE">
        <w:rPr>
          <w:sz w:val="22"/>
          <w:szCs w:val="22"/>
          <w:lang w:val="sr-Latn-ME" w:eastAsia="sv-SE"/>
        </w:rPr>
        <w:t>Pacijente treba upoznati s potencijalnim faktorima rizika za razvoj infekcije i savjetovati ih da na odgovarajući način izbjegavaju te faktore.</w:t>
      </w:r>
    </w:p>
    <w:p w14:paraId="0FFB20A8" w14:textId="77777777" w:rsidR="000B2A5C" w:rsidRPr="00DF79AE" w:rsidRDefault="000B2A5C" w:rsidP="000B2A5C">
      <w:pPr>
        <w:tabs>
          <w:tab w:val="left" w:pos="284"/>
        </w:tabs>
        <w:jc w:val="both"/>
        <w:rPr>
          <w:sz w:val="22"/>
          <w:szCs w:val="22"/>
          <w:lang w:val="sr-Latn-ME"/>
        </w:rPr>
      </w:pPr>
    </w:p>
    <w:p w14:paraId="30207CD6" w14:textId="77777777" w:rsidR="000B2A5C" w:rsidRPr="00DF79AE" w:rsidRDefault="000B2A5C" w:rsidP="000B2A5C">
      <w:pPr>
        <w:tabs>
          <w:tab w:val="left" w:pos="284"/>
        </w:tabs>
        <w:jc w:val="both"/>
        <w:rPr>
          <w:sz w:val="22"/>
          <w:szCs w:val="22"/>
          <w:lang w:val="sr-Latn-ME"/>
        </w:rPr>
      </w:pPr>
      <w:r w:rsidRPr="00DF79AE">
        <w:rPr>
          <w:sz w:val="22"/>
          <w:szCs w:val="22"/>
          <w:lang w:val="sr-Latn-ME"/>
        </w:rPr>
        <w:t>Pacijenti koji uzimaju TNF blokatore skloniji su ozbiljnim infekcijama.</w:t>
      </w:r>
    </w:p>
    <w:p w14:paraId="6961F33C" w14:textId="77777777" w:rsidR="000B2A5C" w:rsidRPr="00DF79AE" w:rsidRDefault="000B2A5C" w:rsidP="000B2A5C">
      <w:pPr>
        <w:tabs>
          <w:tab w:val="left" w:pos="284"/>
        </w:tabs>
        <w:jc w:val="both"/>
        <w:rPr>
          <w:sz w:val="22"/>
          <w:szCs w:val="22"/>
          <w:lang w:val="sr-Latn-ME"/>
        </w:rPr>
      </w:pPr>
      <w:r w:rsidRPr="00DF79AE">
        <w:rPr>
          <w:sz w:val="22"/>
          <w:szCs w:val="22"/>
          <w:lang w:val="sr-Latn-ME"/>
        </w:rPr>
        <w:t>Kod pacijenata liječenih golimumabom zabilježene su bakterijske (uključujući sepsu i pneumoniju), mikobakterijske (uključujući TB), invazivne gljivične i oportunističke infekcije, ponekad sa smrtnim ishodom. Neke od tih ozbiljnih infekcija nastale su kod pacijenata koji su istovremeno liječeni imunosupresivnim ljekovima, što, uz osnovnu bolest, može povećati njihovu sklonost ka infekcijama.</w:t>
      </w:r>
    </w:p>
    <w:p w14:paraId="6DBD284D" w14:textId="77777777" w:rsidR="000B2A5C" w:rsidRPr="00DF79AE" w:rsidRDefault="000B2A5C" w:rsidP="000B2A5C">
      <w:pPr>
        <w:tabs>
          <w:tab w:val="left" w:pos="284"/>
        </w:tabs>
        <w:jc w:val="both"/>
        <w:rPr>
          <w:sz w:val="22"/>
          <w:szCs w:val="22"/>
          <w:lang w:val="sr-Latn-ME"/>
        </w:rPr>
      </w:pPr>
    </w:p>
    <w:p w14:paraId="0CBFF435" w14:textId="77777777" w:rsidR="000B2A5C" w:rsidRPr="00DF79AE" w:rsidRDefault="000B2A5C" w:rsidP="000B2A5C">
      <w:pPr>
        <w:tabs>
          <w:tab w:val="left" w:pos="284"/>
        </w:tabs>
        <w:jc w:val="both"/>
        <w:rPr>
          <w:sz w:val="22"/>
          <w:szCs w:val="22"/>
          <w:lang w:val="sr-Latn-ME"/>
        </w:rPr>
      </w:pPr>
      <w:r w:rsidRPr="00DF79AE">
        <w:rPr>
          <w:sz w:val="22"/>
          <w:szCs w:val="22"/>
          <w:lang w:val="sr-Latn-ME"/>
        </w:rPr>
        <w:t xml:space="preserve">Pacijente koji tokom liječenja golimumabom razviju novu infekciju treba pažljivo pratiti i podvrgnuti kompletnom dijagnostičkom postupku. Liječenje golimumabom treba prekinuti ako pacijent razvije novu ozbiljnu infekciju ili sepsu te treba uvesti odgovarajuću antimikrobnu ili antifungalnu terapiju sve dok infekcija ne bude pod kontrolom. </w:t>
      </w:r>
    </w:p>
    <w:p w14:paraId="3B084DD3" w14:textId="77777777" w:rsidR="000B2A5C" w:rsidRPr="00DF79AE" w:rsidRDefault="000B2A5C" w:rsidP="000B2A5C">
      <w:pPr>
        <w:tabs>
          <w:tab w:val="left" w:pos="284"/>
        </w:tabs>
        <w:jc w:val="both"/>
        <w:rPr>
          <w:sz w:val="22"/>
          <w:szCs w:val="22"/>
          <w:lang w:val="sr-Latn-ME"/>
        </w:rPr>
      </w:pPr>
    </w:p>
    <w:p w14:paraId="489E76D0" w14:textId="77777777" w:rsidR="000B2A5C" w:rsidRPr="00DF79AE" w:rsidRDefault="000B2A5C" w:rsidP="000B2A5C">
      <w:pPr>
        <w:tabs>
          <w:tab w:val="left" w:pos="284"/>
        </w:tabs>
        <w:jc w:val="both"/>
        <w:rPr>
          <w:sz w:val="22"/>
          <w:szCs w:val="22"/>
          <w:lang w:val="hr-HR"/>
        </w:rPr>
      </w:pPr>
      <w:r w:rsidRPr="00DF79AE">
        <w:rPr>
          <w:sz w:val="22"/>
          <w:szCs w:val="22"/>
          <w:lang w:val="hr-HR"/>
        </w:rPr>
        <w:t xml:space="preserve">Kod pacijenata koji su boravili ili putovali u područja za koja su karakteristične endemske invazivne gljivične infekcije, kao što su histoplazmoza, kokcidioidomikoza ili blastomikoza, treba pažljivo procijeniti odnos koristi i rizika liječenja </w:t>
      </w:r>
      <w:r w:rsidRPr="00DF79AE">
        <w:rPr>
          <w:sz w:val="22"/>
          <w:szCs w:val="22"/>
          <w:lang w:val="pt-BR"/>
        </w:rPr>
        <w:t>golimumabom</w:t>
      </w:r>
      <w:r w:rsidRPr="00DF79AE">
        <w:rPr>
          <w:sz w:val="22"/>
          <w:szCs w:val="22"/>
          <w:lang w:val="hr-HR"/>
        </w:rPr>
        <w:t xml:space="preserve">, pre uvođenja </w:t>
      </w:r>
      <w:r w:rsidRPr="00DF79AE">
        <w:rPr>
          <w:sz w:val="22"/>
          <w:szCs w:val="22"/>
          <w:lang w:val="pt-BR"/>
        </w:rPr>
        <w:t xml:space="preserve">golimumaba </w:t>
      </w:r>
      <w:r w:rsidRPr="00DF79AE">
        <w:rPr>
          <w:sz w:val="22"/>
          <w:szCs w:val="22"/>
          <w:lang w:val="hr-HR"/>
        </w:rPr>
        <w:t xml:space="preserve">u terapiju. Ako se kod rizičnih pacijenata koji su liječeni </w:t>
      </w:r>
      <w:r w:rsidRPr="00DF79AE">
        <w:rPr>
          <w:sz w:val="22"/>
          <w:szCs w:val="22"/>
          <w:lang w:val="pt-BR"/>
        </w:rPr>
        <w:t xml:space="preserve">golimumabom </w:t>
      </w:r>
      <w:r w:rsidRPr="00DF79AE">
        <w:rPr>
          <w:sz w:val="22"/>
          <w:szCs w:val="22"/>
          <w:lang w:val="hr-HR"/>
        </w:rPr>
        <w:t>javi ozbiljna sistemska bolest, treba posumnjati na invazivnu gljivičnu infekciju. Za dijagnozu i primenu empirijske antimikotičke terapije kod ovih pacijenata treba, ako je moguće, potražiti savjet ljekara specijalizovanog za lečenje pacijenata sa invazivnim gljivičnim infekcijama.</w:t>
      </w:r>
    </w:p>
    <w:p w14:paraId="0240D744" w14:textId="77777777" w:rsidR="000B2A5C" w:rsidRPr="00DF79AE" w:rsidRDefault="000B2A5C" w:rsidP="000B2A5C">
      <w:pPr>
        <w:tabs>
          <w:tab w:val="left" w:pos="284"/>
        </w:tabs>
        <w:jc w:val="both"/>
        <w:rPr>
          <w:i/>
          <w:iCs/>
          <w:sz w:val="22"/>
          <w:szCs w:val="22"/>
          <w:lang w:val="sr-Latn-ME"/>
        </w:rPr>
      </w:pPr>
    </w:p>
    <w:p w14:paraId="0C8F0D0B" w14:textId="77777777" w:rsidR="000B2A5C" w:rsidRPr="00DB03E9" w:rsidRDefault="000B2A5C" w:rsidP="000B2A5C">
      <w:pPr>
        <w:rPr>
          <w:sz w:val="22"/>
          <w:szCs w:val="22"/>
          <w:u w:val="single"/>
          <w:lang w:val="sr-Latn-ME"/>
        </w:rPr>
      </w:pPr>
      <w:r w:rsidRPr="00DB03E9">
        <w:rPr>
          <w:sz w:val="22"/>
          <w:szCs w:val="22"/>
          <w:u w:val="single"/>
          <w:lang w:val="sr-Latn-ME"/>
        </w:rPr>
        <w:t>Tuberkuloza</w:t>
      </w:r>
    </w:p>
    <w:p w14:paraId="66F42175" w14:textId="77777777" w:rsidR="000B2A5C" w:rsidRPr="00DF79AE" w:rsidRDefault="000B2A5C" w:rsidP="000B2A5C">
      <w:pPr>
        <w:tabs>
          <w:tab w:val="left" w:pos="284"/>
          <w:tab w:val="left" w:pos="567"/>
        </w:tabs>
        <w:jc w:val="both"/>
        <w:rPr>
          <w:sz w:val="22"/>
          <w:szCs w:val="22"/>
          <w:lang w:val="sr-Latn-ME"/>
        </w:rPr>
      </w:pPr>
      <w:r w:rsidRPr="00DF79AE">
        <w:rPr>
          <w:sz w:val="22"/>
          <w:szCs w:val="22"/>
          <w:lang w:val="sr-Latn-ME"/>
        </w:rPr>
        <w:t xml:space="preserve">Kod pacijenata liječenih golimumabom zabilježeni su slučajevi tuberkuloze. Treba naglasiti da je u većini slučajeva ustanovljena ekstrapulmonarna tuberkuloza i da se radilo o lokalizovanom ili diseminovanom obliku bolesti. </w:t>
      </w:r>
    </w:p>
    <w:p w14:paraId="3EB47AC2" w14:textId="77777777" w:rsidR="000B2A5C" w:rsidRPr="00DF79AE" w:rsidRDefault="000B2A5C" w:rsidP="000B2A5C">
      <w:pPr>
        <w:tabs>
          <w:tab w:val="left" w:pos="284"/>
          <w:tab w:val="left" w:pos="567"/>
        </w:tabs>
        <w:jc w:val="both"/>
        <w:rPr>
          <w:sz w:val="22"/>
          <w:szCs w:val="22"/>
          <w:lang w:val="sr-Latn-ME"/>
        </w:rPr>
      </w:pPr>
    </w:p>
    <w:p w14:paraId="2CD6394C" w14:textId="77777777" w:rsidR="000B2A5C" w:rsidRPr="00DF79AE" w:rsidRDefault="000B2A5C" w:rsidP="000B2A5C">
      <w:pPr>
        <w:tabs>
          <w:tab w:val="left" w:pos="284"/>
          <w:tab w:val="left" w:pos="567"/>
        </w:tabs>
        <w:jc w:val="both"/>
        <w:rPr>
          <w:sz w:val="22"/>
          <w:szCs w:val="22"/>
          <w:lang w:val="sr-Latn-ME"/>
        </w:rPr>
      </w:pPr>
      <w:r w:rsidRPr="00DF79AE">
        <w:rPr>
          <w:sz w:val="22"/>
          <w:szCs w:val="22"/>
          <w:lang w:val="sr-Latn-ME"/>
        </w:rPr>
        <w:t xml:space="preserve">Prije započinjanja terapije golimumabom, sve pacijente treba provjeriti na tuberkulozu, aktivnu i neaktivnu („latentnu“). Ta provjera treba da uključi detaljnu anamnezu s podacima o obolijevanju od tuberkuloze ili mogućem ranijem kontaktu s tuberkulozom i ranijoj i/ili sadašnjoj imunosupresivnoj terapiji. Odgovarajuće preglede, kao što su kožni tuberkulinski test ili pregledi krvi kao i rendgen pluća, treba sprovesti kod svih pacijenata (uvažavajući lokalne preporuke). Preporučuje se da se ti pregledi zabilježe u Karticu sa podsjetnikom za pacijenta. Podsjećamo ljekare koji propisuju lijek na rizik od lažno negativnih </w:t>
      </w:r>
      <w:r w:rsidRPr="00DF79AE">
        <w:rPr>
          <w:sz w:val="22"/>
          <w:szCs w:val="22"/>
          <w:lang w:val="hr-HR"/>
        </w:rPr>
        <w:t>kožnih</w:t>
      </w:r>
      <w:r w:rsidRPr="00DF79AE">
        <w:rPr>
          <w:sz w:val="22"/>
          <w:szCs w:val="22"/>
          <w:lang w:val="sr-Latn-ME"/>
        </w:rPr>
        <w:t xml:space="preserve"> tuberkulinskih testova, posebno kod teško bolesnih ili imunokompromitovanih pacijenata.</w:t>
      </w:r>
    </w:p>
    <w:p w14:paraId="3160E3C3" w14:textId="77777777" w:rsidR="000B2A5C" w:rsidRPr="00DF79AE" w:rsidRDefault="000B2A5C" w:rsidP="000B2A5C">
      <w:pPr>
        <w:tabs>
          <w:tab w:val="left" w:pos="284"/>
          <w:tab w:val="left" w:pos="567"/>
        </w:tabs>
        <w:jc w:val="both"/>
        <w:rPr>
          <w:snapToGrid w:val="0"/>
          <w:sz w:val="22"/>
          <w:szCs w:val="22"/>
          <w:lang w:val="sr-Latn-ME"/>
        </w:rPr>
      </w:pPr>
    </w:p>
    <w:p w14:paraId="6D0E90CB" w14:textId="77777777" w:rsidR="000B2A5C" w:rsidRPr="00DF79AE" w:rsidRDefault="000B2A5C" w:rsidP="000B2A5C">
      <w:pPr>
        <w:tabs>
          <w:tab w:val="left" w:pos="284"/>
        </w:tabs>
        <w:jc w:val="both"/>
        <w:rPr>
          <w:sz w:val="22"/>
          <w:szCs w:val="22"/>
          <w:lang w:val="sr-Latn-ME"/>
        </w:rPr>
      </w:pPr>
      <w:r w:rsidRPr="00DF79AE">
        <w:rPr>
          <w:sz w:val="22"/>
          <w:szCs w:val="22"/>
          <w:lang w:val="sr-Latn-ME"/>
        </w:rPr>
        <w:t>Ako je dijagnostifikovana aktivna tuberkuloza, ne smije se započeti liječenje golimumabom (vidjeti dio 4.3).</w:t>
      </w:r>
    </w:p>
    <w:p w14:paraId="62D5BD98" w14:textId="77777777" w:rsidR="000B2A5C" w:rsidRPr="00DF79AE" w:rsidRDefault="000B2A5C" w:rsidP="000B2A5C">
      <w:pPr>
        <w:tabs>
          <w:tab w:val="left" w:pos="284"/>
          <w:tab w:val="left" w:pos="567"/>
        </w:tabs>
        <w:jc w:val="both"/>
        <w:rPr>
          <w:sz w:val="22"/>
          <w:szCs w:val="22"/>
          <w:lang w:val="sr-Latn-ME"/>
        </w:rPr>
      </w:pPr>
    </w:p>
    <w:p w14:paraId="2EC47F22" w14:textId="1088D853" w:rsidR="000B2A5C" w:rsidRPr="00DF79AE" w:rsidRDefault="000B2A5C" w:rsidP="00F30B92">
      <w:pPr>
        <w:tabs>
          <w:tab w:val="left" w:pos="284"/>
        </w:tabs>
        <w:jc w:val="both"/>
        <w:rPr>
          <w:sz w:val="22"/>
          <w:szCs w:val="22"/>
          <w:lang w:val="sr-Latn-ME"/>
        </w:rPr>
      </w:pPr>
      <w:r w:rsidRPr="00DF79AE">
        <w:rPr>
          <w:sz w:val="22"/>
          <w:szCs w:val="22"/>
          <w:lang w:val="sr-Latn-ME"/>
        </w:rPr>
        <w:t>Ako se sumnja na latentnu tuberkulozu, treba potražiti savjet ljekara specijalizovanog za liječenje tuberkuloze. U svim situacijama opisanim u daljem tekstu, potrebno je pažljivo odmjeriti odnos rizika i koristi liječenja golimumabom.</w:t>
      </w:r>
    </w:p>
    <w:p w14:paraId="24705768" w14:textId="34792FF7" w:rsidR="000B2A5C" w:rsidRPr="00DF79AE" w:rsidRDefault="000B2A5C" w:rsidP="000B2A5C">
      <w:pPr>
        <w:tabs>
          <w:tab w:val="left" w:pos="284"/>
          <w:tab w:val="left" w:pos="567"/>
        </w:tabs>
        <w:jc w:val="both"/>
        <w:rPr>
          <w:sz w:val="22"/>
          <w:szCs w:val="22"/>
          <w:lang w:val="sr-Latn-ME"/>
        </w:rPr>
      </w:pPr>
      <w:r w:rsidRPr="00DF79AE">
        <w:rPr>
          <w:sz w:val="22"/>
          <w:szCs w:val="22"/>
          <w:lang w:val="hr-HR"/>
        </w:rPr>
        <w:lastRenderedPageBreak/>
        <w:t xml:space="preserve">Ako je neaktivna („latentna“) tuberkuloza dijagnostikovana, pre </w:t>
      </w:r>
      <w:r w:rsidRPr="00DF79AE">
        <w:rPr>
          <w:sz w:val="22"/>
          <w:szCs w:val="22"/>
          <w:lang w:val="pt-BR"/>
        </w:rPr>
        <w:t xml:space="preserve">uvođenja golimumaba </w:t>
      </w:r>
      <w:r w:rsidRPr="00DF79AE">
        <w:rPr>
          <w:sz w:val="22"/>
          <w:szCs w:val="22"/>
          <w:lang w:val="hr-HR"/>
        </w:rPr>
        <w:t>mora se početi lije</w:t>
      </w:r>
      <w:r w:rsidRPr="00DF79AE">
        <w:rPr>
          <w:sz w:val="22"/>
          <w:szCs w:val="22"/>
          <w:lang w:val="sr-Latn-RS"/>
        </w:rPr>
        <w:t>čenje</w:t>
      </w:r>
      <w:r w:rsidRPr="00DF79AE">
        <w:rPr>
          <w:sz w:val="22"/>
          <w:szCs w:val="22"/>
          <w:lang w:val="hr-HR"/>
        </w:rPr>
        <w:t xml:space="preserve"> latentne tuberkuloze anti-tuberkuloznom terapijom, u skladu sa lokalnim preporukama.</w:t>
      </w:r>
    </w:p>
    <w:p w14:paraId="04D60049" w14:textId="77777777" w:rsidR="000B2A5C" w:rsidRPr="00DF79AE" w:rsidRDefault="000B2A5C" w:rsidP="000B2A5C">
      <w:pPr>
        <w:tabs>
          <w:tab w:val="left" w:pos="284"/>
          <w:tab w:val="left" w:pos="567"/>
        </w:tabs>
        <w:jc w:val="both"/>
        <w:rPr>
          <w:sz w:val="22"/>
          <w:szCs w:val="22"/>
          <w:lang w:val="hr-HR"/>
        </w:rPr>
      </w:pPr>
      <w:r w:rsidRPr="00DF79AE">
        <w:rPr>
          <w:sz w:val="22"/>
          <w:szCs w:val="22"/>
          <w:lang w:val="hr-HR"/>
        </w:rPr>
        <w:t xml:space="preserve">Kod pacijenata koji imaju nekoliko faktora rizika ili značajne faktore rizika za tuberkulozu i imaju negativan test na latentnu tuberkulozu, anti-tuberkuloznu terapiju treba uzeti u obzir prije </w:t>
      </w:r>
      <w:r w:rsidRPr="00DF79AE">
        <w:rPr>
          <w:sz w:val="22"/>
          <w:szCs w:val="22"/>
          <w:lang w:val="pt-BR"/>
        </w:rPr>
        <w:t>uvođenja golimumaba</w:t>
      </w:r>
      <w:r w:rsidRPr="00DF79AE">
        <w:rPr>
          <w:sz w:val="22"/>
          <w:szCs w:val="22"/>
          <w:lang w:val="hr-HR"/>
        </w:rPr>
        <w:t xml:space="preserve">. Primjenu </w:t>
      </w:r>
      <w:r w:rsidRPr="00DF79AE">
        <w:rPr>
          <w:sz w:val="22"/>
          <w:szCs w:val="22"/>
          <w:lang w:val="pt-BR"/>
        </w:rPr>
        <w:t xml:space="preserve">anti-tuberkulozne terapije </w:t>
      </w:r>
      <w:r w:rsidRPr="00DF79AE">
        <w:rPr>
          <w:sz w:val="22"/>
          <w:szCs w:val="22"/>
          <w:lang w:val="hr-HR"/>
        </w:rPr>
        <w:t xml:space="preserve">treba uzeti u obzir prije  </w:t>
      </w:r>
      <w:r w:rsidRPr="00DF79AE">
        <w:rPr>
          <w:sz w:val="22"/>
          <w:szCs w:val="22"/>
          <w:lang w:val="pt-BR"/>
        </w:rPr>
        <w:t>uvođenja golimumaba</w:t>
      </w:r>
      <w:r w:rsidRPr="00DF79AE" w:rsidDel="000B1F65">
        <w:rPr>
          <w:sz w:val="22"/>
          <w:szCs w:val="22"/>
          <w:lang w:val="hr-HR"/>
        </w:rPr>
        <w:t xml:space="preserve"> </w:t>
      </w:r>
      <w:r w:rsidRPr="00DF79AE">
        <w:rPr>
          <w:sz w:val="22"/>
          <w:szCs w:val="22"/>
          <w:lang w:val="hr-HR"/>
        </w:rPr>
        <w:t>kod pacijenata koji su prethodno imali latentan ili aktivan oblik tuberkuloze i kod kojih odgovarajuća terapija nije bila potvrđena.</w:t>
      </w:r>
    </w:p>
    <w:p w14:paraId="20D59948" w14:textId="77777777" w:rsidR="000B2A5C" w:rsidRPr="00DF79AE" w:rsidRDefault="000B2A5C" w:rsidP="000B2A5C">
      <w:pPr>
        <w:tabs>
          <w:tab w:val="left" w:pos="284"/>
          <w:tab w:val="left" w:pos="567"/>
        </w:tabs>
        <w:jc w:val="both"/>
        <w:rPr>
          <w:sz w:val="22"/>
          <w:szCs w:val="22"/>
          <w:lang w:val="sr-Latn-ME"/>
        </w:rPr>
      </w:pPr>
    </w:p>
    <w:p w14:paraId="3D6631CD" w14:textId="77777777" w:rsidR="000B2A5C" w:rsidRPr="00DF79AE" w:rsidRDefault="000B2A5C" w:rsidP="000B2A5C">
      <w:pPr>
        <w:tabs>
          <w:tab w:val="left" w:pos="284"/>
          <w:tab w:val="left" w:pos="567"/>
        </w:tabs>
        <w:jc w:val="both"/>
        <w:rPr>
          <w:sz w:val="22"/>
          <w:szCs w:val="22"/>
          <w:lang w:val="sr-Latn-ME"/>
        </w:rPr>
      </w:pPr>
      <w:r w:rsidRPr="00DF79AE">
        <w:rPr>
          <w:sz w:val="22"/>
          <w:szCs w:val="22"/>
          <w:lang w:val="sr-Latn-ME"/>
        </w:rPr>
        <w:t xml:space="preserve">Slučajevi aktivne tuberkuloze su se javljali kod pacijenata liječenih golimumabom tokom i nakon terapije latentne tuberkuloze. Kod pacijenata koji primaju </w:t>
      </w:r>
      <w:r w:rsidRPr="00DF79AE">
        <w:rPr>
          <w:sz w:val="22"/>
          <w:szCs w:val="22"/>
          <w:lang w:val="pt-BR"/>
        </w:rPr>
        <w:t xml:space="preserve">golimumab </w:t>
      </w:r>
      <w:r w:rsidRPr="00DF79AE">
        <w:rPr>
          <w:sz w:val="22"/>
          <w:szCs w:val="22"/>
          <w:lang w:val="sr-Latn-ME"/>
        </w:rPr>
        <w:t>treba pažlјivo pratiti znake i simptome aktivne tuberkuloze, uklјučujući i pacijente koji su imali negativne rezulatate testa na latentnu tuberkulozu, pacijente koji su na terapiji zbog latentne tuberkuloze, ili pacijente koji su prethodno bili liječeni zbog tuberkuloze.</w:t>
      </w:r>
    </w:p>
    <w:p w14:paraId="14916CBA" w14:textId="77777777" w:rsidR="000B2A5C" w:rsidRPr="00DF79AE" w:rsidRDefault="000B2A5C" w:rsidP="000B2A5C">
      <w:pPr>
        <w:tabs>
          <w:tab w:val="left" w:pos="284"/>
          <w:tab w:val="left" w:pos="567"/>
        </w:tabs>
        <w:jc w:val="both"/>
        <w:rPr>
          <w:sz w:val="22"/>
          <w:szCs w:val="22"/>
          <w:lang w:val="sr-Latn-ME"/>
        </w:rPr>
      </w:pPr>
    </w:p>
    <w:p w14:paraId="2A04DA96" w14:textId="77777777" w:rsidR="000B2A5C" w:rsidRPr="00DF79AE" w:rsidRDefault="000B2A5C" w:rsidP="000B2A5C">
      <w:pPr>
        <w:tabs>
          <w:tab w:val="left" w:pos="284"/>
          <w:tab w:val="left" w:pos="567"/>
        </w:tabs>
        <w:jc w:val="both"/>
        <w:rPr>
          <w:sz w:val="22"/>
          <w:szCs w:val="22"/>
          <w:lang w:val="sr-Latn-ME"/>
        </w:rPr>
      </w:pPr>
      <w:r w:rsidRPr="00DF79AE">
        <w:rPr>
          <w:sz w:val="22"/>
          <w:szCs w:val="22"/>
          <w:lang w:val="sr-Latn-ME"/>
        </w:rPr>
        <w:t xml:space="preserve">Sve pacijente je potrebno posavjetovati da se jave ljekaru ako se za vrijeme ili nakon liječenja </w:t>
      </w:r>
      <w:r w:rsidRPr="00DF79AE">
        <w:rPr>
          <w:sz w:val="22"/>
          <w:szCs w:val="22"/>
          <w:lang w:val="pt-BR"/>
        </w:rPr>
        <w:t>golimumabom</w:t>
      </w:r>
      <w:r w:rsidRPr="00DF79AE">
        <w:rPr>
          <w:sz w:val="22"/>
          <w:szCs w:val="22"/>
          <w:lang w:val="sr-Latn-ME"/>
        </w:rPr>
        <w:t>pojave znaci/simptomi koji bi mogli ukazivati na tuberkulozu (npr. uporni kašalj, gubitak na težini, subfebrilnost).</w:t>
      </w:r>
    </w:p>
    <w:p w14:paraId="17427D1E" w14:textId="77777777" w:rsidR="000B2A5C" w:rsidRPr="00DF79AE" w:rsidRDefault="000B2A5C" w:rsidP="000B2A5C">
      <w:pPr>
        <w:tabs>
          <w:tab w:val="left" w:pos="284"/>
        </w:tabs>
        <w:jc w:val="both"/>
        <w:rPr>
          <w:i/>
          <w:sz w:val="22"/>
          <w:szCs w:val="22"/>
          <w:lang w:val="sr-Latn-ME"/>
        </w:rPr>
      </w:pPr>
    </w:p>
    <w:p w14:paraId="6CC6AC75" w14:textId="77777777" w:rsidR="000B2A5C" w:rsidRPr="00DF79AE" w:rsidRDefault="000B2A5C" w:rsidP="000B2A5C">
      <w:pPr>
        <w:tabs>
          <w:tab w:val="left" w:pos="284"/>
        </w:tabs>
        <w:jc w:val="both"/>
        <w:rPr>
          <w:i/>
          <w:sz w:val="22"/>
          <w:szCs w:val="22"/>
          <w:lang w:val="sr-Latn-ME"/>
        </w:rPr>
      </w:pPr>
      <w:r w:rsidRPr="00DF79AE">
        <w:rPr>
          <w:i/>
          <w:sz w:val="22"/>
          <w:szCs w:val="22"/>
          <w:lang w:val="sr-Latn-ME"/>
        </w:rPr>
        <w:t>Reaktivacija virusa hepatitisa B (HBV)</w:t>
      </w:r>
    </w:p>
    <w:p w14:paraId="1CD2E610" w14:textId="77777777" w:rsidR="000B2A5C" w:rsidRPr="00DF79AE" w:rsidRDefault="000B2A5C" w:rsidP="000B2A5C">
      <w:pPr>
        <w:tabs>
          <w:tab w:val="left" w:pos="284"/>
        </w:tabs>
        <w:jc w:val="both"/>
        <w:rPr>
          <w:sz w:val="22"/>
          <w:szCs w:val="22"/>
          <w:lang w:val="sr-Latn-ME"/>
        </w:rPr>
      </w:pPr>
      <w:r w:rsidRPr="00DF79AE">
        <w:rPr>
          <w:sz w:val="22"/>
          <w:szCs w:val="22"/>
          <w:lang w:val="sr-Latn-ME"/>
        </w:rPr>
        <w:t xml:space="preserve">Ponovno aktiviranje hepatitisa B dogodilo se kod pacijenata koji su primali TNF blokator uključujući golimumab, a hronične su kliconoše tog virusa </w:t>
      </w:r>
      <w:r w:rsidRPr="00DF79AE">
        <w:rPr>
          <w:bCs/>
          <w:sz w:val="22"/>
          <w:szCs w:val="22"/>
          <w:lang w:val="sr-Latn-ME"/>
        </w:rPr>
        <w:t>(tj. pozitivni su na površinski antigen)</w:t>
      </w:r>
      <w:r w:rsidRPr="00DF79AE">
        <w:rPr>
          <w:sz w:val="22"/>
          <w:szCs w:val="22"/>
          <w:lang w:val="sr-Latn-ME"/>
        </w:rPr>
        <w:t xml:space="preserve">. Neki su slučajevi imali smrtni ishod. </w:t>
      </w:r>
    </w:p>
    <w:p w14:paraId="61D0BA78" w14:textId="77777777" w:rsidR="000B2A5C" w:rsidRPr="00DF79AE" w:rsidRDefault="000B2A5C" w:rsidP="000B2A5C">
      <w:pPr>
        <w:tabs>
          <w:tab w:val="left" w:pos="284"/>
        </w:tabs>
        <w:jc w:val="both"/>
        <w:rPr>
          <w:sz w:val="22"/>
          <w:szCs w:val="22"/>
          <w:lang w:val="sr-Latn-ME"/>
        </w:rPr>
      </w:pPr>
    </w:p>
    <w:p w14:paraId="1F8E7273" w14:textId="77777777" w:rsidR="000B2A5C" w:rsidRPr="00DF79AE" w:rsidRDefault="000B2A5C" w:rsidP="000B2A5C">
      <w:pPr>
        <w:tabs>
          <w:tab w:val="left" w:pos="284"/>
        </w:tabs>
        <w:jc w:val="both"/>
        <w:rPr>
          <w:sz w:val="22"/>
          <w:szCs w:val="22"/>
          <w:lang w:val="sr-Latn-ME"/>
        </w:rPr>
      </w:pPr>
      <w:r w:rsidRPr="00DF79AE">
        <w:rPr>
          <w:sz w:val="22"/>
          <w:szCs w:val="22"/>
          <w:lang w:val="sr-Latn-ME"/>
        </w:rPr>
        <w:t>Pacijente je potrebno testirati na HBV infekciju prije početka terapije golimumab. Za pacijente kod kojih je test na HBV pozitivan, preporučljiva je konsultacija sa ljekarom specijalizovanog u liječenju hepatitisa B.</w:t>
      </w:r>
    </w:p>
    <w:p w14:paraId="36C96BFC" w14:textId="77777777" w:rsidR="000B2A5C" w:rsidRPr="00DF79AE" w:rsidRDefault="000B2A5C" w:rsidP="000B2A5C">
      <w:pPr>
        <w:tabs>
          <w:tab w:val="left" w:pos="284"/>
        </w:tabs>
        <w:jc w:val="both"/>
        <w:rPr>
          <w:sz w:val="22"/>
          <w:szCs w:val="22"/>
          <w:lang w:val="sr-Latn-ME"/>
        </w:rPr>
      </w:pPr>
    </w:p>
    <w:p w14:paraId="684083F4" w14:textId="77777777" w:rsidR="000B2A5C" w:rsidRPr="00DF79AE" w:rsidRDefault="000B2A5C" w:rsidP="000B2A5C">
      <w:pPr>
        <w:tabs>
          <w:tab w:val="left" w:pos="284"/>
        </w:tabs>
        <w:jc w:val="both"/>
        <w:rPr>
          <w:sz w:val="22"/>
          <w:szCs w:val="22"/>
          <w:lang w:val="hr-HR"/>
        </w:rPr>
      </w:pPr>
      <w:r w:rsidRPr="00DF79AE">
        <w:rPr>
          <w:sz w:val="22"/>
          <w:szCs w:val="22"/>
          <w:lang w:val="hr-HR"/>
        </w:rPr>
        <w:t xml:space="preserve">Osobe koje nose virus hepatitisa B, a koje  moraju da prime terapiju </w:t>
      </w:r>
      <w:r w:rsidRPr="00DF79AE">
        <w:rPr>
          <w:sz w:val="22"/>
          <w:szCs w:val="22"/>
          <w:lang w:val="pt-BR"/>
        </w:rPr>
        <w:t>golimumabom</w:t>
      </w:r>
      <w:r w:rsidRPr="00DF79AE">
        <w:rPr>
          <w:sz w:val="22"/>
          <w:szCs w:val="22"/>
          <w:lang w:val="hr-HR"/>
        </w:rPr>
        <w:t xml:space="preserve">, treba pažljivo pratiti </w:t>
      </w:r>
      <w:r w:rsidRPr="00DF79AE">
        <w:rPr>
          <w:sz w:val="22"/>
          <w:szCs w:val="22"/>
          <w:lang w:val="pt-BR"/>
        </w:rPr>
        <w:t xml:space="preserve">sve vrijeme liječenja i još nekoliko mjeseci nakon završetka liječenja, </w:t>
      </w:r>
      <w:r w:rsidRPr="00DF79AE">
        <w:rPr>
          <w:sz w:val="22"/>
          <w:szCs w:val="22"/>
          <w:lang w:val="hr-HR"/>
        </w:rPr>
        <w:t xml:space="preserve">kako bi se uočili znaci i simptomi aktivne infekcije virusom hepatitisa B. Nema odgovarajućih podataka o pacijentima koji nose virus hepatitisa B i koji su se liječili antivirusnim ljekovima istovremeno sa TNF blokatorima radi sprečavanja ponovne aktivacije virusa hepatitisa B. Kod pacijenata kod kojih dođe do ponovne aktivacije virusa hepatitisa B, potrebno je prekinuti terapiju </w:t>
      </w:r>
      <w:r w:rsidRPr="00DF79AE">
        <w:rPr>
          <w:sz w:val="22"/>
          <w:szCs w:val="22"/>
          <w:lang w:val="pt-BR"/>
        </w:rPr>
        <w:t>golimumabom</w:t>
      </w:r>
      <w:r w:rsidRPr="00DF79AE" w:rsidDel="00822A3E">
        <w:rPr>
          <w:sz w:val="22"/>
          <w:szCs w:val="22"/>
          <w:lang w:val="hr-HR"/>
        </w:rPr>
        <w:t xml:space="preserve"> </w:t>
      </w:r>
      <w:r w:rsidRPr="00DF79AE">
        <w:rPr>
          <w:sz w:val="22"/>
          <w:szCs w:val="22"/>
          <w:lang w:val="hr-HR"/>
        </w:rPr>
        <w:t>i započeti primjenu efikasne antivirusne terapije uz odgovarajuće suportivno liječenje.</w:t>
      </w:r>
    </w:p>
    <w:p w14:paraId="0E130694" w14:textId="77777777" w:rsidR="000B2A5C" w:rsidRPr="00DF79AE" w:rsidRDefault="000B2A5C" w:rsidP="000B2A5C">
      <w:pPr>
        <w:tabs>
          <w:tab w:val="left" w:pos="284"/>
        </w:tabs>
        <w:jc w:val="both"/>
        <w:rPr>
          <w:bCs/>
          <w:sz w:val="22"/>
          <w:szCs w:val="22"/>
          <w:lang w:val="sr-Latn-ME"/>
        </w:rPr>
      </w:pPr>
    </w:p>
    <w:p w14:paraId="0AF01491" w14:textId="77777777" w:rsidR="000B2A5C" w:rsidRPr="00DF79AE" w:rsidRDefault="000B2A5C" w:rsidP="000B2A5C">
      <w:pPr>
        <w:tabs>
          <w:tab w:val="left" w:pos="284"/>
        </w:tabs>
        <w:jc w:val="both"/>
        <w:rPr>
          <w:sz w:val="22"/>
          <w:szCs w:val="22"/>
          <w:u w:val="single"/>
          <w:lang w:val="sr-Latn-ME"/>
        </w:rPr>
      </w:pPr>
      <w:r w:rsidRPr="00DF79AE">
        <w:rPr>
          <w:sz w:val="22"/>
          <w:szCs w:val="22"/>
          <w:u w:val="single"/>
          <w:lang w:val="sr-Latn-ME"/>
        </w:rPr>
        <w:t>Maligne i limfoproliferativne bolesti</w:t>
      </w:r>
    </w:p>
    <w:p w14:paraId="3751A604" w14:textId="77777777" w:rsidR="000B2A5C" w:rsidRPr="00DF79AE" w:rsidRDefault="000B2A5C" w:rsidP="000B2A5C">
      <w:pPr>
        <w:tabs>
          <w:tab w:val="left" w:pos="567"/>
        </w:tabs>
        <w:jc w:val="both"/>
        <w:rPr>
          <w:bCs/>
          <w:sz w:val="22"/>
          <w:szCs w:val="22"/>
          <w:lang w:val="sr-Latn-ME"/>
        </w:rPr>
      </w:pPr>
      <w:r w:rsidRPr="00DF79AE">
        <w:rPr>
          <w:sz w:val="22"/>
          <w:szCs w:val="22"/>
          <w:lang w:val="sr-Latn-ME"/>
        </w:rPr>
        <w:t xml:space="preserve">Nije poznata potencijalna uloga liječenja </w:t>
      </w:r>
      <w:r w:rsidRPr="00DF79AE">
        <w:rPr>
          <w:bCs/>
          <w:sz w:val="22"/>
          <w:szCs w:val="22"/>
          <w:lang w:val="sr-Latn-ME"/>
        </w:rPr>
        <w:t>TNF-blokatorima</w:t>
      </w:r>
      <w:r w:rsidRPr="00DF79AE">
        <w:rPr>
          <w:sz w:val="22"/>
          <w:szCs w:val="22"/>
          <w:lang w:val="sr-Latn-ME"/>
        </w:rPr>
        <w:t xml:space="preserve"> u razvoju malignih bolesti. </w:t>
      </w:r>
      <w:r w:rsidRPr="00DF79AE">
        <w:rPr>
          <w:bCs/>
          <w:sz w:val="22"/>
          <w:szCs w:val="22"/>
          <w:lang w:val="sr-Latn-ME"/>
        </w:rPr>
        <w:t>S obzirom na dosadašnje saznanje, ne može se isključiti rizik od pojave limfoma, leukemija ili drugih malignih bolesti kod pacijenata liječenih TNF-blokatorima. Potreban je oprez prilikom razmatranja liječenja TNF blokatorima pacijenata koji su bolovali od maligne bolesti ili o nastavku liječenja pacijenata koji razviju malignu bolest.</w:t>
      </w:r>
    </w:p>
    <w:p w14:paraId="525AA8CA" w14:textId="77777777" w:rsidR="000B2A5C" w:rsidRPr="00DF79AE" w:rsidRDefault="000B2A5C" w:rsidP="000B2A5C">
      <w:pPr>
        <w:tabs>
          <w:tab w:val="left" w:pos="284"/>
        </w:tabs>
        <w:jc w:val="both"/>
        <w:rPr>
          <w:bCs/>
          <w:sz w:val="22"/>
          <w:szCs w:val="22"/>
          <w:lang w:val="sr-Latn-ME"/>
        </w:rPr>
      </w:pPr>
    </w:p>
    <w:p w14:paraId="7B0A3634" w14:textId="77777777" w:rsidR="000B2A5C" w:rsidRPr="00DF79AE" w:rsidRDefault="000B2A5C" w:rsidP="000B2A5C">
      <w:pPr>
        <w:tabs>
          <w:tab w:val="left" w:pos="284"/>
        </w:tabs>
        <w:jc w:val="both"/>
        <w:rPr>
          <w:bCs/>
          <w:i/>
          <w:sz w:val="22"/>
          <w:szCs w:val="22"/>
          <w:lang w:val="sr-Latn-ME"/>
        </w:rPr>
      </w:pPr>
      <w:r w:rsidRPr="00DF79AE">
        <w:rPr>
          <w:bCs/>
          <w:i/>
          <w:sz w:val="22"/>
          <w:szCs w:val="22"/>
          <w:lang w:val="sr-Latn-ME"/>
        </w:rPr>
        <w:t>Pedijatrijski maligniteti</w:t>
      </w:r>
    </w:p>
    <w:p w14:paraId="774C27E8" w14:textId="4F47D3F9" w:rsidR="000B2A5C" w:rsidRPr="00DF79AE" w:rsidRDefault="000B2A5C" w:rsidP="000B2A5C">
      <w:pPr>
        <w:tabs>
          <w:tab w:val="left" w:pos="284"/>
        </w:tabs>
        <w:jc w:val="both"/>
        <w:rPr>
          <w:bCs/>
          <w:sz w:val="22"/>
          <w:szCs w:val="22"/>
          <w:lang w:val="sr-Latn-ME"/>
        </w:rPr>
      </w:pPr>
      <w:r w:rsidRPr="00DF79AE">
        <w:rPr>
          <w:bCs/>
          <w:sz w:val="22"/>
          <w:szCs w:val="22"/>
          <w:lang w:val="sr-Latn-ME"/>
        </w:rPr>
        <w:t>Pojava maligniteta, pa čak i sa fatalnim ishodom, prijavljena je kod djece, adolescenata i mlađih odraslih osoba (do 22 godine starosti) koji su liječeni TNF-blokatorima (terapija započeta ≤18 godina starosti) tokom postmarketinške primjene. Aproksimativno polovina slučajeva su bili limfomi. Ostali zabilježeni slučajevi su bili različiti maligniteti, koji uključuju i rijetka maligna oboljenja obično udružena sa imunosupresijom. Rizik od pojave maligniteta kod djece i adolescenata liječenih TNF-blokatorima, ne smije se isključiti.</w:t>
      </w:r>
    </w:p>
    <w:p w14:paraId="3FA3F002" w14:textId="77777777" w:rsidR="000B2A5C" w:rsidRPr="00DF79AE" w:rsidRDefault="000B2A5C" w:rsidP="000B2A5C">
      <w:pPr>
        <w:tabs>
          <w:tab w:val="left" w:pos="284"/>
        </w:tabs>
        <w:jc w:val="both"/>
        <w:rPr>
          <w:bCs/>
          <w:i/>
          <w:sz w:val="22"/>
          <w:szCs w:val="22"/>
          <w:lang w:val="sr-Latn-ME"/>
        </w:rPr>
      </w:pPr>
    </w:p>
    <w:p w14:paraId="0F3B58F7" w14:textId="77777777" w:rsidR="000B2A5C" w:rsidRPr="00DF79AE" w:rsidRDefault="000B2A5C" w:rsidP="000B2A5C">
      <w:pPr>
        <w:tabs>
          <w:tab w:val="left" w:pos="284"/>
        </w:tabs>
        <w:jc w:val="both"/>
        <w:rPr>
          <w:bCs/>
          <w:i/>
          <w:sz w:val="22"/>
          <w:szCs w:val="22"/>
          <w:lang w:val="sr-Latn-ME"/>
        </w:rPr>
      </w:pPr>
      <w:r w:rsidRPr="00DF79AE">
        <w:rPr>
          <w:bCs/>
          <w:i/>
          <w:sz w:val="22"/>
          <w:szCs w:val="22"/>
          <w:lang w:val="sr-Latn-ME"/>
        </w:rPr>
        <w:t>Limfomi i leukemije</w:t>
      </w:r>
    </w:p>
    <w:p w14:paraId="72D0C635" w14:textId="77777777" w:rsidR="000B2A5C" w:rsidRPr="00DF79AE" w:rsidRDefault="000B2A5C" w:rsidP="000B2A5C">
      <w:pPr>
        <w:tabs>
          <w:tab w:val="left" w:pos="284"/>
        </w:tabs>
        <w:jc w:val="both"/>
        <w:rPr>
          <w:sz w:val="22"/>
          <w:szCs w:val="22"/>
          <w:lang w:val="sr-Latn-ME"/>
        </w:rPr>
      </w:pPr>
      <w:r w:rsidRPr="00DF79AE">
        <w:rPr>
          <w:sz w:val="22"/>
          <w:szCs w:val="22"/>
          <w:lang w:val="sr-Latn-ME"/>
        </w:rPr>
        <w:t>U kontrolisanim djelovima kliničkih ispitivanja svih blokatora TNF</w:t>
      </w:r>
      <w:r w:rsidRPr="00DF79AE">
        <w:rPr>
          <w:sz w:val="22"/>
          <w:szCs w:val="22"/>
          <w:vertAlign w:val="subscript"/>
          <w:lang w:val="sr-Latn-ME"/>
        </w:rPr>
        <w:t>,</w:t>
      </w:r>
      <w:r w:rsidRPr="00DF79AE">
        <w:rPr>
          <w:sz w:val="22"/>
          <w:szCs w:val="22"/>
          <w:lang w:val="sr-Latn-ME"/>
        </w:rPr>
        <w:t xml:space="preserve"> uključujući golimumab, zabilježeno je više slučajeva limfoma kod pacijenata koji su liječeni TNF blokatorom u poređenju s kontrolnom grupom pacijenata. Tokom kliničkih ispitivanja lijeka Simponi faze IIb i faze III u reumatoidnom artritisu (RA), psorijatičnom artritisu (PsA) i ankilozirajućem spondilitisu (AS), incidenca limfoma kod pacijenata liječenih lijekom Simponi bila je viša od one očekivane u opštoj populaciji. </w:t>
      </w:r>
      <w:r w:rsidRPr="00DF79AE">
        <w:rPr>
          <w:bCs/>
          <w:sz w:val="22"/>
          <w:szCs w:val="22"/>
          <w:lang w:val="sr-Latn-ME"/>
        </w:rPr>
        <w:t xml:space="preserve">Slučajevi leukemije su bili prijavljeni kod pacijenata koji su liječenigolimumabom. </w:t>
      </w:r>
      <w:r w:rsidRPr="00DF79AE">
        <w:rPr>
          <w:sz w:val="22"/>
          <w:szCs w:val="22"/>
          <w:lang w:val="sr-Latn-ME"/>
        </w:rPr>
        <w:t xml:space="preserve">Postoji povećan </w:t>
      </w:r>
      <w:r w:rsidRPr="00DF79AE">
        <w:rPr>
          <w:sz w:val="22"/>
          <w:szCs w:val="22"/>
          <w:lang w:val="sr-Latn-ME"/>
        </w:rPr>
        <w:lastRenderedPageBreak/>
        <w:t>predisponirajući rizik od pojave limfoma i leukemija kod pacijenata oboljelih od reumatoidnog artritisa sa dugoročnom, visoko aktivnom, inflamatornom bolešću, koja komplikuje procjenu rizika.</w:t>
      </w:r>
    </w:p>
    <w:p w14:paraId="4E50CE39" w14:textId="77777777" w:rsidR="000B2A5C" w:rsidRPr="00DF79AE" w:rsidRDefault="000B2A5C" w:rsidP="000B2A5C">
      <w:pPr>
        <w:tabs>
          <w:tab w:val="left" w:pos="284"/>
        </w:tabs>
        <w:jc w:val="both"/>
        <w:rPr>
          <w:sz w:val="22"/>
          <w:szCs w:val="22"/>
          <w:lang w:val="sr-Latn-ME"/>
        </w:rPr>
      </w:pPr>
    </w:p>
    <w:p w14:paraId="0D043B00" w14:textId="77777777" w:rsidR="000B2A5C" w:rsidRPr="00DF79AE" w:rsidRDefault="000B2A5C" w:rsidP="000B2A5C">
      <w:pPr>
        <w:tabs>
          <w:tab w:val="left" w:pos="284"/>
        </w:tabs>
        <w:jc w:val="both"/>
        <w:rPr>
          <w:sz w:val="22"/>
          <w:szCs w:val="22"/>
          <w:lang w:val="sr-Latn-RS"/>
        </w:rPr>
      </w:pPr>
      <w:r w:rsidRPr="00DF79AE">
        <w:rPr>
          <w:sz w:val="22"/>
          <w:szCs w:val="22"/>
          <w:lang w:val="sr-Latn-ME"/>
        </w:rPr>
        <w:t>Rijetki postmarketinški slučajevi hepatospleničnog T-ćelijskog limfoma (HSTCL) su prijavljeni kod pacijenata liječenih drugim TNF blokatorima (vidjeti dio 4.8). Ovaj rijedak tip T-ćelijskog limfoma ima veoma agresivan tok bolesti, najčešće sa fatalnim ishodom. Većina slučajeva se javila kod adolescenata i mlađih muškaraca, od kojih su skoro svi bili na istovremenoj terapiji azatioprinom (AZA) ili merkaptopurinom (6-MP) zbog inflamatorne bolesti crijeva. Potencijalni rizik kombinacije AZA ili 6-MP i lijeka Simponi treba pažljivo razmotriti.</w:t>
      </w:r>
      <w:r w:rsidRPr="00DF79AE">
        <w:rPr>
          <w:sz w:val="22"/>
          <w:szCs w:val="22"/>
          <w:lang w:val="sr-Latn-RS"/>
        </w:rPr>
        <w:t xml:space="preserve"> Treba </w:t>
      </w:r>
      <w:r w:rsidRPr="00DF79AE">
        <w:rPr>
          <w:sz w:val="22"/>
          <w:szCs w:val="22"/>
          <w:lang w:val="hr-HR"/>
        </w:rPr>
        <w:t>p</w:t>
      </w:r>
      <w:r w:rsidRPr="00DF79AE">
        <w:rPr>
          <w:sz w:val="22"/>
          <w:szCs w:val="22"/>
          <w:lang w:val="sr-Latn-RS"/>
        </w:rPr>
        <w:t>ažljivo procijeniti</w:t>
      </w:r>
      <w:r w:rsidRPr="00DF79AE">
        <w:rPr>
          <w:sz w:val="22"/>
          <w:szCs w:val="22"/>
          <w:lang w:val="hr-HR"/>
        </w:rPr>
        <w:t xml:space="preserve"> potencijalni rizik od kombinovane primene </w:t>
      </w:r>
      <w:r w:rsidRPr="00DF79AE">
        <w:rPr>
          <w:sz w:val="22"/>
          <w:szCs w:val="22"/>
          <w:lang w:val="sr-Latn-RS"/>
        </w:rPr>
        <w:t xml:space="preserve">AZA ili 6-MP i golimumaba. Rizik od razvoja hepatospleničnog T-ćelijskog limfoma kod pacijenata koji su primali TNF-blokatore ne može biti isključen. </w:t>
      </w:r>
    </w:p>
    <w:p w14:paraId="2D7A5C24" w14:textId="77777777" w:rsidR="000B2A5C" w:rsidRPr="00DF79AE" w:rsidRDefault="000B2A5C" w:rsidP="000B2A5C">
      <w:pPr>
        <w:tabs>
          <w:tab w:val="left" w:pos="284"/>
        </w:tabs>
        <w:jc w:val="both"/>
        <w:rPr>
          <w:sz w:val="22"/>
          <w:szCs w:val="22"/>
          <w:lang w:val="sr-Latn-ME"/>
        </w:rPr>
      </w:pPr>
    </w:p>
    <w:p w14:paraId="4A2DA1A0" w14:textId="77777777" w:rsidR="000B2A5C" w:rsidRPr="00DF79AE" w:rsidRDefault="000B2A5C" w:rsidP="000B2A5C">
      <w:pPr>
        <w:tabs>
          <w:tab w:val="left" w:pos="284"/>
        </w:tabs>
        <w:jc w:val="both"/>
        <w:rPr>
          <w:bCs/>
          <w:i/>
          <w:sz w:val="22"/>
          <w:szCs w:val="22"/>
          <w:lang w:val="sr-Latn-ME"/>
        </w:rPr>
      </w:pPr>
      <w:r w:rsidRPr="00DF79AE">
        <w:rPr>
          <w:bCs/>
          <w:i/>
          <w:sz w:val="22"/>
          <w:szCs w:val="22"/>
          <w:lang w:val="sr-Latn-ME"/>
        </w:rPr>
        <w:t>Druge maligne bolesti osim limfoma</w:t>
      </w:r>
    </w:p>
    <w:p w14:paraId="539E5B14" w14:textId="77777777" w:rsidR="000B2A5C" w:rsidRPr="00DF79AE" w:rsidRDefault="000B2A5C" w:rsidP="000B2A5C">
      <w:pPr>
        <w:tabs>
          <w:tab w:val="left" w:pos="284"/>
        </w:tabs>
        <w:jc w:val="both"/>
        <w:rPr>
          <w:bCs/>
          <w:sz w:val="22"/>
          <w:szCs w:val="22"/>
          <w:lang w:val="sr-Latn-ME"/>
        </w:rPr>
      </w:pPr>
      <w:r w:rsidRPr="00DF79AE">
        <w:rPr>
          <w:sz w:val="22"/>
          <w:szCs w:val="22"/>
          <w:lang w:val="sr-Latn-ME"/>
        </w:rPr>
        <w:t>U kontrolisanim djelovima kliničkih ispitivanja lijeka Simponi faze IIb i faze III u reumatoidnom artritisu, psorijatičnom artritisu, ankilozirajućem spondilitisu i ulceroznom kolitisu, incidenca malignih bolesti</w:t>
      </w:r>
      <w:r w:rsidRPr="00DF79AE">
        <w:rPr>
          <w:bCs/>
          <w:sz w:val="22"/>
          <w:szCs w:val="22"/>
          <w:lang w:val="sr-Latn-ME"/>
        </w:rPr>
        <w:t xml:space="preserve"> koje nisu limfomi (osim nemelanomskog raka kože), bila je slična u grupi koja je primala golimumab i u kontrolnim grupama. </w:t>
      </w:r>
    </w:p>
    <w:p w14:paraId="4153510C" w14:textId="77777777" w:rsidR="000B2A5C" w:rsidRPr="00DF79AE" w:rsidRDefault="000B2A5C" w:rsidP="000B2A5C">
      <w:pPr>
        <w:tabs>
          <w:tab w:val="left" w:pos="284"/>
        </w:tabs>
        <w:jc w:val="both"/>
        <w:rPr>
          <w:bCs/>
          <w:sz w:val="22"/>
          <w:szCs w:val="22"/>
          <w:lang w:val="sr-Latn-ME"/>
        </w:rPr>
      </w:pPr>
    </w:p>
    <w:p w14:paraId="345913CD" w14:textId="77777777" w:rsidR="000B2A5C" w:rsidRPr="00DF79AE" w:rsidRDefault="000B2A5C" w:rsidP="000B2A5C">
      <w:pPr>
        <w:tabs>
          <w:tab w:val="left" w:pos="284"/>
        </w:tabs>
        <w:jc w:val="both"/>
        <w:rPr>
          <w:bCs/>
          <w:i/>
          <w:sz w:val="22"/>
          <w:szCs w:val="22"/>
          <w:lang w:val="sr-Latn-ME"/>
        </w:rPr>
      </w:pPr>
      <w:r w:rsidRPr="00DF79AE">
        <w:rPr>
          <w:bCs/>
          <w:i/>
          <w:sz w:val="22"/>
          <w:szCs w:val="22"/>
          <w:lang w:val="sr-Latn-ME"/>
        </w:rPr>
        <w:t>Displazija i rak debelog crijeva</w:t>
      </w:r>
    </w:p>
    <w:p w14:paraId="58595C2A" w14:textId="77777777" w:rsidR="000B2A5C" w:rsidRPr="00DF79AE" w:rsidRDefault="000B2A5C" w:rsidP="000B2A5C">
      <w:pPr>
        <w:tabs>
          <w:tab w:val="left" w:pos="284"/>
        </w:tabs>
        <w:jc w:val="both"/>
        <w:rPr>
          <w:bCs/>
          <w:sz w:val="22"/>
          <w:szCs w:val="22"/>
          <w:lang w:val="sr-Latn-ME"/>
        </w:rPr>
      </w:pPr>
      <w:r w:rsidRPr="00DF79AE">
        <w:rPr>
          <w:bCs/>
          <w:sz w:val="22"/>
          <w:szCs w:val="22"/>
          <w:lang w:val="sr-Latn-ME"/>
        </w:rPr>
        <w:t>Nije poznato da li terapija golimumabom utiče na rizik od razvoja displazije ili raka debelog crijeva. Sve pacijente sa ulceroznim kolitisom koji imaju povećan rizik od displazije ili raka debelog crijeva (na primjer, pacijente sa dugotrajnim ulceroznim kolitisom ili primarnim skleroznim holangitisom), ili koji su imali prethodnu istoriju displazije ili raka debelog crijeva, treba pregledati u redovnim intervalima prije terapije i u toku cijelog toka terapije. Ovo ispitivanje treba da uključi kolonoskopiju i biopsije prema lokalnim preporukama. Kod pacijenata sa novodijagnostifikovanom displazijom liječenih golimumabom, rizik i korist za svakog pojedinačnog pacijenta treba pažljivo razmotriti i uzeti u obzir pri odluci o nastavku terapije.</w:t>
      </w:r>
    </w:p>
    <w:p w14:paraId="7731960A" w14:textId="77777777" w:rsidR="000B2A5C" w:rsidRPr="00DF79AE" w:rsidRDefault="000B2A5C" w:rsidP="000B2A5C">
      <w:pPr>
        <w:tabs>
          <w:tab w:val="left" w:pos="284"/>
        </w:tabs>
        <w:jc w:val="both"/>
        <w:rPr>
          <w:bCs/>
          <w:sz w:val="22"/>
          <w:szCs w:val="22"/>
          <w:lang w:val="sr-Latn-ME"/>
        </w:rPr>
      </w:pPr>
    </w:p>
    <w:p w14:paraId="4455F538" w14:textId="77777777" w:rsidR="000B2A5C" w:rsidRPr="00DF79AE" w:rsidRDefault="000B2A5C" w:rsidP="000B2A5C">
      <w:pPr>
        <w:tabs>
          <w:tab w:val="left" w:pos="284"/>
          <w:tab w:val="left" w:pos="567"/>
        </w:tabs>
        <w:jc w:val="both"/>
        <w:rPr>
          <w:sz w:val="22"/>
          <w:szCs w:val="22"/>
          <w:lang w:val="sr-Latn-ME"/>
        </w:rPr>
      </w:pPr>
      <w:r w:rsidRPr="00DF79AE">
        <w:rPr>
          <w:sz w:val="22"/>
          <w:szCs w:val="22"/>
          <w:lang w:val="sr-Latn-ME"/>
        </w:rPr>
        <w:t>U eksplorativnom kliničkom ispitivanju u kojem se ocjenjivala primjena golimumaba kod pacijenata s</w:t>
      </w:r>
      <w:r w:rsidRPr="00DF79AE">
        <w:rPr>
          <w:bCs/>
          <w:sz w:val="22"/>
          <w:szCs w:val="22"/>
          <w:lang w:val="sr-Latn-ME"/>
        </w:rPr>
        <w:t xml:space="preserve"> teškom perzistentnom astmom, </w:t>
      </w:r>
      <w:r w:rsidRPr="00DF79AE">
        <w:rPr>
          <w:sz w:val="22"/>
          <w:szCs w:val="22"/>
          <w:lang w:val="sr-Latn-ME"/>
        </w:rPr>
        <w:t xml:space="preserve">zabilježeno je više slučajeva malignih bolesti kod pacijenata liječenih golimumabom nego kod pacijenata u kontrolnoj grupi (vidjeti dio 4.8). Značaj ovog nalaza nije poznat. </w:t>
      </w:r>
    </w:p>
    <w:p w14:paraId="30AD3B4A" w14:textId="77777777" w:rsidR="000B2A5C" w:rsidRPr="00DF79AE" w:rsidRDefault="000B2A5C" w:rsidP="000B2A5C">
      <w:pPr>
        <w:tabs>
          <w:tab w:val="left" w:pos="284"/>
          <w:tab w:val="left" w:pos="567"/>
        </w:tabs>
        <w:jc w:val="both"/>
        <w:rPr>
          <w:bCs/>
          <w:sz w:val="22"/>
          <w:szCs w:val="22"/>
          <w:lang w:val="sr-Latn-ME"/>
        </w:rPr>
      </w:pPr>
    </w:p>
    <w:p w14:paraId="00C8467A" w14:textId="77777777" w:rsidR="000B2A5C" w:rsidRPr="00DF79AE" w:rsidRDefault="000B2A5C" w:rsidP="000B2A5C">
      <w:pPr>
        <w:tabs>
          <w:tab w:val="left" w:pos="567"/>
        </w:tabs>
        <w:jc w:val="both"/>
        <w:rPr>
          <w:bCs/>
          <w:sz w:val="22"/>
          <w:szCs w:val="22"/>
          <w:lang w:val="sr-Latn-ME"/>
        </w:rPr>
      </w:pPr>
      <w:r w:rsidRPr="00DF79AE">
        <w:rPr>
          <w:bCs/>
          <w:sz w:val="22"/>
          <w:szCs w:val="22"/>
          <w:lang w:val="sr-Latn-ME"/>
        </w:rPr>
        <w:t>U eksplorativnom kliničkom ispitivanju u kojem se ocjenjivala primjena drugog TNF blokatora, infliksimaba, kod pacijenata s umjerenom do teškom hroničnom opstruktivnom bolesti pluća (HOBP), zabilježeno je više slučajeva malignih bolesti, uglavnom pluća, glave i vrata, kod pacijenata liječenih infliksimabom, nego kod pacijenata u kontrolnoj grupi. Svi pacijenti su bili teški pušači. Stoga je potreban oprez kada se bilo koji TNF blokator primjenjuje kod pacijenata s HOBP-om, kao i kod pacijenata koji imaju povećan rizik od razvoja maligne bolesti jer su teški pušači.</w:t>
      </w:r>
    </w:p>
    <w:p w14:paraId="1E445977" w14:textId="77777777" w:rsidR="000B2A5C" w:rsidRPr="00DF79AE" w:rsidRDefault="000B2A5C" w:rsidP="000B2A5C">
      <w:pPr>
        <w:tabs>
          <w:tab w:val="left" w:pos="567"/>
        </w:tabs>
        <w:jc w:val="both"/>
        <w:rPr>
          <w:bCs/>
          <w:sz w:val="22"/>
          <w:szCs w:val="22"/>
          <w:lang w:val="sr-Latn-ME"/>
        </w:rPr>
      </w:pPr>
    </w:p>
    <w:p w14:paraId="3F28E4FA" w14:textId="77777777" w:rsidR="000B2A5C" w:rsidRPr="00DF79AE" w:rsidRDefault="000B2A5C" w:rsidP="000B2A5C">
      <w:pPr>
        <w:tabs>
          <w:tab w:val="left" w:pos="567"/>
        </w:tabs>
        <w:jc w:val="both"/>
        <w:rPr>
          <w:bCs/>
          <w:i/>
          <w:sz w:val="22"/>
          <w:szCs w:val="22"/>
          <w:lang w:val="sr-Latn-ME"/>
        </w:rPr>
      </w:pPr>
      <w:r w:rsidRPr="00DF79AE">
        <w:rPr>
          <w:bCs/>
          <w:i/>
          <w:sz w:val="22"/>
          <w:szCs w:val="22"/>
          <w:lang w:val="sr-Latn-ME"/>
        </w:rPr>
        <w:t>Rak kože</w:t>
      </w:r>
    </w:p>
    <w:p w14:paraId="1EE51963" w14:textId="77777777" w:rsidR="000B2A5C" w:rsidRPr="00DF79AE" w:rsidRDefault="000B2A5C" w:rsidP="000B2A5C">
      <w:pPr>
        <w:tabs>
          <w:tab w:val="left" w:pos="567"/>
        </w:tabs>
        <w:jc w:val="both"/>
        <w:rPr>
          <w:bCs/>
          <w:sz w:val="22"/>
          <w:szCs w:val="22"/>
          <w:lang w:val="sr-Latn-ME"/>
        </w:rPr>
      </w:pPr>
      <w:r w:rsidRPr="00DF79AE">
        <w:rPr>
          <w:bCs/>
          <w:noProof/>
          <w:color w:val="000000"/>
          <w:sz w:val="22"/>
          <w:szCs w:val="22"/>
          <w:lang w:val="sr-Latn-ME"/>
        </w:rPr>
        <w:t>Melanom i karcinom Merkelovih ćelija su prijavljeni kod pacijenata koji su primali blokatore TNF, uključujući golimumab (vidjeti dio 4.8). Preporučuju se periodični pregledi kože, posebno kod pacijenata sa faktorima rizika za rak kože.</w:t>
      </w:r>
    </w:p>
    <w:p w14:paraId="560B9C91" w14:textId="77777777" w:rsidR="000B2A5C" w:rsidRPr="00DF79AE" w:rsidRDefault="000B2A5C" w:rsidP="000B2A5C">
      <w:pPr>
        <w:tabs>
          <w:tab w:val="left" w:pos="567"/>
        </w:tabs>
        <w:jc w:val="both"/>
        <w:rPr>
          <w:b/>
          <w:bCs/>
          <w:sz w:val="22"/>
          <w:szCs w:val="22"/>
          <w:lang w:val="sr-Latn-ME"/>
        </w:rPr>
      </w:pPr>
    </w:p>
    <w:p w14:paraId="168249F5" w14:textId="77777777" w:rsidR="000B2A5C" w:rsidRPr="00DF79AE" w:rsidRDefault="000B2A5C" w:rsidP="000B2A5C">
      <w:pPr>
        <w:tabs>
          <w:tab w:val="left" w:pos="284"/>
        </w:tabs>
        <w:jc w:val="both"/>
        <w:rPr>
          <w:sz w:val="22"/>
          <w:szCs w:val="22"/>
          <w:u w:val="single"/>
          <w:lang w:val="sr-Latn-ME"/>
        </w:rPr>
      </w:pPr>
      <w:r w:rsidRPr="00DF79AE">
        <w:rPr>
          <w:sz w:val="22"/>
          <w:szCs w:val="22"/>
          <w:u w:val="single"/>
          <w:lang w:val="sr-Latn-ME"/>
        </w:rPr>
        <w:t>Kongestivna srčana insuficijencija</w:t>
      </w:r>
    </w:p>
    <w:p w14:paraId="1F5C0955" w14:textId="77777777" w:rsidR="000B2A5C" w:rsidRPr="00DF79AE" w:rsidRDefault="000B2A5C" w:rsidP="000B2A5C">
      <w:pPr>
        <w:tabs>
          <w:tab w:val="left" w:pos="284"/>
        </w:tabs>
        <w:jc w:val="both"/>
        <w:rPr>
          <w:snapToGrid w:val="0"/>
          <w:sz w:val="22"/>
          <w:szCs w:val="22"/>
          <w:lang w:val="sr-Latn-ME"/>
        </w:rPr>
      </w:pPr>
      <w:r w:rsidRPr="00DF79AE">
        <w:rPr>
          <w:sz w:val="22"/>
          <w:szCs w:val="22"/>
          <w:lang w:val="sr-Latn-ME"/>
        </w:rPr>
        <w:t>Kod primjene TNF-blokatora, uključujući i primjenu golimumaba, zabilježeni su slučajevi pogoršanja, kao i dijagnostikovanja novootkrivene kongestivne srčane insuficijencije. Neki slučajevi su imali smrtni ishod.</w:t>
      </w:r>
    </w:p>
    <w:p w14:paraId="28DEC6BD" w14:textId="77777777" w:rsidR="000B2A5C" w:rsidRPr="00DF79AE" w:rsidRDefault="000B2A5C" w:rsidP="000B2A5C">
      <w:pPr>
        <w:tabs>
          <w:tab w:val="left" w:pos="284"/>
        </w:tabs>
        <w:autoSpaceDE w:val="0"/>
        <w:autoSpaceDN w:val="0"/>
        <w:adjustRightInd w:val="0"/>
        <w:jc w:val="both"/>
        <w:rPr>
          <w:bCs/>
          <w:sz w:val="22"/>
          <w:szCs w:val="22"/>
          <w:lang w:val="sr-Latn-ME"/>
        </w:rPr>
      </w:pPr>
      <w:r w:rsidRPr="00DF79AE">
        <w:rPr>
          <w:sz w:val="22"/>
          <w:szCs w:val="22"/>
          <w:lang w:val="sr-Latn-ME"/>
        </w:rPr>
        <w:t>U kliničkim ispitivanjima s drugim TNF blokatorom zabilježeni su pogoršanje kongestivne srčane insuficijencije i povećana smrtnost zbog kongestivne srčane insuficijencije. Golimumab</w:t>
      </w:r>
      <w:r w:rsidRPr="00DF79AE">
        <w:rPr>
          <w:bCs/>
          <w:sz w:val="22"/>
          <w:szCs w:val="22"/>
          <w:lang w:val="sr-Latn-ME"/>
        </w:rPr>
        <w:t xml:space="preserve"> nije ispitivan kod pacijenata s kongestivnom srčanom insuficijencijom. Golimumab</w:t>
      </w:r>
      <w:r w:rsidRPr="00DF79AE">
        <w:rPr>
          <w:sz w:val="22"/>
          <w:szCs w:val="22"/>
          <w:lang w:val="sr-Latn-ME"/>
        </w:rPr>
        <w:t xml:space="preserve"> </w:t>
      </w:r>
      <w:r w:rsidRPr="00DF79AE">
        <w:rPr>
          <w:bCs/>
          <w:sz w:val="22"/>
          <w:szCs w:val="22"/>
          <w:lang w:val="sr-Latn-ME"/>
        </w:rPr>
        <w:t>treba davati uz oprez pacijentima s blagom srčanom insuficijencijom (NYHA gradus I/II). Pacijente je potrebno pažljivo pratiti, a davanje golimumaba prekinuti kod onih pacijenata kod kojih se pojave novi ili pogoršaju postojeći simptomi srčane insuficijencije (vidjeti dio 4.3).</w:t>
      </w:r>
    </w:p>
    <w:p w14:paraId="057B17BB" w14:textId="1E5280C8" w:rsidR="000B2A5C" w:rsidRDefault="000B2A5C" w:rsidP="000B2A5C">
      <w:pPr>
        <w:tabs>
          <w:tab w:val="left" w:pos="284"/>
        </w:tabs>
        <w:jc w:val="both"/>
        <w:rPr>
          <w:sz w:val="22"/>
          <w:szCs w:val="22"/>
          <w:u w:val="single"/>
          <w:lang w:val="sr-Latn-ME"/>
        </w:rPr>
      </w:pPr>
    </w:p>
    <w:p w14:paraId="5E232E4E" w14:textId="2F4C7AFC" w:rsidR="003271C1" w:rsidRDefault="003271C1" w:rsidP="000B2A5C">
      <w:pPr>
        <w:tabs>
          <w:tab w:val="left" w:pos="284"/>
        </w:tabs>
        <w:jc w:val="both"/>
        <w:rPr>
          <w:sz w:val="22"/>
          <w:szCs w:val="22"/>
          <w:u w:val="single"/>
          <w:lang w:val="sr-Latn-ME"/>
        </w:rPr>
      </w:pPr>
    </w:p>
    <w:p w14:paraId="2416DBE8" w14:textId="77777777" w:rsidR="003271C1" w:rsidRPr="00DF79AE" w:rsidRDefault="003271C1" w:rsidP="000B2A5C">
      <w:pPr>
        <w:tabs>
          <w:tab w:val="left" w:pos="284"/>
        </w:tabs>
        <w:jc w:val="both"/>
        <w:rPr>
          <w:sz w:val="22"/>
          <w:szCs w:val="22"/>
          <w:u w:val="single"/>
          <w:lang w:val="sr-Latn-ME"/>
        </w:rPr>
      </w:pPr>
    </w:p>
    <w:p w14:paraId="5E4A16F5" w14:textId="77777777" w:rsidR="000B2A5C" w:rsidRPr="00DF79AE" w:rsidRDefault="000B2A5C" w:rsidP="000B2A5C">
      <w:pPr>
        <w:tabs>
          <w:tab w:val="left" w:pos="284"/>
        </w:tabs>
        <w:jc w:val="both"/>
        <w:rPr>
          <w:sz w:val="22"/>
          <w:szCs w:val="22"/>
          <w:u w:val="single"/>
          <w:lang w:val="sr-Latn-ME"/>
        </w:rPr>
      </w:pPr>
      <w:r w:rsidRPr="00DF79AE">
        <w:rPr>
          <w:sz w:val="22"/>
          <w:szCs w:val="22"/>
          <w:u w:val="single"/>
          <w:lang w:val="sr-Latn-ME"/>
        </w:rPr>
        <w:lastRenderedPageBreak/>
        <w:t>Neurološka neželjena dejstva</w:t>
      </w:r>
    </w:p>
    <w:p w14:paraId="5B5F8D6B" w14:textId="77777777" w:rsidR="000B2A5C" w:rsidRPr="00DF79AE" w:rsidRDefault="000B2A5C" w:rsidP="000B2A5C">
      <w:pPr>
        <w:tabs>
          <w:tab w:val="left" w:pos="567"/>
        </w:tabs>
        <w:jc w:val="both"/>
        <w:rPr>
          <w:bCs/>
          <w:sz w:val="22"/>
          <w:szCs w:val="22"/>
          <w:lang w:val="sr-Latn-ME"/>
        </w:rPr>
      </w:pPr>
      <w:r w:rsidRPr="00DF79AE">
        <w:rPr>
          <w:bCs/>
          <w:sz w:val="22"/>
          <w:szCs w:val="22"/>
          <w:lang w:val="sr-Latn-ME"/>
        </w:rPr>
        <w:t>Primjena TNF blokatora, uključujući golimumab, se dovodi u vezu s pojavom ili egzacerbacijom kliničkih simptoma i/ili radioloških dokaza bolesti demijelinizacije centralnog nervnog sistema, uključujući multiplu sklerozu</w:t>
      </w:r>
      <w:r w:rsidRPr="00DF79AE">
        <w:rPr>
          <w:b/>
          <w:bCs/>
          <w:sz w:val="22"/>
          <w:szCs w:val="22"/>
          <w:lang w:val="sr-Latn-ME"/>
        </w:rPr>
        <w:t xml:space="preserve"> </w:t>
      </w:r>
      <w:r w:rsidRPr="00DF79AE">
        <w:rPr>
          <w:bCs/>
          <w:sz w:val="22"/>
          <w:szCs w:val="22"/>
          <w:lang w:val="sr-Latn-ME"/>
        </w:rPr>
        <w:t>i</w:t>
      </w:r>
      <w:r w:rsidRPr="00DF79AE">
        <w:rPr>
          <w:b/>
          <w:bCs/>
          <w:sz w:val="22"/>
          <w:szCs w:val="22"/>
          <w:lang w:val="sr-Latn-ME"/>
        </w:rPr>
        <w:t xml:space="preserve"> </w:t>
      </w:r>
      <w:r w:rsidRPr="00DF79AE">
        <w:rPr>
          <w:bCs/>
          <w:sz w:val="22"/>
          <w:szCs w:val="22"/>
          <w:lang w:val="sr-Latn-ME"/>
        </w:rPr>
        <w:t>periferni</w:t>
      </w:r>
      <w:r w:rsidRPr="00DF79AE">
        <w:rPr>
          <w:b/>
          <w:bCs/>
          <w:sz w:val="22"/>
          <w:szCs w:val="22"/>
          <w:lang w:val="sr-Latn-ME"/>
        </w:rPr>
        <w:t xml:space="preserve"> </w:t>
      </w:r>
      <w:r w:rsidRPr="00DF79AE">
        <w:rPr>
          <w:bCs/>
          <w:sz w:val="22"/>
          <w:szCs w:val="22"/>
          <w:lang w:val="sr-Latn-ME"/>
        </w:rPr>
        <w:t>demijelinizirajući</w:t>
      </w:r>
      <w:r w:rsidRPr="00DF79AE">
        <w:rPr>
          <w:b/>
          <w:bCs/>
          <w:sz w:val="22"/>
          <w:szCs w:val="22"/>
          <w:lang w:val="sr-Latn-ME"/>
        </w:rPr>
        <w:t xml:space="preserve"> </w:t>
      </w:r>
      <w:r w:rsidRPr="00DF79AE">
        <w:rPr>
          <w:bCs/>
          <w:sz w:val="22"/>
          <w:szCs w:val="22"/>
          <w:lang w:val="sr-Latn-ME"/>
        </w:rPr>
        <w:t>poremećaj. Kod pacijenata s već postojećim ili novonastalim demijelinizacionim bolestima, prije početka liječenja golimumabom treba pažljivo procijeniti koristi i rizike liječenja TNF blokatorom. Potrebno je uzeti u obzir i prekid terapije golimumabom ukoliko dođe do razvoja nekog od navedenih poremećaja (vidjeti dio 4.8).</w:t>
      </w:r>
    </w:p>
    <w:p w14:paraId="7BC12898" w14:textId="77777777" w:rsidR="000B2A5C" w:rsidRPr="00DF79AE" w:rsidRDefault="000B2A5C" w:rsidP="000B2A5C">
      <w:pPr>
        <w:tabs>
          <w:tab w:val="left" w:pos="284"/>
          <w:tab w:val="left" w:pos="567"/>
        </w:tabs>
        <w:jc w:val="both"/>
        <w:rPr>
          <w:sz w:val="22"/>
          <w:szCs w:val="22"/>
          <w:u w:val="single"/>
          <w:lang w:val="sr-Latn-ME"/>
        </w:rPr>
      </w:pPr>
    </w:p>
    <w:p w14:paraId="3C3F508C" w14:textId="77777777" w:rsidR="000B2A5C" w:rsidRPr="00DF79AE" w:rsidRDefault="000B2A5C" w:rsidP="000B2A5C">
      <w:pPr>
        <w:tabs>
          <w:tab w:val="left" w:pos="284"/>
          <w:tab w:val="left" w:pos="567"/>
        </w:tabs>
        <w:jc w:val="both"/>
        <w:rPr>
          <w:sz w:val="22"/>
          <w:szCs w:val="22"/>
          <w:u w:val="single"/>
          <w:lang w:val="sr-Latn-ME"/>
        </w:rPr>
      </w:pPr>
      <w:r w:rsidRPr="00DF79AE">
        <w:rPr>
          <w:sz w:val="22"/>
          <w:szCs w:val="22"/>
          <w:u w:val="single"/>
          <w:lang w:val="sr-Latn-ME"/>
        </w:rPr>
        <w:t>Hirurški zahvati</w:t>
      </w:r>
    </w:p>
    <w:p w14:paraId="6401D21D" w14:textId="77777777" w:rsidR="000B2A5C" w:rsidRPr="00DF79AE" w:rsidRDefault="000B2A5C" w:rsidP="000B2A5C">
      <w:pPr>
        <w:tabs>
          <w:tab w:val="left" w:pos="567"/>
        </w:tabs>
        <w:jc w:val="both"/>
        <w:rPr>
          <w:bCs/>
          <w:sz w:val="22"/>
          <w:szCs w:val="22"/>
          <w:lang w:val="sr-Latn-ME"/>
        </w:rPr>
      </w:pPr>
      <w:r w:rsidRPr="00DF79AE">
        <w:rPr>
          <w:bCs/>
          <w:sz w:val="22"/>
          <w:szCs w:val="22"/>
          <w:lang w:val="sr-Latn-ME"/>
        </w:rPr>
        <w:t>Ograničena su iskustva o bezbjednosti primjene golimumaba kod pacijenata podvrgnutih</w:t>
      </w:r>
      <w:r w:rsidRPr="00DF79AE" w:rsidDel="001E3692">
        <w:rPr>
          <w:bCs/>
          <w:sz w:val="22"/>
          <w:szCs w:val="22"/>
          <w:lang w:val="sr-Latn-ME"/>
        </w:rPr>
        <w:t xml:space="preserve"> </w:t>
      </w:r>
      <w:r w:rsidRPr="00DF79AE">
        <w:rPr>
          <w:bCs/>
          <w:sz w:val="22"/>
          <w:szCs w:val="22"/>
          <w:lang w:val="sr-Latn-ME"/>
        </w:rPr>
        <w:t>hirurškim postupcima, uključujući artroplastiku. Ukoliko se planira hirurški zahvat, treba voditi računa o dugom poluvremenu eliminacije lijeka. Pacijenta, kome je za vrijeme liječenja lijekom Simponi potrebna operacija, je neophodno pažljivo pratiti zbog infekcija, i preduzeti odgovarajuće mjere.</w:t>
      </w:r>
    </w:p>
    <w:p w14:paraId="34E698C6" w14:textId="77777777" w:rsidR="000B2A5C" w:rsidRPr="00DF79AE" w:rsidRDefault="000B2A5C" w:rsidP="000B2A5C">
      <w:pPr>
        <w:tabs>
          <w:tab w:val="left" w:pos="284"/>
          <w:tab w:val="left" w:pos="567"/>
        </w:tabs>
        <w:jc w:val="both"/>
        <w:rPr>
          <w:sz w:val="22"/>
          <w:szCs w:val="22"/>
          <w:lang w:val="sr-Latn-ME"/>
        </w:rPr>
      </w:pPr>
    </w:p>
    <w:p w14:paraId="0D7FAF89" w14:textId="77777777" w:rsidR="000B2A5C" w:rsidRPr="00DF79AE" w:rsidRDefault="000B2A5C" w:rsidP="000B2A5C">
      <w:pPr>
        <w:tabs>
          <w:tab w:val="left" w:pos="284"/>
          <w:tab w:val="left" w:pos="567"/>
        </w:tabs>
        <w:jc w:val="both"/>
        <w:rPr>
          <w:b/>
          <w:bCs/>
          <w:sz w:val="22"/>
          <w:szCs w:val="22"/>
          <w:u w:val="single"/>
          <w:lang w:val="sr-Latn-ME"/>
        </w:rPr>
      </w:pPr>
      <w:r w:rsidRPr="00DF79AE">
        <w:rPr>
          <w:sz w:val="22"/>
          <w:szCs w:val="22"/>
          <w:u w:val="single"/>
          <w:lang w:val="sr-Latn-ME"/>
        </w:rPr>
        <w:t>Imunosupresija</w:t>
      </w:r>
    </w:p>
    <w:p w14:paraId="767DD8CF" w14:textId="77777777" w:rsidR="000B2A5C" w:rsidRPr="00DF79AE" w:rsidRDefault="000B2A5C" w:rsidP="000B2A5C">
      <w:pPr>
        <w:tabs>
          <w:tab w:val="left" w:pos="284"/>
          <w:tab w:val="left" w:pos="567"/>
        </w:tabs>
        <w:jc w:val="both"/>
        <w:rPr>
          <w:sz w:val="22"/>
          <w:szCs w:val="22"/>
          <w:lang w:val="sr-Latn-ME"/>
        </w:rPr>
      </w:pPr>
      <w:r w:rsidRPr="00DF79AE">
        <w:rPr>
          <w:sz w:val="22"/>
          <w:szCs w:val="22"/>
          <w:lang w:val="sr-Latn-ME"/>
        </w:rPr>
        <w:t xml:space="preserve">Postoji mogućnost da TNF blokatori, uključujući golimumab, utiču na odbranu domaćina protiv infekcija i malignih bolesti, jer je TNF </w:t>
      </w:r>
      <w:r w:rsidRPr="00DF79AE">
        <w:rPr>
          <w:sz w:val="22"/>
          <w:szCs w:val="22"/>
          <w:lang w:val="hr-HR"/>
        </w:rPr>
        <w:t xml:space="preserve">medijator inflamacije </w:t>
      </w:r>
      <w:r w:rsidRPr="00DF79AE">
        <w:rPr>
          <w:sz w:val="22"/>
          <w:szCs w:val="22"/>
          <w:lang w:val="sr-Latn-ME"/>
        </w:rPr>
        <w:t xml:space="preserve">upale i </w:t>
      </w:r>
      <w:r w:rsidRPr="00DF79AE">
        <w:rPr>
          <w:sz w:val="22"/>
          <w:szCs w:val="22"/>
          <w:lang w:val="hr-HR"/>
        </w:rPr>
        <w:t>i modulator ćelijskog imunskog odgovora</w:t>
      </w:r>
      <w:r w:rsidRPr="00DF79AE">
        <w:rPr>
          <w:sz w:val="22"/>
          <w:szCs w:val="22"/>
          <w:lang w:val="sr-Latn-ME"/>
        </w:rPr>
        <w:t xml:space="preserve">. </w:t>
      </w:r>
    </w:p>
    <w:p w14:paraId="54F36653" w14:textId="77777777" w:rsidR="000B2A5C" w:rsidRPr="00DF79AE" w:rsidRDefault="000B2A5C" w:rsidP="000B2A5C">
      <w:pPr>
        <w:tabs>
          <w:tab w:val="left" w:pos="284"/>
          <w:tab w:val="left" w:pos="567"/>
        </w:tabs>
        <w:jc w:val="both"/>
        <w:rPr>
          <w:sz w:val="22"/>
          <w:szCs w:val="22"/>
          <w:lang w:val="sr-Latn-ME"/>
        </w:rPr>
      </w:pPr>
    </w:p>
    <w:p w14:paraId="18A95200" w14:textId="77777777" w:rsidR="000B2A5C" w:rsidRPr="00DF79AE" w:rsidRDefault="000B2A5C" w:rsidP="000B2A5C">
      <w:pPr>
        <w:tabs>
          <w:tab w:val="left" w:pos="284"/>
        </w:tabs>
        <w:jc w:val="both"/>
        <w:rPr>
          <w:sz w:val="22"/>
          <w:szCs w:val="22"/>
          <w:u w:val="single"/>
          <w:lang w:val="sr-Latn-ME"/>
        </w:rPr>
      </w:pPr>
      <w:r w:rsidRPr="00DF79AE">
        <w:rPr>
          <w:sz w:val="22"/>
          <w:szCs w:val="22"/>
          <w:u w:val="single"/>
          <w:lang w:val="sr-Latn-ME"/>
        </w:rPr>
        <w:t>Autoimuni procesi</w:t>
      </w:r>
    </w:p>
    <w:p w14:paraId="32BB874B" w14:textId="77777777" w:rsidR="000B2A5C" w:rsidRPr="00DF79AE" w:rsidRDefault="000B2A5C" w:rsidP="000B2A5C">
      <w:pPr>
        <w:tabs>
          <w:tab w:val="left" w:pos="567"/>
        </w:tabs>
        <w:jc w:val="both"/>
        <w:rPr>
          <w:bCs/>
          <w:sz w:val="22"/>
          <w:szCs w:val="22"/>
          <w:lang w:val="sr-Latn-ME"/>
        </w:rPr>
      </w:pPr>
      <w:r w:rsidRPr="00DF79AE">
        <w:rPr>
          <w:bCs/>
          <w:sz w:val="22"/>
          <w:szCs w:val="22"/>
          <w:lang w:val="sr-Latn-ME"/>
        </w:rPr>
        <w:t>Relativni nedostatak TNF</w:t>
      </w:r>
      <w:r w:rsidRPr="00DF79AE">
        <w:rPr>
          <w:bCs/>
          <w:sz w:val="22"/>
          <w:szCs w:val="22"/>
          <w:vertAlign w:val="subscript"/>
          <w:lang w:val="sr-Latn-ME"/>
        </w:rPr>
        <w:sym w:font="Symbol" w:char="F061"/>
      </w:r>
      <w:r w:rsidRPr="00DF79AE">
        <w:rPr>
          <w:bCs/>
          <w:sz w:val="22"/>
          <w:szCs w:val="22"/>
          <w:vertAlign w:val="subscript"/>
          <w:lang w:val="sr-Latn-ME"/>
        </w:rPr>
        <w:t>,</w:t>
      </w:r>
      <w:r w:rsidRPr="00DF79AE">
        <w:rPr>
          <w:bCs/>
          <w:sz w:val="22"/>
          <w:szCs w:val="22"/>
          <w:lang w:val="sr-Latn-ME"/>
        </w:rPr>
        <w:t xml:space="preserve"> prouzrokovan TNF blokatorom, može pokrenuti autoimuni proces. Ako pacijent nakon liječenja golimumabom razvije simptome koji ukazuju na sindrom sličan lupusu i ako ima pozitivan nalaz antitijela na dvolančanu DNK, treba prekinuti liječenje golimumabom (vidjeti dio 4.8).</w:t>
      </w:r>
    </w:p>
    <w:p w14:paraId="5F42120D" w14:textId="77777777" w:rsidR="000B2A5C" w:rsidRPr="00DF79AE" w:rsidRDefault="000B2A5C" w:rsidP="000B2A5C">
      <w:pPr>
        <w:tabs>
          <w:tab w:val="left" w:pos="284"/>
        </w:tabs>
        <w:jc w:val="both"/>
        <w:rPr>
          <w:bCs/>
          <w:sz w:val="22"/>
          <w:szCs w:val="22"/>
          <w:u w:val="single"/>
          <w:lang w:val="sr-Latn-ME"/>
        </w:rPr>
      </w:pPr>
    </w:p>
    <w:p w14:paraId="04BB5358" w14:textId="77777777" w:rsidR="000B2A5C" w:rsidRPr="00DF79AE" w:rsidRDefault="000B2A5C" w:rsidP="000B2A5C">
      <w:pPr>
        <w:tabs>
          <w:tab w:val="left" w:pos="284"/>
        </w:tabs>
        <w:jc w:val="both"/>
        <w:rPr>
          <w:bCs/>
          <w:sz w:val="22"/>
          <w:szCs w:val="22"/>
          <w:u w:val="single"/>
          <w:lang w:val="sr-Latn-ME"/>
        </w:rPr>
      </w:pPr>
      <w:r w:rsidRPr="00DF79AE">
        <w:rPr>
          <w:bCs/>
          <w:sz w:val="22"/>
          <w:szCs w:val="22"/>
          <w:u w:val="single"/>
          <w:lang w:val="sr-Latn-ME"/>
        </w:rPr>
        <w:t xml:space="preserve">Hematološke reakcije </w:t>
      </w:r>
    </w:p>
    <w:p w14:paraId="2179098C" w14:textId="77777777" w:rsidR="000B2A5C" w:rsidRPr="00DF79AE" w:rsidRDefault="000B2A5C" w:rsidP="000B2A5C">
      <w:pPr>
        <w:tabs>
          <w:tab w:val="left" w:pos="284"/>
          <w:tab w:val="left" w:pos="567"/>
        </w:tabs>
        <w:jc w:val="both"/>
        <w:rPr>
          <w:sz w:val="22"/>
          <w:szCs w:val="22"/>
          <w:lang w:val="sr-Latn-ME"/>
        </w:rPr>
      </w:pPr>
      <w:r w:rsidRPr="00DF79AE">
        <w:rPr>
          <w:bCs/>
          <w:sz w:val="22"/>
          <w:szCs w:val="22"/>
          <w:lang w:val="sr-Latn-ME"/>
        </w:rPr>
        <w:t>Kod pacijenata liječenih TNF blokatorima, uključujući golimumab, zabilježene su pancitopenija, leukopenija, neutropenija, agranulocitoza, aplastična anemija i trombocitopenija.</w:t>
      </w:r>
      <w:r w:rsidRPr="00DF79AE">
        <w:rPr>
          <w:sz w:val="22"/>
          <w:szCs w:val="22"/>
          <w:lang w:val="sr-Latn-ME"/>
        </w:rPr>
        <w:t xml:space="preserve"> Sve pacijente treba upozoriti da odmah potraže medicinsku pomoć ako razviju znakove i simptome koji ukazuju na krvnu diskraziju (uporna povišena temperatura, modrice, krvarenje, bljedilo). Kod pacijenata sa potvrđenim značajnim hematološkim poremećajima treba razmotriti prekid liječenja golimumabom. </w:t>
      </w:r>
    </w:p>
    <w:p w14:paraId="3B700AA3" w14:textId="77777777" w:rsidR="000B2A5C" w:rsidRPr="00DF79AE" w:rsidRDefault="000B2A5C" w:rsidP="000B2A5C">
      <w:pPr>
        <w:tabs>
          <w:tab w:val="left" w:pos="284"/>
        </w:tabs>
        <w:jc w:val="both"/>
        <w:rPr>
          <w:bCs/>
          <w:sz w:val="22"/>
          <w:szCs w:val="22"/>
          <w:lang w:val="sr-Latn-ME"/>
        </w:rPr>
      </w:pPr>
    </w:p>
    <w:p w14:paraId="5454F3B1" w14:textId="77777777" w:rsidR="000B2A5C" w:rsidRPr="00DF79AE" w:rsidRDefault="000B2A5C" w:rsidP="000B2A5C">
      <w:pPr>
        <w:tabs>
          <w:tab w:val="left" w:pos="567"/>
        </w:tabs>
        <w:jc w:val="both"/>
        <w:rPr>
          <w:bCs/>
          <w:sz w:val="22"/>
          <w:szCs w:val="22"/>
          <w:u w:val="single"/>
          <w:lang w:val="sr-Latn-ME"/>
        </w:rPr>
      </w:pPr>
      <w:r w:rsidRPr="00DF79AE">
        <w:rPr>
          <w:bCs/>
          <w:sz w:val="22"/>
          <w:szCs w:val="22"/>
          <w:u w:val="single"/>
          <w:lang w:val="sr-Latn-ME"/>
        </w:rPr>
        <w:t>Istovremena primjena TNF blokatora i anakinre</w:t>
      </w:r>
    </w:p>
    <w:p w14:paraId="5A15BD64" w14:textId="77777777" w:rsidR="000B2A5C" w:rsidRPr="00DF79AE" w:rsidRDefault="000B2A5C" w:rsidP="000B2A5C">
      <w:pPr>
        <w:tabs>
          <w:tab w:val="left" w:pos="284"/>
        </w:tabs>
        <w:jc w:val="both"/>
        <w:rPr>
          <w:sz w:val="22"/>
          <w:szCs w:val="22"/>
          <w:lang w:val="sr-Latn-ME"/>
        </w:rPr>
      </w:pPr>
      <w:r w:rsidRPr="00DF79AE">
        <w:rPr>
          <w:sz w:val="22"/>
          <w:szCs w:val="22"/>
          <w:lang w:val="sr-Latn-ME"/>
        </w:rPr>
        <w:t>Ozbiljne infekcije i neutropenija primijećene su u kliničkim ispitivanjima istovremene primjene anakinre i drugog TNF blokatora, etanercepta, koja nije izazvala dodatno kliničko poboljšanje. Zbog prirode neželjenih dejstava primijećenih kod ove kombinovane terapije, slična toksičnost mogla bi se javiti i kod istovremene primjene anakinre i drugih TNF blokatora. Ne preporučuje se kombinovana primjena golumumaba i anakinre.</w:t>
      </w:r>
    </w:p>
    <w:p w14:paraId="0F0F9B58" w14:textId="77777777" w:rsidR="000B2A5C" w:rsidRPr="00DF79AE" w:rsidRDefault="000B2A5C" w:rsidP="000B2A5C">
      <w:pPr>
        <w:tabs>
          <w:tab w:val="left" w:pos="284"/>
        </w:tabs>
        <w:jc w:val="both"/>
        <w:rPr>
          <w:sz w:val="22"/>
          <w:szCs w:val="22"/>
          <w:lang w:val="sr-Latn-ME"/>
        </w:rPr>
      </w:pPr>
    </w:p>
    <w:p w14:paraId="64C735AA" w14:textId="77777777" w:rsidR="000B2A5C" w:rsidRPr="00DF79AE" w:rsidRDefault="000B2A5C" w:rsidP="000B2A5C">
      <w:pPr>
        <w:tabs>
          <w:tab w:val="left" w:pos="567"/>
        </w:tabs>
        <w:jc w:val="both"/>
        <w:rPr>
          <w:bCs/>
          <w:sz w:val="22"/>
          <w:szCs w:val="22"/>
          <w:u w:val="single"/>
          <w:lang w:val="sr-Latn-ME"/>
        </w:rPr>
      </w:pPr>
      <w:r w:rsidRPr="00DF79AE">
        <w:rPr>
          <w:bCs/>
          <w:sz w:val="22"/>
          <w:szCs w:val="22"/>
          <w:u w:val="single"/>
          <w:lang w:val="sr-Latn-ME"/>
        </w:rPr>
        <w:t>Istovremena primjena TNF blokatora i abatacepta</w:t>
      </w:r>
    </w:p>
    <w:p w14:paraId="4962AB86" w14:textId="77777777" w:rsidR="000B2A5C" w:rsidRPr="00DF79AE" w:rsidRDefault="000B2A5C" w:rsidP="000B2A5C">
      <w:pPr>
        <w:tabs>
          <w:tab w:val="left" w:pos="567"/>
        </w:tabs>
        <w:jc w:val="both"/>
        <w:rPr>
          <w:bCs/>
          <w:sz w:val="22"/>
          <w:szCs w:val="22"/>
          <w:lang w:val="sr-Latn-ME"/>
        </w:rPr>
      </w:pPr>
      <w:r w:rsidRPr="00DF79AE">
        <w:rPr>
          <w:bCs/>
          <w:sz w:val="22"/>
          <w:szCs w:val="22"/>
          <w:lang w:val="sr-Latn-ME"/>
        </w:rPr>
        <w:t>U kliničkim ispitivanjima, istovremena primjena TNF blokatora i abatacepta bila je povezana s povećanim rizikom od infekcija, uključujući i ozbiljne infekcije, u odnosu na primjenu samo TNF blokatora, a pritom nije dovela do povećanja kliničkog dejstva. Ne preporučuje se kombinovana primjena golimumaba i abatacepta.</w:t>
      </w:r>
    </w:p>
    <w:p w14:paraId="695B1BAE" w14:textId="77777777" w:rsidR="000B2A5C" w:rsidRPr="00DF79AE" w:rsidRDefault="000B2A5C" w:rsidP="000B2A5C">
      <w:pPr>
        <w:tabs>
          <w:tab w:val="left" w:pos="567"/>
        </w:tabs>
        <w:jc w:val="both"/>
        <w:rPr>
          <w:b/>
          <w:bCs/>
          <w:sz w:val="22"/>
          <w:szCs w:val="22"/>
          <w:lang w:val="sr-Latn-ME"/>
        </w:rPr>
      </w:pPr>
    </w:p>
    <w:p w14:paraId="6741C08B" w14:textId="77777777" w:rsidR="000B2A5C" w:rsidRPr="00DF79AE" w:rsidRDefault="000B2A5C" w:rsidP="000B2A5C">
      <w:pPr>
        <w:tabs>
          <w:tab w:val="left" w:pos="284"/>
        </w:tabs>
        <w:jc w:val="both"/>
        <w:rPr>
          <w:noProof/>
          <w:sz w:val="22"/>
          <w:szCs w:val="22"/>
          <w:u w:val="single"/>
          <w:lang w:val="sr-Latn-ME"/>
        </w:rPr>
      </w:pPr>
      <w:r w:rsidRPr="00DF79AE">
        <w:rPr>
          <w:noProof/>
          <w:sz w:val="22"/>
          <w:szCs w:val="22"/>
          <w:u w:val="single"/>
          <w:lang w:val="sr-Latn-ME"/>
        </w:rPr>
        <w:t>Istovremena primjena sa ostalim biološkim terapeuticima</w:t>
      </w:r>
    </w:p>
    <w:p w14:paraId="608488A2" w14:textId="77777777" w:rsidR="000B2A5C" w:rsidRPr="00DF79AE" w:rsidRDefault="000B2A5C" w:rsidP="000B2A5C">
      <w:pPr>
        <w:tabs>
          <w:tab w:val="left" w:pos="567"/>
        </w:tabs>
        <w:jc w:val="both"/>
        <w:rPr>
          <w:b/>
          <w:bCs/>
          <w:sz w:val="22"/>
          <w:szCs w:val="22"/>
          <w:lang w:val="sr-Latn-ME"/>
        </w:rPr>
      </w:pPr>
      <w:r w:rsidRPr="00DF79AE">
        <w:rPr>
          <w:noProof/>
          <w:sz w:val="22"/>
          <w:szCs w:val="22"/>
          <w:lang w:val="sr-Latn-ME"/>
        </w:rPr>
        <w:t>Nema dovoljno podataka o istovremenoj primeni golimumaba sa ostalim biološkim terapeuticima koji se koriste u liječenju istih stanja kao i golimumab. Istovremena upotreba golimumab sa ovim biološkim ljekovima se ne preporučuje zbog mogućnosti pojave povećanog rizika od infekcije, i ostalih potencijalnih farmakoloških interakcija.</w:t>
      </w:r>
    </w:p>
    <w:p w14:paraId="577A9D85" w14:textId="77777777" w:rsidR="000B2A5C" w:rsidRPr="00DF79AE" w:rsidRDefault="000B2A5C" w:rsidP="000B2A5C">
      <w:pPr>
        <w:tabs>
          <w:tab w:val="left" w:pos="567"/>
        </w:tabs>
        <w:jc w:val="both"/>
        <w:rPr>
          <w:b/>
          <w:bCs/>
          <w:sz w:val="22"/>
          <w:szCs w:val="22"/>
          <w:lang w:val="sr-Latn-ME"/>
        </w:rPr>
      </w:pPr>
    </w:p>
    <w:p w14:paraId="15F9DC06" w14:textId="77777777" w:rsidR="000B2A5C" w:rsidRPr="00DF79AE" w:rsidRDefault="000B2A5C" w:rsidP="000B2A5C">
      <w:pPr>
        <w:tabs>
          <w:tab w:val="left" w:pos="567"/>
        </w:tabs>
        <w:jc w:val="both"/>
        <w:rPr>
          <w:bCs/>
          <w:sz w:val="22"/>
          <w:szCs w:val="22"/>
          <w:u w:val="single"/>
          <w:lang w:val="sr-Latn-ME"/>
        </w:rPr>
      </w:pPr>
      <w:r w:rsidRPr="00DF79AE">
        <w:rPr>
          <w:bCs/>
          <w:sz w:val="22"/>
          <w:szCs w:val="22"/>
          <w:u w:val="single"/>
          <w:lang w:val="sr-Latn-ME"/>
        </w:rPr>
        <w:t>Prelaženje između bioloških DMARDS</w:t>
      </w:r>
    </w:p>
    <w:p w14:paraId="2D7A8A74" w14:textId="1BEF2437" w:rsidR="000B2A5C" w:rsidRDefault="000B2A5C" w:rsidP="000B2A5C">
      <w:pPr>
        <w:tabs>
          <w:tab w:val="left" w:pos="567"/>
        </w:tabs>
        <w:jc w:val="both"/>
        <w:rPr>
          <w:bCs/>
          <w:sz w:val="22"/>
          <w:szCs w:val="22"/>
          <w:lang w:val="sr-Latn-ME"/>
        </w:rPr>
      </w:pPr>
      <w:r w:rsidRPr="00DF79AE">
        <w:rPr>
          <w:bCs/>
          <w:sz w:val="22"/>
          <w:szCs w:val="22"/>
          <w:lang w:val="sr-Latn-ME"/>
        </w:rPr>
        <w:t>Prilikom prelaska iz jedne biološke terapije na drugu treba obratiti pažnju, i pacijente treba i dalje držati pod nadzorom, jer preklapanje u biološkim aktivnostima može dalje povećati rizik od neželjenih događaja, uključujući infekciju.</w:t>
      </w:r>
    </w:p>
    <w:p w14:paraId="404D1D95" w14:textId="77777777" w:rsidR="003271C1" w:rsidRPr="00DF79AE" w:rsidRDefault="003271C1" w:rsidP="000B2A5C">
      <w:pPr>
        <w:tabs>
          <w:tab w:val="left" w:pos="567"/>
        </w:tabs>
        <w:jc w:val="both"/>
        <w:rPr>
          <w:b/>
          <w:bCs/>
          <w:sz w:val="22"/>
          <w:szCs w:val="22"/>
          <w:lang w:val="sr-Latn-ME"/>
        </w:rPr>
      </w:pPr>
    </w:p>
    <w:p w14:paraId="11A6FEC9" w14:textId="77777777" w:rsidR="000B2A5C" w:rsidRPr="00DF79AE" w:rsidRDefault="000B2A5C" w:rsidP="000B2A5C">
      <w:pPr>
        <w:tabs>
          <w:tab w:val="left" w:pos="567"/>
        </w:tabs>
        <w:jc w:val="both"/>
        <w:rPr>
          <w:b/>
          <w:bCs/>
          <w:sz w:val="22"/>
          <w:szCs w:val="22"/>
          <w:lang w:val="sr-Latn-ME"/>
        </w:rPr>
      </w:pPr>
    </w:p>
    <w:p w14:paraId="4E8924DC" w14:textId="77777777" w:rsidR="000B2A5C" w:rsidRPr="00DF79AE" w:rsidRDefault="000B2A5C" w:rsidP="000B2A5C">
      <w:pPr>
        <w:tabs>
          <w:tab w:val="left" w:pos="284"/>
        </w:tabs>
        <w:jc w:val="both"/>
        <w:rPr>
          <w:sz w:val="22"/>
          <w:szCs w:val="22"/>
          <w:u w:val="single"/>
          <w:lang w:val="sr-Latn-ME"/>
        </w:rPr>
      </w:pPr>
      <w:r w:rsidRPr="00DF79AE">
        <w:rPr>
          <w:sz w:val="22"/>
          <w:szCs w:val="22"/>
          <w:u w:val="single"/>
          <w:lang w:val="sr-Latn-ME"/>
        </w:rPr>
        <w:lastRenderedPageBreak/>
        <w:t>Vakcinacija/infektivni agensi koji se koriste u terapijske svrhe</w:t>
      </w:r>
    </w:p>
    <w:p w14:paraId="7E57DC77" w14:textId="77777777" w:rsidR="000B2A5C" w:rsidRPr="00DF79AE" w:rsidRDefault="000B2A5C" w:rsidP="000B2A5C">
      <w:pPr>
        <w:tabs>
          <w:tab w:val="left" w:pos="284"/>
        </w:tabs>
        <w:jc w:val="both"/>
        <w:rPr>
          <w:sz w:val="22"/>
          <w:szCs w:val="22"/>
          <w:lang w:val="sr-Latn-ME"/>
        </w:rPr>
      </w:pPr>
      <w:r w:rsidRPr="00DF79AE">
        <w:rPr>
          <w:sz w:val="22"/>
          <w:szCs w:val="22"/>
          <w:lang w:val="sr-Latn-ME"/>
        </w:rPr>
        <w:t>Pacijenti liječeni golimumabom mogu istovremeno primiti vakcine, osim živih vakcina (vidjeti djelove 4.5 i 4.6). Kod pacijenata na terapiji TNF blokatorima, dostupni su  ograničeni podaci o odgovoru na vakcinaciju živim vakcinama, ili sekundarnoj transmisiji infekcije živom vakcinom. Primjena živih vakcina može dovesti do kliničkih infekcija, uključujući diseminovane infekcije.</w:t>
      </w:r>
    </w:p>
    <w:p w14:paraId="0BB1CB8D" w14:textId="77777777" w:rsidR="000B2A5C" w:rsidRPr="00DF79AE" w:rsidRDefault="000B2A5C" w:rsidP="000B2A5C">
      <w:pPr>
        <w:tabs>
          <w:tab w:val="left" w:pos="284"/>
        </w:tabs>
        <w:jc w:val="both"/>
        <w:rPr>
          <w:sz w:val="22"/>
          <w:szCs w:val="22"/>
          <w:lang w:val="sr-Latn-ME"/>
        </w:rPr>
      </w:pPr>
    </w:p>
    <w:p w14:paraId="3EDA9FB0" w14:textId="77777777" w:rsidR="000B2A5C" w:rsidRPr="00DF79AE" w:rsidRDefault="000B2A5C" w:rsidP="000B2A5C">
      <w:pPr>
        <w:tabs>
          <w:tab w:val="left" w:pos="284"/>
        </w:tabs>
        <w:jc w:val="both"/>
        <w:rPr>
          <w:sz w:val="22"/>
          <w:szCs w:val="22"/>
          <w:lang w:val="sr-Latn-ME"/>
        </w:rPr>
      </w:pPr>
      <w:r w:rsidRPr="00DF79AE">
        <w:rPr>
          <w:sz w:val="22"/>
          <w:szCs w:val="22"/>
          <w:lang w:val="sr-Latn-ME"/>
        </w:rPr>
        <w:t xml:space="preserve">Primjena infektivnih agenasa koji se koriste u terapijske svrhe, poput živih atenuisanih bakterija, u druge svrhe (na primjer intravezikalna instilacija BCG-a za liječenje raka) mogla bi dovesti do kliničkih infekcija, uključujući diseminovane infekcije. Preporučuje se da se infektivni agensi koji se koriste u terapijske svrhe ne primjenjuju istovremeno sa golimumabom.  </w:t>
      </w:r>
    </w:p>
    <w:p w14:paraId="642CF701" w14:textId="77777777" w:rsidR="000B2A5C" w:rsidRPr="00DF79AE" w:rsidRDefault="000B2A5C" w:rsidP="000B2A5C">
      <w:pPr>
        <w:tabs>
          <w:tab w:val="left" w:pos="284"/>
        </w:tabs>
        <w:jc w:val="both"/>
        <w:rPr>
          <w:sz w:val="22"/>
          <w:szCs w:val="22"/>
          <w:lang w:val="sr-Latn-ME"/>
        </w:rPr>
      </w:pPr>
    </w:p>
    <w:p w14:paraId="2C0CD9ED" w14:textId="77777777" w:rsidR="000B2A5C" w:rsidRPr="00DF79AE" w:rsidRDefault="000B2A5C" w:rsidP="000B2A5C">
      <w:pPr>
        <w:tabs>
          <w:tab w:val="left" w:pos="284"/>
        </w:tabs>
        <w:jc w:val="both"/>
        <w:rPr>
          <w:sz w:val="22"/>
          <w:szCs w:val="22"/>
          <w:u w:val="single"/>
          <w:lang w:val="sr-Latn-ME"/>
        </w:rPr>
      </w:pPr>
      <w:r w:rsidRPr="00DF79AE">
        <w:rPr>
          <w:sz w:val="22"/>
          <w:szCs w:val="22"/>
          <w:u w:val="single"/>
          <w:lang w:val="sr-Latn-ME"/>
        </w:rPr>
        <w:t>Alergijske reakcije</w:t>
      </w:r>
    </w:p>
    <w:p w14:paraId="0411168B" w14:textId="77777777" w:rsidR="000B2A5C" w:rsidRPr="00DF79AE" w:rsidRDefault="000B2A5C" w:rsidP="000B2A5C">
      <w:pPr>
        <w:autoSpaceDE w:val="0"/>
        <w:autoSpaceDN w:val="0"/>
        <w:adjustRightInd w:val="0"/>
        <w:jc w:val="both"/>
        <w:rPr>
          <w:sz w:val="22"/>
          <w:szCs w:val="22"/>
          <w:lang w:val="sr-Latn-ME"/>
        </w:rPr>
      </w:pPr>
      <w:r w:rsidRPr="00DF79AE">
        <w:rPr>
          <w:sz w:val="22"/>
          <w:szCs w:val="22"/>
          <w:lang w:val="sr-Latn-ME"/>
        </w:rPr>
        <w:t>Tokom postmarketinškog praćenja lijeka, ozbiljne reakcije sistemske preosjetljivosti (uključujući i anafilaktičku reakciju) prijavljene su nakon primjene golimumaba. Neke od ovih reakcija su se pojavile nakon prve primjene golimumaba. Ukoliko dođe do anafilaktičke reakcije ili druge ozbiljne alergijske reakcije, primjenu golimumaba treba smjesta prekinuti i započeti s odgovarajućim liječenjem.</w:t>
      </w:r>
    </w:p>
    <w:p w14:paraId="1E9A83E0" w14:textId="77777777" w:rsidR="000B2A5C" w:rsidRPr="00DF79AE" w:rsidRDefault="000B2A5C" w:rsidP="000B2A5C">
      <w:pPr>
        <w:tabs>
          <w:tab w:val="left" w:pos="284"/>
        </w:tabs>
        <w:jc w:val="both"/>
        <w:rPr>
          <w:sz w:val="22"/>
          <w:szCs w:val="22"/>
          <w:lang w:val="sr-Latn-ME"/>
        </w:rPr>
      </w:pPr>
    </w:p>
    <w:p w14:paraId="28C1F6C0" w14:textId="77777777" w:rsidR="000B2A5C" w:rsidRPr="00DF79AE" w:rsidRDefault="000B2A5C" w:rsidP="000B2A5C">
      <w:pPr>
        <w:tabs>
          <w:tab w:val="left" w:pos="284"/>
          <w:tab w:val="left" w:pos="567"/>
        </w:tabs>
        <w:jc w:val="both"/>
        <w:rPr>
          <w:i/>
          <w:iCs/>
          <w:sz w:val="22"/>
          <w:szCs w:val="22"/>
          <w:lang w:val="sr-Latn-ME"/>
        </w:rPr>
      </w:pPr>
      <w:r w:rsidRPr="00DF79AE">
        <w:rPr>
          <w:i/>
          <w:iCs/>
          <w:sz w:val="22"/>
          <w:szCs w:val="22"/>
          <w:lang w:val="sr-Latn-ME"/>
        </w:rPr>
        <w:t>Osjetljivost na lateks</w:t>
      </w:r>
    </w:p>
    <w:p w14:paraId="3423FD71" w14:textId="77777777" w:rsidR="000B2A5C" w:rsidRPr="00DF79AE" w:rsidRDefault="000B2A5C" w:rsidP="000B2A5C">
      <w:pPr>
        <w:tabs>
          <w:tab w:val="left" w:pos="284"/>
        </w:tabs>
        <w:jc w:val="both"/>
        <w:rPr>
          <w:bCs/>
          <w:sz w:val="22"/>
          <w:szCs w:val="22"/>
          <w:lang w:val="sr-Latn-ME"/>
        </w:rPr>
      </w:pPr>
      <w:bookmarkStart w:id="0" w:name="OLE_LINK2"/>
      <w:r w:rsidRPr="00DF79AE">
        <w:rPr>
          <w:bCs/>
          <w:sz w:val="22"/>
          <w:szCs w:val="22"/>
          <w:lang w:val="sr-Latn-ME"/>
        </w:rPr>
        <w:t>Zaštitni poklopac na igli napunjenog injekcionog šprica napravljen je od suve prirodne gume koja sadrži lateks i može izazvati alergijske reakcije kod osoba preosjetljivih na lateks.</w:t>
      </w:r>
    </w:p>
    <w:bookmarkEnd w:id="0"/>
    <w:p w14:paraId="63BE9BC9" w14:textId="77777777" w:rsidR="000B2A5C" w:rsidRPr="00DF79AE" w:rsidRDefault="000B2A5C" w:rsidP="000B2A5C">
      <w:pPr>
        <w:tabs>
          <w:tab w:val="left" w:pos="284"/>
        </w:tabs>
        <w:jc w:val="both"/>
        <w:rPr>
          <w:sz w:val="22"/>
          <w:szCs w:val="22"/>
          <w:u w:val="single"/>
          <w:lang w:val="sr-Latn-ME"/>
        </w:rPr>
      </w:pPr>
    </w:p>
    <w:p w14:paraId="226B4FA7" w14:textId="77777777" w:rsidR="000B2A5C" w:rsidRPr="00DF79AE" w:rsidRDefault="000B2A5C" w:rsidP="000B2A5C">
      <w:pPr>
        <w:tabs>
          <w:tab w:val="left" w:pos="284"/>
        </w:tabs>
        <w:jc w:val="both"/>
        <w:rPr>
          <w:sz w:val="22"/>
          <w:szCs w:val="22"/>
          <w:u w:val="single"/>
          <w:lang w:val="sr-Latn-ME"/>
        </w:rPr>
      </w:pPr>
      <w:r w:rsidRPr="00DF79AE">
        <w:rPr>
          <w:sz w:val="22"/>
          <w:szCs w:val="22"/>
          <w:u w:val="single"/>
          <w:lang w:val="sr-Latn-ME"/>
        </w:rPr>
        <w:t>Posebne populacije</w:t>
      </w:r>
    </w:p>
    <w:p w14:paraId="09DB8726" w14:textId="77777777" w:rsidR="000B2A5C" w:rsidRPr="00DF79AE" w:rsidRDefault="000B2A5C" w:rsidP="000B2A5C">
      <w:pPr>
        <w:tabs>
          <w:tab w:val="left" w:pos="284"/>
          <w:tab w:val="left" w:pos="567"/>
        </w:tabs>
        <w:jc w:val="both"/>
        <w:rPr>
          <w:sz w:val="22"/>
          <w:szCs w:val="22"/>
          <w:lang w:val="sr-Latn-ME"/>
        </w:rPr>
      </w:pPr>
    </w:p>
    <w:p w14:paraId="45DC693D" w14:textId="77777777" w:rsidR="000B2A5C" w:rsidRPr="00DF79AE" w:rsidRDefault="000B2A5C" w:rsidP="000B2A5C">
      <w:pPr>
        <w:tabs>
          <w:tab w:val="left" w:pos="284"/>
          <w:tab w:val="left" w:pos="567"/>
        </w:tabs>
        <w:jc w:val="both"/>
        <w:rPr>
          <w:i/>
          <w:iCs/>
          <w:sz w:val="22"/>
          <w:szCs w:val="22"/>
          <w:lang w:val="sr-Latn-ME"/>
        </w:rPr>
      </w:pPr>
      <w:r w:rsidRPr="00DF79AE">
        <w:rPr>
          <w:i/>
          <w:iCs/>
          <w:sz w:val="22"/>
          <w:szCs w:val="22"/>
          <w:lang w:val="sr-Latn-ME"/>
        </w:rPr>
        <w:t>Starije osobe (≥65 godina)</w:t>
      </w:r>
    </w:p>
    <w:p w14:paraId="33BE17FC" w14:textId="77777777" w:rsidR="000B2A5C" w:rsidRPr="00DF79AE" w:rsidRDefault="000B2A5C" w:rsidP="000B2A5C">
      <w:pPr>
        <w:tabs>
          <w:tab w:val="left" w:pos="284"/>
        </w:tabs>
        <w:jc w:val="both"/>
        <w:rPr>
          <w:sz w:val="22"/>
          <w:szCs w:val="22"/>
          <w:lang w:val="sr-Latn-ME"/>
        </w:rPr>
      </w:pPr>
      <w:bookmarkStart w:id="1" w:name="OLE_LINK20"/>
      <w:r w:rsidRPr="00DF79AE">
        <w:rPr>
          <w:sz w:val="22"/>
          <w:szCs w:val="22"/>
          <w:lang w:val="sr-Latn-ME"/>
        </w:rPr>
        <w:t xml:space="preserve">U ispitivanjima faze III u reumatoidnom artritisu, psorijatičnom artritisu, ankilozirajućem spondilitisu i ulceroznom kolitisu, opšte gledano nije bilo razlika što se tiče ukupnih neželjenih dejstava, ozbiljnih neželjenih dejstava i ozbiljnih infekcija kod pacijenata od 65 godina i strarijih koji su primali golimumab, u poređenju s mlađim pacijentima. Međutim, potreban je oprez prilikom liječenja starijih osoba, pri čemu posebno treba obratiti pažnju na pojavu infekcije. Pacijenti starosti 45 godina i stariji nijesu bili uključeni u studiju </w:t>
      </w:r>
      <w:r w:rsidRPr="00DF79AE">
        <w:rPr>
          <w:sz w:val="22"/>
          <w:szCs w:val="22"/>
          <w:lang w:val="pt-BR"/>
        </w:rPr>
        <w:t>aksijalnog spondiloartritisa bez radiografskog dokaza</w:t>
      </w:r>
      <w:r w:rsidRPr="00DF79AE">
        <w:rPr>
          <w:sz w:val="22"/>
          <w:szCs w:val="22"/>
          <w:lang w:val="sr-Latn-ME"/>
        </w:rPr>
        <w:t>.</w:t>
      </w:r>
    </w:p>
    <w:p w14:paraId="1EAAFBAF" w14:textId="77777777" w:rsidR="000B2A5C" w:rsidRPr="00DF79AE" w:rsidRDefault="000B2A5C" w:rsidP="000B2A5C">
      <w:pPr>
        <w:tabs>
          <w:tab w:val="left" w:pos="284"/>
        </w:tabs>
        <w:jc w:val="both"/>
        <w:rPr>
          <w:sz w:val="22"/>
          <w:szCs w:val="22"/>
          <w:lang w:val="sr-Latn-ME"/>
        </w:rPr>
      </w:pPr>
    </w:p>
    <w:bookmarkEnd w:id="1"/>
    <w:p w14:paraId="208639F3" w14:textId="77777777" w:rsidR="000B2A5C" w:rsidRPr="00DF79AE" w:rsidRDefault="000B2A5C" w:rsidP="000B2A5C">
      <w:pPr>
        <w:tabs>
          <w:tab w:val="left" w:pos="284"/>
          <w:tab w:val="left" w:pos="567"/>
        </w:tabs>
        <w:jc w:val="both"/>
        <w:rPr>
          <w:i/>
          <w:iCs/>
          <w:sz w:val="22"/>
          <w:szCs w:val="22"/>
          <w:lang w:val="hr-HR"/>
        </w:rPr>
      </w:pPr>
      <w:r w:rsidRPr="00DF79AE">
        <w:rPr>
          <w:i/>
          <w:iCs/>
          <w:sz w:val="22"/>
          <w:szCs w:val="22"/>
          <w:lang w:val="hr-HR"/>
        </w:rPr>
        <w:t xml:space="preserve">Insuficijencija bubrega i jetre </w:t>
      </w:r>
    </w:p>
    <w:p w14:paraId="5869DCCB" w14:textId="77777777" w:rsidR="000B2A5C" w:rsidRPr="00DF79AE" w:rsidRDefault="000B2A5C" w:rsidP="000B2A5C">
      <w:pPr>
        <w:tabs>
          <w:tab w:val="left" w:pos="284"/>
        </w:tabs>
        <w:autoSpaceDE w:val="0"/>
        <w:autoSpaceDN w:val="0"/>
        <w:adjustRightInd w:val="0"/>
        <w:jc w:val="both"/>
        <w:rPr>
          <w:sz w:val="22"/>
          <w:szCs w:val="22"/>
          <w:lang w:val="sr-Latn-ME"/>
        </w:rPr>
      </w:pPr>
      <w:r w:rsidRPr="00DF79AE">
        <w:rPr>
          <w:bCs/>
          <w:iCs/>
          <w:sz w:val="22"/>
          <w:szCs w:val="22"/>
          <w:lang w:val="sr-Latn-ME"/>
        </w:rPr>
        <w:t>Nisu sprovedene posebne studije o primjeni lijeka</w:t>
      </w:r>
      <w:r w:rsidRPr="00DF79AE">
        <w:rPr>
          <w:sz w:val="22"/>
          <w:szCs w:val="22"/>
          <w:lang w:val="sr-Latn-ME"/>
        </w:rPr>
        <w:t xml:space="preserve"> Simponi kod pacijenata s oštećenom funkcijom bubrega ili jetre. Lijek Simponi treba primijeniti uz oprez kod pacijenata s poremećajem funkcije jetre (vidjeti dio 4.2).</w:t>
      </w:r>
    </w:p>
    <w:p w14:paraId="70483674" w14:textId="77777777" w:rsidR="000B2A5C" w:rsidRPr="00DF79AE" w:rsidRDefault="000B2A5C" w:rsidP="000B2A5C">
      <w:pPr>
        <w:tabs>
          <w:tab w:val="left" w:pos="284"/>
        </w:tabs>
        <w:jc w:val="both"/>
        <w:rPr>
          <w:sz w:val="22"/>
          <w:szCs w:val="22"/>
          <w:u w:val="single"/>
          <w:lang w:val="sr-Latn-ME"/>
        </w:rPr>
      </w:pPr>
    </w:p>
    <w:p w14:paraId="1D5DF0C3" w14:textId="77777777" w:rsidR="000B2A5C" w:rsidRPr="00DF79AE" w:rsidRDefault="000B2A5C" w:rsidP="000B2A5C">
      <w:pPr>
        <w:tabs>
          <w:tab w:val="left" w:pos="284"/>
        </w:tabs>
        <w:jc w:val="both"/>
        <w:rPr>
          <w:sz w:val="22"/>
          <w:szCs w:val="22"/>
          <w:u w:val="single"/>
          <w:lang w:val="sr-Latn-ME"/>
        </w:rPr>
      </w:pPr>
      <w:r w:rsidRPr="00DF79AE">
        <w:rPr>
          <w:sz w:val="22"/>
          <w:szCs w:val="22"/>
          <w:u w:val="single"/>
          <w:lang w:val="sr-Latn-ME"/>
        </w:rPr>
        <w:t>Pomoćne supstance</w:t>
      </w:r>
    </w:p>
    <w:p w14:paraId="37EA1C9E" w14:textId="77777777" w:rsidR="000B2A5C" w:rsidRPr="00DF79AE" w:rsidRDefault="000B2A5C" w:rsidP="000B2A5C">
      <w:pPr>
        <w:tabs>
          <w:tab w:val="left" w:pos="284"/>
        </w:tabs>
        <w:jc w:val="both"/>
        <w:rPr>
          <w:bCs/>
          <w:sz w:val="22"/>
          <w:szCs w:val="22"/>
          <w:lang w:val="sr-Latn-ME"/>
        </w:rPr>
      </w:pPr>
      <w:r w:rsidRPr="00DF79AE">
        <w:rPr>
          <w:sz w:val="22"/>
          <w:szCs w:val="22"/>
          <w:lang w:val="sr-Latn-ME"/>
        </w:rPr>
        <w:t xml:space="preserve">Lijek Simponi sadrži sorbitol (E420). Kod pacijenta sa rijetkim naslednim problemom intolerancije na fruktozu, treba uzeti u obzir aditivni efekat istovremeno primijenjenih proizvoda koji sadrže sorbitol (ili fruktozu) i dijetarni unos sorbitola (ili fruktoze) (vidjeti odjeljak 2). </w:t>
      </w:r>
    </w:p>
    <w:p w14:paraId="2B58A095" w14:textId="77777777" w:rsidR="000B2A5C" w:rsidRDefault="000B2A5C" w:rsidP="000B2A5C">
      <w:pPr>
        <w:tabs>
          <w:tab w:val="left" w:pos="540"/>
          <w:tab w:val="left" w:pos="569"/>
        </w:tabs>
        <w:jc w:val="both"/>
        <w:rPr>
          <w:bCs/>
          <w:sz w:val="22"/>
          <w:szCs w:val="22"/>
          <w:u w:val="single"/>
          <w:lang w:val="sr-Latn-ME"/>
        </w:rPr>
      </w:pPr>
    </w:p>
    <w:p w14:paraId="02153D0A" w14:textId="77777777" w:rsidR="000B2A5C" w:rsidRPr="00DF79AE" w:rsidRDefault="000B2A5C" w:rsidP="000B2A5C">
      <w:pPr>
        <w:tabs>
          <w:tab w:val="left" w:pos="540"/>
          <w:tab w:val="left" w:pos="569"/>
        </w:tabs>
        <w:jc w:val="both"/>
        <w:rPr>
          <w:bCs/>
          <w:sz w:val="22"/>
          <w:szCs w:val="22"/>
          <w:u w:val="single"/>
          <w:lang w:val="sr-Latn-ME"/>
        </w:rPr>
      </w:pPr>
      <w:r w:rsidRPr="00DF79AE">
        <w:rPr>
          <w:bCs/>
          <w:sz w:val="22"/>
          <w:szCs w:val="22"/>
          <w:u w:val="single"/>
          <w:lang w:val="sr-Latn-ME"/>
        </w:rPr>
        <w:t>Mogućnost grešaka pri primjeni lijeka</w:t>
      </w:r>
    </w:p>
    <w:p w14:paraId="03D351FF" w14:textId="77777777" w:rsidR="000B2A5C" w:rsidRPr="00DF79AE" w:rsidRDefault="000B2A5C" w:rsidP="000B2A5C">
      <w:pPr>
        <w:tabs>
          <w:tab w:val="left" w:pos="540"/>
          <w:tab w:val="left" w:pos="569"/>
        </w:tabs>
        <w:jc w:val="both"/>
        <w:rPr>
          <w:bCs/>
          <w:sz w:val="22"/>
          <w:szCs w:val="22"/>
          <w:lang w:val="sr-Latn-ME"/>
        </w:rPr>
      </w:pPr>
      <w:r w:rsidRPr="00DF79AE">
        <w:rPr>
          <w:bCs/>
          <w:sz w:val="22"/>
          <w:szCs w:val="22"/>
          <w:lang w:val="sr-Latn-ME"/>
        </w:rPr>
        <w:t>Lijek Simponi je registrovan u jačinama od 50 mg i 100 mg za subkutanu primjenu. Važno je upotrijebiti odgovarajuću jačinu lijeka kako bi se primijenila tačna doza, kao što je navedeno u doziranju (vidjeti dio 4.2). Treba paziti da se upotrijebi odgovarajuća jačina, kako bi se osiguralo da pacijenti ne prime premalu ili preveliku dozu.</w:t>
      </w:r>
    </w:p>
    <w:p w14:paraId="372681D5" w14:textId="77777777" w:rsidR="00057E35" w:rsidRPr="00FF1314" w:rsidRDefault="00057E35" w:rsidP="00480FB1">
      <w:pPr>
        <w:tabs>
          <w:tab w:val="left" w:pos="540"/>
          <w:tab w:val="left" w:pos="569"/>
        </w:tabs>
        <w:rPr>
          <w:bCs/>
          <w:sz w:val="22"/>
          <w:szCs w:val="22"/>
          <w:lang w:val="sr-Latn-ME"/>
        </w:rPr>
      </w:pPr>
    </w:p>
    <w:p w14:paraId="5B4F9B40" w14:textId="77777777" w:rsidR="00411B4B" w:rsidRPr="00FF1314" w:rsidRDefault="00411B4B" w:rsidP="00480FB1">
      <w:pPr>
        <w:tabs>
          <w:tab w:val="left" w:pos="540"/>
          <w:tab w:val="left" w:pos="569"/>
        </w:tabs>
        <w:rPr>
          <w:b/>
          <w:bCs/>
          <w:sz w:val="22"/>
          <w:szCs w:val="22"/>
          <w:lang w:val="sr-Latn-ME"/>
        </w:rPr>
      </w:pPr>
      <w:r w:rsidRPr="00FF1314">
        <w:rPr>
          <w:b/>
          <w:bCs/>
          <w:sz w:val="22"/>
          <w:szCs w:val="22"/>
          <w:lang w:val="sr-Latn-ME"/>
        </w:rPr>
        <w:t>4.5.</w:t>
      </w:r>
      <w:r w:rsidR="000D60CC" w:rsidRPr="00FF1314">
        <w:rPr>
          <w:b/>
          <w:bCs/>
          <w:sz w:val="22"/>
          <w:szCs w:val="22"/>
          <w:lang w:val="sr-Latn-ME"/>
        </w:rPr>
        <w:tab/>
      </w:r>
      <w:r w:rsidRPr="00FF1314">
        <w:rPr>
          <w:b/>
          <w:bCs/>
          <w:sz w:val="22"/>
          <w:szCs w:val="22"/>
          <w:lang w:val="sr-Latn-ME"/>
        </w:rPr>
        <w:t>Interakcije sa drugim ljekovima i druge vrste interakcija</w:t>
      </w:r>
    </w:p>
    <w:p w14:paraId="1803BC0C" w14:textId="361B53AA" w:rsidR="0072020E" w:rsidRPr="00FF1314" w:rsidRDefault="0072020E" w:rsidP="00480FB1">
      <w:pPr>
        <w:tabs>
          <w:tab w:val="left" w:pos="540"/>
          <w:tab w:val="left" w:pos="569"/>
        </w:tabs>
        <w:rPr>
          <w:bCs/>
          <w:sz w:val="22"/>
          <w:szCs w:val="22"/>
          <w:lang w:val="sr-Latn-ME"/>
        </w:rPr>
      </w:pPr>
    </w:p>
    <w:p w14:paraId="3ADE2B1F" w14:textId="77777777" w:rsidR="000B2A5C" w:rsidRPr="007C2FF4" w:rsidRDefault="000B2A5C" w:rsidP="000B2A5C">
      <w:pPr>
        <w:tabs>
          <w:tab w:val="left" w:pos="284"/>
        </w:tabs>
        <w:jc w:val="both"/>
        <w:rPr>
          <w:noProof/>
          <w:sz w:val="22"/>
          <w:szCs w:val="22"/>
          <w:lang w:val="sr-Latn-ME"/>
        </w:rPr>
      </w:pPr>
      <w:r w:rsidRPr="007C2FF4">
        <w:rPr>
          <w:noProof/>
          <w:sz w:val="22"/>
          <w:szCs w:val="22"/>
          <w:lang w:val="sr-Latn-ME"/>
        </w:rPr>
        <w:t>Nijesu sprovedena ispitivanja interakcija.</w:t>
      </w:r>
    </w:p>
    <w:p w14:paraId="782909DE" w14:textId="77777777" w:rsidR="000B2A5C" w:rsidRPr="007C2FF4" w:rsidRDefault="000B2A5C" w:rsidP="000B2A5C">
      <w:pPr>
        <w:tabs>
          <w:tab w:val="left" w:pos="284"/>
        </w:tabs>
        <w:jc w:val="both"/>
        <w:rPr>
          <w:sz w:val="22"/>
          <w:szCs w:val="22"/>
          <w:lang w:val="sr-Latn-ME"/>
        </w:rPr>
      </w:pPr>
    </w:p>
    <w:p w14:paraId="596C8009" w14:textId="77777777" w:rsidR="000B2A5C" w:rsidRPr="007C2FF4" w:rsidRDefault="000B2A5C" w:rsidP="000B2A5C">
      <w:pPr>
        <w:tabs>
          <w:tab w:val="left" w:pos="284"/>
        </w:tabs>
        <w:jc w:val="both"/>
        <w:rPr>
          <w:sz w:val="22"/>
          <w:szCs w:val="22"/>
          <w:lang w:val="sr-Latn-ME"/>
        </w:rPr>
      </w:pPr>
      <w:r w:rsidRPr="007C2FF4">
        <w:rPr>
          <w:noProof/>
          <w:sz w:val="22"/>
          <w:szCs w:val="22"/>
          <w:u w:val="single"/>
          <w:lang w:val="sr-Latn-ME"/>
        </w:rPr>
        <w:t>Istovremena primjena sa ostalim biološkim terapeuticima</w:t>
      </w:r>
    </w:p>
    <w:p w14:paraId="3278B2CF" w14:textId="77777777" w:rsidR="000B2A5C" w:rsidRPr="00FF1314" w:rsidRDefault="000B2A5C" w:rsidP="000B2A5C">
      <w:pPr>
        <w:tabs>
          <w:tab w:val="left" w:pos="567"/>
        </w:tabs>
        <w:jc w:val="both"/>
        <w:rPr>
          <w:bCs/>
          <w:noProof/>
          <w:color w:val="000000"/>
          <w:sz w:val="22"/>
          <w:szCs w:val="22"/>
          <w:lang w:val="sr-Latn-ME"/>
        </w:rPr>
      </w:pPr>
      <w:r w:rsidRPr="00FF1314">
        <w:rPr>
          <w:bCs/>
          <w:noProof/>
          <w:color w:val="000000"/>
          <w:sz w:val="22"/>
          <w:szCs w:val="22"/>
          <w:lang w:val="sr-Latn-ME"/>
        </w:rPr>
        <w:t>Ne preporučuje se istovremena primjena golimumaba sa drugim biološkim ljekovima koji se koriste za liječenje istih stanja kao i golimumab, uključujući anakinru i abatacept (vidi odjeljak 4.4).</w:t>
      </w:r>
    </w:p>
    <w:p w14:paraId="5B708B5C" w14:textId="77777777" w:rsidR="000B2A5C" w:rsidRPr="007C2FF4" w:rsidRDefault="000B2A5C" w:rsidP="000B2A5C">
      <w:pPr>
        <w:tabs>
          <w:tab w:val="left" w:pos="284"/>
        </w:tabs>
        <w:jc w:val="both"/>
        <w:rPr>
          <w:sz w:val="22"/>
          <w:szCs w:val="22"/>
          <w:lang w:val="sr-Latn-ME"/>
        </w:rPr>
      </w:pPr>
    </w:p>
    <w:p w14:paraId="079F324D" w14:textId="77777777" w:rsidR="000B2A5C" w:rsidRPr="007C2FF4" w:rsidRDefault="000B2A5C" w:rsidP="000B2A5C">
      <w:pPr>
        <w:tabs>
          <w:tab w:val="left" w:pos="284"/>
        </w:tabs>
        <w:jc w:val="both"/>
        <w:rPr>
          <w:sz w:val="22"/>
          <w:szCs w:val="22"/>
          <w:u w:val="single"/>
          <w:lang w:val="sr-Latn-ME"/>
        </w:rPr>
      </w:pPr>
      <w:r w:rsidRPr="007C2FF4">
        <w:rPr>
          <w:sz w:val="22"/>
          <w:szCs w:val="22"/>
          <w:u w:val="single"/>
          <w:lang w:val="sr-Latn-ME"/>
        </w:rPr>
        <w:t>Žive vakcine/infektivni agensi koji se koriste u terapijske svrhe</w:t>
      </w:r>
    </w:p>
    <w:p w14:paraId="5BEB6F14" w14:textId="751A3041" w:rsidR="000B2A5C" w:rsidRPr="00DF79AE" w:rsidRDefault="000B2A5C" w:rsidP="000B2A5C">
      <w:pPr>
        <w:tabs>
          <w:tab w:val="left" w:pos="284"/>
        </w:tabs>
        <w:jc w:val="both"/>
        <w:rPr>
          <w:sz w:val="22"/>
          <w:szCs w:val="22"/>
          <w:lang w:val="sr-Latn-ME"/>
        </w:rPr>
      </w:pPr>
      <w:r w:rsidRPr="007C2FF4">
        <w:rPr>
          <w:sz w:val="22"/>
          <w:szCs w:val="22"/>
          <w:lang w:val="sr-Latn-ME"/>
        </w:rPr>
        <w:t>Žive vakcine se ne smiju primjenjivati istovremeno sa golimumabom (vidjeti djelove 4.4 i 4.6).</w:t>
      </w:r>
    </w:p>
    <w:p w14:paraId="72114A4D" w14:textId="77777777" w:rsidR="000B2A5C" w:rsidRPr="007C2FF4" w:rsidRDefault="000B2A5C" w:rsidP="000B2A5C">
      <w:pPr>
        <w:tabs>
          <w:tab w:val="left" w:pos="284"/>
        </w:tabs>
        <w:jc w:val="both"/>
        <w:rPr>
          <w:sz w:val="22"/>
          <w:szCs w:val="22"/>
          <w:lang w:val="sr-Latn-ME"/>
        </w:rPr>
      </w:pPr>
      <w:r w:rsidRPr="007C2FF4">
        <w:rPr>
          <w:sz w:val="22"/>
          <w:szCs w:val="22"/>
          <w:lang w:val="sr-Latn-ME"/>
        </w:rPr>
        <w:lastRenderedPageBreak/>
        <w:t xml:space="preserve">Infektivni agensi koji se koriste u terapijske svrhe ne smiju se primjenjuju istovremeno sa golimumabom (vidjeti dio 4.4). </w:t>
      </w:r>
    </w:p>
    <w:p w14:paraId="1C5C50D4" w14:textId="77777777" w:rsidR="000B2A5C" w:rsidRPr="007C2FF4" w:rsidRDefault="000B2A5C" w:rsidP="000B2A5C">
      <w:pPr>
        <w:tabs>
          <w:tab w:val="left" w:pos="284"/>
        </w:tabs>
        <w:jc w:val="both"/>
        <w:rPr>
          <w:sz w:val="22"/>
          <w:szCs w:val="22"/>
          <w:lang w:val="sr-Latn-ME"/>
        </w:rPr>
      </w:pPr>
    </w:p>
    <w:p w14:paraId="1C959B60" w14:textId="77777777" w:rsidR="000B2A5C" w:rsidRPr="007C2FF4" w:rsidRDefault="000B2A5C" w:rsidP="000B2A5C">
      <w:pPr>
        <w:tabs>
          <w:tab w:val="left" w:pos="284"/>
        </w:tabs>
        <w:jc w:val="both"/>
        <w:rPr>
          <w:sz w:val="22"/>
          <w:szCs w:val="22"/>
          <w:u w:val="single"/>
          <w:lang w:val="sr-Latn-ME"/>
        </w:rPr>
      </w:pPr>
      <w:r w:rsidRPr="007C2FF4">
        <w:rPr>
          <w:sz w:val="22"/>
          <w:szCs w:val="22"/>
          <w:u w:val="single"/>
          <w:lang w:val="sr-Latn-ME"/>
        </w:rPr>
        <w:t>Metotreksat</w:t>
      </w:r>
    </w:p>
    <w:p w14:paraId="32767ADB" w14:textId="77777777" w:rsidR="000B2A5C" w:rsidRPr="007C2FF4" w:rsidRDefault="000B2A5C" w:rsidP="000B2A5C">
      <w:pPr>
        <w:tabs>
          <w:tab w:val="left" w:pos="284"/>
        </w:tabs>
        <w:jc w:val="both"/>
        <w:rPr>
          <w:sz w:val="22"/>
          <w:szCs w:val="22"/>
          <w:lang w:val="sr-Latn-ME"/>
        </w:rPr>
      </w:pPr>
      <w:r w:rsidRPr="007C2FF4">
        <w:rPr>
          <w:sz w:val="22"/>
          <w:szCs w:val="22"/>
          <w:lang w:val="sr-Latn-ME"/>
        </w:rPr>
        <w:t xml:space="preserve">Iako istovremena primjena metotreksata rezultira povećanim koncentracijama golimumaba u stanju dinamičke ravnoteže kod pacijenata s reumatoidnim artritisom, psorijatičnim artritisom i ankilozirajućim spondilitisom, podaci pokazuju da nema potrebe za prilagođavanjem doze golimumabom kao ni metotreksata (vidjeti dio 5.2). </w:t>
      </w:r>
    </w:p>
    <w:p w14:paraId="51656B9C" w14:textId="77777777" w:rsidR="000B2A5C" w:rsidRPr="00FF1314" w:rsidRDefault="000B2A5C" w:rsidP="00480FB1">
      <w:pPr>
        <w:tabs>
          <w:tab w:val="left" w:pos="540"/>
          <w:tab w:val="left" w:pos="569"/>
        </w:tabs>
        <w:rPr>
          <w:bCs/>
          <w:sz w:val="22"/>
          <w:szCs w:val="22"/>
          <w:lang w:val="sr-Latn-ME"/>
        </w:rPr>
      </w:pPr>
    </w:p>
    <w:p w14:paraId="6251CB02" w14:textId="77777777" w:rsidR="0072020E" w:rsidRPr="00FF1314" w:rsidRDefault="0072020E" w:rsidP="00480FB1">
      <w:pPr>
        <w:tabs>
          <w:tab w:val="left" w:pos="540"/>
          <w:tab w:val="left" w:pos="569"/>
        </w:tabs>
        <w:rPr>
          <w:b/>
          <w:sz w:val="22"/>
          <w:szCs w:val="22"/>
          <w:lang w:val="sr-Latn-ME"/>
        </w:rPr>
      </w:pPr>
      <w:r w:rsidRPr="00FF1314">
        <w:rPr>
          <w:b/>
          <w:bCs/>
          <w:sz w:val="22"/>
          <w:szCs w:val="22"/>
          <w:lang w:val="sr-Latn-ME"/>
        </w:rPr>
        <w:t xml:space="preserve">4.6. </w:t>
      </w:r>
      <w:r w:rsidR="00480FB1" w:rsidRPr="00FF1314">
        <w:rPr>
          <w:b/>
          <w:bCs/>
          <w:sz w:val="22"/>
          <w:szCs w:val="22"/>
          <w:lang w:val="sr-Latn-ME"/>
        </w:rPr>
        <w:tab/>
      </w:r>
      <w:r w:rsidR="006D20A5" w:rsidRPr="00FF1314">
        <w:rPr>
          <w:b/>
          <w:sz w:val="22"/>
          <w:szCs w:val="22"/>
          <w:lang w:val="sr-Latn-ME"/>
        </w:rPr>
        <w:t>Plodnost, trudnoća i dojenje</w:t>
      </w:r>
    </w:p>
    <w:p w14:paraId="76E603D5" w14:textId="77777777" w:rsidR="002031B3" w:rsidRPr="00FF1314" w:rsidRDefault="002031B3" w:rsidP="00480FB1">
      <w:pPr>
        <w:tabs>
          <w:tab w:val="left" w:pos="540"/>
          <w:tab w:val="left" w:pos="569"/>
        </w:tabs>
        <w:rPr>
          <w:sz w:val="22"/>
          <w:szCs w:val="22"/>
          <w:u w:val="single"/>
          <w:lang w:val="sr-Latn-ME"/>
        </w:rPr>
      </w:pPr>
    </w:p>
    <w:p w14:paraId="43C5F60E" w14:textId="77777777" w:rsidR="000B2A5C" w:rsidRPr="00FF1314" w:rsidRDefault="000B2A5C" w:rsidP="000B2A5C">
      <w:pPr>
        <w:tabs>
          <w:tab w:val="left" w:pos="540"/>
          <w:tab w:val="left" w:pos="569"/>
        </w:tabs>
        <w:rPr>
          <w:sz w:val="22"/>
          <w:szCs w:val="22"/>
          <w:u w:val="single"/>
          <w:lang w:val="sr-Latn-ME"/>
        </w:rPr>
      </w:pPr>
      <w:r w:rsidRPr="00FF1314">
        <w:rPr>
          <w:sz w:val="22"/>
          <w:szCs w:val="22"/>
          <w:u w:val="single"/>
          <w:lang w:val="sr-Latn-ME"/>
        </w:rPr>
        <w:t>Plodnost</w:t>
      </w:r>
    </w:p>
    <w:p w14:paraId="1C7D59C5" w14:textId="77777777" w:rsidR="000B2A5C" w:rsidRPr="007C2FF4" w:rsidRDefault="000B2A5C" w:rsidP="000B2A5C">
      <w:pPr>
        <w:jc w:val="both"/>
        <w:rPr>
          <w:sz w:val="22"/>
          <w:szCs w:val="22"/>
          <w:lang w:val="sr-Latn-ME"/>
        </w:rPr>
      </w:pPr>
      <w:r w:rsidRPr="007C2FF4">
        <w:rPr>
          <w:sz w:val="22"/>
          <w:szCs w:val="22"/>
          <w:lang w:val="sr-Latn-ME"/>
        </w:rPr>
        <w:t>Studije uticaja golimumaba na fertilitet životinja nijesu bile sprovedene. Studija plodnosti urađena na miševima, sa analognim antitijelom koje selektivno inhibira funkcionalnu aktivnost mišjeg TNFα, nije pokazala relevantni efekat na fertilitet (vidjeti dio 5.3).</w:t>
      </w:r>
    </w:p>
    <w:p w14:paraId="0FE99683" w14:textId="77777777" w:rsidR="000B2A5C" w:rsidRPr="007C2FF4" w:rsidRDefault="000B2A5C" w:rsidP="000B2A5C">
      <w:pPr>
        <w:tabs>
          <w:tab w:val="left" w:pos="284"/>
        </w:tabs>
        <w:jc w:val="both"/>
        <w:rPr>
          <w:sz w:val="22"/>
          <w:szCs w:val="22"/>
          <w:u w:val="single"/>
          <w:lang w:val="sr-Latn-ME"/>
        </w:rPr>
      </w:pPr>
    </w:p>
    <w:p w14:paraId="0F3FDF0F" w14:textId="77777777" w:rsidR="000B2A5C" w:rsidRPr="007C2FF4" w:rsidRDefault="000B2A5C" w:rsidP="000B2A5C">
      <w:pPr>
        <w:tabs>
          <w:tab w:val="left" w:pos="284"/>
        </w:tabs>
        <w:jc w:val="both"/>
        <w:rPr>
          <w:sz w:val="22"/>
          <w:szCs w:val="22"/>
          <w:u w:val="single"/>
          <w:lang w:val="sr-Latn-ME"/>
        </w:rPr>
      </w:pPr>
      <w:r w:rsidRPr="007C2FF4">
        <w:rPr>
          <w:sz w:val="22"/>
          <w:szCs w:val="22"/>
          <w:u w:val="single"/>
          <w:lang w:val="sr-Latn-ME"/>
        </w:rPr>
        <w:t>Žene u reproduktivnom periodu</w:t>
      </w:r>
    </w:p>
    <w:p w14:paraId="205CF028" w14:textId="77777777" w:rsidR="000B2A5C" w:rsidRPr="007C2FF4" w:rsidRDefault="000B2A5C" w:rsidP="000B2A5C">
      <w:pPr>
        <w:tabs>
          <w:tab w:val="left" w:pos="284"/>
        </w:tabs>
        <w:jc w:val="both"/>
        <w:rPr>
          <w:sz w:val="22"/>
          <w:szCs w:val="22"/>
          <w:lang w:val="sr-Latn-ME"/>
        </w:rPr>
      </w:pPr>
      <w:r w:rsidRPr="007C2FF4">
        <w:rPr>
          <w:sz w:val="22"/>
          <w:szCs w:val="22"/>
          <w:lang w:val="sr-Latn-ME"/>
        </w:rPr>
        <w:t xml:space="preserve">Žene u reproduktivnom dobu moraju da koriste odgovarajuću kontracepciju radi prevencije trudnoće tokom liječenja i barem 6 mjeseci nakon posljednje doze </w:t>
      </w:r>
      <w:r w:rsidRPr="007C2FF4">
        <w:rPr>
          <w:noProof/>
          <w:sz w:val="22"/>
          <w:szCs w:val="22"/>
          <w:lang w:val="sr-Latn-ME"/>
        </w:rPr>
        <w:t>golimumaba</w:t>
      </w:r>
      <w:r w:rsidRPr="007C2FF4">
        <w:rPr>
          <w:sz w:val="22"/>
          <w:szCs w:val="22"/>
          <w:lang w:val="sr-Latn-ME"/>
        </w:rPr>
        <w:t>.</w:t>
      </w:r>
    </w:p>
    <w:p w14:paraId="287600BB" w14:textId="77777777" w:rsidR="000B2A5C" w:rsidRPr="00FF1314" w:rsidRDefault="000B2A5C" w:rsidP="000B2A5C">
      <w:pPr>
        <w:tabs>
          <w:tab w:val="left" w:pos="540"/>
          <w:tab w:val="left" w:pos="569"/>
        </w:tabs>
        <w:rPr>
          <w:sz w:val="22"/>
          <w:szCs w:val="22"/>
          <w:u w:val="single"/>
          <w:lang w:val="sr-Latn-ME"/>
        </w:rPr>
      </w:pPr>
    </w:p>
    <w:p w14:paraId="5206C360" w14:textId="77777777" w:rsidR="000B2A5C" w:rsidRPr="00FF1314" w:rsidRDefault="000B2A5C" w:rsidP="000B2A5C">
      <w:pPr>
        <w:tabs>
          <w:tab w:val="left" w:pos="540"/>
          <w:tab w:val="left" w:pos="569"/>
        </w:tabs>
        <w:rPr>
          <w:sz w:val="22"/>
          <w:szCs w:val="22"/>
          <w:u w:val="single"/>
          <w:lang w:val="sr-Latn-ME"/>
        </w:rPr>
      </w:pPr>
      <w:r w:rsidRPr="00FF1314">
        <w:rPr>
          <w:sz w:val="22"/>
          <w:szCs w:val="22"/>
          <w:u w:val="single"/>
          <w:lang w:val="sr-Latn-ME"/>
        </w:rPr>
        <w:t>Trudnoća</w:t>
      </w:r>
    </w:p>
    <w:p w14:paraId="1CE38C24" w14:textId="28E8DC52" w:rsidR="00A434EC" w:rsidRPr="00FF1314" w:rsidRDefault="00A434EC" w:rsidP="00A434EC">
      <w:pPr>
        <w:jc w:val="both"/>
        <w:rPr>
          <w:sz w:val="22"/>
          <w:szCs w:val="22"/>
          <w:lang w:val="sr-Latn-ME"/>
        </w:rPr>
      </w:pPr>
      <w:bookmarkStart w:id="2" w:name="_Hlk140239181"/>
      <w:r w:rsidRPr="00FF1314">
        <w:rPr>
          <w:sz w:val="22"/>
          <w:szCs w:val="22"/>
          <w:lang w:val="sr-Latn-ME"/>
        </w:rPr>
        <w:t xml:space="preserve">Postoji umjerena količina podataka (približno 400 trudnoća) prikupljenih prospektivno tokom trudnoća izloženih golimumabu koje su završile živorođenom djecom sa poznatim ishodima, uključujući 220 trudnoća izloženih golimumabu tokom prvog trimestra. U populacionoj studiji sprovedenoj u Sjevernoj Evropi koja je obuhvatila 131 trudnoću (i 134 odojčadi) bilo je 6/134 (4,5%) događaja velikih kongenitalnih anomalija nakon izlaganja lijeku Simponi </w:t>
      </w:r>
      <w:r w:rsidRPr="00FF1314">
        <w:rPr>
          <w:i/>
          <w:iCs/>
          <w:sz w:val="22"/>
          <w:szCs w:val="22"/>
          <w:lang w:val="sr-Latn-ME"/>
        </w:rPr>
        <w:t>in utero</w:t>
      </w:r>
      <w:r w:rsidRPr="00FF1314">
        <w:rPr>
          <w:sz w:val="22"/>
          <w:szCs w:val="22"/>
          <w:lang w:val="sr-Latn-ME"/>
        </w:rPr>
        <w:t xml:space="preserve"> u odnosu na 599/10823 (5,5%) događaja kod primjene nebiološke sistemske terapije te u poređenju sa 4,6% u opštoj populaciji u studiji. Odnosi izgleda prilagođeni za ometajuće faktore bili su sljedeći: OR: 0,79 (95% CI: 0,35-1,81) za Simponi u odnosu na nebiološku sistemsku terapiju i OR: 0,95 (95% CI: 0,42-2,16) za Simponi u poređenju sa opštom populacijom.</w:t>
      </w:r>
    </w:p>
    <w:bookmarkEnd w:id="2"/>
    <w:p w14:paraId="6C96D380" w14:textId="77777777" w:rsidR="00A434EC" w:rsidRPr="007C2FF4" w:rsidRDefault="00A434EC" w:rsidP="000B2A5C">
      <w:pPr>
        <w:jc w:val="both"/>
        <w:rPr>
          <w:sz w:val="22"/>
          <w:szCs w:val="22"/>
          <w:lang w:val="sr-Latn-ME"/>
        </w:rPr>
      </w:pPr>
    </w:p>
    <w:p w14:paraId="6882119D" w14:textId="4495065F" w:rsidR="000B2A5C" w:rsidRPr="007C2FF4" w:rsidRDefault="000B2A5C" w:rsidP="000B2A5C">
      <w:pPr>
        <w:jc w:val="both"/>
        <w:rPr>
          <w:sz w:val="22"/>
          <w:szCs w:val="22"/>
          <w:lang w:val="sr-Latn-ME"/>
        </w:rPr>
      </w:pPr>
      <w:r w:rsidRPr="007C2FF4">
        <w:rPr>
          <w:sz w:val="22"/>
          <w:szCs w:val="22"/>
          <w:lang w:val="sr-Latn-ME"/>
        </w:rPr>
        <w:t xml:space="preserve">Zbog inhibicije TNF, golimumab primijenjen u trudnoći može uticati na normalni imunološki odgovor novorođenčeta. Istraživanja na životinjama ne ukazuju na direktna ili indirektna štetna dejstva na trudnoću, embrionalno-fetalni razvoj, porod i postporođajni razvoj (vidjeti dio 5.3). </w:t>
      </w:r>
      <w:r w:rsidR="00A434EC" w:rsidRPr="00FF1314">
        <w:rPr>
          <w:sz w:val="22"/>
          <w:szCs w:val="22"/>
          <w:lang w:val="sr-Latn-ME"/>
        </w:rPr>
        <w:t>Dostupno kliničko iskustvo je ograničeno. Golimumab se smije koristiti tokom trudnoće</w:t>
      </w:r>
      <w:r w:rsidR="00A434EC" w:rsidRPr="007C2FF4">
        <w:rPr>
          <w:sz w:val="22"/>
          <w:szCs w:val="22"/>
          <w:lang w:val="sr-Latn-ME"/>
        </w:rPr>
        <w:t xml:space="preserve"> </w:t>
      </w:r>
      <w:r w:rsidRPr="007C2FF4">
        <w:rPr>
          <w:sz w:val="22"/>
          <w:szCs w:val="22"/>
          <w:lang w:val="sr-Latn-ME"/>
        </w:rPr>
        <w:t>samo ako je neophodno.</w:t>
      </w:r>
    </w:p>
    <w:p w14:paraId="60EAA8C6" w14:textId="77777777" w:rsidR="000B2A5C" w:rsidRPr="007C2FF4" w:rsidRDefault="000B2A5C" w:rsidP="000B2A5C">
      <w:pPr>
        <w:jc w:val="both"/>
        <w:rPr>
          <w:sz w:val="22"/>
          <w:szCs w:val="22"/>
          <w:lang w:val="sr-Latn-ME"/>
        </w:rPr>
      </w:pPr>
    </w:p>
    <w:p w14:paraId="25598D9F" w14:textId="77777777" w:rsidR="000B2A5C" w:rsidRPr="007C2FF4" w:rsidRDefault="000B2A5C" w:rsidP="000B2A5C">
      <w:pPr>
        <w:jc w:val="both"/>
        <w:rPr>
          <w:sz w:val="22"/>
          <w:szCs w:val="22"/>
          <w:lang w:val="sr-Latn-ME"/>
        </w:rPr>
      </w:pPr>
      <w:r w:rsidRPr="007C2FF4">
        <w:rPr>
          <w:sz w:val="22"/>
          <w:szCs w:val="22"/>
          <w:lang w:val="sr-Latn-ME"/>
        </w:rPr>
        <w:t>Golimumab prolazi kroz placentu. Kod novorođenčeta čije su majke bile na terapiji TNF-blokirajućim monoklonskim antitijelima tokom trudnoće, primijećeno je prisustvo antitijela u serumu djeteta i do 6 mjeseci nakon rođenja djeteta. Posljedično, kod novorođenčadi postoji opasnost od pojave infekcija. Primjena žive vakcine kod novorođenčadi koja su bila izložena golimumabu in utero ne preporučuje se i do 6 mjeseci nakon posljednje injekcije golimumaba, koju je majka primila tokom trudnoće (vidjeti djelove 4.4 i 4.5).</w:t>
      </w:r>
    </w:p>
    <w:p w14:paraId="779AD07E" w14:textId="77777777" w:rsidR="000B2A5C" w:rsidRPr="00FF1314" w:rsidRDefault="000B2A5C" w:rsidP="000B2A5C">
      <w:pPr>
        <w:tabs>
          <w:tab w:val="left" w:pos="540"/>
          <w:tab w:val="left" w:pos="569"/>
        </w:tabs>
        <w:rPr>
          <w:sz w:val="22"/>
          <w:szCs w:val="22"/>
          <w:u w:val="single"/>
          <w:lang w:val="sr-Latn-ME"/>
        </w:rPr>
      </w:pPr>
    </w:p>
    <w:p w14:paraId="093D79C6" w14:textId="77777777" w:rsidR="000B2A5C" w:rsidRPr="00FF1314" w:rsidRDefault="000B2A5C" w:rsidP="000B2A5C">
      <w:pPr>
        <w:tabs>
          <w:tab w:val="left" w:pos="540"/>
          <w:tab w:val="left" w:pos="569"/>
        </w:tabs>
        <w:rPr>
          <w:b/>
          <w:bCs/>
          <w:sz w:val="22"/>
          <w:szCs w:val="22"/>
          <w:lang w:val="sr-Latn-ME"/>
        </w:rPr>
      </w:pPr>
      <w:r w:rsidRPr="00FF1314">
        <w:rPr>
          <w:sz w:val="22"/>
          <w:szCs w:val="22"/>
          <w:u w:val="single"/>
          <w:lang w:val="sr-Latn-ME"/>
        </w:rPr>
        <w:t xml:space="preserve">Dojenje </w:t>
      </w:r>
    </w:p>
    <w:p w14:paraId="1675481F" w14:textId="77777777" w:rsidR="000B2A5C" w:rsidRPr="007C2FF4" w:rsidRDefault="000B2A5C" w:rsidP="000B2A5C">
      <w:pPr>
        <w:jc w:val="both"/>
        <w:rPr>
          <w:sz w:val="22"/>
          <w:szCs w:val="22"/>
          <w:lang w:val="sr-Latn-ME"/>
        </w:rPr>
      </w:pPr>
      <w:r w:rsidRPr="007C2FF4">
        <w:rPr>
          <w:sz w:val="22"/>
          <w:szCs w:val="22"/>
          <w:lang w:val="sr-Latn-ME"/>
        </w:rPr>
        <w:t>Nije poznato da li se golimumab izlučuje u majčino mlijeko i da li ga dijete resorbuje sistemski nakon ingestije. Dokazano je da se golimumab izlučuje u mlijeko majmuna, a budući da se majčini imunoglobulini izlučuju u mlijeko, žene ne smiju da doje za vrijeme liječenja i barem 6 mjeseci nakon primjene golimumaba.</w:t>
      </w:r>
    </w:p>
    <w:p w14:paraId="3074407D" w14:textId="77777777" w:rsidR="00227BDB" w:rsidRPr="00FF1314" w:rsidRDefault="00227BDB" w:rsidP="00396DFD">
      <w:pPr>
        <w:tabs>
          <w:tab w:val="left" w:pos="540"/>
          <w:tab w:val="left" w:pos="569"/>
        </w:tabs>
        <w:ind w:left="540" w:hanging="540"/>
        <w:rPr>
          <w:b/>
          <w:bCs/>
          <w:sz w:val="22"/>
          <w:szCs w:val="22"/>
          <w:lang w:val="sr-Latn-ME"/>
        </w:rPr>
      </w:pPr>
    </w:p>
    <w:p w14:paraId="76DAD732" w14:textId="77777777" w:rsidR="0072020E" w:rsidRPr="00FF1314" w:rsidRDefault="0072020E" w:rsidP="00396DFD">
      <w:pPr>
        <w:tabs>
          <w:tab w:val="left" w:pos="540"/>
          <w:tab w:val="left" w:pos="569"/>
        </w:tabs>
        <w:ind w:left="540" w:hanging="540"/>
        <w:rPr>
          <w:b/>
          <w:bCs/>
          <w:sz w:val="22"/>
          <w:szCs w:val="22"/>
          <w:lang w:val="sr-Latn-ME"/>
        </w:rPr>
      </w:pPr>
      <w:r w:rsidRPr="00FF1314">
        <w:rPr>
          <w:b/>
          <w:bCs/>
          <w:sz w:val="22"/>
          <w:szCs w:val="22"/>
          <w:lang w:val="sr-Latn-ME"/>
        </w:rPr>
        <w:t xml:space="preserve">4.7. </w:t>
      </w:r>
      <w:r w:rsidR="00480FB1" w:rsidRPr="00FF1314">
        <w:rPr>
          <w:b/>
          <w:bCs/>
          <w:sz w:val="22"/>
          <w:szCs w:val="22"/>
          <w:lang w:val="sr-Latn-ME"/>
        </w:rPr>
        <w:tab/>
      </w:r>
      <w:r w:rsidRPr="00FF1314">
        <w:rPr>
          <w:b/>
          <w:bCs/>
          <w:sz w:val="22"/>
          <w:szCs w:val="22"/>
          <w:lang w:val="sr-Latn-ME"/>
        </w:rPr>
        <w:t xml:space="preserve">Uticaj na </w:t>
      </w:r>
      <w:r w:rsidR="002031B3" w:rsidRPr="00FF1314">
        <w:rPr>
          <w:b/>
          <w:bCs/>
          <w:sz w:val="22"/>
          <w:szCs w:val="22"/>
          <w:lang w:val="sr-Latn-ME"/>
        </w:rPr>
        <w:t xml:space="preserve">sposobnost </w:t>
      </w:r>
      <w:r w:rsidR="00F34554" w:rsidRPr="00FF1314">
        <w:rPr>
          <w:b/>
          <w:bCs/>
          <w:sz w:val="22"/>
          <w:szCs w:val="22"/>
          <w:lang w:val="sr-Latn-ME"/>
        </w:rPr>
        <w:t>upravljanja vozili</w:t>
      </w:r>
      <w:r w:rsidRPr="00FF1314">
        <w:rPr>
          <w:b/>
          <w:bCs/>
          <w:sz w:val="22"/>
          <w:szCs w:val="22"/>
          <w:lang w:val="sr-Latn-ME"/>
        </w:rPr>
        <w:t>m</w:t>
      </w:r>
      <w:r w:rsidR="00F34554" w:rsidRPr="00FF1314">
        <w:rPr>
          <w:b/>
          <w:bCs/>
          <w:sz w:val="22"/>
          <w:szCs w:val="22"/>
          <w:lang w:val="sr-Latn-ME"/>
        </w:rPr>
        <w:t>a</w:t>
      </w:r>
      <w:r w:rsidRPr="00FF1314">
        <w:rPr>
          <w:b/>
          <w:bCs/>
          <w:sz w:val="22"/>
          <w:szCs w:val="22"/>
          <w:lang w:val="sr-Latn-ME"/>
        </w:rPr>
        <w:t xml:space="preserve"> i </w:t>
      </w:r>
      <w:r w:rsidR="000D3449" w:rsidRPr="00FF1314">
        <w:rPr>
          <w:b/>
          <w:bCs/>
          <w:sz w:val="22"/>
          <w:szCs w:val="22"/>
          <w:lang w:val="sr-Latn-ME"/>
        </w:rPr>
        <w:t xml:space="preserve">rukovanje </w:t>
      </w:r>
      <w:r w:rsidRPr="00FF1314">
        <w:rPr>
          <w:b/>
          <w:bCs/>
          <w:sz w:val="22"/>
          <w:szCs w:val="22"/>
          <w:lang w:val="sr-Latn-ME"/>
        </w:rPr>
        <w:t>mašinama</w:t>
      </w:r>
    </w:p>
    <w:p w14:paraId="57FE4B39" w14:textId="5198AC3D" w:rsidR="000B2A5C" w:rsidRPr="00FF1314" w:rsidRDefault="000B2A5C" w:rsidP="00480FB1">
      <w:pPr>
        <w:tabs>
          <w:tab w:val="left" w:pos="540"/>
          <w:tab w:val="left" w:pos="569"/>
        </w:tabs>
        <w:rPr>
          <w:b/>
          <w:bCs/>
          <w:sz w:val="22"/>
          <w:szCs w:val="22"/>
          <w:lang w:val="sr-Latn-ME"/>
        </w:rPr>
      </w:pPr>
    </w:p>
    <w:p w14:paraId="50C74D1D" w14:textId="77777777" w:rsidR="000B2A5C" w:rsidRPr="007C2FF4" w:rsidRDefault="000B2A5C" w:rsidP="000B2A5C">
      <w:pPr>
        <w:tabs>
          <w:tab w:val="left" w:pos="284"/>
        </w:tabs>
        <w:jc w:val="both"/>
        <w:rPr>
          <w:sz w:val="22"/>
          <w:szCs w:val="22"/>
          <w:lang w:val="sr-Latn-ME"/>
        </w:rPr>
      </w:pPr>
      <w:r w:rsidRPr="007C2FF4">
        <w:rPr>
          <w:sz w:val="22"/>
          <w:szCs w:val="22"/>
          <w:lang w:val="sr-Latn-ME"/>
        </w:rPr>
        <w:t>Lijek Simponi u manjoj mjeri utiče na upravljanje vozilima i rukovanje mašinama. Nakon primjene lijeka Simponi može se javiti vrtoglavica (vidjeti dio 4.8).</w:t>
      </w:r>
    </w:p>
    <w:p w14:paraId="69147487" w14:textId="77777777" w:rsidR="000B2A5C" w:rsidRPr="00FF1314" w:rsidRDefault="000B2A5C" w:rsidP="00480FB1">
      <w:pPr>
        <w:tabs>
          <w:tab w:val="left" w:pos="540"/>
          <w:tab w:val="left" w:pos="569"/>
        </w:tabs>
        <w:rPr>
          <w:b/>
          <w:bCs/>
          <w:sz w:val="22"/>
          <w:szCs w:val="22"/>
          <w:lang w:val="sr-Latn-ME"/>
        </w:rPr>
      </w:pPr>
    </w:p>
    <w:p w14:paraId="659A74A1" w14:textId="77777777" w:rsidR="00F30B92" w:rsidRDefault="00F30B92" w:rsidP="00480FB1">
      <w:pPr>
        <w:tabs>
          <w:tab w:val="left" w:pos="540"/>
          <w:tab w:val="left" w:pos="569"/>
        </w:tabs>
        <w:rPr>
          <w:b/>
          <w:bCs/>
          <w:sz w:val="22"/>
          <w:szCs w:val="22"/>
          <w:lang w:val="sr-Latn-ME"/>
        </w:rPr>
      </w:pPr>
    </w:p>
    <w:p w14:paraId="1703E6FE" w14:textId="77777777" w:rsidR="00F30B92" w:rsidRDefault="00F30B92" w:rsidP="00480FB1">
      <w:pPr>
        <w:tabs>
          <w:tab w:val="left" w:pos="540"/>
          <w:tab w:val="left" w:pos="569"/>
        </w:tabs>
        <w:rPr>
          <w:b/>
          <w:bCs/>
          <w:sz w:val="22"/>
          <w:szCs w:val="22"/>
          <w:lang w:val="sr-Latn-ME"/>
        </w:rPr>
      </w:pPr>
    </w:p>
    <w:p w14:paraId="0EBC6F21" w14:textId="77777777" w:rsidR="00F30B92" w:rsidRDefault="00F30B92" w:rsidP="00480FB1">
      <w:pPr>
        <w:tabs>
          <w:tab w:val="left" w:pos="540"/>
          <w:tab w:val="left" w:pos="569"/>
        </w:tabs>
        <w:rPr>
          <w:b/>
          <w:bCs/>
          <w:sz w:val="22"/>
          <w:szCs w:val="22"/>
          <w:lang w:val="sr-Latn-ME"/>
        </w:rPr>
      </w:pPr>
    </w:p>
    <w:p w14:paraId="44FCFD48" w14:textId="2EF52C97" w:rsidR="0072020E" w:rsidRPr="00FF1314" w:rsidRDefault="0072020E" w:rsidP="00480FB1">
      <w:pPr>
        <w:tabs>
          <w:tab w:val="left" w:pos="540"/>
          <w:tab w:val="left" w:pos="569"/>
        </w:tabs>
        <w:rPr>
          <w:b/>
          <w:bCs/>
          <w:sz w:val="22"/>
          <w:szCs w:val="22"/>
          <w:lang w:val="sr-Latn-ME"/>
        </w:rPr>
      </w:pPr>
      <w:r w:rsidRPr="00FF1314">
        <w:rPr>
          <w:b/>
          <w:bCs/>
          <w:sz w:val="22"/>
          <w:szCs w:val="22"/>
          <w:lang w:val="sr-Latn-ME"/>
        </w:rPr>
        <w:lastRenderedPageBreak/>
        <w:t xml:space="preserve">4.8. </w:t>
      </w:r>
      <w:r w:rsidR="00480FB1" w:rsidRPr="00FF1314">
        <w:rPr>
          <w:b/>
          <w:bCs/>
          <w:sz w:val="22"/>
          <w:szCs w:val="22"/>
          <w:lang w:val="sr-Latn-ME"/>
        </w:rPr>
        <w:tab/>
      </w:r>
      <w:r w:rsidRPr="00FF1314">
        <w:rPr>
          <w:b/>
          <w:bCs/>
          <w:sz w:val="22"/>
          <w:szCs w:val="22"/>
          <w:lang w:val="sr-Latn-ME"/>
        </w:rPr>
        <w:t>Neželjena dejstva</w:t>
      </w:r>
    </w:p>
    <w:p w14:paraId="7E5CAB1A" w14:textId="77777777" w:rsidR="000B2A5C" w:rsidRPr="00FF1314" w:rsidRDefault="000B2A5C" w:rsidP="00480FB1">
      <w:pPr>
        <w:tabs>
          <w:tab w:val="left" w:pos="540"/>
          <w:tab w:val="left" w:pos="569"/>
        </w:tabs>
        <w:rPr>
          <w:b/>
          <w:bCs/>
          <w:sz w:val="22"/>
          <w:szCs w:val="22"/>
          <w:lang w:val="sr-Latn-ME"/>
        </w:rPr>
      </w:pPr>
    </w:p>
    <w:p w14:paraId="7488D003" w14:textId="77777777" w:rsidR="000B2A5C" w:rsidRPr="007C2FF4" w:rsidRDefault="000B2A5C" w:rsidP="000B2A5C">
      <w:pPr>
        <w:tabs>
          <w:tab w:val="left" w:pos="284"/>
        </w:tabs>
        <w:rPr>
          <w:sz w:val="22"/>
          <w:szCs w:val="22"/>
          <w:u w:val="single"/>
          <w:lang w:val="sr-Latn-ME"/>
        </w:rPr>
      </w:pPr>
      <w:r w:rsidRPr="007C2FF4">
        <w:rPr>
          <w:sz w:val="22"/>
          <w:szCs w:val="22"/>
          <w:u w:val="single"/>
          <w:lang w:val="sr-Latn-ME"/>
        </w:rPr>
        <w:t xml:space="preserve">Sažetak bezbjednosnog profila </w:t>
      </w:r>
    </w:p>
    <w:p w14:paraId="3FA0EBD7" w14:textId="77777777" w:rsidR="000B2A5C" w:rsidRPr="00DF79AE" w:rsidRDefault="000B2A5C" w:rsidP="000B2A5C">
      <w:pPr>
        <w:tabs>
          <w:tab w:val="left" w:pos="284"/>
        </w:tabs>
        <w:jc w:val="both"/>
        <w:rPr>
          <w:sz w:val="22"/>
          <w:szCs w:val="22"/>
          <w:lang w:val="sr-Latn-ME"/>
        </w:rPr>
      </w:pPr>
      <w:r w:rsidRPr="00DF79AE">
        <w:rPr>
          <w:sz w:val="22"/>
          <w:szCs w:val="22"/>
          <w:lang w:val="sr-Latn-ME"/>
        </w:rPr>
        <w:t xml:space="preserve">Infekcije gornjeg respiratornog trakta su najčešće neželjene reakcije prijavljene tokom kontrolisanih faza pivotalnih studija kod 12,6% pacijenata sa RA, PsA, AS, nr-Axial SpA i UC liječenih golimumabom, u poređenju sa 11,0% kontrolnih pacijenata. Najozbiljnije neželjene reakcije prijavljene na golimumab uključuju ozbiljne infekcije (uključujući sepsu, pneumoniju, TB, invazivne gljivične i oportunističke infekcije), poremećaje demijelinizacije, limfom, HBV reaktivaciju, hroničnu srčanu insuficijenciju, autoimune procese (sindrom sličan lupusu), hematološke reakcije, ozbiljnu sistemsku preosjetljivost (uključujući anafilaktičku reakciju), vaskulitis, limfom i leukemiju (vidjeti dio 4.4). </w:t>
      </w:r>
    </w:p>
    <w:p w14:paraId="1B846E8D" w14:textId="77777777" w:rsidR="000B2A5C" w:rsidRPr="00DF79AE" w:rsidRDefault="000B2A5C" w:rsidP="000B2A5C">
      <w:pPr>
        <w:tabs>
          <w:tab w:val="left" w:pos="284"/>
        </w:tabs>
        <w:jc w:val="both"/>
        <w:rPr>
          <w:sz w:val="22"/>
          <w:szCs w:val="22"/>
          <w:lang w:val="sr-Latn-ME"/>
        </w:rPr>
      </w:pPr>
    </w:p>
    <w:p w14:paraId="4291C9B9" w14:textId="77777777" w:rsidR="000B2A5C" w:rsidRPr="00DF79AE" w:rsidRDefault="000B2A5C" w:rsidP="000B2A5C">
      <w:pPr>
        <w:tabs>
          <w:tab w:val="left" w:pos="284"/>
        </w:tabs>
        <w:jc w:val="both"/>
        <w:rPr>
          <w:sz w:val="22"/>
          <w:szCs w:val="22"/>
          <w:u w:val="single"/>
          <w:lang w:val="sr-Latn-ME"/>
        </w:rPr>
      </w:pPr>
      <w:r w:rsidRPr="00DF79AE">
        <w:rPr>
          <w:sz w:val="22"/>
          <w:szCs w:val="22"/>
          <w:u w:val="single"/>
          <w:lang w:val="sr-Latn-ME"/>
        </w:rPr>
        <w:t>Tabelarni prikaz neželjenih dejstava</w:t>
      </w:r>
    </w:p>
    <w:p w14:paraId="6DF4A861" w14:textId="77777777" w:rsidR="000B2A5C" w:rsidRPr="00DF79AE" w:rsidRDefault="000B2A5C" w:rsidP="000B2A5C">
      <w:pPr>
        <w:tabs>
          <w:tab w:val="left" w:pos="284"/>
        </w:tabs>
        <w:jc w:val="both"/>
        <w:rPr>
          <w:sz w:val="22"/>
          <w:szCs w:val="22"/>
          <w:lang w:val="sr-Latn-ME"/>
        </w:rPr>
      </w:pPr>
      <w:r w:rsidRPr="00DF79AE">
        <w:rPr>
          <w:sz w:val="22"/>
          <w:szCs w:val="22"/>
          <w:lang w:val="sr-Latn-ME"/>
        </w:rPr>
        <w:t xml:space="preserve">Neželjena dejstva zabilježena u kliničkim ispitivanjima i prijavljena globalno nakon stavljanja u promet golimumaba prikazana su u Tabeli 1. Unutar svakog organskog sistema neželjena dejstva su razvrstana prema učestalosti ispoljavanja, pri čemu je korišćena sljedeća konvencija: </w:t>
      </w:r>
      <w:r w:rsidRPr="00DF79AE">
        <w:rPr>
          <w:noProof/>
          <w:sz w:val="22"/>
          <w:szCs w:val="22"/>
          <w:lang w:val="sr-Latn-ME"/>
        </w:rPr>
        <w:t xml:space="preserve">veoma česta (≥ 1/10), česta (od ≥ 1/100 do &lt; 1/10), povremena (od ≥1/1.000 do &lt; 1/100), rijetka (od ≥1/10.000 do &lt;1/1.000), veoma rijetka (&lt;1/10.000), nepoznate učestalosti (ne može se procijentiti na osnovu dostupnih podataka). </w:t>
      </w:r>
      <w:r w:rsidRPr="00DF79AE">
        <w:rPr>
          <w:sz w:val="22"/>
          <w:szCs w:val="22"/>
          <w:lang w:val="sr-Latn-ME"/>
        </w:rPr>
        <w:t>U okviru svake grupe učestalosti, neželjene reakcije su prikazane prema opadajućem stepenu ozbiljnosti.</w:t>
      </w:r>
    </w:p>
    <w:p w14:paraId="5DEC79D6" w14:textId="77777777" w:rsidR="000B2A5C" w:rsidRPr="00DF79AE" w:rsidRDefault="000B2A5C" w:rsidP="000B2A5C">
      <w:pPr>
        <w:tabs>
          <w:tab w:val="left" w:pos="284"/>
        </w:tabs>
        <w:jc w:val="center"/>
        <w:rPr>
          <w:b/>
          <w:sz w:val="22"/>
          <w:szCs w:val="22"/>
          <w:lang w:val="sr-Latn-ME"/>
        </w:rPr>
      </w:pPr>
    </w:p>
    <w:p w14:paraId="540AF676" w14:textId="77777777" w:rsidR="000B2A5C" w:rsidRPr="00DF79AE" w:rsidRDefault="000B2A5C" w:rsidP="000B2A5C">
      <w:pPr>
        <w:tabs>
          <w:tab w:val="left" w:pos="284"/>
        </w:tabs>
        <w:jc w:val="center"/>
        <w:rPr>
          <w:b/>
          <w:sz w:val="22"/>
          <w:szCs w:val="22"/>
          <w:lang w:val="sr-Latn-ME"/>
        </w:rPr>
      </w:pPr>
      <w:r w:rsidRPr="00DF79AE">
        <w:rPr>
          <w:b/>
          <w:sz w:val="22"/>
          <w:szCs w:val="22"/>
          <w:lang w:val="sr-Latn-ME"/>
        </w:rPr>
        <w:t>Tabela 1</w:t>
      </w:r>
    </w:p>
    <w:p w14:paraId="439DE00A" w14:textId="77777777" w:rsidR="000B2A5C" w:rsidRPr="00DF79AE" w:rsidRDefault="000B2A5C" w:rsidP="000B2A5C">
      <w:pPr>
        <w:tabs>
          <w:tab w:val="left" w:pos="284"/>
        </w:tabs>
        <w:jc w:val="center"/>
        <w:rPr>
          <w:b/>
          <w:sz w:val="22"/>
          <w:szCs w:val="22"/>
          <w:lang w:val="sr-Latn-ME"/>
        </w:rPr>
      </w:pPr>
      <w:r w:rsidRPr="00DF79AE">
        <w:rPr>
          <w:b/>
          <w:sz w:val="22"/>
          <w:szCs w:val="22"/>
          <w:lang w:val="sr-Latn-ME"/>
        </w:rPr>
        <w:t>Tabelarni prikaz neželjenih reakcija</w:t>
      </w:r>
    </w:p>
    <w:tbl>
      <w:tblPr>
        <w:tblW w:w="9451"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527"/>
        <w:gridCol w:w="6924"/>
      </w:tblGrid>
      <w:tr w:rsidR="000B2A5C" w:rsidRPr="00DF79AE" w14:paraId="02274318" w14:textId="77777777" w:rsidTr="00BC1FCA">
        <w:trPr>
          <w:jc w:val="center"/>
        </w:trPr>
        <w:tc>
          <w:tcPr>
            <w:tcW w:w="0" w:type="auto"/>
            <w:tcBorders>
              <w:top w:val="single" w:sz="4" w:space="0" w:color="auto"/>
              <w:left w:val="single" w:sz="4" w:space="0" w:color="auto"/>
              <w:bottom w:val="nil"/>
              <w:right w:val="nil"/>
            </w:tcBorders>
          </w:tcPr>
          <w:p w14:paraId="1AA8AAF0" w14:textId="77777777" w:rsidR="000B2A5C" w:rsidRPr="00DF79AE" w:rsidRDefault="000B2A5C" w:rsidP="00BC1FCA">
            <w:pPr>
              <w:keepNext/>
              <w:tabs>
                <w:tab w:val="left" w:pos="284"/>
              </w:tabs>
              <w:rPr>
                <w:sz w:val="22"/>
                <w:szCs w:val="22"/>
                <w:lang w:val="sr-Latn-ME"/>
              </w:rPr>
            </w:pPr>
            <w:r w:rsidRPr="00DF79AE">
              <w:rPr>
                <w:sz w:val="22"/>
                <w:szCs w:val="22"/>
                <w:lang w:val="sr-Latn-ME"/>
              </w:rPr>
              <w:t>Infekcije i infestacije</w:t>
            </w:r>
          </w:p>
        </w:tc>
        <w:tc>
          <w:tcPr>
            <w:tcW w:w="0" w:type="auto"/>
            <w:tcBorders>
              <w:top w:val="single" w:sz="4" w:space="0" w:color="auto"/>
              <w:left w:val="nil"/>
              <w:bottom w:val="nil"/>
              <w:right w:val="single" w:sz="4" w:space="0" w:color="auto"/>
            </w:tcBorders>
          </w:tcPr>
          <w:p w14:paraId="53B281B8" w14:textId="77777777" w:rsidR="000B2A5C" w:rsidRPr="00DF79AE" w:rsidRDefault="000B2A5C" w:rsidP="00BC1FCA">
            <w:pPr>
              <w:keepNext/>
              <w:tabs>
                <w:tab w:val="left" w:pos="284"/>
              </w:tabs>
              <w:rPr>
                <w:sz w:val="22"/>
                <w:szCs w:val="22"/>
                <w:lang w:val="sr-Latn-ME"/>
              </w:rPr>
            </w:pPr>
          </w:p>
        </w:tc>
      </w:tr>
      <w:tr w:rsidR="000B2A5C" w:rsidRPr="00DF79AE" w14:paraId="5F83E92D" w14:textId="77777777" w:rsidTr="00BC1FCA">
        <w:trPr>
          <w:jc w:val="center"/>
        </w:trPr>
        <w:tc>
          <w:tcPr>
            <w:tcW w:w="0" w:type="auto"/>
            <w:tcBorders>
              <w:top w:val="nil"/>
              <w:left w:val="single" w:sz="4" w:space="0" w:color="auto"/>
              <w:bottom w:val="nil"/>
              <w:right w:val="nil"/>
            </w:tcBorders>
          </w:tcPr>
          <w:p w14:paraId="37459BA1" w14:textId="77777777" w:rsidR="000B2A5C" w:rsidRPr="00DF79AE" w:rsidRDefault="000B2A5C" w:rsidP="00BC1FCA">
            <w:pPr>
              <w:keepNext/>
              <w:tabs>
                <w:tab w:val="left" w:pos="284"/>
              </w:tabs>
              <w:jc w:val="right"/>
              <w:rPr>
                <w:sz w:val="22"/>
                <w:szCs w:val="22"/>
                <w:lang w:val="sr-Latn-ME"/>
              </w:rPr>
            </w:pPr>
            <w:r w:rsidRPr="00DF79AE">
              <w:rPr>
                <w:sz w:val="22"/>
                <w:szCs w:val="22"/>
                <w:lang w:val="sr-Latn-ME"/>
              </w:rPr>
              <w:t xml:space="preserve">Veoma često: </w:t>
            </w:r>
          </w:p>
        </w:tc>
        <w:tc>
          <w:tcPr>
            <w:tcW w:w="0" w:type="auto"/>
            <w:tcBorders>
              <w:top w:val="nil"/>
              <w:left w:val="nil"/>
              <w:bottom w:val="nil"/>
              <w:right w:val="single" w:sz="4" w:space="0" w:color="auto"/>
            </w:tcBorders>
          </w:tcPr>
          <w:p w14:paraId="047033E7" w14:textId="77777777" w:rsidR="000B2A5C" w:rsidRPr="00DF79AE" w:rsidRDefault="000B2A5C" w:rsidP="00BC1FCA">
            <w:pPr>
              <w:keepNext/>
              <w:tabs>
                <w:tab w:val="left" w:pos="284"/>
              </w:tabs>
              <w:rPr>
                <w:sz w:val="22"/>
                <w:szCs w:val="22"/>
                <w:lang w:val="sr-Latn-ME"/>
              </w:rPr>
            </w:pPr>
            <w:r w:rsidRPr="00DF79AE">
              <w:rPr>
                <w:sz w:val="22"/>
                <w:szCs w:val="22"/>
                <w:lang w:val="sr-Latn-ME"/>
              </w:rPr>
              <w:t>Infekcije gornjih respiratornih puteva (nazofaringitis, faringitis, laringitis i rinitis)</w:t>
            </w:r>
          </w:p>
        </w:tc>
      </w:tr>
      <w:tr w:rsidR="000B2A5C" w:rsidRPr="00DF79AE" w14:paraId="2ED48AFE" w14:textId="77777777" w:rsidTr="00BC1FCA">
        <w:trPr>
          <w:jc w:val="center"/>
        </w:trPr>
        <w:tc>
          <w:tcPr>
            <w:tcW w:w="0" w:type="auto"/>
            <w:tcBorders>
              <w:top w:val="nil"/>
              <w:left w:val="single" w:sz="4" w:space="0" w:color="auto"/>
              <w:bottom w:val="nil"/>
              <w:right w:val="nil"/>
            </w:tcBorders>
          </w:tcPr>
          <w:p w14:paraId="62954F64" w14:textId="77777777" w:rsidR="000B2A5C" w:rsidRPr="00DF79AE" w:rsidRDefault="000B2A5C" w:rsidP="00BC1FCA">
            <w:pPr>
              <w:keepNext/>
              <w:tabs>
                <w:tab w:val="left" w:pos="284"/>
              </w:tabs>
              <w:jc w:val="right"/>
              <w:rPr>
                <w:sz w:val="22"/>
                <w:szCs w:val="22"/>
                <w:lang w:val="sr-Latn-ME"/>
              </w:rPr>
            </w:pPr>
            <w:r w:rsidRPr="00DF79AE">
              <w:rPr>
                <w:sz w:val="22"/>
                <w:szCs w:val="22"/>
                <w:lang w:val="sr-Latn-ME"/>
              </w:rPr>
              <w:t>Često:</w:t>
            </w:r>
          </w:p>
        </w:tc>
        <w:tc>
          <w:tcPr>
            <w:tcW w:w="0" w:type="auto"/>
            <w:tcBorders>
              <w:top w:val="nil"/>
              <w:left w:val="nil"/>
              <w:bottom w:val="nil"/>
              <w:right w:val="single" w:sz="4" w:space="0" w:color="auto"/>
            </w:tcBorders>
          </w:tcPr>
          <w:p w14:paraId="1513ACB0" w14:textId="77777777" w:rsidR="000B2A5C" w:rsidRPr="00DF79AE" w:rsidRDefault="000B2A5C" w:rsidP="00BC1FCA">
            <w:pPr>
              <w:keepNext/>
              <w:tabs>
                <w:tab w:val="left" w:pos="284"/>
              </w:tabs>
              <w:rPr>
                <w:sz w:val="22"/>
                <w:szCs w:val="22"/>
                <w:lang w:val="sr-Latn-ME"/>
              </w:rPr>
            </w:pPr>
            <w:r w:rsidRPr="00DF79AE">
              <w:rPr>
                <w:sz w:val="22"/>
                <w:szCs w:val="22"/>
                <w:lang w:val="sr-Latn-ME"/>
              </w:rPr>
              <w:t>Bakterijske infekcije (npr. celulitis), infekcije donjih respiratornih puteva (npr. pneumonija), virusne infekcije (npr. influenca i herpes), bronhitis, sinuzitis, površinske gljivične infekcije, apsces</w:t>
            </w:r>
          </w:p>
        </w:tc>
      </w:tr>
      <w:tr w:rsidR="000B2A5C" w:rsidRPr="00DF79AE" w14:paraId="3A265CB5" w14:textId="77777777" w:rsidTr="00BC1FCA">
        <w:trPr>
          <w:jc w:val="center"/>
        </w:trPr>
        <w:tc>
          <w:tcPr>
            <w:tcW w:w="0" w:type="auto"/>
            <w:tcBorders>
              <w:top w:val="nil"/>
              <w:left w:val="single" w:sz="4" w:space="0" w:color="auto"/>
              <w:bottom w:val="nil"/>
              <w:right w:val="nil"/>
            </w:tcBorders>
          </w:tcPr>
          <w:p w14:paraId="2AE50ED0" w14:textId="77777777" w:rsidR="000B2A5C" w:rsidRPr="00DF79AE" w:rsidRDefault="000B2A5C" w:rsidP="00BC1FCA">
            <w:pPr>
              <w:keepNext/>
              <w:tabs>
                <w:tab w:val="left" w:pos="284"/>
              </w:tabs>
              <w:jc w:val="right"/>
              <w:rPr>
                <w:sz w:val="22"/>
                <w:szCs w:val="22"/>
                <w:lang w:val="sr-Latn-ME"/>
              </w:rPr>
            </w:pPr>
            <w:r w:rsidRPr="00DF79AE">
              <w:rPr>
                <w:sz w:val="22"/>
                <w:szCs w:val="22"/>
                <w:lang w:val="sr-Latn-ME"/>
              </w:rPr>
              <w:t>Povremeno:</w:t>
            </w:r>
          </w:p>
        </w:tc>
        <w:tc>
          <w:tcPr>
            <w:tcW w:w="0" w:type="auto"/>
            <w:tcBorders>
              <w:top w:val="nil"/>
              <w:left w:val="nil"/>
              <w:bottom w:val="nil"/>
              <w:right w:val="single" w:sz="4" w:space="0" w:color="auto"/>
            </w:tcBorders>
          </w:tcPr>
          <w:p w14:paraId="3076018D" w14:textId="77777777" w:rsidR="000B2A5C" w:rsidRPr="00DF79AE" w:rsidRDefault="000B2A5C" w:rsidP="00BC1FCA">
            <w:pPr>
              <w:keepNext/>
              <w:tabs>
                <w:tab w:val="left" w:pos="284"/>
              </w:tabs>
              <w:rPr>
                <w:sz w:val="22"/>
                <w:szCs w:val="22"/>
                <w:lang w:val="sr-Latn-ME"/>
              </w:rPr>
            </w:pPr>
            <w:r w:rsidRPr="00DF79AE">
              <w:rPr>
                <w:sz w:val="22"/>
                <w:szCs w:val="22"/>
                <w:lang w:val="sr-Latn-ME"/>
              </w:rPr>
              <w:t>Sepsa uključujići i septički šok,  pijelonefritis</w:t>
            </w:r>
          </w:p>
        </w:tc>
      </w:tr>
      <w:tr w:rsidR="000B2A5C" w:rsidRPr="00DF79AE" w14:paraId="0F64E090" w14:textId="77777777" w:rsidTr="00BC1FCA">
        <w:trPr>
          <w:jc w:val="center"/>
        </w:trPr>
        <w:tc>
          <w:tcPr>
            <w:tcW w:w="0" w:type="auto"/>
            <w:tcBorders>
              <w:top w:val="nil"/>
              <w:left w:val="single" w:sz="4" w:space="0" w:color="auto"/>
              <w:bottom w:val="single" w:sz="4" w:space="0" w:color="auto"/>
              <w:right w:val="nil"/>
            </w:tcBorders>
          </w:tcPr>
          <w:p w14:paraId="6CBF6777" w14:textId="77777777" w:rsidR="000B2A5C" w:rsidRPr="00DF79AE" w:rsidRDefault="000B2A5C" w:rsidP="00BC1FCA">
            <w:pPr>
              <w:keepNext/>
              <w:tabs>
                <w:tab w:val="left" w:pos="284"/>
              </w:tabs>
              <w:jc w:val="right"/>
              <w:rPr>
                <w:sz w:val="22"/>
                <w:szCs w:val="22"/>
                <w:lang w:val="sr-Latn-ME"/>
              </w:rPr>
            </w:pPr>
            <w:r w:rsidRPr="00DF79AE">
              <w:rPr>
                <w:sz w:val="22"/>
                <w:szCs w:val="22"/>
                <w:lang w:val="sr-Latn-ME"/>
              </w:rPr>
              <w:t>Rijetko:</w:t>
            </w:r>
          </w:p>
        </w:tc>
        <w:tc>
          <w:tcPr>
            <w:tcW w:w="0" w:type="auto"/>
            <w:tcBorders>
              <w:top w:val="nil"/>
              <w:left w:val="nil"/>
              <w:bottom w:val="single" w:sz="4" w:space="0" w:color="auto"/>
              <w:right w:val="single" w:sz="4" w:space="0" w:color="auto"/>
            </w:tcBorders>
          </w:tcPr>
          <w:p w14:paraId="05F126A9" w14:textId="77777777" w:rsidR="000B2A5C" w:rsidRPr="00DF79AE" w:rsidRDefault="000B2A5C" w:rsidP="00BC1FCA">
            <w:pPr>
              <w:keepNext/>
              <w:tabs>
                <w:tab w:val="left" w:pos="284"/>
              </w:tabs>
              <w:rPr>
                <w:sz w:val="22"/>
                <w:szCs w:val="22"/>
                <w:lang w:val="sr-Latn-ME"/>
              </w:rPr>
            </w:pPr>
            <w:r w:rsidRPr="00DF79AE">
              <w:rPr>
                <w:sz w:val="22"/>
                <w:szCs w:val="22"/>
                <w:lang w:val="sr-Latn-ME"/>
              </w:rPr>
              <w:t xml:space="preserve">Tuberkuloza, oportunističke infekcije (npr. invazivne gljivične infekcije [histoplazmoza, kokcidioidomikoza, pneumocitoza], bakterijske, atipične mikobakterijske infekcije kao i infekcije protozoama), reaktivacija hepatitisa B, bakterijski artritis, infektivni burzitis </w:t>
            </w:r>
          </w:p>
        </w:tc>
      </w:tr>
      <w:tr w:rsidR="000B2A5C" w:rsidRPr="00DF79AE" w14:paraId="53C17B96" w14:textId="77777777" w:rsidTr="00BC1FCA">
        <w:trPr>
          <w:jc w:val="center"/>
        </w:trPr>
        <w:tc>
          <w:tcPr>
            <w:tcW w:w="0" w:type="auto"/>
            <w:tcBorders>
              <w:top w:val="single" w:sz="4" w:space="0" w:color="auto"/>
              <w:left w:val="single" w:sz="4" w:space="0" w:color="auto"/>
              <w:bottom w:val="nil"/>
              <w:right w:val="nil"/>
            </w:tcBorders>
          </w:tcPr>
          <w:p w14:paraId="2C07AC83" w14:textId="77777777" w:rsidR="000B2A5C" w:rsidRPr="00DF79AE" w:rsidRDefault="000B2A5C" w:rsidP="00BC1FCA">
            <w:pPr>
              <w:tabs>
                <w:tab w:val="left" w:pos="284"/>
              </w:tabs>
              <w:rPr>
                <w:sz w:val="22"/>
                <w:szCs w:val="22"/>
                <w:lang w:val="sr-Latn-ME"/>
              </w:rPr>
            </w:pPr>
            <w:r w:rsidRPr="00DF79AE">
              <w:rPr>
                <w:sz w:val="22"/>
                <w:szCs w:val="22"/>
                <w:lang w:val="sr-Latn-ME"/>
              </w:rPr>
              <w:t>Benigne, maligne i nespecifične neoplazme</w:t>
            </w:r>
          </w:p>
        </w:tc>
        <w:tc>
          <w:tcPr>
            <w:tcW w:w="0" w:type="auto"/>
            <w:tcBorders>
              <w:top w:val="single" w:sz="4" w:space="0" w:color="auto"/>
              <w:left w:val="nil"/>
              <w:bottom w:val="nil"/>
              <w:right w:val="single" w:sz="4" w:space="0" w:color="auto"/>
            </w:tcBorders>
          </w:tcPr>
          <w:p w14:paraId="3D71D9E8" w14:textId="77777777" w:rsidR="000B2A5C" w:rsidRPr="00DF79AE" w:rsidRDefault="000B2A5C" w:rsidP="00BC1FCA">
            <w:pPr>
              <w:tabs>
                <w:tab w:val="left" w:pos="284"/>
              </w:tabs>
              <w:rPr>
                <w:sz w:val="22"/>
                <w:szCs w:val="22"/>
                <w:lang w:val="sr-Latn-ME"/>
              </w:rPr>
            </w:pPr>
          </w:p>
        </w:tc>
      </w:tr>
      <w:tr w:rsidR="000B2A5C" w:rsidRPr="00DF79AE" w14:paraId="66211A1E" w14:textId="77777777" w:rsidTr="00BC1FCA">
        <w:trPr>
          <w:jc w:val="center"/>
        </w:trPr>
        <w:tc>
          <w:tcPr>
            <w:tcW w:w="0" w:type="auto"/>
            <w:tcBorders>
              <w:top w:val="nil"/>
              <w:left w:val="single" w:sz="4" w:space="0" w:color="auto"/>
              <w:bottom w:val="nil"/>
              <w:right w:val="nil"/>
            </w:tcBorders>
          </w:tcPr>
          <w:p w14:paraId="40AF0F52" w14:textId="77777777" w:rsidR="000B2A5C" w:rsidRPr="00DF79AE" w:rsidRDefault="000B2A5C" w:rsidP="00BC1FCA">
            <w:pPr>
              <w:tabs>
                <w:tab w:val="left" w:pos="284"/>
              </w:tabs>
              <w:jc w:val="right"/>
              <w:rPr>
                <w:sz w:val="22"/>
                <w:szCs w:val="22"/>
                <w:lang w:val="sr-Latn-ME"/>
              </w:rPr>
            </w:pPr>
            <w:r w:rsidRPr="00DF79AE">
              <w:rPr>
                <w:sz w:val="22"/>
                <w:szCs w:val="22"/>
                <w:lang w:val="sr-Latn-ME"/>
              </w:rPr>
              <w:t>Povremeno:</w:t>
            </w:r>
          </w:p>
        </w:tc>
        <w:tc>
          <w:tcPr>
            <w:tcW w:w="0" w:type="auto"/>
            <w:tcBorders>
              <w:top w:val="nil"/>
              <w:left w:val="nil"/>
              <w:bottom w:val="nil"/>
              <w:right w:val="single" w:sz="4" w:space="0" w:color="auto"/>
            </w:tcBorders>
          </w:tcPr>
          <w:p w14:paraId="16EB90DD" w14:textId="77777777" w:rsidR="000B2A5C" w:rsidRPr="00DF79AE" w:rsidRDefault="000B2A5C" w:rsidP="00BC1FCA">
            <w:pPr>
              <w:tabs>
                <w:tab w:val="left" w:pos="284"/>
              </w:tabs>
              <w:rPr>
                <w:sz w:val="22"/>
                <w:szCs w:val="22"/>
                <w:lang w:val="sr-Latn-ME"/>
              </w:rPr>
            </w:pPr>
            <w:r w:rsidRPr="00DF79AE">
              <w:rPr>
                <w:sz w:val="22"/>
                <w:szCs w:val="22"/>
                <w:lang w:val="sr-Latn-ME"/>
              </w:rPr>
              <w:t>Neoplazme (npr. rak kože, karcinom skvamoznih ćelija i melanocitni nevus)</w:t>
            </w:r>
          </w:p>
        </w:tc>
      </w:tr>
      <w:tr w:rsidR="000B2A5C" w:rsidRPr="00DF79AE" w14:paraId="5B9EC213" w14:textId="77777777" w:rsidTr="00BC1FCA">
        <w:trPr>
          <w:jc w:val="center"/>
        </w:trPr>
        <w:tc>
          <w:tcPr>
            <w:tcW w:w="0" w:type="auto"/>
            <w:tcBorders>
              <w:top w:val="nil"/>
              <w:left w:val="single" w:sz="4" w:space="0" w:color="auto"/>
              <w:bottom w:val="single" w:sz="4" w:space="0" w:color="auto"/>
              <w:right w:val="nil"/>
            </w:tcBorders>
          </w:tcPr>
          <w:p w14:paraId="1EF3D4B5" w14:textId="77777777" w:rsidR="000B2A5C" w:rsidRPr="00DF79AE" w:rsidRDefault="000B2A5C" w:rsidP="00BC1FCA">
            <w:pPr>
              <w:tabs>
                <w:tab w:val="left" w:pos="284"/>
              </w:tabs>
              <w:jc w:val="right"/>
              <w:rPr>
                <w:sz w:val="22"/>
                <w:szCs w:val="22"/>
                <w:lang w:val="sr-Latn-ME"/>
              </w:rPr>
            </w:pPr>
            <w:r w:rsidRPr="00DF79AE">
              <w:rPr>
                <w:sz w:val="22"/>
                <w:szCs w:val="22"/>
                <w:lang w:val="sr-Latn-ME"/>
              </w:rPr>
              <w:t>Rijetko:</w:t>
            </w:r>
          </w:p>
          <w:p w14:paraId="0B33D523" w14:textId="77777777" w:rsidR="000B2A5C" w:rsidRPr="00DF79AE" w:rsidRDefault="000B2A5C" w:rsidP="00BC1FCA">
            <w:pPr>
              <w:tabs>
                <w:tab w:val="left" w:pos="284"/>
              </w:tabs>
              <w:jc w:val="right"/>
              <w:rPr>
                <w:sz w:val="22"/>
                <w:szCs w:val="22"/>
                <w:lang w:val="sr-Latn-ME"/>
              </w:rPr>
            </w:pPr>
            <w:r w:rsidRPr="00DF79AE">
              <w:rPr>
                <w:sz w:val="22"/>
                <w:szCs w:val="22"/>
                <w:lang w:val="sr-Latn-ME"/>
              </w:rPr>
              <w:t>Nepoznata učestalost:</w:t>
            </w:r>
          </w:p>
        </w:tc>
        <w:tc>
          <w:tcPr>
            <w:tcW w:w="0" w:type="auto"/>
            <w:tcBorders>
              <w:top w:val="nil"/>
              <w:left w:val="nil"/>
              <w:bottom w:val="single" w:sz="4" w:space="0" w:color="auto"/>
              <w:right w:val="single" w:sz="4" w:space="0" w:color="auto"/>
            </w:tcBorders>
          </w:tcPr>
          <w:p w14:paraId="5E8447BA" w14:textId="77777777" w:rsidR="000B2A5C" w:rsidRPr="00DF79AE" w:rsidRDefault="000B2A5C" w:rsidP="00BC1FCA">
            <w:pPr>
              <w:tabs>
                <w:tab w:val="left" w:pos="284"/>
              </w:tabs>
              <w:rPr>
                <w:sz w:val="22"/>
                <w:szCs w:val="22"/>
                <w:lang w:val="sr-Latn-ME"/>
              </w:rPr>
            </w:pPr>
            <w:r w:rsidRPr="00DF79AE">
              <w:rPr>
                <w:sz w:val="22"/>
                <w:szCs w:val="22"/>
                <w:lang w:val="sr-Latn-ME"/>
              </w:rPr>
              <w:t>Limfom, leukemija, melanom, karcinom Merkelovih ćelija</w:t>
            </w:r>
          </w:p>
          <w:p w14:paraId="13C08443" w14:textId="7E09A869" w:rsidR="000B2A5C" w:rsidRPr="00DF79AE" w:rsidRDefault="000B2A5C" w:rsidP="00BC1FCA">
            <w:pPr>
              <w:tabs>
                <w:tab w:val="left" w:pos="284"/>
              </w:tabs>
              <w:rPr>
                <w:sz w:val="22"/>
                <w:szCs w:val="22"/>
                <w:lang w:val="sr-Latn-ME"/>
              </w:rPr>
            </w:pPr>
            <w:r w:rsidRPr="00DF79AE">
              <w:rPr>
                <w:sz w:val="22"/>
                <w:szCs w:val="22"/>
                <w:lang w:val="sr-Latn-ME"/>
              </w:rPr>
              <w:t>Hepatosplenični T-ćelijski limfom*</w:t>
            </w:r>
            <w:r w:rsidR="00517ED8" w:rsidRPr="00517ED8">
              <w:rPr>
                <w:sz w:val="22"/>
                <w:szCs w:val="22"/>
                <w:lang w:val="hr-HR"/>
              </w:rPr>
              <w:t>, Kapošijev sarkom</w:t>
            </w:r>
          </w:p>
        </w:tc>
      </w:tr>
      <w:tr w:rsidR="000B2A5C" w:rsidRPr="00DF79AE" w14:paraId="4224F8D5" w14:textId="77777777" w:rsidTr="00BC1FCA">
        <w:trPr>
          <w:jc w:val="center"/>
        </w:trPr>
        <w:tc>
          <w:tcPr>
            <w:tcW w:w="0" w:type="auto"/>
            <w:tcBorders>
              <w:top w:val="single" w:sz="4" w:space="0" w:color="auto"/>
              <w:left w:val="single" w:sz="4" w:space="0" w:color="auto"/>
              <w:bottom w:val="nil"/>
              <w:right w:val="nil"/>
            </w:tcBorders>
          </w:tcPr>
          <w:p w14:paraId="74883488" w14:textId="77777777" w:rsidR="000B2A5C" w:rsidRPr="00DF79AE" w:rsidRDefault="000B2A5C" w:rsidP="00BC1FCA">
            <w:pPr>
              <w:tabs>
                <w:tab w:val="left" w:pos="284"/>
              </w:tabs>
              <w:rPr>
                <w:sz w:val="22"/>
                <w:szCs w:val="22"/>
                <w:lang w:val="sr-Latn-ME"/>
              </w:rPr>
            </w:pPr>
            <w:r w:rsidRPr="00DF79AE">
              <w:rPr>
                <w:bCs/>
                <w:sz w:val="22"/>
                <w:szCs w:val="22"/>
                <w:lang w:val="sr-Latn-ME"/>
              </w:rPr>
              <w:t>Poremećaji na nivou krvi i limfnog sistema</w:t>
            </w:r>
          </w:p>
        </w:tc>
        <w:tc>
          <w:tcPr>
            <w:tcW w:w="0" w:type="auto"/>
            <w:tcBorders>
              <w:top w:val="single" w:sz="4" w:space="0" w:color="auto"/>
              <w:left w:val="nil"/>
              <w:bottom w:val="nil"/>
              <w:right w:val="single" w:sz="4" w:space="0" w:color="auto"/>
            </w:tcBorders>
          </w:tcPr>
          <w:p w14:paraId="2854393F" w14:textId="77777777" w:rsidR="000B2A5C" w:rsidRPr="00DF79AE" w:rsidRDefault="000B2A5C" w:rsidP="00BC1FCA">
            <w:pPr>
              <w:keepNext/>
              <w:tabs>
                <w:tab w:val="left" w:pos="284"/>
              </w:tabs>
              <w:rPr>
                <w:sz w:val="22"/>
                <w:szCs w:val="22"/>
                <w:lang w:val="sr-Latn-ME"/>
              </w:rPr>
            </w:pPr>
          </w:p>
        </w:tc>
      </w:tr>
      <w:tr w:rsidR="000B2A5C" w:rsidRPr="00DF79AE" w14:paraId="5790B794" w14:textId="77777777" w:rsidTr="00BC1FCA">
        <w:trPr>
          <w:jc w:val="center"/>
        </w:trPr>
        <w:tc>
          <w:tcPr>
            <w:tcW w:w="0" w:type="auto"/>
            <w:tcBorders>
              <w:top w:val="nil"/>
              <w:left w:val="single" w:sz="4" w:space="0" w:color="auto"/>
              <w:bottom w:val="nil"/>
              <w:right w:val="nil"/>
            </w:tcBorders>
            <w:vAlign w:val="center"/>
          </w:tcPr>
          <w:p w14:paraId="1F6AE024" w14:textId="77777777" w:rsidR="000B2A5C" w:rsidRPr="00DF79AE" w:rsidRDefault="000B2A5C" w:rsidP="00BC1FCA">
            <w:pPr>
              <w:tabs>
                <w:tab w:val="left" w:pos="284"/>
              </w:tabs>
              <w:jc w:val="right"/>
              <w:rPr>
                <w:sz w:val="22"/>
                <w:szCs w:val="22"/>
                <w:lang w:val="sr-Latn-ME"/>
              </w:rPr>
            </w:pPr>
            <w:r w:rsidRPr="00DF79AE">
              <w:rPr>
                <w:sz w:val="22"/>
                <w:szCs w:val="22"/>
                <w:lang w:val="sr-Latn-ME"/>
              </w:rPr>
              <w:t>Često:</w:t>
            </w:r>
          </w:p>
        </w:tc>
        <w:tc>
          <w:tcPr>
            <w:tcW w:w="0" w:type="auto"/>
            <w:tcBorders>
              <w:top w:val="nil"/>
              <w:left w:val="nil"/>
              <w:bottom w:val="nil"/>
              <w:right w:val="single" w:sz="4" w:space="0" w:color="auto"/>
            </w:tcBorders>
          </w:tcPr>
          <w:p w14:paraId="622599F8" w14:textId="77777777" w:rsidR="000B2A5C" w:rsidRPr="00DF79AE" w:rsidRDefault="000B2A5C" w:rsidP="00BC1FCA">
            <w:pPr>
              <w:tabs>
                <w:tab w:val="left" w:pos="284"/>
              </w:tabs>
              <w:rPr>
                <w:sz w:val="22"/>
                <w:szCs w:val="22"/>
                <w:lang w:val="sr-Latn-ME"/>
              </w:rPr>
            </w:pPr>
            <w:r w:rsidRPr="00DF79AE">
              <w:rPr>
                <w:sz w:val="22"/>
                <w:szCs w:val="22"/>
                <w:lang w:val="sr-Latn-ME"/>
              </w:rPr>
              <w:t>Leukopenija (uključujući neutropeniju), anemija</w:t>
            </w:r>
          </w:p>
        </w:tc>
      </w:tr>
      <w:tr w:rsidR="000B2A5C" w:rsidRPr="00DF79AE" w14:paraId="09641334" w14:textId="77777777" w:rsidTr="00BC1FCA">
        <w:trPr>
          <w:jc w:val="center"/>
        </w:trPr>
        <w:tc>
          <w:tcPr>
            <w:tcW w:w="0" w:type="auto"/>
            <w:tcBorders>
              <w:top w:val="nil"/>
              <w:left w:val="single" w:sz="4" w:space="0" w:color="auto"/>
              <w:bottom w:val="nil"/>
              <w:right w:val="nil"/>
            </w:tcBorders>
          </w:tcPr>
          <w:p w14:paraId="65DF859A" w14:textId="77777777" w:rsidR="000B2A5C" w:rsidRPr="00DF79AE" w:rsidRDefault="000B2A5C" w:rsidP="00BC1FCA">
            <w:pPr>
              <w:tabs>
                <w:tab w:val="left" w:pos="284"/>
              </w:tabs>
              <w:jc w:val="right"/>
              <w:rPr>
                <w:sz w:val="22"/>
                <w:szCs w:val="22"/>
                <w:lang w:val="sr-Latn-ME"/>
              </w:rPr>
            </w:pPr>
            <w:r w:rsidRPr="00DF79AE">
              <w:rPr>
                <w:sz w:val="22"/>
                <w:szCs w:val="22"/>
                <w:lang w:val="sr-Latn-ME"/>
              </w:rPr>
              <w:t>Povremeno:</w:t>
            </w:r>
          </w:p>
        </w:tc>
        <w:tc>
          <w:tcPr>
            <w:tcW w:w="0" w:type="auto"/>
            <w:tcBorders>
              <w:top w:val="nil"/>
              <w:left w:val="nil"/>
              <w:bottom w:val="nil"/>
              <w:right w:val="single" w:sz="4" w:space="0" w:color="auto"/>
            </w:tcBorders>
          </w:tcPr>
          <w:p w14:paraId="4B1540CF" w14:textId="77777777" w:rsidR="000B2A5C" w:rsidRPr="00DF79AE" w:rsidRDefault="000B2A5C" w:rsidP="00BC1FCA">
            <w:pPr>
              <w:tabs>
                <w:tab w:val="left" w:pos="284"/>
              </w:tabs>
              <w:rPr>
                <w:sz w:val="22"/>
                <w:szCs w:val="22"/>
                <w:lang w:val="sr-Latn-ME"/>
              </w:rPr>
            </w:pPr>
            <w:r w:rsidRPr="00DF79AE">
              <w:rPr>
                <w:sz w:val="22"/>
                <w:szCs w:val="22"/>
                <w:lang w:val="sr-Latn-ME"/>
              </w:rPr>
              <w:t>Trombocitopenija, pancitopenija</w:t>
            </w:r>
          </w:p>
        </w:tc>
      </w:tr>
      <w:tr w:rsidR="000B2A5C" w:rsidRPr="00DF79AE" w14:paraId="418626C2" w14:textId="77777777" w:rsidTr="00BC1FCA">
        <w:trPr>
          <w:jc w:val="center"/>
        </w:trPr>
        <w:tc>
          <w:tcPr>
            <w:tcW w:w="0" w:type="auto"/>
            <w:tcBorders>
              <w:top w:val="nil"/>
              <w:left w:val="single" w:sz="4" w:space="0" w:color="auto"/>
              <w:bottom w:val="single" w:sz="4" w:space="0" w:color="auto"/>
              <w:right w:val="nil"/>
            </w:tcBorders>
            <w:vAlign w:val="center"/>
          </w:tcPr>
          <w:p w14:paraId="5F4168BD" w14:textId="77777777" w:rsidR="000B2A5C" w:rsidRPr="00DF79AE" w:rsidRDefault="000B2A5C" w:rsidP="00BC1FCA">
            <w:pPr>
              <w:tabs>
                <w:tab w:val="left" w:pos="284"/>
              </w:tabs>
              <w:jc w:val="right"/>
              <w:rPr>
                <w:sz w:val="22"/>
                <w:szCs w:val="22"/>
                <w:lang w:val="sr-Latn-ME"/>
              </w:rPr>
            </w:pPr>
            <w:r w:rsidRPr="00DF79AE">
              <w:rPr>
                <w:sz w:val="22"/>
                <w:szCs w:val="22"/>
                <w:lang w:val="sr-Latn-ME"/>
              </w:rPr>
              <w:t>Rijetko:</w:t>
            </w:r>
          </w:p>
        </w:tc>
        <w:tc>
          <w:tcPr>
            <w:tcW w:w="0" w:type="auto"/>
            <w:tcBorders>
              <w:top w:val="nil"/>
              <w:left w:val="nil"/>
              <w:bottom w:val="single" w:sz="4" w:space="0" w:color="auto"/>
              <w:right w:val="single" w:sz="4" w:space="0" w:color="auto"/>
            </w:tcBorders>
          </w:tcPr>
          <w:p w14:paraId="6B5BF300" w14:textId="77777777" w:rsidR="000B2A5C" w:rsidRPr="00DF79AE" w:rsidRDefault="000B2A5C" w:rsidP="00BC1FCA">
            <w:pPr>
              <w:tabs>
                <w:tab w:val="left" w:pos="284"/>
              </w:tabs>
              <w:rPr>
                <w:sz w:val="22"/>
                <w:szCs w:val="22"/>
                <w:lang w:val="sr-Latn-ME"/>
              </w:rPr>
            </w:pPr>
            <w:r w:rsidRPr="00DF79AE">
              <w:rPr>
                <w:sz w:val="22"/>
                <w:szCs w:val="22"/>
                <w:lang w:val="sr-Latn-ME"/>
              </w:rPr>
              <w:t>Aplastična anemija, agranulocitoza</w:t>
            </w:r>
          </w:p>
        </w:tc>
      </w:tr>
      <w:tr w:rsidR="000B2A5C" w:rsidRPr="00DF79AE" w14:paraId="6DC26B99" w14:textId="77777777" w:rsidTr="00BC1FCA">
        <w:trPr>
          <w:jc w:val="center"/>
        </w:trPr>
        <w:tc>
          <w:tcPr>
            <w:tcW w:w="0" w:type="auto"/>
            <w:tcBorders>
              <w:top w:val="nil"/>
              <w:left w:val="single" w:sz="4" w:space="0" w:color="auto"/>
              <w:bottom w:val="nil"/>
              <w:right w:val="nil"/>
            </w:tcBorders>
          </w:tcPr>
          <w:p w14:paraId="5289BFB6" w14:textId="77777777" w:rsidR="000B2A5C" w:rsidRPr="00DF79AE" w:rsidRDefault="000B2A5C" w:rsidP="00BC1FCA">
            <w:pPr>
              <w:tabs>
                <w:tab w:val="left" w:pos="284"/>
              </w:tabs>
              <w:rPr>
                <w:sz w:val="22"/>
                <w:szCs w:val="22"/>
                <w:lang w:val="sr-Latn-ME"/>
              </w:rPr>
            </w:pPr>
            <w:r w:rsidRPr="00DF79AE">
              <w:rPr>
                <w:bCs/>
                <w:sz w:val="22"/>
                <w:szCs w:val="22"/>
                <w:lang w:val="sr-Latn-ME"/>
              </w:rPr>
              <w:t>Imunološki poremećaji</w:t>
            </w:r>
          </w:p>
        </w:tc>
        <w:tc>
          <w:tcPr>
            <w:tcW w:w="0" w:type="auto"/>
            <w:tcBorders>
              <w:top w:val="nil"/>
              <w:left w:val="nil"/>
              <w:bottom w:val="nil"/>
              <w:right w:val="single" w:sz="4" w:space="0" w:color="auto"/>
            </w:tcBorders>
          </w:tcPr>
          <w:p w14:paraId="098C7DCA" w14:textId="77777777" w:rsidR="000B2A5C" w:rsidRPr="00DF79AE" w:rsidRDefault="000B2A5C" w:rsidP="00BC1FCA">
            <w:pPr>
              <w:tabs>
                <w:tab w:val="left" w:pos="284"/>
              </w:tabs>
              <w:rPr>
                <w:sz w:val="22"/>
                <w:szCs w:val="22"/>
                <w:lang w:val="sr-Latn-ME"/>
              </w:rPr>
            </w:pPr>
          </w:p>
        </w:tc>
      </w:tr>
      <w:tr w:rsidR="000B2A5C" w:rsidRPr="00DF79AE" w14:paraId="7B29CAAD" w14:textId="77777777" w:rsidTr="00BC1FCA">
        <w:trPr>
          <w:jc w:val="center"/>
        </w:trPr>
        <w:tc>
          <w:tcPr>
            <w:tcW w:w="0" w:type="auto"/>
            <w:tcBorders>
              <w:top w:val="nil"/>
              <w:left w:val="single" w:sz="4" w:space="0" w:color="auto"/>
              <w:bottom w:val="single" w:sz="4" w:space="0" w:color="auto"/>
              <w:right w:val="nil"/>
            </w:tcBorders>
          </w:tcPr>
          <w:p w14:paraId="56A6B5C8" w14:textId="77777777" w:rsidR="000B2A5C" w:rsidRPr="00DF79AE" w:rsidRDefault="000B2A5C" w:rsidP="00BC1FCA">
            <w:pPr>
              <w:tabs>
                <w:tab w:val="left" w:pos="284"/>
              </w:tabs>
              <w:jc w:val="right"/>
              <w:rPr>
                <w:sz w:val="22"/>
                <w:szCs w:val="22"/>
                <w:lang w:val="sr-Latn-ME"/>
              </w:rPr>
            </w:pPr>
            <w:r w:rsidRPr="00DF79AE">
              <w:rPr>
                <w:sz w:val="22"/>
                <w:szCs w:val="22"/>
                <w:lang w:val="sr-Latn-ME"/>
              </w:rPr>
              <w:t>Često:</w:t>
            </w:r>
          </w:p>
          <w:p w14:paraId="54989465" w14:textId="77777777" w:rsidR="000B2A5C" w:rsidRPr="00DF79AE" w:rsidRDefault="000B2A5C" w:rsidP="00BC1FCA">
            <w:pPr>
              <w:tabs>
                <w:tab w:val="left" w:pos="284"/>
              </w:tabs>
              <w:jc w:val="right"/>
              <w:rPr>
                <w:sz w:val="22"/>
                <w:szCs w:val="22"/>
                <w:lang w:val="sr-Latn-ME"/>
              </w:rPr>
            </w:pPr>
          </w:p>
          <w:p w14:paraId="7C81BF41" w14:textId="77777777" w:rsidR="000B2A5C" w:rsidRPr="00DF79AE" w:rsidRDefault="000B2A5C" w:rsidP="00BC1FCA">
            <w:pPr>
              <w:tabs>
                <w:tab w:val="left" w:pos="284"/>
              </w:tabs>
              <w:jc w:val="right"/>
              <w:rPr>
                <w:sz w:val="22"/>
                <w:szCs w:val="22"/>
                <w:lang w:val="sr-Latn-ME"/>
              </w:rPr>
            </w:pPr>
            <w:r w:rsidRPr="00DF79AE">
              <w:rPr>
                <w:sz w:val="22"/>
                <w:szCs w:val="22"/>
                <w:lang w:val="sr-Latn-ME"/>
              </w:rPr>
              <w:t>Rijetko:</w:t>
            </w:r>
          </w:p>
        </w:tc>
        <w:tc>
          <w:tcPr>
            <w:tcW w:w="0" w:type="auto"/>
            <w:tcBorders>
              <w:top w:val="nil"/>
              <w:left w:val="nil"/>
              <w:bottom w:val="single" w:sz="4" w:space="0" w:color="auto"/>
              <w:right w:val="single" w:sz="4" w:space="0" w:color="auto"/>
            </w:tcBorders>
          </w:tcPr>
          <w:p w14:paraId="18931548" w14:textId="77777777" w:rsidR="000B2A5C" w:rsidRPr="00DF79AE" w:rsidRDefault="000B2A5C" w:rsidP="00BC1FCA">
            <w:pPr>
              <w:tabs>
                <w:tab w:val="left" w:pos="284"/>
              </w:tabs>
              <w:rPr>
                <w:sz w:val="22"/>
                <w:szCs w:val="22"/>
                <w:lang w:val="sr-Latn-ME"/>
              </w:rPr>
            </w:pPr>
            <w:r w:rsidRPr="00DF79AE">
              <w:rPr>
                <w:sz w:val="22"/>
                <w:szCs w:val="22"/>
                <w:lang w:val="sr-Latn-ME"/>
              </w:rPr>
              <w:t>Alergijske reakcije (bronhospazam, preosjetljivost, urtikarija), auto-antitijela pozitivna</w:t>
            </w:r>
          </w:p>
          <w:p w14:paraId="5DA41796" w14:textId="77777777" w:rsidR="000B2A5C" w:rsidRPr="00DF79AE" w:rsidRDefault="000B2A5C" w:rsidP="00BC1FCA">
            <w:pPr>
              <w:tabs>
                <w:tab w:val="left" w:pos="284"/>
              </w:tabs>
              <w:rPr>
                <w:sz w:val="22"/>
                <w:szCs w:val="22"/>
                <w:lang w:val="sr-Latn-ME"/>
              </w:rPr>
            </w:pPr>
            <w:r w:rsidRPr="00DF79AE">
              <w:rPr>
                <w:sz w:val="22"/>
                <w:szCs w:val="22"/>
                <w:lang w:val="sr-Latn-ME"/>
              </w:rPr>
              <w:t>Ozbiljne reakcije sistemske preosjetljivosti (uključujući anafilaktičku reakciju), vaskulitis (sistemski), sarkoidoza</w:t>
            </w:r>
          </w:p>
        </w:tc>
      </w:tr>
      <w:tr w:rsidR="000B2A5C" w:rsidRPr="00DF79AE" w14:paraId="01D84A25" w14:textId="77777777" w:rsidTr="00BC1FCA">
        <w:trPr>
          <w:jc w:val="center"/>
        </w:trPr>
        <w:tc>
          <w:tcPr>
            <w:tcW w:w="0" w:type="auto"/>
            <w:tcBorders>
              <w:top w:val="nil"/>
              <w:left w:val="single" w:sz="4" w:space="0" w:color="auto"/>
              <w:bottom w:val="nil"/>
              <w:right w:val="nil"/>
            </w:tcBorders>
          </w:tcPr>
          <w:p w14:paraId="0D51525A" w14:textId="77777777" w:rsidR="000B2A5C" w:rsidRPr="00DF79AE" w:rsidRDefault="000B2A5C" w:rsidP="00BC1FCA">
            <w:pPr>
              <w:tabs>
                <w:tab w:val="left" w:pos="284"/>
              </w:tabs>
              <w:rPr>
                <w:sz w:val="22"/>
                <w:szCs w:val="22"/>
                <w:lang w:val="sr-Latn-ME"/>
              </w:rPr>
            </w:pPr>
            <w:r w:rsidRPr="00DF79AE">
              <w:rPr>
                <w:sz w:val="22"/>
                <w:szCs w:val="22"/>
                <w:lang w:val="sr-Latn-ME"/>
              </w:rPr>
              <w:t>Endokrinološki poremećaji</w:t>
            </w:r>
          </w:p>
        </w:tc>
        <w:tc>
          <w:tcPr>
            <w:tcW w:w="0" w:type="auto"/>
            <w:tcBorders>
              <w:top w:val="nil"/>
              <w:left w:val="nil"/>
              <w:bottom w:val="nil"/>
              <w:right w:val="single" w:sz="4" w:space="0" w:color="auto"/>
            </w:tcBorders>
          </w:tcPr>
          <w:p w14:paraId="03D0F1C8" w14:textId="77777777" w:rsidR="000B2A5C" w:rsidRPr="00DF79AE" w:rsidRDefault="000B2A5C" w:rsidP="00BC1FCA">
            <w:pPr>
              <w:tabs>
                <w:tab w:val="left" w:pos="284"/>
              </w:tabs>
              <w:rPr>
                <w:sz w:val="22"/>
                <w:szCs w:val="22"/>
                <w:lang w:val="sr-Latn-ME"/>
              </w:rPr>
            </w:pPr>
          </w:p>
        </w:tc>
      </w:tr>
      <w:tr w:rsidR="000B2A5C" w:rsidRPr="00DF79AE" w14:paraId="67BA1E4B" w14:textId="77777777" w:rsidTr="00BC1FCA">
        <w:trPr>
          <w:jc w:val="center"/>
        </w:trPr>
        <w:tc>
          <w:tcPr>
            <w:tcW w:w="0" w:type="auto"/>
            <w:tcBorders>
              <w:top w:val="nil"/>
              <w:left w:val="single" w:sz="4" w:space="0" w:color="auto"/>
              <w:bottom w:val="single" w:sz="4" w:space="0" w:color="auto"/>
              <w:right w:val="nil"/>
            </w:tcBorders>
          </w:tcPr>
          <w:p w14:paraId="61A121AA" w14:textId="77777777" w:rsidR="000B2A5C" w:rsidRPr="00DF79AE" w:rsidRDefault="000B2A5C" w:rsidP="00BC1FCA">
            <w:pPr>
              <w:tabs>
                <w:tab w:val="left" w:pos="284"/>
              </w:tabs>
              <w:jc w:val="right"/>
              <w:rPr>
                <w:sz w:val="22"/>
                <w:szCs w:val="22"/>
                <w:lang w:val="sr-Latn-ME"/>
              </w:rPr>
            </w:pPr>
            <w:r w:rsidRPr="00DF79AE">
              <w:rPr>
                <w:sz w:val="22"/>
                <w:szCs w:val="22"/>
                <w:lang w:val="sr-Latn-ME"/>
              </w:rPr>
              <w:t>Povremeno:</w:t>
            </w:r>
          </w:p>
        </w:tc>
        <w:tc>
          <w:tcPr>
            <w:tcW w:w="0" w:type="auto"/>
            <w:tcBorders>
              <w:top w:val="nil"/>
              <w:left w:val="nil"/>
              <w:bottom w:val="single" w:sz="4" w:space="0" w:color="auto"/>
              <w:right w:val="single" w:sz="4" w:space="0" w:color="auto"/>
            </w:tcBorders>
          </w:tcPr>
          <w:p w14:paraId="7D9567C0" w14:textId="77777777" w:rsidR="000B2A5C" w:rsidRPr="00DF79AE" w:rsidRDefault="000B2A5C" w:rsidP="00BC1FCA">
            <w:pPr>
              <w:tabs>
                <w:tab w:val="left" w:pos="284"/>
              </w:tabs>
              <w:rPr>
                <w:sz w:val="22"/>
                <w:szCs w:val="22"/>
                <w:lang w:val="sr-Latn-ME"/>
              </w:rPr>
            </w:pPr>
            <w:r w:rsidRPr="00DF79AE">
              <w:rPr>
                <w:sz w:val="22"/>
                <w:szCs w:val="22"/>
                <w:lang w:val="sr-Latn-ME"/>
              </w:rPr>
              <w:t>Poremećaj štitne žlijezde (npr. hipotireoza, hipertireoza i guša)</w:t>
            </w:r>
          </w:p>
        </w:tc>
      </w:tr>
      <w:tr w:rsidR="000B2A5C" w:rsidRPr="00DF79AE" w14:paraId="437DA1A9" w14:textId="77777777" w:rsidTr="00BC1FCA">
        <w:trPr>
          <w:jc w:val="center"/>
        </w:trPr>
        <w:tc>
          <w:tcPr>
            <w:tcW w:w="0" w:type="auto"/>
            <w:tcBorders>
              <w:top w:val="nil"/>
              <w:left w:val="single" w:sz="4" w:space="0" w:color="auto"/>
              <w:bottom w:val="nil"/>
              <w:right w:val="nil"/>
            </w:tcBorders>
          </w:tcPr>
          <w:p w14:paraId="6A2912AA" w14:textId="77777777" w:rsidR="000B2A5C" w:rsidRPr="00DF79AE" w:rsidRDefault="000B2A5C" w:rsidP="00BC1FCA">
            <w:pPr>
              <w:tabs>
                <w:tab w:val="left" w:pos="284"/>
              </w:tabs>
              <w:rPr>
                <w:sz w:val="22"/>
                <w:szCs w:val="22"/>
                <w:lang w:val="sr-Latn-ME"/>
              </w:rPr>
            </w:pPr>
            <w:r w:rsidRPr="00DF79AE">
              <w:rPr>
                <w:sz w:val="22"/>
                <w:szCs w:val="22"/>
                <w:lang w:val="sr-Latn-ME"/>
              </w:rPr>
              <w:t>Poremećaji metabolizma i ishrane</w:t>
            </w:r>
          </w:p>
        </w:tc>
        <w:tc>
          <w:tcPr>
            <w:tcW w:w="0" w:type="auto"/>
            <w:tcBorders>
              <w:top w:val="nil"/>
              <w:left w:val="nil"/>
              <w:bottom w:val="nil"/>
              <w:right w:val="single" w:sz="4" w:space="0" w:color="auto"/>
            </w:tcBorders>
          </w:tcPr>
          <w:p w14:paraId="44BDE16B" w14:textId="77777777" w:rsidR="000B2A5C" w:rsidRPr="00DF79AE" w:rsidRDefault="000B2A5C" w:rsidP="00BC1FCA">
            <w:pPr>
              <w:tabs>
                <w:tab w:val="left" w:pos="284"/>
              </w:tabs>
              <w:rPr>
                <w:sz w:val="22"/>
                <w:szCs w:val="22"/>
                <w:lang w:val="sr-Latn-ME"/>
              </w:rPr>
            </w:pPr>
          </w:p>
        </w:tc>
      </w:tr>
      <w:tr w:rsidR="000B2A5C" w:rsidRPr="00DF79AE" w14:paraId="4D29AF6D" w14:textId="77777777" w:rsidTr="00BC1FCA">
        <w:trPr>
          <w:jc w:val="center"/>
        </w:trPr>
        <w:tc>
          <w:tcPr>
            <w:tcW w:w="0" w:type="auto"/>
            <w:tcBorders>
              <w:top w:val="nil"/>
              <w:left w:val="single" w:sz="4" w:space="0" w:color="auto"/>
              <w:bottom w:val="single" w:sz="4" w:space="0" w:color="auto"/>
              <w:right w:val="nil"/>
            </w:tcBorders>
          </w:tcPr>
          <w:p w14:paraId="45AF976D" w14:textId="77777777" w:rsidR="000B2A5C" w:rsidRPr="00DF79AE" w:rsidRDefault="000B2A5C" w:rsidP="00BC1FCA">
            <w:pPr>
              <w:tabs>
                <w:tab w:val="left" w:pos="284"/>
              </w:tabs>
              <w:jc w:val="right"/>
              <w:rPr>
                <w:sz w:val="22"/>
                <w:szCs w:val="22"/>
                <w:lang w:val="sr-Latn-ME"/>
              </w:rPr>
            </w:pPr>
            <w:r w:rsidRPr="00DF79AE">
              <w:rPr>
                <w:sz w:val="22"/>
                <w:szCs w:val="22"/>
                <w:lang w:val="sr-Latn-ME"/>
              </w:rPr>
              <w:t>Povremeno:</w:t>
            </w:r>
          </w:p>
        </w:tc>
        <w:tc>
          <w:tcPr>
            <w:tcW w:w="0" w:type="auto"/>
            <w:tcBorders>
              <w:top w:val="nil"/>
              <w:left w:val="nil"/>
              <w:bottom w:val="single" w:sz="4" w:space="0" w:color="auto"/>
              <w:right w:val="single" w:sz="4" w:space="0" w:color="auto"/>
            </w:tcBorders>
          </w:tcPr>
          <w:p w14:paraId="7C5111ED" w14:textId="77777777" w:rsidR="000B2A5C" w:rsidRPr="00DF79AE" w:rsidRDefault="000B2A5C" w:rsidP="00BC1FCA">
            <w:pPr>
              <w:tabs>
                <w:tab w:val="left" w:pos="284"/>
              </w:tabs>
              <w:rPr>
                <w:sz w:val="22"/>
                <w:szCs w:val="22"/>
                <w:lang w:val="sr-Latn-ME"/>
              </w:rPr>
            </w:pPr>
            <w:r w:rsidRPr="00DF79AE">
              <w:rPr>
                <w:sz w:val="22"/>
                <w:szCs w:val="22"/>
                <w:lang w:val="sr-Latn-ME"/>
              </w:rPr>
              <w:t>Povišen nivo glukoze u krvi, povišen nivo lipida</w:t>
            </w:r>
          </w:p>
        </w:tc>
      </w:tr>
      <w:tr w:rsidR="000B2A5C" w:rsidRPr="00DF79AE" w14:paraId="3311D8D1" w14:textId="77777777" w:rsidTr="00BC1FCA">
        <w:trPr>
          <w:jc w:val="center"/>
        </w:trPr>
        <w:tc>
          <w:tcPr>
            <w:tcW w:w="0" w:type="auto"/>
            <w:tcBorders>
              <w:top w:val="nil"/>
              <w:left w:val="single" w:sz="4" w:space="0" w:color="auto"/>
              <w:bottom w:val="nil"/>
              <w:right w:val="nil"/>
            </w:tcBorders>
          </w:tcPr>
          <w:p w14:paraId="533BCC07" w14:textId="77777777" w:rsidR="000B2A5C" w:rsidRPr="00DF79AE" w:rsidRDefault="000B2A5C" w:rsidP="00BC1FCA">
            <w:pPr>
              <w:tabs>
                <w:tab w:val="left" w:pos="284"/>
              </w:tabs>
              <w:rPr>
                <w:sz w:val="22"/>
                <w:szCs w:val="22"/>
                <w:lang w:val="sr-Latn-ME"/>
              </w:rPr>
            </w:pPr>
            <w:r w:rsidRPr="00DF79AE">
              <w:rPr>
                <w:bCs/>
                <w:sz w:val="22"/>
                <w:szCs w:val="22"/>
                <w:lang w:val="sr-Latn-ME"/>
              </w:rPr>
              <w:t>Psihijatrijski poremećaji</w:t>
            </w:r>
          </w:p>
        </w:tc>
        <w:tc>
          <w:tcPr>
            <w:tcW w:w="0" w:type="auto"/>
            <w:tcBorders>
              <w:top w:val="nil"/>
              <w:left w:val="nil"/>
              <w:bottom w:val="nil"/>
              <w:right w:val="single" w:sz="4" w:space="0" w:color="auto"/>
            </w:tcBorders>
          </w:tcPr>
          <w:p w14:paraId="380F03CE" w14:textId="77777777" w:rsidR="000B2A5C" w:rsidRPr="00DF79AE" w:rsidRDefault="000B2A5C" w:rsidP="00BC1FCA">
            <w:pPr>
              <w:tabs>
                <w:tab w:val="left" w:pos="284"/>
              </w:tabs>
              <w:rPr>
                <w:sz w:val="22"/>
                <w:szCs w:val="22"/>
                <w:lang w:val="sr-Latn-ME"/>
              </w:rPr>
            </w:pPr>
          </w:p>
        </w:tc>
      </w:tr>
      <w:tr w:rsidR="000B2A5C" w:rsidRPr="00DF79AE" w14:paraId="19BAAAB8" w14:textId="77777777" w:rsidTr="00BC1FCA">
        <w:trPr>
          <w:jc w:val="center"/>
        </w:trPr>
        <w:tc>
          <w:tcPr>
            <w:tcW w:w="0" w:type="auto"/>
            <w:tcBorders>
              <w:top w:val="nil"/>
              <w:left w:val="single" w:sz="4" w:space="0" w:color="auto"/>
              <w:bottom w:val="single" w:sz="4" w:space="0" w:color="auto"/>
              <w:right w:val="nil"/>
            </w:tcBorders>
          </w:tcPr>
          <w:p w14:paraId="4EB7A1BE" w14:textId="77777777" w:rsidR="000B2A5C" w:rsidRPr="00DF79AE" w:rsidRDefault="000B2A5C" w:rsidP="00BC1FCA">
            <w:pPr>
              <w:tabs>
                <w:tab w:val="left" w:pos="284"/>
              </w:tabs>
              <w:jc w:val="right"/>
              <w:rPr>
                <w:sz w:val="22"/>
                <w:szCs w:val="22"/>
                <w:lang w:val="sr-Latn-ME"/>
              </w:rPr>
            </w:pPr>
            <w:r w:rsidRPr="00DF79AE">
              <w:rPr>
                <w:sz w:val="22"/>
                <w:szCs w:val="22"/>
                <w:lang w:val="sr-Latn-ME"/>
              </w:rPr>
              <w:t>Često:</w:t>
            </w:r>
          </w:p>
        </w:tc>
        <w:tc>
          <w:tcPr>
            <w:tcW w:w="0" w:type="auto"/>
            <w:tcBorders>
              <w:top w:val="nil"/>
              <w:left w:val="nil"/>
              <w:bottom w:val="single" w:sz="4" w:space="0" w:color="auto"/>
              <w:right w:val="single" w:sz="4" w:space="0" w:color="auto"/>
            </w:tcBorders>
          </w:tcPr>
          <w:p w14:paraId="75C4CB5D" w14:textId="77777777" w:rsidR="000B2A5C" w:rsidRPr="00DF79AE" w:rsidRDefault="000B2A5C" w:rsidP="00BC1FCA">
            <w:pPr>
              <w:tabs>
                <w:tab w:val="left" w:pos="284"/>
              </w:tabs>
              <w:rPr>
                <w:sz w:val="22"/>
                <w:szCs w:val="22"/>
                <w:lang w:val="sr-Latn-ME"/>
              </w:rPr>
            </w:pPr>
            <w:r w:rsidRPr="00DF79AE">
              <w:rPr>
                <w:sz w:val="22"/>
                <w:szCs w:val="22"/>
                <w:lang w:val="sr-Latn-ME"/>
              </w:rPr>
              <w:t>Depresija, nesanica</w:t>
            </w:r>
          </w:p>
        </w:tc>
      </w:tr>
      <w:tr w:rsidR="000B2A5C" w:rsidRPr="00DF79AE" w14:paraId="669E46C3" w14:textId="77777777" w:rsidTr="00BC1FCA">
        <w:trPr>
          <w:jc w:val="center"/>
        </w:trPr>
        <w:tc>
          <w:tcPr>
            <w:tcW w:w="0" w:type="auto"/>
            <w:tcBorders>
              <w:top w:val="single" w:sz="4" w:space="0" w:color="auto"/>
              <w:left w:val="single" w:sz="4" w:space="0" w:color="auto"/>
              <w:bottom w:val="nil"/>
              <w:right w:val="nil"/>
            </w:tcBorders>
          </w:tcPr>
          <w:p w14:paraId="2934191B" w14:textId="77777777" w:rsidR="000B2A5C" w:rsidRPr="00DF79AE" w:rsidRDefault="000B2A5C" w:rsidP="00BC1FCA">
            <w:pPr>
              <w:tabs>
                <w:tab w:val="left" w:pos="284"/>
              </w:tabs>
              <w:rPr>
                <w:sz w:val="22"/>
                <w:szCs w:val="22"/>
                <w:lang w:val="sr-Latn-ME"/>
              </w:rPr>
            </w:pPr>
            <w:r w:rsidRPr="00DF79AE">
              <w:rPr>
                <w:bCs/>
                <w:sz w:val="22"/>
                <w:szCs w:val="22"/>
                <w:lang w:val="sr-Latn-ME"/>
              </w:rPr>
              <w:lastRenderedPageBreak/>
              <w:t>Poremećaji nervnog sistema</w:t>
            </w:r>
          </w:p>
        </w:tc>
        <w:tc>
          <w:tcPr>
            <w:tcW w:w="0" w:type="auto"/>
            <w:tcBorders>
              <w:top w:val="single" w:sz="4" w:space="0" w:color="auto"/>
              <w:left w:val="nil"/>
              <w:bottom w:val="nil"/>
              <w:right w:val="single" w:sz="4" w:space="0" w:color="auto"/>
            </w:tcBorders>
          </w:tcPr>
          <w:p w14:paraId="4EB3E67E" w14:textId="77777777" w:rsidR="000B2A5C" w:rsidRPr="00DF79AE" w:rsidRDefault="000B2A5C" w:rsidP="00BC1FCA">
            <w:pPr>
              <w:tabs>
                <w:tab w:val="left" w:pos="284"/>
              </w:tabs>
              <w:rPr>
                <w:sz w:val="22"/>
                <w:szCs w:val="22"/>
                <w:lang w:val="sr-Latn-ME"/>
              </w:rPr>
            </w:pPr>
          </w:p>
        </w:tc>
      </w:tr>
      <w:tr w:rsidR="000B2A5C" w:rsidRPr="00DF79AE" w14:paraId="0BDA6BF7" w14:textId="77777777" w:rsidTr="00BC1FCA">
        <w:trPr>
          <w:jc w:val="center"/>
        </w:trPr>
        <w:tc>
          <w:tcPr>
            <w:tcW w:w="0" w:type="auto"/>
            <w:tcBorders>
              <w:top w:val="nil"/>
              <w:left w:val="single" w:sz="4" w:space="0" w:color="auto"/>
              <w:bottom w:val="nil"/>
              <w:right w:val="nil"/>
            </w:tcBorders>
          </w:tcPr>
          <w:p w14:paraId="610DA29F" w14:textId="77777777" w:rsidR="000B2A5C" w:rsidRPr="00DF79AE" w:rsidRDefault="000B2A5C" w:rsidP="00BC1FCA">
            <w:pPr>
              <w:tabs>
                <w:tab w:val="left" w:pos="284"/>
              </w:tabs>
              <w:jc w:val="right"/>
              <w:rPr>
                <w:sz w:val="22"/>
                <w:szCs w:val="22"/>
                <w:lang w:val="sr-Latn-ME"/>
              </w:rPr>
            </w:pPr>
            <w:r w:rsidRPr="00DF79AE">
              <w:rPr>
                <w:sz w:val="22"/>
                <w:szCs w:val="22"/>
                <w:lang w:val="sr-Latn-ME"/>
              </w:rPr>
              <w:t>Često:</w:t>
            </w:r>
          </w:p>
        </w:tc>
        <w:tc>
          <w:tcPr>
            <w:tcW w:w="0" w:type="auto"/>
            <w:tcBorders>
              <w:top w:val="nil"/>
              <w:left w:val="nil"/>
              <w:bottom w:val="nil"/>
              <w:right w:val="single" w:sz="4" w:space="0" w:color="auto"/>
            </w:tcBorders>
          </w:tcPr>
          <w:p w14:paraId="63248A4C" w14:textId="77777777" w:rsidR="000B2A5C" w:rsidRPr="00DF79AE" w:rsidRDefault="000B2A5C" w:rsidP="00BC1FCA">
            <w:pPr>
              <w:tabs>
                <w:tab w:val="left" w:pos="284"/>
              </w:tabs>
              <w:rPr>
                <w:sz w:val="22"/>
                <w:szCs w:val="22"/>
                <w:lang w:val="sr-Latn-ME"/>
              </w:rPr>
            </w:pPr>
            <w:r w:rsidRPr="00DF79AE">
              <w:rPr>
                <w:sz w:val="22"/>
                <w:szCs w:val="22"/>
                <w:lang w:val="sr-Latn-ME"/>
              </w:rPr>
              <w:t>Nesvjestica, glavobolja, parestezija</w:t>
            </w:r>
          </w:p>
        </w:tc>
      </w:tr>
      <w:tr w:rsidR="000B2A5C" w:rsidRPr="00DF79AE" w14:paraId="629442B5" w14:textId="77777777" w:rsidTr="00BC1FCA">
        <w:trPr>
          <w:jc w:val="center"/>
        </w:trPr>
        <w:tc>
          <w:tcPr>
            <w:tcW w:w="0" w:type="auto"/>
            <w:tcBorders>
              <w:top w:val="nil"/>
              <w:left w:val="single" w:sz="4" w:space="0" w:color="auto"/>
              <w:bottom w:val="nil"/>
              <w:right w:val="nil"/>
            </w:tcBorders>
          </w:tcPr>
          <w:p w14:paraId="556C9ADA" w14:textId="77777777" w:rsidR="000B2A5C" w:rsidRPr="00DF79AE" w:rsidRDefault="000B2A5C" w:rsidP="00BC1FCA">
            <w:pPr>
              <w:tabs>
                <w:tab w:val="left" w:pos="284"/>
              </w:tabs>
              <w:jc w:val="right"/>
              <w:rPr>
                <w:sz w:val="22"/>
                <w:szCs w:val="22"/>
                <w:lang w:val="sr-Latn-ME"/>
              </w:rPr>
            </w:pPr>
            <w:r w:rsidRPr="00DF79AE">
              <w:rPr>
                <w:sz w:val="22"/>
                <w:szCs w:val="22"/>
                <w:lang w:val="sr-Latn-ME"/>
              </w:rPr>
              <w:t>Povremeno:</w:t>
            </w:r>
          </w:p>
        </w:tc>
        <w:tc>
          <w:tcPr>
            <w:tcW w:w="0" w:type="auto"/>
            <w:tcBorders>
              <w:top w:val="nil"/>
              <w:left w:val="nil"/>
              <w:bottom w:val="nil"/>
              <w:right w:val="single" w:sz="4" w:space="0" w:color="auto"/>
            </w:tcBorders>
          </w:tcPr>
          <w:p w14:paraId="427D78E8" w14:textId="77777777" w:rsidR="000B2A5C" w:rsidRPr="00DF79AE" w:rsidRDefault="000B2A5C" w:rsidP="00BC1FCA">
            <w:pPr>
              <w:tabs>
                <w:tab w:val="left" w:pos="284"/>
              </w:tabs>
              <w:rPr>
                <w:sz w:val="22"/>
                <w:szCs w:val="22"/>
                <w:lang w:val="sr-Latn-ME"/>
              </w:rPr>
            </w:pPr>
            <w:r w:rsidRPr="00DF79AE">
              <w:rPr>
                <w:sz w:val="22"/>
                <w:szCs w:val="22"/>
                <w:lang w:val="sr-Latn-ME"/>
              </w:rPr>
              <w:t>Poremećaji ravnoteže</w:t>
            </w:r>
          </w:p>
        </w:tc>
      </w:tr>
      <w:tr w:rsidR="000B2A5C" w:rsidRPr="00DF79AE" w:rsidDel="00143B34" w14:paraId="46FC2458" w14:textId="77777777" w:rsidTr="00BC1FCA">
        <w:trPr>
          <w:jc w:val="center"/>
        </w:trPr>
        <w:tc>
          <w:tcPr>
            <w:tcW w:w="0" w:type="auto"/>
            <w:tcBorders>
              <w:top w:val="nil"/>
              <w:left w:val="single" w:sz="4" w:space="0" w:color="auto"/>
              <w:bottom w:val="single" w:sz="4" w:space="0" w:color="auto"/>
              <w:right w:val="nil"/>
            </w:tcBorders>
          </w:tcPr>
          <w:p w14:paraId="6CCFFF34" w14:textId="77777777" w:rsidR="000B2A5C" w:rsidRPr="00DF79AE" w:rsidRDefault="000B2A5C" w:rsidP="00BC1FCA">
            <w:pPr>
              <w:tabs>
                <w:tab w:val="left" w:pos="284"/>
              </w:tabs>
              <w:jc w:val="right"/>
              <w:rPr>
                <w:sz w:val="22"/>
                <w:szCs w:val="22"/>
                <w:lang w:val="sr-Latn-ME"/>
              </w:rPr>
            </w:pPr>
            <w:r w:rsidRPr="00DF79AE">
              <w:rPr>
                <w:sz w:val="22"/>
                <w:szCs w:val="22"/>
                <w:lang w:val="sr-Latn-ME"/>
              </w:rPr>
              <w:t>Rijetko:</w:t>
            </w:r>
          </w:p>
        </w:tc>
        <w:tc>
          <w:tcPr>
            <w:tcW w:w="0" w:type="auto"/>
            <w:tcBorders>
              <w:top w:val="nil"/>
              <w:left w:val="nil"/>
              <w:bottom w:val="single" w:sz="4" w:space="0" w:color="auto"/>
              <w:right w:val="single" w:sz="4" w:space="0" w:color="auto"/>
            </w:tcBorders>
          </w:tcPr>
          <w:p w14:paraId="027E6BD9" w14:textId="77777777" w:rsidR="000B2A5C" w:rsidRPr="00DF79AE" w:rsidDel="00143B34" w:rsidRDefault="000B2A5C" w:rsidP="00BC1FCA">
            <w:pPr>
              <w:tabs>
                <w:tab w:val="left" w:pos="284"/>
              </w:tabs>
              <w:rPr>
                <w:sz w:val="22"/>
                <w:szCs w:val="22"/>
                <w:lang w:val="sr-Latn-ME"/>
              </w:rPr>
            </w:pPr>
            <w:r w:rsidRPr="00DF79AE">
              <w:rPr>
                <w:sz w:val="22"/>
                <w:szCs w:val="22"/>
                <w:lang w:val="sr-Latn-ME"/>
              </w:rPr>
              <w:t>Demijelinizirajući poremećaji (centralni i periferni), disgezija</w:t>
            </w:r>
          </w:p>
        </w:tc>
      </w:tr>
      <w:tr w:rsidR="000B2A5C" w:rsidRPr="00DF79AE" w14:paraId="56BD63B8" w14:textId="77777777" w:rsidTr="00BC1FCA">
        <w:trPr>
          <w:jc w:val="center"/>
        </w:trPr>
        <w:tc>
          <w:tcPr>
            <w:tcW w:w="0" w:type="auto"/>
            <w:tcBorders>
              <w:top w:val="nil"/>
              <w:left w:val="single" w:sz="4" w:space="0" w:color="auto"/>
              <w:bottom w:val="nil"/>
              <w:right w:val="nil"/>
            </w:tcBorders>
          </w:tcPr>
          <w:p w14:paraId="520B2CDF" w14:textId="77777777" w:rsidR="000B2A5C" w:rsidRPr="00DF79AE" w:rsidRDefault="000B2A5C" w:rsidP="00BC1FCA">
            <w:pPr>
              <w:tabs>
                <w:tab w:val="left" w:pos="284"/>
              </w:tabs>
              <w:rPr>
                <w:sz w:val="22"/>
                <w:szCs w:val="22"/>
                <w:lang w:val="sr-Latn-ME"/>
              </w:rPr>
            </w:pPr>
            <w:r w:rsidRPr="00DF79AE">
              <w:rPr>
                <w:bCs/>
                <w:sz w:val="22"/>
                <w:szCs w:val="22"/>
                <w:lang w:val="sr-Latn-ME"/>
              </w:rPr>
              <w:t>Poremećaji na nivou oka</w:t>
            </w:r>
          </w:p>
        </w:tc>
        <w:tc>
          <w:tcPr>
            <w:tcW w:w="0" w:type="auto"/>
            <w:tcBorders>
              <w:top w:val="nil"/>
              <w:left w:val="nil"/>
              <w:bottom w:val="nil"/>
              <w:right w:val="single" w:sz="4" w:space="0" w:color="auto"/>
            </w:tcBorders>
          </w:tcPr>
          <w:p w14:paraId="11C53CE2" w14:textId="77777777" w:rsidR="000B2A5C" w:rsidRPr="00DF79AE" w:rsidRDefault="000B2A5C" w:rsidP="00BC1FCA">
            <w:pPr>
              <w:tabs>
                <w:tab w:val="left" w:pos="284"/>
              </w:tabs>
              <w:rPr>
                <w:sz w:val="22"/>
                <w:szCs w:val="22"/>
                <w:lang w:val="sr-Latn-ME"/>
              </w:rPr>
            </w:pPr>
          </w:p>
        </w:tc>
      </w:tr>
      <w:tr w:rsidR="000B2A5C" w:rsidRPr="00DF79AE" w14:paraId="1869601F" w14:textId="77777777" w:rsidTr="00BC1FCA">
        <w:trPr>
          <w:jc w:val="center"/>
        </w:trPr>
        <w:tc>
          <w:tcPr>
            <w:tcW w:w="0" w:type="auto"/>
            <w:tcBorders>
              <w:top w:val="nil"/>
              <w:left w:val="single" w:sz="4" w:space="0" w:color="auto"/>
              <w:bottom w:val="single" w:sz="4" w:space="0" w:color="auto"/>
              <w:right w:val="nil"/>
            </w:tcBorders>
          </w:tcPr>
          <w:p w14:paraId="3AA77DD5" w14:textId="77777777" w:rsidR="000B2A5C" w:rsidRPr="00DF79AE" w:rsidRDefault="000B2A5C" w:rsidP="00BC1FCA">
            <w:pPr>
              <w:tabs>
                <w:tab w:val="left" w:pos="284"/>
              </w:tabs>
              <w:jc w:val="right"/>
              <w:rPr>
                <w:sz w:val="22"/>
                <w:szCs w:val="22"/>
                <w:lang w:val="sr-Latn-ME"/>
              </w:rPr>
            </w:pPr>
            <w:r w:rsidRPr="00DF79AE">
              <w:rPr>
                <w:sz w:val="22"/>
                <w:szCs w:val="22"/>
                <w:lang w:val="sr-Latn-ME"/>
              </w:rPr>
              <w:t>Povremeno:</w:t>
            </w:r>
          </w:p>
        </w:tc>
        <w:tc>
          <w:tcPr>
            <w:tcW w:w="0" w:type="auto"/>
            <w:tcBorders>
              <w:top w:val="nil"/>
              <w:left w:val="nil"/>
              <w:bottom w:val="single" w:sz="4" w:space="0" w:color="auto"/>
              <w:right w:val="single" w:sz="4" w:space="0" w:color="auto"/>
            </w:tcBorders>
          </w:tcPr>
          <w:p w14:paraId="4693351C" w14:textId="77777777" w:rsidR="000B2A5C" w:rsidRPr="00DF79AE" w:rsidRDefault="000B2A5C" w:rsidP="00BC1FCA">
            <w:pPr>
              <w:tabs>
                <w:tab w:val="left" w:pos="284"/>
              </w:tabs>
              <w:rPr>
                <w:sz w:val="22"/>
                <w:szCs w:val="22"/>
                <w:lang w:val="sr-Latn-ME"/>
              </w:rPr>
            </w:pPr>
            <w:r w:rsidRPr="00DF79AE">
              <w:rPr>
                <w:sz w:val="22"/>
                <w:szCs w:val="22"/>
                <w:lang w:val="sr-Latn-ME"/>
              </w:rPr>
              <w:t>Poremećaji vida (npr. zamućen vid i smanjena oštrina vida), konjunktivitis, alergija oka (npr. pruritus i iritacija)</w:t>
            </w:r>
          </w:p>
        </w:tc>
      </w:tr>
      <w:tr w:rsidR="000B2A5C" w:rsidRPr="00DF79AE" w14:paraId="7AE2F85C" w14:textId="77777777" w:rsidTr="00BC1FCA">
        <w:trPr>
          <w:jc w:val="center"/>
        </w:trPr>
        <w:tc>
          <w:tcPr>
            <w:tcW w:w="0" w:type="auto"/>
            <w:tcBorders>
              <w:top w:val="nil"/>
              <w:left w:val="single" w:sz="4" w:space="0" w:color="auto"/>
              <w:bottom w:val="nil"/>
              <w:right w:val="nil"/>
            </w:tcBorders>
          </w:tcPr>
          <w:p w14:paraId="1D993CC9" w14:textId="77777777" w:rsidR="000B2A5C" w:rsidRPr="00DF79AE" w:rsidRDefault="000B2A5C" w:rsidP="00BC1FCA">
            <w:pPr>
              <w:tabs>
                <w:tab w:val="left" w:pos="284"/>
              </w:tabs>
              <w:rPr>
                <w:bCs/>
                <w:sz w:val="22"/>
                <w:szCs w:val="22"/>
                <w:lang w:val="sr-Latn-ME"/>
              </w:rPr>
            </w:pPr>
            <w:r w:rsidRPr="00DF79AE">
              <w:rPr>
                <w:bCs/>
                <w:sz w:val="22"/>
                <w:szCs w:val="22"/>
                <w:lang w:val="sr-Latn-ME"/>
              </w:rPr>
              <w:t xml:space="preserve">Kardiološki poremećaji </w:t>
            </w:r>
          </w:p>
        </w:tc>
        <w:tc>
          <w:tcPr>
            <w:tcW w:w="0" w:type="auto"/>
            <w:tcBorders>
              <w:top w:val="nil"/>
              <w:left w:val="nil"/>
              <w:bottom w:val="nil"/>
              <w:right w:val="single" w:sz="4" w:space="0" w:color="auto"/>
            </w:tcBorders>
          </w:tcPr>
          <w:p w14:paraId="1ABDB55A" w14:textId="77777777" w:rsidR="000B2A5C" w:rsidRPr="00DF79AE" w:rsidRDefault="000B2A5C" w:rsidP="00BC1FCA">
            <w:pPr>
              <w:tabs>
                <w:tab w:val="left" w:pos="284"/>
              </w:tabs>
              <w:rPr>
                <w:sz w:val="22"/>
                <w:szCs w:val="22"/>
                <w:lang w:val="sr-Latn-ME"/>
              </w:rPr>
            </w:pPr>
          </w:p>
        </w:tc>
      </w:tr>
      <w:tr w:rsidR="000B2A5C" w:rsidRPr="00DF79AE" w14:paraId="1CEE24BE" w14:textId="77777777" w:rsidTr="00BC1FCA">
        <w:trPr>
          <w:jc w:val="center"/>
        </w:trPr>
        <w:tc>
          <w:tcPr>
            <w:tcW w:w="0" w:type="auto"/>
            <w:tcBorders>
              <w:top w:val="nil"/>
              <w:left w:val="single" w:sz="4" w:space="0" w:color="auto"/>
              <w:bottom w:val="nil"/>
              <w:right w:val="nil"/>
            </w:tcBorders>
          </w:tcPr>
          <w:p w14:paraId="705EEA3D" w14:textId="77777777" w:rsidR="000B2A5C" w:rsidRPr="00DF79AE" w:rsidRDefault="000B2A5C" w:rsidP="00BC1FCA">
            <w:pPr>
              <w:tabs>
                <w:tab w:val="left" w:pos="284"/>
              </w:tabs>
              <w:jc w:val="right"/>
              <w:rPr>
                <w:sz w:val="22"/>
                <w:szCs w:val="22"/>
                <w:lang w:val="sr-Latn-ME"/>
              </w:rPr>
            </w:pPr>
            <w:r w:rsidRPr="00DF79AE">
              <w:rPr>
                <w:sz w:val="22"/>
                <w:szCs w:val="22"/>
                <w:lang w:val="sr-Latn-ME"/>
              </w:rPr>
              <w:t>Povremeno:</w:t>
            </w:r>
          </w:p>
        </w:tc>
        <w:tc>
          <w:tcPr>
            <w:tcW w:w="0" w:type="auto"/>
            <w:tcBorders>
              <w:top w:val="nil"/>
              <w:left w:val="nil"/>
              <w:bottom w:val="nil"/>
              <w:right w:val="single" w:sz="4" w:space="0" w:color="auto"/>
            </w:tcBorders>
          </w:tcPr>
          <w:p w14:paraId="044D1A14" w14:textId="77777777" w:rsidR="000B2A5C" w:rsidRPr="00DF79AE" w:rsidRDefault="000B2A5C" w:rsidP="00BC1FCA">
            <w:pPr>
              <w:tabs>
                <w:tab w:val="left" w:pos="284"/>
              </w:tabs>
              <w:rPr>
                <w:sz w:val="22"/>
                <w:szCs w:val="22"/>
                <w:lang w:val="sr-Latn-ME"/>
              </w:rPr>
            </w:pPr>
            <w:r w:rsidRPr="00DF79AE">
              <w:rPr>
                <w:sz w:val="22"/>
                <w:szCs w:val="22"/>
                <w:lang w:val="sr-Latn-ME"/>
              </w:rPr>
              <w:t>Aritmija, ishemijski poremećaji koronarnih arterija</w:t>
            </w:r>
          </w:p>
        </w:tc>
      </w:tr>
      <w:tr w:rsidR="000B2A5C" w:rsidRPr="00DF79AE" w:rsidDel="00807CD5" w14:paraId="24226363" w14:textId="77777777" w:rsidTr="00BC1FCA">
        <w:trPr>
          <w:jc w:val="center"/>
        </w:trPr>
        <w:tc>
          <w:tcPr>
            <w:tcW w:w="0" w:type="auto"/>
            <w:tcBorders>
              <w:top w:val="nil"/>
              <w:left w:val="single" w:sz="4" w:space="0" w:color="auto"/>
              <w:bottom w:val="nil"/>
              <w:right w:val="nil"/>
            </w:tcBorders>
          </w:tcPr>
          <w:p w14:paraId="77045EB1" w14:textId="77777777" w:rsidR="000B2A5C" w:rsidRPr="00DF79AE" w:rsidRDefault="000B2A5C" w:rsidP="00BC1FCA">
            <w:pPr>
              <w:tabs>
                <w:tab w:val="left" w:pos="284"/>
              </w:tabs>
              <w:jc w:val="right"/>
              <w:rPr>
                <w:sz w:val="22"/>
                <w:szCs w:val="22"/>
                <w:lang w:val="sr-Latn-ME"/>
              </w:rPr>
            </w:pPr>
            <w:r w:rsidRPr="00DF79AE">
              <w:rPr>
                <w:sz w:val="22"/>
                <w:szCs w:val="22"/>
                <w:lang w:val="sr-Latn-ME"/>
              </w:rPr>
              <w:t>Rijetko:</w:t>
            </w:r>
          </w:p>
        </w:tc>
        <w:tc>
          <w:tcPr>
            <w:tcW w:w="0" w:type="auto"/>
            <w:tcBorders>
              <w:top w:val="nil"/>
              <w:left w:val="nil"/>
              <w:right w:val="single" w:sz="4" w:space="0" w:color="auto"/>
            </w:tcBorders>
          </w:tcPr>
          <w:p w14:paraId="7DB1AC0D" w14:textId="77777777" w:rsidR="000B2A5C" w:rsidRPr="00DF79AE" w:rsidDel="00807CD5" w:rsidRDefault="000B2A5C" w:rsidP="00BC1FCA">
            <w:pPr>
              <w:tabs>
                <w:tab w:val="left" w:pos="284"/>
              </w:tabs>
              <w:rPr>
                <w:sz w:val="22"/>
                <w:szCs w:val="22"/>
                <w:lang w:val="sr-Latn-ME"/>
              </w:rPr>
            </w:pPr>
            <w:r w:rsidRPr="00DF79AE">
              <w:rPr>
                <w:sz w:val="22"/>
                <w:szCs w:val="22"/>
                <w:lang w:val="sr-Latn-ME"/>
              </w:rPr>
              <w:t>Kongestivna srčana insuficijencija (novonastala ili pogoršanje postojeće)</w:t>
            </w:r>
          </w:p>
        </w:tc>
      </w:tr>
      <w:tr w:rsidR="000B2A5C" w:rsidRPr="00DF79AE" w14:paraId="6D37B8E4" w14:textId="77777777" w:rsidTr="00BC1FCA">
        <w:trPr>
          <w:jc w:val="center"/>
        </w:trPr>
        <w:tc>
          <w:tcPr>
            <w:tcW w:w="0" w:type="auto"/>
            <w:tcBorders>
              <w:top w:val="single" w:sz="4" w:space="0" w:color="auto"/>
              <w:left w:val="single" w:sz="4" w:space="0" w:color="auto"/>
              <w:bottom w:val="nil"/>
              <w:right w:val="nil"/>
            </w:tcBorders>
          </w:tcPr>
          <w:p w14:paraId="564B9FC2" w14:textId="77777777" w:rsidR="000B2A5C" w:rsidRPr="00DF79AE" w:rsidRDefault="000B2A5C" w:rsidP="00BC1FCA">
            <w:pPr>
              <w:tabs>
                <w:tab w:val="left" w:pos="284"/>
              </w:tabs>
              <w:rPr>
                <w:bCs/>
                <w:sz w:val="22"/>
                <w:szCs w:val="22"/>
                <w:lang w:val="sr-Latn-ME"/>
              </w:rPr>
            </w:pPr>
            <w:r w:rsidRPr="00DF79AE">
              <w:rPr>
                <w:bCs/>
                <w:sz w:val="22"/>
                <w:szCs w:val="22"/>
                <w:lang w:val="sr-Latn-ME"/>
              </w:rPr>
              <w:t>Vaskularni poremećaji</w:t>
            </w:r>
          </w:p>
        </w:tc>
        <w:tc>
          <w:tcPr>
            <w:tcW w:w="0" w:type="auto"/>
            <w:tcBorders>
              <w:top w:val="single" w:sz="4" w:space="0" w:color="auto"/>
              <w:left w:val="nil"/>
              <w:bottom w:val="nil"/>
              <w:right w:val="single" w:sz="4" w:space="0" w:color="auto"/>
            </w:tcBorders>
          </w:tcPr>
          <w:p w14:paraId="2E3CCAAA" w14:textId="77777777" w:rsidR="000B2A5C" w:rsidRPr="00DF79AE" w:rsidRDefault="000B2A5C" w:rsidP="00BC1FCA">
            <w:pPr>
              <w:tabs>
                <w:tab w:val="left" w:pos="284"/>
              </w:tabs>
              <w:rPr>
                <w:sz w:val="22"/>
                <w:szCs w:val="22"/>
                <w:lang w:val="sr-Latn-ME"/>
              </w:rPr>
            </w:pPr>
          </w:p>
        </w:tc>
      </w:tr>
      <w:tr w:rsidR="000B2A5C" w:rsidRPr="00DF79AE" w14:paraId="6861D840" w14:textId="77777777" w:rsidTr="00BC1FCA">
        <w:trPr>
          <w:jc w:val="center"/>
        </w:trPr>
        <w:tc>
          <w:tcPr>
            <w:tcW w:w="0" w:type="auto"/>
            <w:tcBorders>
              <w:top w:val="nil"/>
              <w:left w:val="single" w:sz="4" w:space="0" w:color="auto"/>
              <w:bottom w:val="nil"/>
              <w:right w:val="nil"/>
            </w:tcBorders>
          </w:tcPr>
          <w:p w14:paraId="0DBCFA91" w14:textId="77777777" w:rsidR="000B2A5C" w:rsidRPr="00DF79AE" w:rsidRDefault="000B2A5C" w:rsidP="00BC1FCA">
            <w:pPr>
              <w:tabs>
                <w:tab w:val="left" w:pos="284"/>
              </w:tabs>
              <w:jc w:val="right"/>
              <w:rPr>
                <w:sz w:val="22"/>
                <w:szCs w:val="22"/>
                <w:lang w:val="sr-Latn-ME"/>
              </w:rPr>
            </w:pPr>
            <w:r w:rsidRPr="00DF79AE">
              <w:rPr>
                <w:sz w:val="22"/>
                <w:szCs w:val="22"/>
                <w:lang w:val="sr-Latn-ME"/>
              </w:rPr>
              <w:t>Često:</w:t>
            </w:r>
          </w:p>
        </w:tc>
        <w:tc>
          <w:tcPr>
            <w:tcW w:w="0" w:type="auto"/>
            <w:tcBorders>
              <w:top w:val="nil"/>
              <w:left w:val="nil"/>
              <w:bottom w:val="nil"/>
              <w:right w:val="single" w:sz="4" w:space="0" w:color="auto"/>
            </w:tcBorders>
          </w:tcPr>
          <w:p w14:paraId="25E54A58" w14:textId="77777777" w:rsidR="000B2A5C" w:rsidRPr="00DF79AE" w:rsidRDefault="000B2A5C" w:rsidP="00BC1FCA">
            <w:pPr>
              <w:tabs>
                <w:tab w:val="left" w:pos="284"/>
              </w:tabs>
              <w:rPr>
                <w:sz w:val="22"/>
                <w:szCs w:val="22"/>
                <w:lang w:val="sr-Latn-ME"/>
              </w:rPr>
            </w:pPr>
            <w:r w:rsidRPr="00DF79AE">
              <w:rPr>
                <w:sz w:val="22"/>
                <w:szCs w:val="22"/>
                <w:lang w:val="sr-Latn-ME"/>
              </w:rPr>
              <w:t>Hipertenzija</w:t>
            </w:r>
          </w:p>
        </w:tc>
      </w:tr>
      <w:tr w:rsidR="000B2A5C" w:rsidRPr="00DF79AE" w14:paraId="131FC9B9" w14:textId="77777777" w:rsidTr="00BC1FCA">
        <w:trPr>
          <w:jc w:val="center"/>
        </w:trPr>
        <w:tc>
          <w:tcPr>
            <w:tcW w:w="0" w:type="auto"/>
            <w:tcBorders>
              <w:top w:val="nil"/>
              <w:left w:val="single" w:sz="4" w:space="0" w:color="auto"/>
              <w:bottom w:val="nil"/>
              <w:right w:val="nil"/>
            </w:tcBorders>
          </w:tcPr>
          <w:p w14:paraId="0CB1F7A1" w14:textId="77777777" w:rsidR="000B2A5C" w:rsidRPr="00DF79AE" w:rsidRDefault="000B2A5C" w:rsidP="00BC1FCA">
            <w:pPr>
              <w:tabs>
                <w:tab w:val="left" w:pos="284"/>
              </w:tabs>
              <w:jc w:val="right"/>
              <w:rPr>
                <w:sz w:val="22"/>
                <w:szCs w:val="22"/>
                <w:lang w:val="sr-Latn-ME"/>
              </w:rPr>
            </w:pPr>
            <w:r w:rsidRPr="00DF79AE">
              <w:rPr>
                <w:sz w:val="22"/>
                <w:szCs w:val="22"/>
                <w:lang w:val="sr-Latn-ME"/>
              </w:rPr>
              <w:t>Povremeno:</w:t>
            </w:r>
          </w:p>
        </w:tc>
        <w:tc>
          <w:tcPr>
            <w:tcW w:w="0" w:type="auto"/>
            <w:tcBorders>
              <w:top w:val="nil"/>
              <w:left w:val="nil"/>
              <w:bottom w:val="nil"/>
              <w:right w:val="single" w:sz="4" w:space="0" w:color="auto"/>
            </w:tcBorders>
          </w:tcPr>
          <w:p w14:paraId="22758FF1" w14:textId="77777777" w:rsidR="000B2A5C" w:rsidRPr="00DF79AE" w:rsidRDefault="000B2A5C" w:rsidP="00BC1FCA">
            <w:pPr>
              <w:tabs>
                <w:tab w:val="left" w:pos="284"/>
              </w:tabs>
              <w:rPr>
                <w:sz w:val="22"/>
                <w:szCs w:val="22"/>
                <w:lang w:val="sr-Latn-ME"/>
              </w:rPr>
            </w:pPr>
            <w:r w:rsidRPr="00DF79AE">
              <w:rPr>
                <w:sz w:val="22"/>
                <w:szCs w:val="22"/>
                <w:lang w:val="sr-Latn-ME"/>
              </w:rPr>
              <w:t>Tromboza (npr. dubokih vena i aorte), crvenilo</w:t>
            </w:r>
          </w:p>
        </w:tc>
      </w:tr>
      <w:tr w:rsidR="000B2A5C" w:rsidRPr="00DF79AE" w14:paraId="675E5725" w14:textId="77777777" w:rsidTr="00BC1FCA">
        <w:trPr>
          <w:jc w:val="center"/>
        </w:trPr>
        <w:tc>
          <w:tcPr>
            <w:tcW w:w="0" w:type="auto"/>
            <w:tcBorders>
              <w:top w:val="nil"/>
              <w:left w:val="single" w:sz="4" w:space="0" w:color="auto"/>
              <w:bottom w:val="single" w:sz="4" w:space="0" w:color="auto"/>
              <w:right w:val="nil"/>
            </w:tcBorders>
          </w:tcPr>
          <w:p w14:paraId="458A8863" w14:textId="77777777" w:rsidR="000B2A5C" w:rsidRPr="00DF79AE" w:rsidRDefault="000B2A5C" w:rsidP="00BC1FCA">
            <w:pPr>
              <w:tabs>
                <w:tab w:val="left" w:pos="284"/>
              </w:tabs>
              <w:jc w:val="right"/>
              <w:rPr>
                <w:sz w:val="22"/>
                <w:szCs w:val="22"/>
                <w:lang w:val="sr-Latn-ME"/>
              </w:rPr>
            </w:pPr>
            <w:r w:rsidRPr="00DF79AE">
              <w:rPr>
                <w:sz w:val="22"/>
                <w:szCs w:val="22"/>
                <w:lang w:val="sr-Latn-ME"/>
              </w:rPr>
              <w:t>Rijetko:</w:t>
            </w:r>
          </w:p>
        </w:tc>
        <w:tc>
          <w:tcPr>
            <w:tcW w:w="0" w:type="auto"/>
            <w:tcBorders>
              <w:top w:val="nil"/>
              <w:left w:val="nil"/>
              <w:bottom w:val="single" w:sz="4" w:space="0" w:color="auto"/>
              <w:right w:val="single" w:sz="4" w:space="0" w:color="auto"/>
            </w:tcBorders>
          </w:tcPr>
          <w:p w14:paraId="6E9F110F" w14:textId="77777777" w:rsidR="000B2A5C" w:rsidRPr="00DF79AE" w:rsidRDefault="000B2A5C" w:rsidP="00BC1FCA">
            <w:pPr>
              <w:tabs>
                <w:tab w:val="left" w:pos="284"/>
              </w:tabs>
              <w:rPr>
                <w:sz w:val="22"/>
                <w:szCs w:val="22"/>
                <w:lang w:val="sr-Latn-ME"/>
              </w:rPr>
            </w:pPr>
            <w:r w:rsidRPr="00DF79AE">
              <w:rPr>
                <w:sz w:val="22"/>
                <w:szCs w:val="22"/>
                <w:lang w:val="sr-Latn-ME"/>
              </w:rPr>
              <w:t>Raynaud-ov fenomen</w:t>
            </w:r>
          </w:p>
        </w:tc>
      </w:tr>
      <w:tr w:rsidR="000B2A5C" w:rsidRPr="00DF79AE" w14:paraId="4EFEE8AB" w14:textId="77777777" w:rsidTr="00BC1FCA">
        <w:trPr>
          <w:jc w:val="center"/>
        </w:trPr>
        <w:tc>
          <w:tcPr>
            <w:tcW w:w="0" w:type="auto"/>
            <w:tcBorders>
              <w:top w:val="single" w:sz="4" w:space="0" w:color="auto"/>
              <w:left w:val="single" w:sz="4" w:space="0" w:color="auto"/>
              <w:bottom w:val="nil"/>
              <w:right w:val="nil"/>
            </w:tcBorders>
          </w:tcPr>
          <w:p w14:paraId="29421975" w14:textId="77777777" w:rsidR="000B2A5C" w:rsidRPr="00DF79AE" w:rsidRDefault="000B2A5C" w:rsidP="00BC1FCA">
            <w:pPr>
              <w:tabs>
                <w:tab w:val="left" w:pos="284"/>
              </w:tabs>
              <w:rPr>
                <w:sz w:val="22"/>
                <w:szCs w:val="22"/>
                <w:lang w:val="sr-Latn-ME"/>
              </w:rPr>
            </w:pPr>
            <w:r w:rsidRPr="00DF79AE">
              <w:rPr>
                <w:bCs/>
                <w:sz w:val="22"/>
                <w:szCs w:val="22"/>
                <w:lang w:val="sr-Latn-ME"/>
              </w:rPr>
              <w:t>Respiratorni, torakalni i medijastinalni poremećaji</w:t>
            </w:r>
          </w:p>
        </w:tc>
        <w:tc>
          <w:tcPr>
            <w:tcW w:w="0" w:type="auto"/>
            <w:tcBorders>
              <w:top w:val="single" w:sz="4" w:space="0" w:color="auto"/>
              <w:left w:val="nil"/>
              <w:bottom w:val="nil"/>
              <w:right w:val="single" w:sz="4" w:space="0" w:color="auto"/>
            </w:tcBorders>
          </w:tcPr>
          <w:p w14:paraId="67D7705F" w14:textId="77777777" w:rsidR="000B2A5C" w:rsidRPr="00DF79AE" w:rsidRDefault="000B2A5C" w:rsidP="00BC1FCA">
            <w:pPr>
              <w:tabs>
                <w:tab w:val="left" w:pos="284"/>
              </w:tabs>
              <w:rPr>
                <w:sz w:val="22"/>
                <w:szCs w:val="22"/>
                <w:lang w:val="sr-Latn-ME"/>
              </w:rPr>
            </w:pPr>
          </w:p>
        </w:tc>
      </w:tr>
      <w:tr w:rsidR="000B2A5C" w:rsidRPr="00DF79AE" w14:paraId="06D2E83B" w14:textId="77777777" w:rsidTr="00BC1FCA">
        <w:trPr>
          <w:jc w:val="center"/>
        </w:trPr>
        <w:tc>
          <w:tcPr>
            <w:tcW w:w="0" w:type="auto"/>
            <w:tcBorders>
              <w:top w:val="nil"/>
              <w:left w:val="single" w:sz="4" w:space="0" w:color="auto"/>
              <w:bottom w:val="nil"/>
              <w:right w:val="nil"/>
            </w:tcBorders>
          </w:tcPr>
          <w:p w14:paraId="2430C123" w14:textId="77777777" w:rsidR="000B2A5C" w:rsidRPr="00DF79AE" w:rsidRDefault="000B2A5C" w:rsidP="00BC1FCA">
            <w:pPr>
              <w:tabs>
                <w:tab w:val="left" w:pos="284"/>
              </w:tabs>
              <w:jc w:val="right"/>
              <w:rPr>
                <w:sz w:val="22"/>
                <w:szCs w:val="22"/>
                <w:lang w:val="sr-Latn-ME"/>
              </w:rPr>
            </w:pPr>
            <w:r w:rsidRPr="00DF79AE">
              <w:rPr>
                <w:sz w:val="22"/>
                <w:szCs w:val="22"/>
                <w:lang w:val="sr-Latn-ME"/>
              </w:rPr>
              <w:t>Često:</w:t>
            </w:r>
          </w:p>
        </w:tc>
        <w:tc>
          <w:tcPr>
            <w:tcW w:w="0" w:type="auto"/>
            <w:tcBorders>
              <w:top w:val="nil"/>
              <w:left w:val="nil"/>
              <w:bottom w:val="nil"/>
              <w:right w:val="single" w:sz="4" w:space="0" w:color="auto"/>
            </w:tcBorders>
          </w:tcPr>
          <w:p w14:paraId="7D6E2D75" w14:textId="77777777" w:rsidR="000B2A5C" w:rsidRPr="00DF79AE" w:rsidRDefault="000B2A5C" w:rsidP="00BC1FCA">
            <w:pPr>
              <w:tabs>
                <w:tab w:val="left" w:pos="284"/>
              </w:tabs>
              <w:rPr>
                <w:sz w:val="22"/>
                <w:szCs w:val="22"/>
                <w:lang w:val="sr-Latn-ME"/>
              </w:rPr>
            </w:pPr>
            <w:r w:rsidRPr="00DF79AE">
              <w:rPr>
                <w:sz w:val="22"/>
                <w:szCs w:val="22"/>
                <w:lang w:val="sr-Latn-ME"/>
              </w:rPr>
              <w:t>Astma i povezani simptomi (npr. zviždanje u plućima i bronhijalna hiperaktivnost)</w:t>
            </w:r>
          </w:p>
        </w:tc>
      </w:tr>
      <w:tr w:rsidR="000B2A5C" w:rsidRPr="00DF79AE" w14:paraId="384C218F" w14:textId="77777777" w:rsidTr="00BC1FCA">
        <w:trPr>
          <w:jc w:val="center"/>
        </w:trPr>
        <w:tc>
          <w:tcPr>
            <w:tcW w:w="0" w:type="auto"/>
            <w:tcBorders>
              <w:top w:val="nil"/>
              <w:left w:val="single" w:sz="4" w:space="0" w:color="auto"/>
              <w:bottom w:val="nil"/>
              <w:right w:val="nil"/>
            </w:tcBorders>
          </w:tcPr>
          <w:p w14:paraId="6423C353" w14:textId="77777777" w:rsidR="000B2A5C" w:rsidRPr="00DF79AE" w:rsidRDefault="000B2A5C" w:rsidP="00BC1FCA">
            <w:pPr>
              <w:tabs>
                <w:tab w:val="left" w:pos="284"/>
              </w:tabs>
              <w:jc w:val="right"/>
              <w:rPr>
                <w:sz w:val="22"/>
                <w:szCs w:val="22"/>
                <w:lang w:val="sr-Latn-ME"/>
              </w:rPr>
            </w:pPr>
            <w:r w:rsidRPr="00DF79AE">
              <w:rPr>
                <w:sz w:val="22"/>
                <w:szCs w:val="22"/>
                <w:lang w:val="sr-Latn-ME"/>
              </w:rPr>
              <w:t>Povremeno:</w:t>
            </w:r>
          </w:p>
        </w:tc>
        <w:tc>
          <w:tcPr>
            <w:tcW w:w="0" w:type="auto"/>
            <w:tcBorders>
              <w:top w:val="nil"/>
              <w:left w:val="nil"/>
              <w:bottom w:val="nil"/>
              <w:right w:val="single" w:sz="4" w:space="0" w:color="auto"/>
            </w:tcBorders>
          </w:tcPr>
          <w:p w14:paraId="4B092137" w14:textId="77777777" w:rsidR="000B2A5C" w:rsidRPr="00DF79AE" w:rsidRDefault="000B2A5C" w:rsidP="00BC1FCA">
            <w:pPr>
              <w:tabs>
                <w:tab w:val="left" w:pos="284"/>
              </w:tabs>
              <w:rPr>
                <w:sz w:val="22"/>
                <w:szCs w:val="22"/>
                <w:lang w:val="sr-Latn-ME"/>
              </w:rPr>
            </w:pPr>
            <w:r w:rsidRPr="00DF79AE">
              <w:rPr>
                <w:sz w:val="22"/>
                <w:szCs w:val="22"/>
                <w:lang w:val="sr-Latn-ME"/>
              </w:rPr>
              <w:t>Intersticijumska bolest pluća</w:t>
            </w:r>
          </w:p>
        </w:tc>
      </w:tr>
      <w:tr w:rsidR="000B2A5C" w:rsidRPr="00DF79AE" w14:paraId="11B0F62D" w14:textId="77777777" w:rsidTr="00BC1FCA">
        <w:trPr>
          <w:jc w:val="center"/>
        </w:trPr>
        <w:tc>
          <w:tcPr>
            <w:tcW w:w="0" w:type="auto"/>
            <w:tcBorders>
              <w:top w:val="single" w:sz="4" w:space="0" w:color="auto"/>
              <w:left w:val="single" w:sz="4" w:space="0" w:color="auto"/>
              <w:bottom w:val="nil"/>
              <w:right w:val="nil"/>
            </w:tcBorders>
          </w:tcPr>
          <w:p w14:paraId="5BB037F9" w14:textId="77777777" w:rsidR="000B2A5C" w:rsidRPr="00DF79AE" w:rsidRDefault="000B2A5C" w:rsidP="00BC1FCA">
            <w:pPr>
              <w:tabs>
                <w:tab w:val="left" w:pos="284"/>
              </w:tabs>
              <w:rPr>
                <w:sz w:val="22"/>
                <w:szCs w:val="22"/>
                <w:lang w:val="sr-Latn-ME"/>
              </w:rPr>
            </w:pPr>
            <w:r w:rsidRPr="00DF79AE">
              <w:rPr>
                <w:bCs/>
                <w:sz w:val="22"/>
                <w:szCs w:val="22"/>
                <w:lang w:val="sr-Latn-ME"/>
              </w:rPr>
              <w:t>Gastrointestinalni poremećaji</w:t>
            </w:r>
          </w:p>
        </w:tc>
        <w:tc>
          <w:tcPr>
            <w:tcW w:w="0" w:type="auto"/>
            <w:tcBorders>
              <w:top w:val="single" w:sz="4" w:space="0" w:color="auto"/>
              <w:left w:val="nil"/>
              <w:bottom w:val="nil"/>
              <w:right w:val="single" w:sz="4" w:space="0" w:color="auto"/>
            </w:tcBorders>
          </w:tcPr>
          <w:p w14:paraId="1260412C" w14:textId="77777777" w:rsidR="000B2A5C" w:rsidRPr="00DF79AE" w:rsidRDefault="000B2A5C" w:rsidP="00BC1FCA">
            <w:pPr>
              <w:tabs>
                <w:tab w:val="left" w:pos="284"/>
              </w:tabs>
              <w:rPr>
                <w:sz w:val="22"/>
                <w:szCs w:val="22"/>
                <w:lang w:val="sr-Latn-ME"/>
              </w:rPr>
            </w:pPr>
          </w:p>
        </w:tc>
      </w:tr>
      <w:tr w:rsidR="000B2A5C" w:rsidRPr="00DF79AE" w14:paraId="610D4B02" w14:textId="77777777" w:rsidTr="00BC1FCA">
        <w:trPr>
          <w:jc w:val="center"/>
        </w:trPr>
        <w:tc>
          <w:tcPr>
            <w:tcW w:w="0" w:type="auto"/>
            <w:tcBorders>
              <w:top w:val="nil"/>
              <w:left w:val="single" w:sz="4" w:space="0" w:color="auto"/>
              <w:bottom w:val="nil"/>
              <w:right w:val="nil"/>
            </w:tcBorders>
          </w:tcPr>
          <w:p w14:paraId="4CE0D0DF" w14:textId="77777777" w:rsidR="000B2A5C" w:rsidRPr="00DF79AE" w:rsidRDefault="000B2A5C" w:rsidP="00BC1FCA">
            <w:pPr>
              <w:tabs>
                <w:tab w:val="left" w:pos="284"/>
              </w:tabs>
              <w:jc w:val="right"/>
              <w:rPr>
                <w:sz w:val="22"/>
                <w:szCs w:val="22"/>
                <w:lang w:val="sr-Latn-ME"/>
              </w:rPr>
            </w:pPr>
            <w:r w:rsidRPr="00DF79AE">
              <w:rPr>
                <w:sz w:val="22"/>
                <w:szCs w:val="22"/>
                <w:lang w:val="sr-Latn-ME"/>
              </w:rPr>
              <w:t>Često:</w:t>
            </w:r>
          </w:p>
        </w:tc>
        <w:tc>
          <w:tcPr>
            <w:tcW w:w="0" w:type="auto"/>
            <w:tcBorders>
              <w:top w:val="nil"/>
              <w:left w:val="nil"/>
              <w:bottom w:val="nil"/>
              <w:right w:val="single" w:sz="4" w:space="0" w:color="auto"/>
            </w:tcBorders>
          </w:tcPr>
          <w:p w14:paraId="67B9E183" w14:textId="77777777" w:rsidR="000B2A5C" w:rsidRPr="00DF79AE" w:rsidRDefault="000B2A5C" w:rsidP="00BC1FCA">
            <w:pPr>
              <w:tabs>
                <w:tab w:val="left" w:pos="284"/>
              </w:tabs>
              <w:rPr>
                <w:sz w:val="22"/>
                <w:szCs w:val="22"/>
                <w:lang w:val="sr-Latn-ME"/>
              </w:rPr>
            </w:pPr>
            <w:r w:rsidRPr="00DF79AE">
              <w:rPr>
                <w:sz w:val="22"/>
                <w:szCs w:val="22"/>
                <w:lang w:val="sr-Latn-ME"/>
              </w:rPr>
              <w:t xml:space="preserve">Dispepsija, gastrointestinalni i abdominalni bol, nauzeja, gastrointestinalni zapaljenski poremećaji (npr. gastritis i kolitis), stomatitis </w:t>
            </w:r>
          </w:p>
        </w:tc>
      </w:tr>
      <w:tr w:rsidR="000B2A5C" w:rsidRPr="00DF79AE" w14:paraId="6C1CF808" w14:textId="77777777" w:rsidTr="00BC1FCA">
        <w:trPr>
          <w:jc w:val="center"/>
        </w:trPr>
        <w:tc>
          <w:tcPr>
            <w:tcW w:w="0" w:type="auto"/>
            <w:tcBorders>
              <w:top w:val="nil"/>
              <w:left w:val="single" w:sz="4" w:space="0" w:color="auto"/>
              <w:bottom w:val="single" w:sz="4" w:space="0" w:color="auto"/>
              <w:right w:val="nil"/>
            </w:tcBorders>
          </w:tcPr>
          <w:p w14:paraId="5603858F" w14:textId="77777777" w:rsidR="000B2A5C" w:rsidRPr="00DF79AE" w:rsidRDefault="000B2A5C" w:rsidP="00BC1FCA">
            <w:pPr>
              <w:tabs>
                <w:tab w:val="left" w:pos="284"/>
              </w:tabs>
              <w:jc w:val="right"/>
              <w:rPr>
                <w:sz w:val="22"/>
                <w:szCs w:val="22"/>
                <w:lang w:val="sr-Latn-ME"/>
              </w:rPr>
            </w:pPr>
            <w:r w:rsidRPr="00DF79AE">
              <w:rPr>
                <w:sz w:val="22"/>
                <w:szCs w:val="22"/>
                <w:lang w:val="sr-Latn-ME"/>
              </w:rPr>
              <w:t>Povremeno:</w:t>
            </w:r>
          </w:p>
        </w:tc>
        <w:tc>
          <w:tcPr>
            <w:tcW w:w="0" w:type="auto"/>
            <w:tcBorders>
              <w:top w:val="nil"/>
              <w:left w:val="nil"/>
              <w:bottom w:val="single" w:sz="4" w:space="0" w:color="auto"/>
              <w:right w:val="single" w:sz="4" w:space="0" w:color="auto"/>
            </w:tcBorders>
          </w:tcPr>
          <w:p w14:paraId="6027A620" w14:textId="77777777" w:rsidR="000B2A5C" w:rsidRPr="00DF79AE" w:rsidRDefault="000B2A5C" w:rsidP="00BC1FCA">
            <w:pPr>
              <w:tabs>
                <w:tab w:val="left" w:pos="284"/>
              </w:tabs>
              <w:rPr>
                <w:sz w:val="22"/>
                <w:szCs w:val="22"/>
                <w:lang w:val="sr-Latn-ME"/>
              </w:rPr>
            </w:pPr>
            <w:r w:rsidRPr="00DF79AE">
              <w:rPr>
                <w:sz w:val="22"/>
                <w:szCs w:val="22"/>
                <w:lang w:val="sr-Latn-ME"/>
              </w:rPr>
              <w:t>Konstipacija,  bolest gastroezofagusnog refluksa</w:t>
            </w:r>
          </w:p>
        </w:tc>
      </w:tr>
      <w:tr w:rsidR="000B2A5C" w:rsidRPr="00DF79AE" w14:paraId="1939F12B" w14:textId="77777777" w:rsidTr="00BC1FCA">
        <w:trPr>
          <w:jc w:val="center"/>
        </w:trPr>
        <w:tc>
          <w:tcPr>
            <w:tcW w:w="0" w:type="auto"/>
            <w:tcBorders>
              <w:top w:val="single" w:sz="4" w:space="0" w:color="auto"/>
              <w:left w:val="single" w:sz="4" w:space="0" w:color="auto"/>
              <w:bottom w:val="nil"/>
              <w:right w:val="nil"/>
            </w:tcBorders>
          </w:tcPr>
          <w:p w14:paraId="2E644604" w14:textId="77777777" w:rsidR="000B2A5C" w:rsidRPr="00DF79AE" w:rsidRDefault="000B2A5C" w:rsidP="00BC1FCA">
            <w:pPr>
              <w:tabs>
                <w:tab w:val="left" w:pos="284"/>
              </w:tabs>
              <w:rPr>
                <w:sz w:val="22"/>
                <w:szCs w:val="22"/>
                <w:lang w:val="sr-Latn-ME"/>
              </w:rPr>
            </w:pPr>
            <w:r w:rsidRPr="00DF79AE">
              <w:rPr>
                <w:bCs/>
                <w:sz w:val="22"/>
                <w:szCs w:val="22"/>
                <w:lang w:val="sr-Latn-ME"/>
              </w:rPr>
              <w:t>Hepatobilijarni poremećaji</w:t>
            </w:r>
          </w:p>
        </w:tc>
        <w:tc>
          <w:tcPr>
            <w:tcW w:w="0" w:type="auto"/>
            <w:tcBorders>
              <w:top w:val="single" w:sz="4" w:space="0" w:color="auto"/>
              <w:left w:val="nil"/>
              <w:bottom w:val="nil"/>
              <w:right w:val="single" w:sz="4" w:space="0" w:color="auto"/>
            </w:tcBorders>
          </w:tcPr>
          <w:p w14:paraId="57DECBB6" w14:textId="77777777" w:rsidR="000B2A5C" w:rsidRPr="00DF79AE" w:rsidRDefault="000B2A5C" w:rsidP="00BC1FCA">
            <w:pPr>
              <w:tabs>
                <w:tab w:val="left" w:pos="284"/>
              </w:tabs>
              <w:rPr>
                <w:sz w:val="22"/>
                <w:szCs w:val="22"/>
                <w:lang w:val="sr-Latn-ME"/>
              </w:rPr>
            </w:pPr>
          </w:p>
        </w:tc>
      </w:tr>
      <w:tr w:rsidR="000B2A5C" w:rsidRPr="00DF79AE" w14:paraId="6BDD1FA8" w14:textId="77777777" w:rsidTr="00BC1FCA">
        <w:trPr>
          <w:jc w:val="center"/>
        </w:trPr>
        <w:tc>
          <w:tcPr>
            <w:tcW w:w="0" w:type="auto"/>
            <w:tcBorders>
              <w:top w:val="nil"/>
              <w:left w:val="single" w:sz="4" w:space="0" w:color="auto"/>
              <w:bottom w:val="nil"/>
              <w:right w:val="nil"/>
            </w:tcBorders>
          </w:tcPr>
          <w:p w14:paraId="5EE5AF3F" w14:textId="77777777" w:rsidR="000B2A5C" w:rsidRPr="00DF79AE" w:rsidRDefault="000B2A5C" w:rsidP="00BC1FCA">
            <w:pPr>
              <w:tabs>
                <w:tab w:val="left" w:pos="284"/>
              </w:tabs>
              <w:jc w:val="right"/>
              <w:rPr>
                <w:sz w:val="22"/>
                <w:szCs w:val="22"/>
                <w:lang w:val="sr-Latn-ME"/>
              </w:rPr>
            </w:pPr>
            <w:r w:rsidRPr="00DF79AE">
              <w:rPr>
                <w:sz w:val="22"/>
                <w:szCs w:val="22"/>
                <w:lang w:val="sr-Latn-ME"/>
              </w:rPr>
              <w:t>Često:</w:t>
            </w:r>
          </w:p>
        </w:tc>
        <w:tc>
          <w:tcPr>
            <w:tcW w:w="0" w:type="auto"/>
            <w:tcBorders>
              <w:top w:val="nil"/>
              <w:left w:val="nil"/>
              <w:bottom w:val="nil"/>
              <w:right w:val="single" w:sz="4" w:space="0" w:color="auto"/>
            </w:tcBorders>
          </w:tcPr>
          <w:p w14:paraId="2C80FFAB" w14:textId="77777777" w:rsidR="000B2A5C" w:rsidRPr="00DF79AE" w:rsidRDefault="000B2A5C" w:rsidP="00BC1FCA">
            <w:pPr>
              <w:tabs>
                <w:tab w:val="left" w:pos="284"/>
              </w:tabs>
              <w:rPr>
                <w:sz w:val="22"/>
                <w:szCs w:val="22"/>
                <w:lang w:val="sr-Latn-ME"/>
              </w:rPr>
            </w:pPr>
            <w:r w:rsidRPr="00DF79AE">
              <w:rPr>
                <w:sz w:val="22"/>
                <w:szCs w:val="22"/>
                <w:lang w:val="sr-Latn-ME"/>
              </w:rPr>
              <w:t xml:space="preserve">Povišen nivo alanin-aminotransferaze, povišen nivo aspartat-aminotransferaze </w:t>
            </w:r>
          </w:p>
        </w:tc>
      </w:tr>
      <w:tr w:rsidR="000B2A5C" w:rsidRPr="00DF79AE" w14:paraId="0DA20373" w14:textId="77777777" w:rsidTr="00BC1FCA">
        <w:trPr>
          <w:jc w:val="center"/>
        </w:trPr>
        <w:tc>
          <w:tcPr>
            <w:tcW w:w="0" w:type="auto"/>
            <w:tcBorders>
              <w:top w:val="nil"/>
              <w:left w:val="single" w:sz="4" w:space="0" w:color="auto"/>
              <w:bottom w:val="single" w:sz="4" w:space="0" w:color="auto"/>
              <w:right w:val="nil"/>
            </w:tcBorders>
          </w:tcPr>
          <w:p w14:paraId="1D145663" w14:textId="77777777" w:rsidR="000B2A5C" w:rsidRPr="00DF79AE" w:rsidRDefault="000B2A5C" w:rsidP="00BC1FCA">
            <w:pPr>
              <w:tabs>
                <w:tab w:val="left" w:pos="284"/>
              </w:tabs>
              <w:jc w:val="right"/>
              <w:rPr>
                <w:sz w:val="22"/>
                <w:szCs w:val="22"/>
                <w:lang w:val="sr-Latn-ME"/>
              </w:rPr>
            </w:pPr>
            <w:r w:rsidRPr="00DF79AE">
              <w:rPr>
                <w:sz w:val="22"/>
                <w:szCs w:val="22"/>
                <w:lang w:val="sr-Latn-ME"/>
              </w:rPr>
              <w:t>Povremeno:</w:t>
            </w:r>
          </w:p>
        </w:tc>
        <w:tc>
          <w:tcPr>
            <w:tcW w:w="0" w:type="auto"/>
            <w:tcBorders>
              <w:top w:val="nil"/>
              <w:left w:val="nil"/>
              <w:bottom w:val="single" w:sz="4" w:space="0" w:color="auto"/>
              <w:right w:val="single" w:sz="4" w:space="0" w:color="auto"/>
            </w:tcBorders>
          </w:tcPr>
          <w:p w14:paraId="3042CC3D" w14:textId="77777777" w:rsidR="000B2A5C" w:rsidRPr="00DF79AE" w:rsidRDefault="000B2A5C" w:rsidP="00BC1FCA">
            <w:pPr>
              <w:tabs>
                <w:tab w:val="left" w:pos="284"/>
              </w:tabs>
              <w:rPr>
                <w:sz w:val="22"/>
                <w:szCs w:val="22"/>
                <w:lang w:val="sr-Latn-ME"/>
              </w:rPr>
            </w:pPr>
            <w:r w:rsidRPr="00DF79AE">
              <w:rPr>
                <w:sz w:val="22"/>
                <w:szCs w:val="22"/>
                <w:lang w:val="sr-Latn-ME"/>
              </w:rPr>
              <w:t>Holelitijaza, jetreni poremećaji</w:t>
            </w:r>
          </w:p>
        </w:tc>
      </w:tr>
      <w:tr w:rsidR="000B2A5C" w:rsidRPr="00DF79AE" w14:paraId="4BED7091" w14:textId="77777777" w:rsidTr="00BC1FCA">
        <w:trPr>
          <w:jc w:val="center"/>
        </w:trPr>
        <w:tc>
          <w:tcPr>
            <w:tcW w:w="0" w:type="auto"/>
            <w:tcBorders>
              <w:top w:val="single" w:sz="4" w:space="0" w:color="auto"/>
              <w:left w:val="single" w:sz="4" w:space="0" w:color="auto"/>
              <w:bottom w:val="nil"/>
              <w:right w:val="nil"/>
            </w:tcBorders>
          </w:tcPr>
          <w:p w14:paraId="1B6B0A9A" w14:textId="77777777" w:rsidR="000B2A5C" w:rsidRPr="00DF79AE" w:rsidRDefault="000B2A5C" w:rsidP="00BC1FCA">
            <w:pPr>
              <w:tabs>
                <w:tab w:val="left" w:pos="284"/>
              </w:tabs>
              <w:rPr>
                <w:sz w:val="22"/>
                <w:szCs w:val="22"/>
                <w:lang w:val="sr-Latn-ME"/>
              </w:rPr>
            </w:pPr>
            <w:r w:rsidRPr="00DF79AE">
              <w:rPr>
                <w:bCs/>
                <w:sz w:val="22"/>
                <w:szCs w:val="22"/>
                <w:lang w:val="sr-Latn-ME"/>
              </w:rPr>
              <w:t>Poremećaji kože i potkožnog tkiva</w:t>
            </w:r>
          </w:p>
        </w:tc>
        <w:tc>
          <w:tcPr>
            <w:tcW w:w="0" w:type="auto"/>
            <w:tcBorders>
              <w:top w:val="single" w:sz="4" w:space="0" w:color="auto"/>
              <w:left w:val="nil"/>
              <w:bottom w:val="nil"/>
              <w:right w:val="single" w:sz="4" w:space="0" w:color="auto"/>
            </w:tcBorders>
          </w:tcPr>
          <w:p w14:paraId="748275C8" w14:textId="77777777" w:rsidR="000B2A5C" w:rsidRPr="00DF79AE" w:rsidRDefault="000B2A5C" w:rsidP="00BC1FCA">
            <w:pPr>
              <w:tabs>
                <w:tab w:val="left" w:pos="284"/>
              </w:tabs>
              <w:rPr>
                <w:sz w:val="22"/>
                <w:szCs w:val="22"/>
                <w:lang w:val="sr-Latn-ME"/>
              </w:rPr>
            </w:pPr>
          </w:p>
        </w:tc>
      </w:tr>
      <w:tr w:rsidR="000B2A5C" w:rsidRPr="00DF79AE" w14:paraId="6EA80DCB" w14:textId="77777777" w:rsidTr="00BC1FCA">
        <w:trPr>
          <w:jc w:val="center"/>
        </w:trPr>
        <w:tc>
          <w:tcPr>
            <w:tcW w:w="0" w:type="auto"/>
            <w:tcBorders>
              <w:top w:val="nil"/>
              <w:left w:val="single" w:sz="4" w:space="0" w:color="auto"/>
              <w:bottom w:val="nil"/>
              <w:right w:val="nil"/>
            </w:tcBorders>
          </w:tcPr>
          <w:p w14:paraId="6F044EB4" w14:textId="77777777" w:rsidR="000B2A5C" w:rsidRPr="00DF79AE" w:rsidRDefault="000B2A5C" w:rsidP="00BC1FCA">
            <w:pPr>
              <w:tabs>
                <w:tab w:val="left" w:pos="284"/>
              </w:tabs>
              <w:jc w:val="right"/>
              <w:rPr>
                <w:sz w:val="22"/>
                <w:szCs w:val="22"/>
                <w:lang w:val="sr-Latn-ME"/>
              </w:rPr>
            </w:pPr>
            <w:r w:rsidRPr="00DF79AE">
              <w:rPr>
                <w:sz w:val="22"/>
                <w:szCs w:val="22"/>
                <w:lang w:val="sr-Latn-ME"/>
              </w:rPr>
              <w:t>Često:</w:t>
            </w:r>
          </w:p>
        </w:tc>
        <w:tc>
          <w:tcPr>
            <w:tcW w:w="0" w:type="auto"/>
            <w:tcBorders>
              <w:top w:val="nil"/>
              <w:left w:val="nil"/>
              <w:bottom w:val="nil"/>
              <w:right w:val="single" w:sz="4" w:space="0" w:color="auto"/>
            </w:tcBorders>
          </w:tcPr>
          <w:p w14:paraId="134C3C0A" w14:textId="77777777" w:rsidR="000B2A5C" w:rsidRPr="00DF79AE" w:rsidRDefault="000B2A5C" w:rsidP="00BC1FCA">
            <w:pPr>
              <w:tabs>
                <w:tab w:val="left" w:pos="284"/>
              </w:tabs>
              <w:rPr>
                <w:sz w:val="22"/>
                <w:szCs w:val="22"/>
                <w:lang w:val="sr-Latn-ME"/>
              </w:rPr>
            </w:pPr>
            <w:r w:rsidRPr="00DF79AE">
              <w:rPr>
                <w:sz w:val="22"/>
                <w:szCs w:val="22"/>
                <w:lang w:val="sr-Latn-ME"/>
              </w:rPr>
              <w:t>Pruritus, osip, alopecija, dermatitis</w:t>
            </w:r>
          </w:p>
        </w:tc>
      </w:tr>
      <w:tr w:rsidR="000B2A5C" w:rsidRPr="00DF79AE" w14:paraId="76F745B7" w14:textId="77777777" w:rsidTr="00BC1FCA">
        <w:trPr>
          <w:jc w:val="center"/>
        </w:trPr>
        <w:tc>
          <w:tcPr>
            <w:tcW w:w="0" w:type="auto"/>
            <w:tcBorders>
              <w:top w:val="nil"/>
              <w:left w:val="single" w:sz="4" w:space="0" w:color="auto"/>
              <w:bottom w:val="single" w:sz="4" w:space="0" w:color="auto"/>
              <w:right w:val="nil"/>
            </w:tcBorders>
          </w:tcPr>
          <w:p w14:paraId="40260D7F" w14:textId="77777777" w:rsidR="000B2A5C" w:rsidRPr="00DF79AE" w:rsidRDefault="000B2A5C" w:rsidP="00BC1FCA">
            <w:pPr>
              <w:tabs>
                <w:tab w:val="left" w:pos="284"/>
              </w:tabs>
              <w:jc w:val="right"/>
              <w:rPr>
                <w:sz w:val="22"/>
                <w:szCs w:val="22"/>
                <w:lang w:val="sr-Latn-ME"/>
              </w:rPr>
            </w:pPr>
            <w:r w:rsidRPr="00DF79AE">
              <w:rPr>
                <w:sz w:val="22"/>
                <w:szCs w:val="22"/>
                <w:lang w:val="sr-Latn-ME"/>
              </w:rPr>
              <w:t>Povremeno:</w:t>
            </w:r>
          </w:p>
          <w:p w14:paraId="0EE09895" w14:textId="77777777" w:rsidR="000B2A5C" w:rsidRPr="00DF79AE" w:rsidRDefault="000B2A5C" w:rsidP="00BC1FCA">
            <w:pPr>
              <w:tabs>
                <w:tab w:val="left" w:pos="284"/>
              </w:tabs>
              <w:jc w:val="right"/>
              <w:rPr>
                <w:sz w:val="22"/>
                <w:szCs w:val="22"/>
                <w:lang w:val="sr-Latn-ME"/>
              </w:rPr>
            </w:pPr>
          </w:p>
          <w:p w14:paraId="594A3EA1" w14:textId="77777777" w:rsidR="000B2A5C" w:rsidRDefault="000B2A5C" w:rsidP="00BC1FCA">
            <w:pPr>
              <w:tabs>
                <w:tab w:val="left" w:pos="284"/>
              </w:tabs>
              <w:jc w:val="right"/>
              <w:rPr>
                <w:sz w:val="22"/>
                <w:szCs w:val="22"/>
                <w:lang w:val="sr-Latn-ME"/>
              </w:rPr>
            </w:pPr>
            <w:r w:rsidRPr="00DF79AE">
              <w:rPr>
                <w:sz w:val="22"/>
                <w:szCs w:val="22"/>
                <w:lang w:val="sr-Latn-ME"/>
              </w:rPr>
              <w:t>Rijetko:</w:t>
            </w:r>
          </w:p>
          <w:p w14:paraId="105190AA" w14:textId="77777777" w:rsidR="000B2A5C" w:rsidRPr="00DF79AE" w:rsidRDefault="000B2A5C" w:rsidP="00BC1FCA">
            <w:pPr>
              <w:tabs>
                <w:tab w:val="left" w:pos="284"/>
              </w:tabs>
              <w:jc w:val="right"/>
              <w:rPr>
                <w:sz w:val="22"/>
                <w:szCs w:val="22"/>
                <w:lang w:val="sr-Latn-ME"/>
              </w:rPr>
            </w:pPr>
            <w:r>
              <w:rPr>
                <w:sz w:val="22"/>
                <w:szCs w:val="22"/>
                <w:lang w:val="sr-Latn-ME"/>
              </w:rPr>
              <w:t>Nepoznato:</w:t>
            </w:r>
          </w:p>
        </w:tc>
        <w:tc>
          <w:tcPr>
            <w:tcW w:w="0" w:type="auto"/>
            <w:tcBorders>
              <w:top w:val="nil"/>
              <w:left w:val="nil"/>
              <w:bottom w:val="single" w:sz="4" w:space="0" w:color="auto"/>
              <w:right w:val="single" w:sz="4" w:space="0" w:color="auto"/>
            </w:tcBorders>
          </w:tcPr>
          <w:p w14:paraId="24278BFF" w14:textId="77777777" w:rsidR="000B2A5C" w:rsidRPr="00DF79AE" w:rsidRDefault="000B2A5C" w:rsidP="00BC1FCA">
            <w:pPr>
              <w:tabs>
                <w:tab w:val="left" w:pos="284"/>
              </w:tabs>
              <w:rPr>
                <w:sz w:val="22"/>
                <w:szCs w:val="22"/>
                <w:lang w:val="sr-Latn-ME"/>
              </w:rPr>
            </w:pPr>
            <w:r w:rsidRPr="00DF79AE">
              <w:rPr>
                <w:sz w:val="22"/>
                <w:szCs w:val="22"/>
                <w:lang w:val="sr-Latn-ME"/>
              </w:rPr>
              <w:t xml:space="preserve">Bulozne reakcije na koži, psorijaza (novonastala ili pogoršanje postojeće, palmar/plantarna i pustularna), urtikarija </w:t>
            </w:r>
          </w:p>
          <w:p w14:paraId="1C327EFE" w14:textId="77777777" w:rsidR="000B2A5C" w:rsidRDefault="000B2A5C" w:rsidP="00BC1FCA">
            <w:pPr>
              <w:tabs>
                <w:tab w:val="left" w:pos="284"/>
              </w:tabs>
              <w:rPr>
                <w:sz w:val="22"/>
                <w:szCs w:val="22"/>
                <w:lang w:val="sr-Latn-ME"/>
              </w:rPr>
            </w:pPr>
            <w:r w:rsidRPr="00DF79AE">
              <w:rPr>
                <w:sz w:val="22"/>
                <w:szCs w:val="22"/>
                <w:lang w:val="hr-HR"/>
              </w:rPr>
              <w:t>Lihenoidne reakcije,</w:t>
            </w:r>
            <w:r w:rsidRPr="00DF79AE">
              <w:rPr>
                <w:sz w:val="22"/>
                <w:szCs w:val="22"/>
                <w:lang w:val="sr-Latn-ME"/>
              </w:rPr>
              <w:t xml:space="preserve"> eksfolijacija kože, vaskulitis (kožni)</w:t>
            </w:r>
          </w:p>
          <w:p w14:paraId="583EA971" w14:textId="77777777" w:rsidR="000B2A5C" w:rsidRPr="00DF79AE" w:rsidRDefault="000B2A5C" w:rsidP="00BC1FCA">
            <w:pPr>
              <w:tabs>
                <w:tab w:val="left" w:pos="284"/>
              </w:tabs>
              <w:rPr>
                <w:sz w:val="22"/>
                <w:szCs w:val="22"/>
                <w:lang w:val="sr-Latn-ME"/>
              </w:rPr>
            </w:pPr>
            <w:r w:rsidRPr="00476C60">
              <w:rPr>
                <w:sz w:val="22"/>
                <w:szCs w:val="22"/>
                <w:lang w:val="sr-Latn-ME"/>
              </w:rPr>
              <w:t>Pogoršanje simptoma dermatomiozitisa</w:t>
            </w:r>
          </w:p>
        </w:tc>
      </w:tr>
      <w:tr w:rsidR="000B2A5C" w:rsidRPr="00DF79AE" w14:paraId="6092E188" w14:textId="77777777" w:rsidTr="00BC1FCA">
        <w:trPr>
          <w:jc w:val="center"/>
        </w:trPr>
        <w:tc>
          <w:tcPr>
            <w:tcW w:w="0" w:type="auto"/>
            <w:tcBorders>
              <w:top w:val="nil"/>
              <w:left w:val="single" w:sz="4" w:space="0" w:color="auto"/>
              <w:bottom w:val="nil"/>
              <w:right w:val="nil"/>
            </w:tcBorders>
          </w:tcPr>
          <w:p w14:paraId="073A6C61" w14:textId="77777777" w:rsidR="000B2A5C" w:rsidRPr="00DF79AE" w:rsidRDefault="000B2A5C" w:rsidP="00BC1FCA">
            <w:pPr>
              <w:tabs>
                <w:tab w:val="left" w:pos="284"/>
              </w:tabs>
              <w:rPr>
                <w:bCs/>
                <w:sz w:val="22"/>
                <w:szCs w:val="22"/>
                <w:lang w:val="sr-Latn-ME"/>
              </w:rPr>
            </w:pPr>
            <w:r w:rsidRPr="00DF79AE">
              <w:rPr>
                <w:bCs/>
                <w:sz w:val="22"/>
                <w:szCs w:val="22"/>
                <w:lang w:val="sr-Latn-ME"/>
              </w:rPr>
              <w:t>Poremećaji mišićno-koštanog sistema i vezivnog tkiva</w:t>
            </w:r>
          </w:p>
        </w:tc>
        <w:tc>
          <w:tcPr>
            <w:tcW w:w="0" w:type="auto"/>
            <w:tcBorders>
              <w:top w:val="nil"/>
              <w:left w:val="nil"/>
              <w:bottom w:val="nil"/>
              <w:right w:val="single" w:sz="4" w:space="0" w:color="auto"/>
            </w:tcBorders>
          </w:tcPr>
          <w:p w14:paraId="675C721E" w14:textId="77777777" w:rsidR="000B2A5C" w:rsidRPr="00DF79AE" w:rsidRDefault="000B2A5C" w:rsidP="00BC1FCA">
            <w:pPr>
              <w:tabs>
                <w:tab w:val="left" w:pos="284"/>
              </w:tabs>
              <w:rPr>
                <w:sz w:val="22"/>
                <w:szCs w:val="22"/>
                <w:lang w:val="sr-Latn-ME"/>
              </w:rPr>
            </w:pPr>
          </w:p>
        </w:tc>
      </w:tr>
      <w:tr w:rsidR="000B2A5C" w:rsidRPr="00DF79AE" w14:paraId="0A7A74A2" w14:textId="77777777" w:rsidTr="00BC1FCA">
        <w:trPr>
          <w:jc w:val="center"/>
        </w:trPr>
        <w:tc>
          <w:tcPr>
            <w:tcW w:w="0" w:type="auto"/>
            <w:tcBorders>
              <w:top w:val="nil"/>
              <w:left w:val="single" w:sz="4" w:space="0" w:color="auto"/>
              <w:bottom w:val="single" w:sz="4" w:space="0" w:color="auto"/>
              <w:right w:val="nil"/>
            </w:tcBorders>
          </w:tcPr>
          <w:p w14:paraId="7DE3092D" w14:textId="77777777" w:rsidR="000B2A5C" w:rsidRPr="00DF79AE" w:rsidRDefault="000B2A5C" w:rsidP="00BC1FCA">
            <w:pPr>
              <w:tabs>
                <w:tab w:val="left" w:pos="284"/>
              </w:tabs>
              <w:jc w:val="right"/>
              <w:rPr>
                <w:sz w:val="22"/>
                <w:szCs w:val="22"/>
                <w:lang w:val="sr-Latn-ME"/>
              </w:rPr>
            </w:pPr>
            <w:r w:rsidRPr="00DF79AE">
              <w:rPr>
                <w:sz w:val="22"/>
                <w:szCs w:val="22"/>
                <w:lang w:val="sr-Latn-ME"/>
              </w:rPr>
              <w:t>Rijetko:</w:t>
            </w:r>
          </w:p>
        </w:tc>
        <w:tc>
          <w:tcPr>
            <w:tcW w:w="0" w:type="auto"/>
            <w:tcBorders>
              <w:top w:val="nil"/>
              <w:left w:val="nil"/>
              <w:bottom w:val="single" w:sz="4" w:space="0" w:color="auto"/>
              <w:right w:val="single" w:sz="4" w:space="0" w:color="auto"/>
            </w:tcBorders>
          </w:tcPr>
          <w:p w14:paraId="09E3FD56" w14:textId="77777777" w:rsidR="000B2A5C" w:rsidRPr="00DF79AE" w:rsidRDefault="000B2A5C" w:rsidP="00BC1FCA">
            <w:pPr>
              <w:tabs>
                <w:tab w:val="left" w:pos="284"/>
              </w:tabs>
              <w:rPr>
                <w:sz w:val="22"/>
                <w:szCs w:val="22"/>
                <w:lang w:val="sr-Latn-ME"/>
              </w:rPr>
            </w:pPr>
            <w:r w:rsidRPr="00DF79AE">
              <w:rPr>
                <w:sz w:val="22"/>
                <w:szCs w:val="22"/>
                <w:lang w:val="sr-Latn-ME"/>
              </w:rPr>
              <w:t xml:space="preserve">Sindrom sličan lupusu </w:t>
            </w:r>
          </w:p>
        </w:tc>
      </w:tr>
      <w:tr w:rsidR="000B2A5C" w:rsidRPr="00DF79AE" w14:paraId="3AE31C2F" w14:textId="77777777" w:rsidTr="00BC1FCA">
        <w:trPr>
          <w:jc w:val="center"/>
        </w:trPr>
        <w:tc>
          <w:tcPr>
            <w:tcW w:w="0" w:type="auto"/>
            <w:tcBorders>
              <w:top w:val="nil"/>
              <w:left w:val="single" w:sz="4" w:space="0" w:color="auto"/>
              <w:bottom w:val="nil"/>
              <w:right w:val="nil"/>
            </w:tcBorders>
          </w:tcPr>
          <w:p w14:paraId="16D91AA9" w14:textId="77777777" w:rsidR="000B2A5C" w:rsidRPr="00DF79AE" w:rsidRDefault="000B2A5C" w:rsidP="00BC1FCA">
            <w:pPr>
              <w:tabs>
                <w:tab w:val="left" w:pos="284"/>
              </w:tabs>
              <w:rPr>
                <w:bCs/>
                <w:sz w:val="22"/>
                <w:szCs w:val="22"/>
                <w:lang w:val="sr-Latn-ME"/>
              </w:rPr>
            </w:pPr>
            <w:r w:rsidRPr="00DF79AE">
              <w:rPr>
                <w:bCs/>
                <w:sz w:val="22"/>
                <w:szCs w:val="22"/>
                <w:lang w:val="sr-Latn-ME"/>
              </w:rPr>
              <w:t>Poremećaji na nivou bubrega i urinarnog sistema</w:t>
            </w:r>
          </w:p>
        </w:tc>
        <w:tc>
          <w:tcPr>
            <w:tcW w:w="0" w:type="auto"/>
            <w:tcBorders>
              <w:top w:val="nil"/>
              <w:left w:val="nil"/>
              <w:bottom w:val="nil"/>
              <w:right w:val="single" w:sz="4" w:space="0" w:color="auto"/>
            </w:tcBorders>
          </w:tcPr>
          <w:p w14:paraId="21E07487" w14:textId="77777777" w:rsidR="000B2A5C" w:rsidRPr="00DF79AE" w:rsidRDefault="000B2A5C" w:rsidP="00BC1FCA">
            <w:pPr>
              <w:tabs>
                <w:tab w:val="left" w:pos="284"/>
              </w:tabs>
              <w:rPr>
                <w:sz w:val="22"/>
                <w:szCs w:val="22"/>
                <w:lang w:val="sr-Latn-ME"/>
              </w:rPr>
            </w:pPr>
          </w:p>
        </w:tc>
      </w:tr>
      <w:tr w:rsidR="000B2A5C" w:rsidRPr="00DF79AE" w14:paraId="0C27EA5C" w14:textId="77777777" w:rsidTr="00BC1FCA">
        <w:trPr>
          <w:jc w:val="center"/>
        </w:trPr>
        <w:tc>
          <w:tcPr>
            <w:tcW w:w="0" w:type="auto"/>
            <w:tcBorders>
              <w:top w:val="nil"/>
              <w:left w:val="single" w:sz="4" w:space="0" w:color="auto"/>
              <w:bottom w:val="single" w:sz="4" w:space="0" w:color="auto"/>
              <w:right w:val="nil"/>
            </w:tcBorders>
          </w:tcPr>
          <w:p w14:paraId="35BD194E" w14:textId="77777777" w:rsidR="000B2A5C" w:rsidRPr="00DF79AE" w:rsidRDefault="000B2A5C" w:rsidP="00BC1FCA">
            <w:pPr>
              <w:tabs>
                <w:tab w:val="left" w:pos="284"/>
              </w:tabs>
              <w:jc w:val="right"/>
              <w:rPr>
                <w:sz w:val="22"/>
                <w:szCs w:val="22"/>
                <w:lang w:val="sr-Latn-ME"/>
              </w:rPr>
            </w:pPr>
            <w:r w:rsidRPr="00DF79AE">
              <w:rPr>
                <w:sz w:val="22"/>
                <w:szCs w:val="22"/>
                <w:lang w:val="sr-Latn-ME"/>
              </w:rPr>
              <w:t>Rijetko:</w:t>
            </w:r>
          </w:p>
        </w:tc>
        <w:tc>
          <w:tcPr>
            <w:tcW w:w="0" w:type="auto"/>
            <w:tcBorders>
              <w:top w:val="nil"/>
              <w:left w:val="nil"/>
              <w:bottom w:val="single" w:sz="4" w:space="0" w:color="auto"/>
              <w:right w:val="single" w:sz="4" w:space="0" w:color="auto"/>
            </w:tcBorders>
          </w:tcPr>
          <w:p w14:paraId="3280A432" w14:textId="77777777" w:rsidR="000B2A5C" w:rsidRPr="00DF79AE" w:rsidRDefault="000B2A5C" w:rsidP="00BC1FCA">
            <w:pPr>
              <w:tabs>
                <w:tab w:val="left" w:pos="284"/>
              </w:tabs>
              <w:rPr>
                <w:sz w:val="22"/>
                <w:szCs w:val="22"/>
                <w:lang w:val="sr-Latn-ME"/>
              </w:rPr>
            </w:pPr>
            <w:r w:rsidRPr="00DF79AE">
              <w:rPr>
                <w:sz w:val="22"/>
                <w:szCs w:val="22"/>
                <w:lang w:val="sr-Latn-ME"/>
              </w:rPr>
              <w:t>Poremećaji bešike, bubrežni poremećaji</w:t>
            </w:r>
          </w:p>
        </w:tc>
      </w:tr>
      <w:tr w:rsidR="000B2A5C" w:rsidRPr="00DF79AE" w14:paraId="0B99BB3D" w14:textId="77777777" w:rsidTr="00BC1FCA">
        <w:trPr>
          <w:jc w:val="center"/>
        </w:trPr>
        <w:tc>
          <w:tcPr>
            <w:tcW w:w="0" w:type="auto"/>
            <w:tcBorders>
              <w:top w:val="single" w:sz="4" w:space="0" w:color="auto"/>
              <w:left w:val="single" w:sz="4" w:space="0" w:color="auto"/>
              <w:bottom w:val="nil"/>
              <w:right w:val="nil"/>
            </w:tcBorders>
          </w:tcPr>
          <w:p w14:paraId="725676E1" w14:textId="77777777" w:rsidR="000B2A5C" w:rsidRPr="00DF79AE" w:rsidRDefault="000B2A5C" w:rsidP="00BC1FCA">
            <w:pPr>
              <w:tabs>
                <w:tab w:val="left" w:pos="284"/>
              </w:tabs>
              <w:rPr>
                <w:bCs/>
                <w:sz w:val="22"/>
                <w:szCs w:val="22"/>
                <w:lang w:val="sr-Latn-ME"/>
              </w:rPr>
            </w:pPr>
            <w:r w:rsidRPr="00DF79AE">
              <w:rPr>
                <w:bCs/>
                <w:sz w:val="22"/>
                <w:szCs w:val="22"/>
                <w:lang w:val="sr-Latn-ME"/>
              </w:rPr>
              <w:t>Poremećaji reproduktivnog sistema i na nivou dojki</w:t>
            </w:r>
          </w:p>
        </w:tc>
        <w:tc>
          <w:tcPr>
            <w:tcW w:w="0" w:type="auto"/>
            <w:tcBorders>
              <w:top w:val="single" w:sz="4" w:space="0" w:color="auto"/>
              <w:left w:val="nil"/>
              <w:bottom w:val="nil"/>
              <w:right w:val="single" w:sz="4" w:space="0" w:color="auto"/>
            </w:tcBorders>
          </w:tcPr>
          <w:p w14:paraId="7A1B7D10" w14:textId="77777777" w:rsidR="000B2A5C" w:rsidRPr="00DF79AE" w:rsidRDefault="000B2A5C" w:rsidP="00BC1FCA">
            <w:pPr>
              <w:tabs>
                <w:tab w:val="left" w:pos="284"/>
              </w:tabs>
              <w:rPr>
                <w:sz w:val="22"/>
                <w:szCs w:val="22"/>
                <w:lang w:val="sr-Latn-ME"/>
              </w:rPr>
            </w:pPr>
          </w:p>
        </w:tc>
      </w:tr>
      <w:tr w:rsidR="000B2A5C" w:rsidRPr="00DF79AE" w14:paraId="11C91B0B" w14:textId="77777777" w:rsidTr="00BC1FCA">
        <w:trPr>
          <w:jc w:val="center"/>
        </w:trPr>
        <w:tc>
          <w:tcPr>
            <w:tcW w:w="0" w:type="auto"/>
            <w:tcBorders>
              <w:top w:val="nil"/>
              <w:left w:val="single" w:sz="4" w:space="0" w:color="auto"/>
              <w:bottom w:val="single" w:sz="4" w:space="0" w:color="auto"/>
              <w:right w:val="nil"/>
            </w:tcBorders>
          </w:tcPr>
          <w:p w14:paraId="23B0C058" w14:textId="77777777" w:rsidR="000B2A5C" w:rsidRPr="00DF79AE" w:rsidRDefault="000B2A5C" w:rsidP="00BC1FCA">
            <w:pPr>
              <w:tabs>
                <w:tab w:val="left" w:pos="284"/>
              </w:tabs>
              <w:jc w:val="right"/>
              <w:rPr>
                <w:sz w:val="22"/>
                <w:szCs w:val="22"/>
                <w:lang w:val="sr-Latn-ME"/>
              </w:rPr>
            </w:pPr>
            <w:r w:rsidRPr="00DF79AE">
              <w:rPr>
                <w:sz w:val="22"/>
                <w:szCs w:val="22"/>
                <w:lang w:val="sr-Latn-ME"/>
              </w:rPr>
              <w:t>Povremeno:</w:t>
            </w:r>
          </w:p>
        </w:tc>
        <w:tc>
          <w:tcPr>
            <w:tcW w:w="0" w:type="auto"/>
            <w:tcBorders>
              <w:top w:val="nil"/>
              <w:left w:val="nil"/>
              <w:bottom w:val="single" w:sz="4" w:space="0" w:color="auto"/>
              <w:right w:val="single" w:sz="4" w:space="0" w:color="auto"/>
            </w:tcBorders>
          </w:tcPr>
          <w:p w14:paraId="4ECFB7C0" w14:textId="77777777" w:rsidR="000B2A5C" w:rsidRPr="00DF79AE" w:rsidRDefault="000B2A5C" w:rsidP="00BC1FCA">
            <w:pPr>
              <w:tabs>
                <w:tab w:val="left" w:pos="284"/>
              </w:tabs>
              <w:rPr>
                <w:sz w:val="22"/>
                <w:szCs w:val="22"/>
                <w:lang w:val="sr-Latn-ME"/>
              </w:rPr>
            </w:pPr>
            <w:r w:rsidRPr="00DF79AE">
              <w:rPr>
                <w:sz w:val="22"/>
                <w:szCs w:val="22"/>
                <w:lang w:val="sr-Latn-ME"/>
              </w:rPr>
              <w:t>Poremećaji dojki, poremećaji menstruacije</w:t>
            </w:r>
          </w:p>
        </w:tc>
      </w:tr>
      <w:tr w:rsidR="000B2A5C" w:rsidRPr="00DF79AE" w14:paraId="5E1F99D7" w14:textId="77777777" w:rsidTr="00BC1FCA">
        <w:trPr>
          <w:jc w:val="center"/>
        </w:trPr>
        <w:tc>
          <w:tcPr>
            <w:tcW w:w="0" w:type="auto"/>
            <w:tcBorders>
              <w:top w:val="single" w:sz="4" w:space="0" w:color="auto"/>
              <w:left w:val="single" w:sz="4" w:space="0" w:color="auto"/>
              <w:bottom w:val="nil"/>
              <w:right w:val="nil"/>
            </w:tcBorders>
          </w:tcPr>
          <w:p w14:paraId="6B1F23C0" w14:textId="77777777" w:rsidR="000B2A5C" w:rsidRPr="00DF79AE" w:rsidRDefault="000B2A5C" w:rsidP="00BC1FCA">
            <w:pPr>
              <w:tabs>
                <w:tab w:val="left" w:pos="284"/>
              </w:tabs>
              <w:rPr>
                <w:bCs/>
                <w:sz w:val="22"/>
                <w:szCs w:val="22"/>
                <w:lang w:val="sr-Latn-ME"/>
              </w:rPr>
            </w:pPr>
            <w:r w:rsidRPr="00DF79AE">
              <w:rPr>
                <w:bCs/>
                <w:sz w:val="22"/>
                <w:szCs w:val="22"/>
                <w:lang w:val="sr-Latn-ME"/>
              </w:rPr>
              <w:t>Opšti poremećaji i reakcije na mjestu primjene</w:t>
            </w:r>
          </w:p>
        </w:tc>
        <w:tc>
          <w:tcPr>
            <w:tcW w:w="0" w:type="auto"/>
            <w:tcBorders>
              <w:top w:val="single" w:sz="4" w:space="0" w:color="auto"/>
              <w:left w:val="nil"/>
              <w:bottom w:val="nil"/>
              <w:right w:val="single" w:sz="4" w:space="0" w:color="auto"/>
            </w:tcBorders>
          </w:tcPr>
          <w:p w14:paraId="24AB63C7" w14:textId="77777777" w:rsidR="000B2A5C" w:rsidRPr="00DF79AE" w:rsidRDefault="000B2A5C" w:rsidP="00BC1FCA">
            <w:pPr>
              <w:tabs>
                <w:tab w:val="left" w:pos="284"/>
              </w:tabs>
              <w:rPr>
                <w:sz w:val="22"/>
                <w:szCs w:val="22"/>
                <w:lang w:val="sr-Latn-ME"/>
              </w:rPr>
            </w:pPr>
          </w:p>
        </w:tc>
      </w:tr>
      <w:tr w:rsidR="000B2A5C" w:rsidRPr="00DF79AE" w14:paraId="584D2232" w14:textId="77777777" w:rsidTr="00BC1FCA">
        <w:trPr>
          <w:jc w:val="center"/>
        </w:trPr>
        <w:tc>
          <w:tcPr>
            <w:tcW w:w="0" w:type="auto"/>
            <w:tcBorders>
              <w:top w:val="nil"/>
              <w:left w:val="single" w:sz="4" w:space="0" w:color="auto"/>
              <w:bottom w:val="nil"/>
              <w:right w:val="nil"/>
            </w:tcBorders>
          </w:tcPr>
          <w:p w14:paraId="7D5DB10E" w14:textId="77777777" w:rsidR="000B2A5C" w:rsidRPr="00DF79AE" w:rsidRDefault="000B2A5C" w:rsidP="00BC1FCA">
            <w:pPr>
              <w:tabs>
                <w:tab w:val="left" w:pos="284"/>
              </w:tabs>
              <w:jc w:val="right"/>
              <w:rPr>
                <w:sz w:val="22"/>
                <w:szCs w:val="22"/>
                <w:lang w:val="sr-Latn-ME"/>
              </w:rPr>
            </w:pPr>
            <w:r w:rsidRPr="00DF79AE">
              <w:rPr>
                <w:sz w:val="22"/>
                <w:szCs w:val="22"/>
                <w:lang w:val="sr-Latn-ME"/>
              </w:rPr>
              <w:t>Često:</w:t>
            </w:r>
          </w:p>
        </w:tc>
        <w:tc>
          <w:tcPr>
            <w:tcW w:w="0" w:type="auto"/>
            <w:tcBorders>
              <w:top w:val="nil"/>
              <w:left w:val="nil"/>
              <w:bottom w:val="nil"/>
              <w:right w:val="single" w:sz="4" w:space="0" w:color="auto"/>
            </w:tcBorders>
          </w:tcPr>
          <w:p w14:paraId="0E5E7221" w14:textId="77777777" w:rsidR="000B2A5C" w:rsidRPr="00DF79AE" w:rsidRDefault="000B2A5C" w:rsidP="00BC1FCA">
            <w:pPr>
              <w:tabs>
                <w:tab w:val="left" w:pos="284"/>
              </w:tabs>
              <w:rPr>
                <w:sz w:val="22"/>
                <w:szCs w:val="22"/>
                <w:lang w:val="sr-Latn-ME"/>
              </w:rPr>
            </w:pPr>
            <w:r w:rsidRPr="00DF79AE">
              <w:rPr>
                <w:sz w:val="22"/>
                <w:szCs w:val="22"/>
                <w:lang w:val="sr-Latn-ME"/>
              </w:rPr>
              <w:t>Pireksija, astenija, reakcije na mjestu injekcije (npr. eritem, urtikarija, induracija, bol, modrica, pruritus, iritacija i parestezija na mjestu davanja injekcije), nelagodnost u grudima</w:t>
            </w:r>
          </w:p>
        </w:tc>
      </w:tr>
      <w:tr w:rsidR="000B2A5C" w:rsidRPr="00DF79AE" w14:paraId="4F5ED39E" w14:textId="77777777" w:rsidTr="00BC1FCA">
        <w:trPr>
          <w:jc w:val="center"/>
        </w:trPr>
        <w:tc>
          <w:tcPr>
            <w:tcW w:w="0" w:type="auto"/>
            <w:tcBorders>
              <w:top w:val="nil"/>
              <w:left w:val="single" w:sz="4" w:space="0" w:color="auto"/>
              <w:bottom w:val="single" w:sz="4" w:space="0" w:color="auto"/>
              <w:right w:val="nil"/>
            </w:tcBorders>
          </w:tcPr>
          <w:p w14:paraId="2225B993" w14:textId="77777777" w:rsidR="000B2A5C" w:rsidRPr="00DF79AE" w:rsidRDefault="000B2A5C" w:rsidP="00BC1FCA">
            <w:pPr>
              <w:tabs>
                <w:tab w:val="left" w:pos="284"/>
              </w:tabs>
              <w:jc w:val="right"/>
              <w:rPr>
                <w:sz w:val="22"/>
                <w:szCs w:val="22"/>
                <w:lang w:val="sr-Latn-ME"/>
              </w:rPr>
            </w:pPr>
            <w:r w:rsidRPr="00DF79AE">
              <w:rPr>
                <w:sz w:val="22"/>
                <w:szCs w:val="22"/>
                <w:lang w:val="sr-Latn-ME"/>
              </w:rPr>
              <w:t>Rijetko:</w:t>
            </w:r>
          </w:p>
        </w:tc>
        <w:tc>
          <w:tcPr>
            <w:tcW w:w="0" w:type="auto"/>
            <w:tcBorders>
              <w:top w:val="nil"/>
              <w:left w:val="nil"/>
              <w:bottom w:val="single" w:sz="4" w:space="0" w:color="auto"/>
              <w:right w:val="single" w:sz="4" w:space="0" w:color="auto"/>
            </w:tcBorders>
          </w:tcPr>
          <w:p w14:paraId="1C4CF4FA" w14:textId="77777777" w:rsidR="000B2A5C" w:rsidRPr="00DF79AE" w:rsidRDefault="000B2A5C" w:rsidP="00BC1FCA">
            <w:pPr>
              <w:tabs>
                <w:tab w:val="left" w:pos="284"/>
              </w:tabs>
              <w:rPr>
                <w:sz w:val="22"/>
                <w:szCs w:val="22"/>
                <w:lang w:val="sr-Latn-ME"/>
              </w:rPr>
            </w:pPr>
            <w:r w:rsidRPr="00DF79AE">
              <w:rPr>
                <w:sz w:val="22"/>
                <w:szCs w:val="22"/>
                <w:lang w:val="sr-Latn-ME"/>
              </w:rPr>
              <w:t>Otežano zarastanje</w:t>
            </w:r>
          </w:p>
        </w:tc>
      </w:tr>
      <w:tr w:rsidR="000B2A5C" w:rsidRPr="00DF79AE" w14:paraId="7700E17A" w14:textId="77777777" w:rsidTr="00BC1FCA">
        <w:trPr>
          <w:jc w:val="center"/>
        </w:trPr>
        <w:tc>
          <w:tcPr>
            <w:tcW w:w="0" w:type="auto"/>
            <w:tcBorders>
              <w:top w:val="nil"/>
              <w:left w:val="single" w:sz="4" w:space="0" w:color="auto"/>
              <w:bottom w:val="nil"/>
              <w:right w:val="nil"/>
            </w:tcBorders>
          </w:tcPr>
          <w:p w14:paraId="03E9221A" w14:textId="77777777" w:rsidR="000B2A5C" w:rsidRPr="00DF79AE" w:rsidRDefault="000B2A5C" w:rsidP="00BC1FCA">
            <w:pPr>
              <w:tabs>
                <w:tab w:val="left" w:pos="284"/>
              </w:tabs>
              <w:rPr>
                <w:sz w:val="22"/>
                <w:szCs w:val="22"/>
                <w:lang w:val="sr-Latn-ME"/>
              </w:rPr>
            </w:pPr>
            <w:r w:rsidRPr="00DF79AE">
              <w:rPr>
                <w:sz w:val="22"/>
                <w:szCs w:val="22"/>
                <w:lang w:val="sr-Latn-ME"/>
              </w:rPr>
              <w:lastRenderedPageBreak/>
              <w:t>Povrede, trovanja i proceduralne komplikacije</w:t>
            </w:r>
          </w:p>
        </w:tc>
        <w:tc>
          <w:tcPr>
            <w:tcW w:w="0" w:type="auto"/>
            <w:tcBorders>
              <w:top w:val="nil"/>
              <w:left w:val="nil"/>
              <w:bottom w:val="nil"/>
              <w:right w:val="single" w:sz="4" w:space="0" w:color="auto"/>
            </w:tcBorders>
          </w:tcPr>
          <w:p w14:paraId="21CE00C9" w14:textId="77777777" w:rsidR="000B2A5C" w:rsidRPr="00DF79AE" w:rsidRDefault="000B2A5C" w:rsidP="00BC1FCA">
            <w:pPr>
              <w:tabs>
                <w:tab w:val="left" w:pos="284"/>
              </w:tabs>
              <w:rPr>
                <w:sz w:val="22"/>
                <w:szCs w:val="22"/>
                <w:lang w:val="sr-Latn-ME"/>
              </w:rPr>
            </w:pPr>
          </w:p>
        </w:tc>
      </w:tr>
      <w:tr w:rsidR="000B2A5C" w:rsidRPr="00DF79AE" w14:paraId="53F5F873" w14:textId="77777777" w:rsidTr="00BC1FCA">
        <w:trPr>
          <w:jc w:val="center"/>
        </w:trPr>
        <w:tc>
          <w:tcPr>
            <w:tcW w:w="0" w:type="auto"/>
            <w:tcBorders>
              <w:top w:val="nil"/>
              <w:left w:val="single" w:sz="4" w:space="0" w:color="auto"/>
              <w:bottom w:val="single" w:sz="4" w:space="0" w:color="auto"/>
              <w:right w:val="nil"/>
            </w:tcBorders>
          </w:tcPr>
          <w:p w14:paraId="77D709F1" w14:textId="77777777" w:rsidR="000B2A5C" w:rsidRPr="00DF79AE" w:rsidRDefault="000B2A5C" w:rsidP="00BC1FCA">
            <w:pPr>
              <w:tabs>
                <w:tab w:val="left" w:pos="284"/>
              </w:tabs>
              <w:jc w:val="right"/>
              <w:rPr>
                <w:sz w:val="22"/>
                <w:szCs w:val="22"/>
                <w:lang w:val="sr-Latn-ME"/>
              </w:rPr>
            </w:pPr>
            <w:r w:rsidRPr="00DF79AE">
              <w:rPr>
                <w:sz w:val="22"/>
                <w:szCs w:val="22"/>
                <w:lang w:val="sr-Latn-ME"/>
              </w:rPr>
              <w:t>Često:</w:t>
            </w:r>
          </w:p>
        </w:tc>
        <w:tc>
          <w:tcPr>
            <w:tcW w:w="0" w:type="auto"/>
            <w:tcBorders>
              <w:top w:val="nil"/>
              <w:left w:val="nil"/>
              <w:bottom w:val="single" w:sz="4" w:space="0" w:color="auto"/>
              <w:right w:val="single" w:sz="4" w:space="0" w:color="auto"/>
            </w:tcBorders>
          </w:tcPr>
          <w:p w14:paraId="0FA54FE0" w14:textId="77777777" w:rsidR="000B2A5C" w:rsidRPr="00DF79AE" w:rsidRDefault="000B2A5C" w:rsidP="00BC1FCA">
            <w:pPr>
              <w:tabs>
                <w:tab w:val="left" w:pos="284"/>
              </w:tabs>
              <w:rPr>
                <w:sz w:val="22"/>
                <w:szCs w:val="22"/>
                <w:lang w:val="sr-Latn-ME"/>
              </w:rPr>
            </w:pPr>
            <w:r w:rsidRPr="00DF79AE">
              <w:rPr>
                <w:sz w:val="22"/>
                <w:szCs w:val="22"/>
                <w:lang w:val="sr-Latn-ME"/>
              </w:rPr>
              <w:t>Frakture kostiju</w:t>
            </w:r>
          </w:p>
        </w:tc>
      </w:tr>
      <w:tr w:rsidR="000B2A5C" w:rsidRPr="00DF79AE" w14:paraId="79C96829" w14:textId="77777777" w:rsidTr="00BC1FCA">
        <w:trPr>
          <w:jc w:val="center"/>
        </w:trPr>
        <w:tc>
          <w:tcPr>
            <w:tcW w:w="0" w:type="auto"/>
            <w:gridSpan w:val="2"/>
            <w:tcBorders>
              <w:top w:val="nil"/>
              <w:left w:val="single" w:sz="4" w:space="0" w:color="auto"/>
              <w:bottom w:val="single" w:sz="4" w:space="0" w:color="auto"/>
              <w:right w:val="single" w:sz="4" w:space="0" w:color="auto"/>
            </w:tcBorders>
          </w:tcPr>
          <w:p w14:paraId="1E4936D6" w14:textId="77777777" w:rsidR="000B2A5C" w:rsidRPr="00DF79AE" w:rsidRDefault="000B2A5C" w:rsidP="00BC1FCA">
            <w:pPr>
              <w:tabs>
                <w:tab w:val="left" w:pos="284"/>
              </w:tabs>
              <w:rPr>
                <w:sz w:val="22"/>
                <w:szCs w:val="22"/>
                <w:lang w:val="sr-Latn-ME"/>
              </w:rPr>
            </w:pPr>
            <w:r w:rsidRPr="00DF79AE">
              <w:rPr>
                <w:sz w:val="22"/>
                <w:szCs w:val="22"/>
                <w:lang w:val="sr-Latn-ME"/>
              </w:rPr>
              <w:t>*:</w:t>
            </w:r>
            <w:r w:rsidRPr="00DF79AE">
              <w:rPr>
                <w:sz w:val="22"/>
                <w:szCs w:val="22"/>
                <w:lang w:val="sr-Latn-ME"/>
              </w:rPr>
              <w:tab/>
              <w:t>zabilježeno s drugim TNF blokatorima</w:t>
            </w:r>
          </w:p>
        </w:tc>
      </w:tr>
    </w:tbl>
    <w:p w14:paraId="302318A1" w14:textId="77777777" w:rsidR="000B2A5C" w:rsidRPr="00DF79AE" w:rsidRDefault="000B2A5C" w:rsidP="000B2A5C">
      <w:pPr>
        <w:tabs>
          <w:tab w:val="left" w:pos="540"/>
          <w:tab w:val="left" w:pos="569"/>
        </w:tabs>
        <w:jc w:val="both"/>
        <w:rPr>
          <w:bCs/>
          <w:sz w:val="22"/>
          <w:szCs w:val="22"/>
          <w:lang w:val="sr-Latn-ME"/>
        </w:rPr>
      </w:pPr>
      <w:r w:rsidRPr="00DF79AE">
        <w:rPr>
          <w:bCs/>
          <w:sz w:val="22"/>
          <w:szCs w:val="22"/>
          <w:lang w:val="sr-Latn-ME"/>
        </w:rPr>
        <w:t>Kroz ovaj odjeljak, srednji period praćenja (približno 4 godine) je uopšteno predstavljen za sveukupnu upotrebu golumamaba. Kada je upotreba golumimaba opisana po dozi, srednji period praćenja varira (približno</w:t>
      </w:r>
      <w:r w:rsidRPr="00DF79AE" w:rsidDel="00F9789E">
        <w:rPr>
          <w:bCs/>
          <w:sz w:val="22"/>
          <w:szCs w:val="22"/>
          <w:lang w:val="sr-Latn-ME"/>
        </w:rPr>
        <w:t xml:space="preserve"> </w:t>
      </w:r>
      <w:r w:rsidRPr="00DF79AE">
        <w:rPr>
          <w:bCs/>
          <w:sz w:val="22"/>
          <w:szCs w:val="22"/>
          <w:lang w:val="sr-Latn-ME"/>
        </w:rPr>
        <w:t>2 godine za dozu od 50 mg, približno</w:t>
      </w:r>
      <w:r w:rsidRPr="00DF79AE" w:rsidDel="00F9789E">
        <w:rPr>
          <w:bCs/>
          <w:sz w:val="22"/>
          <w:szCs w:val="22"/>
          <w:lang w:val="sr-Latn-ME"/>
        </w:rPr>
        <w:t xml:space="preserve"> </w:t>
      </w:r>
      <w:r w:rsidRPr="00DF79AE">
        <w:rPr>
          <w:bCs/>
          <w:sz w:val="22"/>
          <w:szCs w:val="22"/>
          <w:lang w:val="sr-Latn-ME"/>
        </w:rPr>
        <w:t>3 godine za dozu od 100 mg), zbog mogućnosti da su pacijenti prelazili sa jedne na drugu dozu.</w:t>
      </w:r>
    </w:p>
    <w:p w14:paraId="0D215DC6" w14:textId="77777777" w:rsidR="000B2A5C" w:rsidRPr="00DF79AE" w:rsidRDefault="000B2A5C" w:rsidP="000B2A5C">
      <w:pPr>
        <w:tabs>
          <w:tab w:val="left" w:pos="284"/>
        </w:tabs>
        <w:rPr>
          <w:sz w:val="22"/>
          <w:szCs w:val="22"/>
          <w:lang w:val="sr-Latn-ME"/>
        </w:rPr>
      </w:pPr>
    </w:p>
    <w:p w14:paraId="54172FAC" w14:textId="77777777" w:rsidR="000B2A5C" w:rsidRPr="00DF79AE" w:rsidRDefault="000B2A5C" w:rsidP="000B2A5C">
      <w:pPr>
        <w:tabs>
          <w:tab w:val="left" w:pos="284"/>
        </w:tabs>
        <w:rPr>
          <w:sz w:val="22"/>
          <w:szCs w:val="22"/>
          <w:u w:val="single"/>
          <w:lang w:val="sr-Latn-ME"/>
        </w:rPr>
      </w:pPr>
      <w:r w:rsidRPr="00DF79AE">
        <w:rPr>
          <w:sz w:val="22"/>
          <w:szCs w:val="22"/>
          <w:u w:val="single"/>
          <w:lang w:val="sr-Latn-ME"/>
        </w:rPr>
        <w:t>Opis odabranih neželjenih reakcija</w:t>
      </w:r>
    </w:p>
    <w:p w14:paraId="188CC2E9" w14:textId="77777777" w:rsidR="000B2A5C" w:rsidRPr="00DF79AE" w:rsidRDefault="000B2A5C" w:rsidP="000B2A5C">
      <w:pPr>
        <w:tabs>
          <w:tab w:val="left" w:pos="284"/>
        </w:tabs>
        <w:rPr>
          <w:sz w:val="22"/>
          <w:szCs w:val="22"/>
          <w:lang w:val="sr-Latn-ME"/>
        </w:rPr>
      </w:pPr>
    </w:p>
    <w:p w14:paraId="6B1E2DEC" w14:textId="77777777" w:rsidR="000B2A5C" w:rsidRPr="00DF79AE" w:rsidRDefault="000B2A5C" w:rsidP="000B2A5C">
      <w:pPr>
        <w:tabs>
          <w:tab w:val="left" w:pos="284"/>
        </w:tabs>
        <w:rPr>
          <w:bCs/>
          <w:i/>
          <w:sz w:val="22"/>
          <w:szCs w:val="22"/>
          <w:lang w:val="sr-Latn-ME"/>
        </w:rPr>
      </w:pPr>
      <w:r w:rsidRPr="00DF79AE">
        <w:rPr>
          <w:i/>
          <w:sz w:val="22"/>
          <w:szCs w:val="22"/>
          <w:lang w:val="sr-Latn-ME"/>
        </w:rPr>
        <w:t xml:space="preserve">Infekcije </w:t>
      </w:r>
    </w:p>
    <w:p w14:paraId="7FD4A94C" w14:textId="77777777" w:rsidR="000B2A5C" w:rsidRPr="00DF79AE" w:rsidRDefault="000B2A5C" w:rsidP="000B2A5C">
      <w:pPr>
        <w:tabs>
          <w:tab w:val="left" w:pos="284"/>
        </w:tabs>
        <w:jc w:val="both"/>
        <w:rPr>
          <w:sz w:val="22"/>
          <w:szCs w:val="22"/>
          <w:lang w:val="sr-Latn-ME"/>
        </w:rPr>
      </w:pPr>
      <w:r w:rsidRPr="00DF79AE">
        <w:rPr>
          <w:sz w:val="22"/>
          <w:szCs w:val="22"/>
          <w:lang w:val="sr-Latn-ME"/>
        </w:rPr>
        <w:t xml:space="preserve">Infekcije gornjih disajnih puteva bile su najčešća neželjena dejstva zabilježena u kontrolisanim periodima pivotalnih studija kod 12,6% pacijenata liječenih golimumabom (incidenca za 100 ispitanik-godina: 60,8; 95% CI: 55,0, 67,1), u poređenju sa 11,0% pacijenata iz kontrolne grupe (incidenca za 100 ispitanik-godina: 54,5; 95% CI: 46,1, 64,0). </w:t>
      </w:r>
      <w:bookmarkStart w:id="3" w:name="OLE_LINK6"/>
      <w:bookmarkStart w:id="4" w:name="OLE_LINK9"/>
      <w:r w:rsidRPr="00DF79AE">
        <w:rPr>
          <w:sz w:val="22"/>
          <w:szCs w:val="22"/>
          <w:lang w:val="sr-Latn-ME"/>
        </w:rPr>
        <w:t>U kontrolisanim i nekontrolisanim djelovima ispitivanja sa srednjim periodom praćenja od aproksimativno 4 godine, incidenca infekcija gornjeg respiratornog trakta za 100 pacijent-godina bila je 34,9 događaja; 95% CI: 33,8, 36,0 za pacijente liječene golimumabom.</w:t>
      </w:r>
    </w:p>
    <w:bookmarkEnd w:id="3"/>
    <w:bookmarkEnd w:id="4"/>
    <w:p w14:paraId="1C6FBE79" w14:textId="77777777" w:rsidR="000B2A5C" w:rsidRPr="00DF79AE" w:rsidRDefault="000B2A5C" w:rsidP="000B2A5C">
      <w:pPr>
        <w:tabs>
          <w:tab w:val="left" w:pos="284"/>
        </w:tabs>
        <w:jc w:val="both"/>
        <w:rPr>
          <w:sz w:val="22"/>
          <w:szCs w:val="22"/>
          <w:lang w:val="sr-Latn-ME"/>
        </w:rPr>
      </w:pPr>
    </w:p>
    <w:p w14:paraId="05EAF729" w14:textId="77777777" w:rsidR="000B2A5C" w:rsidRPr="00DF79AE" w:rsidRDefault="000B2A5C" w:rsidP="000B2A5C">
      <w:pPr>
        <w:tabs>
          <w:tab w:val="left" w:pos="284"/>
        </w:tabs>
        <w:jc w:val="both"/>
        <w:rPr>
          <w:sz w:val="22"/>
          <w:szCs w:val="22"/>
          <w:lang w:val="sr-Latn-ME"/>
        </w:rPr>
      </w:pPr>
      <w:r w:rsidRPr="00DF79AE">
        <w:rPr>
          <w:sz w:val="22"/>
          <w:szCs w:val="22"/>
          <w:lang w:val="sr-Latn-ME"/>
        </w:rPr>
        <w:t>U kontrolisanim periodima pivotalnih studija, infekcije su zabilježene u 23,0% pacijenata liječenih golimumabom (incidenca za 100 pacijent-godina: 132,0; 95% CI: 123,3, 141,1), u poređenju sa 20,2% pacijenata iz kontrolne grupe (incidenca za 100 pacijent-godina: 122,3; 95% CI: 109,5, 136,2). U kontrolisanim i nekontrolisanim djelovima ispitivanja sa srednjim periodom praćenja od aproksimativno 4 godine, incidenca infekcija gornjeg respiratornog trakta za 100 pacijent-godina bila je 81,1događaja; 95%CI: 79,5, 82,8 za pacijente liječene golimumabom.</w:t>
      </w:r>
    </w:p>
    <w:p w14:paraId="22189326" w14:textId="77777777" w:rsidR="000B2A5C" w:rsidRPr="00DF79AE" w:rsidRDefault="000B2A5C" w:rsidP="000B2A5C">
      <w:pPr>
        <w:tabs>
          <w:tab w:val="left" w:pos="284"/>
        </w:tabs>
        <w:jc w:val="both"/>
        <w:rPr>
          <w:sz w:val="22"/>
          <w:szCs w:val="22"/>
          <w:lang w:val="sr-Latn-ME"/>
        </w:rPr>
      </w:pPr>
    </w:p>
    <w:p w14:paraId="23D1D593" w14:textId="77777777" w:rsidR="000B2A5C" w:rsidRPr="00DF79AE" w:rsidRDefault="000B2A5C" w:rsidP="000B2A5C">
      <w:pPr>
        <w:tabs>
          <w:tab w:val="left" w:pos="284"/>
        </w:tabs>
        <w:jc w:val="both"/>
        <w:rPr>
          <w:sz w:val="22"/>
          <w:szCs w:val="22"/>
          <w:lang w:val="sr-Latn-ME"/>
        </w:rPr>
      </w:pPr>
      <w:r w:rsidRPr="00DF79AE">
        <w:rPr>
          <w:sz w:val="22"/>
          <w:szCs w:val="22"/>
          <w:lang w:val="sr-Latn-ME"/>
        </w:rPr>
        <w:t xml:space="preserve">U kontrolisanom periodu ispitivanja kod pacijenata sa RA, PsA, AS i nr-Axial SpA ozbiljne infekcije su zabilježene kod 1,2% pacijenata liječenih golimumabom i kod 1,2% pacijenata iz kontrolne grupe. Incidenca ozbiljnih infekcija po 100 pacijent-godina praćenja u kontrolisanom periodu ispitivanja kod pacijenata sa RA, PsA, AS i nr-Axial SpA bila je 7,3; 95% CI: 4,6, 11,1 za golimumab 100 mg grupu, 2,9; 95%CI: 1,2, 6,0 za golimumab 50 mg grupu i 3,6; 95% CI: 1,5, 7,0 za placebo grupu. U kontrolisanom periodu ispitivanja uvodne terapije golimumabom kod pacijenata sa UC, ozbiljne infekcije se zabilježene kod 0,8% pacijenata liječenih golimumabom u poređenju sa 1,5% pacijenata iz kontrolne grupe. Ozbiljne infekcije zabilježene kod pacijenata liječenih golimumabom obuhvataju tuberkulozu, bakterijske infekcije, uključujući sepsu i pneumoniju, invazivne gljivične infekcije i druge oportunističke infekcije. Neke od tih infekcija imale su smrtni ishod. U kontrolisanim i nekontrolisanim djelovima pivotalnih ispitivanja sa srednjim vremenom praćenja do 3 godine, postojala je veća incidenca ozbiljnih infekcija, uključujući oportunističke infekcije i TB kod pacijenata koji su primali golimumab od 100 mg u poređenju sa pacijentima na terapiji golimumabom od 50 mg. Incidenca za 100 pacijent-godina svih ozbiljnih infekcija bila je 4,1događaja; 95% CI: 3,6, 4,5 kod pacijenata na terapiji golimumabom od 100 mg, i 2,5; 95% CI: 2,0, 3,1 kod pacijenata na terapiji golimumabom od 50 mg. </w:t>
      </w:r>
    </w:p>
    <w:p w14:paraId="43FB27CB" w14:textId="77777777" w:rsidR="000B2A5C" w:rsidRPr="00DF79AE" w:rsidRDefault="000B2A5C" w:rsidP="000B2A5C">
      <w:pPr>
        <w:tabs>
          <w:tab w:val="left" w:pos="284"/>
        </w:tabs>
        <w:jc w:val="both"/>
        <w:rPr>
          <w:b/>
          <w:bCs/>
          <w:i/>
          <w:iCs/>
          <w:sz w:val="22"/>
          <w:szCs w:val="22"/>
          <w:u w:val="single"/>
          <w:lang w:val="sr-Latn-ME"/>
        </w:rPr>
      </w:pPr>
    </w:p>
    <w:p w14:paraId="153263DA" w14:textId="77777777" w:rsidR="000B2A5C" w:rsidRPr="00DF79AE" w:rsidRDefault="000B2A5C" w:rsidP="000B2A5C">
      <w:pPr>
        <w:tabs>
          <w:tab w:val="left" w:pos="284"/>
        </w:tabs>
        <w:rPr>
          <w:sz w:val="22"/>
          <w:szCs w:val="22"/>
          <w:lang w:val="sr-Latn-ME"/>
        </w:rPr>
      </w:pPr>
      <w:r w:rsidRPr="00DF79AE">
        <w:rPr>
          <w:i/>
          <w:sz w:val="22"/>
          <w:szCs w:val="22"/>
          <w:lang w:val="sr-Latn-ME"/>
        </w:rPr>
        <w:t>Maligne bolesti</w:t>
      </w:r>
    </w:p>
    <w:p w14:paraId="492D5226" w14:textId="77777777" w:rsidR="000B2A5C" w:rsidRPr="00DF79AE" w:rsidRDefault="000B2A5C" w:rsidP="000B2A5C">
      <w:pPr>
        <w:tabs>
          <w:tab w:val="left" w:pos="284"/>
        </w:tabs>
        <w:rPr>
          <w:i/>
          <w:iCs/>
          <w:sz w:val="22"/>
          <w:szCs w:val="22"/>
          <w:u w:val="single"/>
          <w:lang w:val="sr-Latn-ME"/>
        </w:rPr>
      </w:pPr>
      <w:r w:rsidRPr="00DF79AE">
        <w:rPr>
          <w:bCs/>
          <w:i/>
          <w:sz w:val="22"/>
          <w:szCs w:val="22"/>
          <w:u w:val="single"/>
          <w:lang w:val="sr-Latn-ME"/>
        </w:rPr>
        <w:t>Limfomi</w:t>
      </w:r>
    </w:p>
    <w:p w14:paraId="6AB55F3B" w14:textId="77777777" w:rsidR="000B2A5C" w:rsidRPr="00DF79AE" w:rsidRDefault="000B2A5C" w:rsidP="000B2A5C">
      <w:pPr>
        <w:tabs>
          <w:tab w:val="left" w:pos="284"/>
        </w:tabs>
        <w:jc w:val="both"/>
        <w:rPr>
          <w:sz w:val="22"/>
          <w:szCs w:val="22"/>
          <w:lang w:val="sr-Latn-ME"/>
        </w:rPr>
      </w:pPr>
      <w:r w:rsidRPr="00DF79AE">
        <w:rPr>
          <w:sz w:val="22"/>
          <w:szCs w:val="22"/>
          <w:lang w:val="sr-Latn-ME"/>
        </w:rPr>
        <w:t>Incidenca limfoma kod pacijenata liječenih golimumabom tokom pivotalnih ispitivanja bila je viša nego što se očekuje u opštoj populaciji. U kontrolisanim i nekontrolisanim djelovima ovih ispitivanja sa srednjim periodom praćenja do 3 godine, veća incidenca limfoma zabilježena je kod pacijenata koji su primali golimumab 100 mg u poređenju sa pacijentima koji su primali golimumab od 50 mg. Limfom je dijagnostikovan kod 11 ispitanika (1 u grupi koja je primala golimumab od 50 mg i 10 u grupi koja je primala dozu od 100 mg golimumaba), s incidencom (95% CI) na 100 ispitanik-godina praćenja od 0,03 (0,00, 0,15) i 0,13 (0,06, 0,24) događaja za golimumab 50 mg i 100 mg respektivno, a 0,00 (0,00, 0,57) događaja za placebo. Većina limfoma pojavila se u GO-AFTER studiji, koja je uključivala pacijente koji su prethodno bili izloženi anti-TNF agensima i kod kojih je bolest duže trajala i kod kojih je bolest bila više refraktornog karaktera (vidjeti dio 4.4).</w:t>
      </w:r>
    </w:p>
    <w:p w14:paraId="40BF8E6E" w14:textId="77777777" w:rsidR="000B2A5C" w:rsidRPr="00DF79AE" w:rsidRDefault="000B2A5C" w:rsidP="000B2A5C">
      <w:pPr>
        <w:tabs>
          <w:tab w:val="left" w:pos="284"/>
        </w:tabs>
        <w:jc w:val="both"/>
        <w:rPr>
          <w:i/>
          <w:iCs/>
          <w:sz w:val="22"/>
          <w:szCs w:val="22"/>
          <w:lang w:val="sr-Latn-ME"/>
        </w:rPr>
      </w:pPr>
    </w:p>
    <w:p w14:paraId="0FC7E9C8" w14:textId="77777777" w:rsidR="000B2A5C" w:rsidRPr="00DF79AE" w:rsidRDefault="000B2A5C" w:rsidP="000B2A5C">
      <w:pPr>
        <w:tabs>
          <w:tab w:val="left" w:pos="284"/>
        </w:tabs>
        <w:rPr>
          <w:bCs/>
          <w:i/>
          <w:sz w:val="22"/>
          <w:szCs w:val="22"/>
          <w:u w:val="single"/>
          <w:lang w:val="sr-Latn-ME"/>
        </w:rPr>
      </w:pPr>
      <w:r w:rsidRPr="00DF79AE">
        <w:rPr>
          <w:bCs/>
          <w:i/>
          <w:sz w:val="22"/>
          <w:szCs w:val="22"/>
          <w:u w:val="single"/>
          <w:lang w:val="sr-Latn-ME"/>
        </w:rPr>
        <w:lastRenderedPageBreak/>
        <w:t>Druge maligne bolesti osim limfoma</w:t>
      </w:r>
    </w:p>
    <w:p w14:paraId="03604CA4" w14:textId="77777777" w:rsidR="000B2A5C" w:rsidRPr="00DF79AE" w:rsidRDefault="000B2A5C" w:rsidP="000B2A5C">
      <w:pPr>
        <w:tabs>
          <w:tab w:val="left" w:pos="284"/>
        </w:tabs>
        <w:jc w:val="both"/>
        <w:rPr>
          <w:bCs/>
          <w:sz w:val="22"/>
          <w:szCs w:val="22"/>
          <w:lang w:val="sr-Latn-ME"/>
        </w:rPr>
      </w:pPr>
      <w:r w:rsidRPr="00DF79AE">
        <w:rPr>
          <w:sz w:val="22"/>
          <w:szCs w:val="22"/>
          <w:lang w:val="sr-Latn-ME"/>
        </w:rPr>
        <w:t>U kontrolisanim djelovima pivotalnih ispitivanja i tokom približno četvorogodišnjeg perioda praćenja, incidenca malignih bolesti</w:t>
      </w:r>
      <w:r w:rsidRPr="00DF79AE">
        <w:rPr>
          <w:bCs/>
          <w:sz w:val="22"/>
          <w:szCs w:val="22"/>
          <w:lang w:val="sr-Latn-ME"/>
        </w:rPr>
        <w:t xml:space="preserve"> koje nijesu limfomi (osim nemelanomskog raka kože), bila je slična u grupi koja je primala golimumab i u kontrolnim grupama. Tokom približno četvorogodišnjeg perioda praćenja, incidenca malignih bolesti koje nijesu limfomi (isključujući nemelanomski rak kože) bila je slična onoj u opštoj populaciji.</w:t>
      </w:r>
    </w:p>
    <w:p w14:paraId="2068DEC9" w14:textId="77777777" w:rsidR="000B2A5C" w:rsidRPr="00DF79AE" w:rsidRDefault="000B2A5C" w:rsidP="000B2A5C">
      <w:pPr>
        <w:tabs>
          <w:tab w:val="left" w:pos="284"/>
        </w:tabs>
        <w:jc w:val="both"/>
        <w:rPr>
          <w:i/>
          <w:iCs/>
          <w:sz w:val="22"/>
          <w:szCs w:val="22"/>
          <w:lang w:val="sr-Latn-ME"/>
        </w:rPr>
      </w:pPr>
    </w:p>
    <w:p w14:paraId="72378920" w14:textId="77777777" w:rsidR="000B2A5C" w:rsidRPr="00DF79AE" w:rsidRDefault="000B2A5C" w:rsidP="000B2A5C">
      <w:pPr>
        <w:tabs>
          <w:tab w:val="left" w:pos="284"/>
        </w:tabs>
        <w:autoSpaceDE w:val="0"/>
        <w:autoSpaceDN w:val="0"/>
        <w:adjustRightInd w:val="0"/>
        <w:jc w:val="both"/>
        <w:rPr>
          <w:sz w:val="22"/>
          <w:szCs w:val="22"/>
          <w:lang w:val="sr-Latn-ME"/>
        </w:rPr>
      </w:pPr>
      <w:r w:rsidRPr="00DF79AE">
        <w:rPr>
          <w:sz w:val="22"/>
          <w:szCs w:val="22"/>
          <w:lang w:val="sr-Latn-ME"/>
        </w:rPr>
        <w:t xml:space="preserve">U kontrolisanim i nekontrolisanim periodima pivotalnih studija sa srednjim vremenom praćenja do 3 godine, </w:t>
      </w:r>
      <w:r w:rsidRPr="00DF79AE">
        <w:rPr>
          <w:bCs/>
          <w:sz w:val="22"/>
          <w:szCs w:val="22"/>
          <w:lang w:val="sr-Latn-ME"/>
        </w:rPr>
        <w:t>nemelanomski rak kože dijagnostikovan je kod 5 ispitanika u grupi koja je primala placebo, 10 u grupi koja je primala</w:t>
      </w:r>
      <w:r w:rsidRPr="00DF79AE">
        <w:rPr>
          <w:sz w:val="22"/>
          <w:szCs w:val="22"/>
          <w:lang w:val="sr-Latn-ME"/>
        </w:rPr>
        <w:t xml:space="preserve"> golimumab u dozi od 50 mg i 31 </w:t>
      </w:r>
      <w:r w:rsidRPr="00DF79AE">
        <w:rPr>
          <w:bCs/>
          <w:sz w:val="22"/>
          <w:szCs w:val="22"/>
          <w:lang w:val="sr-Latn-ME"/>
        </w:rPr>
        <w:t>u grupi koja je primala</w:t>
      </w:r>
      <w:r w:rsidRPr="00DF79AE">
        <w:rPr>
          <w:sz w:val="22"/>
          <w:szCs w:val="22"/>
          <w:lang w:val="sr-Latn-ME"/>
        </w:rPr>
        <w:t xml:space="preserve"> golimumab u dozi od 100 mg, s incidencom (95% CI) na 100 ispitanik-godina praćenja od 0,36</w:t>
      </w:r>
      <w:r w:rsidRPr="00DF79AE" w:rsidDel="0082619C">
        <w:rPr>
          <w:sz w:val="22"/>
          <w:szCs w:val="22"/>
          <w:lang w:val="sr-Latn-ME"/>
        </w:rPr>
        <w:t xml:space="preserve"> </w:t>
      </w:r>
      <w:r w:rsidRPr="00DF79AE">
        <w:rPr>
          <w:sz w:val="22"/>
          <w:szCs w:val="22"/>
          <w:lang w:val="sr-Latn-ME"/>
        </w:rPr>
        <w:t xml:space="preserve">(0,26, 0,49) događaja za golimumab, a 0,87 (0,28, 2,04) događaja za placebo. </w:t>
      </w:r>
    </w:p>
    <w:p w14:paraId="57949519" w14:textId="77777777" w:rsidR="000B2A5C" w:rsidRPr="00DF79AE" w:rsidRDefault="000B2A5C" w:rsidP="000B2A5C">
      <w:pPr>
        <w:tabs>
          <w:tab w:val="left" w:pos="284"/>
        </w:tabs>
        <w:jc w:val="both"/>
        <w:rPr>
          <w:sz w:val="22"/>
          <w:szCs w:val="22"/>
          <w:lang w:val="sr-Latn-ME"/>
        </w:rPr>
      </w:pPr>
    </w:p>
    <w:p w14:paraId="7A28BF50" w14:textId="77777777" w:rsidR="000B2A5C" w:rsidRPr="00DF79AE" w:rsidRDefault="000B2A5C" w:rsidP="000B2A5C">
      <w:pPr>
        <w:tabs>
          <w:tab w:val="left" w:pos="284"/>
        </w:tabs>
        <w:jc w:val="both"/>
        <w:rPr>
          <w:sz w:val="22"/>
          <w:szCs w:val="22"/>
          <w:lang w:val="sr-Latn-ME"/>
        </w:rPr>
      </w:pPr>
      <w:r w:rsidRPr="00DF79AE">
        <w:rPr>
          <w:sz w:val="22"/>
          <w:szCs w:val="22"/>
          <w:lang w:val="sr-Latn-ME"/>
        </w:rPr>
        <w:t xml:space="preserve">U kontrolisanim i nekontrolisanim periodima pivotalnih studija sa srednjim vremenom praćenja do tri godine druge maligne bolesti osim melanoma, </w:t>
      </w:r>
      <w:r w:rsidRPr="00DF79AE">
        <w:rPr>
          <w:bCs/>
          <w:sz w:val="22"/>
          <w:szCs w:val="22"/>
          <w:lang w:val="sr-Latn-ME"/>
        </w:rPr>
        <w:t>nemelanomskog raka kože i limfoma dijagnostikovane su kod 5 ispitanika u grupi koja je primala placebo, 21 u grupi koja je primala</w:t>
      </w:r>
      <w:r w:rsidRPr="00DF79AE">
        <w:rPr>
          <w:sz w:val="22"/>
          <w:szCs w:val="22"/>
          <w:lang w:val="sr-Latn-ME"/>
        </w:rPr>
        <w:t xml:space="preserve"> golimumab u dozi od 50 mg i 34 </w:t>
      </w:r>
      <w:r w:rsidRPr="00DF79AE">
        <w:rPr>
          <w:bCs/>
          <w:sz w:val="22"/>
          <w:szCs w:val="22"/>
          <w:lang w:val="sr-Latn-ME"/>
        </w:rPr>
        <w:t>u grupi koja je primala</w:t>
      </w:r>
      <w:r w:rsidRPr="00DF79AE">
        <w:rPr>
          <w:sz w:val="22"/>
          <w:szCs w:val="22"/>
          <w:lang w:val="sr-Latn-ME"/>
        </w:rPr>
        <w:t xml:space="preserve"> golimumab u dozi od 100 mg), s incidencom (95%, CI) na 100 ispitanik-godina praćenja od 0,48</w:t>
      </w:r>
      <w:r w:rsidRPr="00DF79AE" w:rsidDel="006D661D">
        <w:rPr>
          <w:sz w:val="22"/>
          <w:szCs w:val="22"/>
          <w:lang w:val="sr-Latn-ME"/>
        </w:rPr>
        <w:t xml:space="preserve"> </w:t>
      </w:r>
      <w:r w:rsidRPr="00DF79AE">
        <w:rPr>
          <w:sz w:val="22"/>
          <w:szCs w:val="22"/>
          <w:lang w:val="sr-Latn-ME"/>
        </w:rPr>
        <w:t>(0,36, 0,62) događaja za golimumab i 0,87</w:t>
      </w:r>
      <w:r w:rsidRPr="00DF79AE" w:rsidDel="006D661D">
        <w:rPr>
          <w:sz w:val="22"/>
          <w:szCs w:val="22"/>
          <w:lang w:val="sr-Latn-ME"/>
        </w:rPr>
        <w:t xml:space="preserve"> </w:t>
      </w:r>
      <w:r w:rsidRPr="00DF79AE">
        <w:rPr>
          <w:sz w:val="22"/>
          <w:szCs w:val="22"/>
          <w:lang w:val="sr-Latn-ME"/>
        </w:rPr>
        <w:t>(0,28, 2,04) događaja za placebo (vidjeti dio 4.4).</w:t>
      </w:r>
    </w:p>
    <w:p w14:paraId="08405B19" w14:textId="77777777" w:rsidR="000B2A5C" w:rsidRPr="00DF79AE" w:rsidRDefault="000B2A5C" w:rsidP="000B2A5C">
      <w:pPr>
        <w:tabs>
          <w:tab w:val="left" w:pos="284"/>
        </w:tabs>
        <w:jc w:val="both"/>
        <w:rPr>
          <w:sz w:val="22"/>
          <w:szCs w:val="22"/>
          <w:u w:val="single"/>
          <w:lang w:val="sr-Latn-ME"/>
        </w:rPr>
      </w:pPr>
    </w:p>
    <w:p w14:paraId="27F38B73" w14:textId="77777777" w:rsidR="000B2A5C" w:rsidRPr="00DF79AE" w:rsidRDefault="000B2A5C" w:rsidP="000B2A5C">
      <w:pPr>
        <w:tabs>
          <w:tab w:val="left" w:pos="284"/>
        </w:tabs>
        <w:jc w:val="both"/>
        <w:rPr>
          <w:i/>
          <w:sz w:val="22"/>
          <w:szCs w:val="22"/>
          <w:u w:val="single"/>
          <w:lang w:val="sr-Latn-ME"/>
        </w:rPr>
      </w:pPr>
      <w:r w:rsidRPr="00DF79AE">
        <w:rPr>
          <w:i/>
          <w:sz w:val="22"/>
          <w:szCs w:val="22"/>
          <w:u w:val="single"/>
          <w:lang w:val="sr-Latn-ME"/>
        </w:rPr>
        <w:t xml:space="preserve">Slučajevi zabilježeni u kliničkim ispitivanjima kod pacijenata s astmom </w:t>
      </w:r>
    </w:p>
    <w:p w14:paraId="45398B8D" w14:textId="77777777" w:rsidR="000B2A5C" w:rsidRPr="00DF79AE" w:rsidRDefault="000B2A5C" w:rsidP="000B2A5C">
      <w:pPr>
        <w:tabs>
          <w:tab w:val="left" w:pos="284"/>
        </w:tabs>
        <w:jc w:val="both"/>
        <w:rPr>
          <w:sz w:val="22"/>
          <w:szCs w:val="22"/>
          <w:lang w:val="sr-Latn-ME"/>
        </w:rPr>
      </w:pPr>
      <w:r w:rsidRPr="00DF79AE">
        <w:rPr>
          <w:sz w:val="22"/>
          <w:szCs w:val="22"/>
          <w:lang w:val="sr-Latn-ME"/>
        </w:rPr>
        <w:t>U jednom eksplorativnom kliničkom ispitivanju pacijenti s teškom perzistentnom astmom supkutano su primili udarnu dozu golimumaba (150% predviđene terapijske doze) u nultoj nedjelji, a zatim doze od 200 mg golimumaba, 100 mg golimumaba, ili 50 mg golimumaba supkutano svake 4 nedjelje, do 52. nedjelje. Zabilježeno je 8 maligniteta u kombinovanoj grupi pacijenata koji su se liječili golimumabom (n=230), a ni jedan nije prijavljen u grupi koja je primala placebo (n=79). Limfom je zabilježen kod jednog pacijenta, nemelanomski rak kože kod 2, a druge maligne bolesti kod njih 5. Nije zapaženo nikakvo posebno grupisanje bilo koje vrste maligniteta.</w:t>
      </w:r>
    </w:p>
    <w:p w14:paraId="4BAB72B8" w14:textId="77777777" w:rsidR="000B2A5C" w:rsidRPr="00DF79AE" w:rsidRDefault="000B2A5C" w:rsidP="000B2A5C">
      <w:pPr>
        <w:tabs>
          <w:tab w:val="left" w:pos="284"/>
        </w:tabs>
        <w:rPr>
          <w:sz w:val="22"/>
          <w:szCs w:val="22"/>
          <w:lang w:val="sr-Latn-ME"/>
        </w:rPr>
      </w:pPr>
    </w:p>
    <w:p w14:paraId="0B5CD629" w14:textId="77777777" w:rsidR="000B2A5C" w:rsidRPr="00DF79AE" w:rsidRDefault="000B2A5C" w:rsidP="000B2A5C">
      <w:pPr>
        <w:tabs>
          <w:tab w:val="left" w:pos="284"/>
        </w:tabs>
        <w:jc w:val="both"/>
        <w:rPr>
          <w:sz w:val="22"/>
          <w:szCs w:val="22"/>
          <w:lang w:val="sr-Latn-ME"/>
        </w:rPr>
      </w:pPr>
      <w:r w:rsidRPr="00DF79AE">
        <w:rPr>
          <w:sz w:val="22"/>
          <w:szCs w:val="22"/>
          <w:lang w:val="sr-Latn-ME"/>
        </w:rPr>
        <w:t>Tokom dijela ispitivanja s kontrolom placeba incidenca svih malignoma (95% CI) na 100 ispitanik-godina praćenja iznosila je u grupi liječenoj golimumabom 3,19 (1,38, 6,28). U tom ispitivanju, incidenca (95% CI) limfoma na 100 ispitanik-godina praćenja kod pacijenata liječenih golimumabom iznosila je 0,40 (0,01, 2,20), incidenca nemelanomskog raka kože 0,79 (0,10, 2,86), a incidenca drugih malignih tumora 1,99 (0,64, 4,63). Među ispitanicima koji su primali placebo, incidenca tih maligniteta (95% CI) na 100 ispitanik-godina praćenja bila je 0,00 (0,00, 2,94). Značaj tih nalaza nije poznat.</w:t>
      </w:r>
    </w:p>
    <w:p w14:paraId="0390AA28" w14:textId="77777777" w:rsidR="000B2A5C" w:rsidRPr="00DF79AE" w:rsidRDefault="000B2A5C" w:rsidP="000B2A5C">
      <w:pPr>
        <w:tabs>
          <w:tab w:val="left" w:pos="284"/>
        </w:tabs>
        <w:jc w:val="both"/>
        <w:rPr>
          <w:sz w:val="22"/>
          <w:szCs w:val="22"/>
          <w:lang w:val="sr-Latn-ME"/>
        </w:rPr>
      </w:pPr>
    </w:p>
    <w:p w14:paraId="5FDC6A0A" w14:textId="77777777" w:rsidR="000B2A5C" w:rsidRPr="00DF79AE" w:rsidRDefault="000B2A5C" w:rsidP="000B2A5C">
      <w:pPr>
        <w:tabs>
          <w:tab w:val="left" w:pos="284"/>
        </w:tabs>
        <w:jc w:val="both"/>
        <w:rPr>
          <w:i/>
          <w:sz w:val="22"/>
          <w:szCs w:val="22"/>
          <w:lang w:val="sr-Latn-ME"/>
        </w:rPr>
      </w:pPr>
      <w:r w:rsidRPr="00DF79AE">
        <w:rPr>
          <w:i/>
          <w:sz w:val="22"/>
          <w:szCs w:val="22"/>
          <w:lang w:val="sr-Latn-ME"/>
        </w:rPr>
        <w:t>Neurološki događaji</w:t>
      </w:r>
    </w:p>
    <w:p w14:paraId="25DCF39A" w14:textId="77777777" w:rsidR="000B2A5C" w:rsidRPr="00DF79AE" w:rsidRDefault="000B2A5C" w:rsidP="000B2A5C">
      <w:pPr>
        <w:tabs>
          <w:tab w:val="left" w:pos="284"/>
        </w:tabs>
        <w:jc w:val="both"/>
        <w:rPr>
          <w:sz w:val="22"/>
          <w:szCs w:val="22"/>
          <w:lang w:val="sr-Latn-ME"/>
        </w:rPr>
      </w:pPr>
      <w:r w:rsidRPr="00DF79AE">
        <w:rPr>
          <w:sz w:val="22"/>
          <w:szCs w:val="22"/>
          <w:lang w:val="sr-Latn-ME"/>
        </w:rPr>
        <w:t>U kontrolisanim i nekontrolisanim periodima pivotalnih ispitivanja sa srednjim vremenom praćenja do 3 godine, veća incidenca demijelinizacije bila je primijećena kod pacijenata koji su primali golimumab od 100 mg u poređenju sa pacijentima koji su primali golimumab od 50 mg (vidjeti dio 4.4).</w:t>
      </w:r>
    </w:p>
    <w:p w14:paraId="287A18FD" w14:textId="77777777" w:rsidR="000B2A5C" w:rsidRPr="00DF79AE" w:rsidRDefault="000B2A5C" w:rsidP="000B2A5C">
      <w:pPr>
        <w:tabs>
          <w:tab w:val="left" w:pos="284"/>
        </w:tabs>
        <w:jc w:val="both"/>
        <w:rPr>
          <w:sz w:val="22"/>
          <w:szCs w:val="22"/>
          <w:lang w:val="sr-Latn-ME"/>
        </w:rPr>
      </w:pPr>
    </w:p>
    <w:p w14:paraId="6F1D64AB" w14:textId="77777777" w:rsidR="000B2A5C" w:rsidRPr="00DF79AE" w:rsidRDefault="000B2A5C" w:rsidP="000B2A5C">
      <w:pPr>
        <w:tabs>
          <w:tab w:val="left" w:pos="284"/>
        </w:tabs>
        <w:jc w:val="both"/>
        <w:rPr>
          <w:i/>
          <w:snapToGrid w:val="0"/>
          <w:sz w:val="22"/>
          <w:szCs w:val="22"/>
          <w:lang w:val="sr-Latn-ME"/>
        </w:rPr>
      </w:pPr>
      <w:r w:rsidRPr="00DF79AE">
        <w:rPr>
          <w:i/>
          <w:snapToGrid w:val="0"/>
          <w:sz w:val="22"/>
          <w:szCs w:val="22"/>
          <w:lang w:val="sr-Latn-ME"/>
        </w:rPr>
        <w:t xml:space="preserve">Povišeni nivoi enzima jetre  </w:t>
      </w:r>
    </w:p>
    <w:p w14:paraId="55ABEE41" w14:textId="5B6EF268" w:rsidR="000B2A5C" w:rsidRPr="00DF79AE" w:rsidRDefault="000B2A5C" w:rsidP="000B2A5C">
      <w:pPr>
        <w:tabs>
          <w:tab w:val="left" w:pos="284"/>
        </w:tabs>
        <w:jc w:val="both"/>
        <w:rPr>
          <w:sz w:val="22"/>
          <w:szCs w:val="22"/>
          <w:lang w:val="sr-Latn-ME"/>
        </w:rPr>
      </w:pPr>
      <w:r w:rsidRPr="00DF79AE">
        <w:rPr>
          <w:sz w:val="22"/>
          <w:szCs w:val="22"/>
          <w:lang w:val="sr-Latn-ME"/>
        </w:rPr>
        <w:t>U kontrolisanim periodima pivotalnih ispitivanja kod pacijenata sa reumatoidnim artritisom, psorijatičnim artritisom, blago povećanje nivoa ALT (&gt; 1 i &lt; 3 x iznad gornje granice normale) nastupilo je u sličnom odnosu kod pacijenata koji su primali golimumab i kod pacijenata u kontrolnoj grupi (22,1%  prema 27,4% pacijenata); u ispitivanju u ankilozirajućem spondilitisu i aksijalnom spondiloartritisu</w:t>
      </w:r>
      <w:r w:rsidR="00A06D4D">
        <w:rPr>
          <w:sz w:val="22"/>
          <w:szCs w:val="22"/>
          <w:lang w:val="sr-Latn-ME"/>
        </w:rPr>
        <w:t xml:space="preserve"> </w:t>
      </w:r>
      <w:r w:rsidR="00A06D4D" w:rsidRPr="00A06D4D">
        <w:rPr>
          <w:sz w:val="22"/>
          <w:szCs w:val="22"/>
          <w:lang w:val="sr-Latn-ME"/>
        </w:rPr>
        <w:t>bez radiografskog dokaza</w:t>
      </w:r>
      <w:r w:rsidRPr="00DF79AE">
        <w:rPr>
          <w:sz w:val="22"/>
          <w:szCs w:val="22"/>
          <w:lang w:val="sr-Latn-ME"/>
        </w:rPr>
        <w:t xml:space="preserve">, blago povećanje nivoa ALT primijećeno je kod više pacijenata koji su primali golimumab (26,9%), nego onih u kontrolnoj grupi (10,6 %). Tokom, u prosjeku petogodišnjeg praćenja incidenca blagog porasta nivoa ALT-a bila je slična u pacijenata koji su primali golimumab i kod pacijenata u kontrolnoj grupi u kontrolisanim i nekontrolisanim periodima pivotalnih ispitivanja u reumatoidnom i psorijatičnom artritisu. Kod pacijenata s ankilozirajućim spondilitisom incidenca blagog porasta nivoa ALT bila je veća kod pacijenata koji su primali golimumab nego u kontrolnoj grupi. U kontrolisanom periodu pivotalnih studija uvodne terapije golimumabom kod pacijenata sa ulceroznim kolitisom, blag porast nivoa ALT (˃1 i ˂3 x iznad gornje granice normale) nastupio je u sličnom odnosu kod pacijenata koji su primali golimumab i kod pacijenata u kontrolnoj grupi (8,0% prema 6,9%). U kontrolisanim i nekontrolisanim periodima pivotalnih ispitivanja kod pacijenata sa ulceroznim kolitisom sa srednjim vremenom praćenja približno 2 godine, procenat </w:t>
      </w:r>
      <w:r w:rsidRPr="00DF79AE">
        <w:rPr>
          <w:sz w:val="22"/>
          <w:szCs w:val="22"/>
          <w:lang w:val="sr-Latn-ME"/>
        </w:rPr>
        <w:lastRenderedPageBreak/>
        <w:t>pacijenta sa blagim porastom nivoa ALT bila je 24,7% kod pacijenata koji su primali golimumab u toku terapije održavanja u okviru studije kod pacijenata sa UC.</w:t>
      </w:r>
    </w:p>
    <w:p w14:paraId="3FE01073" w14:textId="77777777" w:rsidR="000B2A5C" w:rsidRPr="00DF79AE" w:rsidRDefault="000B2A5C" w:rsidP="000B2A5C">
      <w:pPr>
        <w:tabs>
          <w:tab w:val="left" w:pos="284"/>
        </w:tabs>
        <w:rPr>
          <w:b/>
          <w:bCs/>
          <w:i/>
          <w:iCs/>
          <w:sz w:val="22"/>
          <w:szCs w:val="22"/>
          <w:lang w:val="sr-Latn-ME"/>
        </w:rPr>
      </w:pPr>
    </w:p>
    <w:p w14:paraId="11E3E7A4" w14:textId="77777777" w:rsidR="000B2A5C" w:rsidRPr="00DF79AE" w:rsidRDefault="000B2A5C" w:rsidP="000B2A5C">
      <w:pPr>
        <w:tabs>
          <w:tab w:val="left" w:pos="284"/>
        </w:tabs>
        <w:autoSpaceDE w:val="0"/>
        <w:autoSpaceDN w:val="0"/>
        <w:adjustRightInd w:val="0"/>
        <w:jc w:val="both"/>
        <w:rPr>
          <w:sz w:val="22"/>
          <w:szCs w:val="22"/>
          <w:lang w:val="sr-Latn-ME"/>
        </w:rPr>
      </w:pPr>
      <w:r w:rsidRPr="00DF79AE">
        <w:rPr>
          <w:sz w:val="22"/>
          <w:szCs w:val="22"/>
          <w:lang w:val="sr-Latn-ME"/>
        </w:rPr>
        <w:t xml:space="preserve">U kontrolisanom periodu pivotalnih ispitivanja kod pacijenata sa reumatoidnim artritisom i ankilozirajućim spondilitisom, povećanje nivoa ALT </w:t>
      </w:r>
      <w:r w:rsidRPr="00DF79AE">
        <w:rPr>
          <w:sz w:val="22"/>
          <w:szCs w:val="22"/>
          <w:lang w:val="sr-Latn-ME"/>
        </w:rPr>
        <w:sym w:font="Symbol" w:char="F0B3"/>
      </w:r>
      <w:r w:rsidRPr="00DF79AE">
        <w:rPr>
          <w:sz w:val="22"/>
          <w:szCs w:val="22"/>
          <w:lang w:val="sr-Latn-ME"/>
        </w:rPr>
        <w:t xml:space="preserve"> 5 x iznad gornje granice normale nije bilo često i zabilježeno je kod više pacijenata koji su primali golimumab (0,4% prema 0,9% pacijenata) nego u kontrolnoj grupi (0,0%). Taj trend nije primijećen kod pacijenata s psorijatičnim artritisom. Incidenca porasta nivoa ALT-a </w:t>
      </w:r>
      <w:r w:rsidRPr="00DF79AE">
        <w:rPr>
          <w:sz w:val="22"/>
          <w:szCs w:val="22"/>
          <w:lang w:val="sr-Latn-ME"/>
        </w:rPr>
        <w:sym w:font="Symbol" w:char="F0B3"/>
      </w:r>
      <w:r w:rsidRPr="00DF79AE">
        <w:rPr>
          <w:sz w:val="22"/>
          <w:szCs w:val="22"/>
          <w:lang w:val="sr-Latn-ME"/>
        </w:rPr>
        <w:t xml:space="preserve"> 5 x iznad gornje granice normale bila je slična kod pacijenata koji su primali golimumab i kod pacijenata u kontrolnoj grupi u kontrolisanim i nekontrolisanim periodima ispitivanja u reumatoidnom artritisu, psorijatičnom artritisu i ankilozirajućem spondilitisu sa srednjim vremenom praćenja od 5 godina. Opšte uzevši ta su povišenja bila asimptomatična, a nenormalne vrijednosti su se smanjile ili vratile na normalu bilo nastavkom ili prekidom liječenja golimumabom, ili promjenom istovremeno propisanih ljekova. Nije bilo prijavljenih slučajeva u kontrolisanim i nekontrolisanim periodima nr-Axial SpA studije (do godinu dana). U kontrolisanom periodu pivotalnih studija uvodne terapije golimumabom kod pacijenata sa ulceroznim kolitisom, povećanje nivoa ALT ≥5 x iznad gornje granice normale nastupilo je u sličnom odnosu kod pacijenata koji su primali golimumab i kod pacijenata u kontrolnoj grupi (0,3% prema 1,0%, redom). U kontrolisanim i nekontrolisanim periodima pivotalnih ispitivanja kod pacijenata sa ulceroznim kolitisom sa srednjim vremenom praćenja </w:t>
      </w:r>
      <w:r w:rsidRPr="00DF79AE">
        <w:rPr>
          <w:bCs/>
          <w:sz w:val="22"/>
          <w:szCs w:val="22"/>
          <w:lang w:val="sr-Latn-ME"/>
        </w:rPr>
        <w:t>približno</w:t>
      </w:r>
      <w:r w:rsidRPr="00DF79AE">
        <w:rPr>
          <w:sz w:val="22"/>
          <w:szCs w:val="22"/>
          <w:lang w:val="sr-Latn-ME"/>
        </w:rPr>
        <w:t xml:space="preserve"> 21 godina, procenat pacijenata sa porastom nivoa ALT-a ≥5 x iznad gornje granice normale bila je 0,8% kod pacijenata koji su primali golimumab u toku terapije održavanja u okviru studije kod pacijenata sa UC.</w:t>
      </w:r>
    </w:p>
    <w:p w14:paraId="6F3A4C93" w14:textId="77777777" w:rsidR="000B2A5C" w:rsidRPr="00DF79AE" w:rsidRDefault="000B2A5C" w:rsidP="000B2A5C">
      <w:pPr>
        <w:tabs>
          <w:tab w:val="left" w:pos="284"/>
        </w:tabs>
        <w:autoSpaceDE w:val="0"/>
        <w:autoSpaceDN w:val="0"/>
        <w:adjustRightInd w:val="0"/>
        <w:rPr>
          <w:sz w:val="22"/>
          <w:szCs w:val="22"/>
          <w:lang w:val="sr-Latn-ME"/>
        </w:rPr>
      </w:pPr>
    </w:p>
    <w:p w14:paraId="2A98A6FA" w14:textId="4A567844" w:rsidR="000B2A5C" w:rsidRPr="00DF79AE" w:rsidRDefault="000B2A5C" w:rsidP="000B2A5C">
      <w:pPr>
        <w:tabs>
          <w:tab w:val="left" w:pos="284"/>
        </w:tabs>
        <w:autoSpaceDE w:val="0"/>
        <w:autoSpaceDN w:val="0"/>
        <w:adjustRightInd w:val="0"/>
        <w:jc w:val="both"/>
        <w:rPr>
          <w:iCs/>
          <w:sz w:val="22"/>
          <w:szCs w:val="22"/>
          <w:lang w:val="sr-Latn-ME"/>
        </w:rPr>
      </w:pPr>
      <w:r w:rsidRPr="00DF79AE">
        <w:rPr>
          <w:iCs/>
          <w:sz w:val="22"/>
          <w:szCs w:val="22"/>
          <w:lang w:val="sr-Latn-ME"/>
        </w:rPr>
        <w:t xml:space="preserve">U pivotalnim studijama kod pacijenata sa </w:t>
      </w:r>
      <w:r w:rsidRPr="00DF79AE">
        <w:rPr>
          <w:sz w:val="22"/>
          <w:szCs w:val="22"/>
          <w:lang w:val="sr-Latn-ME"/>
        </w:rPr>
        <w:t>reumatoidnim artritisom, psorijatičnim artritisom, ankilozirajućim spondilitisom</w:t>
      </w:r>
      <w:r w:rsidRPr="00DF79AE">
        <w:rPr>
          <w:iCs/>
          <w:sz w:val="22"/>
          <w:szCs w:val="22"/>
          <w:lang w:val="sr-Latn-ME"/>
        </w:rPr>
        <w:t xml:space="preserve"> i aksijalnim spondiloartritisom</w:t>
      </w:r>
      <w:r w:rsidR="00A06D4D">
        <w:rPr>
          <w:iCs/>
          <w:sz w:val="22"/>
          <w:szCs w:val="22"/>
          <w:lang w:val="sr-Latn-ME"/>
        </w:rPr>
        <w:t xml:space="preserve"> </w:t>
      </w:r>
      <w:r w:rsidR="00A06D4D" w:rsidRPr="00A06D4D">
        <w:rPr>
          <w:iCs/>
          <w:sz w:val="22"/>
          <w:szCs w:val="22"/>
          <w:lang w:val="sr-Latn-ME"/>
        </w:rPr>
        <w:t>bez radiografskog dokaza</w:t>
      </w:r>
      <w:r w:rsidRPr="00DF79AE">
        <w:rPr>
          <w:iCs/>
          <w:sz w:val="22"/>
          <w:szCs w:val="22"/>
          <w:lang w:val="sr-Latn-ME"/>
        </w:rPr>
        <w:t xml:space="preserve">, u studiji reumatoidnog artritisa kod jednog pacijenta s postojećim oštećenjem funkcije jetre, koji je uz golimumab primao i druge ljekove koji su mogli tome doprinijeti, razvio se neinfektivni hepatitis uz žuticu, sa smrtnim ishodom. Ne može se isključiti da je golimumab doprinio ili pogoršao stanje. </w:t>
      </w:r>
    </w:p>
    <w:p w14:paraId="3D4A9D29" w14:textId="77777777" w:rsidR="000B2A5C" w:rsidRPr="00DF79AE" w:rsidRDefault="000B2A5C" w:rsidP="000B2A5C">
      <w:pPr>
        <w:tabs>
          <w:tab w:val="left" w:pos="284"/>
        </w:tabs>
        <w:autoSpaceDE w:val="0"/>
        <w:autoSpaceDN w:val="0"/>
        <w:adjustRightInd w:val="0"/>
        <w:jc w:val="both"/>
        <w:rPr>
          <w:sz w:val="22"/>
          <w:szCs w:val="22"/>
          <w:lang w:val="sr-Latn-ME"/>
        </w:rPr>
      </w:pPr>
    </w:p>
    <w:p w14:paraId="727C0DA6" w14:textId="77777777" w:rsidR="000B2A5C" w:rsidRPr="00DF79AE" w:rsidRDefault="000B2A5C" w:rsidP="000B2A5C">
      <w:pPr>
        <w:tabs>
          <w:tab w:val="left" w:pos="284"/>
        </w:tabs>
        <w:jc w:val="both"/>
        <w:rPr>
          <w:i/>
          <w:sz w:val="22"/>
          <w:szCs w:val="22"/>
          <w:lang w:val="sr-Latn-ME"/>
        </w:rPr>
      </w:pPr>
      <w:r w:rsidRPr="00DF79AE">
        <w:rPr>
          <w:i/>
          <w:sz w:val="22"/>
          <w:szCs w:val="22"/>
          <w:lang w:val="sr-Latn-ME"/>
        </w:rPr>
        <w:t xml:space="preserve">Reakcije na mjestu injekcije </w:t>
      </w:r>
    </w:p>
    <w:p w14:paraId="1C249EC1" w14:textId="77777777" w:rsidR="000B2A5C" w:rsidRPr="00DF79AE" w:rsidRDefault="000B2A5C" w:rsidP="000B2A5C">
      <w:pPr>
        <w:tabs>
          <w:tab w:val="left" w:pos="284"/>
        </w:tabs>
        <w:jc w:val="both"/>
        <w:rPr>
          <w:sz w:val="22"/>
          <w:szCs w:val="22"/>
          <w:lang w:val="sr-Latn-ME"/>
        </w:rPr>
      </w:pPr>
      <w:r w:rsidRPr="00DF79AE">
        <w:rPr>
          <w:sz w:val="22"/>
          <w:szCs w:val="22"/>
          <w:lang w:val="sr-Latn-ME"/>
        </w:rPr>
        <w:t>U kontrolisanim periodima pivotalnih studija</w:t>
      </w:r>
      <w:r w:rsidRPr="00DF79AE">
        <w:rPr>
          <w:iCs/>
          <w:sz w:val="22"/>
          <w:szCs w:val="22"/>
          <w:lang w:val="sr-Latn-ME"/>
        </w:rPr>
        <w:t xml:space="preserve">, reakcije na mjestu injekcije imalo je </w:t>
      </w:r>
      <w:r w:rsidRPr="00DF79AE">
        <w:rPr>
          <w:sz w:val="22"/>
          <w:szCs w:val="22"/>
          <w:lang w:val="sr-Latn-ME"/>
        </w:rPr>
        <w:t xml:space="preserve">5,4% pacijenata liječenih golimumabom, u poređenju sa 2,0% pacijenata u kontrolnoj grupi. Prisustvo antitijela na golimumab može povećati rizik za </w:t>
      </w:r>
      <w:r w:rsidRPr="00DF79AE">
        <w:rPr>
          <w:iCs/>
          <w:sz w:val="22"/>
          <w:szCs w:val="22"/>
          <w:lang w:val="sr-Latn-ME"/>
        </w:rPr>
        <w:t>reakcije na mjestu injekcije</w:t>
      </w:r>
      <w:r w:rsidRPr="00DF79AE">
        <w:rPr>
          <w:sz w:val="22"/>
          <w:szCs w:val="22"/>
          <w:lang w:val="sr-Latn-ME"/>
        </w:rPr>
        <w:t xml:space="preserve">. Većina </w:t>
      </w:r>
      <w:r w:rsidRPr="00DF79AE">
        <w:rPr>
          <w:iCs/>
          <w:sz w:val="22"/>
          <w:szCs w:val="22"/>
          <w:lang w:val="sr-Latn-ME"/>
        </w:rPr>
        <w:t xml:space="preserve">reakcija na mjestu injekcije bila je blaga ili umjerena, a najčešće su se manifestovale kao crvenilo na mjestu uboda. Reakcije na mjestu injekcije obično nijesu zahtijevale prekid liječenja. </w:t>
      </w:r>
    </w:p>
    <w:p w14:paraId="43EB18EC" w14:textId="77777777" w:rsidR="000B2A5C" w:rsidRPr="00DF79AE" w:rsidRDefault="000B2A5C" w:rsidP="000B2A5C">
      <w:pPr>
        <w:tabs>
          <w:tab w:val="left" w:pos="284"/>
        </w:tabs>
        <w:jc w:val="both"/>
        <w:rPr>
          <w:sz w:val="22"/>
          <w:szCs w:val="22"/>
          <w:lang w:val="sr-Latn-ME"/>
        </w:rPr>
      </w:pPr>
    </w:p>
    <w:p w14:paraId="2D27E22A" w14:textId="7250A589" w:rsidR="000B2A5C" w:rsidRPr="00DF79AE" w:rsidRDefault="000B2A5C" w:rsidP="000B2A5C">
      <w:pPr>
        <w:tabs>
          <w:tab w:val="left" w:pos="284"/>
        </w:tabs>
        <w:jc w:val="both"/>
        <w:rPr>
          <w:sz w:val="22"/>
          <w:szCs w:val="22"/>
          <w:lang w:val="sr-Latn-ME"/>
        </w:rPr>
      </w:pPr>
      <w:r w:rsidRPr="00DF79AE">
        <w:rPr>
          <w:sz w:val="22"/>
          <w:szCs w:val="22"/>
          <w:lang w:val="sr-Latn-ME"/>
        </w:rPr>
        <w:t xml:space="preserve">U kontrolisanim ispitivanjima faze IIb i/ili faze III u reumatoidnom artritisu, psorijatičnom artritisu, ankilozirajućem spondilitisu, aksijalnom spondiloartritisu </w:t>
      </w:r>
      <w:r w:rsidR="00A06D4D" w:rsidRPr="00A06D4D">
        <w:rPr>
          <w:sz w:val="22"/>
          <w:szCs w:val="22"/>
          <w:lang w:val="sr-Latn-ME"/>
        </w:rPr>
        <w:t xml:space="preserve">bez radiografskog dokaza </w:t>
      </w:r>
      <w:r w:rsidRPr="00DF79AE">
        <w:rPr>
          <w:sz w:val="22"/>
          <w:szCs w:val="22"/>
          <w:lang w:val="sr-Latn-ME"/>
        </w:rPr>
        <w:t>i teškoj perzistentnoj astmi i fazi II/III u ulceroznom kolitisu</w:t>
      </w:r>
      <w:r w:rsidRPr="00DF79AE">
        <w:rPr>
          <w:iCs/>
          <w:sz w:val="22"/>
          <w:szCs w:val="22"/>
          <w:lang w:val="sr-Latn-ME"/>
        </w:rPr>
        <w:t>,</w:t>
      </w:r>
      <w:r w:rsidRPr="00DF79AE">
        <w:rPr>
          <w:sz w:val="22"/>
          <w:szCs w:val="22"/>
          <w:lang w:val="sr-Latn-ME"/>
        </w:rPr>
        <w:t xml:space="preserve"> ni kod jednog pacijenta liječenog golimumabom nije se pojavila anafilaktička reakcija.</w:t>
      </w:r>
    </w:p>
    <w:p w14:paraId="6E1C2339" w14:textId="77777777" w:rsidR="000B2A5C" w:rsidRPr="00DF79AE" w:rsidRDefault="000B2A5C" w:rsidP="000B2A5C">
      <w:pPr>
        <w:tabs>
          <w:tab w:val="left" w:pos="284"/>
        </w:tabs>
        <w:jc w:val="both"/>
        <w:rPr>
          <w:sz w:val="22"/>
          <w:szCs w:val="22"/>
          <w:lang w:val="sr-Latn-ME"/>
        </w:rPr>
      </w:pPr>
    </w:p>
    <w:p w14:paraId="488023DD" w14:textId="77777777" w:rsidR="000B2A5C" w:rsidRPr="00DF79AE" w:rsidRDefault="000B2A5C" w:rsidP="000B2A5C">
      <w:pPr>
        <w:tabs>
          <w:tab w:val="left" w:pos="284"/>
        </w:tabs>
        <w:jc w:val="both"/>
        <w:rPr>
          <w:i/>
          <w:sz w:val="22"/>
          <w:szCs w:val="22"/>
          <w:lang w:val="sr-Latn-ME"/>
        </w:rPr>
      </w:pPr>
      <w:r w:rsidRPr="00DF79AE">
        <w:rPr>
          <w:i/>
          <w:sz w:val="22"/>
          <w:szCs w:val="22"/>
          <w:lang w:val="sr-Latn-ME"/>
        </w:rPr>
        <w:t>Autoimuna antitijela</w:t>
      </w:r>
    </w:p>
    <w:p w14:paraId="76ECAD53" w14:textId="77777777" w:rsidR="000B2A5C" w:rsidRPr="00DF79AE" w:rsidRDefault="000B2A5C" w:rsidP="000B2A5C">
      <w:pPr>
        <w:autoSpaceDE w:val="0"/>
        <w:autoSpaceDN w:val="0"/>
        <w:adjustRightInd w:val="0"/>
        <w:ind w:right="-8"/>
        <w:jc w:val="both"/>
        <w:rPr>
          <w:sz w:val="22"/>
          <w:szCs w:val="22"/>
          <w:lang w:val="sr-Latn-ME"/>
        </w:rPr>
      </w:pPr>
      <w:r w:rsidRPr="00DF79AE">
        <w:rPr>
          <w:sz w:val="22"/>
          <w:szCs w:val="22"/>
          <w:lang w:val="sr-Latn-ME"/>
        </w:rPr>
        <w:t>U kontrolisanim i nekontrolisanim periodima pivotalnih studija</w:t>
      </w:r>
      <w:r w:rsidRPr="00DF79AE">
        <w:rPr>
          <w:iCs/>
          <w:sz w:val="22"/>
          <w:szCs w:val="22"/>
          <w:lang w:val="sr-Latn-ME"/>
        </w:rPr>
        <w:t>, tokom jednogodišnjeg praćenja je</w:t>
      </w:r>
      <w:r w:rsidRPr="00DF79AE">
        <w:rPr>
          <w:sz w:val="22"/>
          <w:szCs w:val="22"/>
          <w:lang w:val="sr-Latn-ME"/>
        </w:rPr>
        <w:t xml:space="preserve"> 3,5% pacijenata liječenih golimumabom i 2,3% pacijenata u kontrolnoj grupi postalo po prvi put pozitivno na antinuklearna antitijela (ANA) (s titrom od najmanje 1:160). Kod pacijenata koji su na početku bili negativni na dsDNK, nakon godinu dana praćenja kod 1,1% su zabilježeni pozitivni nalazi na anti-dsDNK antitijela.</w:t>
      </w:r>
    </w:p>
    <w:p w14:paraId="388D8B1F" w14:textId="77777777" w:rsidR="004E70AD" w:rsidRPr="00786071" w:rsidRDefault="004E70AD" w:rsidP="00480FB1">
      <w:pPr>
        <w:tabs>
          <w:tab w:val="left" w:pos="540"/>
          <w:tab w:val="left" w:pos="569"/>
        </w:tabs>
        <w:rPr>
          <w:b/>
          <w:bCs/>
          <w:sz w:val="22"/>
          <w:szCs w:val="22"/>
        </w:rPr>
      </w:pPr>
    </w:p>
    <w:p w14:paraId="291F078B" w14:textId="77777777" w:rsidR="005A23D2" w:rsidRPr="00786071" w:rsidRDefault="005A23D2" w:rsidP="00A46C9A">
      <w:pPr>
        <w:spacing w:after="200" w:line="276" w:lineRule="auto"/>
        <w:rPr>
          <w:rFonts w:eastAsia="Calibri"/>
          <w:sz w:val="22"/>
          <w:szCs w:val="22"/>
          <w:u w:val="single"/>
          <w:lang w:val="sr-Latn-RS"/>
        </w:rPr>
      </w:pPr>
      <w:r w:rsidRPr="00786071">
        <w:rPr>
          <w:rFonts w:eastAsia="Calibri"/>
          <w:sz w:val="22"/>
          <w:szCs w:val="22"/>
          <w:u w:val="single"/>
          <w:lang w:val="sr-Latn-RS"/>
        </w:rPr>
        <w:t>Prijavljivanje sumnji na neželjena dejstva</w:t>
      </w:r>
    </w:p>
    <w:p w14:paraId="26712CD3" w14:textId="77777777" w:rsidR="005A23D2" w:rsidRPr="00786071" w:rsidRDefault="005A23D2" w:rsidP="00A46C9A">
      <w:pPr>
        <w:spacing w:after="200"/>
        <w:jc w:val="both"/>
        <w:rPr>
          <w:rFonts w:eastAsia="Calibri"/>
          <w:sz w:val="22"/>
          <w:szCs w:val="22"/>
          <w:lang w:val="sr-Latn-RS"/>
        </w:rPr>
      </w:pPr>
      <w:r w:rsidRPr="00786071">
        <w:rPr>
          <w:rFonts w:eastAsia="Calibri"/>
          <w:sz w:val="22"/>
          <w:szCs w:val="22"/>
          <w:lang w:val="sr-Latn-RS"/>
        </w:rPr>
        <w:t>Prijavljivanje neželjenih dejstava nakon dobijanja dozvole je od velikog značaja jer obezbjeđuje kont</w:t>
      </w:r>
      <w:r w:rsidR="00EA5765" w:rsidRPr="00786071">
        <w:rPr>
          <w:rFonts w:eastAsia="Calibri"/>
          <w:sz w:val="22"/>
          <w:szCs w:val="22"/>
          <w:lang w:val="sr-Latn-RS"/>
        </w:rPr>
        <w:t>inuirano praćenje odnosa korist</w:t>
      </w:r>
      <w:r w:rsidRPr="00786071">
        <w:rPr>
          <w:rFonts w:eastAsia="Calibri"/>
          <w:sz w:val="22"/>
          <w:szCs w:val="22"/>
          <w:lang w:val="sr-Latn-RS"/>
        </w:rPr>
        <w:t>/rizik primjene lijeka. Zdravstveni radnici treba da prijave svaku sumnju na neželjeno</w:t>
      </w:r>
      <w:r w:rsidR="009B062A" w:rsidRPr="00786071">
        <w:rPr>
          <w:rFonts w:eastAsia="Calibri"/>
          <w:sz w:val="22"/>
          <w:szCs w:val="22"/>
          <w:lang w:val="sr-Latn-RS"/>
        </w:rPr>
        <w:t xml:space="preserve"> </w:t>
      </w:r>
      <w:r w:rsidRPr="00786071">
        <w:rPr>
          <w:rFonts w:eastAsia="Calibri"/>
          <w:sz w:val="22"/>
          <w:szCs w:val="22"/>
          <w:lang w:val="sr-Latn-RS"/>
        </w:rPr>
        <w:t xml:space="preserve">dejstvo ovog lijeka </w:t>
      </w:r>
      <w:r w:rsidR="004E70AD">
        <w:rPr>
          <w:rFonts w:eastAsia="Calibri"/>
          <w:sz w:val="22"/>
          <w:szCs w:val="22"/>
          <w:lang w:val="sr-Latn-RS"/>
        </w:rPr>
        <w:t>Institutu</w:t>
      </w:r>
      <w:r w:rsidRPr="00786071">
        <w:rPr>
          <w:rFonts w:eastAsia="Calibri"/>
          <w:sz w:val="22"/>
          <w:szCs w:val="22"/>
          <w:lang w:val="sr-Latn-RS"/>
        </w:rPr>
        <w:t xml:space="preserve"> za ljekove i medicinska sredstva</w:t>
      </w:r>
      <w:r w:rsidR="004E70AD">
        <w:rPr>
          <w:rFonts w:eastAsia="Calibri"/>
          <w:sz w:val="22"/>
          <w:szCs w:val="22"/>
          <w:lang w:val="sr-Latn-RS"/>
        </w:rPr>
        <w:t xml:space="preserve"> </w:t>
      </w:r>
      <w:r w:rsidRPr="00786071">
        <w:rPr>
          <w:rFonts w:eastAsia="Calibri"/>
          <w:sz w:val="22"/>
          <w:szCs w:val="22"/>
          <w:lang w:val="sr-Latn-RS"/>
        </w:rPr>
        <w:t>(</w:t>
      </w:r>
      <w:r w:rsidR="004E70AD" w:rsidRPr="00786071">
        <w:rPr>
          <w:rFonts w:eastAsia="Calibri"/>
          <w:sz w:val="22"/>
          <w:szCs w:val="22"/>
          <w:lang w:val="sr-Latn-RS"/>
        </w:rPr>
        <w:t>C</w:t>
      </w:r>
      <w:r w:rsidR="004E70AD">
        <w:rPr>
          <w:rFonts w:eastAsia="Calibri"/>
          <w:sz w:val="22"/>
          <w:szCs w:val="22"/>
          <w:lang w:val="sr-Latn-RS"/>
        </w:rPr>
        <w:t>InMED</w:t>
      </w:r>
      <w:r w:rsidRPr="00786071">
        <w:rPr>
          <w:rFonts w:eastAsia="Calibri"/>
          <w:sz w:val="22"/>
          <w:szCs w:val="22"/>
          <w:lang w:val="sr-Latn-RS"/>
        </w:rPr>
        <w:t>):</w:t>
      </w:r>
    </w:p>
    <w:p w14:paraId="5ED15F83" w14:textId="77777777" w:rsidR="005A23D2" w:rsidRPr="00786071" w:rsidRDefault="004E70AD" w:rsidP="00A46C9A">
      <w:pPr>
        <w:pStyle w:val="NoSpacing"/>
        <w:jc w:val="both"/>
        <w:rPr>
          <w:rFonts w:eastAsia="Calibri"/>
          <w:sz w:val="22"/>
          <w:szCs w:val="22"/>
          <w:lang w:val="sr-Latn-RS"/>
        </w:rPr>
      </w:pPr>
      <w:r>
        <w:rPr>
          <w:rFonts w:eastAsia="Calibri"/>
          <w:sz w:val="22"/>
          <w:szCs w:val="22"/>
          <w:lang w:val="sr-Latn-RS"/>
        </w:rPr>
        <w:t>Institut</w:t>
      </w:r>
      <w:r w:rsidRPr="00786071">
        <w:rPr>
          <w:rFonts w:eastAsia="Calibri"/>
          <w:sz w:val="22"/>
          <w:szCs w:val="22"/>
          <w:lang w:val="sr-Latn-RS"/>
        </w:rPr>
        <w:t xml:space="preserve"> </w:t>
      </w:r>
      <w:r w:rsidR="005A23D2" w:rsidRPr="00786071">
        <w:rPr>
          <w:rFonts w:eastAsia="Calibri"/>
          <w:sz w:val="22"/>
          <w:szCs w:val="22"/>
          <w:lang w:val="sr-Latn-RS"/>
        </w:rPr>
        <w:t xml:space="preserve">za ljekove i medicinska sredstva </w:t>
      </w:r>
    </w:p>
    <w:p w14:paraId="2149FBA9" w14:textId="77777777" w:rsidR="005A23D2" w:rsidRPr="00786071" w:rsidRDefault="005A23D2" w:rsidP="00A46C9A">
      <w:pPr>
        <w:pStyle w:val="NoSpacing"/>
        <w:jc w:val="both"/>
        <w:rPr>
          <w:rFonts w:eastAsia="Calibri"/>
          <w:sz w:val="22"/>
          <w:szCs w:val="22"/>
          <w:lang w:val="sr-Latn-RS"/>
        </w:rPr>
      </w:pPr>
      <w:r w:rsidRPr="00786071">
        <w:rPr>
          <w:rFonts w:eastAsia="Calibri"/>
          <w:sz w:val="22"/>
          <w:szCs w:val="22"/>
          <w:lang w:val="sr-Latn-RS"/>
        </w:rPr>
        <w:t>Odjeljenje za farmakovigilancu</w:t>
      </w:r>
    </w:p>
    <w:p w14:paraId="2E48386B" w14:textId="77777777" w:rsidR="00EA5765" w:rsidRPr="00786071" w:rsidRDefault="005A23D2" w:rsidP="00A46C9A">
      <w:pPr>
        <w:pStyle w:val="NoSpacing"/>
        <w:jc w:val="both"/>
        <w:rPr>
          <w:rFonts w:eastAsia="Calibri"/>
          <w:sz w:val="22"/>
          <w:szCs w:val="22"/>
          <w:lang w:val="sr-Latn-RS"/>
        </w:rPr>
      </w:pPr>
      <w:r w:rsidRPr="00786071">
        <w:rPr>
          <w:rFonts w:eastAsia="Calibri"/>
          <w:sz w:val="22"/>
          <w:szCs w:val="22"/>
          <w:lang w:val="sr-Latn-RS"/>
        </w:rPr>
        <w:t>Bulevar Ivana Crnojevića 64a, 81000 Podgorica</w:t>
      </w:r>
    </w:p>
    <w:p w14:paraId="23A9394A" w14:textId="77777777" w:rsidR="00EA5765" w:rsidRPr="00786071" w:rsidRDefault="00EA5765" w:rsidP="00A46C9A">
      <w:pPr>
        <w:pStyle w:val="NoSpacing"/>
        <w:rPr>
          <w:rFonts w:eastAsia="Calibri"/>
          <w:sz w:val="22"/>
          <w:szCs w:val="22"/>
          <w:lang w:val="sr-Latn-RS"/>
        </w:rPr>
      </w:pPr>
    </w:p>
    <w:p w14:paraId="2E078C3F" w14:textId="77777777" w:rsidR="005A23D2" w:rsidRPr="00786071" w:rsidRDefault="005A23D2" w:rsidP="00A46C9A">
      <w:pPr>
        <w:pStyle w:val="NoSpacing"/>
        <w:jc w:val="both"/>
        <w:rPr>
          <w:rFonts w:eastAsia="Calibri"/>
          <w:sz w:val="22"/>
          <w:szCs w:val="22"/>
          <w:lang w:val="sr-Latn-RS"/>
        </w:rPr>
      </w:pPr>
      <w:r w:rsidRPr="00786071">
        <w:rPr>
          <w:rFonts w:eastAsia="Calibri"/>
          <w:sz w:val="22"/>
          <w:szCs w:val="22"/>
          <w:lang w:val="sr-Latn-RS"/>
        </w:rPr>
        <w:lastRenderedPageBreak/>
        <w:t>tel: +382 (0) 20 310 280</w:t>
      </w:r>
    </w:p>
    <w:p w14:paraId="729C27D9" w14:textId="45CDE85E" w:rsidR="00EA5765" w:rsidRDefault="005A23D2" w:rsidP="00A46C9A">
      <w:pPr>
        <w:pStyle w:val="NoSpacing"/>
        <w:jc w:val="both"/>
        <w:rPr>
          <w:rFonts w:eastAsia="Calibri"/>
          <w:sz w:val="22"/>
          <w:szCs w:val="22"/>
          <w:lang w:val="sr-Latn-RS"/>
        </w:rPr>
      </w:pPr>
      <w:r w:rsidRPr="00786071">
        <w:rPr>
          <w:rFonts w:eastAsia="Calibri"/>
          <w:sz w:val="22"/>
          <w:szCs w:val="22"/>
          <w:lang w:val="sr-Latn-RS"/>
        </w:rPr>
        <w:t>fax:</w:t>
      </w:r>
      <w:r w:rsidR="00EA5765" w:rsidRPr="00786071">
        <w:rPr>
          <w:rFonts w:eastAsia="Calibri"/>
          <w:sz w:val="22"/>
          <w:szCs w:val="22"/>
          <w:lang w:val="sr-Latn-RS"/>
        </w:rPr>
        <w:t xml:space="preserve"> </w:t>
      </w:r>
      <w:r w:rsidRPr="00786071">
        <w:rPr>
          <w:rFonts w:eastAsia="Calibri"/>
          <w:sz w:val="22"/>
          <w:szCs w:val="22"/>
          <w:lang w:val="sr-Latn-RS"/>
        </w:rPr>
        <w:t>+382 (0) 20 310 581</w:t>
      </w:r>
    </w:p>
    <w:p w14:paraId="075841A8" w14:textId="77777777" w:rsidR="007C2FF4" w:rsidRPr="00786071" w:rsidRDefault="007C2FF4" w:rsidP="00A46C9A">
      <w:pPr>
        <w:pStyle w:val="NoSpacing"/>
        <w:jc w:val="both"/>
        <w:rPr>
          <w:rFonts w:eastAsia="Calibri"/>
          <w:sz w:val="22"/>
          <w:szCs w:val="22"/>
          <w:lang w:val="sr-Latn-RS"/>
        </w:rPr>
      </w:pPr>
    </w:p>
    <w:p w14:paraId="6BB19D4D" w14:textId="77777777" w:rsidR="005A23D2" w:rsidRPr="00786071" w:rsidRDefault="002D1887" w:rsidP="00A46C9A">
      <w:pPr>
        <w:pStyle w:val="NoSpacing"/>
        <w:jc w:val="both"/>
        <w:rPr>
          <w:rFonts w:eastAsia="Calibri"/>
          <w:sz w:val="22"/>
          <w:szCs w:val="22"/>
          <w:lang w:val="sr-Latn-RS"/>
        </w:rPr>
      </w:pPr>
      <w:hyperlink r:id="rId9" w:history="1">
        <w:r w:rsidR="004E70AD" w:rsidRPr="00B664A0">
          <w:rPr>
            <w:rStyle w:val="Hyperlink"/>
            <w:rFonts w:eastAsia="Calibri"/>
            <w:sz w:val="22"/>
            <w:szCs w:val="22"/>
            <w:lang w:val="sr-Latn-RS"/>
          </w:rPr>
          <w:t>www.cinmed.me</w:t>
        </w:r>
      </w:hyperlink>
    </w:p>
    <w:p w14:paraId="17EC7B5A" w14:textId="77777777" w:rsidR="00EA5765" w:rsidRPr="00786071" w:rsidRDefault="002D1887" w:rsidP="00A46C9A">
      <w:pPr>
        <w:pStyle w:val="NoSpacing"/>
        <w:jc w:val="both"/>
        <w:rPr>
          <w:rFonts w:eastAsia="Calibri"/>
          <w:color w:val="0000FF"/>
          <w:sz w:val="22"/>
          <w:szCs w:val="22"/>
          <w:u w:val="single"/>
          <w:lang w:val="sr-Latn-RS"/>
        </w:rPr>
      </w:pPr>
      <w:hyperlink r:id="rId10" w:history="1">
        <w:r w:rsidR="004E70AD" w:rsidRPr="00B664A0">
          <w:rPr>
            <w:rStyle w:val="Hyperlink"/>
            <w:rFonts w:eastAsia="Calibri"/>
            <w:sz w:val="22"/>
            <w:szCs w:val="22"/>
            <w:lang w:val="sr-Latn-RS"/>
          </w:rPr>
          <w:t>nezeljenadejstva@cinmed.me</w:t>
        </w:r>
      </w:hyperlink>
    </w:p>
    <w:p w14:paraId="6644E038" w14:textId="1D732006" w:rsidR="005A23D2" w:rsidRDefault="005A23D2" w:rsidP="00A46C9A">
      <w:pPr>
        <w:pStyle w:val="NoSpacing"/>
        <w:jc w:val="both"/>
        <w:rPr>
          <w:rFonts w:eastAsia="Calibri"/>
          <w:sz w:val="22"/>
          <w:szCs w:val="22"/>
          <w:lang w:val="sr-Latn-RS"/>
        </w:rPr>
      </w:pPr>
      <w:r w:rsidRPr="00786071">
        <w:rPr>
          <w:rFonts w:eastAsia="Calibri"/>
          <w:sz w:val="22"/>
          <w:szCs w:val="22"/>
          <w:lang w:val="sr-Latn-RS"/>
        </w:rPr>
        <w:t>putem IS zdravstvene zaštite</w:t>
      </w:r>
    </w:p>
    <w:p w14:paraId="303A32C5" w14:textId="77777777" w:rsidR="001348E1" w:rsidRPr="001348E1" w:rsidRDefault="001348E1" w:rsidP="001348E1">
      <w:pPr>
        <w:pStyle w:val="NoSpacing"/>
        <w:jc w:val="both"/>
        <w:rPr>
          <w:rFonts w:eastAsia="Calibri"/>
          <w:sz w:val="22"/>
          <w:szCs w:val="22"/>
          <w:lang w:val="sr-Latn-RS"/>
        </w:rPr>
      </w:pPr>
      <w:r w:rsidRPr="001348E1">
        <w:rPr>
          <w:rFonts w:eastAsia="Calibri"/>
          <w:sz w:val="22"/>
          <w:szCs w:val="22"/>
          <w:lang w:val="sr-Latn-RS"/>
        </w:rPr>
        <w:t>QR kod za online prijavu sumnje na neželjeno dejstvo lijeka:</w:t>
      </w:r>
    </w:p>
    <w:p w14:paraId="43BA782C" w14:textId="77777777" w:rsidR="001348E1" w:rsidRPr="001348E1" w:rsidRDefault="001348E1" w:rsidP="001348E1">
      <w:pPr>
        <w:pStyle w:val="NoSpacing"/>
        <w:jc w:val="both"/>
        <w:rPr>
          <w:rFonts w:eastAsia="Calibri"/>
          <w:sz w:val="22"/>
          <w:szCs w:val="22"/>
          <w:lang w:val="sr-Latn-RS"/>
        </w:rPr>
      </w:pPr>
    </w:p>
    <w:p w14:paraId="63A10A32" w14:textId="77777777" w:rsidR="001348E1" w:rsidRPr="001348E1" w:rsidRDefault="001348E1" w:rsidP="001348E1">
      <w:pPr>
        <w:pStyle w:val="NoSpacing"/>
        <w:rPr>
          <w:rFonts w:eastAsia="Calibri"/>
          <w:sz w:val="22"/>
          <w:szCs w:val="22"/>
          <w:lang w:val="sr-Latn-RS"/>
        </w:rPr>
      </w:pPr>
      <w:r w:rsidRPr="001348E1">
        <w:rPr>
          <w:rFonts w:eastAsia="Calibri"/>
          <w:noProof/>
          <w:sz w:val="22"/>
          <w:szCs w:val="22"/>
        </w:rPr>
        <w:drawing>
          <wp:inline distT="0" distB="0" distL="0" distR="0" wp14:anchorId="341114AE" wp14:editId="0E531C00">
            <wp:extent cx="971550" cy="971550"/>
            <wp:effectExtent l="0" t="0" r="0" b="0"/>
            <wp:docPr id="1912395413" name="Picture 1" descr="https://cinmed.me/wp-content/uploads/2022/11/Online-prijava-NDL-QR-code-300x300.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7B5AAAD8" w14:textId="77777777" w:rsidR="00836B35" w:rsidRPr="00786071" w:rsidRDefault="00836B35" w:rsidP="00480FB1">
      <w:pPr>
        <w:tabs>
          <w:tab w:val="left" w:pos="540"/>
          <w:tab w:val="left" w:pos="569"/>
        </w:tabs>
        <w:rPr>
          <w:b/>
          <w:bCs/>
          <w:sz w:val="22"/>
          <w:szCs w:val="22"/>
        </w:rPr>
      </w:pPr>
    </w:p>
    <w:p w14:paraId="60590CE3" w14:textId="77777777" w:rsidR="00CD6F02" w:rsidRPr="00FF1314" w:rsidRDefault="0072020E" w:rsidP="00480FB1">
      <w:pPr>
        <w:tabs>
          <w:tab w:val="left" w:pos="540"/>
          <w:tab w:val="left" w:pos="569"/>
        </w:tabs>
        <w:rPr>
          <w:b/>
          <w:bCs/>
          <w:sz w:val="22"/>
          <w:szCs w:val="22"/>
          <w:lang w:val="sr-Latn-ME"/>
        </w:rPr>
      </w:pPr>
      <w:r w:rsidRPr="00FF1314">
        <w:rPr>
          <w:b/>
          <w:bCs/>
          <w:sz w:val="22"/>
          <w:szCs w:val="22"/>
          <w:lang w:val="sr-Latn-ME"/>
        </w:rPr>
        <w:t xml:space="preserve">4.9. </w:t>
      </w:r>
      <w:r w:rsidR="00480FB1" w:rsidRPr="00FF1314">
        <w:rPr>
          <w:b/>
          <w:bCs/>
          <w:sz w:val="22"/>
          <w:szCs w:val="22"/>
          <w:lang w:val="sr-Latn-ME"/>
        </w:rPr>
        <w:tab/>
      </w:r>
      <w:r w:rsidRPr="00FF1314">
        <w:rPr>
          <w:b/>
          <w:bCs/>
          <w:sz w:val="22"/>
          <w:szCs w:val="22"/>
          <w:lang w:val="sr-Latn-ME"/>
        </w:rPr>
        <w:t>Predoziranje</w:t>
      </w:r>
      <w:r w:rsidR="002846DB" w:rsidRPr="00FF1314">
        <w:rPr>
          <w:b/>
          <w:bCs/>
          <w:sz w:val="22"/>
          <w:szCs w:val="22"/>
          <w:lang w:val="sr-Latn-ME"/>
        </w:rPr>
        <w:t xml:space="preserve"> </w:t>
      </w:r>
    </w:p>
    <w:p w14:paraId="53505A5F" w14:textId="77777777" w:rsidR="00CD6F02" w:rsidRPr="00FF1314" w:rsidRDefault="00CD6F02" w:rsidP="00480FB1">
      <w:pPr>
        <w:tabs>
          <w:tab w:val="left" w:pos="540"/>
          <w:tab w:val="left" w:pos="569"/>
        </w:tabs>
        <w:rPr>
          <w:b/>
          <w:bCs/>
          <w:sz w:val="22"/>
          <w:szCs w:val="22"/>
          <w:lang w:val="sr-Latn-ME"/>
        </w:rPr>
      </w:pPr>
    </w:p>
    <w:p w14:paraId="29143CF2" w14:textId="77777777" w:rsidR="000B2A5C" w:rsidRPr="007C2FF4" w:rsidRDefault="000B2A5C" w:rsidP="000B2A5C">
      <w:pPr>
        <w:tabs>
          <w:tab w:val="left" w:pos="284"/>
        </w:tabs>
        <w:jc w:val="both"/>
        <w:rPr>
          <w:sz w:val="22"/>
          <w:szCs w:val="22"/>
          <w:lang w:val="sr-Latn-ME"/>
        </w:rPr>
      </w:pPr>
      <w:r w:rsidRPr="007C2FF4">
        <w:rPr>
          <w:sz w:val="22"/>
          <w:szCs w:val="22"/>
          <w:lang w:val="sr-Latn-ME"/>
        </w:rPr>
        <w:t xml:space="preserve">U kliničkom ispitivanju su primijenjene pojedinačne intravenske doze do 10 mg/kg i nije došlo do toksičnosti koja bi ograničavala dozu. U slučaju predoziranja, preporučuje se praćenje pacijenta kako bi se uočili eventualni znakovi ili simptomi neželjenih dejstava, te odmah započelo odgovarajuće simptomatsko liječenje. </w:t>
      </w:r>
    </w:p>
    <w:p w14:paraId="4CA7DCA8" w14:textId="117AA62E" w:rsidR="00227BDB" w:rsidRDefault="00227BDB" w:rsidP="00480FB1">
      <w:pPr>
        <w:tabs>
          <w:tab w:val="left" w:pos="540"/>
          <w:tab w:val="left" w:pos="569"/>
        </w:tabs>
        <w:rPr>
          <w:b/>
          <w:bCs/>
          <w:sz w:val="22"/>
          <w:szCs w:val="22"/>
          <w:lang w:val="sr-Latn-ME"/>
        </w:rPr>
      </w:pPr>
    </w:p>
    <w:p w14:paraId="2945F3D3" w14:textId="77777777" w:rsidR="003271C1" w:rsidRPr="00FF1314" w:rsidRDefault="003271C1" w:rsidP="00480FB1">
      <w:pPr>
        <w:tabs>
          <w:tab w:val="left" w:pos="540"/>
          <w:tab w:val="left" w:pos="569"/>
        </w:tabs>
        <w:rPr>
          <w:b/>
          <w:bCs/>
          <w:sz w:val="22"/>
          <w:szCs w:val="22"/>
          <w:lang w:val="sr-Latn-ME"/>
        </w:rPr>
      </w:pPr>
    </w:p>
    <w:p w14:paraId="5EC8F351" w14:textId="77777777" w:rsidR="0072020E" w:rsidRPr="00FF1314" w:rsidRDefault="0072020E" w:rsidP="00480FB1">
      <w:pPr>
        <w:tabs>
          <w:tab w:val="left" w:pos="540"/>
          <w:tab w:val="left" w:pos="569"/>
        </w:tabs>
        <w:rPr>
          <w:b/>
          <w:bCs/>
          <w:sz w:val="22"/>
          <w:szCs w:val="22"/>
          <w:lang w:val="sr-Latn-ME"/>
        </w:rPr>
      </w:pPr>
      <w:r w:rsidRPr="00FF1314">
        <w:rPr>
          <w:b/>
          <w:bCs/>
          <w:sz w:val="22"/>
          <w:szCs w:val="22"/>
          <w:lang w:val="sr-Latn-ME"/>
        </w:rPr>
        <w:t xml:space="preserve">5. </w:t>
      </w:r>
      <w:r w:rsidR="00480FB1" w:rsidRPr="00FF1314">
        <w:rPr>
          <w:b/>
          <w:bCs/>
          <w:sz w:val="22"/>
          <w:szCs w:val="22"/>
          <w:lang w:val="sr-Latn-ME"/>
        </w:rPr>
        <w:tab/>
      </w:r>
      <w:r w:rsidRPr="00FF1314">
        <w:rPr>
          <w:b/>
          <w:bCs/>
          <w:sz w:val="22"/>
          <w:szCs w:val="22"/>
          <w:lang w:val="sr-Latn-ME"/>
        </w:rPr>
        <w:t>FARMAKOLOŠK</w:t>
      </w:r>
      <w:r w:rsidR="000D425A" w:rsidRPr="00FF1314">
        <w:rPr>
          <w:b/>
          <w:bCs/>
          <w:sz w:val="22"/>
          <w:szCs w:val="22"/>
          <w:lang w:val="sr-Latn-ME"/>
        </w:rPr>
        <w:t>I</w:t>
      </w:r>
      <w:r w:rsidRPr="00FF1314">
        <w:rPr>
          <w:b/>
          <w:bCs/>
          <w:sz w:val="22"/>
          <w:szCs w:val="22"/>
          <w:lang w:val="sr-Latn-ME"/>
        </w:rPr>
        <w:t xml:space="preserve"> PODACI</w:t>
      </w:r>
    </w:p>
    <w:p w14:paraId="5E2B65E8" w14:textId="77777777" w:rsidR="0072020E" w:rsidRPr="00FF1314" w:rsidRDefault="0072020E" w:rsidP="00480FB1">
      <w:pPr>
        <w:tabs>
          <w:tab w:val="left" w:pos="540"/>
          <w:tab w:val="left" w:pos="569"/>
        </w:tabs>
        <w:rPr>
          <w:b/>
          <w:bCs/>
          <w:sz w:val="22"/>
          <w:szCs w:val="22"/>
          <w:lang w:val="sr-Latn-ME"/>
        </w:rPr>
      </w:pPr>
    </w:p>
    <w:p w14:paraId="41F15C4F" w14:textId="77777777" w:rsidR="0072020E" w:rsidRPr="00FF1314" w:rsidRDefault="0072020E" w:rsidP="00480FB1">
      <w:pPr>
        <w:tabs>
          <w:tab w:val="left" w:pos="540"/>
          <w:tab w:val="left" w:pos="569"/>
        </w:tabs>
        <w:rPr>
          <w:b/>
          <w:bCs/>
          <w:sz w:val="22"/>
          <w:szCs w:val="22"/>
          <w:lang w:val="sr-Latn-ME"/>
        </w:rPr>
      </w:pPr>
      <w:r w:rsidRPr="00FF1314">
        <w:rPr>
          <w:b/>
          <w:bCs/>
          <w:sz w:val="22"/>
          <w:szCs w:val="22"/>
          <w:lang w:val="sr-Latn-ME"/>
        </w:rPr>
        <w:t xml:space="preserve">5.1. </w:t>
      </w:r>
      <w:r w:rsidR="00480FB1" w:rsidRPr="00FF1314">
        <w:rPr>
          <w:b/>
          <w:bCs/>
          <w:sz w:val="22"/>
          <w:szCs w:val="22"/>
          <w:lang w:val="sr-Latn-ME"/>
        </w:rPr>
        <w:tab/>
      </w:r>
      <w:r w:rsidRPr="00FF1314">
        <w:rPr>
          <w:b/>
          <w:bCs/>
          <w:sz w:val="22"/>
          <w:szCs w:val="22"/>
          <w:lang w:val="sr-Latn-ME"/>
        </w:rPr>
        <w:t>Farmakodinamski podaci</w:t>
      </w:r>
      <w:r w:rsidR="003A7059" w:rsidRPr="00FF1314">
        <w:rPr>
          <w:b/>
          <w:bCs/>
          <w:sz w:val="22"/>
          <w:szCs w:val="22"/>
          <w:lang w:val="sr-Latn-ME"/>
        </w:rPr>
        <w:t xml:space="preserve"> </w:t>
      </w:r>
    </w:p>
    <w:p w14:paraId="636F132C" w14:textId="77777777" w:rsidR="00F45F77" w:rsidRPr="00FF1314" w:rsidRDefault="00F45F77" w:rsidP="00480FB1">
      <w:pPr>
        <w:tabs>
          <w:tab w:val="left" w:pos="540"/>
          <w:tab w:val="left" w:pos="569"/>
        </w:tabs>
        <w:rPr>
          <w:b/>
          <w:bCs/>
          <w:sz w:val="22"/>
          <w:szCs w:val="22"/>
          <w:lang w:val="sr-Latn-ME"/>
        </w:rPr>
      </w:pPr>
    </w:p>
    <w:p w14:paraId="11FD17F3" w14:textId="77777777" w:rsidR="000B2A5C" w:rsidRPr="00FF1314" w:rsidRDefault="000B2A5C" w:rsidP="000B2A5C">
      <w:pPr>
        <w:tabs>
          <w:tab w:val="left" w:pos="540"/>
          <w:tab w:val="left" w:pos="569"/>
        </w:tabs>
        <w:rPr>
          <w:bCs/>
          <w:sz w:val="22"/>
          <w:szCs w:val="22"/>
          <w:lang w:val="sr-Latn-ME"/>
        </w:rPr>
      </w:pPr>
      <w:r w:rsidRPr="00FF1314">
        <w:rPr>
          <w:bCs/>
          <w:sz w:val="22"/>
          <w:szCs w:val="22"/>
          <w:lang w:val="sr-Latn-ME"/>
        </w:rPr>
        <w:t>Farmakoterapijska grupa:</w:t>
      </w:r>
      <w:r w:rsidRPr="00FF1314">
        <w:rPr>
          <w:lang w:val="sr-Latn-ME"/>
        </w:rPr>
        <w:t xml:space="preserve"> </w:t>
      </w:r>
      <w:r w:rsidRPr="00FF1314">
        <w:rPr>
          <w:bCs/>
          <w:sz w:val="22"/>
          <w:szCs w:val="22"/>
          <w:lang w:val="sr-Latn-ME"/>
        </w:rPr>
        <w:t>imunosupresivi, inhibitori faktora nekroze tumora alfa (TNF α)</w:t>
      </w:r>
    </w:p>
    <w:p w14:paraId="358C892A" w14:textId="77777777" w:rsidR="000B2A5C" w:rsidRPr="00FF1314" w:rsidRDefault="000B2A5C" w:rsidP="000B2A5C">
      <w:pPr>
        <w:tabs>
          <w:tab w:val="left" w:pos="540"/>
          <w:tab w:val="left" w:pos="569"/>
        </w:tabs>
        <w:rPr>
          <w:bCs/>
          <w:sz w:val="22"/>
          <w:szCs w:val="22"/>
          <w:lang w:val="sr-Latn-ME"/>
        </w:rPr>
      </w:pPr>
    </w:p>
    <w:p w14:paraId="6B76D976" w14:textId="77777777" w:rsidR="000B2A5C" w:rsidRPr="00FF1314" w:rsidRDefault="000B2A5C" w:rsidP="000B2A5C">
      <w:pPr>
        <w:tabs>
          <w:tab w:val="left" w:pos="540"/>
          <w:tab w:val="left" w:pos="569"/>
        </w:tabs>
        <w:rPr>
          <w:bCs/>
          <w:sz w:val="22"/>
          <w:szCs w:val="22"/>
          <w:lang w:val="sr-Latn-ME"/>
        </w:rPr>
      </w:pPr>
      <w:r w:rsidRPr="00FF1314">
        <w:rPr>
          <w:bCs/>
          <w:sz w:val="22"/>
          <w:szCs w:val="22"/>
          <w:lang w:val="sr-Latn-ME"/>
        </w:rPr>
        <w:t>ATC kod:</w:t>
      </w:r>
      <w:r w:rsidRPr="00FF1314">
        <w:rPr>
          <w:lang w:val="sr-Latn-ME"/>
        </w:rPr>
        <w:t xml:space="preserve"> </w:t>
      </w:r>
      <w:r w:rsidRPr="00FF1314">
        <w:rPr>
          <w:bCs/>
          <w:sz w:val="22"/>
          <w:szCs w:val="22"/>
          <w:lang w:val="sr-Latn-ME"/>
        </w:rPr>
        <w:t>L04AB06</w:t>
      </w:r>
    </w:p>
    <w:p w14:paraId="0C3CF83E" w14:textId="6C610B45" w:rsidR="002E37A5" w:rsidRPr="00FF1314" w:rsidRDefault="002E37A5" w:rsidP="00480FB1">
      <w:pPr>
        <w:tabs>
          <w:tab w:val="left" w:pos="540"/>
          <w:tab w:val="left" w:pos="569"/>
        </w:tabs>
        <w:rPr>
          <w:b/>
          <w:bCs/>
          <w:sz w:val="22"/>
          <w:szCs w:val="22"/>
          <w:lang w:val="sr-Latn-ME"/>
        </w:rPr>
      </w:pPr>
    </w:p>
    <w:p w14:paraId="57DB7421" w14:textId="77777777" w:rsidR="000B2A5C" w:rsidRPr="007C2FF4" w:rsidRDefault="000B2A5C" w:rsidP="000B2A5C">
      <w:pPr>
        <w:tabs>
          <w:tab w:val="left" w:pos="284"/>
        </w:tabs>
        <w:jc w:val="both"/>
        <w:rPr>
          <w:sz w:val="22"/>
          <w:szCs w:val="22"/>
          <w:u w:val="single"/>
          <w:lang w:val="sr-Latn-ME"/>
        </w:rPr>
      </w:pPr>
      <w:r w:rsidRPr="007C2FF4">
        <w:rPr>
          <w:sz w:val="22"/>
          <w:szCs w:val="22"/>
          <w:u w:val="single"/>
          <w:lang w:val="sr-Latn-ME"/>
        </w:rPr>
        <w:t>Mehanizam dejstva</w:t>
      </w:r>
    </w:p>
    <w:p w14:paraId="19030A6E" w14:textId="77777777" w:rsidR="000B2A5C" w:rsidRPr="00DF79AE" w:rsidRDefault="000B2A5C" w:rsidP="000B2A5C">
      <w:pPr>
        <w:tabs>
          <w:tab w:val="left" w:pos="284"/>
        </w:tabs>
        <w:jc w:val="both"/>
        <w:rPr>
          <w:sz w:val="22"/>
          <w:szCs w:val="22"/>
          <w:lang w:val="sr-Latn-ME"/>
        </w:rPr>
      </w:pPr>
      <w:r w:rsidRPr="007C2FF4">
        <w:rPr>
          <w:sz w:val="22"/>
          <w:szCs w:val="22"/>
          <w:lang w:val="sr-Latn-ME"/>
        </w:rPr>
        <w:t>Golimumab je humano monoklonsko antitijelo koje s velikim afinitetom gradi stabilne komplekse kako s rastvorljivim tako i s transmembranskim</w:t>
      </w:r>
      <w:r w:rsidRPr="00DF79AE">
        <w:rPr>
          <w:sz w:val="22"/>
          <w:szCs w:val="22"/>
          <w:lang w:val="sr-Latn-ME"/>
        </w:rPr>
        <w:t xml:space="preserve"> bioaktivnim oblicima humanog faktora nekroze tumora alfa (TNF</w:t>
      </w:r>
      <w:r w:rsidRPr="00DF79AE">
        <w:rPr>
          <w:sz w:val="22"/>
          <w:szCs w:val="22"/>
          <w:vertAlign w:val="subscript"/>
          <w:lang w:val="sr-Latn-ME"/>
        </w:rPr>
        <w:sym w:font="Symbol" w:char="F061"/>
      </w:r>
      <w:r w:rsidRPr="00DF79AE">
        <w:rPr>
          <w:sz w:val="22"/>
          <w:szCs w:val="22"/>
          <w:lang w:val="sr-Latn-ME"/>
        </w:rPr>
        <w:t>), što sprječava vezivanje TNF</w:t>
      </w:r>
      <w:r w:rsidRPr="00DF79AE">
        <w:rPr>
          <w:sz w:val="22"/>
          <w:szCs w:val="22"/>
          <w:vertAlign w:val="subscript"/>
          <w:lang w:val="sr-Latn-ME"/>
        </w:rPr>
        <w:sym w:font="Symbol" w:char="F061"/>
      </w:r>
      <w:r w:rsidRPr="00DF79AE">
        <w:rPr>
          <w:sz w:val="22"/>
          <w:szCs w:val="22"/>
          <w:lang w:val="sr-Latn-ME"/>
        </w:rPr>
        <w:t xml:space="preserve"> za njegove receptore.</w:t>
      </w:r>
    </w:p>
    <w:p w14:paraId="24B3DBC7" w14:textId="77777777" w:rsidR="000B2A5C" w:rsidRPr="00DF79AE" w:rsidRDefault="000B2A5C" w:rsidP="000B2A5C">
      <w:pPr>
        <w:tabs>
          <w:tab w:val="left" w:pos="284"/>
        </w:tabs>
        <w:jc w:val="both"/>
        <w:rPr>
          <w:sz w:val="22"/>
          <w:szCs w:val="22"/>
          <w:lang w:val="sr-Latn-ME"/>
        </w:rPr>
      </w:pPr>
    </w:p>
    <w:p w14:paraId="23033584" w14:textId="77777777" w:rsidR="000B2A5C" w:rsidRPr="00DF79AE" w:rsidRDefault="000B2A5C" w:rsidP="000B2A5C">
      <w:pPr>
        <w:tabs>
          <w:tab w:val="left" w:pos="284"/>
        </w:tabs>
        <w:jc w:val="both"/>
        <w:rPr>
          <w:sz w:val="22"/>
          <w:szCs w:val="22"/>
          <w:u w:val="single"/>
          <w:lang w:val="sr-Latn-ME"/>
        </w:rPr>
      </w:pPr>
      <w:r w:rsidRPr="00DF79AE">
        <w:rPr>
          <w:sz w:val="22"/>
          <w:szCs w:val="22"/>
          <w:u w:val="single"/>
          <w:lang w:val="sr-Latn-ME"/>
        </w:rPr>
        <w:t>Farmakodinamički efekti</w:t>
      </w:r>
    </w:p>
    <w:p w14:paraId="4D28C2B9" w14:textId="77777777" w:rsidR="000B2A5C" w:rsidRPr="00DF79AE" w:rsidRDefault="000B2A5C" w:rsidP="000B2A5C">
      <w:pPr>
        <w:tabs>
          <w:tab w:val="left" w:pos="284"/>
        </w:tabs>
        <w:jc w:val="both"/>
        <w:rPr>
          <w:sz w:val="22"/>
          <w:szCs w:val="22"/>
          <w:lang w:val="sr-Latn-ME"/>
        </w:rPr>
      </w:pPr>
      <w:r w:rsidRPr="00DF79AE">
        <w:rPr>
          <w:sz w:val="22"/>
          <w:szCs w:val="22"/>
          <w:lang w:val="sr-Latn-ME"/>
        </w:rPr>
        <w:t>Istraživanja su pokazala da vezivanje humanog TNF-a golimumabom neutrališe ekspresiju adhezivnih molekula E-selektina, adhezivne molekule ćelija krvnih sudova (VCAM)</w:t>
      </w:r>
      <w:r w:rsidRPr="00DF79AE">
        <w:rPr>
          <w:sz w:val="22"/>
          <w:szCs w:val="22"/>
          <w:lang w:val="sr-Latn-ME"/>
        </w:rPr>
        <w:noBreakHyphen/>
        <w:t>1 i međućelijske adhezivne molekule (ICAM)</w:t>
      </w:r>
      <w:r w:rsidRPr="00DF79AE">
        <w:rPr>
          <w:sz w:val="22"/>
          <w:szCs w:val="22"/>
          <w:lang w:val="sr-Latn-ME"/>
        </w:rPr>
        <w:noBreakHyphen/>
        <w:t>1 na ćelijskoj površini ljudskih endotelnih ćelija, koju izaziva TNF</w:t>
      </w:r>
      <w:r w:rsidRPr="00DF79AE">
        <w:rPr>
          <w:sz w:val="22"/>
          <w:szCs w:val="22"/>
          <w:lang w:val="sr-Latn-ME"/>
        </w:rPr>
        <w:noBreakHyphen/>
        <w:t>α. Golimumab takođe</w:t>
      </w:r>
      <w:r w:rsidRPr="00DF79AE">
        <w:rPr>
          <w:i/>
          <w:iCs/>
          <w:sz w:val="22"/>
          <w:szCs w:val="22"/>
          <w:lang w:val="sr-Latn-ME"/>
        </w:rPr>
        <w:t xml:space="preserve"> in vitro</w:t>
      </w:r>
      <w:r w:rsidRPr="00DF79AE">
        <w:rPr>
          <w:sz w:val="22"/>
          <w:szCs w:val="22"/>
          <w:lang w:val="sr-Latn-ME"/>
        </w:rPr>
        <w:t xml:space="preserve"> inhibiše TNF-om podstaknuto izlučivanje interleukina (IL)</w:t>
      </w:r>
      <w:r w:rsidRPr="00DF79AE">
        <w:rPr>
          <w:sz w:val="22"/>
          <w:szCs w:val="22"/>
          <w:lang w:val="sr-Latn-ME"/>
        </w:rPr>
        <w:noBreakHyphen/>
        <w:t>6, IL</w:t>
      </w:r>
      <w:r w:rsidRPr="00DF79AE">
        <w:rPr>
          <w:sz w:val="22"/>
          <w:szCs w:val="22"/>
          <w:lang w:val="sr-Latn-ME"/>
        </w:rPr>
        <w:noBreakHyphen/>
        <w:t>8 kao i faktora stimulacije kolonije granulocita i makrofaga (GM</w:t>
      </w:r>
      <w:r w:rsidRPr="00DF79AE">
        <w:rPr>
          <w:sz w:val="22"/>
          <w:szCs w:val="22"/>
          <w:lang w:val="sr-Latn-ME"/>
        </w:rPr>
        <w:noBreakHyphen/>
        <w:t>CSF) iz ljudskih endotelnih ćelija.</w:t>
      </w:r>
    </w:p>
    <w:p w14:paraId="2FC30EC5" w14:textId="77777777" w:rsidR="000B2A5C" w:rsidRPr="00DF79AE" w:rsidRDefault="000B2A5C" w:rsidP="000B2A5C">
      <w:pPr>
        <w:tabs>
          <w:tab w:val="left" w:pos="284"/>
        </w:tabs>
        <w:jc w:val="both"/>
        <w:rPr>
          <w:sz w:val="22"/>
          <w:szCs w:val="22"/>
          <w:lang w:val="sr-Latn-ME"/>
        </w:rPr>
      </w:pPr>
    </w:p>
    <w:p w14:paraId="691A740E" w14:textId="77777777" w:rsidR="000B2A5C" w:rsidRPr="00DF79AE" w:rsidRDefault="000B2A5C" w:rsidP="000B2A5C">
      <w:pPr>
        <w:tabs>
          <w:tab w:val="left" w:pos="284"/>
        </w:tabs>
        <w:jc w:val="both"/>
        <w:rPr>
          <w:sz w:val="22"/>
          <w:szCs w:val="22"/>
          <w:lang w:val="sr-Latn-ME"/>
        </w:rPr>
      </w:pPr>
      <w:r w:rsidRPr="00DF79AE">
        <w:rPr>
          <w:sz w:val="22"/>
          <w:szCs w:val="22"/>
          <w:lang w:val="sr-Latn-ME"/>
        </w:rPr>
        <w:t>Zabilježeno je sniženje nivoa C reaktivnog proteina (CRP) u odnosu na grupe koje su primale placebo, a liječenje lijekom Simponi dovelo je do značajnog smanjenja serumskih nivoa IL</w:t>
      </w:r>
      <w:r w:rsidRPr="00DF79AE">
        <w:rPr>
          <w:sz w:val="22"/>
          <w:szCs w:val="22"/>
          <w:lang w:val="sr-Latn-ME"/>
        </w:rPr>
        <w:noBreakHyphen/>
        <w:t>6, ICAM</w:t>
      </w:r>
      <w:r w:rsidRPr="00DF79AE">
        <w:rPr>
          <w:sz w:val="22"/>
          <w:szCs w:val="22"/>
          <w:lang w:val="sr-Latn-ME"/>
        </w:rPr>
        <w:noBreakHyphen/>
        <w:t>1, matriksne metaloproteinaze (MMP)</w:t>
      </w:r>
      <w:r w:rsidRPr="00DF79AE">
        <w:rPr>
          <w:sz w:val="22"/>
          <w:szCs w:val="22"/>
          <w:lang w:val="sr-Latn-ME"/>
        </w:rPr>
        <w:noBreakHyphen/>
        <w:t xml:space="preserve">3 i </w:t>
      </w:r>
      <w:r w:rsidRPr="00DF79AE">
        <w:rPr>
          <w:bCs/>
          <w:sz w:val="22"/>
          <w:szCs w:val="22"/>
          <w:lang w:val="sr-Latn-ME"/>
        </w:rPr>
        <w:t>faktora rasta vaskularnog endotela</w:t>
      </w:r>
      <w:r w:rsidRPr="00DF79AE">
        <w:rPr>
          <w:sz w:val="22"/>
          <w:szCs w:val="22"/>
          <w:lang w:val="sr-Latn-ME"/>
        </w:rPr>
        <w:t xml:space="preserve"> (VEGF) u odnosu na početne vrijednosti, u poređenju sa kontrolnom grupom. Zatim, nivoi TNF-</w:t>
      </w:r>
      <w:r w:rsidRPr="00DF79AE">
        <w:rPr>
          <w:sz w:val="22"/>
          <w:szCs w:val="22"/>
          <w:lang w:val="sr-Latn-ME"/>
        </w:rPr>
        <w:sym w:font="Symbol" w:char="F061"/>
      </w:r>
      <w:r w:rsidRPr="00DF79AE">
        <w:rPr>
          <w:sz w:val="22"/>
          <w:szCs w:val="22"/>
          <w:lang w:val="sr-Latn-ME"/>
        </w:rPr>
        <w:t xml:space="preserve"> smanjeni su kod pacijenata s reumatoidnim artritisom i ankilozirajućim spondilitisom, a nivoi IL</w:t>
      </w:r>
      <w:r w:rsidRPr="00DF79AE">
        <w:rPr>
          <w:sz w:val="22"/>
          <w:szCs w:val="22"/>
          <w:lang w:val="sr-Latn-ME"/>
        </w:rPr>
        <w:noBreakHyphen/>
        <w:t>8 kod pacijenata s psorijatičnim artritisom. Ove su promjene zabilježene na prvoj kontroli (u 4. nedjelji) nakon početne primjene lijeka Simponi i uopšteno gledajući održale su se do 24. nedjelje.</w:t>
      </w:r>
    </w:p>
    <w:p w14:paraId="36E32AC8" w14:textId="77777777" w:rsidR="000B2A5C" w:rsidRPr="00DF79AE" w:rsidRDefault="000B2A5C" w:rsidP="000B2A5C">
      <w:pPr>
        <w:tabs>
          <w:tab w:val="left" w:pos="284"/>
        </w:tabs>
        <w:jc w:val="both"/>
        <w:rPr>
          <w:sz w:val="22"/>
          <w:szCs w:val="22"/>
          <w:lang w:val="sr-Latn-ME"/>
        </w:rPr>
      </w:pPr>
    </w:p>
    <w:p w14:paraId="43ED1180" w14:textId="77777777" w:rsidR="000B2A5C" w:rsidRPr="00DF79AE" w:rsidRDefault="000B2A5C" w:rsidP="000B2A5C">
      <w:pPr>
        <w:numPr>
          <w:ilvl w:val="12"/>
          <w:numId w:val="0"/>
        </w:numPr>
        <w:tabs>
          <w:tab w:val="left" w:pos="284"/>
        </w:tabs>
        <w:ind w:right="-2"/>
        <w:jc w:val="both"/>
        <w:rPr>
          <w:iCs/>
          <w:noProof/>
          <w:sz w:val="22"/>
          <w:szCs w:val="22"/>
          <w:u w:val="single"/>
          <w:lang w:val="sr-Latn-ME"/>
        </w:rPr>
      </w:pPr>
      <w:r w:rsidRPr="00DF79AE">
        <w:rPr>
          <w:iCs/>
          <w:noProof/>
          <w:sz w:val="22"/>
          <w:szCs w:val="22"/>
          <w:u w:val="single"/>
          <w:lang w:val="sr-Latn-ME"/>
        </w:rPr>
        <w:t>Klinička efikasnost</w:t>
      </w:r>
    </w:p>
    <w:p w14:paraId="78C522FA" w14:textId="77777777" w:rsidR="000B2A5C" w:rsidRPr="00DF79AE" w:rsidRDefault="000B2A5C" w:rsidP="000B2A5C">
      <w:pPr>
        <w:tabs>
          <w:tab w:val="left" w:pos="284"/>
        </w:tabs>
        <w:jc w:val="both"/>
        <w:rPr>
          <w:sz w:val="22"/>
          <w:szCs w:val="22"/>
          <w:u w:val="single"/>
          <w:lang w:val="sr-Latn-ME"/>
        </w:rPr>
      </w:pPr>
    </w:p>
    <w:p w14:paraId="3DDBDBF6" w14:textId="77777777" w:rsidR="000B2A5C" w:rsidRPr="00DF79AE" w:rsidRDefault="000B2A5C" w:rsidP="000B2A5C">
      <w:pPr>
        <w:tabs>
          <w:tab w:val="left" w:pos="284"/>
        </w:tabs>
        <w:jc w:val="both"/>
        <w:rPr>
          <w:i/>
          <w:iCs/>
          <w:sz w:val="22"/>
          <w:szCs w:val="22"/>
          <w:lang w:val="sr-Latn-ME"/>
        </w:rPr>
      </w:pPr>
      <w:r w:rsidRPr="00DF79AE">
        <w:rPr>
          <w:i/>
          <w:iCs/>
          <w:sz w:val="22"/>
          <w:szCs w:val="22"/>
          <w:lang w:val="sr-Latn-ME"/>
        </w:rPr>
        <w:t>Reumatoidni artritis</w:t>
      </w:r>
    </w:p>
    <w:p w14:paraId="3692520C" w14:textId="77777777" w:rsidR="000B2A5C" w:rsidRPr="00DF79AE" w:rsidRDefault="000B2A5C" w:rsidP="000B2A5C">
      <w:pPr>
        <w:tabs>
          <w:tab w:val="left" w:pos="284"/>
        </w:tabs>
        <w:autoSpaceDE w:val="0"/>
        <w:autoSpaceDN w:val="0"/>
        <w:adjustRightInd w:val="0"/>
        <w:jc w:val="both"/>
        <w:rPr>
          <w:sz w:val="22"/>
          <w:szCs w:val="22"/>
          <w:lang w:val="sr-Latn-ME"/>
        </w:rPr>
      </w:pPr>
      <w:r w:rsidRPr="00DF79AE">
        <w:rPr>
          <w:sz w:val="22"/>
          <w:szCs w:val="22"/>
          <w:lang w:val="sr-Latn-ME"/>
        </w:rPr>
        <w:t xml:space="preserve">Efikasnost lijeka Simponi dokazana je u tri multicentrična, randomizovana, dvostruko slijepa, placebom kontrolisana ispitivanja s više od 1500 pacijenata u dobi od </w:t>
      </w:r>
      <w:r w:rsidRPr="00DF79AE">
        <w:rPr>
          <w:sz w:val="22"/>
          <w:szCs w:val="22"/>
          <w:lang w:val="sr-Latn-ME"/>
        </w:rPr>
        <w:sym w:font="Symbol" w:char="F0B3"/>
      </w:r>
      <w:r w:rsidRPr="00DF79AE">
        <w:rPr>
          <w:sz w:val="22"/>
          <w:szCs w:val="22"/>
          <w:lang w:val="sr-Latn-ME"/>
        </w:rPr>
        <w:t xml:space="preserve"> 8 godina, kojima je dijagnostikovan umjereno do vrlo aktivan reumatoidni artritis prema kriterijumima American College of Rheumatology </w:t>
      </w:r>
      <w:r w:rsidRPr="00DF79AE">
        <w:rPr>
          <w:sz w:val="22"/>
          <w:szCs w:val="22"/>
          <w:lang w:val="sr-Latn-ME"/>
        </w:rPr>
        <w:lastRenderedPageBreak/>
        <w:t xml:space="preserve">(ACR) najmanje 3 mjeseca prije odabira za ispitivanje. Ovi pacijenti su imali najmanje 4 otečena i 4 bolna zgloba. Lijek Simponi ili placebo primijenjeni su subkutano svake 4 nedjelje. </w:t>
      </w:r>
    </w:p>
    <w:p w14:paraId="26625C7F" w14:textId="77777777" w:rsidR="000B2A5C" w:rsidRPr="00DF79AE" w:rsidRDefault="000B2A5C" w:rsidP="000B2A5C">
      <w:pPr>
        <w:tabs>
          <w:tab w:val="left" w:pos="284"/>
        </w:tabs>
        <w:jc w:val="both"/>
        <w:rPr>
          <w:sz w:val="22"/>
          <w:szCs w:val="22"/>
          <w:lang w:val="sr-Latn-ME"/>
        </w:rPr>
      </w:pPr>
    </w:p>
    <w:p w14:paraId="26832837" w14:textId="77777777" w:rsidR="000B2A5C" w:rsidRPr="00DF79AE" w:rsidRDefault="000B2A5C" w:rsidP="000B2A5C">
      <w:pPr>
        <w:tabs>
          <w:tab w:val="left" w:pos="284"/>
        </w:tabs>
        <w:jc w:val="both"/>
        <w:rPr>
          <w:sz w:val="22"/>
          <w:szCs w:val="22"/>
          <w:lang w:val="sr-Latn-ME"/>
        </w:rPr>
      </w:pPr>
      <w:r w:rsidRPr="00DF79AE">
        <w:rPr>
          <w:sz w:val="22"/>
          <w:szCs w:val="22"/>
          <w:lang w:val="sr-Latn-ME"/>
        </w:rPr>
        <w:t>U ispitivanju GO</w:t>
      </w:r>
      <w:r w:rsidRPr="00DF79AE">
        <w:rPr>
          <w:sz w:val="22"/>
          <w:szCs w:val="22"/>
          <w:lang w:val="sr-Latn-ME"/>
        </w:rPr>
        <w:noBreakHyphen/>
        <w:t>FORWARD, procijenjeno je 444 pacijenta s aktivnim reumatoidnim artritisom uprkos stabilnoj dozi metotreksata (MTX) od najmanje 15 mg nedjeljno, koji prethodno nisu liječeni TNF blokatorom. Pacijenti su randomizovani u grupe koje su primale placebo i MTX, Simponi 50 mg i MTX, Simponi 100 mg i MTX ili Simponi 100 mg i placebo. Pacijenti koji su primali placebo i MTX prebačeni na terapiju lijekom Simponi</w:t>
      </w:r>
      <w:r w:rsidRPr="00DF79AE">
        <w:rPr>
          <w:b/>
          <w:sz w:val="22"/>
          <w:szCs w:val="22"/>
          <w:lang w:val="sr-Latn-ME"/>
        </w:rPr>
        <w:t xml:space="preserve"> </w:t>
      </w:r>
      <w:r w:rsidRPr="00DF79AE">
        <w:rPr>
          <w:sz w:val="22"/>
          <w:szCs w:val="22"/>
          <w:lang w:val="sr-Latn-ME"/>
        </w:rPr>
        <w:t>50 mg i MTX nakon 24. nedjelje. U 52. nedjelji, pacijenti su uključeni u  otvoren, dugotrajan nastavak ispitivanja.</w:t>
      </w:r>
    </w:p>
    <w:p w14:paraId="10AA82AD" w14:textId="77777777" w:rsidR="000B2A5C" w:rsidRPr="00DF79AE" w:rsidRDefault="000B2A5C" w:rsidP="000B2A5C">
      <w:pPr>
        <w:tabs>
          <w:tab w:val="left" w:pos="284"/>
        </w:tabs>
        <w:jc w:val="both"/>
        <w:rPr>
          <w:sz w:val="22"/>
          <w:szCs w:val="22"/>
          <w:lang w:val="sr-Latn-ME"/>
        </w:rPr>
      </w:pPr>
    </w:p>
    <w:p w14:paraId="7863DF44" w14:textId="77777777" w:rsidR="000B2A5C" w:rsidRPr="00DF79AE" w:rsidRDefault="000B2A5C" w:rsidP="000B2A5C">
      <w:pPr>
        <w:tabs>
          <w:tab w:val="left" w:pos="284"/>
        </w:tabs>
        <w:autoSpaceDE w:val="0"/>
        <w:autoSpaceDN w:val="0"/>
        <w:adjustRightInd w:val="0"/>
        <w:jc w:val="both"/>
        <w:rPr>
          <w:sz w:val="22"/>
          <w:szCs w:val="22"/>
          <w:lang w:val="sr-Latn-ME"/>
        </w:rPr>
      </w:pPr>
      <w:r w:rsidRPr="00DF79AE">
        <w:rPr>
          <w:sz w:val="22"/>
          <w:szCs w:val="22"/>
          <w:lang w:val="sr-Latn-ME"/>
        </w:rPr>
        <w:t>U ispitivanju GO</w:t>
      </w:r>
      <w:r w:rsidRPr="00DF79AE">
        <w:rPr>
          <w:sz w:val="22"/>
          <w:szCs w:val="22"/>
          <w:lang w:val="sr-Latn-ME"/>
        </w:rPr>
        <w:noBreakHyphen/>
        <w:t>AFTER, procijenjeno je 445 pacijenata koji su prethodno liječeni jednim ili više TNF blokatora - adalimumabom, etanerceptom ili infliksimabom. Pacijenti su randomizovani u grupe koje su primale placebo, Simponi 50 mg ili Simponi 100 mg. Pacijenti su tokom ispitivanja mogli nastaviti istovremenu DMARD terapiju metotreksatom (MTX), sulfasalazinom (SSZ), i/ili hidroksihlorohinom (HCQ). Kao razlog prekida prethodne terapije TNF blokatorima navedeni su nedovoljna efikasnost (58%), nepodnošenje lijeka (13%) i/ili razlozi koji se ne odnose na bezbjednost ili efikasnost (29%, uglavnom finansijski razlozi).</w:t>
      </w:r>
    </w:p>
    <w:p w14:paraId="2A792B4A" w14:textId="77777777" w:rsidR="000B2A5C" w:rsidRPr="00DF79AE" w:rsidRDefault="000B2A5C" w:rsidP="000B2A5C">
      <w:pPr>
        <w:tabs>
          <w:tab w:val="left" w:pos="284"/>
        </w:tabs>
        <w:jc w:val="both"/>
        <w:rPr>
          <w:sz w:val="22"/>
          <w:szCs w:val="22"/>
          <w:u w:val="single"/>
          <w:lang w:val="sr-Latn-ME"/>
        </w:rPr>
      </w:pPr>
    </w:p>
    <w:p w14:paraId="057E8BD4" w14:textId="77777777" w:rsidR="000B2A5C" w:rsidRPr="00DF79AE" w:rsidRDefault="000B2A5C" w:rsidP="000B2A5C">
      <w:pPr>
        <w:tabs>
          <w:tab w:val="left" w:pos="284"/>
        </w:tabs>
        <w:jc w:val="both"/>
        <w:rPr>
          <w:sz w:val="22"/>
          <w:szCs w:val="22"/>
          <w:lang w:val="sr-Latn-ME"/>
        </w:rPr>
      </w:pPr>
      <w:r w:rsidRPr="00DF79AE">
        <w:rPr>
          <w:sz w:val="22"/>
          <w:szCs w:val="22"/>
          <w:lang w:val="sr-Latn-ME"/>
        </w:rPr>
        <w:t>U ispitivanju GO</w:t>
      </w:r>
      <w:r w:rsidRPr="00DF79AE">
        <w:rPr>
          <w:sz w:val="22"/>
          <w:szCs w:val="22"/>
          <w:lang w:val="sr-Latn-ME"/>
        </w:rPr>
        <w:noBreakHyphen/>
        <w:t>BEFORE, procijenjeno je 637 pacijenata s aktivnim reumatoidnim artritisom koji prethodno nisu primali MTX niti su prethodno liječeni TNF blokatorima. Pacijenti su randomizovani u grupe koje su primale placebo i MTX, Simponi 50 mg i MTX, Simponi 100 mg i MTX ili Simponi 100 mg i placebo. U 52. nedjelji pacijenti su uključeni u otvoren, dugotrajan nastavak ispitivanja u kojem su pacijenti, koji su primali placebo i MTX i koji su imali najmanje 1 bolan ili otečen zglob, prebačeni na terapiju lijekom Simponi 50 mg i MTX.</w:t>
      </w:r>
    </w:p>
    <w:p w14:paraId="62C7049A" w14:textId="77777777" w:rsidR="000B2A5C" w:rsidRPr="00DF79AE" w:rsidRDefault="000B2A5C" w:rsidP="000B2A5C">
      <w:pPr>
        <w:tabs>
          <w:tab w:val="left" w:pos="284"/>
        </w:tabs>
        <w:jc w:val="both"/>
        <w:rPr>
          <w:sz w:val="22"/>
          <w:szCs w:val="22"/>
          <w:u w:val="single"/>
          <w:lang w:val="sr-Latn-ME"/>
        </w:rPr>
      </w:pPr>
    </w:p>
    <w:p w14:paraId="080877D1" w14:textId="6A1D69B8" w:rsidR="000B2A5C" w:rsidRPr="00DF79AE" w:rsidRDefault="000B2A5C" w:rsidP="000B2A5C">
      <w:pPr>
        <w:tabs>
          <w:tab w:val="left" w:pos="284"/>
        </w:tabs>
        <w:autoSpaceDE w:val="0"/>
        <w:autoSpaceDN w:val="0"/>
        <w:adjustRightInd w:val="0"/>
        <w:jc w:val="both"/>
        <w:rPr>
          <w:sz w:val="22"/>
          <w:szCs w:val="22"/>
          <w:lang w:val="sr-Latn-ME"/>
        </w:rPr>
      </w:pPr>
      <w:r w:rsidRPr="00DF79AE">
        <w:rPr>
          <w:sz w:val="22"/>
          <w:szCs w:val="22"/>
          <w:lang w:val="sr-Latn-ME"/>
        </w:rPr>
        <w:t>U ispitivanju GO</w:t>
      </w:r>
      <w:r w:rsidRPr="00DF79AE">
        <w:rPr>
          <w:sz w:val="22"/>
          <w:szCs w:val="22"/>
          <w:lang w:val="sr-Latn-ME"/>
        </w:rPr>
        <w:noBreakHyphen/>
        <w:t xml:space="preserve">FORWARD, jedan od dva primarna </w:t>
      </w:r>
      <w:r w:rsidR="00A06D4D">
        <w:rPr>
          <w:sz w:val="22"/>
          <w:szCs w:val="22"/>
          <w:lang w:val="sr-Latn-ME"/>
        </w:rPr>
        <w:t>parametra praćenja</w:t>
      </w:r>
      <w:r w:rsidR="00A06D4D" w:rsidRPr="00DF79AE">
        <w:rPr>
          <w:sz w:val="22"/>
          <w:szCs w:val="22"/>
          <w:lang w:val="sr-Latn-ME"/>
        </w:rPr>
        <w:t xml:space="preserve"> </w:t>
      </w:r>
      <w:r w:rsidRPr="00DF79AE">
        <w:rPr>
          <w:sz w:val="22"/>
          <w:szCs w:val="22"/>
          <w:lang w:val="sr-Latn-ME"/>
        </w:rPr>
        <w:t>bio je procenat pacijenata koji su postigli  odgovor ACR 20 u 14. nedjelji i poboljšanje u odnosu na početne rezultate u Upitniku procjene zdravlja (Health Assessment Questionnaire - HAQ) u 24. nedjelji. U ispitivanju GO</w:t>
      </w:r>
      <w:r w:rsidRPr="00DF79AE">
        <w:rPr>
          <w:sz w:val="22"/>
          <w:szCs w:val="22"/>
          <w:lang w:val="sr-Latn-ME"/>
        </w:rPr>
        <w:noBreakHyphen/>
        <w:t xml:space="preserve">AFTER, primarni </w:t>
      </w:r>
      <w:r w:rsidR="00A06D4D">
        <w:rPr>
          <w:sz w:val="22"/>
          <w:szCs w:val="22"/>
          <w:lang w:val="sr-Latn-ME"/>
        </w:rPr>
        <w:t>parametar praćenja</w:t>
      </w:r>
      <w:r w:rsidR="00A06D4D" w:rsidRPr="00DF79AE">
        <w:rPr>
          <w:sz w:val="22"/>
          <w:szCs w:val="22"/>
          <w:lang w:val="sr-Latn-ME"/>
        </w:rPr>
        <w:t xml:space="preserve"> </w:t>
      </w:r>
      <w:r w:rsidRPr="00DF79AE">
        <w:rPr>
          <w:sz w:val="22"/>
          <w:szCs w:val="22"/>
          <w:lang w:val="sr-Latn-ME"/>
        </w:rPr>
        <w:t>bio je procenat pacijenata koji su postigli odgovor ACR 20 u 14. nedjelji. U ispitivanju GO</w:t>
      </w:r>
      <w:r w:rsidRPr="00DF79AE">
        <w:rPr>
          <w:sz w:val="22"/>
          <w:szCs w:val="22"/>
          <w:lang w:val="sr-Latn-ME"/>
        </w:rPr>
        <w:noBreakHyphen/>
        <w:t xml:space="preserve">BEFORE, jedan od dva primarna </w:t>
      </w:r>
      <w:r w:rsidR="00A06D4D" w:rsidRPr="00A06D4D">
        <w:rPr>
          <w:sz w:val="22"/>
          <w:szCs w:val="22"/>
          <w:lang w:val="sr-Latn-ME"/>
        </w:rPr>
        <w:t xml:space="preserve">parametra praćenja </w:t>
      </w:r>
      <w:r w:rsidRPr="00DF79AE">
        <w:rPr>
          <w:sz w:val="22"/>
          <w:szCs w:val="22"/>
          <w:lang w:val="sr-Latn-ME"/>
        </w:rPr>
        <w:t xml:space="preserve">bio je procenat pacijenata koji su postigli odgovor ACR 50 u 24. nedjelji i promjenu u odnosu na početni rezultat na Sharp-ovoj skali modifikovanoj po van der Heijde-u (vdH-S) u 52. nedjelji. Uz primarne </w:t>
      </w:r>
      <w:r w:rsidR="00A06D4D">
        <w:rPr>
          <w:sz w:val="22"/>
          <w:szCs w:val="22"/>
          <w:lang w:val="sr-Latn-ME"/>
        </w:rPr>
        <w:t>parametre</w:t>
      </w:r>
      <w:r w:rsidR="00A06D4D" w:rsidRPr="00A06D4D">
        <w:rPr>
          <w:sz w:val="22"/>
          <w:szCs w:val="22"/>
          <w:lang w:val="sr-Latn-ME"/>
        </w:rPr>
        <w:t xml:space="preserve"> praćenja</w:t>
      </w:r>
      <w:r w:rsidRPr="00DF79AE">
        <w:rPr>
          <w:sz w:val="22"/>
          <w:szCs w:val="22"/>
          <w:lang w:val="sr-Latn-ME"/>
        </w:rPr>
        <w:t xml:space="preserve">, obavljene su i dodatne procjene uticaja liječenja lijekom Simponi na znakove i simptome artritisa, radiografski odgovor, fizičku funkciju i zdravstveni aspekt kvaliteta života. </w:t>
      </w:r>
    </w:p>
    <w:p w14:paraId="47E947AB" w14:textId="77777777" w:rsidR="000B2A5C" w:rsidRPr="00DF79AE" w:rsidRDefault="000B2A5C" w:rsidP="000B2A5C">
      <w:pPr>
        <w:tabs>
          <w:tab w:val="left" w:pos="284"/>
        </w:tabs>
        <w:jc w:val="both"/>
        <w:rPr>
          <w:sz w:val="22"/>
          <w:szCs w:val="22"/>
          <w:lang w:val="sr-Latn-ME"/>
        </w:rPr>
      </w:pPr>
      <w:r w:rsidRPr="00DF79AE">
        <w:rPr>
          <w:sz w:val="22"/>
          <w:szCs w:val="22"/>
          <w:lang w:val="sr-Latn-ME"/>
        </w:rPr>
        <w:t>Uopšte gledano, nisu zabilježene klinički značajne razlike u mjerilima efikasnosti između režima doziranja lijeka Simponi od 50 mg i 100 mg, uz istovremeno primijenjeni MTX do kraja 104. nedjelje u GO-FORWARD i GO-BEFORE ispitivanju, kao i do kraja 24. nedjelje u GO-AFTER ispitivanju. U svakoj od studija koje su ispitivale RA, prema dizajnu studije, pacijenti uključeni u dugoročnu ektenziju su mogli biti prebačeni sa doze 50 mg na dozu 100 mg lijeka Simponi na osnovu odluke studijskog ljekara.</w:t>
      </w:r>
    </w:p>
    <w:p w14:paraId="5B6F548B" w14:textId="77777777" w:rsidR="000B2A5C" w:rsidRPr="00DF79AE" w:rsidRDefault="000B2A5C" w:rsidP="000B2A5C">
      <w:pPr>
        <w:tabs>
          <w:tab w:val="left" w:pos="284"/>
        </w:tabs>
        <w:autoSpaceDE w:val="0"/>
        <w:autoSpaceDN w:val="0"/>
        <w:adjustRightInd w:val="0"/>
        <w:jc w:val="both"/>
        <w:rPr>
          <w:sz w:val="22"/>
          <w:szCs w:val="22"/>
          <w:lang w:val="sr-Latn-ME"/>
        </w:rPr>
      </w:pPr>
    </w:p>
    <w:p w14:paraId="590B4823" w14:textId="77777777" w:rsidR="000B2A5C" w:rsidRPr="00DF79AE" w:rsidRDefault="000B2A5C" w:rsidP="000B2A5C">
      <w:pPr>
        <w:tabs>
          <w:tab w:val="left" w:pos="284"/>
        </w:tabs>
        <w:autoSpaceDE w:val="0"/>
        <w:autoSpaceDN w:val="0"/>
        <w:adjustRightInd w:val="0"/>
        <w:jc w:val="both"/>
        <w:rPr>
          <w:i/>
          <w:iCs/>
          <w:sz w:val="22"/>
          <w:szCs w:val="22"/>
          <w:u w:val="single"/>
          <w:lang w:val="sr-Latn-ME"/>
        </w:rPr>
      </w:pPr>
      <w:r w:rsidRPr="00DF79AE">
        <w:rPr>
          <w:i/>
          <w:iCs/>
          <w:sz w:val="22"/>
          <w:szCs w:val="22"/>
          <w:u w:val="single"/>
          <w:lang w:val="sr-Latn-ME"/>
        </w:rPr>
        <w:t>Znaci i simptomi</w:t>
      </w:r>
    </w:p>
    <w:p w14:paraId="20DB5948" w14:textId="77777777" w:rsidR="000B2A5C" w:rsidRPr="00DF79AE" w:rsidRDefault="000B2A5C" w:rsidP="000B2A5C">
      <w:pPr>
        <w:tabs>
          <w:tab w:val="left" w:pos="284"/>
        </w:tabs>
        <w:autoSpaceDE w:val="0"/>
        <w:autoSpaceDN w:val="0"/>
        <w:adjustRightInd w:val="0"/>
        <w:jc w:val="both"/>
        <w:rPr>
          <w:sz w:val="22"/>
          <w:szCs w:val="22"/>
          <w:lang w:val="sr-Latn-ME"/>
        </w:rPr>
      </w:pPr>
      <w:r w:rsidRPr="00DF79AE">
        <w:rPr>
          <w:sz w:val="22"/>
          <w:szCs w:val="22"/>
          <w:lang w:val="sr-Latn-ME"/>
        </w:rPr>
        <w:t>Ključni rezultati prema ACR kriterijumima za dozu od 50 mg u 14., 24., i 52. nedjelji za ispitivanja GO</w:t>
      </w:r>
      <w:r w:rsidRPr="00DF79AE">
        <w:rPr>
          <w:sz w:val="22"/>
          <w:szCs w:val="22"/>
          <w:lang w:val="sr-Latn-ME"/>
        </w:rPr>
        <w:noBreakHyphen/>
        <w:t xml:space="preserve">FORWARD, GO-AFTER i GO-BEFORE prikazani su Tabeli 2 i opisani u nastavku. Odgovori na liječenje primijećeni su već pri prvoj kontroli (u 4. nedjelji) nakon početne primjene lijeka Simponi. </w:t>
      </w:r>
    </w:p>
    <w:p w14:paraId="19FCEE95" w14:textId="77777777" w:rsidR="000B2A5C" w:rsidRPr="00DF79AE" w:rsidRDefault="000B2A5C" w:rsidP="000B2A5C">
      <w:pPr>
        <w:tabs>
          <w:tab w:val="left" w:pos="284"/>
        </w:tabs>
        <w:autoSpaceDE w:val="0"/>
        <w:autoSpaceDN w:val="0"/>
        <w:adjustRightInd w:val="0"/>
        <w:jc w:val="both"/>
        <w:rPr>
          <w:sz w:val="22"/>
          <w:szCs w:val="22"/>
          <w:lang w:val="sr-Latn-ME"/>
        </w:rPr>
      </w:pPr>
    </w:p>
    <w:p w14:paraId="1759924A" w14:textId="77777777" w:rsidR="000B2A5C" w:rsidRPr="00DF79AE" w:rsidRDefault="000B2A5C" w:rsidP="000B2A5C">
      <w:pPr>
        <w:tabs>
          <w:tab w:val="left" w:pos="284"/>
        </w:tabs>
        <w:autoSpaceDE w:val="0"/>
        <w:autoSpaceDN w:val="0"/>
        <w:adjustRightInd w:val="0"/>
        <w:jc w:val="both"/>
        <w:rPr>
          <w:sz w:val="22"/>
          <w:szCs w:val="22"/>
          <w:lang w:val="sr-Latn-ME"/>
        </w:rPr>
      </w:pPr>
      <w:r w:rsidRPr="00DF79AE">
        <w:rPr>
          <w:sz w:val="22"/>
          <w:szCs w:val="22"/>
          <w:lang w:val="sr-Latn-ME"/>
        </w:rPr>
        <w:t>U ispitivanju GO-FORWARD, od 89 ispitanika koji su randomizovani u grupu koja je primala Simponi 50 mg i MTX, njih 48 su još uvijek primali ovu terapiju u 104. nedjelji. Od ovih pacijenata, 40, 33 i 24 su imali odgovor ACR 20/50/70, respektivno, u 104. nedjelji. Među pacijentima koji su ostali uključeni u studiju i liječeni lijekom Simponi, slične stope odgovora ACR20/50/70 su zabilježene od 104. nedjelje do kraja 256. nedjelje.</w:t>
      </w:r>
    </w:p>
    <w:p w14:paraId="624DD149" w14:textId="77777777" w:rsidR="000B2A5C" w:rsidRPr="00DF79AE" w:rsidRDefault="000B2A5C" w:rsidP="000B2A5C">
      <w:pPr>
        <w:tabs>
          <w:tab w:val="left" w:pos="284"/>
        </w:tabs>
        <w:jc w:val="both"/>
        <w:rPr>
          <w:sz w:val="22"/>
          <w:szCs w:val="22"/>
          <w:lang w:val="sr-Latn-ME"/>
        </w:rPr>
      </w:pPr>
    </w:p>
    <w:p w14:paraId="5E62C465" w14:textId="77777777" w:rsidR="000B2A5C" w:rsidRPr="00DF79AE" w:rsidRDefault="000B2A5C" w:rsidP="000B2A5C">
      <w:pPr>
        <w:tabs>
          <w:tab w:val="left" w:pos="284"/>
        </w:tabs>
        <w:jc w:val="both"/>
        <w:rPr>
          <w:sz w:val="22"/>
          <w:szCs w:val="22"/>
          <w:lang w:val="sr-Latn-ME"/>
        </w:rPr>
      </w:pPr>
      <w:r w:rsidRPr="00DF79AE">
        <w:rPr>
          <w:sz w:val="22"/>
          <w:szCs w:val="22"/>
          <w:lang w:val="sr-Latn-ME"/>
        </w:rPr>
        <w:t>U studiji GO</w:t>
      </w:r>
      <w:r w:rsidRPr="00DF79AE">
        <w:rPr>
          <w:sz w:val="22"/>
          <w:szCs w:val="22"/>
          <w:lang w:val="sr-Latn-ME"/>
        </w:rPr>
        <w:noBreakHyphen/>
        <w:t xml:space="preserve">AFTER, procenat pacijenata koji su postigli odgovor ACR 20 bio je veći u grupi koja je primala Simponi nego u grupi koja je primala placebo, bez obzira na navedeni razlog za prekid liječenja prethodnim TNF blokatorom ili blokatorima. </w:t>
      </w:r>
    </w:p>
    <w:p w14:paraId="0E153F98" w14:textId="77777777" w:rsidR="000B2A5C" w:rsidRPr="00DF79AE" w:rsidRDefault="000B2A5C" w:rsidP="000B2A5C">
      <w:pPr>
        <w:tabs>
          <w:tab w:val="left" w:pos="284"/>
        </w:tabs>
        <w:jc w:val="both"/>
        <w:rPr>
          <w:i/>
          <w:sz w:val="22"/>
          <w:szCs w:val="22"/>
          <w:lang w:val="sr-Latn-ME"/>
        </w:rPr>
      </w:pPr>
    </w:p>
    <w:p w14:paraId="60356915" w14:textId="6DEFAE39" w:rsidR="000B2A5C" w:rsidRDefault="000B2A5C" w:rsidP="000B2A5C">
      <w:pPr>
        <w:tabs>
          <w:tab w:val="left" w:pos="284"/>
        </w:tabs>
        <w:jc w:val="both"/>
        <w:rPr>
          <w:i/>
          <w:sz w:val="22"/>
          <w:szCs w:val="22"/>
          <w:lang w:val="sr-Latn-ME"/>
        </w:rPr>
      </w:pPr>
    </w:p>
    <w:p w14:paraId="1EFBB8D2" w14:textId="28DA65B4" w:rsidR="00F42F66" w:rsidRDefault="00F42F66" w:rsidP="000B2A5C">
      <w:pPr>
        <w:tabs>
          <w:tab w:val="left" w:pos="284"/>
        </w:tabs>
        <w:jc w:val="both"/>
        <w:rPr>
          <w:i/>
          <w:sz w:val="22"/>
          <w:szCs w:val="22"/>
          <w:lang w:val="sr-Latn-ME"/>
        </w:rPr>
      </w:pPr>
    </w:p>
    <w:p w14:paraId="5D7C65E2" w14:textId="77777777" w:rsidR="00F42F66" w:rsidRPr="00DF79AE" w:rsidRDefault="00F42F66" w:rsidP="000B2A5C">
      <w:pPr>
        <w:tabs>
          <w:tab w:val="left" w:pos="284"/>
        </w:tabs>
        <w:jc w:val="both"/>
        <w:rPr>
          <w:i/>
          <w:sz w:val="22"/>
          <w:szCs w:val="22"/>
          <w:lang w:val="sr-Latn-ME"/>
        </w:rPr>
      </w:pPr>
    </w:p>
    <w:p w14:paraId="7C0D33AD" w14:textId="77777777" w:rsidR="000B2A5C" w:rsidRPr="00DF79AE" w:rsidRDefault="000B2A5C" w:rsidP="000B2A5C">
      <w:pPr>
        <w:tabs>
          <w:tab w:val="left" w:pos="284"/>
        </w:tabs>
        <w:jc w:val="both"/>
        <w:rPr>
          <w:i/>
          <w:sz w:val="22"/>
          <w:szCs w:val="22"/>
          <w:lang w:val="sr-Latn-ME"/>
        </w:rPr>
      </w:pPr>
    </w:p>
    <w:p w14:paraId="21846704" w14:textId="77777777" w:rsidR="000B2A5C" w:rsidRPr="00DF79AE" w:rsidRDefault="000B2A5C" w:rsidP="000B2A5C">
      <w:pPr>
        <w:tabs>
          <w:tab w:val="left" w:pos="284"/>
        </w:tabs>
        <w:jc w:val="center"/>
        <w:rPr>
          <w:b/>
          <w:sz w:val="22"/>
          <w:szCs w:val="22"/>
          <w:lang w:val="sr-Latn-ME"/>
        </w:rPr>
      </w:pPr>
      <w:r w:rsidRPr="00DF79AE">
        <w:rPr>
          <w:b/>
          <w:sz w:val="22"/>
          <w:szCs w:val="22"/>
          <w:lang w:val="sr-Latn-ME"/>
        </w:rPr>
        <w:t>Tabela 2</w:t>
      </w:r>
    </w:p>
    <w:p w14:paraId="6F70BEF8" w14:textId="77777777" w:rsidR="000B2A5C" w:rsidRPr="00DF79AE" w:rsidRDefault="000B2A5C" w:rsidP="000B2A5C">
      <w:pPr>
        <w:tabs>
          <w:tab w:val="left" w:pos="284"/>
        </w:tabs>
        <w:jc w:val="center"/>
        <w:rPr>
          <w:b/>
          <w:sz w:val="22"/>
          <w:szCs w:val="22"/>
          <w:lang w:val="sr-Latn-ME"/>
        </w:rPr>
      </w:pPr>
      <w:r w:rsidRPr="00DF79AE">
        <w:rPr>
          <w:b/>
          <w:sz w:val="22"/>
          <w:szCs w:val="22"/>
          <w:lang w:val="sr-Latn-ME"/>
        </w:rPr>
        <w:t>Ključni rezultati efikasnosti iz ispitivanja GO</w:t>
      </w:r>
      <w:r w:rsidRPr="00DF79AE">
        <w:rPr>
          <w:b/>
          <w:sz w:val="22"/>
          <w:szCs w:val="22"/>
          <w:lang w:val="sr-Latn-ME"/>
        </w:rPr>
        <w:noBreakHyphen/>
        <w:t>FORWARD i GO</w:t>
      </w:r>
      <w:r w:rsidRPr="00DF79AE">
        <w:rPr>
          <w:b/>
          <w:sz w:val="22"/>
          <w:szCs w:val="22"/>
          <w:lang w:val="sr-Latn-ME"/>
        </w:rPr>
        <w:noBreakHyphen/>
        <w:t>AFTER i GO-BEFORE.</w:t>
      </w:r>
    </w:p>
    <w:p w14:paraId="535B2AFA" w14:textId="77777777" w:rsidR="000B2A5C" w:rsidRPr="00DF79AE" w:rsidRDefault="000B2A5C" w:rsidP="000B2A5C">
      <w:pPr>
        <w:tabs>
          <w:tab w:val="left" w:pos="284"/>
        </w:tabs>
        <w:jc w:val="center"/>
        <w:rPr>
          <w:sz w:val="22"/>
          <w:szCs w:val="22"/>
          <w:lang w:val="sr-Latn-ME"/>
        </w:rPr>
      </w:pPr>
    </w:p>
    <w:p w14:paraId="0A423650" w14:textId="77777777" w:rsidR="000B2A5C" w:rsidRPr="00DF79AE" w:rsidRDefault="000B2A5C" w:rsidP="000B2A5C">
      <w:pPr>
        <w:tabs>
          <w:tab w:val="left" w:pos="284"/>
        </w:tabs>
        <w:jc w:val="center"/>
        <w:rPr>
          <w:sz w:val="22"/>
          <w:szCs w:val="22"/>
          <w:lang w:val="sr-Latn-ME"/>
        </w:rPr>
      </w:pPr>
    </w:p>
    <w:tbl>
      <w:tblPr>
        <w:tblW w:w="75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
        <w:gridCol w:w="1090"/>
        <w:gridCol w:w="1118"/>
        <w:gridCol w:w="1080"/>
        <w:gridCol w:w="1118"/>
        <w:gridCol w:w="927"/>
        <w:gridCol w:w="1118"/>
      </w:tblGrid>
      <w:tr w:rsidR="000B2A5C" w:rsidRPr="00DF79AE" w14:paraId="422A524F" w14:textId="77777777" w:rsidTr="00BC1FCA">
        <w:trPr>
          <w:cantSplit/>
          <w:jc w:val="center"/>
        </w:trPr>
        <w:tc>
          <w:tcPr>
            <w:tcW w:w="1061" w:type="dxa"/>
            <w:vMerge w:val="restart"/>
            <w:tcBorders>
              <w:top w:val="single" w:sz="4" w:space="0" w:color="auto"/>
              <w:left w:val="single" w:sz="4" w:space="0" w:color="auto"/>
              <w:right w:val="single" w:sz="4" w:space="0" w:color="auto"/>
            </w:tcBorders>
          </w:tcPr>
          <w:p w14:paraId="292A4ED7" w14:textId="77777777" w:rsidR="000B2A5C" w:rsidRPr="00DF79AE" w:rsidRDefault="000B2A5C" w:rsidP="00BC1FCA">
            <w:pPr>
              <w:tabs>
                <w:tab w:val="left" w:pos="284"/>
              </w:tabs>
              <w:rPr>
                <w:sz w:val="22"/>
                <w:szCs w:val="22"/>
                <w:lang w:val="sr-Latn-ME"/>
              </w:rPr>
            </w:pPr>
          </w:p>
        </w:tc>
        <w:tc>
          <w:tcPr>
            <w:tcW w:w="2208" w:type="dxa"/>
            <w:gridSpan w:val="2"/>
            <w:tcBorders>
              <w:top w:val="single" w:sz="4" w:space="0" w:color="auto"/>
              <w:left w:val="single" w:sz="4" w:space="0" w:color="auto"/>
              <w:bottom w:val="single" w:sz="4" w:space="0" w:color="auto"/>
              <w:right w:val="single" w:sz="4" w:space="0" w:color="auto"/>
            </w:tcBorders>
          </w:tcPr>
          <w:p w14:paraId="571F5549" w14:textId="77777777" w:rsidR="000B2A5C" w:rsidRPr="00DF79AE" w:rsidRDefault="000B2A5C" w:rsidP="00BC1FCA">
            <w:pPr>
              <w:tabs>
                <w:tab w:val="left" w:pos="284"/>
              </w:tabs>
              <w:rPr>
                <w:sz w:val="22"/>
                <w:szCs w:val="22"/>
                <w:lang w:val="sr-Latn-ME"/>
              </w:rPr>
            </w:pPr>
            <w:r w:rsidRPr="00DF79AE">
              <w:rPr>
                <w:sz w:val="22"/>
                <w:szCs w:val="22"/>
                <w:lang w:val="sr-Latn-ME"/>
              </w:rPr>
              <w:t>GO</w:t>
            </w:r>
            <w:r w:rsidRPr="00DF79AE">
              <w:rPr>
                <w:sz w:val="22"/>
                <w:szCs w:val="22"/>
                <w:lang w:val="sr-Latn-ME"/>
              </w:rPr>
              <w:noBreakHyphen/>
              <w:t>FORWARD</w:t>
            </w:r>
          </w:p>
          <w:p w14:paraId="6817C0C9" w14:textId="77777777" w:rsidR="000B2A5C" w:rsidRPr="00DF79AE" w:rsidRDefault="000B2A5C" w:rsidP="00BC1FCA">
            <w:pPr>
              <w:tabs>
                <w:tab w:val="left" w:pos="284"/>
              </w:tabs>
              <w:rPr>
                <w:sz w:val="22"/>
                <w:szCs w:val="22"/>
                <w:lang w:val="sr-Latn-ME"/>
              </w:rPr>
            </w:pPr>
            <w:r w:rsidRPr="00DF79AE">
              <w:rPr>
                <w:sz w:val="22"/>
                <w:szCs w:val="22"/>
                <w:lang w:val="sr-Latn-ME"/>
              </w:rPr>
              <w:t>Aktivni RA uprkos uzimanju MTX</w:t>
            </w:r>
          </w:p>
        </w:tc>
        <w:tc>
          <w:tcPr>
            <w:tcW w:w="2198" w:type="dxa"/>
            <w:gridSpan w:val="2"/>
            <w:tcBorders>
              <w:top w:val="single" w:sz="4" w:space="0" w:color="auto"/>
              <w:left w:val="single" w:sz="4" w:space="0" w:color="auto"/>
              <w:bottom w:val="single" w:sz="4" w:space="0" w:color="auto"/>
              <w:right w:val="single" w:sz="4" w:space="0" w:color="auto"/>
            </w:tcBorders>
          </w:tcPr>
          <w:p w14:paraId="724BD51B" w14:textId="77777777" w:rsidR="000B2A5C" w:rsidRPr="00DF79AE" w:rsidRDefault="000B2A5C" w:rsidP="00BC1FCA">
            <w:pPr>
              <w:tabs>
                <w:tab w:val="left" w:pos="284"/>
              </w:tabs>
              <w:rPr>
                <w:sz w:val="22"/>
                <w:szCs w:val="22"/>
                <w:lang w:val="sr-Latn-ME"/>
              </w:rPr>
            </w:pPr>
            <w:r w:rsidRPr="00DF79AE">
              <w:rPr>
                <w:sz w:val="22"/>
                <w:szCs w:val="22"/>
                <w:lang w:val="sr-Latn-ME"/>
              </w:rPr>
              <w:t>GO</w:t>
            </w:r>
            <w:r w:rsidRPr="00DF79AE">
              <w:rPr>
                <w:sz w:val="22"/>
                <w:szCs w:val="22"/>
                <w:lang w:val="sr-Latn-ME"/>
              </w:rPr>
              <w:noBreakHyphen/>
              <w:t>AFTER</w:t>
            </w:r>
          </w:p>
          <w:p w14:paraId="623B50D6" w14:textId="77777777" w:rsidR="000B2A5C" w:rsidRPr="00DF79AE" w:rsidRDefault="000B2A5C" w:rsidP="00BC1FCA">
            <w:pPr>
              <w:tabs>
                <w:tab w:val="left" w:pos="284"/>
              </w:tabs>
              <w:rPr>
                <w:sz w:val="22"/>
                <w:szCs w:val="22"/>
                <w:lang w:val="sr-Latn-ME"/>
              </w:rPr>
            </w:pPr>
            <w:r w:rsidRPr="00DF79AE">
              <w:rPr>
                <w:sz w:val="22"/>
                <w:szCs w:val="22"/>
                <w:lang w:val="sr-Latn-ME"/>
              </w:rPr>
              <w:t>Aktivni RA, prethodno liječen jednim ili više TNF blokatora</w:t>
            </w:r>
          </w:p>
        </w:tc>
        <w:tc>
          <w:tcPr>
            <w:tcW w:w="2045" w:type="dxa"/>
            <w:gridSpan w:val="2"/>
            <w:shd w:val="clear" w:color="auto" w:fill="auto"/>
          </w:tcPr>
          <w:p w14:paraId="18990E77" w14:textId="77777777" w:rsidR="000B2A5C" w:rsidRPr="00DF79AE" w:rsidRDefault="000B2A5C" w:rsidP="00BC1FCA">
            <w:pPr>
              <w:tabs>
                <w:tab w:val="left" w:pos="284"/>
              </w:tabs>
              <w:rPr>
                <w:sz w:val="22"/>
                <w:szCs w:val="22"/>
                <w:lang w:val="sr-Latn-ME"/>
              </w:rPr>
            </w:pPr>
            <w:r w:rsidRPr="00DF79AE">
              <w:rPr>
                <w:sz w:val="22"/>
                <w:szCs w:val="22"/>
                <w:lang w:val="sr-Latn-ME"/>
              </w:rPr>
              <w:t>GO</w:t>
            </w:r>
            <w:r w:rsidRPr="00DF79AE">
              <w:rPr>
                <w:sz w:val="22"/>
                <w:szCs w:val="22"/>
                <w:lang w:val="sr-Latn-ME"/>
              </w:rPr>
              <w:noBreakHyphen/>
              <w:t>BEFORE</w:t>
            </w:r>
          </w:p>
          <w:p w14:paraId="42CCB436" w14:textId="77777777" w:rsidR="000B2A5C" w:rsidRPr="00DF79AE" w:rsidRDefault="000B2A5C" w:rsidP="00BC1FCA">
            <w:pPr>
              <w:rPr>
                <w:sz w:val="22"/>
                <w:szCs w:val="22"/>
                <w:lang w:val="sr-Latn-ME"/>
              </w:rPr>
            </w:pPr>
            <w:r w:rsidRPr="00DF79AE">
              <w:rPr>
                <w:sz w:val="22"/>
                <w:szCs w:val="22"/>
                <w:lang w:val="sr-Latn-ME"/>
              </w:rPr>
              <w:t>Aktivni RA, koji prethodno nije liječen MTX</w:t>
            </w:r>
          </w:p>
        </w:tc>
      </w:tr>
      <w:tr w:rsidR="000B2A5C" w:rsidRPr="00DF79AE" w14:paraId="0C849B0E" w14:textId="77777777" w:rsidTr="00BC1FCA">
        <w:trPr>
          <w:cantSplit/>
          <w:jc w:val="center"/>
        </w:trPr>
        <w:tc>
          <w:tcPr>
            <w:tcW w:w="1061" w:type="dxa"/>
            <w:vMerge/>
            <w:tcBorders>
              <w:left w:val="single" w:sz="4" w:space="0" w:color="auto"/>
              <w:bottom w:val="single" w:sz="4" w:space="0" w:color="auto"/>
              <w:right w:val="single" w:sz="4" w:space="0" w:color="auto"/>
            </w:tcBorders>
            <w:vAlign w:val="bottom"/>
          </w:tcPr>
          <w:p w14:paraId="6CA4809B" w14:textId="77777777" w:rsidR="000B2A5C" w:rsidRPr="00DF79AE" w:rsidRDefault="000B2A5C" w:rsidP="00BC1FCA">
            <w:pPr>
              <w:tabs>
                <w:tab w:val="left" w:pos="284"/>
              </w:tabs>
              <w:rPr>
                <w:sz w:val="22"/>
                <w:szCs w:val="22"/>
                <w:lang w:val="sr-Latn-ME"/>
              </w:rPr>
            </w:pPr>
          </w:p>
        </w:tc>
        <w:tc>
          <w:tcPr>
            <w:tcW w:w="1090" w:type="dxa"/>
            <w:tcBorders>
              <w:top w:val="single" w:sz="4" w:space="0" w:color="auto"/>
              <w:left w:val="single" w:sz="4" w:space="0" w:color="auto"/>
              <w:bottom w:val="single" w:sz="4" w:space="0" w:color="auto"/>
              <w:right w:val="single" w:sz="4" w:space="0" w:color="auto"/>
            </w:tcBorders>
            <w:vAlign w:val="bottom"/>
          </w:tcPr>
          <w:p w14:paraId="7DE6A753" w14:textId="77777777" w:rsidR="000B2A5C" w:rsidRPr="00DF79AE" w:rsidRDefault="000B2A5C" w:rsidP="00BC1FCA">
            <w:pPr>
              <w:tabs>
                <w:tab w:val="left" w:pos="284"/>
              </w:tabs>
              <w:rPr>
                <w:sz w:val="22"/>
                <w:szCs w:val="22"/>
                <w:lang w:val="sr-Latn-ME"/>
              </w:rPr>
            </w:pPr>
            <w:r w:rsidRPr="00DF79AE">
              <w:rPr>
                <w:sz w:val="22"/>
                <w:szCs w:val="22"/>
                <w:lang w:val="sr-Latn-ME"/>
              </w:rPr>
              <w:t>Placebo</w:t>
            </w:r>
          </w:p>
          <w:p w14:paraId="14AE2672" w14:textId="77777777" w:rsidR="000B2A5C" w:rsidRPr="00DF79AE" w:rsidRDefault="000B2A5C" w:rsidP="00BC1FCA">
            <w:pPr>
              <w:tabs>
                <w:tab w:val="left" w:pos="284"/>
              </w:tabs>
              <w:rPr>
                <w:sz w:val="22"/>
                <w:szCs w:val="22"/>
                <w:lang w:val="sr-Latn-ME"/>
              </w:rPr>
            </w:pPr>
            <w:r w:rsidRPr="00DF79AE">
              <w:rPr>
                <w:sz w:val="22"/>
                <w:szCs w:val="22"/>
                <w:lang w:val="sr-Latn-ME"/>
              </w:rPr>
              <w:t>+</w:t>
            </w:r>
          </w:p>
          <w:p w14:paraId="7805B0A9" w14:textId="77777777" w:rsidR="000B2A5C" w:rsidRPr="00DF79AE" w:rsidRDefault="000B2A5C" w:rsidP="00BC1FCA">
            <w:pPr>
              <w:tabs>
                <w:tab w:val="left" w:pos="284"/>
              </w:tabs>
              <w:rPr>
                <w:sz w:val="22"/>
                <w:szCs w:val="22"/>
                <w:lang w:val="sr-Latn-ME"/>
              </w:rPr>
            </w:pPr>
            <w:r w:rsidRPr="00DF79AE">
              <w:rPr>
                <w:sz w:val="22"/>
                <w:szCs w:val="22"/>
                <w:lang w:val="sr-Latn-ME"/>
              </w:rPr>
              <w:t>MTX</w:t>
            </w:r>
          </w:p>
        </w:tc>
        <w:tc>
          <w:tcPr>
            <w:tcW w:w="1118" w:type="dxa"/>
            <w:tcBorders>
              <w:top w:val="single" w:sz="4" w:space="0" w:color="auto"/>
              <w:left w:val="single" w:sz="4" w:space="0" w:color="auto"/>
              <w:bottom w:val="single" w:sz="4" w:space="0" w:color="auto"/>
              <w:right w:val="single" w:sz="4" w:space="0" w:color="auto"/>
            </w:tcBorders>
            <w:vAlign w:val="bottom"/>
          </w:tcPr>
          <w:p w14:paraId="0D574E04" w14:textId="77777777" w:rsidR="000B2A5C" w:rsidRPr="00DF79AE" w:rsidRDefault="000B2A5C" w:rsidP="00BC1FCA">
            <w:pPr>
              <w:tabs>
                <w:tab w:val="left" w:pos="284"/>
              </w:tabs>
              <w:rPr>
                <w:sz w:val="22"/>
                <w:szCs w:val="22"/>
                <w:lang w:val="sr-Latn-ME"/>
              </w:rPr>
            </w:pPr>
            <w:r w:rsidRPr="00DF79AE">
              <w:rPr>
                <w:b/>
                <w:sz w:val="22"/>
                <w:szCs w:val="22"/>
                <w:lang w:val="sr-Latn-ME"/>
              </w:rPr>
              <w:t>Simponi</w:t>
            </w:r>
          </w:p>
          <w:p w14:paraId="6958A46D" w14:textId="77777777" w:rsidR="000B2A5C" w:rsidRPr="00DF79AE" w:rsidRDefault="000B2A5C" w:rsidP="00BC1FCA">
            <w:pPr>
              <w:tabs>
                <w:tab w:val="left" w:pos="284"/>
              </w:tabs>
              <w:rPr>
                <w:sz w:val="22"/>
                <w:szCs w:val="22"/>
                <w:lang w:val="sr-Latn-ME"/>
              </w:rPr>
            </w:pPr>
            <w:r w:rsidRPr="00DF79AE">
              <w:rPr>
                <w:sz w:val="22"/>
                <w:szCs w:val="22"/>
                <w:lang w:val="sr-Latn-ME"/>
              </w:rPr>
              <w:t>50 mg</w:t>
            </w:r>
          </w:p>
          <w:p w14:paraId="08A8D38D" w14:textId="77777777" w:rsidR="000B2A5C" w:rsidRPr="00DF79AE" w:rsidRDefault="000B2A5C" w:rsidP="00BC1FCA">
            <w:pPr>
              <w:tabs>
                <w:tab w:val="left" w:pos="284"/>
              </w:tabs>
              <w:rPr>
                <w:sz w:val="22"/>
                <w:szCs w:val="22"/>
                <w:lang w:val="sr-Latn-ME"/>
              </w:rPr>
            </w:pPr>
            <w:r w:rsidRPr="00DF79AE">
              <w:rPr>
                <w:sz w:val="22"/>
                <w:szCs w:val="22"/>
                <w:lang w:val="sr-Latn-ME"/>
              </w:rPr>
              <w:t>+</w:t>
            </w:r>
          </w:p>
          <w:p w14:paraId="4FC8758E" w14:textId="77777777" w:rsidR="000B2A5C" w:rsidRPr="00DF79AE" w:rsidRDefault="000B2A5C" w:rsidP="00BC1FCA">
            <w:pPr>
              <w:tabs>
                <w:tab w:val="left" w:pos="284"/>
              </w:tabs>
              <w:rPr>
                <w:sz w:val="22"/>
                <w:szCs w:val="22"/>
                <w:lang w:val="sr-Latn-ME"/>
              </w:rPr>
            </w:pPr>
            <w:r w:rsidRPr="00DF79AE">
              <w:rPr>
                <w:sz w:val="22"/>
                <w:szCs w:val="22"/>
                <w:lang w:val="sr-Latn-ME"/>
              </w:rPr>
              <w:t>MTX</w:t>
            </w:r>
          </w:p>
        </w:tc>
        <w:tc>
          <w:tcPr>
            <w:tcW w:w="1080" w:type="dxa"/>
            <w:tcBorders>
              <w:top w:val="single" w:sz="4" w:space="0" w:color="auto"/>
              <w:left w:val="single" w:sz="4" w:space="0" w:color="auto"/>
              <w:bottom w:val="single" w:sz="4" w:space="0" w:color="auto"/>
              <w:right w:val="single" w:sz="4" w:space="0" w:color="auto"/>
            </w:tcBorders>
            <w:vAlign w:val="bottom"/>
          </w:tcPr>
          <w:p w14:paraId="58529E4E" w14:textId="77777777" w:rsidR="000B2A5C" w:rsidRPr="00DF79AE" w:rsidRDefault="000B2A5C" w:rsidP="00BC1FCA">
            <w:pPr>
              <w:tabs>
                <w:tab w:val="left" w:pos="284"/>
              </w:tabs>
              <w:rPr>
                <w:sz w:val="22"/>
                <w:szCs w:val="22"/>
                <w:lang w:val="sr-Latn-ME"/>
              </w:rPr>
            </w:pPr>
            <w:r w:rsidRPr="00DF79AE">
              <w:rPr>
                <w:sz w:val="22"/>
                <w:szCs w:val="22"/>
                <w:lang w:val="sr-Latn-ME"/>
              </w:rPr>
              <w:t>Placebo</w:t>
            </w:r>
          </w:p>
        </w:tc>
        <w:tc>
          <w:tcPr>
            <w:tcW w:w="1118" w:type="dxa"/>
            <w:tcBorders>
              <w:top w:val="single" w:sz="4" w:space="0" w:color="auto"/>
              <w:left w:val="single" w:sz="4" w:space="0" w:color="auto"/>
              <w:bottom w:val="single" w:sz="4" w:space="0" w:color="auto"/>
              <w:right w:val="single" w:sz="4" w:space="0" w:color="auto"/>
            </w:tcBorders>
            <w:vAlign w:val="bottom"/>
          </w:tcPr>
          <w:p w14:paraId="748FE861" w14:textId="77777777" w:rsidR="000B2A5C" w:rsidRPr="00DF79AE" w:rsidRDefault="000B2A5C" w:rsidP="00BC1FCA">
            <w:pPr>
              <w:tabs>
                <w:tab w:val="left" w:pos="284"/>
              </w:tabs>
              <w:rPr>
                <w:sz w:val="22"/>
                <w:szCs w:val="22"/>
                <w:lang w:val="sr-Latn-ME"/>
              </w:rPr>
            </w:pPr>
            <w:r w:rsidRPr="00DF79AE">
              <w:rPr>
                <w:b/>
                <w:sz w:val="22"/>
                <w:szCs w:val="22"/>
                <w:lang w:val="sr-Latn-ME"/>
              </w:rPr>
              <w:t>Simponi</w:t>
            </w:r>
          </w:p>
          <w:p w14:paraId="4FD2CD78" w14:textId="77777777" w:rsidR="000B2A5C" w:rsidRPr="00DF79AE" w:rsidRDefault="000B2A5C" w:rsidP="00BC1FCA">
            <w:pPr>
              <w:tabs>
                <w:tab w:val="left" w:pos="284"/>
              </w:tabs>
              <w:rPr>
                <w:sz w:val="22"/>
                <w:szCs w:val="22"/>
                <w:lang w:val="sr-Latn-ME"/>
              </w:rPr>
            </w:pPr>
            <w:r w:rsidRPr="00DF79AE">
              <w:rPr>
                <w:sz w:val="22"/>
                <w:szCs w:val="22"/>
                <w:lang w:val="sr-Latn-ME"/>
              </w:rPr>
              <w:t>50 mg</w:t>
            </w:r>
          </w:p>
        </w:tc>
        <w:tc>
          <w:tcPr>
            <w:tcW w:w="927" w:type="dxa"/>
            <w:shd w:val="clear" w:color="auto" w:fill="auto"/>
            <w:vAlign w:val="bottom"/>
          </w:tcPr>
          <w:p w14:paraId="652154BA" w14:textId="77777777" w:rsidR="000B2A5C" w:rsidRPr="00DF79AE" w:rsidRDefault="000B2A5C" w:rsidP="00BC1FCA">
            <w:pPr>
              <w:tabs>
                <w:tab w:val="left" w:pos="284"/>
              </w:tabs>
              <w:rPr>
                <w:sz w:val="22"/>
                <w:szCs w:val="22"/>
                <w:lang w:val="sr-Latn-ME"/>
              </w:rPr>
            </w:pPr>
            <w:r w:rsidRPr="00DF79AE">
              <w:rPr>
                <w:sz w:val="22"/>
                <w:szCs w:val="22"/>
                <w:lang w:val="sr-Latn-ME"/>
              </w:rPr>
              <w:t>Placebo</w:t>
            </w:r>
          </w:p>
          <w:p w14:paraId="4ABC3F22" w14:textId="77777777" w:rsidR="000B2A5C" w:rsidRPr="00DF79AE" w:rsidRDefault="000B2A5C" w:rsidP="00BC1FCA">
            <w:pPr>
              <w:tabs>
                <w:tab w:val="left" w:pos="284"/>
              </w:tabs>
              <w:rPr>
                <w:sz w:val="22"/>
                <w:szCs w:val="22"/>
                <w:lang w:val="sr-Latn-ME"/>
              </w:rPr>
            </w:pPr>
            <w:r w:rsidRPr="00DF79AE">
              <w:rPr>
                <w:sz w:val="22"/>
                <w:szCs w:val="22"/>
                <w:lang w:val="sr-Latn-ME"/>
              </w:rPr>
              <w:t>+</w:t>
            </w:r>
          </w:p>
          <w:p w14:paraId="32CED3D8" w14:textId="77777777" w:rsidR="000B2A5C" w:rsidRPr="00DF79AE" w:rsidRDefault="000B2A5C" w:rsidP="00BC1FCA">
            <w:pPr>
              <w:rPr>
                <w:sz w:val="22"/>
                <w:szCs w:val="22"/>
                <w:lang w:val="sr-Latn-ME"/>
              </w:rPr>
            </w:pPr>
            <w:r w:rsidRPr="00DF79AE">
              <w:rPr>
                <w:sz w:val="22"/>
                <w:szCs w:val="22"/>
                <w:lang w:val="sr-Latn-ME"/>
              </w:rPr>
              <w:t>MTX</w:t>
            </w:r>
          </w:p>
        </w:tc>
        <w:tc>
          <w:tcPr>
            <w:tcW w:w="1118" w:type="dxa"/>
            <w:shd w:val="clear" w:color="auto" w:fill="auto"/>
            <w:vAlign w:val="bottom"/>
          </w:tcPr>
          <w:p w14:paraId="43A1CCCD" w14:textId="77777777" w:rsidR="000B2A5C" w:rsidRPr="00DF79AE" w:rsidRDefault="000B2A5C" w:rsidP="00BC1FCA">
            <w:pPr>
              <w:tabs>
                <w:tab w:val="left" w:pos="284"/>
              </w:tabs>
              <w:rPr>
                <w:sz w:val="22"/>
                <w:szCs w:val="22"/>
                <w:lang w:val="sr-Latn-ME"/>
              </w:rPr>
            </w:pPr>
            <w:r w:rsidRPr="00DF79AE">
              <w:rPr>
                <w:b/>
                <w:sz w:val="22"/>
                <w:szCs w:val="22"/>
                <w:lang w:val="sr-Latn-ME"/>
              </w:rPr>
              <w:t>Simponi</w:t>
            </w:r>
          </w:p>
          <w:p w14:paraId="313AAB51" w14:textId="77777777" w:rsidR="000B2A5C" w:rsidRPr="00DF79AE" w:rsidRDefault="000B2A5C" w:rsidP="00BC1FCA">
            <w:pPr>
              <w:tabs>
                <w:tab w:val="left" w:pos="284"/>
              </w:tabs>
              <w:rPr>
                <w:sz w:val="22"/>
                <w:szCs w:val="22"/>
                <w:lang w:val="sr-Latn-ME"/>
              </w:rPr>
            </w:pPr>
            <w:r w:rsidRPr="00DF79AE">
              <w:rPr>
                <w:sz w:val="22"/>
                <w:szCs w:val="22"/>
                <w:lang w:val="sr-Latn-ME"/>
              </w:rPr>
              <w:t>50 mg</w:t>
            </w:r>
          </w:p>
          <w:p w14:paraId="32CB09E9" w14:textId="77777777" w:rsidR="000B2A5C" w:rsidRPr="00DF79AE" w:rsidRDefault="000B2A5C" w:rsidP="00BC1FCA">
            <w:pPr>
              <w:tabs>
                <w:tab w:val="left" w:pos="284"/>
              </w:tabs>
              <w:rPr>
                <w:sz w:val="22"/>
                <w:szCs w:val="22"/>
                <w:lang w:val="sr-Latn-ME"/>
              </w:rPr>
            </w:pPr>
            <w:r w:rsidRPr="00DF79AE">
              <w:rPr>
                <w:sz w:val="22"/>
                <w:szCs w:val="22"/>
                <w:lang w:val="sr-Latn-ME"/>
              </w:rPr>
              <w:t>+</w:t>
            </w:r>
          </w:p>
          <w:p w14:paraId="3247EE10" w14:textId="77777777" w:rsidR="000B2A5C" w:rsidRPr="00DF79AE" w:rsidRDefault="000B2A5C" w:rsidP="00BC1FCA">
            <w:pPr>
              <w:rPr>
                <w:sz w:val="22"/>
                <w:szCs w:val="22"/>
                <w:lang w:val="sr-Latn-ME"/>
              </w:rPr>
            </w:pPr>
            <w:r w:rsidRPr="00DF79AE">
              <w:rPr>
                <w:sz w:val="22"/>
                <w:szCs w:val="22"/>
                <w:lang w:val="sr-Latn-ME"/>
              </w:rPr>
              <w:t>MTX</w:t>
            </w:r>
          </w:p>
        </w:tc>
      </w:tr>
      <w:tr w:rsidR="000B2A5C" w:rsidRPr="00DF79AE" w14:paraId="52866E79" w14:textId="77777777" w:rsidTr="00BC1FCA">
        <w:trPr>
          <w:cantSplit/>
          <w:jc w:val="center"/>
        </w:trPr>
        <w:tc>
          <w:tcPr>
            <w:tcW w:w="1061" w:type="dxa"/>
            <w:tcBorders>
              <w:top w:val="single" w:sz="4" w:space="0" w:color="auto"/>
              <w:left w:val="single" w:sz="4" w:space="0" w:color="auto"/>
              <w:bottom w:val="single" w:sz="4" w:space="0" w:color="auto"/>
              <w:right w:val="single" w:sz="4" w:space="0" w:color="auto"/>
            </w:tcBorders>
          </w:tcPr>
          <w:p w14:paraId="563D2740" w14:textId="77777777" w:rsidR="000B2A5C" w:rsidRPr="00DF79AE" w:rsidRDefault="000B2A5C" w:rsidP="00BC1FCA">
            <w:pPr>
              <w:tabs>
                <w:tab w:val="left" w:pos="284"/>
              </w:tabs>
              <w:rPr>
                <w:sz w:val="22"/>
                <w:szCs w:val="22"/>
                <w:lang w:val="sr-Latn-ME"/>
              </w:rPr>
            </w:pPr>
            <w:r w:rsidRPr="00DF79AE">
              <w:rPr>
                <w:sz w:val="22"/>
                <w:szCs w:val="22"/>
                <w:lang w:val="sr-Latn-ME"/>
              </w:rPr>
              <w:t>N</w:t>
            </w:r>
            <w:r w:rsidRPr="00DF79AE">
              <w:rPr>
                <w:sz w:val="22"/>
                <w:szCs w:val="22"/>
                <w:vertAlign w:val="superscript"/>
                <w:lang w:val="sr-Latn-ME"/>
              </w:rPr>
              <w:t>a</w:t>
            </w:r>
          </w:p>
        </w:tc>
        <w:tc>
          <w:tcPr>
            <w:tcW w:w="1090" w:type="dxa"/>
            <w:tcBorders>
              <w:top w:val="single" w:sz="4" w:space="0" w:color="auto"/>
              <w:left w:val="single" w:sz="4" w:space="0" w:color="auto"/>
              <w:bottom w:val="single" w:sz="4" w:space="0" w:color="auto"/>
              <w:right w:val="single" w:sz="4" w:space="0" w:color="auto"/>
            </w:tcBorders>
          </w:tcPr>
          <w:p w14:paraId="0317A0D0" w14:textId="77777777" w:rsidR="000B2A5C" w:rsidRPr="00DF79AE" w:rsidRDefault="000B2A5C" w:rsidP="00BC1FCA">
            <w:pPr>
              <w:tabs>
                <w:tab w:val="left" w:pos="284"/>
              </w:tabs>
              <w:rPr>
                <w:sz w:val="22"/>
                <w:szCs w:val="22"/>
                <w:lang w:val="sr-Latn-ME"/>
              </w:rPr>
            </w:pPr>
            <w:r w:rsidRPr="00DF79AE">
              <w:rPr>
                <w:sz w:val="22"/>
                <w:szCs w:val="22"/>
                <w:lang w:val="sr-Latn-ME"/>
              </w:rPr>
              <w:t>133</w:t>
            </w:r>
          </w:p>
        </w:tc>
        <w:tc>
          <w:tcPr>
            <w:tcW w:w="1118" w:type="dxa"/>
            <w:tcBorders>
              <w:top w:val="single" w:sz="4" w:space="0" w:color="auto"/>
              <w:left w:val="single" w:sz="4" w:space="0" w:color="auto"/>
              <w:bottom w:val="single" w:sz="4" w:space="0" w:color="auto"/>
              <w:right w:val="single" w:sz="4" w:space="0" w:color="auto"/>
            </w:tcBorders>
          </w:tcPr>
          <w:p w14:paraId="3C8107E1" w14:textId="77777777" w:rsidR="000B2A5C" w:rsidRPr="00DF79AE" w:rsidRDefault="000B2A5C" w:rsidP="00BC1FCA">
            <w:pPr>
              <w:tabs>
                <w:tab w:val="left" w:pos="284"/>
              </w:tabs>
              <w:rPr>
                <w:sz w:val="22"/>
                <w:szCs w:val="22"/>
                <w:lang w:val="sr-Latn-ME"/>
              </w:rPr>
            </w:pPr>
            <w:r w:rsidRPr="00DF79AE">
              <w:rPr>
                <w:sz w:val="22"/>
                <w:szCs w:val="22"/>
                <w:lang w:val="sr-Latn-ME"/>
              </w:rPr>
              <w:t>89</w:t>
            </w:r>
          </w:p>
        </w:tc>
        <w:tc>
          <w:tcPr>
            <w:tcW w:w="1080" w:type="dxa"/>
            <w:tcBorders>
              <w:top w:val="single" w:sz="4" w:space="0" w:color="auto"/>
              <w:left w:val="single" w:sz="4" w:space="0" w:color="auto"/>
              <w:bottom w:val="single" w:sz="4" w:space="0" w:color="auto"/>
              <w:right w:val="single" w:sz="4" w:space="0" w:color="auto"/>
            </w:tcBorders>
          </w:tcPr>
          <w:p w14:paraId="3D18250C" w14:textId="77777777" w:rsidR="000B2A5C" w:rsidRPr="00DF79AE" w:rsidRDefault="000B2A5C" w:rsidP="00BC1FCA">
            <w:pPr>
              <w:tabs>
                <w:tab w:val="left" w:pos="284"/>
              </w:tabs>
              <w:rPr>
                <w:sz w:val="22"/>
                <w:szCs w:val="22"/>
                <w:lang w:val="sr-Latn-ME"/>
              </w:rPr>
            </w:pPr>
            <w:r w:rsidRPr="00DF79AE">
              <w:rPr>
                <w:sz w:val="22"/>
                <w:szCs w:val="22"/>
                <w:lang w:val="sr-Latn-ME"/>
              </w:rPr>
              <w:t>150</w:t>
            </w:r>
          </w:p>
        </w:tc>
        <w:tc>
          <w:tcPr>
            <w:tcW w:w="1118" w:type="dxa"/>
            <w:tcBorders>
              <w:top w:val="single" w:sz="4" w:space="0" w:color="auto"/>
              <w:left w:val="single" w:sz="4" w:space="0" w:color="auto"/>
              <w:bottom w:val="single" w:sz="4" w:space="0" w:color="auto"/>
              <w:right w:val="single" w:sz="4" w:space="0" w:color="auto"/>
            </w:tcBorders>
          </w:tcPr>
          <w:p w14:paraId="625213D3" w14:textId="77777777" w:rsidR="000B2A5C" w:rsidRPr="00DF79AE" w:rsidRDefault="000B2A5C" w:rsidP="00BC1FCA">
            <w:pPr>
              <w:tabs>
                <w:tab w:val="left" w:pos="284"/>
              </w:tabs>
              <w:rPr>
                <w:sz w:val="22"/>
                <w:szCs w:val="22"/>
                <w:lang w:val="sr-Latn-ME"/>
              </w:rPr>
            </w:pPr>
            <w:r w:rsidRPr="00DF79AE">
              <w:rPr>
                <w:sz w:val="22"/>
                <w:szCs w:val="22"/>
                <w:lang w:val="sr-Latn-ME"/>
              </w:rPr>
              <w:t>147</w:t>
            </w:r>
          </w:p>
        </w:tc>
        <w:tc>
          <w:tcPr>
            <w:tcW w:w="927" w:type="dxa"/>
            <w:shd w:val="clear" w:color="auto" w:fill="auto"/>
          </w:tcPr>
          <w:p w14:paraId="01CF7706" w14:textId="77777777" w:rsidR="000B2A5C" w:rsidRPr="00DF79AE" w:rsidRDefault="000B2A5C" w:rsidP="00BC1FCA">
            <w:pPr>
              <w:rPr>
                <w:bCs/>
                <w:sz w:val="22"/>
                <w:szCs w:val="22"/>
                <w:lang w:val="sr-Latn-ME"/>
              </w:rPr>
            </w:pPr>
            <w:r w:rsidRPr="00DF79AE">
              <w:rPr>
                <w:bCs/>
                <w:sz w:val="22"/>
                <w:szCs w:val="22"/>
                <w:lang w:val="sr-Latn-ME"/>
              </w:rPr>
              <w:t>160</w:t>
            </w:r>
          </w:p>
        </w:tc>
        <w:tc>
          <w:tcPr>
            <w:tcW w:w="1118" w:type="dxa"/>
            <w:shd w:val="clear" w:color="auto" w:fill="auto"/>
          </w:tcPr>
          <w:p w14:paraId="0F15CDD7" w14:textId="77777777" w:rsidR="000B2A5C" w:rsidRPr="00DF79AE" w:rsidRDefault="000B2A5C" w:rsidP="00BC1FCA">
            <w:pPr>
              <w:rPr>
                <w:bCs/>
                <w:sz w:val="22"/>
                <w:szCs w:val="22"/>
                <w:lang w:val="sr-Latn-ME"/>
              </w:rPr>
            </w:pPr>
            <w:r w:rsidRPr="00DF79AE">
              <w:rPr>
                <w:bCs/>
                <w:sz w:val="22"/>
                <w:szCs w:val="22"/>
                <w:lang w:val="sr-Latn-ME"/>
              </w:rPr>
              <w:t>159</w:t>
            </w:r>
          </w:p>
        </w:tc>
      </w:tr>
      <w:tr w:rsidR="000B2A5C" w:rsidRPr="00DF79AE" w14:paraId="2D8798BA" w14:textId="77777777" w:rsidTr="00BC1FCA">
        <w:trPr>
          <w:cantSplit/>
          <w:jc w:val="center"/>
        </w:trPr>
        <w:tc>
          <w:tcPr>
            <w:tcW w:w="7512" w:type="dxa"/>
            <w:gridSpan w:val="7"/>
            <w:tcBorders>
              <w:top w:val="single" w:sz="4" w:space="0" w:color="auto"/>
              <w:left w:val="single" w:sz="4" w:space="0" w:color="auto"/>
              <w:bottom w:val="single" w:sz="4" w:space="0" w:color="auto"/>
            </w:tcBorders>
            <w:vAlign w:val="center"/>
          </w:tcPr>
          <w:p w14:paraId="0A48FFBC" w14:textId="77777777" w:rsidR="000B2A5C" w:rsidRPr="00DF79AE" w:rsidRDefault="000B2A5C" w:rsidP="00BC1FCA">
            <w:pPr>
              <w:rPr>
                <w:sz w:val="22"/>
                <w:szCs w:val="22"/>
                <w:lang w:val="sr-Latn-ME"/>
              </w:rPr>
            </w:pPr>
            <w:r w:rsidRPr="00DF79AE">
              <w:rPr>
                <w:b/>
                <w:bCs/>
                <w:sz w:val="22"/>
                <w:szCs w:val="22"/>
                <w:lang w:val="sr-Latn-ME"/>
              </w:rPr>
              <w:t>Pacijenti koji su odgovorili na liječenje, % pacijenata</w:t>
            </w:r>
          </w:p>
        </w:tc>
      </w:tr>
      <w:tr w:rsidR="000B2A5C" w:rsidRPr="00DF79AE" w14:paraId="47179A4D" w14:textId="77777777" w:rsidTr="00BC1FCA">
        <w:trPr>
          <w:cantSplit/>
          <w:jc w:val="center"/>
        </w:trPr>
        <w:tc>
          <w:tcPr>
            <w:tcW w:w="7512" w:type="dxa"/>
            <w:gridSpan w:val="7"/>
            <w:tcBorders>
              <w:top w:val="single" w:sz="4" w:space="0" w:color="auto"/>
              <w:left w:val="single" w:sz="4" w:space="0" w:color="auto"/>
              <w:bottom w:val="single" w:sz="4" w:space="0" w:color="auto"/>
            </w:tcBorders>
            <w:vAlign w:val="center"/>
          </w:tcPr>
          <w:p w14:paraId="45FAF1B6" w14:textId="77777777" w:rsidR="000B2A5C" w:rsidRPr="00DF79AE" w:rsidRDefault="000B2A5C" w:rsidP="00BC1FCA">
            <w:pPr>
              <w:rPr>
                <w:sz w:val="22"/>
                <w:szCs w:val="22"/>
                <w:lang w:val="sr-Latn-ME"/>
              </w:rPr>
            </w:pPr>
            <w:r w:rsidRPr="00DF79AE">
              <w:rPr>
                <w:b/>
                <w:bCs/>
                <w:sz w:val="22"/>
                <w:szCs w:val="22"/>
                <w:lang w:val="sr-Latn-ME"/>
              </w:rPr>
              <w:t>ACR 20</w:t>
            </w:r>
          </w:p>
        </w:tc>
      </w:tr>
      <w:tr w:rsidR="000B2A5C" w:rsidRPr="00DF79AE" w14:paraId="37AEBED9" w14:textId="77777777" w:rsidTr="00BC1FCA">
        <w:trPr>
          <w:cantSplit/>
          <w:jc w:val="center"/>
        </w:trPr>
        <w:tc>
          <w:tcPr>
            <w:tcW w:w="1061" w:type="dxa"/>
            <w:tcBorders>
              <w:top w:val="single" w:sz="4" w:space="0" w:color="auto"/>
              <w:left w:val="single" w:sz="4" w:space="0" w:color="auto"/>
              <w:bottom w:val="single" w:sz="4" w:space="0" w:color="auto"/>
              <w:right w:val="single" w:sz="4" w:space="0" w:color="auto"/>
            </w:tcBorders>
          </w:tcPr>
          <w:p w14:paraId="6F8744E0" w14:textId="77777777" w:rsidR="000B2A5C" w:rsidRPr="00DF79AE" w:rsidRDefault="000B2A5C" w:rsidP="00BC1FCA">
            <w:pPr>
              <w:tabs>
                <w:tab w:val="left" w:pos="284"/>
              </w:tabs>
              <w:rPr>
                <w:sz w:val="22"/>
                <w:szCs w:val="22"/>
                <w:lang w:val="sr-Latn-ME"/>
              </w:rPr>
            </w:pPr>
            <w:r w:rsidRPr="00DF79AE">
              <w:rPr>
                <w:sz w:val="22"/>
                <w:szCs w:val="22"/>
                <w:lang w:val="sr-Latn-ME"/>
              </w:rPr>
              <w:t> 14. nedjelja</w:t>
            </w:r>
          </w:p>
        </w:tc>
        <w:tc>
          <w:tcPr>
            <w:tcW w:w="1090" w:type="dxa"/>
            <w:tcBorders>
              <w:top w:val="single" w:sz="4" w:space="0" w:color="auto"/>
              <w:left w:val="single" w:sz="4" w:space="0" w:color="auto"/>
              <w:bottom w:val="single" w:sz="4" w:space="0" w:color="auto"/>
              <w:right w:val="single" w:sz="4" w:space="0" w:color="auto"/>
            </w:tcBorders>
          </w:tcPr>
          <w:p w14:paraId="336A3B77" w14:textId="77777777" w:rsidR="000B2A5C" w:rsidRPr="00DF79AE" w:rsidRDefault="000B2A5C" w:rsidP="00BC1FCA">
            <w:pPr>
              <w:tabs>
                <w:tab w:val="left" w:pos="284"/>
              </w:tabs>
              <w:rPr>
                <w:b/>
                <w:bCs/>
                <w:sz w:val="22"/>
                <w:szCs w:val="22"/>
                <w:lang w:val="sr-Latn-ME"/>
              </w:rPr>
            </w:pPr>
            <w:r w:rsidRPr="00DF79AE">
              <w:rPr>
                <w:b/>
                <w:bCs/>
                <w:sz w:val="22"/>
                <w:szCs w:val="22"/>
                <w:lang w:val="sr-Latn-ME"/>
              </w:rPr>
              <w:t>33%</w:t>
            </w:r>
          </w:p>
        </w:tc>
        <w:tc>
          <w:tcPr>
            <w:tcW w:w="1118" w:type="dxa"/>
            <w:tcBorders>
              <w:top w:val="single" w:sz="4" w:space="0" w:color="auto"/>
              <w:left w:val="single" w:sz="4" w:space="0" w:color="auto"/>
              <w:bottom w:val="single" w:sz="4" w:space="0" w:color="auto"/>
              <w:right w:val="single" w:sz="4" w:space="0" w:color="auto"/>
            </w:tcBorders>
          </w:tcPr>
          <w:p w14:paraId="0D7801E6" w14:textId="77777777" w:rsidR="000B2A5C" w:rsidRPr="00DF79AE" w:rsidRDefault="000B2A5C" w:rsidP="00BC1FCA">
            <w:pPr>
              <w:tabs>
                <w:tab w:val="left" w:pos="284"/>
              </w:tabs>
              <w:rPr>
                <w:b/>
                <w:bCs/>
                <w:sz w:val="22"/>
                <w:szCs w:val="22"/>
                <w:lang w:val="sr-Latn-ME"/>
              </w:rPr>
            </w:pPr>
            <w:r w:rsidRPr="00DF79AE">
              <w:rPr>
                <w:b/>
                <w:bCs/>
                <w:sz w:val="22"/>
                <w:szCs w:val="22"/>
                <w:lang w:val="sr-Latn-ME"/>
              </w:rPr>
              <w:t xml:space="preserve"> 55%*</w:t>
            </w:r>
          </w:p>
        </w:tc>
        <w:tc>
          <w:tcPr>
            <w:tcW w:w="1080" w:type="dxa"/>
            <w:tcBorders>
              <w:top w:val="single" w:sz="4" w:space="0" w:color="auto"/>
              <w:left w:val="single" w:sz="4" w:space="0" w:color="auto"/>
              <w:bottom w:val="single" w:sz="4" w:space="0" w:color="auto"/>
              <w:right w:val="single" w:sz="4" w:space="0" w:color="auto"/>
            </w:tcBorders>
          </w:tcPr>
          <w:p w14:paraId="4FED9AD6" w14:textId="77777777" w:rsidR="000B2A5C" w:rsidRPr="00DF79AE" w:rsidRDefault="000B2A5C" w:rsidP="00BC1FCA">
            <w:pPr>
              <w:tabs>
                <w:tab w:val="left" w:pos="284"/>
              </w:tabs>
              <w:rPr>
                <w:b/>
                <w:bCs/>
                <w:sz w:val="22"/>
                <w:szCs w:val="22"/>
                <w:lang w:val="sr-Latn-ME"/>
              </w:rPr>
            </w:pPr>
            <w:r w:rsidRPr="00DF79AE">
              <w:rPr>
                <w:b/>
                <w:bCs/>
                <w:sz w:val="22"/>
                <w:szCs w:val="22"/>
                <w:lang w:val="sr-Latn-ME"/>
              </w:rPr>
              <w:t>18%</w:t>
            </w:r>
          </w:p>
        </w:tc>
        <w:tc>
          <w:tcPr>
            <w:tcW w:w="1118" w:type="dxa"/>
            <w:tcBorders>
              <w:top w:val="single" w:sz="4" w:space="0" w:color="auto"/>
              <w:left w:val="single" w:sz="4" w:space="0" w:color="auto"/>
              <w:bottom w:val="single" w:sz="4" w:space="0" w:color="auto"/>
              <w:right w:val="single" w:sz="4" w:space="0" w:color="auto"/>
            </w:tcBorders>
          </w:tcPr>
          <w:p w14:paraId="6959EC1D" w14:textId="77777777" w:rsidR="000B2A5C" w:rsidRPr="00DF79AE" w:rsidRDefault="000B2A5C" w:rsidP="00BC1FCA">
            <w:pPr>
              <w:tabs>
                <w:tab w:val="left" w:pos="284"/>
              </w:tabs>
              <w:rPr>
                <w:b/>
                <w:bCs/>
                <w:sz w:val="22"/>
                <w:szCs w:val="22"/>
                <w:lang w:val="sr-Latn-ME"/>
              </w:rPr>
            </w:pPr>
            <w:r w:rsidRPr="00DF79AE">
              <w:rPr>
                <w:b/>
                <w:bCs/>
                <w:sz w:val="22"/>
                <w:szCs w:val="22"/>
                <w:lang w:val="sr-Latn-ME"/>
              </w:rPr>
              <w:t>35%*</w:t>
            </w:r>
          </w:p>
        </w:tc>
        <w:tc>
          <w:tcPr>
            <w:tcW w:w="927" w:type="dxa"/>
            <w:tcBorders>
              <w:top w:val="single" w:sz="4" w:space="0" w:color="auto"/>
              <w:bottom w:val="single" w:sz="4" w:space="0" w:color="auto"/>
            </w:tcBorders>
            <w:shd w:val="clear" w:color="auto" w:fill="auto"/>
          </w:tcPr>
          <w:p w14:paraId="39C415B6" w14:textId="77777777" w:rsidR="000B2A5C" w:rsidRPr="00DF79AE" w:rsidRDefault="000B2A5C" w:rsidP="00BC1FCA">
            <w:pPr>
              <w:rPr>
                <w:sz w:val="22"/>
                <w:szCs w:val="22"/>
                <w:lang w:val="sr-Latn-ME"/>
              </w:rPr>
            </w:pPr>
            <w:r w:rsidRPr="00DF79AE">
              <w:rPr>
                <w:sz w:val="22"/>
                <w:szCs w:val="22"/>
                <w:lang w:val="sr-Latn-ME"/>
              </w:rPr>
              <w:t>NP</w:t>
            </w:r>
          </w:p>
        </w:tc>
        <w:tc>
          <w:tcPr>
            <w:tcW w:w="1118" w:type="dxa"/>
            <w:shd w:val="clear" w:color="auto" w:fill="auto"/>
          </w:tcPr>
          <w:p w14:paraId="3281C6A7" w14:textId="77777777" w:rsidR="000B2A5C" w:rsidRPr="00DF79AE" w:rsidRDefault="000B2A5C" w:rsidP="00BC1FCA">
            <w:pPr>
              <w:rPr>
                <w:sz w:val="22"/>
                <w:szCs w:val="22"/>
                <w:lang w:val="sr-Latn-ME"/>
              </w:rPr>
            </w:pPr>
            <w:r w:rsidRPr="00DF79AE">
              <w:rPr>
                <w:sz w:val="22"/>
                <w:szCs w:val="22"/>
                <w:lang w:val="sr-Latn-ME"/>
              </w:rPr>
              <w:t>NP</w:t>
            </w:r>
          </w:p>
        </w:tc>
      </w:tr>
      <w:tr w:rsidR="000B2A5C" w:rsidRPr="00DF79AE" w14:paraId="1692B870" w14:textId="77777777" w:rsidTr="00BC1FCA">
        <w:trPr>
          <w:cantSplit/>
          <w:jc w:val="center"/>
        </w:trPr>
        <w:tc>
          <w:tcPr>
            <w:tcW w:w="1061" w:type="dxa"/>
            <w:tcBorders>
              <w:top w:val="single" w:sz="4" w:space="0" w:color="auto"/>
              <w:left w:val="single" w:sz="4" w:space="0" w:color="auto"/>
              <w:bottom w:val="single" w:sz="4" w:space="0" w:color="auto"/>
              <w:right w:val="single" w:sz="4" w:space="0" w:color="auto"/>
            </w:tcBorders>
          </w:tcPr>
          <w:p w14:paraId="45DC5DED" w14:textId="77777777" w:rsidR="000B2A5C" w:rsidRPr="00DF79AE" w:rsidRDefault="000B2A5C" w:rsidP="00BC1FCA">
            <w:pPr>
              <w:tabs>
                <w:tab w:val="left" w:pos="284"/>
              </w:tabs>
              <w:rPr>
                <w:sz w:val="22"/>
                <w:szCs w:val="22"/>
                <w:lang w:val="sr-Latn-ME"/>
              </w:rPr>
            </w:pPr>
            <w:r w:rsidRPr="00DF79AE">
              <w:rPr>
                <w:sz w:val="22"/>
                <w:szCs w:val="22"/>
                <w:lang w:val="sr-Latn-ME"/>
              </w:rPr>
              <w:t> 24. nedjelja</w:t>
            </w:r>
          </w:p>
        </w:tc>
        <w:tc>
          <w:tcPr>
            <w:tcW w:w="1090" w:type="dxa"/>
            <w:tcBorders>
              <w:top w:val="single" w:sz="4" w:space="0" w:color="auto"/>
              <w:left w:val="single" w:sz="4" w:space="0" w:color="auto"/>
              <w:bottom w:val="single" w:sz="4" w:space="0" w:color="auto"/>
              <w:right w:val="single" w:sz="4" w:space="0" w:color="auto"/>
            </w:tcBorders>
          </w:tcPr>
          <w:p w14:paraId="320C37CC" w14:textId="77777777" w:rsidR="000B2A5C" w:rsidRPr="00DF79AE" w:rsidRDefault="000B2A5C" w:rsidP="00BC1FCA">
            <w:pPr>
              <w:tabs>
                <w:tab w:val="left" w:pos="284"/>
              </w:tabs>
              <w:rPr>
                <w:sz w:val="22"/>
                <w:szCs w:val="22"/>
                <w:lang w:val="sr-Latn-ME"/>
              </w:rPr>
            </w:pPr>
            <w:r w:rsidRPr="00DF79AE">
              <w:rPr>
                <w:sz w:val="22"/>
                <w:szCs w:val="22"/>
                <w:lang w:val="sr-Latn-ME"/>
              </w:rPr>
              <w:t>28%</w:t>
            </w:r>
          </w:p>
        </w:tc>
        <w:tc>
          <w:tcPr>
            <w:tcW w:w="1118" w:type="dxa"/>
            <w:tcBorders>
              <w:top w:val="single" w:sz="4" w:space="0" w:color="auto"/>
              <w:left w:val="single" w:sz="4" w:space="0" w:color="auto"/>
              <w:bottom w:val="single" w:sz="4" w:space="0" w:color="auto"/>
              <w:right w:val="single" w:sz="4" w:space="0" w:color="auto"/>
            </w:tcBorders>
          </w:tcPr>
          <w:p w14:paraId="19C559C4" w14:textId="77777777" w:rsidR="000B2A5C" w:rsidRPr="00DF79AE" w:rsidRDefault="000B2A5C" w:rsidP="00BC1FCA">
            <w:pPr>
              <w:tabs>
                <w:tab w:val="left" w:pos="284"/>
              </w:tabs>
              <w:rPr>
                <w:sz w:val="22"/>
                <w:szCs w:val="22"/>
                <w:lang w:val="sr-Latn-ME"/>
              </w:rPr>
            </w:pPr>
            <w:r w:rsidRPr="00DF79AE">
              <w:rPr>
                <w:sz w:val="22"/>
                <w:szCs w:val="22"/>
                <w:lang w:val="sr-Latn-ME"/>
              </w:rPr>
              <w:t>60%*</w:t>
            </w:r>
          </w:p>
        </w:tc>
        <w:tc>
          <w:tcPr>
            <w:tcW w:w="1080" w:type="dxa"/>
            <w:tcBorders>
              <w:top w:val="single" w:sz="4" w:space="0" w:color="auto"/>
              <w:left w:val="single" w:sz="4" w:space="0" w:color="auto"/>
              <w:bottom w:val="single" w:sz="4" w:space="0" w:color="auto"/>
              <w:right w:val="single" w:sz="4" w:space="0" w:color="auto"/>
            </w:tcBorders>
          </w:tcPr>
          <w:p w14:paraId="431160B6" w14:textId="77777777" w:rsidR="000B2A5C" w:rsidRPr="00DF79AE" w:rsidRDefault="000B2A5C" w:rsidP="00BC1FCA">
            <w:pPr>
              <w:tabs>
                <w:tab w:val="left" w:pos="284"/>
              </w:tabs>
              <w:rPr>
                <w:sz w:val="22"/>
                <w:szCs w:val="22"/>
                <w:lang w:val="sr-Latn-ME"/>
              </w:rPr>
            </w:pPr>
            <w:r w:rsidRPr="00DF79AE">
              <w:rPr>
                <w:sz w:val="22"/>
                <w:szCs w:val="22"/>
                <w:lang w:val="sr-Latn-ME"/>
              </w:rPr>
              <w:t>16%</w:t>
            </w:r>
          </w:p>
        </w:tc>
        <w:tc>
          <w:tcPr>
            <w:tcW w:w="1118" w:type="dxa"/>
            <w:tcBorders>
              <w:top w:val="single" w:sz="4" w:space="0" w:color="auto"/>
              <w:left w:val="single" w:sz="4" w:space="0" w:color="auto"/>
              <w:bottom w:val="single" w:sz="4" w:space="0" w:color="auto"/>
              <w:right w:val="single" w:sz="4" w:space="0" w:color="auto"/>
            </w:tcBorders>
          </w:tcPr>
          <w:p w14:paraId="0CB7FBEA" w14:textId="77777777" w:rsidR="000B2A5C" w:rsidRPr="00DF79AE" w:rsidRDefault="000B2A5C" w:rsidP="00BC1FCA">
            <w:pPr>
              <w:tabs>
                <w:tab w:val="left" w:pos="284"/>
              </w:tabs>
              <w:rPr>
                <w:sz w:val="22"/>
                <w:szCs w:val="22"/>
                <w:lang w:val="sr-Latn-ME"/>
              </w:rPr>
            </w:pPr>
            <w:r w:rsidRPr="00DF79AE">
              <w:rPr>
                <w:sz w:val="22"/>
                <w:szCs w:val="22"/>
                <w:lang w:val="sr-Latn-ME"/>
              </w:rPr>
              <w:t>31% p=0,002</w:t>
            </w:r>
          </w:p>
        </w:tc>
        <w:tc>
          <w:tcPr>
            <w:tcW w:w="927" w:type="dxa"/>
            <w:tcBorders>
              <w:top w:val="nil"/>
              <w:bottom w:val="nil"/>
            </w:tcBorders>
            <w:shd w:val="clear" w:color="auto" w:fill="auto"/>
          </w:tcPr>
          <w:p w14:paraId="0947F2AA" w14:textId="77777777" w:rsidR="000B2A5C" w:rsidRPr="00DF79AE" w:rsidRDefault="000B2A5C" w:rsidP="00BC1FCA">
            <w:pPr>
              <w:rPr>
                <w:sz w:val="22"/>
                <w:szCs w:val="22"/>
                <w:lang w:val="sr-Latn-ME"/>
              </w:rPr>
            </w:pPr>
            <w:r w:rsidRPr="00DF79AE">
              <w:rPr>
                <w:sz w:val="22"/>
                <w:szCs w:val="22"/>
                <w:lang w:val="sr-Latn-ME"/>
              </w:rPr>
              <w:t>49%</w:t>
            </w:r>
          </w:p>
        </w:tc>
        <w:tc>
          <w:tcPr>
            <w:tcW w:w="1118" w:type="dxa"/>
            <w:shd w:val="clear" w:color="auto" w:fill="auto"/>
          </w:tcPr>
          <w:p w14:paraId="28350F25" w14:textId="77777777" w:rsidR="000B2A5C" w:rsidRPr="00DF79AE" w:rsidRDefault="000B2A5C" w:rsidP="00BC1FCA">
            <w:pPr>
              <w:rPr>
                <w:sz w:val="22"/>
                <w:szCs w:val="22"/>
                <w:lang w:val="sr-Latn-ME"/>
              </w:rPr>
            </w:pPr>
            <w:r w:rsidRPr="00DF79AE">
              <w:rPr>
                <w:sz w:val="22"/>
                <w:szCs w:val="22"/>
                <w:lang w:val="sr-Latn-ME"/>
              </w:rPr>
              <w:t>62%</w:t>
            </w:r>
          </w:p>
        </w:tc>
      </w:tr>
      <w:tr w:rsidR="000B2A5C" w:rsidRPr="00DF79AE" w14:paraId="7DB009A0" w14:textId="77777777" w:rsidTr="00BC1FCA">
        <w:trPr>
          <w:cantSplit/>
          <w:jc w:val="center"/>
        </w:trPr>
        <w:tc>
          <w:tcPr>
            <w:tcW w:w="1061" w:type="dxa"/>
            <w:tcBorders>
              <w:top w:val="single" w:sz="4" w:space="0" w:color="auto"/>
              <w:left w:val="single" w:sz="4" w:space="0" w:color="auto"/>
              <w:bottom w:val="single" w:sz="4" w:space="0" w:color="auto"/>
              <w:right w:val="single" w:sz="4" w:space="0" w:color="auto"/>
            </w:tcBorders>
          </w:tcPr>
          <w:p w14:paraId="15BA6ACB" w14:textId="77777777" w:rsidR="000B2A5C" w:rsidRPr="00DF79AE" w:rsidRDefault="000B2A5C" w:rsidP="00BC1FCA">
            <w:pPr>
              <w:tabs>
                <w:tab w:val="left" w:pos="284"/>
              </w:tabs>
              <w:rPr>
                <w:sz w:val="22"/>
                <w:szCs w:val="22"/>
                <w:lang w:val="sr-Latn-ME"/>
              </w:rPr>
            </w:pPr>
            <w:r w:rsidRPr="00DF79AE">
              <w:rPr>
                <w:sz w:val="22"/>
                <w:szCs w:val="22"/>
                <w:lang w:val="sr-Latn-ME"/>
              </w:rPr>
              <w:t>52. nedjelja</w:t>
            </w:r>
          </w:p>
        </w:tc>
        <w:tc>
          <w:tcPr>
            <w:tcW w:w="1090" w:type="dxa"/>
            <w:tcBorders>
              <w:top w:val="single" w:sz="4" w:space="0" w:color="auto"/>
              <w:left w:val="single" w:sz="4" w:space="0" w:color="auto"/>
              <w:bottom w:val="single" w:sz="4" w:space="0" w:color="auto"/>
              <w:right w:val="single" w:sz="4" w:space="0" w:color="auto"/>
            </w:tcBorders>
          </w:tcPr>
          <w:p w14:paraId="2B9FB9E0" w14:textId="77777777" w:rsidR="000B2A5C" w:rsidRPr="00DF79AE" w:rsidRDefault="000B2A5C" w:rsidP="00BC1FCA">
            <w:pPr>
              <w:tabs>
                <w:tab w:val="left" w:pos="284"/>
              </w:tabs>
              <w:rPr>
                <w:sz w:val="22"/>
                <w:szCs w:val="22"/>
                <w:lang w:val="sr-Latn-ME"/>
              </w:rPr>
            </w:pPr>
            <w:r w:rsidRPr="00DF79AE">
              <w:rPr>
                <w:sz w:val="22"/>
                <w:szCs w:val="22"/>
                <w:lang w:val="sr-Latn-ME"/>
              </w:rPr>
              <w:t>NP</w:t>
            </w:r>
          </w:p>
        </w:tc>
        <w:tc>
          <w:tcPr>
            <w:tcW w:w="1118" w:type="dxa"/>
            <w:tcBorders>
              <w:top w:val="single" w:sz="4" w:space="0" w:color="auto"/>
              <w:left w:val="single" w:sz="4" w:space="0" w:color="auto"/>
              <w:bottom w:val="single" w:sz="4" w:space="0" w:color="auto"/>
              <w:right w:val="single" w:sz="4" w:space="0" w:color="auto"/>
            </w:tcBorders>
          </w:tcPr>
          <w:p w14:paraId="29AA8ED5" w14:textId="77777777" w:rsidR="000B2A5C" w:rsidRPr="00DF79AE" w:rsidRDefault="000B2A5C" w:rsidP="00BC1FCA">
            <w:pPr>
              <w:tabs>
                <w:tab w:val="left" w:pos="284"/>
              </w:tabs>
              <w:rPr>
                <w:sz w:val="22"/>
                <w:szCs w:val="22"/>
                <w:lang w:val="sr-Latn-ME"/>
              </w:rPr>
            </w:pPr>
            <w:r w:rsidRPr="00DF79AE">
              <w:rPr>
                <w:sz w:val="22"/>
                <w:szCs w:val="22"/>
                <w:lang w:val="sr-Latn-ME"/>
              </w:rPr>
              <w:t>NP</w:t>
            </w:r>
          </w:p>
        </w:tc>
        <w:tc>
          <w:tcPr>
            <w:tcW w:w="1080" w:type="dxa"/>
            <w:tcBorders>
              <w:top w:val="single" w:sz="4" w:space="0" w:color="auto"/>
              <w:left w:val="single" w:sz="4" w:space="0" w:color="auto"/>
              <w:bottom w:val="single" w:sz="4" w:space="0" w:color="auto"/>
              <w:right w:val="single" w:sz="4" w:space="0" w:color="auto"/>
            </w:tcBorders>
          </w:tcPr>
          <w:p w14:paraId="0F364DA9" w14:textId="77777777" w:rsidR="000B2A5C" w:rsidRPr="00DF79AE" w:rsidRDefault="000B2A5C" w:rsidP="00BC1FCA">
            <w:pPr>
              <w:tabs>
                <w:tab w:val="left" w:pos="284"/>
              </w:tabs>
              <w:rPr>
                <w:sz w:val="22"/>
                <w:szCs w:val="22"/>
                <w:lang w:val="sr-Latn-ME"/>
              </w:rPr>
            </w:pPr>
            <w:r w:rsidRPr="00DF79AE">
              <w:rPr>
                <w:sz w:val="22"/>
                <w:szCs w:val="22"/>
                <w:lang w:val="sr-Latn-ME"/>
              </w:rPr>
              <w:t>NP</w:t>
            </w:r>
          </w:p>
        </w:tc>
        <w:tc>
          <w:tcPr>
            <w:tcW w:w="1118" w:type="dxa"/>
            <w:tcBorders>
              <w:top w:val="single" w:sz="4" w:space="0" w:color="auto"/>
              <w:left w:val="single" w:sz="4" w:space="0" w:color="auto"/>
              <w:bottom w:val="single" w:sz="4" w:space="0" w:color="auto"/>
              <w:right w:val="single" w:sz="4" w:space="0" w:color="auto"/>
            </w:tcBorders>
          </w:tcPr>
          <w:p w14:paraId="314DFC6D" w14:textId="77777777" w:rsidR="000B2A5C" w:rsidRPr="00DF79AE" w:rsidRDefault="000B2A5C" w:rsidP="00BC1FCA">
            <w:pPr>
              <w:tabs>
                <w:tab w:val="left" w:pos="284"/>
              </w:tabs>
              <w:rPr>
                <w:sz w:val="22"/>
                <w:szCs w:val="22"/>
                <w:lang w:val="sr-Latn-ME"/>
              </w:rPr>
            </w:pPr>
            <w:r w:rsidRPr="00DF79AE">
              <w:rPr>
                <w:sz w:val="22"/>
                <w:szCs w:val="22"/>
                <w:lang w:val="sr-Latn-ME"/>
              </w:rPr>
              <w:t>NP</w:t>
            </w:r>
          </w:p>
        </w:tc>
        <w:tc>
          <w:tcPr>
            <w:tcW w:w="927" w:type="dxa"/>
            <w:shd w:val="clear" w:color="auto" w:fill="auto"/>
          </w:tcPr>
          <w:p w14:paraId="17D9A5A3" w14:textId="77777777" w:rsidR="000B2A5C" w:rsidRPr="00DF79AE" w:rsidRDefault="000B2A5C" w:rsidP="00BC1FCA">
            <w:pPr>
              <w:rPr>
                <w:sz w:val="22"/>
                <w:szCs w:val="22"/>
                <w:lang w:val="sr-Latn-ME"/>
              </w:rPr>
            </w:pPr>
            <w:r w:rsidRPr="00DF79AE">
              <w:rPr>
                <w:sz w:val="22"/>
                <w:szCs w:val="22"/>
                <w:lang w:val="sr-Latn-ME"/>
              </w:rPr>
              <w:t>52%</w:t>
            </w:r>
          </w:p>
        </w:tc>
        <w:tc>
          <w:tcPr>
            <w:tcW w:w="1118" w:type="dxa"/>
            <w:shd w:val="clear" w:color="auto" w:fill="auto"/>
          </w:tcPr>
          <w:p w14:paraId="13B40EFF" w14:textId="77777777" w:rsidR="000B2A5C" w:rsidRPr="00DF79AE" w:rsidRDefault="000B2A5C" w:rsidP="00BC1FCA">
            <w:pPr>
              <w:rPr>
                <w:sz w:val="22"/>
                <w:szCs w:val="22"/>
                <w:lang w:val="sr-Latn-ME"/>
              </w:rPr>
            </w:pPr>
            <w:r w:rsidRPr="00DF79AE">
              <w:rPr>
                <w:sz w:val="22"/>
                <w:szCs w:val="22"/>
                <w:lang w:val="sr-Latn-ME"/>
              </w:rPr>
              <w:t>60%</w:t>
            </w:r>
          </w:p>
        </w:tc>
      </w:tr>
      <w:tr w:rsidR="000B2A5C" w:rsidRPr="00DF79AE" w14:paraId="50AB94D5" w14:textId="77777777" w:rsidTr="00BC1FCA">
        <w:trPr>
          <w:cantSplit/>
          <w:jc w:val="center"/>
        </w:trPr>
        <w:tc>
          <w:tcPr>
            <w:tcW w:w="7512" w:type="dxa"/>
            <w:gridSpan w:val="7"/>
            <w:tcBorders>
              <w:top w:val="single" w:sz="4" w:space="0" w:color="auto"/>
              <w:left w:val="single" w:sz="4" w:space="0" w:color="auto"/>
              <w:bottom w:val="single" w:sz="4" w:space="0" w:color="auto"/>
            </w:tcBorders>
            <w:vAlign w:val="center"/>
          </w:tcPr>
          <w:p w14:paraId="656E39C8" w14:textId="77777777" w:rsidR="000B2A5C" w:rsidRPr="00DF79AE" w:rsidRDefault="000B2A5C" w:rsidP="00BC1FCA">
            <w:pPr>
              <w:rPr>
                <w:sz w:val="22"/>
                <w:szCs w:val="22"/>
                <w:lang w:val="sr-Latn-ME"/>
              </w:rPr>
            </w:pPr>
            <w:r w:rsidRPr="00DF79AE">
              <w:rPr>
                <w:b/>
                <w:bCs/>
                <w:sz w:val="22"/>
                <w:szCs w:val="22"/>
                <w:lang w:val="sr-Latn-ME"/>
              </w:rPr>
              <w:t>ACR 50</w:t>
            </w:r>
          </w:p>
        </w:tc>
      </w:tr>
      <w:tr w:rsidR="000B2A5C" w:rsidRPr="00DF79AE" w14:paraId="50FCEB4F" w14:textId="77777777" w:rsidTr="00BC1FCA">
        <w:trPr>
          <w:cantSplit/>
          <w:jc w:val="center"/>
        </w:trPr>
        <w:tc>
          <w:tcPr>
            <w:tcW w:w="1061" w:type="dxa"/>
            <w:tcBorders>
              <w:top w:val="single" w:sz="4" w:space="0" w:color="auto"/>
              <w:left w:val="single" w:sz="4" w:space="0" w:color="auto"/>
              <w:bottom w:val="single" w:sz="4" w:space="0" w:color="auto"/>
              <w:right w:val="single" w:sz="4" w:space="0" w:color="auto"/>
            </w:tcBorders>
          </w:tcPr>
          <w:p w14:paraId="61798DC9" w14:textId="77777777" w:rsidR="000B2A5C" w:rsidRPr="00DF79AE" w:rsidRDefault="000B2A5C" w:rsidP="00BC1FCA">
            <w:pPr>
              <w:tabs>
                <w:tab w:val="left" w:pos="284"/>
              </w:tabs>
              <w:rPr>
                <w:sz w:val="22"/>
                <w:szCs w:val="22"/>
                <w:lang w:val="sr-Latn-ME"/>
              </w:rPr>
            </w:pPr>
            <w:r w:rsidRPr="00DF79AE">
              <w:rPr>
                <w:sz w:val="22"/>
                <w:szCs w:val="22"/>
                <w:lang w:val="sr-Latn-ME"/>
              </w:rPr>
              <w:t> 14. nedjelja</w:t>
            </w:r>
          </w:p>
        </w:tc>
        <w:tc>
          <w:tcPr>
            <w:tcW w:w="1090" w:type="dxa"/>
            <w:tcBorders>
              <w:top w:val="single" w:sz="4" w:space="0" w:color="auto"/>
              <w:left w:val="single" w:sz="4" w:space="0" w:color="auto"/>
              <w:bottom w:val="single" w:sz="4" w:space="0" w:color="auto"/>
              <w:right w:val="single" w:sz="4" w:space="0" w:color="auto"/>
            </w:tcBorders>
          </w:tcPr>
          <w:p w14:paraId="0F415321" w14:textId="77777777" w:rsidR="000B2A5C" w:rsidRPr="00DF79AE" w:rsidRDefault="000B2A5C" w:rsidP="00BC1FCA">
            <w:pPr>
              <w:tabs>
                <w:tab w:val="left" w:pos="284"/>
              </w:tabs>
              <w:rPr>
                <w:sz w:val="22"/>
                <w:szCs w:val="22"/>
                <w:lang w:val="sr-Latn-ME"/>
              </w:rPr>
            </w:pPr>
            <w:r w:rsidRPr="00DF79AE">
              <w:rPr>
                <w:sz w:val="22"/>
                <w:szCs w:val="22"/>
                <w:lang w:val="sr-Latn-ME"/>
              </w:rPr>
              <w:t>10%</w:t>
            </w:r>
          </w:p>
        </w:tc>
        <w:tc>
          <w:tcPr>
            <w:tcW w:w="1118" w:type="dxa"/>
            <w:tcBorders>
              <w:top w:val="single" w:sz="4" w:space="0" w:color="auto"/>
              <w:left w:val="single" w:sz="4" w:space="0" w:color="auto"/>
              <w:bottom w:val="single" w:sz="4" w:space="0" w:color="auto"/>
              <w:right w:val="single" w:sz="4" w:space="0" w:color="auto"/>
            </w:tcBorders>
          </w:tcPr>
          <w:p w14:paraId="581EDD2C" w14:textId="77777777" w:rsidR="000B2A5C" w:rsidRPr="00DF79AE" w:rsidRDefault="000B2A5C" w:rsidP="00BC1FCA">
            <w:pPr>
              <w:tabs>
                <w:tab w:val="left" w:pos="284"/>
              </w:tabs>
              <w:rPr>
                <w:sz w:val="22"/>
                <w:szCs w:val="22"/>
                <w:lang w:val="sr-Latn-ME"/>
              </w:rPr>
            </w:pPr>
            <w:r w:rsidRPr="00DF79AE">
              <w:rPr>
                <w:sz w:val="22"/>
                <w:szCs w:val="22"/>
                <w:lang w:val="sr-Latn-ME"/>
              </w:rPr>
              <w:t>35%*</w:t>
            </w:r>
          </w:p>
        </w:tc>
        <w:tc>
          <w:tcPr>
            <w:tcW w:w="1080" w:type="dxa"/>
            <w:tcBorders>
              <w:top w:val="single" w:sz="4" w:space="0" w:color="auto"/>
              <w:left w:val="single" w:sz="4" w:space="0" w:color="auto"/>
              <w:bottom w:val="single" w:sz="4" w:space="0" w:color="auto"/>
              <w:right w:val="single" w:sz="4" w:space="0" w:color="auto"/>
            </w:tcBorders>
          </w:tcPr>
          <w:p w14:paraId="3317C610" w14:textId="77777777" w:rsidR="000B2A5C" w:rsidRPr="00DF79AE" w:rsidRDefault="000B2A5C" w:rsidP="00BC1FCA">
            <w:pPr>
              <w:tabs>
                <w:tab w:val="left" w:pos="284"/>
              </w:tabs>
              <w:rPr>
                <w:sz w:val="22"/>
                <w:szCs w:val="22"/>
                <w:lang w:val="sr-Latn-ME"/>
              </w:rPr>
            </w:pPr>
            <w:r w:rsidRPr="00DF79AE">
              <w:rPr>
                <w:sz w:val="22"/>
                <w:szCs w:val="22"/>
                <w:lang w:val="sr-Latn-ME"/>
              </w:rPr>
              <w:t>7%</w:t>
            </w:r>
          </w:p>
        </w:tc>
        <w:tc>
          <w:tcPr>
            <w:tcW w:w="1118" w:type="dxa"/>
            <w:tcBorders>
              <w:top w:val="single" w:sz="4" w:space="0" w:color="auto"/>
              <w:left w:val="single" w:sz="4" w:space="0" w:color="auto"/>
              <w:bottom w:val="single" w:sz="4" w:space="0" w:color="auto"/>
              <w:right w:val="single" w:sz="4" w:space="0" w:color="auto"/>
            </w:tcBorders>
          </w:tcPr>
          <w:p w14:paraId="32162EED" w14:textId="77777777" w:rsidR="000B2A5C" w:rsidRPr="00DF79AE" w:rsidRDefault="000B2A5C" w:rsidP="00BC1FCA">
            <w:pPr>
              <w:tabs>
                <w:tab w:val="left" w:pos="284"/>
              </w:tabs>
              <w:rPr>
                <w:sz w:val="22"/>
                <w:szCs w:val="22"/>
                <w:lang w:val="sr-Latn-ME"/>
              </w:rPr>
            </w:pPr>
            <w:r w:rsidRPr="00DF79AE">
              <w:rPr>
                <w:sz w:val="22"/>
                <w:szCs w:val="22"/>
                <w:lang w:val="sr-Latn-ME"/>
              </w:rPr>
              <w:t>15% p=0,021</w:t>
            </w:r>
          </w:p>
        </w:tc>
        <w:tc>
          <w:tcPr>
            <w:tcW w:w="927" w:type="dxa"/>
            <w:shd w:val="clear" w:color="auto" w:fill="auto"/>
          </w:tcPr>
          <w:p w14:paraId="18130F25" w14:textId="77777777" w:rsidR="000B2A5C" w:rsidRPr="00DF79AE" w:rsidRDefault="000B2A5C" w:rsidP="00BC1FCA">
            <w:pPr>
              <w:rPr>
                <w:sz w:val="22"/>
                <w:szCs w:val="22"/>
                <w:lang w:val="sr-Latn-ME"/>
              </w:rPr>
            </w:pPr>
            <w:r w:rsidRPr="00DF79AE">
              <w:rPr>
                <w:sz w:val="22"/>
                <w:szCs w:val="22"/>
                <w:lang w:val="sr-Latn-ME"/>
              </w:rPr>
              <w:t>NP</w:t>
            </w:r>
          </w:p>
        </w:tc>
        <w:tc>
          <w:tcPr>
            <w:tcW w:w="1118" w:type="dxa"/>
            <w:shd w:val="clear" w:color="auto" w:fill="auto"/>
          </w:tcPr>
          <w:p w14:paraId="2E38B823" w14:textId="77777777" w:rsidR="000B2A5C" w:rsidRPr="00DF79AE" w:rsidRDefault="000B2A5C" w:rsidP="00BC1FCA">
            <w:pPr>
              <w:rPr>
                <w:sz w:val="22"/>
                <w:szCs w:val="22"/>
                <w:lang w:val="sr-Latn-ME"/>
              </w:rPr>
            </w:pPr>
            <w:r w:rsidRPr="00DF79AE">
              <w:rPr>
                <w:sz w:val="22"/>
                <w:szCs w:val="22"/>
                <w:lang w:val="sr-Latn-ME"/>
              </w:rPr>
              <w:t>NP</w:t>
            </w:r>
          </w:p>
        </w:tc>
      </w:tr>
      <w:tr w:rsidR="000B2A5C" w:rsidRPr="00DF79AE" w14:paraId="720D07E1" w14:textId="77777777" w:rsidTr="00BC1FCA">
        <w:trPr>
          <w:cantSplit/>
          <w:jc w:val="center"/>
        </w:trPr>
        <w:tc>
          <w:tcPr>
            <w:tcW w:w="1061" w:type="dxa"/>
            <w:tcBorders>
              <w:top w:val="single" w:sz="4" w:space="0" w:color="auto"/>
              <w:left w:val="single" w:sz="4" w:space="0" w:color="auto"/>
              <w:bottom w:val="single" w:sz="4" w:space="0" w:color="auto"/>
              <w:right w:val="single" w:sz="4" w:space="0" w:color="auto"/>
            </w:tcBorders>
          </w:tcPr>
          <w:p w14:paraId="11DC1250" w14:textId="77777777" w:rsidR="000B2A5C" w:rsidRPr="00DF79AE" w:rsidRDefault="000B2A5C" w:rsidP="00BC1FCA">
            <w:pPr>
              <w:tabs>
                <w:tab w:val="left" w:pos="284"/>
              </w:tabs>
              <w:rPr>
                <w:sz w:val="22"/>
                <w:szCs w:val="22"/>
                <w:lang w:val="sr-Latn-ME"/>
              </w:rPr>
            </w:pPr>
            <w:r w:rsidRPr="00DF79AE">
              <w:rPr>
                <w:sz w:val="22"/>
                <w:szCs w:val="22"/>
                <w:lang w:val="sr-Latn-ME"/>
              </w:rPr>
              <w:t> 24. nedjelja</w:t>
            </w:r>
          </w:p>
        </w:tc>
        <w:tc>
          <w:tcPr>
            <w:tcW w:w="1090" w:type="dxa"/>
            <w:tcBorders>
              <w:top w:val="single" w:sz="4" w:space="0" w:color="auto"/>
              <w:left w:val="single" w:sz="4" w:space="0" w:color="auto"/>
              <w:bottom w:val="single" w:sz="4" w:space="0" w:color="auto"/>
              <w:right w:val="single" w:sz="4" w:space="0" w:color="auto"/>
            </w:tcBorders>
          </w:tcPr>
          <w:p w14:paraId="42B74E05" w14:textId="77777777" w:rsidR="000B2A5C" w:rsidRPr="00DF79AE" w:rsidRDefault="000B2A5C" w:rsidP="00BC1FCA">
            <w:pPr>
              <w:tabs>
                <w:tab w:val="left" w:pos="284"/>
              </w:tabs>
              <w:rPr>
                <w:sz w:val="22"/>
                <w:szCs w:val="22"/>
                <w:lang w:val="sr-Latn-ME"/>
              </w:rPr>
            </w:pPr>
            <w:r w:rsidRPr="00DF79AE">
              <w:rPr>
                <w:sz w:val="22"/>
                <w:szCs w:val="22"/>
                <w:lang w:val="sr-Latn-ME"/>
              </w:rPr>
              <w:t>14%</w:t>
            </w:r>
          </w:p>
        </w:tc>
        <w:tc>
          <w:tcPr>
            <w:tcW w:w="1118" w:type="dxa"/>
            <w:tcBorders>
              <w:top w:val="single" w:sz="4" w:space="0" w:color="auto"/>
              <w:left w:val="single" w:sz="4" w:space="0" w:color="auto"/>
              <w:bottom w:val="single" w:sz="4" w:space="0" w:color="auto"/>
              <w:right w:val="single" w:sz="4" w:space="0" w:color="auto"/>
            </w:tcBorders>
          </w:tcPr>
          <w:p w14:paraId="0D38F02F" w14:textId="77777777" w:rsidR="000B2A5C" w:rsidRPr="00DF79AE" w:rsidRDefault="000B2A5C" w:rsidP="00BC1FCA">
            <w:pPr>
              <w:tabs>
                <w:tab w:val="left" w:pos="284"/>
              </w:tabs>
              <w:rPr>
                <w:sz w:val="22"/>
                <w:szCs w:val="22"/>
                <w:lang w:val="sr-Latn-ME"/>
              </w:rPr>
            </w:pPr>
            <w:r w:rsidRPr="00DF79AE">
              <w:rPr>
                <w:sz w:val="22"/>
                <w:szCs w:val="22"/>
                <w:lang w:val="sr-Latn-ME"/>
              </w:rPr>
              <w:t>37%*</w:t>
            </w:r>
          </w:p>
        </w:tc>
        <w:tc>
          <w:tcPr>
            <w:tcW w:w="1080" w:type="dxa"/>
            <w:tcBorders>
              <w:top w:val="single" w:sz="4" w:space="0" w:color="auto"/>
              <w:left w:val="single" w:sz="4" w:space="0" w:color="auto"/>
              <w:bottom w:val="single" w:sz="4" w:space="0" w:color="auto"/>
              <w:right w:val="single" w:sz="4" w:space="0" w:color="auto"/>
            </w:tcBorders>
          </w:tcPr>
          <w:p w14:paraId="5C62F0CC" w14:textId="77777777" w:rsidR="000B2A5C" w:rsidRPr="00DF79AE" w:rsidRDefault="000B2A5C" w:rsidP="00BC1FCA">
            <w:pPr>
              <w:tabs>
                <w:tab w:val="left" w:pos="284"/>
              </w:tabs>
              <w:rPr>
                <w:sz w:val="22"/>
                <w:szCs w:val="22"/>
                <w:lang w:val="sr-Latn-ME"/>
              </w:rPr>
            </w:pPr>
            <w:r w:rsidRPr="00DF79AE">
              <w:rPr>
                <w:sz w:val="22"/>
                <w:szCs w:val="22"/>
                <w:lang w:val="sr-Latn-ME"/>
              </w:rPr>
              <w:t>4%</w:t>
            </w:r>
          </w:p>
        </w:tc>
        <w:tc>
          <w:tcPr>
            <w:tcW w:w="1118" w:type="dxa"/>
            <w:tcBorders>
              <w:top w:val="single" w:sz="4" w:space="0" w:color="auto"/>
              <w:left w:val="single" w:sz="4" w:space="0" w:color="auto"/>
              <w:bottom w:val="single" w:sz="4" w:space="0" w:color="auto"/>
              <w:right w:val="single" w:sz="4" w:space="0" w:color="auto"/>
            </w:tcBorders>
          </w:tcPr>
          <w:p w14:paraId="5ABCA503" w14:textId="77777777" w:rsidR="000B2A5C" w:rsidRPr="00DF79AE" w:rsidRDefault="000B2A5C" w:rsidP="00BC1FCA">
            <w:pPr>
              <w:tabs>
                <w:tab w:val="left" w:pos="284"/>
              </w:tabs>
              <w:rPr>
                <w:sz w:val="22"/>
                <w:szCs w:val="22"/>
                <w:lang w:val="sr-Latn-ME"/>
              </w:rPr>
            </w:pPr>
            <w:r w:rsidRPr="00DF79AE">
              <w:rPr>
                <w:sz w:val="22"/>
                <w:szCs w:val="22"/>
                <w:lang w:val="sr-Latn-ME"/>
              </w:rPr>
              <w:t>16%*</w:t>
            </w:r>
          </w:p>
        </w:tc>
        <w:tc>
          <w:tcPr>
            <w:tcW w:w="927" w:type="dxa"/>
            <w:shd w:val="clear" w:color="auto" w:fill="auto"/>
          </w:tcPr>
          <w:p w14:paraId="12135B4E" w14:textId="77777777" w:rsidR="000B2A5C" w:rsidRPr="00DF79AE" w:rsidRDefault="000B2A5C" w:rsidP="00BC1FCA">
            <w:pPr>
              <w:rPr>
                <w:b/>
                <w:sz w:val="22"/>
                <w:szCs w:val="22"/>
                <w:lang w:val="sr-Latn-ME"/>
              </w:rPr>
            </w:pPr>
            <w:r w:rsidRPr="00DF79AE">
              <w:rPr>
                <w:b/>
                <w:sz w:val="22"/>
                <w:szCs w:val="22"/>
                <w:lang w:val="sr-Latn-ME"/>
              </w:rPr>
              <w:t>29%</w:t>
            </w:r>
          </w:p>
        </w:tc>
        <w:tc>
          <w:tcPr>
            <w:tcW w:w="1118" w:type="dxa"/>
            <w:shd w:val="clear" w:color="auto" w:fill="auto"/>
          </w:tcPr>
          <w:p w14:paraId="0BA27271" w14:textId="77777777" w:rsidR="000B2A5C" w:rsidRPr="00DF79AE" w:rsidRDefault="000B2A5C" w:rsidP="00BC1FCA">
            <w:pPr>
              <w:rPr>
                <w:b/>
                <w:sz w:val="22"/>
                <w:szCs w:val="22"/>
                <w:lang w:val="sr-Latn-ME"/>
              </w:rPr>
            </w:pPr>
            <w:r w:rsidRPr="00DF79AE">
              <w:rPr>
                <w:b/>
                <w:sz w:val="22"/>
                <w:szCs w:val="22"/>
                <w:lang w:val="sr-Latn-ME"/>
              </w:rPr>
              <w:t>40%</w:t>
            </w:r>
          </w:p>
        </w:tc>
      </w:tr>
      <w:tr w:rsidR="000B2A5C" w:rsidRPr="00DF79AE" w14:paraId="40A728C5" w14:textId="77777777" w:rsidTr="00BC1FCA">
        <w:trPr>
          <w:cantSplit/>
          <w:jc w:val="center"/>
        </w:trPr>
        <w:tc>
          <w:tcPr>
            <w:tcW w:w="1061" w:type="dxa"/>
            <w:tcBorders>
              <w:top w:val="single" w:sz="4" w:space="0" w:color="auto"/>
              <w:left w:val="single" w:sz="4" w:space="0" w:color="auto"/>
              <w:bottom w:val="single" w:sz="4" w:space="0" w:color="auto"/>
              <w:right w:val="single" w:sz="4" w:space="0" w:color="auto"/>
            </w:tcBorders>
          </w:tcPr>
          <w:p w14:paraId="78F430BB" w14:textId="77777777" w:rsidR="000B2A5C" w:rsidRPr="00DF79AE" w:rsidRDefault="000B2A5C" w:rsidP="00BC1FCA">
            <w:pPr>
              <w:tabs>
                <w:tab w:val="left" w:pos="284"/>
              </w:tabs>
              <w:rPr>
                <w:sz w:val="22"/>
                <w:szCs w:val="22"/>
                <w:lang w:val="sr-Latn-ME"/>
              </w:rPr>
            </w:pPr>
            <w:r w:rsidRPr="00DF79AE">
              <w:rPr>
                <w:sz w:val="22"/>
                <w:szCs w:val="22"/>
                <w:lang w:val="sr-Latn-ME"/>
              </w:rPr>
              <w:t>52. nedjelja</w:t>
            </w:r>
          </w:p>
        </w:tc>
        <w:tc>
          <w:tcPr>
            <w:tcW w:w="1090" w:type="dxa"/>
            <w:tcBorders>
              <w:top w:val="single" w:sz="4" w:space="0" w:color="auto"/>
              <w:left w:val="single" w:sz="4" w:space="0" w:color="auto"/>
              <w:bottom w:val="single" w:sz="4" w:space="0" w:color="auto"/>
              <w:right w:val="single" w:sz="4" w:space="0" w:color="auto"/>
            </w:tcBorders>
          </w:tcPr>
          <w:p w14:paraId="4AFE68A6" w14:textId="77777777" w:rsidR="000B2A5C" w:rsidRPr="00DF79AE" w:rsidRDefault="000B2A5C" w:rsidP="00BC1FCA">
            <w:pPr>
              <w:tabs>
                <w:tab w:val="left" w:pos="284"/>
              </w:tabs>
              <w:rPr>
                <w:sz w:val="22"/>
                <w:szCs w:val="22"/>
                <w:lang w:val="sr-Latn-ME"/>
              </w:rPr>
            </w:pPr>
            <w:r w:rsidRPr="00DF79AE">
              <w:rPr>
                <w:sz w:val="22"/>
                <w:szCs w:val="22"/>
                <w:lang w:val="sr-Latn-ME"/>
              </w:rPr>
              <w:t>NP</w:t>
            </w:r>
          </w:p>
        </w:tc>
        <w:tc>
          <w:tcPr>
            <w:tcW w:w="1118" w:type="dxa"/>
            <w:tcBorders>
              <w:top w:val="single" w:sz="4" w:space="0" w:color="auto"/>
              <w:left w:val="single" w:sz="4" w:space="0" w:color="auto"/>
              <w:bottom w:val="single" w:sz="4" w:space="0" w:color="auto"/>
              <w:right w:val="single" w:sz="4" w:space="0" w:color="auto"/>
            </w:tcBorders>
          </w:tcPr>
          <w:p w14:paraId="1D0185BE" w14:textId="77777777" w:rsidR="000B2A5C" w:rsidRPr="00DF79AE" w:rsidRDefault="000B2A5C" w:rsidP="00BC1FCA">
            <w:pPr>
              <w:tabs>
                <w:tab w:val="left" w:pos="284"/>
              </w:tabs>
              <w:rPr>
                <w:sz w:val="22"/>
                <w:szCs w:val="22"/>
                <w:lang w:val="sr-Latn-ME"/>
              </w:rPr>
            </w:pPr>
            <w:r w:rsidRPr="00DF79AE">
              <w:rPr>
                <w:sz w:val="22"/>
                <w:szCs w:val="22"/>
                <w:lang w:val="sr-Latn-ME"/>
              </w:rPr>
              <w:t>NP</w:t>
            </w:r>
          </w:p>
        </w:tc>
        <w:tc>
          <w:tcPr>
            <w:tcW w:w="1080" w:type="dxa"/>
            <w:tcBorders>
              <w:top w:val="single" w:sz="4" w:space="0" w:color="auto"/>
              <w:left w:val="single" w:sz="4" w:space="0" w:color="auto"/>
              <w:bottom w:val="single" w:sz="4" w:space="0" w:color="auto"/>
              <w:right w:val="single" w:sz="4" w:space="0" w:color="auto"/>
            </w:tcBorders>
          </w:tcPr>
          <w:p w14:paraId="5E7490E7" w14:textId="77777777" w:rsidR="000B2A5C" w:rsidRPr="00DF79AE" w:rsidDel="0059000A" w:rsidRDefault="000B2A5C" w:rsidP="00BC1FCA">
            <w:pPr>
              <w:tabs>
                <w:tab w:val="left" w:pos="284"/>
              </w:tabs>
              <w:rPr>
                <w:sz w:val="22"/>
                <w:szCs w:val="22"/>
                <w:lang w:val="sr-Latn-ME"/>
              </w:rPr>
            </w:pPr>
            <w:r w:rsidRPr="00DF79AE">
              <w:rPr>
                <w:sz w:val="22"/>
                <w:szCs w:val="22"/>
                <w:lang w:val="sr-Latn-ME"/>
              </w:rPr>
              <w:t>NP</w:t>
            </w:r>
          </w:p>
        </w:tc>
        <w:tc>
          <w:tcPr>
            <w:tcW w:w="1118" w:type="dxa"/>
            <w:tcBorders>
              <w:top w:val="single" w:sz="4" w:space="0" w:color="auto"/>
              <w:left w:val="single" w:sz="4" w:space="0" w:color="auto"/>
              <w:bottom w:val="single" w:sz="4" w:space="0" w:color="auto"/>
              <w:right w:val="single" w:sz="4" w:space="0" w:color="auto"/>
            </w:tcBorders>
          </w:tcPr>
          <w:p w14:paraId="38E7E7AD" w14:textId="77777777" w:rsidR="000B2A5C" w:rsidRPr="00DF79AE" w:rsidRDefault="000B2A5C" w:rsidP="00BC1FCA">
            <w:pPr>
              <w:tabs>
                <w:tab w:val="left" w:pos="284"/>
              </w:tabs>
              <w:rPr>
                <w:sz w:val="22"/>
                <w:szCs w:val="22"/>
                <w:lang w:val="sr-Latn-ME"/>
              </w:rPr>
            </w:pPr>
            <w:r w:rsidRPr="00DF79AE">
              <w:rPr>
                <w:sz w:val="22"/>
                <w:szCs w:val="22"/>
                <w:lang w:val="sr-Latn-ME"/>
              </w:rPr>
              <w:t>NP</w:t>
            </w:r>
          </w:p>
        </w:tc>
        <w:tc>
          <w:tcPr>
            <w:tcW w:w="927" w:type="dxa"/>
            <w:shd w:val="clear" w:color="auto" w:fill="auto"/>
          </w:tcPr>
          <w:p w14:paraId="33AFB80F" w14:textId="77777777" w:rsidR="000B2A5C" w:rsidRPr="00DF79AE" w:rsidRDefault="000B2A5C" w:rsidP="00BC1FCA">
            <w:pPr>
              <w:rPr>
                <w:sz w:val="22"/>
                <w:szCs w:val="22"/>
                <w:lang w:val="sr-Latn-ME"/>
              </w:rPr>
            </w:pPr>
            <w:r w:rsidRPr="00DF79AE">
              <w:rPr>
                <w:sz w:val="22"/>
                <w:szCs w:val="22"/>
                <w:lang w:val="sr-Latn-ME"/>
              </w:rPr>
              <w:t>36%</w:t>
            </w:r>
          </w:p>
        </w:tc>
        <w:tc>
          <w:tcPr>
            <w:tcW w:w="1118" w:type="dxa"/>
            <w:shd w:val="clear" w:color="auto" w:fill="auto"/>
          </w:tcPr>
          <w:p w14:paraId="7734D39D" w14:textId="77777777" w:rsidR="000B2A5C" w:rsidRPr="00DF79AE" w:rsidRDefault="000B2A5C" w:rsidP="00BC1FCA">
            <w:pPr>
              <w:rPr>
                <w:sz w:val="22"/>
                <w:szCs w:val="22"/>
                <w:lang w:val="sr-Latn-ME"/>
              </w:rPr>
            </w:pPr>
            <w:r w:rsidRPr="00DF79AE">
              <w:rPr>
                <w:sz w:val="22"/>
                <w:szCs w:val="22"/>
                <w:lang w:val="sr-Latn-ME"/>
              </w:rPr>
              <w:t>42%</w:t>
            </w:r>
          </w:p>
        </w:tc>
      </w:tr>
      <w:tr w:rsidR="000B2A5C" w:rsidRPr="00DF79AE" w14:paraId="44AF717E" w14:textId="77777777" w:rsidTr="00BC1FCA">
        <w:trPr>
          <w:cantSplit/>
          <w:jc w:val="center"/>
        </w:trPr>
        <w:tc>
          <w:tcPr>
            <w:tcW w:w="7512" w:type="dxa"/>
            <w:gridSpan w:val="7"/>
            <w:tcBorders>
              <w:top w:val="single" w:sz="4" w:space="0" w:color="auto"/>
              <w:left w:val="single" w:sz="4" w:space="0" w:color="auto"/>
              <w:bottom w:val="single" w:sz="4" w:space="0" w:color="auto"/>
            </w:tcBorders>
            <w:vAlign w:val="center"/>
          </w:tcPr>
          <w:p w14:paraId="67D3D56C" w14:textId="77777777" w:rsidR="000B2A5C" w:rsidRPr="00DF79AE" w:rsidRDefault="000B2A5C" w:rsidP="00BC1FCA">
            <w:pPr>
              <w:rPr>
                <w:sz w:val="22"/>
                <w:szCs w:val="22"/>
                <w:lang w:val="sr-Latn-ME"/>
              </w:rPr>
            </w:pPr>
            <w:r w:rsidRPr="00DF79AE">
              <w:rPr>
                <w:b/>
                <w:bCs/>
                <w:sz w:val="22"/>
                <w:szCs w:val="22"/>
                <w:lang w:val="sr-Latn-ME"/>
              </w:rPr>
              <w:t>ACR 70</w:t>
            </w:r>
          </w:p>
        </w:tc>
      </w:tr>
      <w:tr w:rsidR="000B2A5C" w:rsidRPr="00DF79AE" w14:paraId="1E920B83" w14:textId="77777777" w:rsidTr="00BC1FCA">
        <w:trPr>
          <w:cantSplit/>
          <w:jc w:val="center"/>
        </w:trPr>
        <w:tc>
          <w:tcPr>
            <w:tcW w:w="1061" w:type="dxa"/>
            <w:tcBorders>
              <w:top w:val="single" w:sz="4" w:space="0" w:color="auto"/>
              <w:left w:val="single" w:sz="4" w:space="0" w:color="auto"/>
              <w:bottom w:val="single" w:sz="4" w:space="0" w:color="auto"/>
              <w:right w:val="single" w:sz="4" w:space="0" w:color="auto"/>
            </w:tcBorders>
          </w:tcPr>
          <w:p w14:paraId="19A1BFC6" w14:textId="77777777" w:rsidR="000B2A5C" w:rsidRPr="00DF79AE" w:rsidRDefault="000B2A5C" w:rsidP="00BC1FCA">
            <w:pPr>
              <w:tabs>
                <w:tab w:val="left" w:pos="284"/>
              </w:tabs>
              <w:rPr>
                <w:sz w:val="22"/>
                <w:szCs w:val="22"/>
                <w:lang w:val="sr-Latn-ME"/>
              </w:rPr>
            </w:pPr>
            <w:r w:rsidRPr="00DF79AE">
              <w:rPr>
                <w:sz w:val="22"/>
                <w:szCs w:val="22"/>
                <w:lang w:val="sr-Latn-ME"/>
              </w:rPr>
              <w:t> 14. nedjelja</w:t>
            </w:r>
          </w:p>
        </w:tc>
        <w:tc>
          <w:tcPr>
            <w:tcW w:w="1090" w:type="dxa"/>
            <w:tcBorders>
              <w:top w:val="single" w:sz="4" w:space="0" w:color="auto"/>
              <w:left w:val="single" w:sz="4" w:space="0" w:color="auto"/>
              <w:bottom w:val="single" w:sz="4" w:space="0" w:color="auto"/>
              <w:right w:val="single" w:sz="4" w:space="0" w:color="auto"/>
            </w:tcBorders>
          </w:tcPr>
          <w:p w14:paraId="6D46CFF7" w14:textId="77777777" w:rsidR="000B2A5C" w:rsidRPr="00DF79AE" w:rsidRDefault="000B2A5C" w:rsidP="00BC1FCA">
            <w:pPr>
              <w:tabs>
                <w:tab w:val="left" w:pos="284"/>
              </w:tabs>
              <w:rPr>
                <w:sz w:val="22"/>
                <w:szCs w:val="22"/>
                <w:lang w:val="sr-Latn-ME"/>
              </w:rPr>
            </w:pPr>
            <w:r w:rsidRPr="00DF79AE">
              <w:rPr>
                <w:sz w:val="22"/>
                <w:szCs w:val="22"/>
                <w:lang w:val="sr-Latn-ME"/>
              </w:rPr>
              <w:t>4%</w:t>
            </w:r>
          </w:p>
        </w:tc>
        <w:tc>
          <w:tcPr>
            <w:tcW w:w="1118" w:type="dxa"/>
            <w:tcBorders>
              <w:top w:val="single" w:sz="4" w:space="0" w:color="auto"/>
              <w:left w:val="single" w:sz="4" w:space="0" w:color="auto"/>
              <w:bottom w:val="single" w:sz="4" w:space="0" w:color="auto"/>
              <w:right w:val="single" w:sz="4" w:space="0" w:color="auto"/>
            </w:tcBorders>
          </w:tcPr>
          <w:p w14:paraId="50A52A0B" w14:textId="77777777" w:rsidR="000B2A5C" w:rsidRPr="00DF79AE" w:rsidRDefault="000B2A5C" w:rsidP="00BC1FCA">
            <w:pPr>
              <w:tabs>
                <w:tab w:val="left" w:pos="284"/>
              </w:tabs>
              <w:rPr>
                <w:sz w:val="22"/>
                <w:szCs w:val="22"/>
                <w:lang w:val="sr-Latn-ME"/>
              </w:rPr>
            </w:pPr>
            <w:r w:rsidRPr="00DF79AE">
              <w:rPr>
                <w:sz w:val="22"/>
                <w:szCs w:val="22"/>
                <w:lang w:val="sr-Latn-ME"/>
              </w:rPr>
              <w:t>14% p=0,008</w:t>
            </w:r>
          </w:p>
        </w:tc>
        <w:tc>
          <w:tcPr>
            <w:tcW w:w="1080" w:type="dxa"/>
            <w:tcBorders>
              <w:top w:val="single" w:sz="4" w:space="0" w:color="auto"/>
              <w:left w:val="single" w:sz="4" w:space="0" w:color="auto"/>
              <w:bottom w:val="single" w:sz="4" w:space="0" w:color="auto"/>
              <w:right w:val="single" w:sz="4" w:space="0" w:color="auto"/>
            </w:tcBorders>
          </w:tcPr>
          <w:p w14:paraId="6B4AD6D0" w14:textId="77777777" w:rsidR="000B2A5C" w:rsidRPr="00DF79AE" w:rsidRDefault="000B2A5C" w:rsidP="00BC1FCA">
            <w:pPr>
              <w:tabs>
                <w:tab w:val="left" w:pos="284"/>
              </w:tabs>
              <w:rPr>
                <w:sz w:val="22"/>
                <w:szCs w:val="22"/>
                <w:lang w:val="sr-Latn-ME"/>
              </w:rPr>
            </w:pPr>
            <w:r w:rsidRPr="00DF79AE">
              <w:rPr>
                <w:sz w:val="22"/>
                <w:szCs w:val="22"/>
                <w:lang w:val="sr-Latn-ME"/>
              </w:rPr>
              <w:t>2%</w:t>
            </w:r>
          </w:p>
        </w:tc>
        <w:tc>
          <w:tcPr>
            <w:tcW w:w="1118" w:type="dxa"/>
            <w:tcBorders>
              <w:top w:val="single" w:sz="4" w:space="0" w:color="auto"/>
              <w:left w:val="single" w:sz="4" w:space="0" w:color="auto"/>
              <w:bottom w:val="single" w:sz="4" w:space="0" w:color="auto"/>
              <w:right w:val="single" w:sz="4" w:space="0" w:color="auto"/>
            </w:tcBorders>
          </w:tcPr>
          <w:p w14:paraId="311FDC34" w14:textId="77777777" w:rsidR="000B2A5C" w:rsidRPr="00DF79AE" w:rsidRDefault="000B2A5C" w:rsidP="00BC1FCA">
            <w:pPr>
              <w:tabs>
                <w:tab w:val="left" w:pos="284"/>
              </w:tabs>
              <w:rPr>
                <w:sz w:val="22"/>
                <w:szCs w:val="22"/>
                <w:lang w:val="sr-Latn-ME"/>
              </w:rPr>
            </w:pPr>
            <w:r w:rsidRPr="00DF79AE">
              <w:rPr>
                <w:sz w:val="22"/>
                <w:szCs w:val="22"/>
                <w:lang w:val="sr-Latn-ME"/>
              </w:rPr>
              <w:t>10% p=0,005</w:t>
            </w:r>
          </w:p>
        </w:tc>
        <w:tc>
          <w:tcPr>
            <w:tcW w:w="927" w:type="dxa"/>
            <w:tcBorders>
              <w:bottom w:val="single" w:sz="4" w:space="0" w:color="auto"/>
            </w:tcBorders>
            <w:shd w:val="clear" w:color="auto" w:fill="auto"/>
          </w:tcPr>
          <w:p w14:paraId="2E4F8D6F" w14:textId="77777777" w:rsidR="000B2A5C" w:rsidRPr="00DF79AE" w:rsidRDefault="000B2A5C" w:rsidP="00BC1FCA">
            <w:pPr>
              <w:rPr>
                <w:sz w:val="22"/>
                <w:szCs w:val="22"/>
                <w:lang w:val="sr-Latn-ME"/>
              </w:rPr>
            </w:pPr>
            <w:r w:rsidRPr="00DF79AE">
              <w:rPr>
                <w:sz w:val="22"/>
                <w:szCs w:val="22"/>
                <w:lang w:val="sr-Latn-ME"/>
              </w:rPr>
              <w:t>NP</w:t>
            </w:r>
          </w:p>
        </w:tc>
        <w:tc>
          <w:tcPr>
            <w:tcW w:w="1118" w:type="dxa"/>
            <w:shd w:val="clear" w:color="auto" w:fill="auto"/>
          </w:tcPr>
          <w:p w14:paraId="3CF1AD4C" w14:textId="77777777" w:rsidR="000B2A5C" w:rsidRPr="00DF79AE" w:rsidRDefault="000B2A5C" w:rsidP="00BC1FCA">
            <w:pPr>
              <w:rPr>
                <w:sz w:val="22"/>
                <w:szCs w:val="22"/>
                <w:lang w:val="sr-Latn-ME"/>
              </w:rPr>
            </w:pPr>
            <w:r w:rsidRPr="00DF79AE">
              <w:rPr>
                <w:sz w:val="22"/>
                <w:szCs w:val="22"/>
                <w:lang w:val="sr-Latn-ME"/>
              </w:rPr>
              <w:t>NP</w:t>
            </w:r>
          </w:p>
        </w:tc>
      </w:tr>
      <w:tr w:rsidR="000B2A5C" w:rsidRPr="00DF79AE" w14:paraId="40DBDC6A" w14:textId="77777777" w:rsidTr="00BC1FCA">
        <w:trPr>
          <w:cantSplit/>
          <w:jc w:val="center"/>
        </w:trPr>
        <w:tc>
          <w:tcPr>
            <w:tcW w:w="1061" w:type="dxa"/>
            <w:tcBorders>
              <w:top w:val="single" w:sz="4" w:space="0" w:color="auto"/>
              <w:left w:val="single" w:sz="4" w:space="0" w:color="auto"/>
              <w:bottom w:val="single" w:sz="4" w:space="0" w:color="auto"/>
              <w:right w:val="single" w:sz="4" w:space="0" w:color="auto"/>
            </w:tcBorders>
          </w:tcPr>
          <w:p w14:paraId="63D05E54" w14:textId="77777777" w:rsidR="000B2A5C" w:rsidRPr="00DF79AE" w:rsidRDefault="000B2A5C" w:rsidP="00BC1FCA">
            <w:pPr>
              <w:tabs>
                <w:tab w:val="left" w:pos="284"/>
              </w:tabs>
              <w:rPr>
                <w:sz w:val="22"/>
                <w:szCs w:val="22"/>
                <w:lang w:val="sr-Latn-ME"/>
              </w:rPr>
            </w:pPr>
            <w:r w:rsidRPr="00DF79AE">
              <w:rPr>
                <w:sz w:val="22"/>
                <w:szCs w:val="22"/>
                <w:lang w:val="sr-Latn-ME"/>
              </w:rPr>
              <w:t> 24. nedjelja</w:t>
            </w:r>
          </w:p>
        </w:tc>
        <w:tc>
          <w:tcPr>
            <w:tcW w:w="1090" w:type="dxa"/>
            <w:tcBorders>
              <w:top w:val="single" w:sz="4" w:space="0" w:color="auto"/>
              <w:left w:val="single" w:sz="4" w:space="0" w:color="auto"/>
              <w:bottom w:val="single" w:sz="4" w:space="0" w:color="auto"/>
              <w:right w:val="single" w:sz="4" w:space="0" w:color="auto"/>
            </w:tcBorders>
          </w:tcPr>
          <w:p w14:paraId="4BBFB021" w14:textId="77777777" w:rsidR="000B2A5C" w:rsidRPr="00DF79AE" w:rsidRDefault="000B2A5C" w:rsidP="00BC1FCA">
            <w:pPr>
              <w:tabs>
                <w:tab w:val="left" w:pos="284"/>
              </w:tabs>
              <w:rPr>
                <w:sz w:val="22"/>
                <w:szCs w:val="22"/>
                <w:lang w:val="sr-Latn-ME"/>
              </w:rPr>
            </w:pPr>
            <w:r w:rsidRPr="00DF79AE">
              <w:rPr>
                <w:sz w:val="22"/>
                <w:szCs w:val="22"/>
                <w:lang w:val="sr-Latn-ME"/>
              </w:rPr>
              <w:t>5%</w:t>
            </w:r>
          </w:p>
        </w:tc>
        <w:tc>
          <w:tcPr>
            <w:tcW w:w="1118" w:type="dxa"/>
            <w:tcBorders>
              <w:top w:val="single" w:sz="4" w:space="0" w:color="auto"/>
              <w:left w:val="single" w:sz="4" w:space="0" w:color="auto"/>
              <w:bottom w:val="single" w:sz="4" w:space="0" w:color="auto"/>
              <w:right w:val="single" w:sz="4" w:space="0" w:color="auto"/>
            </w:tcBorders>
          </w:tcPr>
          <w:p w14:paraId="13D4C63F" w14:textId="77777777" w:rsidR="000B2A5C" w:rsidRPr="00DF79AE" w:rsidRDefault="000B2A5C" w:rsidP="00BC1FCA">
            <w:pPr>
              <w:tabs>
                <w:tab w:val="left" w:pos="284"/>
              </w:tabs>
              <w:rPr>
                <w:sz w:val="22"/>
                <w:szCs w:val="22"/>
                <w:lang w:val="sr-Latn-ME"/>
              </w:rPr>
            </w:pPr>
            <w:r w:rsidRPr="00DF79AE">
              <w:rPr>
                <w:sz w:val="22"/>
                <w:szCs w:val="22"/>
                <w:lang w:val="sr-Latn-ME"/>
              </w:rPr>
              <w:t>20%*</w:t>
            </w:r>
          </w:p>
        </w:tc>
        <w:tc>
          <w:tcPr>
            <w:tcW w:w="1080" w:type="dxa"/>
            <w:tcBorders>
              <w:top w:val="single" w:sz="4" w:space="0" w:color="auto"/>
              <w:left w:val="single" w:sz="4" w:space="0" w:color="auto"/>
              <w:bottom w:val="single" w:sz="4" w:space="0" w:color="auto"/>
              <w:right w:val="single" w:sz="4" w:space="0" w:color="auto"/>
            </w:tcBorders>
          </w:tcPr>
          <w:p w14:paraId="64C613B6" w14:textId="77777777" w:rsidR="000B2A5C" w:rsidRPr="00DF79AE" w:rsidRDefault="000B2A5C" w:rsidP="00BC1FCA">
            <w:pPr>
              <w:tabs>
                <w:tab w:val="left" w:pos="284"/>
              </w:tabs>
              <w:rPr>
                <w:sz w:val="22"/>
                <w:szCs w:val="22"/>
                <w:lang w:val="sr-Latn-ME"/>
              </w:rPr>
            </w:pPr>
            <w:r w:rsidRPr="00DF79AE">
              <w:rPr>
                <w:sz w:val="22"/>
                <w:szCs w:val="22"/>
                <w:lang w:val="sr-Latn-ME"/>
              </w:rPr>
              <w:t>2%</w:t>
            </w:r>
          </w:p>
        </w:tc>
        <w:tc>
          <w:tcPr>
            <w:tcW w:w="1118" w:type="dxa"/>
            <w:tcBorders>
              <w:top w:val="single" w:sz="4" w:space="0" w:color="auto"/>
              <w:left w:val="single" w:sz="4" w:space="0" w:color="auto"/>
              <w:bottom w:val="single" w:sz="4" w:space="0" w:color="auto"/>
              <w:right w:val="single" w:sz="4" w:space="0" w:color="auto"/>
            </w:tcBorders>
          </w:tcPr>
          <w:p w14:paraId="1DEF0922" w14:textId="77777777" w:rsidR="000B2A5C" w:rsidRPr="00DF79AE" w:rsidRDefault="000B2A5C" w:rsidP="00BC1FCA">
            <w:pPr>
              <w:tabs>
                <w:tab w:val="left" w:pos="284"/>
              </w:tabs>
              <w:rPr>
                <w:sz w:val="22"/>
                <w:szCs w:val="22"/>
                <w:lang w:val="sr-Latn-ME"/>
              </w:rPr>
            </w:pPr>
            <w:r w:rsidRPr="00DF79AE">
              <w:rPr>
                <w:sz w:val="22"/>
                <w:szCs w:val="22"/>
                <w:lang w:val="sr-Latn-ME"/>
              </w:rPr>
              <w:t xml:space="preserve">  9% p=0,009</w:t>
            </w:r>
          </w:p>
        </w:tc>
        <w:tc>
          <w:tcPr>
            <w:tcW w:w="927" w:type="dxa"/>
            <w:tcBorders>
              <w:top w:val="single" w:sz="4" w:space="0" w:color="auto"/>
              <w:bottom w:val="single" w:sz="4" w:space="0" w:color="auto"/>
            </w:tcBorders>
            <w:shd w:val="clear" w:color="auto" w:fill="auto"/>
          </w:tcPr>
          <w:p w14:paraId="763E12EC" w14:textId="77777777" w:rsidR="000B2A5C" w:rsidRPr="00DF79AE" w:rsidRDefault="000B2A5C" w:rsidP="00BC1FCA">
            <w:pPr>
              <w:rPr>
                <w:sz w:val="22"/>
                <w:szCs w:val="22"/>
                <w:lang w:val="sr-Latn-ME"/>
              </w:rPr>
            </w:pPr>
            <w:r w:rsidRPr="00DF79AE">
              <w:rPr>
                <w:sz w:val="22"/>
                <w:szCs w:val="22"/>
                <w:lang w:val="sr-Latn-ME"/>
              </w:rPr>
              <w:t>16%</w:t>
            </w:r>
          </w:p>
        </w:tc>
        <w:tc>
          <w:tcPr>
            <w:tcW w:w="1118" w:type="dxa"/>
            <w:shd w:val="clear" w:color="auto" w:fill="auto"/>
          </w:tcPr>
          <w:p w14:paraId="4668E311" w14:textId="77777777" w:rsidR="000B2A5C" w:rsidRPr="00DF79AE" w:rsidRDefault="000B2A5C" w:rsidP="00BC1FCA">
            <w:pPr>
              <w:rPr>
                <w:sz w:val="22"/>
                <w:szCs w:val="22"/>
                <w:lang w:val="sr-Latn-ME"/>
              </w:rPr>
            </w:pPr>
            <w:r w:rsidRPr="00DF79AE">
              <w:rPr>
                <w:sz w:val="22"/>
                <w:szCs w:val="22"/>
                <w:lang w:val="sr-Latn-ME"/>
              </w:rPr>
              <w:t>24%</w:t>
            </w:r>
          </w:p>
        </w:tc>
      </w:tr>
      <w:tr w:rsidR="000B2A5C" w:rsidRPr="00DF79AE" w14:paraId="4A48F58F" w14:textId="77777777" w:rsidTr="00BC1FCA">
        <w:trPr>
          <w:cantSplit/>
          <w:jc w:val="center"/>
        </w:trPr>
        <w:tc>
          <w:tcPr>
            <w:tcW w:w="1061" w:type="dxa"/>
            <w:tcBorders>
              <w:top w:val="single" w:sz="4" w:space="0" w:color="auto"/>
              <w:left w:val="single" w:sz="4" w:space="0" w:color="auto"/>
              <w:bottom w:val="single" w:sz="4" w:space="0" w:color="auto"/>
              <w:right w:val="single" w:sz="4" w:space="0" w:color="auto"/>
            </w:tcBorders>
          </w:tcPr>
          <w:p w14:paraId="4DA3B529" w14:textId="77777777" w:rsidR="000B2A5C" w:rsidRPr="00DF79AE" w:rsidRDefault="000B2A5C" w:rsidP="00BC1FCA">
            <w:pPr>
              <w:tabs>
                <w:tab w:val="left" w:pos="284"/>
              </w:tabs>
              <w:rPr>
                <w:sz w:val="22"/>
                <w:szCs w:val="22"/>
                <w:lang w:val="sr-Latn-ME"/>
              </w:rPr>
            </w:pPr>
            <w:r w:rsidRPr="00DF79AE">
              <w:rPr>
                <w:sz w:val="22"/>
                <w:szCs w:val="22"/>
                <w:lang w:val="sr-Latn-ME"/>
              </w:rPr>
              <w:t>52. nedjelja</w:t>
            </w:r>
          </w:p>
        </w:tc>
        <w:tc>
          <w:tcPr>
            <w:tcW w:w="1090" w:type="dxa"/>
            <w:tcBorders>
              <w:top w:val="single" w:sz="4" w:space="0" w:color="auto"/>
              <w:left w:val="single" w:sz="4" w:space="0" w:color="auto"/>
              <w:bottom w:val="single" w:sz="4" w:space="0" w:color="auto"/>
              <w:right w:val="single" w:sz="4" w:space="0" w:color="auto"/>
            </w:tcBorders>
          </w:tcPr>
          <w:p w14:paraId="1C69B9E4" w14:textId="77777777" w:rsidR="000B2A5C" w:rsidRPr="00DF79AE" w:rsidRDefault="000B2A5C" w:rsidP="00BC1FCA">
            <w:pPr>
              <w:tabs>
                <w:tab w:val="left" w:pos="284"/>
              </w:tabs>
              <w:rPr>
                <w:sz w:val="22"/>
                <w:szCs w:val="22"/>
                <w:lang w:val="sr-Latn-ME"/>
              </w:rPr>
            </w:pPr>
            <w:r w:rsidRPr="00DF79AE">
              <w:rPr>
                <w:sz w:val="22"/>
                <w:szCs w:val="22"/>
                <w:lang w:val="sr-Latn-ME"/>
              </w:rPr>
              <w:t>NP</w:t>
            </w:r>
          </w:p>
        </w:tc>
        <w:tc>
          <w:tcPr>
            <w:tcW w:w="1118" w:type="dxa"/>
            <w:tcBorders>
              <w:top w:val="single" w:sz="4" w:space="0" w:color="auto"/>
              <w:left w:val="single" w:sz="4" w:space="0" w:color="auto"/>
              <w:bottom w:val="single" w:sz="4" w:space="0" w:color="auto"/>
              <w:right w:val="single" w:sz="4" w:space="0" w:color="auto"/>
            </w:tcBorders>
          </w:tcPr>
          <w:p w14:paraId="1F0D2B0F" w14:textId="77777777" w:rsidR="000B2A5C" w:rsidRPr="00DF79AE" w:rsidRDefault="000B2A5C" w:rsidP="00BC1FCA">
            <w:pPr>
              <w:tabs>
                <w:tab w:val="left" w:pos="284"/>
              </w:tabs>
              <w:rPr>
                <w:sz w:val="22"/>
                <w:szCs w:val="22"/>
                <w:lang w:val="sr-Latn-ME"/>
              </w:rPr>
            </w:pPr>
            <w:r w:rsidRPr="00DF79AE">
              <w:rPr>
                <w:sz w:val="22"/>
                <w:szCs w:val="22"/>
                <w:lang w:val="sr-Latn-ME"/>
              </w:rPr>
              <w:t>NP</w:t>
            </w:r>
          </w:p>
        </w:tc>
        <w:tc>
          <w:tcPr>
            <w:tcW w:w="1080" w:type="dxa"/>
            <w:tcBorders>
              <w:top w:val="single" w:sz="4" w:space="0" w:color="auto"/>
              <w:left w:val="single" w:sz="4" w:space="0" w:color="auto"/>
              <w:bottom w:val="single" w:sz="4" w:space="0" w:color="auto"/>
              <w:right w:val="single" w:sz="4" w:space="0" w:color="auto"/>
            </w:tcBorders>
          </w:tcPr>
          <w:p w14:paraId="5739A003" w14:textId="77777777" w:rsidR="000B2A5C" w:rsidRPr="00DF79AE" w:rsidDel="00436999" w:rsidRDefault="000B2A5C" w:rsidP="00BC1FCA">
            <w:pPr>
              <w:tabs>
                <w:tab w:val="left" w:pos="284"/>
              </w:tabs>
              <w:rPr>
                <w:sz w:val="22"/>
                <w:szCs w:val="22"/>
                <w:lang w:val="sr-Latn-ME"/>
              </w:rPr>
            </w:pPr>
            <w:r w:rsidRPr="00DF79AE">
              <w:rPr>
                <w:sz w:val="22"/>
                <w:szCs w:val="22"/>
                <w:lang w:val="sr-Latn-ME"/>
              </w:rPr>
              <w:t>NP</w:t>
            </w:r>
          </w:p>
        </w:tc>
        <w:tc>
          <w:tcPr>
            <w:tcW w:w="1118" w:type="dxa"/>
            <w:tcBorders>
              <w:top w:val="single" w:sz="4" w:space="0" w:color="auto"/>
              <w:left w:val="single" w:sz="4" w:space="0" w:color="auto"/>
              <w:bottom w:val="single" w:sz="4" w:space="0" w:color="auto"/>
              <w:right w:val="single" w:sz="4" w:space="0" w:color="auto"/>
            </w:tcBorders>
          </w:tcPr>
          <w:p w14:paraId="58BC6A74" w14:textId="77777777" w:rsidR="000B2A5C" w:rsidRPr="00DF79AE" w:rsidRDefault="000B2A5C" w:rsidP="00BC1FCA">
            <w:pPr>
              <w:tabs>
                <w:tab w:val="left" w:pos="284"/>
              </w:tabs>
              <w:rPr>
                <w:sz w:val="22"/>
                <w:szCs w:val="22"/>
                <w:lang w:val="sr-Latn-ME"/>
              </w:rPr>
            </w:pPr>
            <w:r w:rsidRPr="00DF79AE">
              <w:rPr>
                <w:sz w:val="22"/>
                <w:szCs w:val="22"/>
                <w:lang w:val="sr-Latn-ME"/>
              </w:rPr>
              <w:t>NP</w:t>
            </w:r>
          </w:p>
        </w:tc>
        <w:tc>
          <w:tcPr>
            <w:tcW w:w="927" w:type="dxa"/>
            <w:tcBorders>
              <w:top w:val="single" w:sz="4" w:space="0" w:color="auto"/>
              <w:bottom w:val="nil"/>
            </w:tcBorders>
            <w:shd w:val="clear" w:color="auto" w:fill="auto"/>
          </w:tcPr>
          <w:p w14:paraId="4F4CDC66" w14:textId="77777777" w:rsidR="000B2A5C" w:rsidRPr="00DF79AE" w:rsidRDefault="000B2A5C" w:rsidP="00BC1FCA">
            <w:pPr>
              <w:rPr>
                <w:sz w:val="22"/>
                <w:szCs w:val="22"/>
                <w:lang w:val="sr-Latn-ME"/>
              </w:rPr>
            </w:pPr>
            <w:r w:rsidRPr="00DF79AE">
              <w:rPr>
                <w:sz w:val="22"/>
                <w:szCs w:val="22"/>
                <w:lang w:val="sr-Latn-ME"/>
              </w:rPr>
              <w:t>22%</w:t>
            </w:r>
          </w:p>
        </w:tc>
        <w:tc>
          <w:tcPr>
            <w:tcW w:w="1118" w:type="dxa"/>
            <w:shd w:val="clear" w:color="auto" w:fill="auto"/>
          </w:tcPr>
          <w:p w14:paraId="52B02359" w14:textId="77777777" w:rsidR="000B2A5C" w:rsidRPr="00DF79AE" w:rsidRDefault="000B2A5C" w:rsidP="00BC1FCA">
            <w:pPr>
              <w:rPr>
                <w:sz w:val="22"/>
                <w:szCs w:val="22"/>
                <w:lang w:val="sr-Latn-ME"/>
              </w:rPr>
            </w:pPr>
            <w:r w:rsidRPr="00DF79AE">
              <w:rPr>
                <w:sz w:val="22"/>
                <w:szCs w:val="22"/>
                <w:lang w:val="sr-Latn-ME"/>
              </w:rPr>
              <w:t>28%</w:t>
            </w:r>
          </w:p>
        </w:tc>
      </w:tr>
      <w:tr w:rsidR="000B2A5C" w:rsidRPr="00DF79AE" w14:paraId="2F002457" w14:textId="77777777" w:rsidTr="00BC1FCA">
        <w:trPr>
          <w:cantSplit/>
          <w:jc w:val="center"/>
        </w:trPr>
        <w:tc>
          <w:tcPr>
            <w:tcW w:w="7512" w:type="dxa"/>
            <w:gridSpan w:val="7"/>
            <w:tcBorders>
              <w:top w:val="single" w:sz="4" w:space="0" w:color="auto"/>
              <w:left w:val="single" w:sz="4" w:space="0" w:color="auto"/>
              <w:bottom w:val="single" w:sz="4" w:space="0" w:color="auto"/>
            </w:tcBorders>
          </w:tcPr>
          <w:p w14:paraId="6C013BD3" w14:textId="056D985B" w:rsidR="000B2A5C" w:rsidRPr="00DF79AE" w:rsidRDefault="000B2A5C" w:rsidP="00BC1FCA">
            <w:pPr>
              <w:tabs>
                <w:tab w:val="left" w:pos="447"/>
              </w:tabs>
              <w:ind w:left="450" w:hanging="450"/>
              <w:jc w:val="both"/>
              <w:rPr>
                <w:sz w:val="22"/>
                <w:szCs w:val="22"/>
                <w:lang w:val="sr-Latn-ME"/>
              </w:rPr>
            </w:pPr>
            <w:r w:rsidRPr="00DF79AE">
              <w:rPr>
                <w:sz w:val="22"/>
                <w:szCs w:val="22"/>
                <w:lang w:val="sr-Latn-ME"/>
              </w:rPr>
              <w:t>a</w:t>
            </w:r>
            <w:r w:rsidRPr="00DF79AE">
              <w:rPr>
                <w:sz w:val="22"/>
                <w:szCs w:val="22"/>
                <w:lang w:val="sr-Latn-ME"/>
              </w:rPr>
              <w:tab/>
              <w:t xml:space="preserve">N se odnosi na randomizovane pacijente; stvarni broj pacijenata koji je bilo moguće procijeniti za pojedini </w:t>
            </w:r>
            <w:r w:rsidR="00A06D4D">
              <w:rPr>
                <w:sz w:val="22"/>
                <w:szCs w:val="22"/>
                <w:lang w:val="sr-Latn-ME"/>
              </w:rPr>
              <w:t>parametar</w:t>
            </w:r>
            <w:r w:rsidR="00A06D4D" w:rsidRPr="00A06D4D">
              <w:rPr>
                <w:sz w:val="22"/>
                <w:szCs w:val="22"/>
                <w:lang w:val="sr-Latn-ME"/>
              </w:rPr>
              <w:t xml:space="preserve"> praćenja </w:t>
            </w:r>
            <w:r w:rsidRPr="00DF79AE">
              <w:rPr>
                <w:sz w:val="22"/>
                <w:szCs w:val="22"/>
                <w:lang w:val="sr-Latn-ME"/>
              </w:rPr>
              <w:t>može se razlikovati po vremenskim tačkama procjene.</w:t>
            </w:r>
          </w:p>
          <w:p w14:paraId="0660F56F" w14:textId="77777777" w:rsidR="000B2A5C" w:rsidRPr="00DF79AE" w:rsidRDefault="000B2A5C" w:rsidP="00BC1FCA">
            <w:pPr>
              <w:tabs>
                <w:tab w:val="left" w:pos="284"/>
              </w:tabs>
              <w:rPr>
                <w:sz w:val="22"/>
                <w:szCs w:val="22"/>
                <w:lang w:val="sr-Latn-ME"/>
              </w:rPr>
            </w:pPr>
            <w:r w:rsidRPr="00DF79AE">
              <w:rPr>
                <w:sz w:val="22"/>
                <w:szCs w:val="22"/>
                <w:lang w:val="sr-Latn-ME"/>
              </w:rPr>
              <w:t xml:space="preserve">*      p </w:t>
            </w:r>
            <w:r w:rsidRPr="00DF79AE">
              <w:rPr>
                <w:sz w:val="22"/>
                <w:szCs w:val="22"/>
                <w:lang w:val="sr-Latn-ME"/>
              </w:rPr>
              <w:sym w:font="Symbol" w:char="F0A3"/>
            </w:r>
            <w:r w:rsidRPr="00DF79AE">
              <w:rPr>
                <w:sz w:val="22"/>
                <w:szCs w:val="22"/>
                <w:lang w:val="sr-Latn-ME"/>
              </w:rPr>
              <w:t xml:space="preserve"> 0,001</w:t>
            </w:r>
          </w:p>
          <w:p w14:paraId="50B44677" w14:textId="77777777" w:rsidR="000B2A5C" w:rsidRPr="00DF79AE" w:rsidRDefault="000B2A5C" w:rsidP="00BC1FCA">
            <w:pPr>
              <w:rPr>
                <w:sz w:val="22"/>
                <w:szCs w:val="22"/>
                <w:lang w:val="sr-Latn-ME"/>
              </w:rPr>
            </w:pPr>
            <w:r w:rsidRPr="00DF79AE">
              <w:rPr>
                <w:sz w:val="22"/>
                <w:szCs w:val="22"/>
                <w:lang w:val="sr-Latn-ME"/>
              </w:rPr>
              <w:t>NP:  nije primjenjivo</w:t>
            </w:r>
          </w:p>
        </w:tc>
      </w:tr>
    </w:tbl>
    <w:p w14:paraId="337EE0AB" w14:textId="77777777" w:rsidR="000B2A5C" w:rsidRPr="00DF79AE" w:rsidRDefault="000B2A5C" w:rsidP="000B2A5C">
      <w:pPr>
        <w:tabs>
          <w:tab w:val="left" w:pos="6150"/>
        </w:tabs>
        <w:rPr>
          <w:rFonts w:eastAsiaTheme="minorHAnsi"/>
          <w:sz w:val="22"/>
          <w:szCs w:val="22"/>
          <w:lang w:val="sr-Latn-ME"/>
        </w:rPr>
      </w:pPr>
    </w:p>
    <w:p w14:paraId="257DC967" w14:textId="77777777" w:rsidR="000B2A5C" w:rsidRPr="00DF79AE" w:rsidRDefault="000B2A5C" w:rsidP="000B2A5C">
      <w:pPr>
        <w:tabs>
          <w:tab w:val="center" w:pos="4536"/>
          <w:tab w:val="right" w:pos="9072"/>
        </w:tabs>
        <w:autoSpaceDE w:val="0"/>
        <w:autoSpaceDN w:val="0"/>
        <w:adjustRightInd w:val="0"/>
        <w:jc w:val="both"/>
        <w:rPr>
          <w:sz w:val="22"/>
          <w:szCs w:val="22"/>
          <w:lang w:val="sr-Latn-ME"/>
        </w:rPr>
      </w:pPr>
      <w:r w:rsidRPr="00DF79AE">
        <w:rPr>
          <w:sz w:val="22"/>
          <w:szCs w:val="22"/>
          <w:lang w:val="sr-Latn-ME"/>
        </w:rPr>
        <w:t>U ispitivanju GO-BEFORE, primarna analiza kod pacijenata sa umjerenim do teškim oblikom reumatoidnog artritisa (grupe koje su primale kombinaciju Simponi 50 mg i Simponi 100 mg sa MTX u poređenju sa grupom koja je primala samo MTX za ACR 50) nije bila statistički značajna u 24. nedjelji (p=0,053). U 52. nedjelji u cjelokupnoj populaciji, procenat pacijenata u grupi koja je primala Simponi</w:t>
      </w:r>
      <w:r w:rsidRPr="00DF79AE">
        <w:rPr>
          <w:b/>
          <w:sz w:val="22"/>
          <w:szCs w:val="22"/>
          <w:vertAlign w:val="superscript"/>
          <w:lang w:val="sr-Latn-ME"/>
        </w:rPr>
        <w:t xml:space="preserve"> </w:t>
      </w:r>
      <w:r w:rsidRPr="00DF79AE">
        <w:rPr>
          <w:sz w:val="22"/>
          <w:szCs w:val="22"/>
          <w:lang w:val="sr-Latn-ME"/>
        </w:rPr>
        <w:t>50 mg i MTX koji su postigli ACR odgovor bio je uopšteno veći, ali ne i značajno različit u poređenju sa grupom koja je primala samo MTX (vidjeti Tabelu 2). Sprovedene su dodatne analize u podgrupama koje reprezentuju navedene populacije pacijenata sa teškim, aktivnim i progresivnim reumatoidnim artritisom. Uopšteno veći efekat Simponi 50 mg i MTX u odnosu na sam MTX pokazan je u navedenoj populaciji u poređenju sa cjelokupnom populacijom.</w:t>
      </w:r>
    </w:p>
    <w:p w14:paraId="65A4409E" w14:textId="77777777" w:rsidR="000B2A5C" w:rsidRPr="00DF79AE" w:rsidRDefault="000B2A5C" w:rsidP="000B2A5C">
      <w:pPr>
        <w:tabs>
          <w:tab w:val="center" w:pos="4536"/>
          <w:tab w:val="right" w:pos="9072"/>
        </w:tabs>
        <w:autoSpaceDE w:val="0"/>
        <w:autoSpaceDN w:val="0"/>
        <w:adjustRightInd w:val="0"/>
        <w:jc w:val="both"/>
        <w:rPr>
          <w:sz w:val="22"/>
          <w:szCs w:val="22"/>
          <w:lang w:val="sr-Latn-ME"/>
        </w:rPr>
      </w:pPr>
    </w:p>
    <w:p w14:paraId="694FE32F" w14:textId="77777777" w:rsidR="000B2A5C" w:rsidRPr="00DF79AE" w:rsidRDefault="000B2A5C" w:rsidP="000B2A5C">
      <w:pPr>
        <w:tabs>
          <w:tab w:val="center" w:pos="4536"/>
          <w:tab w:val="right" w:pos="9072"/>
        </w:tabs>
        <w:autoSpaceDE w:val="0"/>
        <w:autoSpaceDN w:val="0"/>
        <w:adjustRightInd w:val="0"/>
        <w:jc w:val="both"/>
        <w:rPr>
          <w:sz w:val="22"/>
          <w:szCs w:val="22"/>
          <w:lang w:val="sr-Latn-ME"/>
        </w:rPr>
      </w:pPr>
      <w:r w:rsidRPr="00DF79AE">
        <w:rPr>
          <w:sz w:val="22"/>
          <w:szCs w:val="22"/>
          <w:lang w:val="sr-Latn-ME"/>
        </w:rPr>
        <w:lastRenderedPageBreak/>
        <w:t>U studijama GO</w:t>
      </w:r>
      <w:r w:rsidRPr="00DF79AE">
        <w:rPr>
          <w:sz w:val="22"/>
          <w:szCs w:val="22"/>
          <w:lang w:val="sr-Latn-ME"/>
        </w:rPr>
        <w:noBreakHyphen/>
        <w:t>FORWARD i GO</w:t>
      </w:r>
      <w:r w:rsidRPr="00DF79AE">
        <w:rPr>
          <w:sz w:val="22"/>
          <w:szCs w:val="22"/>
          <w:lang w:val="sr-Latn-ME"/>
        </w:rPr>
        <w:noBreakHyphen/>
        <w:t>AFTER, klinički važni i statistički značajni odgovori na skali aktivnosti bolesti (Disease Activity Scale - DAS28) zapaženi su u svakoj prethodno određenoj vremenskoj tački, u 14. i 24. nedjelji ( p</w:t>
      </w:r>
      <w:r w:rsidRPr="00DF79AE">
        <w:rPr>
          <w:sz w:val="22"/>
          <w:szCs w:val="22"/>
          <w:lang w:val="sr-Latn-ME"/>
        </w:rPr>
        <w:sym w:font="Symbol" w:char="F0A3"/>
      </w:r>
      <w:r w:rsidRPr="00DF79AE">
        <w:rPr>
          <w:sz w:val="22"/>
          <w:szCs w:val="22"/>
          <w:lang w:val="sr-Latn-ME"/>
        </w:rPr>
        <w:t>0,001). Među pacijentima koji su ostali na terapiji lijekom Simponi</w:t>
      </w:r>
      <w:r w:rsidRPr="00DF79AE">
        <w:rPr>
          <w:b/>
          <w:sz w:val="22"/>
          <w:szCs w:val="22"/>
          <w:vertAlign w:val="superscript"/>
          <w:lang w:val="sr-Latn-ME"/>
        </w:rPr>
        <w:t xml:space="preserve"> </w:t>
      </w:r>
      <w:r w:rsidRPr="00DF79AE">
        <w:rPr>
          <w:sz w:val="22"/>
          <w:szCs w:val="22"/>
          <w:lang w:val="sr-Latn-ME"/>
        </w:rPr>
        <w:t>na koju su randomizovani na početku ispitivanja, odgovori DAS28 su održavani do 104. nedjelje. Među pacijentima koji su ostali uključeni u studiju i liječeni lijekom Simponi, odgovori DAS28 su bili slični od 104. nedjelje do kraja 256. nedjelje.</w:t>
      </w:r>
    </w:p>
    <w:p w14:paraId="38CB7098" w14:textId="77777777" w:rsidR="000B2A5C" w:rsidRPr="00DF79AE" w:rsidRDefault="000B2A5C" w:rsidP="000B2A5C">
      <w:pPr>
        <w:tabs>
          <w:tab w:val="center" w:pos="4536"/>
          <w:tab w:val="right" w:pos="9072"/>
        </w:tabs>
        <w:autoSpaceDE w:val="0"/>
        <w:autoSpaceDN w:val="0"/>
        <w:adjustRightInd w:val="0"/>
        <w:jc w:val="both"/>
        <w:rPr>
          <w:sz w:val="22"/>
          <w:szCs w:val="22"/>
          <w:lang w:val="sr-Latn-ME"/>
        </w:rPr>
      </w:pPr>
    </w:p>
    <w:p w14:paraId="6FAB4DFC" w14:textId="77777777" w:rsidR="000B2A5C" w:rsidRPr="00DF79AE" w:rsidRDefault="000B2A5C" w:rsidP="000B2A5C">
      <w:pPr>
        <w:tabs>
          <w:tab w:val="center" w:pos="4536"/>
          <w:tab w:val="right" w:pos="9072"/>
        </w:tabs>
        <w:autoSpaceDE w:val="0"/>
        <w:autoSpaceDN w:val="0"/>
        <w:adjustRightInd w:val="0"/>
        <w:jc w:val="both"/>
        <w:rPr>
          <w:sz w:val="22"/>
          <w:szCs w:val="22"/>
          <w:lang w:val="sr-Latn-ME"/>
        </w:rPr>
      </w:pPr>
      <w:r w:rsidRPr="00DF79AE">
        <w:rPr>
          <w:sz w:val="22"/>
          <w:szCs w:val="22"/>
          <w:lang w:val="sr-Latn-ME"/>
        </w:rPr>
        <w:t>U ispitivanju GO-BEFORE, izmjeren je značajan klinički odgovor, definisan kao održavanje odgovora ACR 70 tokom kontinuiranog šestomjesečnog perioda. U 52. nedjelji, 15% pacijenata u grupi koja je primala Simponi 50 mg i MTX postiglo je značajan klinički odgovor, u poređenju sa 7% pacijenata u grupi koja je primala placebo i MTX (p= 0,018). Od 159 ispitanika koji su randomizovani u grupu koja je primala Simponi</w:t>
      </w:r>
      <w:r w:rsidRPr="00DF79AE">
        <w:rPr>
          <w:sz w:val="22"/>
          <w:szCs w:val="22"/>
          <w:vertAlign w:val="superscript"/>
          <w:lang w:val="sr-Latn-ME"/>
        </w:rPr>
        <w:t xml:space="preserve"> </w:t>
      </w:r>
      <w:r w:rsidRPr="00DF79AE">
        <w:rPr>
          <w:sz w:val="22"/>
          <w:szCs w:val="22"/>
          <w:lang w:val="sr-Latn-ME"/>
        </w:rPr>
        <w:t>50 mg i MTX, njih 96 su još uvijek primali ovu terapiju u 104. nedjelji. Od ovih pacijenata, 85, 66 i 53 su imali odgovor ACR 20/50/70, respektivno, u 104. nedjelji. Među pacijentima koji su ostali uključeni u studiju i liječeni lijekom Simponi, slične stope odgovora ACR 20/50/70 su zabilježene od 104. nedjelje do kraja 256. nedjelje.</w:t>
      </w:r>
    </w:p>
    <w:p w14:paraId="1A194F36" w14:textId="77777777" w:rsidR="000B2A5C" w:rsidRPr="00DF79AE" w:rsidRDefault="000B2A5C" w:rsidP="000B2A5C">
      <w:pPr>
        <w:tabs>
          <w:tab w:val="center" w:pos="4536"/>
          <w:tab w:val="right" w:pos="9072"/>
        </w:tabs>
        <w:autoSpaceDE w:val="0"/>
        <w:autoSpaceDN w:val="0"/>
        <w:adjustRightInd w:val="0"/>
        <w:jc w:val="both"/>
        <w:rPr>
          <w:sz w:val="22"/>
          <w:szCs w:val="22"/>
          <w:lang w:val="sr-Latn-ME"/>
        </w:rPr>
      </w:pPr>
    </w:p>
    <w:p w14:paraId="58009073" w14:textId="77777777" w:rsidR="000B2A5C" w:rsidRPr="00DF79AE" w:rsidRDefault="000B2A5C" w:rsidP="000B2A5C">
      <w:pPr>
        <w:tabs>
          <w:tab w:val="center" w:pos="4536"/>
          <w:tab w:val="right" w:pos="9072"/>
        </w:tabs>
        <w:autoSpaceDE w:val="0"/>
        <w:autoSpaceDN w:val="0"/>
        <w:adjustRightInd w:val="0"/>
        <w:jc w:val="both"/>
        <w:rPr>
          <w:i/>
          <w:sz w:val="22"/>
          <w:szCs w:val="22"/>
          <w:u w:val="single"/>
          <w:lang w:val="sr-Latn-ME"/>
        </w:rPr>
      </w:pPr>
      <w:r w:rsidRPr="00DF79AE">
        <w:rPr>
          <w:i/>
          <w:sz w:val="22"/>
          <w:szCs w:val="22"/>
          <w:u w:val="single"/>
          <w:lang w:val="sr-Latn-ME"/>
        </w:rPr>
        <w:t>Radiografski odgovor:</w:t>
      </w:r>
    </w:p>
    <w:p w14:paraId="28B270B5" w14:textId="77777777" w:rsidR="000B2A5C" w:rsidRPr="00DF79AE" w:rsidRDefault="000B2A5C" w:rsidP="000B2A5C">
      <w:pPr>
        <w:tabs>
          <w:tab w:val="left" w:pos="284"/>
        </w:tabs>
        <w:autoSpaceDE w:val="0"/>
        <w:autoSpaceDN w:val="0"/>
        <w:adjustRightInd w:val="0"/>
        <w:jc w:val="both"/>
        <w:rPr>
          <w:sz w:val="22"/>
          <w:szCs w:val="22"/>
          <w:lang w:val="sr-Latn-ME"/>
        </w:rPr>
      </w:pPr>
      <w:r w:rsidRPr="00DF79AE">
        <w:rPr>
          <w:sz w:val="22"/>
          <w:szCs w:val="22"/>
          <w:lang w:val="sr-Latn-ME"/>
        </w:rPr>
        <w:t>U ispitivanju GO-BEFORE, za procjenu stepena strukturnih oštećenja korišćena je</w:t>
      </w:r>
      <w:r w:rsidRPr="00DF79AE" w:rsidDel="000C3DBC">
        <w:rPr>
          <w:sz w:val="22"/>
          <w:szCs w:val="22"/>
          <w:lang w:val="sr-Latn-ME"/>
        </w:rPr>
        <w:t xml:space="preserve"> </w:t>
      </w:r>
      <w:r w:rsidRPr="00DF79AE">
        <w:rPr>
          <w:sz w:val="22"/>
          <w:szCs w:val="22"/>
          <w:lang w:val="sr-Latn-ME"/>
        </w:rPr>
        <w:t>promjena u odnosu na početni rezultat  na vdH-S skali, kompozitna skala strukturnih oštećenja koja rendgenski mjeri broj i veličinu erozija, i stepen sužavanja zglobnih prostora u šakama/ručnim zglobovima i stopalima. Ključni rezultati za dozu lijeka Simponi</w:t>
      </w:r>
      <w:r w:rsidRPr="00DF79AE">
        <w:rPr>
          <w:b/>
          <w:sz w:val="22"/>
          <w:szCs w:val="22"/>
          <w:vertAlign w:val="superscript"/>
          <w:lang w:val="sr-Latn-ME"/>
        </w:rPr>
        <w:t xml:space="preserve"> </w:t>
      </w:r>
      <w:r w:rsidRPr="00DF79AE">
        <w:rPr>
          <w:sz w:val="22"/>
          <w:szCs w:val="22"/>
          <w:lang w:val="sr-Latn-ME"/>
        </w:rPr>
        <w:t>od 50 mg u 52. nedjelji prikazani su u Tabeli 3.</w:t>
      </w:r>
    </w:p>
    <w:p w14:paraId="609A9CEE" w14:textId="77777777" w:rsidR="000B2A5C" w:rsidRPr="00DF79AE" w:rsidRDefault="000B2A5C" w:rsidP="000B2A5C">
      <w:pPr>
        <w:tabs>
          <w:tab w:val="left" w:pos="284"/>
        </w:tabs>
        <w:autoSpaceDE w:val="0"/>
        <w:autoSpaceDN w:val="0"/>
        <w:adjustRightInd w:val="0"/>
        <w:jc w:val="both"/>
        <w:rPr>
          <w:sz w:val="22"/>
          <w:szCs w:val="22"/>
          <w:lang w:val="sr-Latn-ME"/>
        </w:rPr>
      </w:pPr>
    </w:p>
    <w:p w14:paraId="268333C0" w14:textId="77777777" w:rsidR="000B2A5C" w:rsidRPr="00DF79AE" w:rsidRDefault="000B2A5C" w:rsidP="000B2A5C">
      <w:pPr>
        <w:tabs>
          <w:tab w:val="left" w:pos="284"/>
        </w:tabs>
        <w:autoSpaceDE w:val="0"/>
        <w:autoSpaceDN w:val="0"/>
        <w:adjustRightInd w:val="0"/>
        <w:jc w:val="both"/>
        <w:rPr>
          <w:sz w:val="22"/>
          <w:szCs w:val="22"/>
          <w:lang w:val="sr-Latn-ME"/>
        </w:rPr>
      </w:pPr>
      <w:r w:rsidRPr="00DF79AE">
        <w:rPr>
          <w:sz w:val="22"/>
          <w:szCs w:val="22"/>
          <w:lang w:val="sr-Latn-ME"/>
        </w:rPr>
        <w:t>Broj pacijenata bez novih erozija ili sa promjenom od početnih rezultata na cijeloj vdH-S skali ≤0 bio je značajno veći u grupi koja je primala lijek Simponi</w:t>
      </w:r>
      <w:r w:rsidRPr="00DF79AE">
        <w:rPr>
          <w:b/>
          <w:sz w:val="22"/>
          <w:szCs w:val="22"/>
          <w:vertAlign w:val="superscript"/>
          <w:lang w:val="sr-Latn-ME"/>
        </w:rPr>
        <w:t xml:space="preserve"> </w:t>
      </w:r>
      <w:r w:rsidRPr="00DF79AE">
        <w:rPr>
          <w:sz w:val="22"/>
          <w:szCs w:val="22"/>
          <w:lang w:val="sr-Latn-ME"/>
        </w:rPr>
        <w:t>nego u kontrolnoj grupi (p=0,003). Rendgenski efekti zabilježeni u 52. nedjelji održali su se do 104. nedjelje. Među pacijentima koji su ostali uključeni u studiju i liječeni lijekom Simponi, radiografski odgovori su bili slični od 104. nedjelje do kraja 256. nedjelje.</w:t>
      </w:r>
    </w:p>
    <w:p w14:paraId="126505B3" w14:textId="77777777" w:rsidR="000B2A5C" w:rsidRPr="00DF79AE" w:rsidRDefault="000B2A5C" w:rsidP="000B2A5C">
      <w:pPr>
        <w:tabs>
          <w:tab w:val="left" w:pos="284"/>
        </w:tabs>
        <w:autoSpaceDE w:val="0"/>
        <w:autoSpaceDN w:val="0"/>
        <w:adjustRightInd w:val="0"/>
        <w:rPr>
          <w:sz w:val="22"/>
          <w:szCs w:val="22"/>
          <w:lang w:val="sr-Latn-ME"/>
        </w:rPr>
      </w:pPr>
    </w:p>
    <w:p w14:paraId="4898594D" w14:textId="77777777" w:rsidR="000B2A5C" w:rsidRPr="00DF79AE" w:rsidRDefault="000B2A5C" w:rsidP="000B2A5C">
      <w:pPr>
        <w:tabs>
          <w:tab w:val="left" w:pos="284"/>
        </w:tabs>
        <w:autoSpaceDE w:val="0"/>
        <w:autoSpaceDN w:val="0"/>
        <w:adjustRightInd w:val="0"/>
        <w:jc w:val="center"/>
        <w:rPr>
          <w:b/>
          <w:sz w:val="22"/>
          <w:szCs w:val="22"/>
          <w:lang w:val="sr-Latn-ME"/>
        </w:rPr>
      </w:pPr>
      <w:r w:rsidRPr="00DF79AE">
        <w:rPr>
          <w:b/>
          <w:sz w:val="22"/>
          <w:szCs w:val="22"/>
          <w:lang w:val="sr-Latn-ME"/>
        </w:rPr>
        <w:t>Tabela 3</w:t>
      </w:r>
    </w:p>
    <w:p w14:paraId="17A6BE6F" w14:textId="77777777" w:rsidR="000B2A5C" w:rsidRPr="00DF79AE" w:rsidRDefault="000B2A5C" w:rsidP="000B2A5C">
      <w:pPr>
        <w:tabs>
          <w:tab w:val="left" w:pos="284"/>
        </w:tabs>
        <w:autoSpaceDE w:val="0"/>
        <w:autoSpaceDN w:val="0"/>
        <w:adjustRightInd w:val="0"/>
        <w:jc w:val="center"/>
        <w:rPr>
          <w:b/>
          <w:sz w:val="22"/>
          <w:szCs w:val="22"/>
          <w:lang w:val="sr-Latn-ME"/>
        </w:rPr>
      </w:pPr>
      <w:r w:rsidRPr="00DF79AE">
        <w:rPr>
          <w:b/>
          <w:sz w:val="22"/>
          <w:szCs w:val="22"/>
          <w:lang w:val="sr-Latn-ME"/>
        </w:rPr>
        <w:t>Rendgenska srednja standardna devijacija promjena od početnog rezultata na cijeloj vdH-S skali u 52. nedjelji u cjelokupnoj populaciji GO-BEFORE ispitivanja</w:t>
      </w:r>
    </w:p>
    <w:p w14:paraId="72E46B88" w14:textId="77777777" w:rsidR="000B2A5C" w:rsidRPr="00DF79AE" w:rsidRDefault="000B2A5C" w:rsidP="000B2A5C">
      <w:pPr>
        <w:rPr>
          <w:rFonts w:eastAsiaTheme="minorHAnsi"/>
          <w:sz w:val="22"/>
          <w:szCs w:val="22"/>
          <w:lang w:val="sr-Latn-M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32"/>
        <w:gridCol w:w="3008"/>
        <w:gridCol w:w="3023"/>
      </w:tblGrid>
      <w:tr w:rsidR="000B2A5C" w:rsidRPr="00DF79AE" w14:paraId="55C3678D" w14:textId="77777777" w:rsidTr="00BC1FCA">
        <w:trPr>
          <w:jc w:val="center"/>
        </w:trPr>
        <w:tc>
          <w:tcPr>
            <w:tcW w:w="3431" w:type="dxa"/>
            <w:shd w:val="clear" w:color="auto" w:fill="auto"/>
          </w:tcPr>
          <w:p w14:paraId="3FFE3DFD" w14:textId="77777777" w:rsidR="000B2A5C" w:rsidRPr="00DF79AE" w:rsidRDefault="000B2A5C" w:rsidP="00BC1FCA">
            <w:pPr>
              <w:tabs>
                <w:tab w:val="left" w:pos="284"/>
              </w:tabs>
              <w:autoSpaceDE w:val="0"/>
              <w:autoSpaceDN w:val="0"/>
              <w:adjustRightInd w:val="0"/>
              <w:rPr>
                <w:sz w:val="22"/>
                <w:szCs w:val="22"/>
                <w:lang w:val="sr-Latn-ME"/>
              </w:rPr>
            </w:pPr>
          </w:p>
        </w:tc>
        <w:tc>
          <w:tcPr>
            <w:tcW w:w="3432" w:type="dxa"/>
            <w:shd w:val="clear" w:color="auto" w:fill="auto"/>
            <w:vAlign w:val="bottom"/>
          </w:tcPr>
          <w:p w14:paraId="179CD6DF" w14:textId="77777777" w:rsidR="000B2A5C" w:rsidRPr="00DF79AE" w:rsidRDefault="000B2A5C" w:rsidP="00BC1FCA">
            <w:pPr>
              <w:tabs>
                <w:tab w:val="left" w:pos="284"/>
              </w:tabs>
              <w:rPr>
                <w:sz w:val="22"/>
                <w:szCs w:val="22"/>
                <w:lang w:val="sr-Latn-ME"/>
              </w:rPr>
            </w:pPr>
            <w:r w:rsidRPr="00DF79AE">
              <w:rPr>
                <w:sz w:val="22"/>
                <w:szCs w:val="22"/>
                <w:lang w:val="sr-Latn-ME"/>
              </w:rPr>
              <w:t>Placebo + MTX</w:t>
            </w:r>
          </w:p>
        </w:tc>
        <w:tc>
          <w:tcPr>
            <w:tcW w:w="3432" w:type="dxa"/>
            <w:shd w:val="clear" w:color="auto" w:fill="auto"/>
            <w:vAlign w:val="bottom"/>
          </w:tcPr>
          <w:p w14:paraId="76EBF92F" w14:textId="77777777" w:rsidR="000B2A5C" w:rsidRPr="00DF79AE" w:rsidRDefault="000B2A5C" w:rsidP="00BC1FCA">
            <w:pPr>
              <w:tabs>
                <w:tab w:val="left" w:pos="284"/>
              </w:tabs>
              <w:rPr>
                <w:sz w:val="22"/>
                <w:szCs w:val="22"/>
                <w:lang w:val="sr-Latn-ME"/>
              </w:rPr>
            </w:pPr>
            <w:r w:rsidRPr="00DF79AE">
              <w:rPr>
                <w:b/>
                <w:sz w:val="22"/>
                <w:szCs w:val="22"/>
                <w:lang w:val="sr-Latn-ME"/>
              </w:rPr>
              <w:t>Simponi</w:t>
            </w:r>
            <w:r w:rsidRPr="00DF79AE">
              <w:rPr>
                <w:sz w:val="22"/>
                <w:szCs w:val="22"/>
                <w:lang w:val="sr-Latn-ME"/>
              </w:rPr>
              <w:t xml:space="preserve"> 50 mg + MTX</w:t>
            </w:r>
          </w:p>
        </w:tc>
      </w:tr>
      <w:tr w:rsidR="000B2A5C" w:rsidRPr="00DF79AE" w14:paraId="19E34A2D" w14:textId="77777777" w:rsidTr="00BC1FCA">
        <w:trPr>
          <w:jc w:val="center"/>
        </w:trPr>
        <w:tc>
          <w:tcPr>
            <w:tcW w:w="3431" w:type="dxa"/>
            <w:shd w:val="clear" w:color="auto" w:fill="auto"/>
          </w:tcPr>
          <w:p w14:paraId="44686038" w14:textId="77777777" w:rsidR="000B2A5C" w:rsidRPr="00DF79AE" w:rsidRDefault="000B2A5C" w:rsidP="00BC1FCA">
            <w:pPr>
              <w:tabs>
                <w:tab w:val="left" w:pos="284"/>
              </w:tabs>
              <w:autoSpaceDE w:val="0"/>
              <w:autoSpaceDN w:val="0"/>
              <w:adjustRightInd w:val="0"/>
              <w:rPr>
                <w:sz w:val="22"/>
                <w:szCs w:val="22"/>
                <w:lang w:val="sr-Latn-ME"/>
              </w:rPr>
            </w:pPr>
            <w:r w:rsidRPr="00DF79AE">
              <w:rPr>
                <w:sz w:val="22"/>
                <w:szCs w:val="22"/>
                <w:lang w:val="sr-Latn-ME"/>
              </w:rPr>
              <w:t>n</w:t>
            </w:r>
            <w:r w:rsidRPr="00DF79AE">
              <w:rPr>
                <w:sz w:val="22"/>
                <w:szCs w:val="22"/>
                <w:vertAlign w:val="superscript"/>
                <w:lang w:val="sr-Latn-ME"/>
              </w:rPr>
              <w:t>a</w:t>
            </w:r>
          </w:p>
        </w:tc>
        <w:tc>
          <w:tcPr>
            <w:tcW w:w="3432" w:type="dxa"/>
            <w:shd w:val="clear" w:color="auto" w:fill="auto"/>
          </w:tcPr>
          <w:p w14:paraId="73400F92" w14:textId="77777777" w:rsidR="000B2A5C" w:rsidRPr="00DF79AE" w:rsidRDefault="000B2A5C" w:rsidP="00BC1FCA">
            <w:pPr>
              <w:tabs>
                <w:tab w:val="left" w:pos="284"/>
              </w:tabs>
              <w:autoSpaceDE w:val="0"/>
              <w:autoSpaceDN w:val="0"/>
              <w:adjustRightInd w:val="0"/>
              <w:rPr>
                <w:b/>
                <w:sz w:val="22"/>
                <w:szCs w:val="22"/>
                <w:lang w:val="sr-Latn-ME"/>
              </w:rPr>
            </w:pPr>
            <w:r w:rsidRPr="00DF79AE">
              <w:rPr>
                <w:b/>
                <w:sz w:val="22"/>
                <w:szCs w:val="22"/>
                <w:lang w:val="sr-Latn-ME"/>
              </w:rPr>
              <w:t>160</w:t>
            </w:r>
          </w:p>
        </w:tc>
        <w:tc>
          <w:tcPr>
            <w:tcW w:w="3432" w:type="dxa"/>
            <w:shd w:val="clear" w:color="auto" w:fill="auto"/>
          </w:tcPr>
          <w:p w14:paraId="7BA23BF6" w14:textId="77777777" w:rsidR="000B2A5C" w:rsidRPr="00DF79AE" w:rsidRDefault="000B2A5C" w:rsidP="00BC1FCA">
            <w:pPr>
              <w:tabs>
                <w:tab w:val="left" w:pos="284"/>
              </w:tabs>
              <w:autoSpaceDE w:val="0"/>
              <w:autoSpaceDN w:val="0"/>
              <w:adjustRightInd w:val="0"/>
              <w:rPr>
                <w:b/>
                <w:sz w:val="22"/>
                <w:szCs w:val="22"/>
                <w:lang w:val="sr-Latn-ME"/>
              </w:rPr>
            </w:pPr>
            <w:r w:rsidRPr="00DF79AE">
              <w:rPr>
                <w:b/>
                <w:sz w:val="22"/>
                <w:szCs w:val="22"/>
                <w:lang w:val="sr-Latn-ME"/>
              </w:rPr>
              <w:t>159</w:t>
            </w:r>
          </w:p>
        </w:tc>
      </w:tr>
      <w:tr w:rsidR="000B2A5C" w:rsidRPr="00DF79AE" w14:paraId="2AF718E1" w14:textId="77777777" w:rsidTr="00BC1FCA">
        <w:trPr>
          <w:jc w:val="center"/>
        </w:trPr>
        <w:tc>
          <w:tcPr>
            <w:tcW w:w="10295" w:type="dxa"/>
            <w:gridSpan w:val="3"/>
            <w:shd w:val="clear" w:color="auto" w:fill="auto"/>
          </w:tcPr>
          <w:p w14:paraId="3FA152ED" w14:textId="77777777" w:rsidR="000B2A5C" w:rsidRPr="00DF79AE" w:rsidRDefault="000B2A5C" w:rsidP="00BC1FCA">
            <w:pPr>
              <w:tabs>
                <w:tab w:val="left" w:pos="284"/>
              </w:tabs>
              <w:autoSpaceDE w:val="0"/>
              <w:autoSpaceDN w:val="0"/>
              <w:adjustRightInd w:val="0"/>
              <w:rPr>
                <w:sz w:val="22"/>
                <w:szCs w:val="22"/>
                <w:lang w:val="sr-Latn-ME"/>
              </w:rPr>
            </w:pPr>
            <w:r w:rsidRPr="00DF79AE">
              <w:rPr>
                <w:b/>
                <w:sz w:val="22"/>
                <w:szCs w:val="22"/>
                <w:lang w:val="sr-Latn-ME"/>
              </w:rPr>
              <w:t>Ukupan rezultat</w:t>
            </w:r>
          </w:p>
        </w:tc>
      </w:tr>
      <w:tr w:rsidR="000B2A5C" w:rsidRPr="00DF79AE" w14:paraId="66E4608A" w14:textId="77777777" w:rsidTr="00BC1FCA">
        <w:trPr>
          <w:jc w:val="center"/>
        </w:trPr>
        <w:tc>
          <w:tcPr>
            <w:tcW w:w="3431" w:type="dxa"/>
            <w:shd w:val="clear" w:color="auto" w:fill="auto"/>
          </w:tcPr>
          <w:p w14:paraId="64822DDA" w14:textId="77777777" w:rsidR="000B2A5C" w:rsidRPr="00DF79AE" w:rsidRDefault="000B2A5C" w:rsidP="00BC1FCA">
            <w:pPr>
              <w:tabs>
                <w:tab w:val="left" w:pos="284"/>
              </w:tabs>
              <w:autoSpaceDE w:val="0"/>
              <w:autoSpaceDN w:val="0"/>
              <w:adjustRightInd w:val="0"/>
              <w:rPr>
                <w:sz w:val="22"/>
                <w:szCs w:val="22"/>
                <w:lang w:val="sr-Latn-ME"/>
              </w:rPr>
            </w:pPr>
            <w:r w:rsidRPr="00DF79AE">
              <w:rPr>
                <w:sz w:val="22"/>
                <w:szCs w:val="22"/>
                <w:lang w:val="sr-Latn-ME"/>
              </w:rPr>
              <w:t>Početni rezultat</w:t>
            </w:r>
          </w:p>
        </w:tc>
        <w:tc>
          <w:tcPr>
            <w:tcW w:w="3432" w:type="dxa"/>
            <w:shd w:val="clear" w:color="auto" w:fill="auto"/>
          </w:tcPr>
          <w:p w14:paraId="7125F449" w14:textId="77777777" w:rsidR="000B2A5C" w:rsidRPr="00DF79AE" w:rsidRDefault="000B2A5C" w:rsidP="00BC1FCA">
            <w:pPr>
              <w:tabs>
                <w:tab w:val="left" w:pos="284"/>
              </w:tabs>
              <w:autoSpaceDE w:val="0"/>
              <w:autoSpaceDN w:val="0"/>
              <w:adjustRightInd w:val="0"/>
              <w:rPr>
                <w:sz w:val="22"/>
                <w:szCs w:val="22"/>
                <w:lang w:val="sr-Latn-ME"/>
              </w:rPr>
            </w:pPr>
            <w:r w:rsidRPr="00DF79AE">
              <w:rPr>
                <w:sz w:val="22"/>
                <w:szCs w:val="22"/>
                <w:lang w:val="sr-Latn-ME"/>
              </w:rPr>
              <w:t>19,7 (35,4)</w:t>
            </w:r>
          </w:p>
        </w:tc>
        <w:tc>
          <w:tcPr>
            <w:tcW w:w="3432" w:type="dxa"/>
            <w:shd w:val="clear" w:color="auto" w:fill="auto"/>
          </w:tcPr>
          <w:p w14:paraId="58198A88" w14:textId="77777777" w:rsidR="000B2A5C" w:rsidRPr="00DF79AE" w:rsidRDefault="000B2A5C" w:rsidP="00BC1FCA">
            <w:pPr>
              <w:tabs>
                <w:tab w:val="left" w:pos="284"/>
              </w:tabs>
              <w:autoSpaceDE w:val="0"/>
              <w:autoSpaceDN w:val="0"/>
              <w:adjustRightInd w:val="0"/>
              <w:rPr>
                <w:sz w:val="22"/>
                <w:szCs w:val="22"/>
                <w:lang w:val="sr-Latn-ME"/>
              </w:rPr>
            </w:pPr>
            <w:r w:rsidRPr="00DF79AE">
              <w:rPr>
                <w:sz w:val="22"/>
                <w:szCs w:val="22"/>
                <w:lang w:val="sr-Latn-ME"/>
              </w:rPr>
              <w:t>18,7 (32,4)</w:t>
            </w:r>
          </w:p>
        </w:tc>
      </w:tr>
      <w:tr w:rsidR="000B2A5C" w:rsidRPr="00DF79AE" w14:paraId="554DCC5E" w14:textId="77777777" w:rsidTr="00BC1FCA">
        <w:trPr>
          <w:jc w:val="center"/>
        </w:trPr>
        <w:tc>
          <w:tcPr>
            <w:tcW w:w="3431" w:type="dxa"/>
            <w:shd w:val="clear" w:color="auto" w:fill="auto"/>
          </w:tcPr>
          <w:p w14:paraId="625885DE" w14:textId="77777777" w:rsidR="000B2A5C" w:rsidRPr="00DF79AE" w:rsidRDefault="000B2A5C" w:rsidP="00BC1FCA">
            <w:pPr>
              <w:tabs>
                <w:tab w:val="left" w:pos="284"/>
              </w:tabs>
              <w:autoSpaceDE w:val="0"/>
              <w:autoSpaceDN w:val="0"/>
              <w:adjustRightInd w:val="0"/>
              <w:rPr>
                <w:sz w:val="22"/>
                <w:szCs w:val="22"/>
                <w:lang w:val="sr-Latn-ME"/>
              </w:rPr>
            </w:pPr>
            <w:r w:rsidRPr="00DF79AE">
              <w:rPr>
                <w:sz w:val="22"/>
                <w:szCs w:val="22"/>
                <w:lang w:val="sr-Latn-ME"/>
              </w:rPr>
              <w:t>Promjena u odnosu na početni rezultat</w:t>
            </w:r>
          </w:p>
        </w:tc>
        <w:tc>
          <w:tcPr>
            <w:tcW w:w="3432" w:type="dxa"/>
            <w:shd w:val="clear" w:color="auto" w:fill="auto"/>
          </w:tcPr>
          <w:p w14:paraId="79147986" w14:textId="77777777" w:rsidR="000B2A5C" w:rsidRPr="00DF79AE" w:rsidRDefault="000B2A5C" w:rsidP="00BC1FCA">
            <w:pPr>
              <w:tabs>
                <w:tab w:val="left" w:pos="284"/>
              </w:tabs>
              <w:autoSpaceDE w:val="0"/>
              <w:autoSpaceDN w:val="0"/>
              <w:adjustRightInd w:val="0"/>
              <w:rPr>
                <w:sz w:val="22"/>
                <w:szCs w:val="22"/>
                <w:lang w:val="sr-Latn-ME"/>
              </w:rPr>
            </w:pPr>
            <w:r w:rsidRPr="00DF79AE">
              <w:rPr>
                <w:sz w:val="22"/>
                <w:szCs w:val="22"/>
                <w:lang w:val="sr-Latn-ME"/>
              </w:rPr>
              <w:t>1,4 (4,6)</w:t>
            </w:r>
          </w:p>
        </w:tc>
        <w:tc>
          <w:tcPr>
            <w:tcW w:w="3432" w:type="dxa"/>
            <w:shd w:val="clear" w:color="auto" w:fill="auto"/>
          </w:tcPr>
          <w:p w14:paraId="21870EC1" w14:textId="77777777" w:rsidR="000B2A5C" w:rsidRPr="00DF79AE" w:rsidRDefault="000B2A5C" w:rsidP="00BC1FCA">
            <w:pPr>
              <w:tabs>
                <w:tab w:val="left" w:pos="284"/>
              </w:tabs>
              <w:autoSpaceDE w:val="0"/>
              <w:autoSpaceDN w:val="0"/>
              <w:adjustRightInd w:val="0"/>
              <w:rPr>
                <w:sz w:val="22"/>
                <w:szCs w:val="22"/>
                <w:lang w:val="sr-Latn-ME"/>
              </w:rPr>
            </w:pPr>
            <w:r w:rsidRPr="00DF79AE">
              <w:rPr>
                <w:sz w:val="22"/>
                <w:szCs w:val="22"/>
                <w:lang w:val="sr-Latn-ME"/>
              </w:rPr>
              <w:t>0,7 (5,2) *</w:t>
            </w:r>
          </w:p>
        </w:tc>
      </w:tr>
      <w:tr w:rsidR="000B2A5C" w:rsidRPr="00DF79AE" w14:paraId="112F5A32" w14:textId="77777777" w:rsidTr="00BC1FCA">
        <w:trPr>
          <w:jc w:val="center"/>
        </w:trPr>
        <w:tc>
          <w:tcPr>
            <w:tcW w:w="10295" w:type="dxa"/>
            <w:gridSpan w:val="3"/>
            <w:shd w:val="clear" w:color="auto" w:fill="auto"/>
          </w:tcPr>
          <w:p w14:paraId="24A60C37" w14:textId="77777777" w:rsidR="000B2A5C" w:rsidRPr="00DF79AE" w:rsidRDefault="000B2A5C" w:rsidP="00BC1FCA">
            <w:pPr>
              <w:tabs>
                <w:tab w:val="left" w:pos="284"/>
              </w:tabs>
              <w:autoSpaceDE w:val="0"/>
              <w:autoSpaceDN w:val="0"/>
              <w:adjustRightInd w:val="0"/>
              <w:rPr>
                <w:sz w:val="22"/>
                <w:szCs w:val="22"/>
                <w:lang w:val="sr-Latn-ME"/>
              </w:rPr>
            </w:pPr>
            <w:r w:rsidRPr="00DF79AE">
              <w:rPr>
                <w:b/>
                <w:sz w:val="22"/>
                <w:szCs w:val="22"/>
                <w:lang w:val="sr-Latn-ME"/>
              </w:rPr>
              <w:t>Rezultat erozija</w:t>
            </w:r>
          </w:p>
        </w:tc>
      </w:tr>
      <w:tr w:rsidR="000B2A5C" w:rsidRPr="00DF79AE" w14:paraId="780BA2F2" w14:textId="77777777" w:rsidTr="00BC1FCA">
        <w:trPr>
          <w:jc w:val="center"/>
        </w:trPr>
        <w:tc>
          <w:tcPr>
            <w:tcW w:w="3431" w:type="dxa"/>
            <w:shd w:val="clear" w:color="auto" w:fill="auto"/>
          </w:tcPr>
          <w:p w14:paraId="60A3FD30" w14:textId="77777777" w:rsidR="000B2A5C" w:rsidRPr="00DF79AE" w:rsidRDefault="000B2A5C" w:rsidP="00BC1FCA">
            <w:pPr>
              <w:tabs>
                <w:tab w:val="left" w:pos="284"/>
              </w:tabs>
              <w:autoSpaceDE w:val="0"/>
              <w:autoSpaceDN w:val="0"/>
              <w:adjustRightInd w:val="0"/>
              <w:rPr>
                <w:sz w:val="22"/>
                <w:szCs w:val="22"/>
                <w:lang w:val="sr-Latn-ME"/>
              </w:rPr>
            </w:pPr>
            <w:r w:rsidRPr="00DF79AE">
              <w:rPr>
                <w:sz w:val="22"/>
                <w:szCs w:val="22"/>
                <w:lang w:val="sr-Latn-ME"/>
              </w:rPr>
              <w:t>Početni rezultat</w:t>
            </w:r>
          </w:p>
        </w:tc>
        <w:tc>
          <w:tcPr>
            <w:tcW w:w="3432" w:type="dxa"/>
            <w:shd w:val="clear" w:color="auto" w:fill="auto"/>
          </w:tcPr>
          <w:p w14:paraId="0E351027" w14:textId="77777777" w:rsidR="000B2A5C" w:rsidRPr="00DF79AE" w:rsidRDefault="000B2A5C" w:rsidP="00BC1FCA">
            <w:pPr>
              <w:tabs>
                <w:tab w:val="left" w:pos="284"/>
              </w:tabs>
              <w:autoSpaceDE w:val="0"/>
              <w:autoSpaceDN w:val="0"/>
              <w:adjustRightInd w:val="0"/>
              <w:rPr>
                <w:sz w:val="22"/>
                <w:szCs w:val="22"/>
                <w:lang w:val="sr-Latn-ME"/>
              </w:rPr>
            </w:pPr>
            <w:r w:rsidRPr="00DF79AE">
              <w:rPr>
                <w:sz w:val="22"/>
                <w:szCs w:val="22"/>
                <w:lang w:val="sr-Latn-ME"/>
              </w:rPr>
              <w:t>11,3 (18,6)</w:t>
            </w:r>
          </w:p>
        </w:tc>
        <w:tc>
          <w:tcPr>
            <w:tcW w:w="3432" w:type="dxa"/>
            <w:shd w:val="clear" w:color="auto" w:fill="auto"/>
          </w:tcPr>
          <w:p w14:paraId="24B9695C" w14:textId="77777777" w:rsidR="000B2A5C" w:rsidRPr="00DF79AE" w:rsidRDefault="000B2A5C" w:rsidP="00BC1FCA">
            <w:pPr>
              <w:tabs>
                <w:tab w:val="left" w:pos="284"/>
              </w:tabs>
              <w:autoSpaceDE w:val="0"/>
              <w:autoSpaceDN w:val="0"/>
              <w:adjustRightInd w:val="0"/>
              <w:rPr>
                <w:sz w:val="22"/>
                <w:szCs w:val="22"/>
                <w:lang w:val="sr-Latn-ME"/>
              </w:rPr>
            </w:pPr>
            <w:r w:rsidRPr="00DF79AE">
              <w:rPr>
                <w:sz w:val="22"/>
                <w:szCs w:val="22"/>
                <w:lang w:val="sr-Latn-ME"/>
              </w:rPr>
              <w:t>10,8 (17,4)</w:t>
            </w:r>
          </w:p>
        </w:tc>
      </w:tr>
      <w:tr w:rsidR="000B2A5C" w:rsidRPr="00DF79AE" w14:paraId="6C85AC95" w14:textId="77777777" w:rsidTr="00BC1FCA">
        <w:trPr>
          <w:jc w:val="center"/>
        </w:trPr>
        <w:tc>
          <w:tcPr>
            <w:tcW w:w="3431" w:type="dxa"/>
            <w:shd w:val="clear" w:color="auto" w:fill="auto"/>
          </w:tcPr>
          <w:p w14:paraId="7177046A" w14:textId="77777777" w:rsidR="000B2A5C" w:rsidRPr="00DF79AE" w:rsidRDefault="000B2A5C" w:rsidP="00BC1FCA">
            <w:pPr>
              <w:tabs>
                <w:tab w:val="left" w:pos="284"/>
              </w:tabs>
              <w:autoSpaceDE w:val="0"/>
              <w:autoSpaceDN w:val="0"/>
              <w:adjustRightInd w:val="0"/>
              <w:rPr>
                <w:sz w:val="22"/>
                <w:szCs w:val="22"/>
                <w:lang w:val="sr-Latn-ME"/>
              </w:rPr>
            </w:pPr>
            <w:r w:rsidRPr="00DF79AE">
              <w:rPr>
                <w:sz w:val="22"/>
                <w:szCs w:val="22"/>
                <w:lang w:val="sr-Latn-ME"/>
              </w:rPr>
              <w:t>Promjena u odnosu na početni rezultat</w:t>
            </w:r>
          </w:p>
        </w:tc>
        <w:tc>
          <w:tcPr>
            <w:tcW w:w="3432" w:type="dxa"/>
            <w:shd w:val="clear" w:color="auto" w:fill="auto"/>
          </w:tcPr>
          <w:p w14:paraId="7DF142ED" w14:textId="77777777" w:rsidR="000B2A5C" w:rsidRPr="00DF79AE" w:rsidRDefault="000B2A5C" w:rsidP="00BC1FCA">
            <w:pPr>
              <w:tabs>
                <w:tab w:val="left" w:pos="284"/>
              </w:tabs>
              <w:autoSpaceDE w:val="0"/>
              <w:autoSpaceDN w:val="0"/>
              <w:adjustRightInd w:val="0"/>
              <w:rPr>
                <w:sz w:val="22"/>
                <w:szCs w:val="22"/>
                <w:lang w:val="sr-Latn-ME"/>
              </w:rPr>
            </w:pPr>
            <w:r w:rsidRPr="00DF79AE">
              <w:rPr>
                <w:sz w:val="22"/>
                <w:szCs w:val="22"/>
                <w:lang w:val="sr-Latn-ME"/>
              </w:rPr>
              <w:t>0,7 (2,8)</w:t>
            </w:r>
          </w:p>
        </w:tc>
        <w:tc>
          <w:tcPr>
            <w:tcW w:w="3432" w:type="dxa"/>
            <w:shd w:val="clear" w:color="auto" w:fill="auto"/>
          </w:tcPr>
          <w:p w14:paraId="2BA17802" w14:textId="77777777" w:rsidR="000B2A5C" w:rsidRPr="00DF79AE" w:rsidRDefault="000B2A5C" w:rsidP="00BC1FCA">
            <w:pPr>
              <w:tabs>
                <w:tab w:val="left" w:pos="284"/>
              </w:tabs>
              <w:autoSpaceDE w:val="0"/>
              <w:autoSpaceDN w:val="0"/>
              <w:adjustRightInd w:val="0"/>
              <w:rPr>
                <w:sz w:val="22"/>
                <w:szCs w:val="22"/>
                <w:lang w:val="sr-Latn-ME"/>
              </w:rPr>
            </w:pPr>
            <w:r w:rsidRPr="00DF79AE">
              <w:rPr>
                <w:sz w:val="22"/>
                <w:szCs w:val="22"/>
                <w:lang w:val="sr-Latn-ME"/>
              </w:rPr>
              <w:t>0,5 (2,1)</w:t>
            </w:r>
          </w:p>
        </w:tc>
      </w:tr>
      <w:tr w:rsidR="000B2A5C" w:rsidRPr="00DF79AE" w14:paraId="69B3F41C" w14:textId="77777777" w:rsidTr="00BC1FCA">
        <w:trPr>
          <w:jc w:val="center"/>
        </w:trPr>
        <w:tc>
          <w:tcPr>
            <w:tcW w:w="10295" w:type="dxa"/>
            <w:gridSpan w:val="3"/>
            <w:shd w:val="clear" w:color="auto" w:fill="auto"/>
          </w:tcPr>
          <w:p w14:paraId="5F3AB162" w14:textId="77777777" w:rsidR="000B2A5C" w:rsidRPr="00DF79AE" w:rsidRDefault="000B2A5C" w:rsidP="00BC1FCA">
            <w:pPr>
              <w:tabs>
                <w:tab w:val="left" w:pos="284"/>
              </w:tabs>
              <w:autoSpaceDE w:val="0"/>
              <w:autoSpaceDN w:val="0"/>
              <w:adjustRightInd w:val="0"/>
              <w:rPr>
                <w:b/>
                <w:sz w:val="22"/>
                <w:szCs w:val="22"/>
                <w:lang w:val="sr-Latn-ME"/>
              </w:rPr>
            </w:pPr>
            <w:r w:rsidRPr="00DF79AE">
              <w:rPr>
                <w:b/>
                <w:sz w:val="22"/>
                <w:szCs w:val="22"/>
                <w:lang w:val="sr-Latn-ME"/>
              </w:rPr>
              <w:t>Rezultat sužavanja zglobnih prostora</w:t>
            </w:r>
          </w:p>
        </w:tc>
      </w:tr>
      <w:tr w:rsidR="000B2A5C" w:rsidRPr="00DF79AE" w14:paraId="26DAFE13" w14:textId="77777777" w:rsidTr="00BC1FCA">
        <w:trPr>
          <w:jc w:val="center"/>
        </w:trPr>
        <w:tc>
          <w:tcPr>
            <w:tcW w:w="3431" w:type="dxa"/>
            <w:shd w:val="clear" w:color="auto" w:fill="auto"/>
          </w:tcPr>
          <w:p w14:paraId="37A8CB83" w14:textId="77777777" w:rsidR="000B2A5C" w:rsidRPr="00DF79AE" w:rsidRDefault="000B2A5C" w:rsidP="00BC1FCA">
            <w:pPr>
              <w:tabs>
                <w:tab w:val="left" w:pos="284"/>
              </w:tabs>
              <w:autoSpaceDE w:val="0"/>
              <w:autoSpaceDN w:val="0"/>
              <w:adjustRightInd w:val="0"/>
              <w:rPr>
                <w:sz w:val="22"/>
                <w:szCs w:val="22"/>
                <w:lang w:val="sr-Latn-ME"/>
              </w:rPr>
            </w:pPr>
            <w:r w:rsidRPr="00DF79AE">
              <w:rPr>
                <w:sz w:val="22"/>
                <w:szCs w:val="22"/>
                <w:lang w:val="sr-Latn-ME"/>
              </w:rPr>
              <w:t>Početni rezultat</w:t>
            </w:r>
          </w:p>
        </w:tc>
        <w:tc>
          <w:tcPr>
            <w:tcW w:w="3432" w:type="dxa"/>
            <w:shd w:val="clear" w:color="auto" w:fill="auto"/>
          </w:tcPr>
          <w:p w14:paraId="6194254C" w14:textId="77777777" w:rsidR="000B2A5C" w:rsidRPr="00DF79AE" w:rsidRDefault="000B2A5C" w:rsidP="00BC1FCA">
            <w:pPr>
              <w:tabs>
                <w:tab w:val="left" w:pos="284"/>
              </w:tabs>
              <w:autoSpaceDE w:val="0"/>
              <w:autoSpaceDN w:val="0"/>
              <w:adjustRightInd w:val="0"/>
              <w:rPr>
                <w:sz w:val="22"/>
                <w:szCs w:val="22"/>
                <w:lang w:val="sr-Latn-ME"/>
              </w:rPr>
            </w:pPr>
            <w:r w:rsidRPr="00DF79AE">
              <w:rPr>
                <w:sz w:val="22"/>
                <w:szCs w:val="22"/>
                <w:lang w:val="sr-Latn-ME"/>
              </w:rPr>
              <w:t>8,4 (17,8)</w:t>
            </w:r>
          </w:p>
        </w:tc>
        <w:tc>
          <w:tcPr>
            <w:tcW w:w="3432" w:type="dxa"/>
            <w:shd w:val="clear" w:color="auto" w:fill="auto"/>
          </w:tcPr>
          <w:p w14:paraId="0B67C41B" w14:textId="77777777" w:rsidR="000B2A5C" w:rsidRPr="00DF79AE" w:rsidRDefault="000B2A5C" w:rsidP="00BC1FCA">
            <w:pPr>
              <w:tabs>
                <w:tab w:val="left" w:pos="284"/>
              </w:tabs>
              <w:autoSpaceDE w:val="0"/>
              <w:autoSpaceDN w:val="0"/>
              <w:adjustRightInd w:val="0"/>
              <w:rPr>
                <w:sz w:val="22"/>
                <w:szCs w:val="22"/>
                <w:lang w:val="sr-Latn-ME"/>
              </w:rPr>
            </w:pPr>
            <w:r w:rsidRPr="00DF79AE">
              <w:rPr>
                <w:sz w:val="22"/>
                <w:szCs w:val="22"/>
                <w:lang w:val="sr-Latn-ME"/>
              </w:rPr>
              <w:t>7,9 (16,1)</w:t>
            </w:r>
          </w:p>
        </w:tc>
      </w:tr>
      <w:tr w:rsidR="000B2A5C" w:rsidRPr="00DF79AE" w14:paraId="1110716F" w14:textId="77777777" w:rsidTr="00BC1FCA">
        <w:trPr>
          <w:jc w:val="center"/>
        </w:trPr>
        <w:tc>
          <w:tcPr>
            <w:tcW w:w="3431" w:type="dxa"/>
            <w:shd w:val="clear" w:color="auto" w:fill="auto"/>
          </w:tcPr>
          <w:p w14:paraId="3A51F692" w14:textId="77777777" w:rsidR="000B2A5C" w:rsidRPr="00DF79AE" w:rsidRDefault="000B2A5C" w:rsidP="00BC1FCA">
            <w:pPr>
              <w:tabs>
                <w:tab w:val="left" w:pos="284"/>
              </w:tabs>
              <w:autoSpaceDE w:val="0"/>
              <w:autoSpaceDN w:val="0"/>
              <w:adjustRightInd w:val="0"/>
              <w:rPr>
                <w:sz w:val="22"/>
                <w:szCs w:val="22"/>
                <w:lang w:val="sr-Latn-ME"/>
              </w:rPr>
            </w:pPr>
            <w:r w:rsidRPr="00DF79AE">
              <w:rPr>
                <w:sz w:val="22"/>
                <w:szCs w:val="22"/>
                <w:lang w:val="sr-Latn-ME"/>
              </w:rPr>
              <w:t>Promjena u odnosu na početni rezultat</w:t>
            </w:r>
          </w:p>
        </w:tc>
        <w:tc>
          <w:tcPr>
            <w:tcW w:w="3432" w:type="dxa"/>
            <w:shd w:val="clear" w:color="auto" w:fill="auto"/>
          </w:tcPr>
          <w:p w14:paraId="756D0671" w14:textId="77777777" w:rsidR="000B2A5C" w:rsidRPr="00DF79AE" w:rsidRDefault="000B2A5C" w:rsidP="00BC1FCA">
            <w:pPr>
              <w:tabs>
                <w:tab w:val="left" w:pos="284"/>
              </w:tabs>
              <w:autoSpaceDE w:val="0"/>
              <w:autoSpaceDN w:val="0"/>
              <w:adjustRightInd w:val="0"/>
              <w:rPr>
                <w:sz w:val="22"/>
                <w:szCs w:val="22"/>
                <w:lang w:val="sr-Latn-ME"/>
              </w:rPr>
            </w:pPr>
            <w:r w:rsidRPr="00DF79AE">
              <w:rPr>
                <w:sz w:val="22"/>
                <w:szCs w:val="22"/>
                <w:lang w:val="sr-Latn-ME"/>
              </w:rPr>
              <w:t>0,6 (2,3)</w:t>
            </w:r>
          </w:p>
        </w:tc>
        <w:tc>
          <w:tcPr>
            <w:tcW w:w="3432" w:type="dxa"/>
            <w:shd w:val="clear" w:color="auto" w:fill="auto"/>
          </w:tcPr>
          <w:p w14:paraId="729D2139" w14:textId="77777777" w:rsidR="000B2A5C" w:rsidRPr="00DF79AE" w:rsidRDefault="000B2A5C" w:rsidP="00BC1FCA">
            <w:pPr>
              <w:tabs>
                <w:tab w:val="left" w:pos="284"/>
              </w:tabs>
              <w:autoSpaceDE w:val="0"/>
              <w:autoSpaceDN w:val="0"/>
              <w:adjustRightInd w:val="0"/>
              <w:rPr>
                <w:sz w:val="22"/>
                <w:szCs w:val="22"/>
                <w:lang w:val="sr-Latn-ME"/>
              </w:rPr>
            </w:pPr>
            <w:r w:rsidRPr="00DF79AE">
              <w:rPr>
                <w:sz w:val="22"/>
                <w:szCs w:val="22"/>
                <w:lang w:val="sr-Latn-ME"/>
              </w:rPr>
              <w:t>0,2 (2,0)**</w:t>
            </w:r>
          </w:p>
        </w:tc>
      </w:tr>
      <w:tr w:rsidR="000B2A5C" w:rsidRPr="00DF79AE" w14:paraId="3DF1F06D" w14:textId="77777777" w:rsidTr="00BC1FCA">
        <w:trPr>
          <w:jc w:val="center"/>
        </w:trPr>
        <w:tc>
          <w:tcPr>
            <w:tcW w:w="10295" w:type="dxa"/>
            <w:gridSpan w:val="3"/>
            <w:shd w:val="clear" w:color="auto" w:fill="auto"/>
          </w:tcPr>
          <w:p w14:paraId="3EDC6E31" w14:textId="77777777" w:rsidR="000B2A5C" w:rsidRPr="00DF79AE" w:rsidRDefault="000B2A5C" w:rsidP="00BC1FCA">
            <w:pPr>
              <w:tabs>
                <w:tab w:val="left" w:pos="284"/>
              </w:tabs>
              <w:autoSpaceDE w:val="0"/>
              <w:autoSpaceDN w:val="0"/>
              <w:adjustRightInd w:val="0"/>
              <w:rPr>
                <w:sz w:val="22"/>
                <w:szCs w:val="22"/>
                <w:vertAlign w:val="superscript"/>
                <w:lang w:val="sr-Latn-ME"/>
              </w:rPr>
            </w:pPr>
            <w:r w:rsidRPr="00DF79AE">
              <w:rPr>
                <w:sz w:val="22"/>
                <w:szCs w:val="22"/>
                <w:vertAlign w:val="superscript"/>
                <w:lang w:val="sr-Latn-ME"/>
              </w:rPr>
              <w:t>a</w:t>
            </w:r>
            <w:r w:rsidRPr="00DF79AE">
              <w:rPr>
                <w:sz w:val="22"/>
                <w:szCs w:val="22"/>
                <w:lang w:val="sr-Latn-ME"/>
              </w:rPr>
              <w:t xml:space="preserve"> n ukazuje na broj pacijenata</w:t>
            </w:r>
          </w:p>
          <w:p w14:paraId="297C107D" w14:textId="77777777" w:rsidR="000B2A5C" w:rsidRPr="00DF79AE" w:rsidRDefault="000B2A5C" w:rsidP="00BC1FCA">
            <w:pPr>
              <w:tabs>
                <w:tab w:val="left" w:pos="284"/>
              </w:tabs>
              <w:autoSpaceDE w:val="0"/>
              <w:autoSpaceDN w:val="0"/>
              <w:adjustRightInd w:val="0"/>
              <w:rPr>
                <w:sz w:val="22"/>
                <w:szCs w:val="22"/>
                <w:lang w:val="sr-Latn-ME"/>
              </w:rPr>
            </w:pPr>
            <w:r w:rsidRPr="00DF79AE">
              <w:rPr>
                <w:sz w:val="22"/>
                <w:szCs w:val="22"/>
                <w:lang w:val="sr-Latn-ME"/>
              </w:rPr>
              <w:t>*</w:t>
            </w:r>
            <w:r w:rsidRPr="00DF79AE">
              <w:rPr>
                <w:sz w:val="22"/>
                <w:szCs w:val="22"/>
                <w:vertAlign w:val="superscript"/>
                <w:lang w:val="sr-Latn-ME"/>
              </w:rPr>
              <w:t xml:space="preserve">  </w:t>
            </w:r>
            <w:r w:rsidRPr="00DF79AE">
              <w:rPr>
                <w:sz w:val="22"/>
                <w:szCs w:val="22"/>
                <w:lang w:val="sr-Latn-ME"/>
              </w:rPr>
              <w:t>p=0,015</w:t>
            </w:r>
          </w:p>
          <w:p w14:paraId="17915837" w14:textId="77777777" w:rsidR="000B2A5C" w:rsidRPr="00DF79AE" w:rsidRDefault="000B2A5C" w:rsidP="00BC1FCA">
            <w:pPr>
              <w:tabs>
                <w:tab w:val="left" w:pos="284"/>
              </w:tabs>
              <w:autoSpaceDE w:val="0"/>
              <w:autoSpaceDN w:val="0"/>
              <w:adjustRightInd w:val="0"/>
              <w:rPr>
                <w:sz w:val="22"/>
                <w:szCs w:val="22"/>
                <w:vertAlign w:val="superscript"/>
                <w:lang w:val="sr-Latn-ME"/>
              </w:rPr>
            </w:pPr>
            <w:r w:rsidRPr="00DF79AE">
              <w:rPr>
                <w:sz w:val="22"/>
                <w:szCs w:val="22"/>
                <w:lang w:val="sr-Latn-ME"/>
              </w:rPr>
              <w:t>**</w:t>
            </w:r>
            <w:r w:rsidRPr="00DF79AE">
              <w:rPr>
                <w:sz w:val="22"/>
                <w:szCs w:val="22"/>
                <w:vertAlign w:val="superscript"/>
                <w:lang w:val="sr-Latn-ME"/>
              </w:rPr>
              <w:t xml:space="preserve"> </w:t>
            </w:r>
            <w:r w:rsidRPr="00DF79AE">
              <w:rPr>
                <w:sz w:val="22"/>
                <w:szCs w:val="22"/>
                <w:lang w:val="sr-Latn-ME"/>
              </w:rPr>
              <w:t>p=0,044</w:t>
            </w:r>
          </w:p>
        </w:tc>
      </w:tr>
    </w:tbl>
    <w:p w14:paraId="05A15327" w14:textId="77777777" w:rsidR="000B2A5C" w:rsidRPr="00DF79AE" w:rsidRDefault="000B2A5C" w:rsidP="000B2A5C">
      <w:pPr>
        <w:rPr>
          <w:rFonts w:eastAsiaTheme="minorHAnsi"/>
          <w:sz w:val="22"/>
          <w:szCs w:val="22"/>
          <w:lang w:val="sr-Latn-ME"/>
        </w:rPr>
      </w:pPr>
    </w:p>
    <w:p w14:paraId="18FFB292" w14:textId="77777777" w:rsidR="000B2A5C" w:rsidRPr="00DF79AE" w:rsidRDefault="000B2A5C" w:rsidP="000B2A5C">
      <w:pPr>
        <w:tabs>
          <w:tab w:val="left" w:pos="284"/>
        </w:tabs>
        <w:jc w:val="both"/>
        <w:rPr>
          <w:i/>
          <w:iCs/>
          <w:sz w:val="22"/>
          <w:szCs w:val="22"/>
          <w:u w:val="single"/>
          <w:lang w:val="sr-Latn-ME"/>
        </w:rPr>
      </w:pPr>
      <w:r w:rsidRPr="00DF79AE">
        <w:rPr>
          <w:i/>
          <w:iCs/>
          <w:sz w:val="22"/>
          <w:szCs w:val="22"/>
          <w:u w:val="single"/>
          <w:lang w:val="sr-Latn-ME"/>
        </w:rPr>
        <w:t>Fizička funkcija i zdravstveni aspekt kvaliteta života</w:t>
      </w:r>
    </w:p>
    <w:p w14:paraId="247255BF" w14:textId="587A8CBC" w:rsidR="000B2A5C" w:rsidRPr="00DF79AE" w:rsidRDefault="000B2A5C" w:rsidP="000B2A5C">
      <w:pPr>
        <w:tabs>
          <w:tab w:val="left" w:pos="284"/>
        </w:tabs>
        <w:autoSpaceDE w:val="0"/>
        <w:autoSpaceDN w:val="0"/>
        <w:adjustRightInd w:val="0"/>
        <w:jc w:val="both"/>
        <w:rPr>
          <w:rFonts w:eastAsia="MS Mincho"/>
          <w:sz w:val="22"/>
          <w:szCs w:val="22"/>
          <w:lang w:val="sr-Latn-ME" w:eastAsia="ja-JP" w:bidi="gu-IN"/>
        </w:rPr>
      </w:pPr>
      <w:r w:rsidRPr="00DF79AE">
        <w:rPr>
          <w:rFonts w:eastAsia="MS Mincho"/>
          <w:sz w:val="22"/>
          <w:szCs w:val="22"/>
          <w:lang w:val="sr-Latn-ME" w:eastAsia="ja-JP" w:bidi="gu-IN"/>
        </w:rPr>
        <w:t xml:space="preserve">Fizička funkcija i stepen invalidnosti procijenjeni su kao poseban </w:t>
      </w:r>
      <w:r w:rsidR="00A06D4D">
        <w:rPr>
          <w:rFonts w:eastAsia="MS Mincho"/>
          <w:sz w:val="22"/>
          <w:szCs w:val="22"/>
          <w:lang w:val="sr-Latn-ME" w:eastAsia="ja-JP" w:bidi="gu-IN"/>
        </w:rPr>
        <w:t>parametar</w:t>
      </w:r>
      <w:r w:rsidR="00A06D4D" w:rsidRPr="00A06D4D">
        <w:rPr>
          <w:rFonts w:eastAsia="MS Mincho"/>
          <w:sz w:val="22"/>
          <w:szCs w:val="22"/>
          <w:lang w:val="sr-Latn-ME" w:eastAsia="ja-JP" w:bidi="gu-IN"/>
        </w:rPr>
        <w:t xml:space="preserve"> praćenja </w:t>
      </w:r>
      <w:r w:rsidRPr="00DF79AE">
        <w:rPr>
          <w:rFonts w:eastAsia="MS Mincho"/>
          <w:sz w:val="22"/>
          <w:szCs w:val="22"/>
          <w:lang w:val="sr-Latn-ME" w:eastAsia="ja-JP" w:bidi="gu-IN"/>
        </w:rPr>
        <w:t>ispitivanja u studijama GO</w:t>
      </w:r>
      <w:r w:rsidRPr="00DF79AE">
        <w:rPr>
          <w:rFonts w:eastAsia="MS Mincho"/>
          <w:sz w:val="22"/>
          <w:szCs w:val="22"/>
          <w:lang w:val="sr-Latn-ME" w:eastAsia="ja-JP" w:bidi="gu-IN"/>
        </w:rPr>
        <w:noBreakHyphen/>
        <w:t>FORWARD i GO</w:t>
      </w:r>
      <w:r w:rsidRPr="00DF79AE">
        <w:rPr>
          <w:rFonts w:eastAsia="MS Mincho"/>
          <w:sz w:val="22"/>
          <w:szCs w:val="22"/>
          <w:lang w:val="sr-Latn-ME" w:eastAsia="ja-JP" w:bidi="gu-IN"/>
        </w:rPr>
        <w:noBreakHyphen/>
        <w:t xml:space="preserve">AFTER, pomoću indeksa invalidnosti iz upitnika HAQ DI. U tim ispitivanjima je sa lijekom Simponi postignuto klinički relevantno i statistički značajno poboljšanje rezultata HAQ DI u 24. nedjelji u odnosu na početne vrijednosti, u poređenju s kontrolnom grupom. </w:t>
      </w:r>
      <w:r w:rsidRPr="00DF79AE">
        <w:rPr>
          <w:sz w:val="22"/>
          <w:szCs w:val="22"/>
          <w:lang w:val="sr-Latn-ME"/>
        </w:rPr>
        <w:t>Među pacijentima koji su ostali na terapiji lijekom Simponi</w:t>
      </w:r>
      <w:r w:rsidRPr="00DF79AE">
        <w:rPr>
          <w:sz w:val="22"/>
          <w:szCs w:val="22"/>
          <w:vertAlign w:val="superscript"/>
          <w:lang w:val="sr-Latn-ME"/>
        </w:rPr>
        <w:t xml:space="preserve"> </w:t>
      </w:r>
      <w:r w:rsidRPr="00DF79AE">
        <w:rPr>
          <w:sz w:val="22"/>
          <w:szCs w:val="22"/>
          <w:lang w:val="sr-Latn-ME"/>
        </w:rPr>
        <w:t xml:space="preserve">na koju su randomizovani na početku </w:t>
      </w:r>
      <w:r w:rsidRPr="00DF79AE">
        <w:rPr>
          <w:sz w:val="22"/>
          <w:szCs w:val="22"/>
          <w:lang w:val="sr-Latn-ME"/>
        </w:rPr>
        <w:lastRenderedPageBreak/>
        <w:t xml:space="preserve">ispitivanja, </w:t>
      </w:r>
      <w:r w:rsidRPr="00DF79AE">
        <w:rPr>
          <w:rFonts w:eastAsia="MS Mincho"/>
          <w:sz w:val="22"/>
          <w:szCs w:val="22"/>
          <w:lang w:val="sr-Latn-ME" w:eastAsia="ja-JP" w:bidi="gu-IN"/>
        </w:rPr>
        <w:t>poboljšanje rezultata u upitniku HAQ</w:t>
      </w:r>
      <w:r w:rsidRPr="00DF79AE">
        <w:rPr>
          <w:sz w:val="22"/>
          <w:szCs w:val="22"/>
          <w:lang w:val="sr-Latn-ME"/>
        </w:rPr>
        <w:t xml:space="preserve"> DI održavano je do 104. nedjelje. Među pacijentima koji su ostali uključeni u studiju i liječeni lijekom Simponi, poboljšanje rezultata HAQ DI je bilo slično od 104. nedjelje do kraja 256. nedjelje.</w:t>
      </w:r>
    </w:p>
    <w:p w14:paraId="51503789" w14:textId="77777777" w:rsidR="000B2A5C" w:rsidRPr="00DF79AE" w:rsidRDefault="000B2A5C" w:rsidP="000B2A5C">
      <w:pPr>
        <w:tabs>
          <w:tab w:val="left" w:pos="284"/>
        </w:tabs>
        <w:jc w:val="both"/>
        <w:rPr>
          <w:sz w:val="22"/>
          <w:szCs w:val="22"/>
          <w:lang w:val="sr-Latn-ME"/>
        </w:rPr>
      </w:pPr>
    </w:p>
    <w:p w14:paraId="0D6F50A0" w14:textId="77777777" w:rsidR="000B2A5C" w:rsidRPr="00DF79AE" w:rsidRDefault="000B2A5C" w:rsidP="000B2A5C">
      <w:pPr>
        <w:tabs>
          <w:tab w:val="left" w:pos="284"/>
        </w:tabs>
        <w:jc w:val="both"/>
        <w:rPr>
          <w:rFonts w:eastAsia="MS Mincho"/>
          <w:sz w:val="22"/>
          <w:szCs w:val="22"/>
          <w:lang w:val="sr-Latn-ME" w:eastAsia="ja-JP" w:bidi="gu-IN"/>
        </w:rPr>
      </w:pPr>
      <w:r w:rsidRPr="00DF79AE">
        <w:rPr>
          <w:sz w:val="22"/>
          <w:szCs w:val="22"/>
          <w:lang w:val="sr-Latn-ME"/>
        </w:rPr>
        <w:t>U studiji GO</w:t>
      </w:r>
      <w:r w:rsidRPr="00DF79AE">
        <w:rPr>
          <w:sz w:val="22"/>
          <w:szCs w:val="22"/>
          <w:lang w:val="sr-Latn-ME"/>
        </w:rPr>
        <w:noBreakHyphen/>
        <w:t xml:space="preserve">FORWARD pokazano je </w:t>
      </w:r>
      <w:r w:rsidRPr="00DF79AE">
        <w:rPr>
          <w:rFonts w:eastAsia="MS Mincho"/>
          <w:sz w:val="22"/>
          <w:szCs w:val="22"/>
          <w:lang w:val="sr-Latn-ME" w:eastAsia="ja-JP" w:bidi="gu-IN"/>
        </w:rPr>
        <w:t xml:space="preserve">klinički relevantno i statistički značajno poboljšanje zdravstvenog aspekta kvaliteta života, mjereno rezultatom fizičke komponente upitnika SF-36 kod pacijenata liječenih lijekom Simponi i onih koji su primali placebo u 24. nedjelji. </w:t>
      </w:r>
    </w:p>
    <w:p w14:paraId="0274B30A" w14:textId="77777777" w:rsidR="000B2A5C" w:rsidRPr="00DF79AE" w:rsidRDefault="000B2A5C" w:rsidP="000B2A5C">
      <w:pPr>
        <w:tabs>
          <w:tab w:val="left" w:pos="284"/>
        </w:tabs>
        <w:jc w:val="both"/>
        <w:rPr>
          <w:rFonts w:eastAsia="MS Mincho"/>
          <w:sz w:val="22"/>
          <w:szCs w:val="22"/>
          <w:lang w:val="sr-Latn-ME" w:eastAsia="ja-JP" w:bidi="gu-IN"/>
        </w:rPr>
      </w:pPr>
      <w:r w:rsidRPr="00DF79AE">
        <w:rPr>
          <w:sz w:val="22"/>
          <w:szCs w:val="22"/>
          <w:lang w:val="sr-Latn-ME"/>
        </w:rPr>
        <w:t>Među pacijentima koji su ostali na terapiji lijekom Simponi</w:t>
      </w:r>
      <w:r w:rsidRPr="00DF79AE">
        <w:rPr>
          <w:b/>
          <w:sz w:val="22"/>
          <w:szCs w:val="22"/>
          <w:vertAlign w:val="superscript"/>
          <w:lang w:val="sr-Latn-ME"/>
        </w:rPr>
        <w:t xml:space="preserve">  </w:t>
      </w:r>
      <w:r w:rsidRPr="00DF79AE">
        <w:rPr>
          <w:sz w:val="22"/>
          <w:szCs w:val="22"/>
          <w:lang w:val="sr-Latn-ME"/>
        </w:rPr>
        <w:t xml:space="preserve">na koju su randomizovani na početku ispitivanja, </w:t>
      </w:r>
      <w:r w:rsidRPr="00DF79AE">
        <w:rPr>
          <w:rFonts w:eastAsia="MS Mincho"/>
          <w:sz w:val="22"/>
          <w:szCs w:val="22"/>
          <w:lang w:val="sr-Latn-ME" w:eastAsia="ja-JP" w:bidi="gu-IN"/>
        </w:rPr>
        <w:t xml:space="preserve">poboljšanje rezultata fizičke komponente u upitniku SF-36 </w:t>
      </w:r>
      <w:r w:rsidRPr="00DF79AE">
        <w:rPr>
          <w:sz w:val="22"/>
          <w:szCs w:val="22"/>
          <w:lang w:val="sr-Latn-ME"/>
        </w:rPr>
        <w:t>održavano je do 104. nedjelje.</w:t>
      </w:r>
      <w:r w:rsidRPr="00DF79AE">
        <w:rPr>
          <w:rFonts w:eastAsia="MS Mincho"/>
          <w:sz w:val="22"/>
          <w:szCs w:val="22"/>
          <w:lang w:val="sr-Latn-ME" w:eastAsia="ja-JP" w:bidi="gu-IN"/>
        </w:rPr>
        <w:t xml:space="preserve"> Među pacijentima koji su ostali uključeni u studiju i liječeni lijekom Simponi, poboljšanje rezultata  fizičke komponente SF-36 bilo je slično od 104. nedjelje do kraja 256. nedjelje. U studijama GO</w:t>
      </w:r>
      <w:r w:rsidRPr="00DF79AE">
        <w:rPr>
          <w:rFonts w:eastAsia="MS Mincho"/>
          <w:sz w:val="22"/>
          <w:szCs w:val="22"/>
          <w:lang w:val="sr-Latn-ME" w:eastAsia="ja-JP" w:bidi="gu-IN"/>
        </w:rPr>
        <w:noBreakHyphen/>
        <w:t>FORWARD i GO</w:t>
      </w:r>
      <w:r w:rsidRPr="00DF79AE">
        <w:rPr>
          <w:rFonts w:eastAsia="MS Mincho"/>
          <w:sz w:val="22"/>
          <w:szCs w:val="22"/>
          <w:lang w:val="sr-Latn-ME" w:eastAsia="ja-JP" w:bidi="gu-IN"/>
        </w:rPr>
        <w:noBreakHyphen/>
        <w:t>AFTER zabilježeno je statistički značajno poboljšanje parametra umora, mjereno skalom umora sistema upitnika Funkcionalne procjene terapije hroničnih bolesti (FACIT-F).</w:t>
      </w:r>
    </w:p>
    <w:p w14:paraId="520540DA" w14:textId="77777777" w:rsidR="000B2A5C" w:rsidRPr="00DF79AE" w:rsidRDefault="000B2A5C" w:rsidP="000B2A5C">
      <w:pPr>
        <w:tabs>
          <w:tab w:val="left" w:pos="284"/>
        </w:tabs>
        <w:jc w:val="both"/>
        <w:rPr>
          <w:i/>
          <w:iCs/>
          <w:sz w:val="22"/>
          <w:szCs w:val="22"/>
          <w:lang w:val="sr-Latn-ME"/>
        </w:rPr>
      </w:pPr>
    </w:p>
    <w:p w14:paraId="2E95CA35" w14:textId="77777777" w:rsidR="000B2A5C" w:rsidRPr="00DF79AE" w:rsidRDefault="000B2A5C" w:rsidP="000B2A5C">
      <w:pPr>
        <w:tabs>
          <w:tab w:val="left" w:pos="284"/>
        </w:tabs>
        <w:jc w:val="both"/>
        <w:rPr>
          <w:i/>
          <w:iCs/>
          <w:sz w:val="22"/>
          <w:szCs w:val="22"/>
          <w:lang w:val="sr-Latn-ME"/>
        </w:rPr>
      </w:pPr>
      <w:r w:rsidRPr="00DF79AE">
        <w:rPr>
          <w:i/>
          <w:iCs/>
          <w:sz w:val="22"/>
          <w:szCs w:val="22"/>
          <w:lang w:val="sr-Latn-ME"/>
        </w:rPr>
        <w:t>Psorijatični artritis</w:t>
      </w:r>
    </w:p>
    <w:p w14:paraId="437B2A05" w14:textId="7075F28B" w:rsidR="000B2A5C" w:rsidRPr="00DF79AE" w:rsidRDefault="000B2A5C" w:rsidP="000B2A5C">
      <w:pPr>
        <w:tabs>
          <w:tab w:val="left" w:pos="284"/>
        </w:tabs>
        <w:autoSpaceDE w:val="0"/>
        <w:autoSpaceDN w:val="0"/>
        <w:adjustRightInd w:val="0"/>
        <w:jc w:val="both"/>
        <w:rPr>
          <w:sz w:val="22"/>
          <w:szCs w:val="22"/>
          <w:lang w:val="sr-Latn-ME"/>
        </w:rPr>
      </w:pPr>
      <w:r w:rsidRPr="00DF79AE">
        <w:rPr>
          <w:sz w:val="22"/>
          <w:szCs w:val="22"/>
          <w:lang w:val="sr-Latn-ME"/>
        </w:rPr>
        <w:t>Bezbjednost i efikasnost lijeka Simponi procijenjeni su u multicentričnom, randomizovanom, dvostruko slijepom, placebo kontrolisanom ispitivanju (GO</w:t>
      </w:r>
      <w:r w:rsidRPr="00DF79AE">
        <w:rPr>
          <w:sz w:val="22"/>
          <w:szCs w:val="22"/>
          <w:lang w:val="sr-Latn-ME"/>
        </w:rPr>
        <w:noBreakHyphen/>
        <w:t>REVEAL) kod 405 odraslih pacijenata s aktivnim psorijatičnim artritisom (</w:t>
      </w:r>
      <w:r w:rsidRPr="00DF79AE">
        <w:rPr>
          <w:sz w:val="22"/>
          <w:szCs w:val="22"/>
          <w:lang w:val="sr-Latn-ME"/>
        </w:rPr>
        <w:sym w:font="Symbol" w:char="F0B3"/>
      </w:r>
      <w:r w:rsidRPr="00DF79AE">
        <w:rPr>
          <w:sz w:val="22"/>
          <w:szCs w:val="22"/>
          <w:lang w:val="sr-Latn-ME"/>
        </w:rPr>
        <w:t xml:space="preserve">3 otečena i </w:t>
      </w:r>
      <w:r w:rsidRPr="00DF79AE">
        <w:rPr>
          <w:sz w:val="22"/>
          <w:szCs w:val="22"/>
          <w:lang w:val="sr-Latn-ME"/>
        </w:rPr>
        <w:sym w:font="Symbol" w:char="F0B3"/>
      </w:r>
      <w:r w:rsidRPr="00DF79AE">
        <w:rPr>
          <w:sz w:val="22"/>
          <w:szCs w:val="22"/>
          <w:lang w:val="sr-Latn-ME"/>
        </w:rPr>
        <w:t xml:space="preserve">3 bolna zgloba) uprkos liječenju nesteroidnim antireumaticima (NSAIL) ili DMARD terapiji. Pacijenti u toj studiji imali su dijagnozu psorijatičnog artritisa najmanje 6 mjeseci i najmanje blagi stepen bolesti. Uključeni su pacijenti sa svakim podtipom psorijatičnog artritisa, uključujući poliartikularni artritis bez reumatoidnih čvorića (43%), asimetrični periferni artritis (30%), distalni artritis interfalangealnih zglobova (15%), spondilitis s perifernim artritisom (11%) i artritis mutilans (1%). Nije bilo dozvoljeno prethodno liječenje TNF blokatorima. Lijek Simponi ili placebo primijenjeni su subkutano svake 4 nedjelje. Pacijenti su nasumice podijeljeni u grupe koje su primale placebo, lijek Simponi 50 mg ili lijek Simponi 100 mg. Pacijenti koji su primali placebo prebačeni su da primaju Simponi 50 mg nakon 24. nedjelje. Pacijenti su uključeni u otvoren, dugotrajni nastavak ispitivanja u 52. nedjelji. Otprilike 48% pacijenata nastavilo je da prima stabilne doze metotreksata (≤25 mg/nedjeljno). Primarni </w:t>
      </w:r>
      <w:r w:rsidR="00A06D4D">
        <w:rPr>
          <w:sz w:val="22"/>
          <w:szCs w:val="22"/>
          <w:lang w:val="sr-Latn-ME"/>
        </w:rPr>
        <w:t>parametri</w:t>
      </w:r>
      <w:r w:rsidR="00A06D4D" w:rsidRPr="00A06D4D">
        <w:rPr>
          <w:sz w:val="22"/>
          <w:szCs w:val="22"/>
          <w:lang w:val="sr-Latn-ME"/>
        </w:rPr>
        <w:t xml:space="preserve"> praćenja </w:t>
      </w:r>
      <w:r w:rsidRPr="00DF79AE">
        <w:rPr>
          <w:sz w:val="22"/>
          <w:szCs w:val="22"/>
          <w:lang w:val="sr-Latn-ME"/>
        </w:rPr>
        <w:t xml:space="preserve">bili su procenat pacijenata koji su postigli odgovor ACR 20 u 14. nedjelji i promjena u odnosu na početni rezultat na cjelokupnoj vhH-S skali modifikovanoj za PsA u 24. nedjelji. </w:t>
      </w:r>
    </w:p>
    <w:p w14:paraId="6707E8B1" w14:textId="77777777" w:rsidR="000B2A5C" w:rsidRPr="00DF79AE" w:rsidRDefault="000B2A5C" w:rsidP="000B2A5C">
      <w:pPr>
        <w:tabs>
          <w:tab w:val="left" w:pos="284"/>
        </w:tabs>
        <w:jc w:val="both"/>
        <w:rPr>
          <w:sz w:val="22"/>
          <w:szCs w:val="22"/>
          <w:lang w:val="sr-Latn-ME"/>
        </w:rPr>
      </w:pPr>
    </w:p>
    <w:p w14:paraId="3576B734" w14:textId="77777777" w:rsidR="000B2A5C" w:rsidRPr="00DF79AE" w:rsidRDefault="000B2A5C" w:rsidP="000B2A5C">
      <w:pPr>
        <w:tabs>
          <w:tab w:val="left" w:pos="284"/>
        </w:tabs>
        <w:jc w:val="both"/>
        <w:rPr>
          <w:sz w:val="22"/>
          <w:szCs w:val="22"/>
          <w:lang w:val="sr-Latn-ME"/>
        </w:rPr>
      </w:pPr>
      <w:r w:rsidRPr="00DF79AE">
        <w:rPr>
          <w:sz w:val="22"/>
          <w:szCs w:val="22"/>
          <w:lang w:val="sr-Latn-ME"/>
        </w:rPr>
        <w:t>U cjelini, nisu zabilježene klinički značajne razlike u pogledu efikasnosti između režima doziranja od 50 mg i 100 mg za lijek Simponi do kraja 104. nedjelje. Prema dizajnu studije, pacijenti uključeni u dugoročnu ekstenziju mogli su biti prebačeni sa doze 50 mg na dozu 100 mg lijeka Simponi na osnovu odluke studijskog ljekara.</w:t>
      </w:r>
    </w:p>
    <w:p w14:paraId="265F04C2" w14:textId="77777777" w:rsidR="000B2A5C" w:rsidRPr="00DF79AE" w:rsidRDefault="000B2A5C" w:rsidP="000B2A5C">
      <w:pPr>
        <w:tabs>
          <w:tab w:val="left" w:pos="284"/>
        </w:tabs>
        <w:jc w:val="both"/>
        <w:rPr>
          <w:sz w:val="22"/>
          <w:szCs w:val="22"/>
          <w:lang w:val="sr-Latn-ME"/>
        </w:rPr>
      </w:pPr>
    </w:p>
    <w:p w14:paraId="2646492A" w14:textId="77777777" w:rsidR="000B2A5C" w:rsidRPr="00DF79AE" w:rsidRDefault="000B2A5C" w:rsidP="000B2A5C">
      <w:pPr>
        <w:tabs>
          <w:tab w:val="left" w:pos="284"/>
        </w:tabs>
        <w:jc w:val="both"/>
        <w:rPr>
          <w:sz w:val="22"/>
          <w:szCs w:val="22"/>
          <w:lang w:val="sr-Latn-ME"/>
        </w:rPr>
      </w:pPr>
      <w:r w:rsidRPr="00DF79AE">
        <w:rPr>
          <w:i/>
          <w:sz w:val="22"/>
          <w:szCs w:val="22"/>
          <w:u w:val="single"/>
          <w:lang w:val="sr-Latn-ME"/>
        </w:rPr>
        <w:t>Znaci i simptomi</w:t>
      </w:r>
    </w:p>
    <w:p w14:paraId="71719D0E" w14:textId="77777777" w:rsidR="000B2A5C" w:rsidRPr="00DF79AE" w:rsidRDefault="000B2A5C" w:rsidP="000B2A5C">
      <w:pPr>
        <w:tabs>
          <w:tab w:val="left" w:pos="284"/>
        </w:tabs>
        <w:jc w:val="both"/>
        <w:rPr>
          <w:sz w:val="22"/>
          <w:szCs w:val="22"/>
          <w:lang w:val="sr-Latn-ME"/>
        </w:rPr>
      </w:pPr>
      <w:r w:rsidRPr="00DF79AE">
        <w:rPr>
          <w:sz w:val="22"/>
          <w:szCs w:val="22"/>
          <w:lang w:val="sr-Latn-ME"/>
        </w:rPr>
        <w:t xml:space="preserve">Najvažniji rezultati za dozu od 50 mg u 14. i 24. nedjelji prikazani su u Tabeli 4 i opisani u daljem tekstu. </w:t>
      </w:r>
    </w:p>
    <w:p w14:paraId="44729687" w14:textId="31BD7516" w:rsidR="000B2A5C" w:rsidRPr="00DF79AE" w:rsidRDefault="000B2A5C" w:rsidP="000B2A5C">
      <w:pPr>
        <w:tabs>
          <w:tab w:val="left" w:pos="284"/>
        </w:tabs>
        <w:autoSpaceDE w:val="0"/>
        <w:autoSpaceDN w:val="0"/>
        <w:adjustRightInd w:val="0"/>
        <w:rPr>
          <w:sz w:val="22"/>
          <w:szCs w:val="22"/>
          <w:lang w:val="sr-Latn-ME"/>
        </w:rPr>
      </w:pPr>
    </w:p>
    <w:p w14:paraId="7B0592CE" w14:textId="77777777" w:rsidR="000B2A5C" w:rsidRPr="00DF79AE" w:rsidRDefault="000B2A5C" w:rsidP="000B2A5C">
      <w:pPr>
        <w:tabs>
          <w:tab w:val="left" w:pos="284"/>
        </w:tabs>
        <w:autoSpaceDE w:val="0"/>
        <w:autoSpaceDN w:val="0"/>
        <w:adjustRightInd w:val="0"/>
        <w:jc w:val="center"/>
        <w:rPr>
          <w:b/>
          <w:sz w:val="22"/>
          <w:szCs w:val="22"/>
          <w:lang w:val="sr-Latn-ME"/>
        </w:rPr>
      </w:pPr>
      <w:r w:rsidRPr="00DF79AE">
        <w:rPr>
          <w:b/>
          <w:sz w:val="22"/>
          <w:szCs w:val="22"/>
          <w:lang w:val="sr-Latn-ME"/>
        </w:rPr>
        <w:t>Tabela 4</w:t>
      </w:r>
    </w:p>
    <w:p w14:paraId="1FDDD9E8" w14:textId="77777777" w:rsidR="000B2A5C" w:rsidRPr="00DF79AE" w:rsidRDefault="000B2A5C" w:rsidP="000B2A5C">
      <w:pPr>
        <w:tabs>
          <w:tab w:val="left" w:pos="284"/>
        </w:tabs>
        <w:autoSpaceDE w:val="0"/>
        <w:autoSpaceDN w:val="0"/>
        <w:adjustRightInd w:val="0"/>
        <w:jc w:val="center"/>
        <w:rPr>
          <w:b/>
          <w:sz w:val="22"/>
          <w:szCs w:val="22"/>
          <w:lang w:val="sr-Latn-ME"/>
        </w:rPr>
      </w:pPr>
      <w:r w:rsidRPr="00DF79AE">
        <w:rPr>
          <w:b/>
          <w:sz w:val="22"/>
          <w:szCs w:val="22"/>
          <w:lang w:val="sr-Latn-ME"/>
        </w:rPr>
        <w:t>Ključni rezultati efikasnosti iz studije GO</w:t>
      </w:r>
      <w:r w:rsidRPr="00DF79AE">
        <w:rPr>
          <w:b/>
          <w:sz w:val="22"/>
          <w:szCs w:val="22"/>
          <w:lang w:val="sr-Latn-ME"/>
        </w:rPr>
        <w:noBreakHyphen/>
        <w:t>REVEAL</w:t>
      </w:r>
    </w:p>
    <w:p w14:paraId="1CFD5082" w14:textId="77777777" w:rsidR="000B2A5C" w:rsidRPr="00DF79AE" w:rsidRDefault="000B2A5C" w:rsidP="000B2A5C">
      <w:pPr>
        <w:tabs>
          <w:tab w:val="left" w:pos="284"/>
        </w:tabs>
        <w:autoSpaceDE w:val="0"/>
        <w:autoSpaceDN w:val="0"/>
        <w:adjustRightInd w:val="0"/>
        <w:jc w:val="center"/>
        <w:rPr>
          <w:sz w:val="22"/>
          <w:szCs w:val="22"/>
          <w:lang w:val="sr-Latn-ME"/>
        </w:rPr>
      </w:pPr>
    </w:p>
    <w:tbl>
      <w:tblPr>
        <w:tblW w:w="7315"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383"/>
        <w:gridCol w:w="2734"/>
        <w:gridCol w:w="2198"/>
      </w:tblGrid>
      <w:tr w:rsidR="000B2A5C" w:rsidRPr="00DF79AE" w14:paraId="4A0F8DEE" w14:textId="77777777" w:rsidTr="00BC1FCA">
        <w:trPr>
          <w:cantSplit/>
          <w:tblHeader/>
          <w:jc w:val="center"/>
        </w:trPr>
        <w:tc>
          <w:tcPr>
            <w:tcW w:w="2383" w:type="dxa"/>
            <w:tcBorders>
              <w:top w:val="single" w:sz="4" w:space="0" w:color="auto"/>
              <w:left w:val="single" w:sz="4" w:space="0" w:color="auto"/>
              <w:bottom w:val="single" w:sz="4" w:space="0" w:color="auto"/>
              <w:right w:val="single" w:sz="4" w:space="0" w:color="auto"/>
            </w:tcBorders>
            <w:vAlign w:val="center"/>
          </w:tcPr>
          <w:p w14:paraId="3D0639AF" w14:textId="77777777" w:rsidR="000B2A5C" w:rsidRPr="00DF79AE" w:rsidRDefault="000B2A5C" w:rsidP="00BC1FCA">
            <w:pPr>
              <w:tabs>
                <w:tab w:val="left" w:pos="284"/>
              </w:tabs>
              <w:rPr>
                <w:sz w:val="22"/>
                <w:szCs w:val="22"/>
                <w:lang w:val="sr-Latn-ME"/>
              </w:rPr>
            </w:pPr>
          </w:p>
        </w:tc>
        <w:tc>
          <w:tcPr>
            <w:tcW w:w="2734" w:type="dxa"/>
            <w:tcBorders>
              <w:top w:val="single" w:sz="4" w:space="0" w:color="auto"/>
              <w:left w:val="single" w:sz="4" w:space="0" w:color="auto"/>
              <w:bottom w:val="single" w:sz="4" w:space="0" w:color="auto"/>
              <w:right w:val="single" w:sz="4" w:space="0" w:color="auto"/>
            </w:tcBorders>
            <w:vAlign w:val="bottom"/>
          </w:tcPr>
          <w:p w14:paraId="32DFB9BA" w14:textId="77777777" w:rsidR="000B2A5C" w:rsidRPr="00DF79AE" w:rsidRDefault="000B2A5C" w:rsidP="00BC1FCA">
            <w:pPr>
              <w:tabs>
                <w:tab w:val="left" w:pos="284"/>
              </w:tabs>
              <w:rPr>
                <w:sz w:val="22"/>
                <w:szCs w:val="22"/>
                <w:lang w:val="sr-Latn-ME"/>
              </w:rPr>
            </w:pPr>
            <w:r w:rsidRPr="00DF79AE">
              <w:rPr>
                <w:sz w:val="22"/>
                <w:szCs w:val="22"/>
                <w:lang w:val="sr-Latn-ME"/>
              </w:rPr>
              <w:t>Placebo</w:t>
            </w:r>
          </w:p>
        </w:tc>
        <w:tc>
          <w:tcPr>
            <w:tcW w:w="2198" w:type="dxa"/>
            <w:tcBorders>
              <w:top w:val="single" w:sz="4" w:space="0" w:color="auto"/>
              <w:left w:val="single" w:sz="4" w:space="0" w:color="auto"/>
              <w:bottom w:val="single" w:sz="4" w:space="0" w:color="auto"/>
              <w:right w:val="single" w:sz="4" w:space="0" w:color="auto"/>
            </w:tcBorders>
            <w:vAlign w:val="bottom"/>
          </w:tcPr>
          <w:p w14:paraId="4BE4F587" w14:textId="77777777" w:rsidR="000B2A5C" w:rsidRPr="00DF79AE" w:rsidRDefault="000B2A5C" w:rsidP="00BC1FCA">
            <w:pPr>
              <w:tabs>
                <w:tab w:val="left" w:pos="284"/>
              </w:tabs>
              <w:rPr>
                <w:sz w:val="22"/>
                <w:szCs w:val="22"/>
                <w:lang w:val="sr-Latn-ME"/>
              </w:rPr>
            </w:pPr>
            <w:r w:rsidRPr="00DF79AE">
              <w:rPr>
                <w:sz w:val="22"/>
                <w:szCs w:val="22"/>
                <w:lang w:val="sr-Latn-ME"/>
              </w:rPr>
              <w:t xml:space="preserve">Lijek </w:t>
            </w:r>
            <w:r w:rsidRPr="00DF79AE">
              <w:rPr>
                <w:b/>
                <w:sz w:val="22"/>
                <w:szCs w:val="22"/>
                <w:lang w:val="sr-Latn-ME"/>
              </w:rPr>
              <w:t>Simponi</w:t>
            </w:r>
          </w:p>
          <w:p w14:paraId="29AC1788" w14:textId="77777777" w:rsidR="000B2A5C" w:rsidRPr="00DF79AE" w:rsidRDefault="000B2A5C" w:rsidP="00BC1FCA">
            <w:pPr>
              <w:tabs>
                <w:tab w:val="left" w:pos="284"/>
              </w:tabs>
              <w:rPr>
                <w:sz w:val="22"/>
                <w:szCs w:val="22"/>
                <w:lang w:val="sr-Latn-ME"/>
              </w:rPr>
            </w:pPr>
            <w:r w:rsidRPr="00DF79AE">
              <w:rPr>
                <w:sz w:val="22"/>
                <w:szCs w:val="22"/>
                <w:lang w:val="sr-Latn-ME"/>
              </w:rPr>
              <w:t>50 mg*</w:t>
            </w:r>
          </w:p>
        </w:tc>
      </w:tr>
      <w:tr w:rsidR="000B2A5C" w:rsidRPr="00DF79AE" w14:paraId="4C23EF2C" w14:textId="77777777" w:rsidTr="00BC1FCA">
        <w:trPr>
          <w:jc w:val="center"/>
        </w:trPr>
        <w:tc>
          <w:tcPr>
            <w:tcW w:w="2383" w:type="dxa"/>
            <w:tcBorders>
              <w:top w:val="single" w:sz="4" w:space="0" w:color="auto"/>
              <w:left w:val="single" w:sz="4" w:space="0" w:color="auto"/>
              <w:bottom w:val="single" w:sz="4" w:space="0" w:color="auto"/>
              <w:right w:val="single" w:sz="4" w:space="0" w:color="auto"/>
            </w:tcBorders>
            <w:vAlign w:val="center"/>
          </w:tcPr>
          <w:p w14:paraId="51C4AEEA" w14:textId="77777777" w:rsidR="000B2A5C" w:rsidRPr="00DF79AE" w:rsidRDefault="000B2A5C" w:rsidP="00BC1FCA">
            <w:pPr>
              <w:tabs>
                <w:tab w:val="left" w:pos="284"/>
              </w:tabs>
              <w:rPr>
                <w:b/>
                <w:bCs/>
                <w:sz w:val="22"/>
                <w:szCs w:val="22"/>
                <w:lang w:val="sr-Latn-ME"/>
              </w:rPr>
            </w:pPr>
            <w:r w:rsidRPr="00DF79AE">
              <w:rPr>
                <w:sz w:val="22"/>
                <w:szCs w:val="22"/>
                <w:lang w:val="sr-Latn-ME"/>
              </w:rPr>
              <w:t>N</w:t>
            </w:r>
            <w:r w:rsidRPr="00DF79AE">
              <w:rPr>
                <w:sz w:val="22"/>
                <w:szCs w:val="22"/>
                <w:vertAlign w:val="superscript"/>
                <w:lang w:val="sr-Latn-ME"/>
              </w:rPr>
              <w:t>a</w:t>
            </w:r>
          </w:p>
        </w:tc>
        <w:tc>
          <w:tcPr>
            <w:tcW w:w="2734" w:type="dxa"/>
            <w:tcBorders>
              <w:top w:val="single" w:sz="4" w:space="0" w:color="auto"/>
              <w:left w:val="single" w:sz="4" w:space="0" w:color="auto"/>
              <w:bottom w:val="single" w:sz="4" w:space="0" w:color="auto"/>
              <w:right w:val="single" w:sz="4" w:space="0" w:color="auto"/>
            </w:tcBorders>
            <w:vAlign w:val="center"/>
          </w:tcPr>
          <w:p w14:paraId="01771D7B" w14:textId="77777777" w:rsidR="000B2A5C" w:rsidRPr="00DF79AE" w:rsidRDefault="000B2A5C" w:rsidP="00BC1FCA">
            <w:pPr>
              <w:tabs>
                <w:tab w:val="left" w:pos="284"/>
              </w:tabs>
              <w:rPr>
                <w:sz w:val="22"/>
                <w:szCs w:val="22"/>
                <w:lang w:val="sr-Latn-ME"/>
              </w:rPr>
            </w:pPr>
            <w:r w:rsidRPr="00DF79AE">
              <w:rPr>
                <w:sz w:val="22"/>
                <w:szCs w:val="22"/>
                <w:lang w:val="sr-Latn-ME"/>
              </w:rPr>
              <w:t>113</w:t>
            </w:r>
          </w:p>
        </w:tc>
        <w:tc>
          <w:tcPr>
            <w:tcW w:w="2198" w:type="dxa"/>
            <w:tcBorders>
              <w:top w:val="single" w:sz="4" w:space="0" w:color="auto"/>
              <w:left w:val="single" w:sz="4" w:space="0" w:color="auto"/>
              <w:bottom w:val="single" w:sz="4" w:space="0" w:color="auto"/>
              <w:right w:val="single" w:sz="4" w:space="0" w:color="auto"/>
            </w:tcBorders>
            <w:vAlign w:val="center"/>
          </w:tcPr>
          <w:p w14:paraId="51B29C53" w14:textId="77777777" w:rsidR="000B2A5C" w:rsidRPr="00DF79AE" w:rsidRDefault="000B2A5C" w:rsidP="00BC1FCA">
            <w:pPr>
              <w:tabs>
                <w:tab w:val="left" w:pos="284"/>
              </w:tabs>
              <w:rPr>
                <w:sz w:val="22"/>
                <w:szCs w:val="22"/>
                <w:lang w:val="sr-Latn-ME"/>
              </w:rPr>
            </w:pPr>
            <w:r w:rsidRPr="00DF79AE">
              <w:rPr>
                <w:sz w:val="22"/>
                <w:szCs w:val="22"/>
                <w:lang w:val="sr-Latn-ME"/>
              </w:rPr>
              <w:t>146</w:t>
            </w:r>
          </w:p>
        </w:tc>
      </w:tr>
      <w:tr w:rsidR="000B2A5C" w:rsidRPr="00DF79AE" w14:paraId="77DF5F77" w14:textId="77777777" w:rsidTr="00BC1FCA">
        <w:trPr>
          <w:cantSplit/>
          <w:jc w:val="center"/>
        </w:trPr>
        <w:tc>
          <w:tcPr>
            <w:tcW w:w="7315" w:type="dxa"/>
            <w:gridSpan w:val="3"/>
            <w:tcBorders>
              <w:top w:val="single" w:sz="4" w:space="0" w:color="auto"/>
              <w:left w:val="single" w:sz="4" w:space="0" w:color="auto"/>
              <w:bottom w:val="single" w:sz="4" w:space="0" w:color="auto"/>
              <w:right w:val="single" w:sz="4" w:space="0" w:color="auto"/>
            </w:tcBorders>
            <w:vAlign w:val="center"/>
          </w:tcPr>
          <w:p w14:paraId="199B5A2E" w14:textId="77777777" w:rsidR="000B2A5C" w:rsidRPr="00DF79AE" w:rsidRDefault="000B2A5C" w:rsidP="00BC1FCA">
            <w:pPr>
              <w:tabs>
                <w:tab w:val="left" w:pos="284"/>
              </w:tabs>
              <w:rPr>
                <w:sz w:val="22"/>
                <w:szCs w:val="22"/>
                <w:lang w:val="sr-Latn-ME"/>
              </w:rPr>
            </w:pPr>
            <w:r w:rsidRPr="00DF79AE">
              <w:rPr>
                <w:b/>
                <w:bCs/>
                <w:sz w:val="22"/>
                <w:szCs w:val="22"/>
                <w:lang w:val="sr-Latn-ME"/>
              </w:rPr>
              <w:t>Pacijenti koji su odgovorili na liječenje, % pacijenata</w:t>
            </w:r>
          </w:p>
        </w:tc>
      </w:tr>
      <w:tr w:rsidR="000B2A5C" w:rsidRPr="00DF79AE" w14:paraId="6974F09C" w14:textId="77777777" w:rsidTr="00BC1FCA">
        <w:trPr>
          <w:jc w:val="center"/>
        </w:trPr>
        <w:tc>
          <w:tcPr>
            <w:tcW w:w="2383" w:type="dxa"/>
            <w:tcBorders>
              <w:top w:val="single" w:sz="4" w:space="0" w:color="auto"/>
              <w:left w:val="single" w:sz="4" w:space="0" w:color="auto"/>
              <w:bottom w:val="single" w:sz="4" w:space="0" w:color="auto"/>
              <w:right w:val="single" w:sz="4" w:space="0" w:color="auto"/>
            </w:tcBorders>
            <w:vAlign w:val="center"/>
          </w:tcPr>
          <w:p w14:paraId="4F5E4061" w14:textId="77777777" w:rsidR="000B2A5C" w:rsidRPr="00DF79AE" w:rsidRDefault="000B2A5C" w:rsidP="00BC1FCA">
            <w:pPr>
              <w:tabs>
                <w:tab w:val="left" w:pos="284"/>
              </w:tabs>
              <w:rPr>
                <w:b/>
                <w:bCs/>
                <w:sz w:val="22"/>
                <w:szCs w:val="22"/>
                <w:lang w:val="sr-Latn-ME"/>
              </w:rPr>
            </w:pPr>
            <w:r w:rsidRPr="00DF79AE">
              <w:rPr>
                <w:b/>
                <w:bCs/>
                <w:sz w:val="22"/>
                <w:szCs w:val="22"/>
                <w:lang w:val="sr-Latn-ME"/>
              </w:rPr>
              <w:t>ACR 20</w:t>
            </w:r>
          </w:p>
        </w:tc>
        <w:tc>
          <w:tcPr>
            <w:tcW w:w="2734" w:type="dxa"/>
            <w:tcBorders>
              <w:top w:val="single" w:sz="4" w:space="0" w:color="auto"/>
              <w:left w:val="single" w:sz="4" w:space="0" w:color="auto"/>
              <w:bottom w:val="single" w:sz="4" w:space="0" w:color="auto"/>
              <w:right w:val="single" w:sz="4" w:space="0" w:color="auto"/>
            </w:tcBorders>
            <w:vAlign w:val="center"/>
          </w:tcPr>
          <w:p w14:paraId="6DD8B5A8" w14:textId="77777777" w:rsidR="000B2A5C" w:rsidRPr="00DF79AE" w:rsidRDefault="000B2A5C" w:rsidP="00BC1FCA">
            <w:pPr>
              <w:tabs>
                <w:tab w:val="left" w:pos="284"/>
              </w:tabs>
              <w:rPr>
                <w:b/>
                <w:bCs/>
                <w:sz w:val="22"/>
                <w:szCs w:val="22"/>
                <w:lang w:val="sr-Latn-ME"/>
              </w:rPr>
            </w:pPr>
          </w:p>
        </w:tc>
        <w:tc>
          <w:tcPr>
            <w:tcW w:w="2198" w:type="dxa"/>
            <w:tcBorders>
              <w:top w:val="single" w:sz="4" w:space="0" w:color="auto"/>
              <w:left w:val="single" w:sz="4" w:space="0" w:color="auto"/>
              <w:bottom w:val="single" w:sz="4" w:space="0" w:color="auto"/>
              <w:right w:val="single" w:sz="4" w:space="0" w:color="auto"/>
            </w:tcBorders>
            <w:vAlign w:val="center"/>
          </w:tcPr>
          <w:p w14:paraId="2DBDE7DE" w14:textId="77777777" w:rsidR="000B2A5C" w:rsidRPr="00DF79AE" w:rsidRDefault="000B2A5C" w:rsidP="00BC1FCA">
            <w:pPr>
              <w:tabs>
                <w:tab w:val="left" w:pos="284"/>
              </w:tabs>
              <w:rPr>
                <w:b/>
                <w:bCs/>
                <w:sz w:val="22"/>
                <w:szCs w:val="22"/>
                <w:lang w:val="sr-Latn-ME"/>
              </w:rPr>
            </w:pPr>
          </w:p>
        </w:tc>
      </w:tr>
      <w:tr w:rsidR="000B2A5C" w:rsidRPr="00DF79AE" w14:paraId="5D3B0A3E" w14:textId="77777777" w:rsidTr="00BC1FCA">
        <w:trPr>
          <w:jc w:val="center"/>
        </w:trPr>
        <w:tc>
          <w:tcPr>
            <w:tcW w:w="2383" w:type="dxa"/>
            <w:tcBorders>
              <w:top w:val="single" w:sz="4" w:space="0" w:color="auto"/>
              <w:left w:val="single" w:sz="4" w:space="0" w:color="auto"/>
              <w:bottom w:val="single" w:sz="4" w:space="0" w:color="auto"/>
              <w:right w:val="single" w:sz="4" w:space="0" w:color="auto"/>
            </w:tcBorders>
            <w:vAlign w:val="center"/>
          </w:tcPr>
          <w:p w14:paraId="463F7D05" w14:textId="77777777" w:rsidR="000B2A5C" w:rsidRPr="00DF79AE" w:rsidRDefault="000B2A5C" w:rsidP="00BC1FCA">
            <w:pPr>
              <w:tabs>
                <w:tab w:val="left" w:pos="284"/>
              </w:tabs>
              <w:rPr>
                <w:sz w:val="22"/>
                <w:szCs w:val="22"/>
                <w:lang w:val="sr-Latn-ME"/>
              </w:rPr>
            </w:pPr>
            <w:r w:rsidRPr="00DF79AE">
              <w:rPr>
                <w:sz w:val="22"/>
                <w:szCs w:val="22"/>
                <w:lang w:val="sr-Latn-ME"/>
              </w:rPr>
              <w:t>14. nedjelja</w:t>
            </w:r>
          </w:p>
        </w:tc>
        <w:tc>
          <w:tcPr>
            <w:tcW w:w="2734" w:type="dxa"/>
            <w:tcBorders>
              <w:top w:val="single" w:sz="4" w:space="0" w:color="auto"/>
              <w:left w:val="single" w:sz="4" w:space="0" w:color="auto"/>
              <w:bottom w:val="single" w:sz="4" w:space="0" w:color="auto"/>
              <w:right w:val="single" w:sz="4" w:space="0" w:color="auto"/>
            </w:tcBorders>
            <w:vAlign w:val="center"/>
          </w:tcPr>
          <w:p w14:paraId="0CABF552" w14:textId="77777777" w:rsidR="000B2A5C" w:rsidRPr="00DF79AE" w:rsidRDefault="000B2A5C" w:rsidP="00BC1FCA">
            <w:pPr>
              <w:tabs>
                <w:tab w:val="left" w:pos="284"/>
              </w:tabs>
              <w:rPr>
                <w:b/>
                <w:bCs/>
                <w:sz w:val="22"/>
                <w:szCs w:val="22"/>
                <w:lang w:val="sr-Latn-ME"/>
              </w:rPr>
            </w:pPr>
            <w:r w:rsidRPr="00DF79AE">
              <w:rPr>
                <w:b/>
                <w:bCs/>
                <w:sz w:val="22"/>
                <w:szCs w:val="22"/>
                <w:lang w:val="sr-Latn-ME"/>
              </w:rPr>
              <w:t>9 %</w:t>
            </w:r>
          </w:p>
        </w:tc>
        <w:tc>
          <w:tcPr>
            <w:tcW w:w="2198" w:type="dxa"/>
            <w:tcBorders>
              <w:top w:val="single" w:sz="4" w:space="0" w:color="auto"/>
              <w:left w:val="single" w:sz="4" w:space="0" w:color="auto"/>
              <w:bottom w:val="single" w:sz="4" w:space="0" w:color="auto"/>
              <w:right w:val="single" w:sz="4" w:space="0" w:color="auto"/>
            </w:tcBorders>
            <w:vAlign w:val="center"/>
          </w:tcPr>
          <w:p w14:paraId="3BEF0FB9" w14:textId="77777777" w:rsidR="000B2A5C" w:rsidRPr="00DF79AE" w:rsidRDefault="000B2A5C" w:rsidP="00BC1FCA">
            <w:pPr>
              <w:tabs>
                <w:tab w:val="left" w:pos="284"/>
              </w:tabs>
              <w:rPr>
                <w:b/>
                <w:bCs/>
                <w:sz w:val="22"/>
                <w:szCs w:val="22"/>
                <w:lang w:val="sr-Latn-ME"/>
              </w:rPr>
            </w:pPr>
            <w:r w:rsidRPr="00DF79AE">
              <w:rPr>
                <w:b/>
                <w:bCs/>
                <w:sz w:val="22"/>
                <w:szCs w:val="22"/>
                <w:lang w:val="sr-Latn-ME"/>
              </w:rPr>
              <w:t>51 %</w:t>
            </w:r>
          </w:p>
        </w:tc>
      </w:tr>
      <w:tr w:rsidR="000B2A5C" w:rsidRPr="00DF79AE" w14:paraId="57A22F28" w14:textId="77777777" w:rsidTr="00BC1FCA">
        <w:trPr>
          <w:jc w:val="center"/>
        </w:trPr>
        <w:tc>
          <w:tcPr>
            <w:tcW w:w="2383" w:type="dxa"/>
            <w:tcBorders>
              <w:top w:val="single" w:sz="4" w:space="0" w:color="auto"/>
              <w:left w:val="single" w:sz="4" w:space="0" w:color="auto"/>
              <w:bottom w:val="single" w:sz="4" w:space="0" w:color="auto"/>
              <w:right w:val="single" w:sz="4" w:space="0" w:color="auto"/>
            </w:tcBorders>
            <w:vAlign w:val="center"/>
          </w:tcPr>
          <w:p w14:paraId="3D04C4CA" w14:textId="77777777" w:rsidR="000B2A5C" w:rsidRPr="00DF79AE" w:rsidRDefault="000B2A5C" w:rsidP="00BC1FCA">
            <w:pPr>
              <w:tabs>
                <w:tab w:val="left" w:pos="284"/>
              </w:tabs>
              <w:rPr>
                <w:sz w:val="22"/>
                <w:szCs w:val="22"/>
                <w:lang w:val="sr-Latn-ME"/>
              </w:rPr>
            </w:pPr>
            <w:r w:rsidRPr="00DF79AE">
              <w:rPr>
                <w:sz w:val="22"/>
                <w:szCs w:val="22"/>
                <w:lang w:val="sr-Latn-ME"/>
              </w:rPr>
              <w:t>24. nedjelja</w:t>
            </w:r>
          </w:p>
        </w:tc>
        <w:tc>
          <w:tcPr>
            <w:tcW w:w="2734" w:type="dxa"/>
            <w:tcBorders>
              <w:top w:val="single" w:sz="4" w:space="0" w:color="auto"/>
              <w:left w:val="single" w:sz="4" w:space="0" w:color="auto"/>
              <w:bottom w:val="single" w:sz="4" w:space="0" w:color="auto"/>
              <w:right w:val="single" w:sz="4" w:space="0" w:color="auto"/>
            </w:tcBorders>
            <w:vAlign w:val="center"/>
          </w:tcPr>
          <w:p w14:paraId="7AFE522B" w14:textId="77777777" w:rsidR="000B2A5C" w:rsidRPr="00DF79AE" w:rsidRDefault="000B2A5C" w:rsidP="00BC1FCA">
            <w:pPr>
              <w:tabs>
                <w:tab w:val="left" w:pos="284"/>
              </w:tabs>
              <w:rPr>
                <w:sz w:val="22"/>
                <w:szCs w:val="22"/>
                <w:lang w:val="sr-Latn-ME"/>
              </w:rPr>
            </w:pPr>
            <w:r w:rsidRPr="00DF79AE">
              <w:rPr>
                <w:sz w:val="22"/>
                <w:szCs w:val="22"/>
                <w:lang w:val="sr-Latn-ME"/>
              </w:rPr>
              <w:t>12 %</w:t>
            </w:r>
          </w:p>
        </w:tc>
        <w:tc>
          <w:tcPr>
            <w:tcW w:w="2198" w:type="dxa"/>
            <w:tcBorders>
              <w:top w:val="single" w:sz="4" w:space="0" w:color="auto"/>
              <w:left w:val="single" w:sz="4" w:space="0" w:color="auto"/>
              <w:bottom w:val="single" w:sz="4" w:space="0" w:color="auto"/>
              <w:right w:val="single" w:sz="4" w:space="0" w:color="auto"/>
            </w:tcBorders>
            <w:vAlign w:val="center"/>
          </w:tcPr>
          <w:p w14:paraId="09A34531" w14:textId="77777777" w:rsidR="000B2A5C" w:rsidRPr="00DF79AE" w:rsidRDefault="000B2A5C" w:rsidP="00BC1FCA">
            <w:pPr>
              <w:tabs>
                <w:tab w:val="left" w:pos="284"/>
              </w:tabs>
              <w:rPr>
                <w:sz w:val="22"/>
                <w:szCs w:val="22"/>
                <w:lang w:val="sr-Latn-ME"/>
              </w:rPr>
            </w:pPr>
            <w:r w:rsidRPr="00DF79AE">
              <w:rPr>
                <w:sz w:val="22"/>
                <w:szCs w:val="22"/>
                <w:lang w:val="sr-Latn-ME"/>
              </w:rPr>
              <w:t>52 %</w:t>
            </w:r>
          </w:p>
        </w:tc>
      </w:tr>
      <w:tr w:rsidR="000B2A5C" w:rsidRPr="00DF79AE" w14:paraId="3FC1F6A6" w14:textId="77777777" w:rsidTr="00BC1FCA">
        <w:trPr>
          <w:jc w:val="center"/>
        </w:trPr>
        <w:tc>
          <w:tcPr>
            <w:tcW w:w="2383" w:type="dxa"/>
            <w:tcBorders>
              <w:top w:val="single" w:sz="4" w:space="0" w:color="auto"/>
              <w:left w:val="single" w:sz="4" w:space="0" w:color="auto"/>
              <w:bottom w:val="single" w:sz="4" w:space="0" w:color="auto"/>
              <w:right w:val="single" w:sz="4" w:space="0" w:color="auto"/>
            </w:tcBorders>
            <w:vAlign w:val="center"/>
          </w:tcPr>
          <w:p w14:paraId="03F800E1" w14:textId="77777777" w:rsidR="000B2A5C" w:rsidRPr="00DF79AE" w:rsidRDefault="000B2A5C" w:rsidP="00BC1FCA">
            <w:pPr>
              <w:tabs>
                <w:tab w:val="left" w:pos="284"/>
              </w:tabs>
              <w:rPr>
                <w:b/>
                <w:bCs/>
                <w:sz w:val="22"/>
                <w:szCs w:val="22"/>
                <w:lang w:val="sr-Latn-ME"/>
              </w:rPr>
            </w:pPr>
            <w:r w:rsidRPr="00DF79AE">
              <w:rPr>
                <w:b/>
                <w:bCs/>
                <w:sz w:val="22"/>
                <w:szCs w:val="22"/>
                <w:lang w:val="sr-Latn-ME"/>
              </w:rPr>
              <w:t>ACR 50</w:t>
            </w:r>
          </w:p>
        </w:tc>
        <w:tc>
          <w:tcPr>
            <w:tcW w:w="2734" w:type="dxa"/>
            <w:tcBorders>
              <w:top w:val="single" w:sz="4" w:space="0" w:color="auto"/>
              <w:left w:val="single" w:sz="4" w:space="0" w:color="auto"/>
              <w:bottom w:val="single" w:sz="4" w:space="0" w:color="auto"/>
              <w:right w:val="single" w:sz="4" w:space="0" w:color="auto"/>
            </w:tcBorders>
            <w:vAlign w:val="center"/>
          </w:tcPr>
          <w:p w14:paraId="5C466811" w14:textId="77777777" w:rsidR="000B2A5C" w:rsidRPr="00DF79AE" w:rsidRDefault="000B2A5C" w:rsidP="00BC1FCA">
            <w:pPr>
              <w:tabs>
                <w:tab w:val="left" w:pos="284"/>
              </w:tabs>
              <w:rPr>
                <w:b/>
                <w:bCs/>
                <w:sz w:val="22"/>
                <w:szCs w:val="22"/>
                <w:lang w:val="sr-Latn-ME"/>
              </w:rPr>
            </w:pPr>
          </w:p>
        </w:tc>
        <w:tc>
          <w:tcPr>
            <w:tcW w:w="2198" w:type="dxa"/>
            <w:tcBorders>
              <w:top w:val="single" w:sz="4" w:space="0" w:color="auto"/>
              <w:left w:val="single" w:sz="4" w:space="0" w:color="auto"/>
              <w:bottom w:val="single" w:sz="4" w:space="0" w:color="auto"/>
              <w:right w:val="single" w:sz="4" w:space="0" w:color="auto"/>
            </w:tcBorders>
            <w:vAlign w:val="center"/>
          </w:tcPr>
          <w:p w14:paraId="14133416" w14:textId="77777777" w:rsidR="000B2A5C" w:rsidRPr="00DF79AE" w:rsidRDefault="000B2A5C" w:rsidP="00BC1FCA">
            <w:pPr>
              <w:tabs>
                <w:tab w:val="left" w:pos="284"/>
              </w:tabs>
              <w:rPr>
                <w:b/>
                <w:bCs/>
                <w:sz w:val="22"/>
                <w:szCs w:val="22"/>
                <w:lang w:val="sr-Latn-ME"/>
              </w:rPr>
            </w:pPr>
          </w:p>
        </w:tc>
      </w:tr>
      <w:tr w:rsidR="000B2A5C" w:rsidRPr="00DF79AE" w14:paraId="3BFBAA21" w14:textId="77777777" w:rsidTr="00BC1FCA">
        <w:trPr>
          <w:jc w:val="center"/>
        </w:trPr>
        <w:tc>
          <w:tcPr>
            <w:tcW w:w="2383" w:type="dxa"/>
            <w:tcBorders>
              <w:top w:val="single" w:sz="4" w:space="0" w:color="auto"/>
              <w:left w:val="single" w:sz="4" w:space="0" w:color="auto"/>
              <w:bottom w:val="single" w:sz="4" w:space="0" w:color="auto"/>
              <w:right w:val="single" w:sz="4" w:space="0" w:color="auto"/>
            </w:tcBorders>
            <w:vAlign w:val="center"/>
          </w:tcPr>
          <w:p w14:paraId="0F202329" w14:textId="77777777" w:rsidR="000B2A5C" w:rsidRPr="00DF79AE" w:rsidRDefault="000B2A5C" w:rsidP="00BC1FCA">
            <w:pPr>
              <w:tabs>
                <w:tab w:val="left" w:pos="284"/>
              </w:tabs>
              <w:rPr>
                <w:sz w:val="22"/>
                <w:szCs w:val="22"/>
                <w:lang w:val="sr-Latn-ME"/>
              </w:rPr>
            </w:pPr>
            <w:r w:rsidRPr="00DF79AE">
              <w:rPr>
                <w:sz w:val="22"/>
                <w:szCs w:val="22"/>
                <w:lang w:val="sr-Latn-ME"/>
              </w:rPr>
              <w:t>14. nedjelja</w:t>
            </w:r>
          </w:p>
        </w:tc>
        <w:tc>
          <w:tcPr>
            <w:tcW w:w="2734" w:type="dxa"/>
            <w:tcBorders>
              <w:top w:val="single" w:sz="4" w:space="0" w:color="auto"/>
              <w:left w:val="single" w:sz="4" w:space="0" w:color="auto"/>
              <w:bottom w:val="single" w:sz="4" w:space="0" w:color="auto"/>
              <w:right w:val="single" w:sz="4" w:space="0" w:color="auto"/>
            </w:tcBorders>
            <w:vAlign w:val="center"/>
          </w:tcPr>
          <w:p w14:paraId="5EF1A21A" w14:textId="77777777" w:rsidR="000B2A5C" w:rsidRPr="00DF79AE" w:rsidRDefault="000B2A5C" w:rsidP="00BC1FCA">
            <w:pPr>
              <w:tabs>
                <w:tab w:val="left" w:pos="284"/>
              </w:tabs>
              <w:rPr>
                <w:sz w:val="22"/>
                <w:szCs w:val="22"/>
                <w:lang w:val="sr-Latn-ME"/>
              </w:rPr>
            </w:pPr>
            <w:r w:rsidRPr="00DF79AE">
              <w:rPr>
                <w:sz w:val="22"/>
                <w:szCs w:val="22"/>
                <w:lang w:val="sr-Latn-ME"/>
              </w:rPr>
              <w:t xml:space="preserve">2 % </w:t>
            </w:r>
          </w:p>
        </w:tc>
        <w:tc>
          <w:tcPr>
            <w:tcW w:w="2198" w:type="dxa"/>
            <w:tcBorders>
              <w:top w:val="single" w:sz="4" w:space="0" w:color="auto"/>
              <w:left w:val="single" w:sz="4" w:space="0" w:color="auto"/>
              <w:bottom w:val="single" w:sz="4" w:space="0" w:color="auto"/>
              <w:right w:val="single" w:sz="4" w:space="0" w:color="auto"/>
            </w:tcBorders>
            <w:vAlign w:val="center"/>
          </w:tcPr>
          <w:p w14:paraId="76E4A0D9" w14:textId="77777777" w:rsidR="000B2A5C" w:rsidRPr="00DF79AE" w:rsidRDefault="000B2A5C" w:rsidP="00BC1FCA">
            <w:pPr>
              <w:tabs>
                <w:tab w:val="left" w:pos="284"/>
              </w:tabs>
              <w:rPr>
                <w:sz w:val="22"/>
                <w:szCs w:val="22"/>
                <w:lang w:val="sr-Latn-ME"/>
              </w:rPr>
            </w:pPr>
            <w:r w:rsidRPr="00DF79AE">
              <w:rPr>
                <w:sz w:val="22"/>
                <w:szCs w:val="22"/>
                <w:lang w:val="sr-Latn-ME"/>
              </w:rPr>
              <w:t>30 %</w:t>
            </w:r>
          </w:p>
        </w:tc>
      </w:tr>
      <w:tr w:rsidR="000B2A5C" w:rsidRPr="00DF79AE" w14:paraId="1BD22F58" w14:textId="77777777" w:rsidTr="00BC1FCA">
        <w:trPr>
          <w:jc w:val="center"/>
        </w:trPr>
        <w:tc>
          <w:tcPr>
            <w:tcW w:w="2383" w:type="dxa"/>
            <w:tcBorders>
              <w:top w:val="single" w:sz="4" w:space="0" w:color="auto"/>
              <w:left w:val="single" w:sz="4" w:space="0" w:color="auto"/>
              <w:bottom w:val="single" w:sz="4" w:space="0" w:color="auto"/>
              <w:right w:val="single" w:sz="4" w:space="0" w:color="auto"/>
            </w:tcBorders>
            <w:vAlign w:val="center"/>
          </w:tcPr>
          <w:p w14:paraId="40BA9339" w14:textId="77777777" w:rsidR="000B2A5C" w:rsidRPr="00DF79AE" w:rsidRDefault="000B2A5C" w:rsidP="00BC1FCA">
            <w:pPr>
              <w:tabs>
                <w:tab w:val="left" w:pos="284"/>
              </w:tabs>
              <w:rPr>
                <w:sz w:val="22"/>
                <w:szCs w:val="22"/>
                <w:lang w:val="sr-Latn-ME"/>
              </w:rPr>
            </w:pPr>
            <w:r w:rsidRPr="00DF79AE">
              <w:rPr>
                <w:sz w:val="22"/>
                <w:szCs w:val="22"/>
                <w:lang w:val="sr-Latn-ME"/>
              </w:rPr>
              <w:t>24. nedjelja</w:t>
            </w:r>
          </w:p>
        </w:tc>
        <w:tc>
          <w:tcPr>
            <w:tcW w:w="2734" w:type="dxa"/>
            <w:tcBorders>
              <w:top w:val="single" w:sz="4" w:space="0" w:color="auto"/>
              <w:left w:val="single" w:sz="4" w:space="0" w:color="auto"/>
              <w:bottom w:val="single" w:sz="4" w:space="0" w:color="auto"/>
              <w:right w:val="single" w:sz="4" w:space="0" w:color="auto"/>
            </w:tcBorders>
            <w:vAlign w:val="center"/>
          </w:tcPr>
          <w:p w14:paraId="50AEC660" w14:textId="77777777" w:rsidR="000B2A5C" w:rsidRPr="00DF79AE" w:rsidRDefault="000B2A5C" w:rsidP="00BC1FCA">
            <w:pPr>
              <w:tabs>
                <w:tab w:val="left" w:pos="284"/>
              </w:tabs>
              <w:rPr>
                <w:sz w:val="22"/>
                <w:szCs w:val="22"/>
                <w:lang w:val="sr-Latn-ME"/>
              </w:rPr>
            </w:pPr>
            <w:r w:rsidRPr="00DF79AE">
              <w:rPr>
                <w:sz w:val="22"/>
                <w:szCs w:val="22"/>
                <w:lang w:val="sr-Latn-ME"/>
              </w:rPr>
              <w:t xml:space="preserve">4 % </w:t>
            </w:r>
          </w:p>
        </w:tc>
        <w:tc>
          <w:tcPr>
            <w:tcW w:w="2198" w:type="dxa"/>
            <w:tcBorders>
              <w:top w:val="single" w:sz="4" w:space="0" w:color="auto"/>
              <w:left w:val="single" w:sz="4" w:space="0" w:color="auto"/>
              <w:bottom w:val="single" w:sz="4" w:space="0" w:color="auto"/>
              <w:right w:val="single" w:sz="4" w:space="0" w:color="auto"/>
            </w:tcBorders>
            <w:vAlign w:val="center"/>
          </w:tcPr>
          <w:p w14:paraId="5BFD3474" w14:textId="77777777" w:rsidR="000B2A5C" w:rsidRPr="00DF79AE" w:rsidRDefault="000B2A5C" w:rsidP="00BC1FCA">
            <w:pPr>
              <w:tabs>
                <w:tab w:val="left" w:pos="284"/>
              </w:tabs>
              <w:rPr>
                <w:sz w:val="22"/>
                <w:szCs w:val="22"/>
                <w:lang w:val="sr-Latn-ME"/>
              </w:rPr>
            </w:pPr>
            <w:r w:rsidRPr="00DF79AE">
              <w:rPr>
                <w:sz w:val="22"/>
                <w:szCs w:val="22"/>
                <w:lang w:val="sr-Latn-ME"/>
              </w:rPr>
              <w:t>32 %</w:t>
            </w:r>
          </w:p>
        </w:tc>
      </w:tr>
      <w:tr w:rsidR="000B2A5C" w:rsidRPr="00DF79AE" w14:paraId="356ADE43" w14:textId="77777777" w:rsidTr="00BC1FCA">
        <w:trPr>
          <w:jc w:val="center"/>
        </w:trPr>
        <w:tc>
          <w:tcPr>
            <w:tcW w:w="2383" w:type="dxa"/>
            <w:tcBorders>
              <w:top w:val="single" w:sz="4" w:space="0" w:color="auto"/>
              <w:left w:val="single" w:sz="4" w:space="0" w:color="auto"/>
              <w:bottom w:val="single" w:sz="4" w:space="0" w:color="auto"/>
              <w:right w:val="single" w:sz="4" w:space="0" w:color="auto"/>
            </w:tcBorders>
            <w:vAlign w:val="center"/>
          </w:tcPr>
          <w:p w14:paraId="696EF757" w14:textId="77777777" w:rsidR="000B2A5C" w:rsidRPr="00DF79AE" w:rsidRDefault="000B2A5C" w:rsidP="00BC1FCA">
            <w:pPr>
              <w:tabs>
                <w:tab w:val="left" w:pos="284"/>
              </w:tabs>
              <w:rPr>
                <w:b/>
                <w:bCs/>
                <w:sz w:val="22"/>
                <w:szCs w:val="22"/>
                <w:lang w:val="sr-Latn-ME"/>
              </w:rPr>
            </w:pPr>
            <w:r w:rsidRPr="00DF79AE">
              <w:rPr>
                <w:b/>
                <w:bCs/>
                <w:sz w:val="22"/>
                <w:szCs w:val="22"/>
                <w:lang w:val="sr-Latn-ME"/>
              </w:rPr>
              <w:t>ACR 70</w:t>
            </w:r>
          </w:p>
        </w:tc>
        <w:tc>
          <w:tcPr>
            <w:tcW w:w="2734" w:type="dxa"/>
            <w:tcBorders>
              <w:top w:val="single" w:sz="4" w:space="0" w:color="auto"/>
              <w:left w:val="single" w:sz="4" w:space="0" w:color="auto"/>
              <w:bottom w:val="single" w:sz="4" w:space="0" w:color="auto"/>
              <w:right w:val="single" w:sz="4" w:space="0" w:color="auto"/>
            </w:tcBorders>
            <w:vAlign w:val="center"/>
          </w:tcPr>
          <w:p w14:paraId="6113C388" w14:textId="77777777" w:rsidR="000B2A5C" w:rsidRPr="00DF79AE" w:rsidRDefault="000B2A5C" w:rsidP="00BC1FCA">
            <w:pPr>
              <w:tabs>
                <w:tab w:val="left" w:pos="284"/>
              </w:tabs>
              <w:rPr>
                <w:b/>
                <w:bCs/>
                <w:sz w:val="22"/>
                <w:szCs w:val="22"/>
                <w:lang w:val="sr-Latn-ME"/>
              </w:rPr>
            </w:pPr>
          </w:p>
        </w:tc>
        <w:tc>
          <w:tcPr>
            <w:tcW w:w="2198" w:type="dxa"/>
            <w:tcBorders>
              <w:top w:val="single" w:sz="4" w:space="0" w:color="auto"/>
              <w:left w:val="single" w:sz="4" w:space="0" w:color="auto"/>
              <w:bottom w:val="single" w:sz="4" w:space="0" w:color="auto"/>
              <w:right w:val="single" w:sz="4" w:space="0" w:color="auto"/>
            </w:tcBorders>
            <w:vAlign w:val="center"/>
          </w:tcPr>
          <w:p w14:paraId="4E412D12" w14:textId="77777777" w:rsidR="000B2A5C" w:rsidRPr="00DF79AE" w:rsidRDefault="000B2A5C" w:rsidP="00BC1FCA">
            <w:pPr>
              <w:tabs>
                <w:tab w:val="left" w:pos="284"/>
              </w:tabs>
              <w:rPr>
                <w:b/>
                <w:bCs/>
                <w:sz w:val="22"/>
                <w:szCs w:val="22"/>
                <w:lang w:val="sr-Latn-ME"/>
              </w:rPr>
            </w:pPr>
          </w:p>
        </w:tc>
      </w:tr>
      <w:tr w:rsidR="000B2A5C" w:rsidRPr="00DF79AE" w14:paraId="3DD3ADD6" w14:textId="77777777" w:rsidTr="00BC1FCA">
        <w:trPr>
          <w:jc w:val="center"/>
        </w:trPr>
        <w:tc>
          <w:tcPr>
            <w:tcW w:w="2383" w:type="dxa"/>
            <w:tcBorders>
              <w:top w:val="single" w:sz="4" w:space="0" w:color="auto"/>
              <w:left w:val="single" w:sz="4" w:space="0" w:color="auto"/>
              <w:bottom w:val="single" w:sz="4" w:space="0" w:color="auto"/>
              <w:right w:val="single" w:sz="4" w:space="0" w:color="auto"/>
            </w:tcBorders>
            <w:vAlign w:val="center"/>
          </w:tcPr>
          <w:p w14:paraId="5FDD7832" w14:textId="77777777" w:rsidR="000B2A5C" w:rsidRPr="00DF79AE" w:rsidRDefault="000B2A5C" w:rsidP="00BC1FCA">
            <w:pPr>
              <w:tabs>
                <w:tab w:val="left" w:pos="284"/>
              </w:tabs>
              <w:rPr>
                <w:sz w:val="22"/>
                <w:szCs w:val="22"/>
                <w:lang w:val="sr-Latn-ME"/>
              </w:rPr>
            </w:pPr>
            <w:r w:rsidRPr="00DF79AE">
              <w:rPr>
                <w:sz w:val="22"/>
                <w:szCs w:val="22"/>
                <w:lang w:val="sr-Latn-ME"/>
              </w:rPr>
              <w:t>14. nedjelja</w:t>
            </w:r>
          </w:p>
        </w:tc>
        <w:tc>
          <w:tcPr>
            <w:tcW w:w="2734" w:type="dxa"/>
            <w:tcBorders>
              <w:top w:val="single" w:sz="4" w:space="0" w:color="auto"/>
              <w:left w:val="single" w:sz="4" w:space="0" w:color="auto"/>
              <w:bottom w:val="single" w:sz="4" w:space="0" w:color="auto"/>
              <w:right w:val="single" w:sz="4" w:space="0" w:color="auto"/>
            </w:tcBorders>
            <w:vAlign w:val="center"/>
          </w:tcPr>
          <w:p w14:paraId="4E58F76C" w14:textId="77777777" w:rsidR="000B2A5C" w:rsidRPr="00DF79AE" w:rsidRDefault="000B2A5C" w:rsidP="00BC1FCA">
            <w:pPr>
              <w:tabs>
                <w:tab w:val="left" w:pos="284"/>
              </w:tabs>
              <w:rPr>
                <w:sz w:val="22"/>
                <w:szCs w:val="22"/>
                <w:lang w:val="sr-Latn-ME"/>
              </w:rPr>
            </w:pPr>
            <w:r w:rsidRPr="00DF79AE">
              <w:rPr>
                <w:sz w:val="22"/>
                <w:szCs w:val="22"/>
                <w:lang w:val="sr-Latn-ME"/>
              </w:rPr>
              <w:t xml:space="preserve">1 % </w:t>
            </w:r>
          </w:p>
        </w:tc>
        <w:tc>
          <w:tcPr>
            <w:tcW w:w="2198" w:type="dxa"/>
            <w:tcBorders>
              <w:top w:val="single" w:sz="4" w:space="0" w:color="auto"/>
              <w:left w:val="single" w:sz="4" w:space="0" w:color="auto"/>
              <w:bottom w:val="single" w:sz="4" w:space="0" w:color="auto"/>
              <w:right w:val="single" w:sz="4" w:space="0" w:color="auto"/>
            </w:tcBorders>
            <w:vAlign w:val="center"/>
          </w:tcPr>
          <w:p w14:paraId="4618BB3B" w14:textId="77777777" w:rsidR="000B2A5C" w:rsidRPr="00DF79AE" w:rsidRDefault="000B2A5C" w:rsidP="00BC1FCA">
            <w:pPr>
              <w:tabs>
                <w:tab w:val="left" w:pos="284"/>
              </w:tabs>
              <w:rPr>
                <w:sz w:val="22"/>
                <w:szCs w:val="22"/>
                <w:lang w:val="sr-Latn-ME"/>
              </w:rPr>
            </w:pPr>
            <w:r w:rsidRPr="00DF79AE">
              <w:rPr>
                <w:sz w:val="22"/>
                <w:szCs w:val="22"/>
                <w:lang w:val="sr-Latn-ME"/>
              </w:rPr>
              <w:t>12 %</w:t>
            </w:r>
          </w:p>
        </w:tc>
      </w:tr>
      <w:tr w:rsidR="000B2A5C" w:rsidRPr="00DF79AE" w14:paraId="2B145761" w14:textId="77777777" w:rsidTr="00BC1FCA">
        <w:trPr>
          <w:jc w:val="center"/>
        </w:trPr>
        <w:tc>
          <w:tcPr>
            <w:tcW w:w="2383" w:type="dxa"/>
            <w:tcBorders>
              <w:top w:val="single" w:sz="4" w:space="0" w:color="auto"/>
              <w:left w:val="single" w:sz="4" w:space="0" w:color="auto"/>
              <w:bottom w:val="single" w:sz="4" w:space="0" w:color="auto"/>
              <w:right w:val="single" w:sz="4" w:space="0" w:color="auto"/>
            </w:tcBorders>
            <w:vAlign w:val="center"/>
          </w:tcPr>
          <w:p w14:paraId="7CC0B7B1" w14:textId="77777777" w:rsidR="000B2A5C" w:rsidRPr="00DF79AE" w:rsidRDefault="000B2A5C" w:rsidP="00BC1FCA">
            <w:pPr>
              <w:tabs>
                <w:tab w:val="left" w:pos="284"/>
              </w:tabs>
              <w:rPr>
                <w:sz w:val="22"/>
                <w:szCs w:val="22"/>
                <w:lang w:val="sr-Latn-ME"/>
              </w:rPr>
            </w:pPr>
            <w:r w:rsidRPr="00DF79AE">
              <w:rPr>
                <w:sz w:val="22"/>
                <w:szCs w:val="22"/>
                <w:lang w:val="sr-Latn-ME"/>
              </w:rPr>
              <w:t>24. nedjelja</w:t>
            </w:r>
          </w:p>
        </w:tc>
        <w:tc>
          <w:tcPr>
            <w:tcW w:w="2734" w:type="dxa"/>
            <w:tcBorders>
              <w:top w:val="single" w:sz="4" w:space="0" w:color="auto"/>
              <w:left w:val="single" w:sz="4" w:space="0" w:color="auto"/>
              <w:bottom w:val="single" w:sz="4" w:space="0" w:color="auto"/>
              <w:right w:val="single" w:sz="4" w:space="0" w:color="auto"/>
            </w:tcBorders>
            <w:vAlign w:val="center"/>
          </w:tcPr>
          <w:p w14:paraId="0853F00C" w14:textId="77777777" w:rsidR="000B2A5C" w:rsidRPr="00DF79AE" w:rsidRDefault="000B2A5C" w:rsidP="00BC1FCA">
            <w:pPr>
              <w:tabs>
                <w:tab w:val="left" w:pos="284"/>
              </w:tabs>
              <w:rPr>
                <w:sz w:val="22"/>
                <w:szCs w:val="22"/>
                <w:lang w:val="sr-Latn-ME"/>
              </w:rPr>
            </w:pPr>
            <w:r w:rsidRPr="00DF79AE">
              <w:rPr>
                <w:sz w:val="22"/>
                <w:szCs w:val="22"/>
                <w:lang w:val="sr-Latn-ME"/>
              </w:rPr>
              <w:t xml:space="preserve">1 % </w:t>
            </w:r>
          </w:p>
        </w:tc>
        <w:tc>
          <w:tcPr>
            <w:tcW w:w="2198" w:type="dxa"/>
            <w:tcBorders>
              <w:top w:val="single" w:sz="4" w:space="0" w:color="auto"/>
              <w:left w:val="single" w:sz="4" w:space="0" w:color="auto"/>
              <w:bottom w:val="single" w:sz="4" w:space="0" w:color="auto"/>
              <w:right w:val="single" w:sz="4" w:space="0" w:color="auto"/>
            </w:tcBorders>
            <w:vAlign w:val="center"/>
          </w:tcPr>
          <w:p w14:paraId="172CC1D2" w14:textId="77777777" w:rsidR="000B2A5C" w:rsidRPr="00DF79AE" w:rsidRDefault="000B2A5C" w:rsidP="00BC1FCA">
            <w:pPr>
              <w:tabs>
                <w:tab w:val="left" w:pos="284"/>
              </w:tabs>
              <w:rPr>
                <w:sz w:val="22"/>
                <w:szCs w:val="22"/>
                <w:lang w:val="sr-Latn-ME"/>
              </w:rPr>
            </w:pPr>
            <w:r w:rsidRPr="00DF79AE">
              <w:rPr>
                <w:sz w:val="22"/>
                <w:szCs w:val="22"/>
                <w:lang w:val="sr-Latn-ME"/>
              </w:rPr>
              <w:t>19 %</w:t>
            </w:r>
          </w:p>
        </w:tc>
      </w:tr>
      <w:tr w:rsidR="000B2A5C" w:rsidRPr="00DF79AE" w14:paraId="5C2E9FAB" w14:textId="77777777" w:rsidTr="00BC1FCA">
        <w:trPr>
          <w:jc w:val="center"/>
        </w:trPr>
        <w:tc>
          <w:tcPr>
            <w:tcW w:w="2383" w:type="dxa"/>
            <w:tcBorders>
              <w:top w:val="single" w:sz="4" w:space="0" w:color="auto"/>
              <w:left w:val="single" w:sz="4" w:space="0" w:color="auto"/>
              <w:bottom w:val="single" w:sz="4" w:space="0" w:color="auto"/>
              <w:right w:val="single" w:sz="4" w:space="0" w:color="auto"/>
            </w:tcBorders>
            <w:vAlign w:val="center"/>
          </w:tcPr>
          <w:p w14:paraId="4668DFA8" w14:textId="77777777" w:rsidR="000B2A5C" w:rsidRPr="00DF79AE" w:rsidRDefault="000B2A5C" w:rsidP="00BC1FCA">
            <w:pPr>
              <w:tabs>
                <w:tab w:val="left" w:pos="284"/>
              </w:tabs>
              <w:rPr>
                <w:b/>
                <w:bCs/>
                <w:sz w:val="22"/>
                <w:szCs w:val="22"/>
                <w:lang w:val="sr-Latn-ME"/>
              </w:rPr>
            </w:pPr>
            <w:r w:rsidRPr="00DF79AE">
              <w:rPr>
                <w:b/>
                <w:bCs/>
                <w:sz w:val="22"/>
                <w:szCs w:val="22"/>
                <w:lang w:val="sr-Latn-ME"/>
              </w:rPr>
              <w:lastRenderedPageBreak/>
              <w:t>PASI</w:t>
            </w:r>
            <w:r w:rsidRPr="00DF79AE">
              <w:rPr>
                <w:b/>
                <w:bCs/>
                <w:sz w:val="22"/>
                <w:szCs w:val="22"/>
                <w:vertAlign w:val="superscript"/>
                <w:lang w:val="sr-Latn-ME"/>
              </w:rPr>
              <w:t>b</w:t>
            </w:r>
            <w:r w:rsidRPr="00DF79AE">
              <w:rPr>
                <w:b/>
                <w:bCs/>
                <w:sz w:val="22"/>
                <w:szCs w:val="22"/>
                <w:lang w:val="sr-Latn-ME"/>
              </w:rPr>
              <w:t xml:space="preserve"> 75</w:t>
            </w:r>
            <w:r w:rsidRPr="00DF79AE">
              <w:rPr>
                <w:b/>
                <w:bCs/>
                <w:sz w:val="22"/>
                <w:szCs w:val="22"/>
                <w:vertAlign w:val="superscript"/>
                <w:lang w:val="sr-Latn-ME"/>
              </w:rPr>
              <w:t>c</w:t>
            </w:r>
          </w:p>
        </w:tc>
        <w:tc>
          <w:tcPr>
            <w:tcW w:w="2734" w:type="dxa"/>
            <w:tcBorders>
              <w:top w:val="single" w:sz="4" w:space="0" w:color="auto"/>
              <w:left w:val="single" w:sz="4" w:space="0" w:color="auto"/>
              <w:bottom w:val="single" w:sz="4" w:space="0" w:color="auto"/>
              <w:right w:val="single" w:sz="4" w:space="0" w:color="auto"/>
            </w:tcBorders>
            <w:vAlign w:val="center"/>
          </w:tcPr>
          <w:p w14:paraId="40590B72" w14:textId="77777777" w:rsidR="000B2A5C" w:rsidRPr="00DF79AE" w:rsidRDefault="000B2A5C" w:rsidP="00BC1FCA">
            <w:pPr>
              <w:tabs>
                <w:tab w:val="left" w:pos="284"/>
              </w:tabs>
              <w:rPr>
                <w:b/>
                <w:bCs/>
                <w:sz w:val="22"/>
                <w:szCs w:val="22"/>
                <w:lang w:val="sr-Latn-ME"/>
              </w:rPr>
            </w:pPr>
          </w:p>
        </w:tc>
        <w:tc>
          <w:tcPr>
            <w:tcW w:w="2198" w:type="dxa"/>
            <w:tcBorders>
              <w:top w:val="single" w:sz="4" w:space="0" w:color="auto"/>
              <w:left w:val="single" w:sz="4" w:space="0" w:color="auto"/>
              <w:bottom w:val="single" w:sz="4" w:space="0" w:color="auto"/>
              <w:right w:val="single" w:sz="4" w:space="0" w:color="auto"/>
            </w:tcBorders>
            <w:vAlign w:val="center"/>
          </w:tcPr>
          <w:p w14:paraId="3318DEF8" w14:textId="77777777" w:rsidR="000B2A5C" w:rsidRPr="00DF79AE" w:rsidRDefault="000B2A5C" w:rsidP="00BC1FCA">
            <w:pPr>
              <w:tabs>
                <w:tab w:val="left" w:pos="284"/>
              </w:tabs>
              <w:rPr>
                <w:b/>
                <w:bCs/>
                <w:sz w:val="22"/>
                <w:szCs w:val="22"/>
                <w:lang w:val="sr-Latn-ME"/>
              </w:rPr>
            </w:pPr>
          </w:p>
        </w:tc>
      </w:tr>
      <w:tr w:rsidR="000B2A5C" w:rsidRPr="00DF79AE" w14:paraId="3A18F244" w14:textId="77777777" w:rsidTr="00BC1FCA">
        <w:trPr>
          <w:jc w:val="center"/>
        </w:trPr>
        <w:tc>
          <w:tcPr>
            <w:tcW w:w="2383" w:type="dxa"/>
            <w:tcBorders>
              <w:top w:val="single" w:sz="4" w:space="0" w:color="auto"/>
              <w:left w:val="single" w:sz="4" w:space="0" w:color="auto"/>
              <w:bottom w:val="single" w:sz="4" w:space="0" w:color="auto"/>
              <w:right w:val="single" w:sz="4" w:space="0" w:color="auto"/>
            </w:tcBorders>
            <w:vAlign w:val="center"/>
          </w:tcPr>
          <w:p w14:paraId="03B03938" w14:textId="77777777" w:rsidR="000B2A5C" w:rsidRPr="00DF79AE" w:rsidRDefault="000B2A5C" w:rsidP="00BC1FCA">
            <w:pPr>
              <w:tabs>
                <w:tab w:val="left" w:pos="284"/>
              </w:tabs>
              <w:rPr>
                <w:sz w:val="22"/>
                <w:szCs w:val="22"/>
                <w:lang w:val="sr-Latn-ME"/>
              </w:rPr>
            </w:pPr>
            <w:r w:rsidRPr="00DF79AE">
              <w:rPr>
                <w:sz w:val="22"/>
                <w:szCs w:val="22"/>
                <w:lang w:val="sr-Latn-ME"/>
              </w:rPr>
              <w:t>14. nedjelja</w:t>
            </w:r>
          </w:p>
        </w:tc>
        <w:tc>
          <w:tcPr>
            <w:tcW w:w="2734" w:type="dxa"/>
            <w:tcBorders>
              <w:top w:val="single" w:sz="4" w:space="0" w:color="auto"/>
              <w:left w:val="single" w:sz="4" w:space="0" w:color="auto"/>
              <w:bottom w:val="single" w:sz="4" w:space="0" w:color="auto"/>
              <w:right w:val="single" w:sz="4" w:space="0" w:color="auto"/>
            </w:tcBorders>
            <w:vAlign w:val="center"/>
          </w:tcPr>
          <w:p w14:paraId="1A8FC182" w14:textId="77777777" w:rsidR="000B2A5C" w:rsidRPr="00DF79AE" w:rsidRDefault="000B2A5C" w:rsidP="00BC1FCA">
            <w:pPr>
              <w:tabs>
                <w:tab w:val="left" w:pos="284"/>
              </w:tabs>
              <w:rPr>
                <w:b/>
                <w:bCs/>
                <w:sz w:val="22"/>
                <w:szCs w:val="22"/>
                <w:lang w:val="sr-Latn-ME"/>
              </w:rPr>
            </w:pPr>
            <w:r w:rsidRPr="00DF79AE">
              <w:rPr>
                <w:sz w:val="22"/>
                <w:szCs w:val="22"/>
                <w:lang w:val="sr-Latn-ME"/>
              </w:rPr>
              <w:t>3 %</w:t>
            </w:r>
          </w:p>
        </w:tc>
        <w:tc>
          <w:tcPr>
            <w:tcW w:w="2198" w:type="dxa"/>
            <w:tcBorders>
              <w:top w:val="single" w:sz="4" w:space="0" w:color="auto"/>
              <w:left w:val="single" w:sz="4" w:space="0" w:color="auto"/>
              <w:bottom w:val="single" w:sz="4" w:space="0" w:color="auto"/>
              <w:right w:val="single" w:sz="4" w:space="0" w:color="auto"/>
            </w:tcBorders>
            <w:vAlign w:val="bottom"/>
          </w:tcPr>
          <w:p w14:paraId="17FF597E" w14:textId="77777777" w:rsidR="000B2A5C" w:rsidRPr="00DF79AE" w:rsidRDefault="000B2A5C" w:rsidP="00BC1FCA">
            <w:pPr>
              <w:tabs>
                <w:tab w:val="left" w:pos="284"/>
              </w:tabs>
              <w:rPr>
                <w:b/>
                <w:bCs/>
                <w:sz w:val="22"/>
                <w:szCs w:val="22"/>
                <w:lang w:val="sr-Latn-ME"/>
              </w:rPr>
            </w:pPr>
            <w:r w:rsidRPr="00DF79AE">
              <w:rPr>
                <w:sz w:val="22"/>
                <w:szCs w:val="22"/>
                <w:lang w:val="sr-Latn-ME"/>
              </w:rPr>
              <w:t>40 %</w:t>
            </w:r>
          </w:p>
        </w:tc>
      </w:tr>
      <w:tr w:rsidR="000B2A5C" w:rsidRPr="00DF79AE" w14:paraId="42255181" w14:textId="77777777" w:rsidTr="00BC1FCA">
        <w:trPr>
          <w:jc w:val="center"/>
        </w:trPr>
        <w:tc>
          <w:tcPr>
            <w:tcW w:w="2383" w:type="dxa"/>
            <w:tcBorders>
              <w:top w:val="single" w:sz="4" w:space="0" w:color="auto"/>
              <w:left w:val="single" w:sz="4" w:space="0" w:color="auto"/>
              <w:bottom w:val="single" w:sz="4" w:space="0" w:color="auto"/>
              <w:right w:val="single" w:sz="4" w:space="0" w:color="auto"/>
            </w:tcBorders>
            <w:vAlign w:val="center"/>
          </w:tcPr>
          <w:p w14:paraId="6A12FD15" w14:textId="77777777" w:rsidR="000B2A5C" w:rsidRPr="00DF79AE" w:rsidRDefault="000B2A5C" w:rsidP="00BC1FCA">
            <w:pPr>
              <w:tabs>
                <w:tab w:val="left" w:pos="284"/>
              </w:tabs>
              <w:rPr>
                <w:sz w:val="22"/>
                <w:szCs w:val="22"/>
                <w:lang w:val="sr-Latn-ME"/>
              </w:rPr>
            </w:pPr>
            <w:r w:rsidRPr="00DF79AE">
              <w:rPr>
                <w:sz w:val="22"/>
                <w:szCs w:val="22"/>
                <w:lang w:val="sr-Latn-ME"/>
              </w:rPr>
              <w:t>24. nedjelja</w:t>
            </w:r>
          </w:p>
        </w:tc>
        <w:tc>
          <w:tcPr>
            <w:tcW w:w="2734" w:type="dxa"/>
            <w:tcBorders>
              <w:top w:val="single" w:sz="4" w:space="0" w:color="auto"/>
              <w:left w:val="single" w:sz="4" w:space="0" w:color="auto"/>
              <w:bottom w:val="single" w:sz="4" w:space="0" w:color="auto"/>
              <w:right w:val="single" w:sz="4" w:space="0" w:color="auto"/>
            </w:tcBorders>
            <w:vAlign w:val="center"/>
          </w:tcPr>
          <w:p w14:paraId="7583FB6C" w14:textId="77777777" w:rsidR="000B2A5C" w:rsidRPr="00DF79AE" w:rsidRDefault="000B2A5C" w:rsidP="00BC1FCA">
            <w:pPr>
              <w:tabs>
                <w:tab w:val="left" w:pos="284"/>
              </w:tabs>
              <w:rPr>
                <w:b/>
                <w:bCs/>
                <w:sz w:val="22"/>
                <w:szCs w:val="22"/>
                <w:lang w:val="sr-Latn-ME"/>
              </w:rPr>
            </w:pPr>
            <w:r w:rsidRPr="00DF79AE">
              <w:rPr>
                <w:sz w:val="22"/>
                <w:szCs w:val="22"/>
                <w:lang w:val="sr-Latn-ME"/>
              </w:rPr>
              <w:t>1 %</w:t>
            </w:r>
          </w:p>
        </w:tc>
        <w:tc>
          <w:tcPr>
            <w:tcW w:w="2198" w:type="dxa"/>
            <w:tcBorders>
              <w:top w:val="single" w:sz="4" w:space="0" w:color="auto"/>
              <w:left w:val="single" w:sz="4" w:space="0" w:color="auto"/>
              <w:bottom w:val="single" w:sz="4" w:space="0" w:color="auto"/>
              <w:right w:val="single" w:sz="4" w:space="0" w:color="auto"/>
            </w:tcBorders>
            <w:vAlign w:val="bottom"/>
          </w:tcPr>
          <w:p w14:paraId="6351548B" w14:textId="77777777" w:rsidR="000B2A5C" w:rsidRPr="00DF79AE" w:rsidRDefault="000B2A5C" w:rsidP="00BC1FCA">
            <w:pPr>
              <w:tabs>
                <w:tab w:val="left" w:pos="284"/>
              </w:tabs>
              <w:rPr>
                <w:b/>
                <w:bCs/>
                <w:sz w:val="22"/>
                <w:szCs w:val="22"/>
                <w:lang w:val="sr-Latn-ME"/>
              </w:rPr>
            </w:pPr>
            <w:r w:rsidRPr="00DF79AE">
              <w:rPr>
                <w:sz w:val="22"/>
                <w:szCs w:val="22"/>
                <w:lang w:val="sr-Latn-ME"/>
              </w:rPr>
              <w:t>56 %</w:t>
            </w:r>
          </w:p>
        </w:tc>
      </w:tr>
      <w:tr w:rsidR="000B2A5C" w:rsidRPr="00DF79AE" w14:paraId="1D636FB4" w14:textId="77777777" w:rsidTr="00BC1FCA">
        <w:trPr>
          <w:trHeight w:val="233"/>
          <w:jc w:val="center"/>
        </w:trPr>
        <w:tc>
          <w:tcPr>
            <w:tcW w:w="7315" w:type="dxa"/>
            <w:gridSpan w:val="3"/>
            <w:tcBorders>
              <w:top w:val="single" w:sz="4" w:space="0" w:color="auto"/>
              <w:left w:val="single" w:sz="4" w:space="0" w:color="auto"/>
              <w:bottom w:val="single" w:sz="4" w:space="0" w:color="auto"/>
              <w:right w:val="single" w:sz="4" w:space="0" w:color="auto"/>
            </w:tcBorders>
            <w:vAlign w:val="center"/>
          </w:tcPr>
          <w:p w14:paraId="2CB4A91E" w14:textId="77777777" w:rsidR="000B2A5C" w:rsidRPr="00DF79AE" w:rsidRDefault="000B2A5C" w:rsidP="00BC1FCA">
            <w:pPr>
              <w:tabs>
                <w:tab w:val="left" w:pos="284"/>
              </w:tabs>
              <w:ind w:left="292" w:hanging="270"/>
              <w:jc w:val="both"/>
              <w:rPr>
                <w:sz w:val="22"/>
                <w:szCs w:val="22"/>
                <w:lang w:val="sr-Latn-ME"/>
              </w:rPr>
            </w:pPr>
            <w:r w:rsidRPr="00DF79AE">
              <w:rPr>
                <w:sz w:val="22"/>
                <w:szCs w:val="22"/>
                <w:lang w:val="sr-Latn-ME"/>
              </w:rPr>
              <w:t>*</w:t>
            </w:r>
            <w:r w:rsidRPr="00DF79AE">
              <w:rPr>
                <w:sz w:val="22"/>
                <w:szCs w:val="22"/>
                <w:lang w:val="sr-Latn-ME"/>
              </w:rPr>
              <w:tab/>
              <w:t xml:space="preserve">p &lt; 0,05 za sva poređenja; </w:t>
            </w:r>
          </w:p>
          <w:p w14:paraId="29C8A2EA" w14:textId="77E6AE10" w:rsidR="000B2A5C" w:rsidRPr="00DF79AE" w:rsidRDefault="000B2A5C" w:rsidP="00BC1FCA">
            <w:pPr>
              <w:tabs>
                <w:tab w:val="left" w:pos="284"/>
              </w:tabs>
              <w:ind w:left="292" w:hanging="270"/>
              <w:jc w:val="both"/>
              <w:rPr>
                <w:sz w:val="22"/>
                <w:szCs w:val="22"/>
                <w:lang w:val="sr-Latn-ME"/>
              </w:rPr>
            </w:pPr>
            <w:r w:rsidRPr="00DF79AE">
              <w:rPr>
                <w:i/>
                <w:iCs/>
                <w:sz w:val="22"/>
                <w:szCs w:val="22"/>
                <w:lang w:val="sr-Latn-ME"/>
              </w:rPr>
              <w:t>a</w:t>
            </w:r>
            <w:r w:rsidRPr="00DF79AE">
              <w:rPr>
                <w:sz w:val="22"/>
                <w:szCs w:val="22"/>
                <w:lang w:val="sr-Latn-ME"/>
              </w:rPr>
              <w:tab/>
              <w:t xml:space="preserve">N se odnosi na randomizovane pacijente; stvarni broj pacijenata koji je bilo moguće procijeniti za svaki pojedini </w:t>
            </w:r>
            <w:r w:rsidR="00A06D4D">
              <w:rPr>
                <w:sz w:val="22"/>
                <w:szCs w:val="22"/>
                <w:lang w:val="sr-Latn-ME"/>
              </w:rPr>
              <w:t>parametar</w:t>
            </w:r>
            <w:r w:rsidR="00A06D4D" w:rsidRPr="00A06D4D">
              <w:rPr>
                <w:sz w:val="22"/>
                <w:szCs w:val="22"/>
                <w:lang w:val="sr-Latn-ME"/>
              </w:rPr>
              <w:t xml:space="preserve"> praćenja </w:t>
            </w:r>
            <w:r w:rsidRPr="00DF79AE">
              <w:rPr>
                <w:sz w:val="22"/>
                <w:szCs w:val="22"/>
                <w:lang w:val="sr-Latn-ME"/>
              </w:rPr>
              <w:t>može se razlikovati po vremenskim tačkama procjene.</w:t>
            </w:r>
          </w:p>
          <w:p w14:paraId="111EBBA2" w14:textId="77777777" w:rsidR="000B2A5C" w:rsidRPr="00DF79AE" w:rsidRDefault="000B2A5C" w:rsidP="00BC1FCA">
            <w:pPr>
              <w:tabs>
                <w:tab w:val="left" w:pos="284"/>
              </w:tabs>
              <w:ind w:left="292" w:hanging="270"/>
              <w:jc w:val="both"/>
              <w:rPr>
                <w:sz w:val="22"/>
                <w:szCs w:val="22"/>
                <w:lang w:val="sr-Latn-ME"/>
              </w:rPr>
            </w:pPr>
            <w:r w:rsidRPr="00DF79AE">
              <w:rPr>
                <w:i/>
                <w:iCs/>
                <w:sz w:val="22"/>
                <w:szCs w:val="22"/>
                <w:lang w:val="sr-Latn-ME"/>
              </w:rPr>
              <w:t>b</w:t>
            </w:r>
            <w:r w:rsidRPr="00DF79AE">
              <w:rPr>
                <w:i/>
                <w:iCs/>
                <w:sz w:val="22"/>
                <w:szCs w:val="22"/>
                <w:lang w:val="sr-Latn-ME"/>
              </w:rPr>
              <w:tab/>
              <w:t>Psoriasis Area and Severity Index</w:t>
            </w:r>
          </w:p>
          <w:p w14:paraId="6310FA69" w14:textId="77777777" w:rsidR="000B2A5C" w:rsidRPr="00DF79AE" w:rsidRDefault="000B2A5C" w:rsidP="00BC1FCA">
            <w:pPr>
              <w:tabs>
                <w:tab w:val="left" w:pos="284"/>
              </w:tabs>
              <w:ind w:left="292" w:hanging="270"/>
              <w:jc w:val="both"/>
              <w:rPr>
                <w:sz w:val="22"/>
                <w:szCs w:val="22"/>
                <w:lang w:val="sr-Latn-ME"/>
              </w:rPr>
            </w:pPr>
            <w:r w:rsidRPr="00DF79AE">
              <w:rPr>
                <w:i/>
                <w:iCs/>
                <w:sz w:val="22"/>
                <w:szCs w:val="22"/>
                <w:lang w:val="sr-Latn-ME"/>
              </w:rPr>
              <w:t>c</w:t>
            </w:r>
            <w:r w:rsidRPr="00DF79AE">
              <w:rPr>
                <w:i/>
                <w:iCs/>
                <w:sz w:val="22"/>
                <w:szCs w:val="22"/>
                <w:lang w:val="sr-Latn-ME"/>
              </w:rPr>
              <w:tab/>
            </w:r>
            <w:r w:rsidRPr="00DF79AE">
              <w:rPr>
                <w:sz w:val="22"/>
                <w:szCs w:val="22"/>
                <w:lang w:val="sr-Latn-ME"/>
              </w:rPr>
              <w:t xml:space="preserve">na osnovu podgrupe pacijenata s površinom tijela zahvaćenom psorijazom (BSA) </w:t>
            </w:r>
            <w:r w:rsidRPr="00DF79AE">
              <w:rPr>
                <w:sz w:val="22"/>
                <w:szCs w:val="22"/>
                <w:lang w:val="sr-Latn-ME"/>
              </w:rPr>
              <w:sym w:font="Symbol" w:char="F0B3"/>
            </w:r>
            <w:r w:rsidRPr="00DF79AE">
              <w:rPr>
                <w:sz w:val="22"/>
                <w:szCs w:val="22"/>
                <w:lang w:val="sr-Latn-ME"/>
              </w:rPr>
              <w:t xml:space="preserve"> 3% na početku ispitivanja, 79 pacijenata (69,9%) u grupi koja je primala placebo i 109 (74,3%) u grupi koja je primala Simponi 50 mg.</w:t>
            </w:r>
          </w:p>
        </w:tc>
      </w:tr>
    </w:tbl>
    <w:p w14:paraId="0AC112E7" w14:textId="77777777" w:rsidR="000B2A5C" w:rsidRPr="00DF79AE" w:rsidRDefault="000B2A5C" w:rsidP="000B2A5C">
      <w:pPr>
        <w:rPr>
          <w:rFonts w:eastAsiaTheme="minorHAnsi"/>
          <w:sz w:val="22"/>
          <w:szCs w:val="22"/>
          <w:lang w:val="sr-Latn-ME"/>
        </w:rPr>
      </w:pPr>
    </w:p>
    <w:p w14:paraId="2BFED879" w14:textId="77777777" w:rsidR="000B2A5C" w:rsidRPr="00DF79AE" w:rsidRDefault="000B2A5C" w:rsidP="000B2A5C">
      <w:pPr>
        <w:tabs>
          <w:tab w:val="left" w:pos="284"/>
        </w:tabs>
        <w:jc w:val="both"/>
        <w:rPr>
          <w:sz w:val="22"/>
          <w:szCs w:val="22"/>
          <w:lang w:val="sr-Latn-ME"/>
        </w:rPr>
      </w:pPr>
      <w:r w:rsidRPr="00DF79AE">
        <w:rPr>
          <w:sz w:val="22"/>
          <w:szCs w:val="22"/>
          <w:lang w:val="sr-Latn-ME"/>
        </w:rPr>
        <w:t>Odgovori su zabilježeni na prvom kontrolnom pregledu nakon početne primjene lijeka Simponi (4. nedjelja). Slični odgovori ACR 20 u 14. nedjelji zapaženi su kod pacijenata sa poliartikularnim artritisom bez reumatoidnih čvorića i s asimetričnim perifernim artritisom. Broj pacijenata sa drugim podtipovima psorijatičnog artritisa bio je premali da bi omogućio racionalnu procjenu. Zabilježeni odgovori u grupama liječenim lijekom Simponi bili su slični kod pacijenata koji su istovremeno primali MTX i kod onih koji ga nisu uzimali. Od 146 pacijenata koji su randomizovani u grupu koja je primala Simponi 50 mg, njih 70 su još uvijek primali ovu terapiju u 104. nedjelji. Od ovih 70 pacijenata, 64, 46 i 31 su imali odgovor ACR 20/50/70, respektivno. Među pacijentima koji su ostali uključeni u studiju i liječeni lijekom Simponi, slične stope odgovora ACR 20/50/70 su zabilježene od 104. nedjelje do kraja 256. nedjelje.</w:t>
      </w:r>
    </w:p>
    <w:p w14:paraId="6AC36868" w14:textId="77777777" w:rsidR="000B2A5C" w:rsidRPr="00DF79AE" w:rsidRDefault="000B2A5C" w:rsidP="000B2A5C">
      <w:pPr>
        <w:tabs>
          <w:tab w:val="left" w:pos="284"/>
        </w:tabs>
        <w:autoSpaceDE w:val="0"/>
        <w:autoSpaceDN w:val="0"/>
        <w:adjustRightInd w:val="0"/>
        <w:jc w:val="both"/>
        <w:rPr>
          <w:sz w:val="22"/>
          <w:szCs w:val="22"/>
          <w:lang w:val="sr-Latn-ME"/>
        </w:rPr>
      </w:pPr>
    </w:p>
    <w:p w14:paraId="65893E70" w14:textId="77777777" w:rsidR="000B2A5C" w:rsidRPr="00DF79AE" w:rsidRDefault="000B2A5C" w:rsidP="000B2A5C">
      <w:pPr>
        <w:tabs>
          <w:tab w:val="left" w:pos="284"/>
        </w:tabs>
        <w:autoSpaceDE w:val="0"/>
        <w:autoSpaceDN w:val="0"/>
        <w:adjustRightInd w:val="0"/>
        <w:jc w:val="both"/>
        <w:rPr>
          <w:sz w:val="22"/>
          <w:szCs w:val="22"/>
          <w:lang w:val="sr-Latn-ME"/>
        </w:rPr>
      </w:pPr>
      <w:r w:rsidRPr="00DF79AE">
        <w:rPr>
          <w:sz w:val="22"/>
          <w:szCs w:val="22"/>
          <w:lang w:val="sr-Latn-ME"/>
        </w:rPr>
        <w:t>Statistički značajni odgovori na DAS28 takođe su zabilježeni u 14. i 24. nedjelji (p &lt; 0,05).</w:t>
      </w:r>
    </w:p>
    <w:p w14:paraId="5D2D34AA" w14:textId="77777777" w:rsidR="000B2A5C" w:rsidRPr="00DF79AE" w:rsidRDefault="000B2A5C" w:rsidP="000B2A5C">
      <w:pPr>
        <w:tabs>
          <w:tab w:val="left" w:pos="284"/>
        </w:tabs>
        <w:autoSpaceDE w:val="0"/>
        <w:autoSpaceDN w:val="0"/>
        <w:adjustRightInd w:val="0"/>
        <w:jc w:val="both"/>
        <w:rPr>
          <w:sz w:val="22"/>
          <w:szCs w:val="22"/>
          <w:lang w:val="sr-Latn-ME"/>
        </w:rPr>
      </w:pPr>
    </w:p>
    <w:p w14:paraId="2A4A3FC4" w14:textId="77777777" w:rsidR="000B2A5C" w:rsidRPr="00DF79AE" w:rsidRDefault="000B2A5C" w:rsidP="000B2A5C">
      <w:pPr>
        <w:tabs>
          <w:tab w:val="left" w:pos="284"/>
        </w:tabs>
        <w:jc w:val="both"/>
        <w:rPr>
          <w:iCs/>
          <w:sz w:val="22"/>
          <w:szCs w:val="22"/>
          <w:lang w:val="sr-Latn-ME"/>
        </w:rPr>
      </w:pPr>
      <w:r w:rsidRPr="00DF79AE">
        <w:rPr>
          <w:sz w:val="22"/>
          <w:szCs w:val="22"/>
          <w:lang w:val="sr-Latn-ME"/>
        </w:rPr>
        <w:t xml:space="preserve">Kod pacijenata liječenih lijekom Simponi zapažena su poboljšanja parametara periferne aktivnosti psorijatičnog artritisa </w:t>
      </w:r>
      <w:r w:rsidRPr="00DF79AE">
        <w:rPr>
          <w:iCs/>
          <w:sz w:val="22"/>
          <w:szCs w:val="22"/>
          <w:lang w:val="sr-Latn-ME"/>
        </w:rPr>
        <w:t xml:space="preserve">(npr. broja otečenih zglobova, broja bolnih/osjetljivih zglobova, daktilitisa i entezitisa) u 24. nedjelji. </w:t>
      </w:r>
    </w:p>
    <w:p w14:paraId="7D7D0C27" w14:textId="77777777" w:rsidR="000B2A5C" w:rsidRPr="00DF79AE" w:rsidRDefault="000B2A5C" w:rsidP="000B2A5C">
      <w:pPr>
        <w:tabs>
          <w:tab w:val="left" w:pos="284"/>
        </w:tabs>
        <w:autoSpaceDE w:val="0"/>
        <w:autoSpaceDN w:val="0"/>
        <w:adjustRightInd w:val="0"/>
        <w:jc w:val="both"/>
        <w:rPr>
          <w:sz w:val="22"/>
          <w:szCs w:val="22"/>
          <w:lang w:val="sr-Latn-ME"/>
        </w:rPr>
      </w:pPr>
    </w:p>
    <w:p w14:paraId="41483F16" w14:textId="77777777" w:rsidR="000B2A5C" w:rsidRPr="00DF79AE" w:rsidRDefault="000B2A5C" w:rsidP="000B2A5C">
      <w:pPr>
        <w:tabs>
          <w:tab w:val="left" w:pos="284"/>
        </w:tabs>
        <w:jc w:val="both"/>
        <w:rPr>
          <w:sz w:val="22"/>
          <w:szCs w:val="22"/>
          <w:lang w:val="sr-Latn-ME"/>
        </w:rPr>
      </w:pPr>
      <w:r w:rsidRPr="00DF79AE">
        <w:rPr>
          <w:sz w:val="22"/>
          <w:szCs w:val="22"/>
          <w:lang w:val="sr-Latn-ME"/>
        </w:rPr>
        <w:t>Liječenje lijekom Simponi dovelo je do značajnog poboljšanja fizičke funkcije, procijenjene upitnikom HAQ DI, kao i do značajnog poboljšanja zdravstvenog aspekta kvaliteta života, mjereno sabiranjem bodova za fizičku i psihičku komponentu upitnika SF-36. Od  pacijenata koji su ostali na terapiji lijekom Simponi, a na koju su randomizovani na početku ispitivanja, DAS28 i HAQ DI odgovori su održani do 104. nedjelje. Među pacijentima koju su ostali uključeni u studiju i liječeni lijekom Simponi, odgovori DAS28 i HAQ Di su bili slični od 104. nedjelje do kraja 256. nedjelje.</w:t>
      </w:r>
    </w:p>
    <w:p w14:paraId="0BA8FFD8" w14:textId="77777777" w:rsidR="000B2A5C" w:rsidRPr="00DF79AE" w:rsidRDefault="000B2A5C" w:rsidP="000B2A5C">
      <w:pPr>
        <w:tabs>
          <w:tab w:val="left" w:pos="284"/>
        </w:tabs>
        <w:jc w:val="both"/>
        <w:outlineLvl w:val="0"/>
        <w:rPr>
          <w:sz w:val="22"/>
          <w:szCs w:val="22"/>
          <w:u w:val="single"/>
          <w:lang w:val="sr-Latn-ME"/>
        </w:rPr>
      </w:pPr>
    </w:p>
    <w:p w14:paraId="6D6BB491" w14:textId="77777777" w:rsidR="000B2A5C" w:rsidRPr="00DF79AE" w:rsidRDefault="000B2A5C" w:rsidP="000B2A5C">
      <w:pPr>
        <w:tabs>
          <w:tab w:val="left" w:pos="284"/>
        </w:tabs>
        <w:jc w:val="both"/>
        <w:outlineLvl w:val="0"/>
        <w:rPr>
          <w:i/>
          <w:sz w:val="22"/>
          <w:szCs w:val="22"/>
          <w:u w:val="single"/>
          <w:lang w:val="sr-Latn-ME"/>
        </w:rPr>
      </w:pPr>
      <w:r w:rsidRPr="00DF79AE">
        <w:rPr>
          <w:i/>
          <w:sz w:val="22"/>
          <w:szCs w:val="22"/>
          <w:u w:val="single"/>
          <w:lang w:val="sr-Latn-ME"/>
        </w:rPr>
        <w:t>Radiografski odgovor</w:t>
      </w:r>
    </w:p>
    <w:p w14:paraId="57FB1A3B" w14:textId="77777777" w:rsidR="000B2A5C" w:rsidRPr="00DF79AE" w:rsidRDefault="000B2A5C" w:rsidP="000B2A5C">
      <w:pPr>
        <w:jc w:val="both"/>
        <w:rPr>
          <w:bCs/>
          <w:sz w:val="22"/>
          <w:szCs w:val="22"/>
          <w:lang w:val="sr-Latn-ME"/>
        </w:rPr>
      </w:pPr>
      <w:r w:rsidRPr="00DF79AE">
        <w:rPr>
          <w:bCs/>
          <w:sz w:val="22"/>
          <w:szCs w:val="22"/>
          <w:lang w:val="sr-Latn-ME"/>
        </w:rPr>
        <w:t>Strukturalno oštećenje obije šake i stopala procjenjivano je radiografski na osnovu promjene u odnosu na početnu vrijednost vdH-S skora, koji je modifikovan za PsA dodavanjem distalnih interfalangealnih zglobova šake (DIP).</w:t>
      </w:r>
    </w:p>
    <w:p w14:paraId="09A02330" w14:textId="361283B9" w:rsidR="000B2A5C" w:rsidRPr="00DF79AE" w:rsidRDefault="000B2A5C" w:rsidP="000B2A5C">
      <w:pPr>
        <w:jc w:val="both"/>
        <w:rPr>
          <w:bCs/>
          <w:sz w:val="22"/>
          <w:szCs w:val="22"/>
          <w:lang w:val="sr-Latn-ME"/>
        </w:rPr>
      </w:pPr>
      <w:r w:rsidRPr="00DF79AE">
        <w:rPr>
          <w:bCs/>
          <w:sz w:val="22"/>
          <w:szCs w:val="22"/>
          <w:lang w:val="sr-Latn-ME"/>
        </w:rPr>
        <w:t>Liječenje lijekom Simponi 50 mg smanjilo je stopu progresije perifernog oštećenja zglobova u poređenju sa placebo tretmanom u 24. nedjelji, kao mjera promjene od početnih rezultata u ukupnoj modifikovanoj vdH-S ocjeni (srednja vrijednost ± SD rezultat je 0,27 ± 1,3 u placebo grupi u poređenju sa -0,16 ± 1,3 u Simponi grupi; p = 0,011). Od 146 pacijenata koji su randomizovani na lijek Simponi 50 mg, u 52. nedjelji su rendgen podaci bili dostupni za 126 pacijenata, od kojih 77 % nije pokazalo nikakav napredak u odnosu na početnu vrijednost. U 104. nedjelji, rendgen podaci su bili dostupni za 114 pacijenata, i 77% nije pokazalo napredak u odnosu na početnu vrijednost. Među pacijentima koju su ostali uključeni u studiju i liječeni lijekom Simponi, slični procenti pacijenata nijesu pokazali radiografsku progresiju u odnosu na početni nivo od 104. nedjelje do kraja 256. nedjelje.</w:t>
      </w:r>
    </w:p>
    <w:p w14:paraId="5F729B50" w14:textId="77777777" w:rsidR="000B2A5C" w:rsidRPr="00DF79AE" w:rsidRDefault="000B2A5C" w:rsidP="000B2A5C">
      <w:pPr>
        <w:tabs>
          <w:tab w:val="left" w:pos="284"/>
        </w:tabs>
        <w:jc w:val="both"/>
        <w:rPr>
          <w:i/>
          <w:iCs/>
          <w:sz w:val="22"/>
          <w:szCs w:val="22"/>
          <w:lang w:val="sr-Latn-ME"/>
        </w:rPr>
      </w:pPr>
    </w:p>
    <w:p w14:paraId="4ABD32B7" w14:textId="1440EA1C" w:rsidR="000B2A5C" w:rsidRPr="00DF79AE" w:rsidRDefault="000B2A5C" w:rsidP="000B2A5C">
      <w:pPr>
        <w:tabs>
          <w:tab w:val="left" w:pos="284"/>
        </w:tabs>
        <w:jc w:val="both"/>
        <w:rPr>
          <w:i/>
          <w:iCs/>
          <w:sz w:val="22"/>
          <w:szCs w:val="22"/>
          <w:u w:val="single"/>
          <w:lang w:val="sr-Latn-ME"/>
        </w:rPr>
      </w:pPr>
      <w:r w:rsidRPr="00DF79AE">
        <w:rPr>
          <w:i/>
          <w:iCs/>
          <w:sz w:val="22"/>
          <w:szCs w:val="22"/>
          <w:u w:val="single"/>
          <w:lang w:val="sr-Latn-ME"/>
        </w:rPr>
        <w:t>Aksijalni spondiloartritis</w:t>
      </w:r>
    </w:p>
    <w:p w14:paraId="574F6A79" w14:textId="77777777" w:rsidR="000B2A5C" w:rsidRPr="00DF79AE" w:rsidRDefault="000B2A5C" w:rsidP="000B2A5C">
      <w:pPr>
        <w:tabs>
          <w:tab w:val="left" w:pos="284"/>
        </w:tabs>
        <w:jc w:val="both"/>
        <w:rPr>
          <w:i/>
          <w:iCs/>
          <w:sz w:val="22"/>
          <w:szCs w:val="22"/>
          <w:lang w:val="sr-Latn-ME"/>
        </w:rPr>
      </w:pPr>
    </w:p>
    <w:p w14:paraId="1CB4958D" w14:textId="77777777" w:rsidR="000B2A5C" w:rsidRPr="00DF79AE" w:rsidRDefault="000B2A5C" w:rsidP="000B2A5C">
      <w:pPr>
        <w:tabs>
          <w:tab w:val="left" w:pos="284"/>
        </w:tabs>
        <w:jc w:val="both"/>
        <w:rPr>
          <w:i/>
          <w:iCs/>
          <w:sz w:val="22"/>
          <w:szCs w:val="22"/>
          <w:lang w:val="sr-Latn-ME"/>
        </w:rPr>
      </w:pPr>
      <w:r w:rsidRPr="00DF79AE">
        <w:rPr>
          <w:i/>
          <w:iCs/>
          <w:sz w:val="22"/>
          <w:szCs w:val="22"/>
          <w:lang w:val="sr-Latn-ME"/>
        </w:rPr>
        <w:t>Ankilozirajući spondilitis</w:t>
      </w:r>
    </w:p>
    <w:p w14:paraId="04D00D64" w14:textId="237B8A46" w:rsidR="000B2A5C" w:rsidRPr="00DF79AE" w:rsidRDefault="000B2A5C" w:rsidP="000B2A5C">
      <w:pPr>
        <w:tabs>
          <w:tab w:val="left" w:pos="567"/>
        </w:tabs>
        <w:jc w:val="both"/>
        <w:rPr>
          <w:bCs/>
          <w:sz w:val="22"/>
          <w:szCs w:val="22"/>
          <w:lang w:val="sr-Latn-ME"/>
        </w:rPr>
      </w:pPr>
      <w:r w:rsidRPr="00DF79AE">
        <w:rPr>
          <w:bCs/>
          <w:sz w:val="22"/>
          <w:szCs w:val="22"/>
          <w:lang w:val="sr-Latn-ME"/>
        </w:rPr>
        <w:t>Bezbjednost i efikasnost lijeka Simponi procijenjeni su u multicentričnom, randomizovanom, dvostruko slijepom, placebo-kontrolisanom ispitivanju (GO</w:t>
      </w:r>
      <w:r w:rsidRPr="00DF79AE">
        <w:rPr>
          <w:bCs/>
          <w:sz w:val="22"/>
          <w:szCs w:val="22"/>
          <w:lang w:val="sr-Latn-ME"/>
        </w:rPr>
        <w:noBreakHyphen/>
        <w:t xml:space="preserve">RAISE) kod 356 odraslih pacijenata s aktivnim </w:t>
      </w:r>
      <w:r w:rsidRPr="00DF79AE">
        <w:rPr>
          <w:bCs/>
          <w:iCs/>
          <w:sz w:val="22"/>
          <w:szCs w:val="22"/>
          <w:lang w:val="sr-Latn-ME"/>
        </w:rPr>
        <w:lastRenderedPageBreak/>
        <w:t>ankilozirajućim spondilitisom (definisanim rezultatom</w:t>
      </w:r>
      <w:r w:rsidRPr="00DF79AE">
        <w:rPr>
          <w:bCs/>
          <w:sz w:val="22"/>
          <w:szCs w:val="22"/>
          <w:lang w:val="sr-Latn-ME"/>
        </w:rPr>
        <w:t xml:space="preserve"> ≥4 prema Bath indeksu aktivnosti ankilozirajućeg spondilitisa [BASDAI</w:t>
      </w:r>
      <w:r w:rsidRPr="00DF79AE">
        <w:rPr>
          <w:bCs/>
          <w:sz w:val="22"/>
          <w:szCs w:val="22"/>
          <w:lang w:val="sr-Latn-ME"/>
        </w:rPr>
        <w:sym w:font="Symbol" w:char="F05D"/>
      </w:r>
      <w:r w:rsidRPr="00DF79AE">
        <w:rPr>
          <w:bCs/>
          <w:sz w:val="22"/>
          <w:szCs w:val="22"/>
          <w:lang w:val="sr-Latn-ME"/>
        </w:rPr>
        <w:t xml:space="preserve"> i rezultatom ≥4 na vizuelnoj analognoj skali (VAS) za ukupnu jačinu bola u kičmi od 0 do 10 cm). Pacijenti uključeni u ovu studiju imali su aktivni oblik bolesti uprkos postojećem ili prethodnom liječenju nesteroidnim antireumaticima ili terapiji DMARD i nisu nikada prije liječeni TNF blokatorima. Lijek Simponi ili placebo primijenjeni su subkutano svake 4 nedjelje. Pacijenti su randomizovano podijeljeni u grupe koje su primale placebo, lijek Simponi 50 mg ili lijek Simponi 100 mg, i mogli su nastaviti s istovremenom DMARD terapijom (MTX, SSZ i/ili HCQ). Primarni </w:t>
      </w:r>
      <w:r w:rsidR="00A06D4D" w:rsidRPr="00A06D4D">
        <w:rPr>
          <w:bCs/>
          <w:sz w:val="22"/>
          <w:szCs w:val="22"/>
          <w:lang w:val="sr-Latn-ME"/>
        </w:rPr>
        <w:t xml:space="preserve">parametar praćenja </w:t>
      </w:r>
      <w:r w:rsidRPr="00DF79AE">
        <w:rPr>
          <w:bCs/>
          <w:sz w:val="22"/>
          <w:szCs w:val="22"/>
          <w:lang w:val="sr-Latn-ME"/>
        </w:rPr>
        <w:t xml:space="preserve">bio je procenat pacijenata koji su postigli odgovor ASAS 20 na skali studijske grupe za ocjenu ankilozirajućeg spondilitisa (ASAS) u 14. nedjelji. Prikupljeni su i analizirani podaci o efikasnosti s kontrolom placeba do 24. nedjelje. </w:t>
      </w:r>
    </w:p>
    <w:p w14:paraId="3C9E60DD" w14:textId="77777777" w:rsidR="000B2A5C" w:rsidRPr="00DF79AE" w:rsidRDefault="000B2A5C" w:rsidP="000B2A5C">
      <w:pPr>
        <w:tabs>
          <w:tab w:val="left" w:pos="567"/>
        </w:tabs>
        <w:jc w:val="both"/>
        <w:rPr>
          <w:bCs/>
          <w:sz w:val="22"/>
          <w:szCs w:val="22"/>
          <w:lang w:val="sr-Latn-ME"/>
        </w:rPr>
      </w:pPr>
    </w:p>
    <w:p w14:paraId="701F1434" w14:textId="7A4A7AA2" w:rsidR="000B2A5C" w:rsidRPr="00DF79AE" w:rsidRDefault="000B2A5C" w:rsidP="00FF1314">
      <w:pPr>
        <w:tabs>
          <w:tab w:val="left" w:pos="284"/>
        </w:tabs>
        <w:jc w:val="both"/>
        <w:rPr>
          <w:sz w:val="22"/>
          <w:szCs w:val="22"/>
          <w:lang w:val="sr-Latn-ME"/>
        </w:rPr>
      </w:pPr>
      <w:r w:rsidRPr="00DF79AE">
        <w:rPr>
          <w:sz w:val="22"/>
          <w:szCs w:val="22"/>
          <w:lang w:val="sr-Latn-ME"/>
        </w:rPr>
        <w:t>Najvažniji rezultati za dozu od 50 mg prikazani su u Tabeli 5 i opisani u daljem tekstu. Opšte uzevši, nisu zapažene klinički značajne razlike u mjerilima efikasnosti između režima doziranja lijeka Simponi od 50 mg i 100 mg do kraja 24. nedjelje. Prema dizajnu studije, pacijenti uljučeni u dugotrajnu ekstenziju studije su mogli biti prebačeni sa doze 50 mg na dozu 100 mg lijeka Simponi na osnovu odluke studijskog ljekara.</w:t>
      </w:r>
    </w:p>
    <w:p w14:paraId="73570221" w14:textId="77777777" w:rsidR="000B2A5C" w:rsidRPr="00DF79AE" w:rsidRDefault="000B2A5C" w:rsidP="000B2A5C">
      <w:pPr>
        <w:tabs>
          <w:tab w:val="left" w:pos="284"/>
        </w:tabs>
        <w:jc w:val="center"/>
        <w:rPr>
          <w:b/>
          <w:sz w:val="22"/>
          <w:szCs w:val="22"/>
          <w:lang w:val="sr-Latn-ME"/>
        </w:rPr>
      </w:pPr>
    </w:p>
    <w:p w14:paraId="6BF993E9" w14:textId="77777777" w:rsidR="000B2A5C" w:rsidRPr="00DF79AE" w:rsidRDefault="000B2A5C" w:rsidP="000B2A5C">
      <w:pPr>
        <w:tabs>
          <w:tab w:val="left" w:pos="284"/>
        </w:tabs>
        <w:jc w:val="center"/>
        <w:rPr>
          <w:b/>
          <w:sz w:val="22"/>
          <w:szCs w:val="22"/>
          <w:lang w:val="sr-Latn-ME"/>
        </w:rPr>
      </w:pPr>
      <w:r w:rsidRPr="00DF79AE">
        <w:rPr>
          <w:b/>
          <w:sz w:val="22"/>
          <w:szCs w:val="22"/>
          <w:lang w:val="sr-Latn-ME"/>
        </w:rPr>
        <w:t>Tabela 5</w:t>
      </w:r>
    </w:p>
    <w:p w14:paraId="60AC4F73" w14:textId="77777777" w:rsidR="000B2A5C" w:rsidRPr="00DF79AE" w:rsidRDefault="000B2A5C" w:rsidP="00FF1314">
      <w:pPr>
        <w:rPr>
          <w:b/>
          <w:sz w:val="22"/>
          <w:szCs w:val="22"/>
          <w:lang w:val="sr-Latn-ME"/>
        </w:rPr>
      </w:pPr>
    </w:p>
    <w:p w14:paraId="4D70C7B7" w14:textId="77777777" w:rsidR="000B2A5C" w:rsidRPr="00DF79AE" w:rsidRDefault="000B2A5C" w:rsidP="000B2A5C">
      <w:pPr>
        <w:jc w:val="center"/>
        <w:rPr>
          <w:b/>
          <w:sz w:val="22"/>
          <w:szCs w:val="22"/>
          <w:lang w:val="sr-Latn-ME"/>
        </w:rPr>
      </w:pPr>
      <w:r w:rsidRPr="00DF79AE">
        <w:rPr>
          <w:b/>
          <w:sz w:val="22"/>
          <w:szCs w:val="22"/>
          <w:lang w:val="sr-Latn-ME"/>
        </w:rPr>
        <w:t>Ključni rezultati efikasnosti iz studije GO</w:t>
      </w:r>
      <w:r w:rsidRPr="00DF79AE">
        <w:rPr>
          <w:b/>
          <w:sz w:val="22"/>
          <w:szCs w:val="22"/>
          <w:lang w:val="sr-Latn-ME"/>
        </w:rPr>
        <w:noBreakHyphen/>
        <w:t>RAISE.</w:t>
      </w:r>
    </w:p>
    <w:p w14:paraId="7AAAA89E" w14:textId="77777777" w:rsidR="000B2A5C" w:rsidRPr="00DF79AE" w:rsidRDefault="000B2A5C" w:rsidP="000B2A5C">
      <w:pPr>
        <w:jc w:val="center"/>
        <w:rPr>
          <w:rFonts w:eastAsiaTheme="minorHAnsi"/>
          <w:b/>
          <w:sz w:val="22"/>
          <w:szCs w:val="22"/>
          <w:lang w:val="sr-Latn-ME"/>
        </w:rPr>
      </w:pPr>
    </w:p>
    <w:tbl>
      <w:tblPr>
        <w:tblW w:w="8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1"/>
        <w:gridCol w:w="3246"/>
        <w:gridCol w:w="2322"/>
      </w:tblGrid>
      <w:tr w:rsidR="000B2A5C" w:rsidRPr="00DF79AE" w14:paraId="414C2E70" w14:textId="77777777" w:rsidTr="00BC1FCA">
        <w:trPr>
          <w:cantSplit/>
          <w:tblHeader/>
          <w:jc w:val="center"/>
        </w:trPr>
        <w:tc>
          <w:tcPr>
            <w:tcW w:w="2451" w:type="dxa"/>
            <w:vAlign w:val="center"/>
          </w:tcPr>
          <w:p w14:paraId="0013C03F" w14:textId="77777777" w:rsidR="000B2A5C" w:rsidRPr="00DF79AE" w:rsidRDefault="000B2A5C" w:rsidP="00BC1FCA">
            <w:pPr>
              <w:tabs>
                <w:tab w:val="left" w:pos="284"/>
              </w:tabs>
              <w:rPr>
                <w:sz w:val="22"/>
                <w:szCs w:val="22"/>
                <w:lang w:val="sr-Latn-ME"/>
              </w:rPr>
            </w:pPr>
          </w:p>
        </w:tc>
        <w:tc>
          <w:tcPr>
            <w:tcW w:w="3246" w:type="dxa"/>
            <w:vAlign w:val="bottom"/>
          </w:tcPr>
          <w:p w14:paraId="10C2D455" w14:textId="77777777" w:rsidR="000B2A5C" w:rsidRPr="00DF79AE" w:rsidRDefault="000B2A5C" w:rsidP="00BC1FCA">
            <w:pPr>
              <w:tabs>
                <w:tab w:val="left" w:pos="284"/>
              </w:tabs>
              <w:rPr>
                <w:sz w:val="22"/>
                <w:szCs w:val="22"/>
                <w:lang w:val="sr-Latn-ME"/>
              </w:rPr>
            </w:pPr>
            <w:r w:rsidRPr="00DF79AE">
              <w:rPr>
                <w:sz w:val="22"/>
                <w:szCs w:val="22"/>
                <w:lang w:val="sr-Latn-ME"/>
              </w:rPr>
              <w:t>Placebo</w:t>
            </w:r>
          </w:p>
        </w:tc>
        <w:tc>
          <w:tcPr>
            <w:tcW w:w="2322" w:type="dxa"/>
            <w:vAlign w:val="bottom"/>
          </w:tcPr>
          <w:p w14:paraId="1D587123" w14:textId="77777777" w:rsidR="000B2A5C" w:rsidRPr="00DF79AE" w:rsidRDefault="000B2A5C" w:rsidP="00BC1FCA">
            <w:pPr>
              <w:tabs>
                <w:tab w:val="left" w:pos="284"/>
              </w:tabs>
              <w:rPr>
                <w:sz w:val="22"/>
                <w:szCs w:val="22"/>
                <w:lang w:val="sr-Latn-ME"/>
              </w:rPr>
            </w:pPr>
            <w:r w:rsidRPr="00DF79AE">
              <w:rPr>
                <w:sz w:val="22"/>
                <w:szCs w:val="22"/>
                <w:lang w:val="sr-Latn-ME"/>
              </w:rPr>
              <w:t xml:space="preserve">Lijek </w:t>
            </w:r>
            <w:r w:rsidRPr="00DF79AE">
              <w:rPr>
                <w:b/>
                <w:sz w:val="22"/>
                <w:szCs w:val="22"/>
                <w:lang w:val="sr-Latn-ME"/>
              </w:rPr>
              <w:t>Simponi</w:t>
            </w:r>
          </w:p>
          <w:p w14:paraId="64F90BF2" w14:textId="77777777" w:rsidR="000B2A5C" w:rsidRPr="00DF79AE" w:rsidRDefault="000B2A5C" w:rsidP="00BC1FCA">
            <w:pPr>
              <w:tabs>
                <w:tab w:val="left" w:pos="284"/>
              </w:tabs>
              <w:rPr>
                <w:sz w:val="22"/>
                <w:szCs w:val="22"/>
                <w:lang w:val="sr-Latn-ME"/>
              </w:rPr>
            </w:pPr>
            <w:r w:rsidRPr="00DF79AE">
              <w:rPr>
                <w:sz w:val="22"/>
                <w:szCs w:val="22"/>
                <w:lang w:val="sr-Latn-ME"/>
              </w:rPr>
              <w:t>50 mg*</w:t>
            </w:r>
          </w:p>
        </w:tc>
      </w:tr>
      <w:tr w:rsidR="000B2A5C" w:rsidRPr="00DF79AE" w14:paraId="3BEFFA59" w14:textId="77777777" w:rsidTr="00BC1FCA">
        <w:trPr>
          <w:jc w:val="center"/>
        </w:trPr>
        <w:tc>
          <w:tcPr>
            <w:tcW w:w="2451" w:type="dxa"/>
            <w:vAlign w:val="center"/>
          </w:tcPr>
          <w:p w14:paraId="229E4B44" w14:textId="77777777" w:rsidR="000B2A5C" w:rsidRPr="00DF79AE" w:rsidRDefault="000B2A5C" w:rsidP="00BC1FCA">
            <w:pPr>
              <w:tabs>
                <w:tab w:val="left" w:pos="284"/>
              </w:tabs>
              <w:rPr>
                <w:sz w:val="22"/>
                <w:szCs w:val="22"/>
                <w:lang w:val="sr-Latn-ME"/>
              </w:rPr>
            </w:pPr>
            <w:r w:rsidRPr="00DF79AE">
              <w:rPr>
                <w:sz w:val="22"/>
                <w:szCs w:val="22"/>
                <w:lang w:val="sr-Latn-ME"/>
              </w:rPr>
              <w:t>n</w:t>
            </w:r>
            <w:r w:rsidRPr="00DF79AE">
              <w:rPr>
                <w:sz w:val="22"/>
                <w:szCs w:val="22"/>
                <w:vertAlign w:val="superscript"/>
                <w:lang w:val="sr-Latn-ME"/>
              </w:rPr>
              <w:t>a</w:t>
            </w:r>
          </w:p>
        </w:tc>
        <w:tc>
          <w:tcPr>
            <w:tcW w:w="3246" w:type="dxa"/>
            <w:vAlign w:val="center"/>
          </w:tcPr>
          <w:p w14:paraId="2DBA3B9B" w14:textId="77777777" w:rsidR="000B2A5C" w:rsidRPr="00DF79AE" w:rsidRDefault="000B2A5C" w:rsidP="00BC1FCA">
            <w:pPr>
              <w:tabs>
                <w:tab w:val="left" w:pos="284"/>
              </w:tabs>
              <w:rPr>
                <w:sz w:val="22"/>
                <w:szCs w:val="22"/>
                <w:lang w:val="sr-Latn-ME"/>
              </w:rPr>
            </w:pPr>
            <w:r w:rsidRPr="00DF79AE">
              <w:rPr>
                <w:sz w:val="22"/>
                <w:szCs w:val="22"/>
                <w:lang w:val="sr-Latn-ME"/>
              </w:rPr>
              <w:t>78</w:t>
            </w:r>
          </w:p>
        </w:tc>
        <w:tc>
          <w:tcPr>
            <w:tcW w:w="2322" w:type="dxa"/>
            <w:vAlign w:val="center"/>
          </w:tcPr>
          <w:p w14:paraId="5C8D8339" w14:textId="77777777" w:rsidR="000B2A5C" w:rsidRPr="00DF79AE" w:rsidRDefault="000B2A5C" w:rsidP="00BC1FCA">
            <w:pPr>
              <w:tabs>
                <w:tab w:val="left" w:pos="284"/>
              </w:tabs>
              <w:rPr>
                <w:sz w:val="22"/>
                <w:szCs w:val="22"/>
                <w:lang w:val="sr-Latn-ME"/>
              </w:rPr>
            </w:pPr>
            <w:r w:rsidRPr="00DF79AE">
              <w:rPr>
                <w:sz w:val="22"/>
                <w:szCs w:val="22"/>
                <w:lang w:val="sr-Latn-ME"/>
              </w:rPr>
              <w:t>138</w:t>
            </w:r>
          </w:p>
        </w:tc>
      </w:tr>
      <w:tr w:rsidR="000B2A5C" w:rsidRPr="00DF79AE" w14:paraId="1704CB8C" w14:textId="77777777" w:rsidTr="00BC1FCA">
        <w:trPr>
          <w:cantSplit/>
          <w:jc w:val="center"/>
        </w:trPr>
        <w:tc>
          <w:tcPr>
            <w:tcW w:w="8019" w:type="dxa"/>
            <w:gridSpan w:val="3"/>
            <w:vAlign w:val="center"/>
          </w:tcPr>
          <w:p w14:paraId="0063FD9B" w14:textId="77777777" w:rsidR="000B2A5C" w:rsidRPr="00DF79AE" w:rsidRDefault="000B2A5C" w:rsidP="00BC1FCA">
            <w:pPr>
              <w:tabs>
                <w:tab w:val="left" w:pos="284"/>
              </w:tabs>
              <w:rPr>
                <w:sz w:val="22"/>
                <w:szCs w:val="22"/>
                <w:lang w:val="sr-Latn-ME"/>
              </w:rPr>
            </w:pPr>
            <w:r w:rsidRPr="00DF79AE">
              <w:rPr>
                <w:b/>
                <w:bCs/>
                <w:sz w:val="22"/>
                <w:szCs w:val="22"/>
                <w:lang w:val="sr-Latn-ME"/>
              </w:rPr>
              <w:t>Pacijenti koji su odgovorili na liječenje, % pacijenata</w:t>
            </w:r>
          </w:p>
        </w:tc>
      </w:tr>
      <w:tr w:rsidR="000B2A5C" w:rsidRPr="00DF79AE" w14:paraId="0AE89876" w14:textId="77777777" w:rsidTr="00BC1FCA">
        <w:trPr>
          <w:cantSplit/>
          <w:jc w:val="center"/>
        </w:trPr>
        <w:tc>
          <w:tcPr>
            <w:tcW w:w="8019" w:type="dxa"/>
            <w:gridSpan w:val="3"/>
            <w:vAlign w:val="center"/>
          </w:tcPr>
          <w:p w14:paraId="2E018218" w14:textId="77777777" w:rsidR="000B2A5C" w:rsidRPr="00DF79AE" w:rsidRDefault="000B2A5C" w:rsidP="00BC1FCA">
            <w:pPr>
              <w:tabs>
                <w:tab w:val="left" w:pos="284"/>
              </w:tabs>
              <w:rPr>
                <w:sz w:val="22"/>
                <w:szCs w:val="22"/>
                <w:lang w:val="sr-Latn-ME"/>
              </w:rPr>
            </w:pPr>
            <w:r w:rsidRPr="00DF79AE">
              <w:rPr>
                <w:b/>
                <w:bCs/>
                <w:sz w:val="22"/>
                <w:szCs w:val="22"/>
                <w:lang w:val="sr-Latn-ME"/>
              </w:rPr>
              <w:t>ASAS 20</w:t>
            </w:r>
          </w:p>
        </w:tc>
      </w:tr>
      <w:tr w:rsidR="000B2A5C" w:rsidRPr="00DF79AE" w14:paraId="55E01FC3" w14:textId="77777777" w:rsidTr="00BC1FCA">
        <w:trPr>
          <w:jc w:val="center"/>
        </w:trPr>
        <w:tc>
          <w:tcPr>
            <w:tcW w:w="2451" w:type="dxa"/>
            <w:vAlign w:val="center"/>
          </w:tcPr>
          <w:p w14:paraId="182DA656" w14:textId="77777777" w:rsidR="000B2A5C" w:rsidRPr="00DF79AE" w:rsidRDefault="000B2A5C" w:rsidP="00BC1FCA">
            <w:pPr>
              <w:tabs>
                <w:tab w:val="left" w:pos="284"/>
              </w:tabs>
              <w:rPr>
                <w:sz w:val="22"/>
                <w:szCs w:val="22"/>
                <w:lang w:val="sr-Latn-ME"/>
              </w:rPr>
            </w:pPr>
            <w:r w:rsidRPr="00DF79AE">
              <w:rPr>
                <w:sz w:val="22"/>
                <w:szCs w:val="22"/>
                <w:lang w:val="sr-Latn-ME"/>
              </w:rPr>
              <w:t>14. nedjelja</w:t>
            </w:r>
          </w:p>
        </w:tc>
        <w:tc>
          <w:tcPr>
            <w:tcW w:w="3246" w:type="dxa"/>
            <w:vAlign w:val="center"/>
          </w:tcPr>
          <w:p w14:paraId="2A52DEF3" w14:textId="77777777" w:rsidR="000B2A5C" w:rsidRPr="00DF79AE" w:rsidRDefault="000B2A5C" w:rsidP="00BC1FCA">
            <w:pPr>
              <w:tabs>
                <w:tab w:val="left" w:pos="284"/>
              </w:tabs>
              <w:rPr>
                <w:b/>
                <w:bCs/>
                <w:sz w:val="22"/>
                <w:szCs w:val="22"/>
                <w:lang w:val="sr-Latn-ME"/>
              </w:rPr>
            </w:pPr>
            <w:r w:rsidRPr="00DF79AE">
              <w:rPr>
                <w:b/>
                <w:bCs/>
                <w:sz w:val="22"/>
                <w:szCs w:val="22"/>
                <w:lang w:val="sr-Latn-ME"/>
              </w:rPr>
              <w:t xml:space="preserve">22% </w:t>
            </w:r>
          </w:p>
        </w:tc>
        <w:tc>
          <w:tcPr>
            <w:tcW w:w="2322" w:type="dxa"/>
            <w:vAlign w:val="center"/>
          </w:tcPr>
          <w:p w14:paraId="483FE279" w14:textId="77777777" w:rsidR="000B2A5C" w:rsidRPr="00DF79AE" w:rsidRDefault="000B2A5C" w:rsidP="00BC1FCA">
            <w:pPr>
              <w:tabs>
                <w:tab w:val="left" w:pos="284"/>
              </w:tabs>
              <w:rPr>
                <w:b/>
                <w:bCs/>
                <w:sz w:val="22"/>
                <w:szCs w:val="22"/>
                <w:lang w:val="sr-Latn-ME"/>
              </w:rPr>
            </w:pPr>
            <w:r w:rsidRPr="00DF79AE">
              <w:rPr>
                <w:b/>
                <w:bCs/>
                <w:sz w:val="22"/>
                <w:szCs w:val="22"/>
                <w:lang w:val="sr-Latn-ME"/>
              </w:rPr>
              <w:t xml:space="preserve">59% </w:t>
            </w:r>
          </w:p>
        </w:tc>
      </w:tr>
      <w:tr w:rsidR="000B2A5C" w:rsidRPr="00DF79AE" w14:paraId="161B1253" w14:textId="77777777" w:rsidTr="00BC1FCA">
        <w:trPr>
          <w:jc w:val="center"/>
        </w:trPr>
        <w:tc>
          <w:tcPr>
            <w:tcW w:w="2451" w:type="dxa"/>
            <w:vAlign w:val="center"/>
          </w:tcPr>
          <w:p w14:paraId="122F5396" w14:textId="77777777" w:rsidR="000B2A5C" w:rsidRPr="00DF79AE" w:rsidRDefault="000B2A5C" w:rsidP="00BC1FCA">
            <w:pPr>
              <w:tabs>
                <w:tab w:val="left" w:pos="284"/>
              </w:tabs>
              <w:rPr>
                <w:sz w:val="22"/>
                <w:szCs w:val="22"/>
                <w:lang w:val="sr-Latn-ME"/>
              </w:rPr>
            </w:pPr>
            <w:r w:rsidRPr="00DF79AE">
              <w:rPr>
                <w:sz w:val="22"/>
                <w:szCs w:val="22"/>
                <w:lang w:val="sr-Latn-ME"/>
              </w:rPr>
              <w:t>24. nedjelja</w:t>
            </w:r>
          </w:p>
        </w:tc>
        <w:tc>
          <w:tcPr>
            <w:tcW w:w="3246" w:type="dxa"/>
            <w:vAlign w:val="center"/>
          </w:tcPr>
          <w:p w14:paraId="3CA64981" w14:textId="77777777" w:rsidR="000B2A5C" w:rsidRPr="00DF79AE" w:rsidRDefault="000B2A5C" w:rsidP="00BC1FCA">
            <w:pPr>
              <w:tabs>
                <w:tab w:val="left" w:pos="284"/>
              </w:tabs>
              <w:rPr>
                <w:sz w:val="22"/>
                <w:szCs w:val="22"/>
                <w:lang w:val="sr-Latn-ME"/>
              </w:rPr>
            </w:pPr>
            <w:r w:rsidRPr="00DF79AE">
              <w:rPr>
                <w:sz w:val="22"/>
                <w:szCs w:val="22"/>
                <w:lang w:val="sr-Latn-ME"/>
              </w:rPr>
              <w:t>23%</w:t>
            </w:r>
          </w:p>
        </w:tc>
        <w:tc>
          <w:tcPr>
            <w:tcW w:w="2322" w:type="dxa"/>
            <w:vAlign w:val="center"/>
          </w:tcPr>
          <w:p w14:paraId="525EB38D" w14:textId="77777777" w:rsidR="000B2A5C" w:rsidRPr="00DF79AE" w:rsidRDefault="000B2A5C" w:rsidP="00BC1FCA">
            <w:pPr>
              <w:tabs>
                <w:tab w:val="left" w:pos="284"/>
              </w:tabs>
              <w:rPr>
                <w:sz w:val="22"/>
                <w:szCs w:val="22"/>
                <w:lang w:val="sr-Latn-ME"/>
              </w:rPr>
            </w:pPr>
            <w:r w:rsidRPr="00DF79AE">
              <w:rPr>
                <w:sz w:val="22"/>
                <w:szCs w:val="22"/>
                <w:lang w:val="sr-Latn-ME"/>
              </w:rPr>
              <w:t xml:space="preserve">56% </w:t>
            </w:r>
          </w:p>
        </w:tc>
      </w:tr>
      <w:tr w:rsidR="000B2A5C" w:rsidRPr="00DF79AE" w14:paraId="752EBDB5" w14:textId="77777777" w:rsidTr="00BC1FCA">
        <w:trPr>
          <w:jc w:val="center"/>
        </w:trPr>
        <w:tc>
          <w:tcPr>
            <w:tcW w:w="8019" w:type="dxa"/>
            <w:gridSpan w:val="3"/>
            <w:vAlign w:val="center"/>
          </w:tcPr>
          <w:p w14:paraId="279AB56C" w14:textId="77777777" w:rsidR="000B2A5C" w:rsidRPr="00DF79AE" w:rsidRDefault="000B2A5C" w:rsidP="00BC1FCA">
            <w:pPr>
              <w:tabs>
                <w:tab w:val="left" w:pos="284"/>
              </w:tabs>
              <w:rPr>
                <w:b/>
                <w:bCs/>
                <w:sz w:val="22"/>
                <w:szCs w:val="22"/>
                <w:lang w:val="sr-Latn-ME"/>
              </w:rPr>
            </w:pPr>
            <w:r w:rsidRPr="00DF79AE">
              <w:rPr>
                <w:b/>
                <w:bCs/>
                <w:sz w:val="22"/>
                <w:szCs w:val="22"/>
                <w:lang w:val="sr-Latn-ME"/>
              </w:rPr>
              <w:t xml:space="preserve">ASAS 40 </w:t>
            </w:r>
          </w:p>
        </w:tc>
      </w:tr>
      <w:tr w:rsidR="000B2A5C" w:rsidRPr="00DF79AE" w14:paraId="5B508737" w14:textId="77777777" w:rsidTr="00BC1FCA">
        <w:trPr>
          <w:jc w:val="center"/>
        </w:trPr>
        <w:tc>
          <w:tcPr>
            <w:tcW w:w="2451" w:type="dxa"/>
            <w:vAlign w:val="center"/>
          </w:tcPr>
          <w:p w14:paraId="1D30C1EA" w14:textId="77777777" w:rsidR="000B2A5C" w:rsidRPr="00DF79AE" w:rsidRDefault="000B2A5C" w:rsidP="00BC1FCA">
            <w:pPr>
              <w:tabs>
                <w:tab w:val="left" w:pos="284"/>
              </w:tabs>
              <w:rPr>
                <w:sz w:val="22"/>
                <w:szCs w:val="22"/>
                <w:lang w:val="sr-Latn-ME"/>
              </w:rPr>
            </w:pPr>
            <w:r w:rsidRPr="00DF79AE">
              <w:rPr>
                <w:sz w:val="22"/>
                <w:szCs w:val="22"/>
                <w:lang w:val="sr-Latn-ME"/>
              </w:rPr>
              <w:t>14. nedjelja</w:t>
            </w:r>
          </w:p>
        </w:tc>
        <w:tc>
          <w:tcPr>
            <w:tcW w:w="3246" w:type="dxa"/>
            <w:vAlign w:val="center"/>
          </w:tcPr>
          <w:p w14:paraId="728BFCE8" w14:textId="77777777" w:rsidR="000B2A5C" w:rsidRPr="00DF79AE" w:rsidRDefault="000B2A5C" w:rsidP="00BC1FCA">
            <w:pPr>
              <w:tabs>
                <w:tab w:val="left" w:pos="284"/>
              </w:tabs>
              <w:rPr>
                <w:sz w:val="22"/>
                <w:szCs w:val="22"/>
                <w:lang w:val="sr-Latn-ME"/>
              </w:rPr>
            </w:pPr>
            <w:r w:rsidRPr="00DF79AE">
              <w:rPr>
                <w:sz w:val="22"/>
                <w:szCs w:val="22"/>
                <w:lang w:val="sr-Latn-ME"/>
              </w:rPr>
              <w:t>15%</w:t>
            </w:r>
          </w:p>
        </w:tc>
        <w:tc>
          <w:tcPr>
            <w:tcW w:w="2322" w:type="dxa"/>
            <w:vAlign w:val="center"/>
          </w:tcPr>
          <w:p w14:paraId="7F723462" w14:textId="77777777" w:rsidR="000B2A5C" w:rsidRPr="00DF79AE" w:rsidRDefault="000B2A5C" w:rsidP="00BC1FCA">
            <w:pPr>
              <w:tabs>
                <w:tab w:val="left" w:pos="284"/>
              </w:tabs>
              <w:rPr>
                <w:sz w:val="22"/>
                <w:szCs w:val="22"/>
                <w:lang w:val="sr-Latn-ME"/>
              </w:rPr>
            </w:pPr>
            <w:r w:rsidRPr="00DF79AE">
              <w:rPr>
                <w:sz w:val="22"/>
                <w:szCs w:val="22"/>
                <w:lang w:val="sr-Latn-ME"/>
              </w:rPr>
              <w:t>45%</w:t>
            </w:r>
          </w:p>
        </w:tc>
      </w:tr>
      <w:tr w:rsidR="000B2A5C" w:rsidRPr="00DF79AE" w14:paraId="7313D629" w14:textId="77777777" w:rsidTr="00BC1FCA">
        <w:trPr>
          <w:jc w:val="center"/>
        </w:trPr>
        <w:tc>
          <w:tcPr>
            <w:tcW w:w="2451" w:type="dxa"/>
            <w:vAlign w:val="center"/>
          </w:tcPr>
          <w:p w14:paraId="3B602D4F" w14:textId="77777777" w:rsidR="000B2A5C" w:rsidRPr="00DF79AE" w:rsidRDefault="000B2A5C" w:rsidP="00BC1FCA">
            <w:pPr>
              <w:tabs>
                <w:tab w:val="left" w:pos="284"/>
              </w:tabs>
              <w:rPr>
                <w:sz w:val="22"/>
                <w:szCs w:val="22"/>
                <w:lang w:val="sr-Latn-ME"/>
              </w:rPr>
            </w:pPr>
            <w:r w:rsidRPr="00DF79AE">
              <w:rPr>
                <w:sz w:val="22"/>
                <w:szCs w:val="22"/>
                <w:lang w:val="sr-Latn-ME"/>
              </w:rPr>
              <w:t>24. nedjelja</w:t>
            </w:r>
          </w:p>
        </w:tc>
        <w:tc>
          <w:tcPr>
            <w:tcW w:w="3246" w:type="dxa"/>
            <w:vAlign w:val="center"/>
          </w:tcPr>
          <w:p w14:paraId="73B711DA" w14:textId="77777777" w:rsidR="000B2A5C" w:rsidRPr="00DF79AE" w:rsidRDefault="000B2A5C" w:rsidP="00BC1FCA">
            <w:pPr>
              <w:tabs>
                <w:tab w:val="left" w:pos="284"/>
              </w:tabs>
              <w:rPr>
                <w:sz w:val="22"/>
                <w:szCs w:val="22"/>
                <w:lang w:val="sr-Latn-ME"/>
              </w:rPr>
            </w:pPr>
            <w:r w:rsidRPr="00DF79AE">
              <w:rPr>
                <w:sz w:val="22"/>
                <w:szCs w:val="22"/>
                <w:lang w:val="sr-Latn-ME"/>
              </w:rPr>
              <w:t>15%</w:t>
            </w:r>
          </w:p>
        </w:tc>
        <w:tc>
          <w:tcPr>
            <w:tcW w:w="2322" w:type="dxa"/>
            <w:vAlign w:val="center"/>
          </w:tcPr>
          <w:p w14:paraId="5134D673" w14:textId="77777777" w:rsidR="000B2A5C" w:rsidRPr="00DF79AE" w:rsidRDefault="000B2A5C" w:rsidP="00BC1FCA">
            <w:pPr>
              <w:tabs>
                <w:tab w:val="left" w:pos="284"/>
              </w:tabs>
              <w:rPr>
                <w:sz w:val="22"/>
                <w:szCs w:val="22"/>
                <w:lang w:val="sr-Latn-ME"/>
              </w:rPr>
            </w:pPr>
            <w:r w:rsidRPr="00DF79AE">
              <w:rPr>
                <w:sz w:val="22"/>
                <w:szCs w:val="22"/>
                <w:lang w:val="sr-Latn-ME"/>
              </w:rPr>
              <w:t>44%</w:t>
            </w:r>
          </w:p>
        </w:tc>
      </w:tr>
      <w:tr w:rsidR="000B2A5C" w:rsidRPr="00DF79AE" w14:paraId="71DD6A35" w14:textId="77777777" w:rsidTr="00BC1FCA">
        <w:trPr>
          <w:jc w:val="center"/>
        </w:trPr>
        <w:tc>
          <w:tcPr>
            <w:tcW w:w="8019" w:type="dxa"/>
            <w:gridSpan w:val="3"/>
            <w:vAlign w:val="center"/>
          </w:tcPr>
          <w:p w14:paraId="5B0BE1AC" w14:textId="77777777" w:rsidR="000B2A5C" w:rsidRPr="00DF79AE" w:rsidRDefault="000B2A5C" w:rsidP="00BC1FCA">
            <w:pPr>
              <w:tabs>
                <w:tab w:val="left" w:pos="284"/>
              </w:tabs>
              <w:rPr>
                <w:b/>
                <w:bCs/>
                <w:sz w:val="22"/>
                <w:szCs w:val="22"/>
                <w:lang w:val="sr-Latn-ME"/>
              </w:rPr>
            </w:pPr>
            <w:r w:rsidRPr="00DF79AE">
              <w:rPr>
                <w:b/>
                <w:bCs/>
                <w:sz w:val="22"/>
                <w:szCs w:val="22"/>
                <w:lang w:val="sr-Latn-ME"/>
              </w:rPr>
              <w:t>ASAS 5/6</w:t>
            </w:r>
          </w:p>
        </w:tc>
      </w:tr>
      <w:tr w:rsidR="000B2A5C" w:rsidRPr="00DF79AE" w14:paraId="13176BB7" w14:textId="77777777" w:rsidTr="00BC1FCA">
        <w:trPr>
          <w:jc w:val="center"/>
        </w:trPr>
        <w:tc>
          <w:tcPr>
            <w:tcW w:w="2451" w:type="dxa"/>
            <w:vAlign w:val="center"/>
          </w:tcPr>
          <w:p w14:paraId="56407494" w14:textId="77777777" w:rsidR="000B2A5C" w:rsidRPr="00DF79AE" w:rsidRDefault="000B2A5C" w:rsidP="00BC1FCA">
            <w:pPr>
              <w:tabs>
                <w:tab w:val="left" w:pos="284"/>
              </w:tabs>
              <w:rPr>
                <w:sz w:val="22"/>
                <w:szCs w:val="22"/>
                <w:lang w:val="sr-Latn-ME"/>
              </w:rPr>
            </w:pPr>
            <w:r w:rsidRPr="00DF79AE">
              <w:rPr>
                <w:sz w:val="22"/>
                <w:szCs w:val="22"/>
                <w:lang w:val="sr-Latn-ME"/>
              </w:rPr>
              <w:t>14. nedjelja</w:t>
            </w:r>
          </w:p>
        </w:tc>
        <w:tc>
          <w:tcPr>
            <w:tcW w:w="3246" w:type="dxa"/>
            <w:vAlign w:val="center"/>
          </w:tcPr>
          <w:p w14:paraId="01C53F64" w14:textId="77777777" w:rsidR="000B2A5C" w:rsidRPr="00DF79AE" w:rsidRDefault="000B2A5C" w:rsidP="00BC1FCA">
            <w:pPr>
              <w:tabs>
                <w:tab w:val="left" w:pos="284"/>
              </w:tabs>
              <w:rPr>
                <w:sz w:val="22"/>
                <w:szCs w:val="22"/>
                <w:lang w:val="sr-Latn-ME"/>
              </w:rPr>
            </w:pPr>
            <w:r w:rsidRPr="00DF79AE">
              <w:rPr>
                <w:sz w:val="22"/>
                <w:szCs w:val="22"/>
                <w:lang w:val="sr-Latn-ME"/>
              </w:rPr>
              <w:t>8%</w:t>
            </w:r>
          </w:p>
        </w:tc>
        <w:tc>
          <w:tcPr>
            <w:tcW w:w="2322" w:type="dxa"/>
            <w:vAlign w:val="center"/>
          </w:tcPr>
          <w:p w14:paraId="071D88D8" w14:textId="77777777" w:rsidR="000B2A5C" w:rsidRPr="00DF79AE" w:rsidRDefault="000B2A5C" w:rsidP="00BC1FCA">
            <w:pPr>
              <w:tabs>
                <w:tab w:val="left" w:pos="284"/>
              </w:tabs>
              <w:rPr>
                <w:sz w:val="22"/>
                <w:szCs w:val="22"/>
                <w:lang w:val="sr-Latn-ME"/>
              </w:rPr>
            </w:pPr>
            <w:r w:rsidRPr="00DF79AE">
              <w:rPr>
                <w:sz w:val="22"/>
                <w:szCs w:val="22"/>
                <w:lang w:val="sr-Latn-ME"/>
              </w:rPr>
              <w:t>50%</w:t>
            </w:r>
          </w:p>
        </w:tc>
      </w:tr>
      <w:tr w:rsidR="000B2A5C" w:rsidRPr="00DF79AE" w14:paraId="5652D49E" w14:textId="77777777" w:rsidTr="00BC1FCA">
        <w:trPr>
          <w:jc w:val="center"/>
        </w:trPr>
        <w:tc>
          <w:tcPr>
            <w:tcW w:w="2451" w:type="dxa"/>
            <w:vAlign w:val="center"/>
          </w:tcPr>
          <w:p w14:paraId="048BFA28" w14:textId="77777777" w:rsidR="000B2A5C" w:rsidRPr="00DF79AE" w:rsidRDefault="000B2A5C" w:rsidP="00BC1FCA">
            <w:pPr>
              <w:tabs>
                <w:tab w:val="left" w:pos="284"/>
              </w:tabs>
              <w:rPr>
                <w:sz w:val="22"/>
                <w:szCs w:val="22"/>
                <w:lang w:val="sr-Latn-ME"/>
              </w:rPr>
            </w:pPr>
            <w:r w:rsidRPr="00DF79AE">
              <w:rPr>
                <w:sz w:val="22"/>
                <w:szCs w:val="22"/>
                <w:lang w:val="sr-Latn-ME"/>
              </w:rPr>
              <w:t>24. nedjelja</w:t>
            </w:r>
          </w:p>
        </w:tc>
        <w:tc>
          <w:tcPr>
            <w:tcW w:w="3246" w:type="dxa"/>
            <w:vAlign w:val="center"/>
          </w:tcPr>
          <w:p w14:paraId="09087AFB" w14:textId="77777777" w:rsidR="000B2A5C" w:rsidRPr="00DF79AE" w:rsidRDefault="000B2A5C" w:rsidP="00BC1FCA">
            <w:pPr>
              <w:tabs>
                <w:tab w:val="left" w:pos="284"/>
              </w:tabs>
              <w:rPr>
                <w:sz w:val="22"/>
                <w:szCs w:val="22"/>
                <w:lang w:val="sr-Latn-ME"/>
              </w:rPr>
            </w:pPr>
            <w:r w:rsidRPr="00DF79AE">
              <w:rPr>
                <w:sz w:val="22"/>
                <w:szCs w:val="22"/>
                <w:lang w:val="sr-Latn-ME"/>
              </w:rPr>
              <w:t>13%</w:t>
            </w:r>
          </w:p>
        </w:tc>
        <w:tc>
          <w:tcPr>
            <w:tcW w:w="2322" w:type="dxa"/>
            <w:vAlign w:val="center"/>
          </w:tcPr>
          <w:p w14:paraId="2562B1FC" w14:textId="77777777" w:rsidR="000B2A5C" w:rsidRPr="00DF79AE" w:rsidRDefault="000B2A5C" w:rsidP="00BC1FCA">
            <w:pPr>
              <w:tabs>
                <w:tab w:val="left" w:pos="284"/>
              </w:tabs>
              <w:rPr>
                <w:sz w:val="22"/>
                <w:szCs w:val="22"/>
                <w:lang w:val="sr-Latn-ME"/>
              </w:rPr>
            </w:pPr>
            <w:r w:rsidRPr="00DF79AE">
              <w:rPr>
                <w:sz w:val="22"/>
                <w:szCs w:val="22"/>
                <w:lang w:val="sr-Latn-ME"/>
              </w:rPr>
              <w:t>49%</w:t>
            </w:r>
          </w:p>
        </w:tc>
      </w:tr>
      <w:tr w:rsidR="000B2A5C" w:rsidRPr="00DF79AE" w14:paraId="2267B4B2" w14:textId="77777777" w:rsidTr="00BC1FCA">
        <w:trPr>
          <w:trHeight w:val="460"/>
          <w:jc w:val="center"/>
        </w:trPr>
        <w:tc>
          <w:tcPr>
            <w:tcW w:w="8019" w:type="dxa"/>
            <w:gridSpan w:val="3"/>
            <w:tcBorders>
              <w:bottom w:val="single" w:sz="4" w:space="0" w:color="auto"/>
            </w:tcBorders>
            <w:vAlign w:val="center"/>
          </w:tcPr>
          <w:p w14:paraId="42B39F35" w14:textId="77777777" w:rsidR="000B2A5C" w:rsidRPr="00DF79AE" w:rsidRDefault="000B2A5C" w:rsidP="00BC1FCA">
            <w:pPr>
              <w:tabs>
                <w:tab w:val="left" w:pos="284"/>
              </w:tabs>
              <w:ind w:left="217" w:hanging="217"/>
              <w:jc w:val="both"/>
              <w:rPr>
                <w:sz w:val="22"/>
                <w:szCs w:val="22"/>
                <w:lang w:val="sr-Latn-ME"/>
              </w:rPr>
            </w:pPr>
            <w:r w:rsidRPr="00DF79AE">
              <w:rPr>
                <w:sz w:val="22"/>
                <w:szCs w:val="22"/>
                <w:lang w:val="sr-Latn-ME"/>
              </w:rPr>
              <w:t>*</w:t>
            </w:r>
            <w:r w:rsidRPr="00DF79AE">
              <w:rPr>
                <w:sz w:val="22"/>
                <w:szCs w:val="22"/>
                <w:lang w:val="sr-Latn-ME"/>
              </w:rPr>
              <w:tab/>
              <w:t xml:space="preserve">p </w:t>
            </w:r>
            <w:r w:rsidRPr="00DF79AE">
              <w:rPr>
                <w:sz w:val="22"/>
                <w:szCs w:val="22"/>
                <w:lang w:val="sr-Latn-ME"/>
              </w:rPr>
              <w:sym w:font="Symbol" w:char="F0A3"/>
            </w:r>
            <w:r w:rsidRPr="00DF79AE">
              <w:rPr>
                <w:sz w:val="22"/>
                <w:szCs w:val="22"/>
                <w:lang w:val="sr-Latn-ME"/>
              </w:rPr>
              <w:t xml:space="preserve"> 0,001 za sva poređenja </w:t>
            </w:r>
          </w:p>
          <w:p w14:paraId="7FEF8253" w14:textId="164F89D9" w:rsidR="000B2A5C" w:rsidRPr="00DF79AE" w:rsidRDefault="000B2A5C" w:rsidP="00BC1FCA">
            <w:pPr>
              <w:tabs>
                <w:tab w:val="left" w:pos="284"/>
              </w:tabs>
              <w:ind w:left="288" w:hanging="270"/>
              <w:jc w:val="both"/>
              <w:rPr>
                <w:sz w:val="22"/>
                <w:szCs w:val="22"/>
                <w:lang w:val="sr-Latn-ME"/>
              </w:rPr>
            </w:pPr>
            <w:r w:rsidRPr="00DF79AE">
              <w:rPr>
                <w:i/>
                <w:iCs/>
                <w:sz w:val="22"/>
                <w:szCs w:val="22"/>
                <w:vertAlign w:val="superscript"/>
                <w:lang w:val="sr-Latn-ME"/>
              </w:rPr>
              <w:t>a</w:t>
            </w:r>
            <w:r w:rsidRPr="00DF79AE">
              <w:rPr>
                <w:sz w:val="22"/>
                <w:szCs w:val="22"/>
                <w:lang w:val="sr-Latn-ME"/>
              </w:rPr>
              <w:t xml:space="preserve">  n se odnosi na randomizovane pacijente; stvarni broj pacijenata koje je bilo moguće procijeniti za pojedinačni </w:t>
            </w:r>
            <w:r w:rsidR="00A06D4D" w:rsidRPr="00A06D4D">
              <w:rPr>
                <w:sz w:val="22"/>
                <w:szCs w:val="22"/>
                <w:lang w:val="sr-Latn-ME"/>
              </w:rPr>
              <w:t xml:space="preserve">parametar praćenja </w:t>
            </w:r>
            <w:r w:rsidRPr="00DF79AE">
              <w:rPr>
                <w:sz w:val="22"/>
                <w:szCs w:val="22"/>
                <w:lang w:val="sr-Latn-ME"/>
              </w:rPr>
              <w:t>može se razlikovati po vremenskim tačkama procjene</w:t>
            </w:r>
          </w:p>
        </w:tc>
      </w:tr>
    </w:tbl>
    <w:p w14:paraId="7F8BE4F4" w14:textId="77777777" w:rsidR="000B2A5C" w:rsidRPr="00DF79AE" w:rsidRDefault="000B2A5C" w:rsidP="000B2A5C">
      <w:pPr>
        <w:rPr>
          <w:rFonts w:eastAsiaTheme="minorHAnsi"/>
          <w:sz w:val="22"/>
          <w:szCs w:val="22"/>
          <w:lang w:val="sr-Latn-ME"/>
        </w:rPr>
      </w:pPr>
    </w:p>
    <w:p w14:paraId="34DB721B" w14:textId="77777777" w:rsidR="000B2A5C" w:rsidRPr="00DF79AE" w:rsidRDefault="000B2A5C" w:rsidP="000B2A5C">
      <w:pPr>
        <w:tabs>
          <w:tab w:val="left" w:pos="284"/>
        </w:tabs>
        <w:ind w:right="231"/>
        <w:jc w:val="both"/>
        <w:rPr>
          <w:sz w:val="22"/>
          <w:szCs w:val="22"/>
          <w:lang w:val="sr-Latn-ME"/>
        </w:rPr>
      </w:pPr>
      <w:r w:rsidRPr="00DF79AE">
        <w:rPr>
          <w:sz w:val="22"/>
          <w:szCs w:val="22"/>
          <w:lang w:val="sr-Latn-ME"/>
        </w:rPr>
        <w:t>Među pacijentima koji su ostali uključeni u studiju i liječeni lijekom Simponi, procenti pacijenata sa odgovorima ASAS 20 i ASAS 40 su bili slični od 24. nedjelje do kraja 256. nedjelje.</w:t>
      </w:r>
    </w:p>
    <w:p w14:paraId="61B54D40" w14:textId="77777777" w:rsidR="000B2A5C" w:rsidRPr="00DF79AE" w:rsidRDefault="000B2A5C" w:rsidP="000B2A5C">
      <w:pPr>
        <w:tabs>
          <w:tab w:val="left" w:pos="284"/>
        </w:tabs>
        <w:ind w:right="231"/>
        <w:jc w:val="both"/>
        <w:rPr>
          <w:sz w:val="22"/>
          <w:szCs w:val="22"/>
          <w:lang w:val="sr-Latn-ME"/>
        </w:rPr>
      </w:pPr>
    </w:p>
    <w:p w14:paraId="0361691E" w14:textId="77777777" w:rsidR="000B2A5C" w:rsidRPr="00DF79AE" w:rsidRDefault="000B2A5C" w:rsidP="000B2A5C">
      <w:pPr>
        <w:tabs>
          <w:tab w:val="left" w:pos="284"/>
        </w:tabs>
        <w:ind w:right="231"/>
        <w:jc w:val="both"/>
        <w:rPr>
          <w:sz w:val="22"/>
          <w:szCs w:val="22"/>
          <w:lang w:val="sr-Latn-ME"/>
        </w:rPr>
      </w:pPr>
      <w:r w:rsidRPr="00DF79AE">
        <w:rPr>
          <w:sz w:val="22"/>
          <w:szCs w:val="22"/>
          <w:lang w:val="sr-Latn-ME"/>
        </w:rPr>
        <w:t>U 14. i 24. nedjelji zabilježeni su statistički značajni odgovori i za BASDAI 50, 70 i 90 (p </w:t>
      </w:r>
      <w:r w:rsidRPr="00DF79AE">
        <w:rPr>
          <w:sz w:val="22"/>
          <w:szCs w:val="22"/>
          <w:lang w:val="sr-Latn-ME"/>
        </w:rPr>
        <w:sym w:font="Symbol" w:char="F0A3"/>
      </w:r>
      <w:r w:rsidRPr="00DF79AE">
        <w:rPr>
          <w:sz w:val="22"/>
          <w:szCs w:val="22"/>
          <w:lang w:val="sr-Latn-ME"/>
        </w:rPr>
        <w:t> 0,017). Poboljšanja u ključnim mjerilima aktivnosti bolesti zabilježena su na prvom kontrolnom pregledu nakon početne primjene lijeka Simponi (4. nedjelje) i održala su se do 24. nedjelje. Među pacijentima koju su bili uključeni u studiju i liječeni lijekom Simponi, zabilježene su slične stope promjena u odnosu na početne vrijednosti BASDAI od 24. nedjelje do kraja 256. nedjelje. Kod pacijenata je zabilježena konzistentna efikasnost bez obzira na DMARD terapiju (MTX, sulfasalazin i/ili hidroksihlorohin), status antigena HLA</w:t>
      </w:r>
      <w:r w:rsidRPr="00DF79AE">
        <w:rPr>
          <w:sz w:val="22"/>
          <w:szCs w:val="22"/>
          <w:lang w:val="sr-Latn-ME"/>
        </w:rPr>
        <w:noBreakHyphen/>
        <w:t>B27, ili početnog nivoa CRP, kako je procijenjeno odgovorima ASAS 20 u 14. nedjelji.</w:t>
      </w:r>
    </w:p>
    <w:p w14:paraId="4B0A67B5" w14:textId="77777777" w:rsidR="000B2A5C" w:rsidRPr="00DF79AE" w:rsidRDefault="000B2A5C" w:rsidP="000B2A5C">
      <w:pPr>
        <w:tabs>
          <w:tab w:val="left" w:pos="284"/>
        </w:tabs>
        <w:ind w:right="231"/>
        <w:jc w:val="both"/>
        <w:rPr>
          <w:sz w:val="22"/>
          <w:szCs w:val="22"/>
          <w:lang w:val="sr-Latn-ME"/>
        </w:rPr>
      </w:pPr>
    </w:p>
    <w:p w14:paraId="5C0B3369" w14:textId="0467FA04" w:rsidR="000B2A5C" w:rsidRPr="00DF79AE" w:rsidRDefault="000B2A5C" w:rsidP="000B2A5C">
      <w:pPr>
        <w:tabs>
          <w:tab w:val="left" w:pos="284"/>
        </w:tabs>
        <w:autoSpaceDE w:val="0"/>
        <w:autoSpaceDN w:val="0"/>
        <w:adjustRightInd w:val="0"/>
        <w:jc w:val="both"/>
        <w:rPr>
          <w:sz w:val="22"/>
          <w:szCs w:val="22"/>
          <w:lang w:val="sr-Latn-ME"/>
        </w:rPr>
      </w:pPr>
      <w:r w:rsidRPr="00DF79AE">
        <w:rPr>
          <w:sz w:val="22"/>
          <w:szCs w:val="22"/>
          <w:lang w:val="sr-Latn-ME"/>
        </w:rPr>
        <w:t>Liječenje lijekom Simponi dovelo je do značajnog poboljšanja fizičke funkcije, procijenjene promjenama u odnosu na početne vrijednosti Bath indeksa funkcije u ankilozirajućem spondilitisu</w:t>
      </w:r>
      <w:r w:rsidRPr="00DF79AE">
        <w:rPr>
          <w:bCs/>
          <w:sz w:val="22"/>
          <w:szCs w:val="22"/>
          <w:lang w:val="sr-Latn-ME"/>
        </w:rPr>
        <w:t xml:space="preserve"> (BASFI) u 14. i 24. nedjelji. </w:t>
      </w:r>
      <w:r w:rsidRPr="00DF79AE">
        <w:rPr>
          <w:sz w:val="22"/>
          <w:szCs w:val="22"/>
          <w:lang w:val="sr-Latn-ME"/>
        </w:rPr>
        <w:t xml:space="preserve">Zdravstveni aspekt kvaliteta života, mjereno sabiranjem bodova za fizičku komponentu upitnika SF-36, takođe je bio značajno poboljšan u 14. i 24. nedjelji. Među pacijentima </w:t>
      </w:r>
      <w:r w:rsidRPr="00DF79AE">
        <w:rPr>
          <w:sz w:val="22"/>
          <w:szCs w:val="22"/>
          <w:lang w:val="sr-Latn-ME"/>
        </w:rPr>
        <w:lastRenderedPageBreak/>
        <w:t>koji su ostali uključeni u studiju i liječeni lijekom Simponi, poboljšanja fizičke komponente i zdravstvenog aspekta kvaliteta života su bili slični od 24. do kraja 256. nedjelje.</w:t>
      </w:r>
    </w:p>
    <w:p w14:paraId="06668770" w14:textId="77A4BA1B" w:rsidR="00873496" w:rsidRPr="00873496" w:rsidRDefault="00873496" w:rsidP="00873496">
      <w:pPr>
        <w:autoSpaceDE w:val="0"/>
        <w:autoSpaceDN w:val="0"/>
        <w:adjustRightInd w:val="0"/>
        <w:jc w:val="both"/>
        <w:rPr>
          <w:i/>
          <w:sz w:val="22"/>
          <w:szCs w:val="22"/>
          <w:lang w:val="hr-HR"/>
        </w:rPr>
      </w:pPr>
      <w:r>
        <w:rPr>
          <w:i/>
          <w:sz w:val="22"/>
          <w:szCs w:val="22"/>
          <w:lang w:val="sr-Latn-ME"/>
        </w:rPr>
        <w:t>A</w:t>
      </w:r>
      <w:r w:rsidR="000B2A5C" w:rsidRPr="00DF79AE">
        <w:rPr>
          <w:i/>
          <w:sz w:val="22"/>
          <w:szCs w:val="22"/>
          <w:lang w:val="sr-Latn-ME"/>
        </w:rPr>
        <w:t>ksijalni spondiloartritis</w:t>
      </w:r>
      <w:r>
        <w:rPr>
          <w:i/>
          <w:sz w:val="22"/>
          <w:szCs w:val="22"/>
          <w:lang w:val="sr-Latn-ME"/>
        </w:rPr>
        <w:t xml:space="preserve"> </w:t>
      </w:r>
      <w:r w:rsidRPr="00873496">
        <w:rPr>
          <w:i/>
          <w:sz w:val="22"/>
          <w:szCs w:val="22"/>
          <w:lang w:val="hr-HR"/>
        </w:rPr>
        <w:t>bez radiografskog dokaza</w:t>
      </w:r>
    </w:p>
    <w:p w14:paraId="266682BF" w14:textId="77777777" w:rsidR="00873496" w:rsidRPr="00873496" w:rsidRDefault="00873496" w:rsidP="00873496">
      <w:pPr>
        <w:autoSpaceDE w:val="0"/>
        <w:autoSpaceDN w:val="0"/>
        <w:adjustRightInd w:val="0"/>
        <w:jc w:val="both"/>
        <w:rPr>
          <w:i/>
          <w:sz w:val="22"/>
          <w:szCs w:val="22"/>
        </w:rPr>
      </w:pPr>
    </w:p>
    <w:p w14:paraId="45B28F8F" w14:textId="77777777" w:rsidR="00873496" w:rsidRPr="00A67A74" w:rsidRDefault="00873496" w:rsidP="00873496">
      <w:pPr>
        <w:autoSpaceDE w:val="0"/>
        <w:autoSpaceDN w:val="0"/>
        <w:adjustRightInd w:val="0"/>
        <w:jc w:val="both"/>
        <w:rPr>
          <w:iCs/>
          <w:sz w:val="22"/>
          <w:szCs w:val="22"/>
        </w:rPr>
      </w:pPr>
      <w:r w:rsidRPr="00A67A74">
        <w:rPr>
          <w:iCs/>
          <w:sz w:val="22"/>
          <w:szCs w:val="22"/>
        </w:rPr>
        <w:t>GO</w:t>
      </w:r>
      <w:r w:rsidRPr="00A67A74">
        <w:rPr>
          <w:iCs/>
          <w:sz w:val="22"/>
          <w:szCs w:val="22"/>
        </w:rPr>
        <w:noBreakHyphen/>
        <w:t>AHEAD</w:t>
      </w:r>
    </w:p>
    <w:p w14:paraId="4DE4AA83" w14:textId="1739DD45" w:rsidR="000B2A5C" w:rsidRPr="00DF79AE" w:rsidRDefault="000B2A5C" w:rsidP="000B2A5C">
      <w:pPr>
        <w:tabs>
          <w:tab w:val="left" w:pos="284"/>
        </w:tabs>
        <w:autoSpaceDE w:val="0"/>
        <w:autoSpaceDN w:val="0"/>
        <w:adjustRightInd w:val="0"/>
        <w:jc w:val="both"/>
        <w:rPr>
          <w:sz w:val="22"/>
          <w:szCs w:val="22"/>
          <w:lang w:val="sr-Latn-ME"/>
        </w:rPr>
      </w:pPr>
      <w:r w:rsidRPr="00DF79AE">
        <w:rPr>
          <w:sz w:val="22"/>
          <w:szCs w:val="22"/>
          <w:lang w:val="sr-Latn-ME"/>
        </w:rPr>
        <w:t xml:space="preserve">Bezbjednost i efikasnost lijeka Simponi ispitana je u multicentričnoj, randomizovanoj, dvostruko-slijepoj, placebo kontrolisanoj studiji (GO-AHEAD) kod 197 odraslih pacijenata sa teškim aktivnim nr-Axial SpA (definisano kao oni pacijenti koji zadovoljavaju kriterijum za aksijalni spondiloartritis u ASAS klasifikaciji ali ne zadovoljavaju New York kriterijum za ankilozirajući spondiloartritis). Pacijenti uključeni u ovu studiju imali su aktivnu bolest (definisano kao BASDAI ≥4 i VAS (Visual Analogue Scale) za ukupni bol u leđima ≥4, svaki na skali do 0 do 10 cm), uprkos trenutnoj ili prethodnoj terapiji NSAIL, i koji prethodno nijesu bili na terapiji biološkim ljekovima uključujuči anti-TNF terapiju. Pacijenti su randomizovani da primaju placebo ili Simponi 50 mg subkutano svake 4 nedjelje. U 16-toj nedjelji, pacijenti su uključeni u otvoreni period studije u kome su svi pacijenti primali 50 mg lijeka Simponi subkutano svake 4 nedjelje do 48. nedjelje sa procjenom efikasnosti izvršenoj tokom 52. nedjelje i praćenjem bezbjednosnog profila tokom 60. nedjelje.  </w:t>
      </w:r>
      <w:r w:rsidRPr="00DF79AE">
        <w:rPr>
          <w:bCs/>
          <w:sz w:val="22"/>
          <w:szCs w:val="22"/>
          <w:lang w:val="sr-Latn-ME"/>
        </w:rPr>
        <w:t>Približno</w:t>
      </w:r>
      <w:r w:rsidRPr="00DF79AE" w:rsidDel="00E11570">
        <w:rPr>
          <w:sz w:val="22"/>
          <w:szCs w:val="22"/>
          <w:lang w:val="sr-Latn-ME"/>
        </w:rPr>
        <w:t xml:space="preserve"> </w:t>
      </w:r>
      <w:r w:rsidRPr="00DF79AE">
        <w:rPr>
          <w:sz w:val="22"/>
          <w:szCs w:val="22"/>
          <w:lang w:val="sr-Latn-ME"/>
        </w:rPr>
        <w:t xml:space="preserve"> 93% pacijenata koji su primali lijek Simponi na početku ekstenzije otvorene studije (16. nedjelja) su ostali na terapiji do kraja ispitivanja (52. nedjelja). Analize su izvršene za sve liječene pacijente (All Treated, AT, N=197) i pacijente sa objektivnim znacima inflamacije (OSI, Objective Signs of Inflammation, N=158, definisano preko povišenih vrijednosti CRP i/ili potvrđenim sakroilitisom na MRI na početku ispitivanja). Placebo kontrolisani podaci o efikasnosti su sakupljani i analizirani do 16. nedjelje. Primarni </w:t>
      </w:r>
      <w:r w:rsidR="00A06D4D" w:rsidRPr="00A06D4D">
        <w:rPr>
          <w:sz w:val="22"/>
          <w:szCs w:val="22"/>
          <w:lang w:val="sr-Latn-ME"/>
        </w:rPr>
        <w:t xml:space="preserve">parametar praćenja </w:t>
      </w:r>
      <w:r w:rsidRPr="00DF79AE">
        <w:rPr>
          <w:sz w:val="22"/>
          <w:szCs w:val="22"/>
          <w:lang w:val="sr-Latn-ME"/>
        </w:rPr>
        <w:t>studije bio je procent pacijenata koji su postigli ASAS 20 odgovor u 16. nedjelji. Ključni rezultati su prikazani u tabeli 6 i opisani niže u tekstu.</w:t>
      </w:r>
    </w:p>
    <w:p w14:paraId="586E527C" w14:textId="77777777" w:rsidR="000B2A5C" w:rsidRPr="00DF79AE" w:rsidRDefault="000B2A5C" w:rsidP="000B2A5C">
      <w:pPr>
        <w:tabs>
          <w:tab w:val="left" w:pos="284"/>
        </w:tabs>
        <w:autoSpaceDE w:val="0"/>
        <w:autoSpaceDN w:val="0"/>
        <w:adjustRightInd w:val="0"/>
        <w:rPr>
          <w:sz w:val="22"/>
          <w:szCs w:val="22"/>
          <w:lang w:val="sr-Latn-ME"/>
        </w:rPr>
      </w:pPr>
    </w:p>
    <w:p w14:paraId="1B5F324B" w14:textId="77777777" w:rsidR="000B2A5C" w:rsidRPr="00DF79AE" w:rsidRDefault="000B2A5C" w:rsidP="000B2A5C">
      <w:pPr>
        <w:keepNext/>
        <w:autoSpaceDE w:val="0"/>
        <w:autoSpaceDN w:val="0"/>
        <w:adjustRightInd w:val="0"/>
        <w:jc w:val="center"/>
        <w:rPr>
          <w:b/>
          <w:sz w:val="22"/>
          <w:szCs w:val="22"/>
          <w:lang w:val="sr-Latn-ME"/>
        </w:rPr>
      </w:pPr>
      <w:r w:rsidRPr="00DF79AE">
        <w:rPr>
          <w:b/>
          <w:sz w:val="22"/>
          <w:szCs w:val="22"/>
          <w:lang w:val="sr-Latn-ME"/>
        </w:rPr>
        <w:t>Tabela 6</w:t>
      </w:r>
    </w:p>
    <w:p w14:paraId="2E193985" w14:textId="77777777" w:rsidR="000B2A5C" w:rsidRPr="00DF79AE" w:rsidRDefault="000B2A5C" w:rsidP="000B2A5C">
      <w:pPr>
        <w:keepNext/>
        <w:autoSpaceDE w:val="0"/>
        <w:autoSpaceDN w:val="0"/>
        <w:adjustRightInd w:val="0"/>
        <w:jc w:val="center"/>
        <w:rPr>
          <w:b/>
          <w:sz w:val="22"/>
          <w:szCs w:val="22"/>
          <w:lang w:val="sr-Latn-ME"/>
        </w:rPr>
      </w:pPr>
      <w:r w:rsidRPr="00DF79AE">
        <w:rPr>
          <w:b/>
          <w:sz w:val="22"/>
          <w:szCs w:val="22"/>
          <w:lang w:val="sr-Latn-ME"/>
        </w:rPr>
        <w:t>Ključni rezultati efikasnosti iz studije GO-AHEAD u 16. nedjelji</w:t>
      </w:r>
    </w:p>
    <w:p w14:paraId="18C067BB" w14:textId="77777777" w:rsidR="000B2A5C" w:rsidRPr="00DF79AE" w:rsidRDefault="000B2A5C" w:rsidP="000B2A5C">
      <w:pPr>
        <w:keepNext/>
        <w:autoSpaceDE w:val="0"/>
        <w:autoSpaceDN w:val="0"/>
        <w:adjustRightInd w:val="0"/>
        <w:jc w:val="center"/>
        <w:rPr>
          <w:b/>
          <w:sz w:val="22"/>
          <w:szCs w:val="22"/>
          <w:lang w:val="sr-Latn-ME"/>
        </w:rPr>
      </w:pPr>
    </w:p>
    <w:p w14:paraId="28581E31" w14:textId="77777777" w:rsidR="000B2A5C" w:rsidRPr="00DF79AE" w:rsidRDefault="000B2A5C" w:rsidP="000B2A5C">
      <w:pPr>
        <w:keepNext/>
        <w:autoSpaceDE w:val="0"/>
        <w:autoSpaceDN w:val="0"/>
        <w:adjustRightInd w:val="0"/>
        <w:jc w:val="center"/>
        <w:rPr>
          <w:b/>
          <w:sz w:val="22"/>
          <w:szCs w:val="22"/>
          <w:lang w:val="sr-Latn-ME"/>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83"/>
        <w:gridCol w:w="1570"/>
        <w:gridCol w:w="1703"/>
        <w:gridCol w:w="1524"/>
        <w:gridCol w:w="1792"/>
      </w:tblGrid>
      <w:tr w:rsidR="000B2A5C" w:rsidRPr="00DF79AE" w14:paraId="0C6D5365" w14:textId="77777777" w:rsidTr="00BC1FCA">
        <w:trPr>
          <w:cantSplit/>
          <w:jc w:val="center"/>
        </w:trPr>
        <w:tc>
          <w:tcPr>
            <w:tcW w:w="9107" w:type="dxa"/>
            <w:gridSpan w:val="5"/>
          </w:tcPr>
          <w:p w14:paraId="578B0C8D" w14:textId="77777777" w:rsidR="000B2A5C" w:rsidRPr="00DF79AE" w:rsidRDefault="000B2A5C" w:rsidP="00BC1FCA">
            <w:pPr>
              <w:keepNext/>
              <w:autoSpaceDE w:val="0"/>
              <w:autoSpaceDN w:val="0"/>
              <w:adjustRightInd w:val="0"/>
              <w:jc w:val="center"/>
              <w:rPr>
                <w:b/>
                <w:sz w:val="22"/>
                <w:szCs w:val="22"/>
                <w:lang w:val="sr-Latn-ME"/>
              </w:rPr>
            </w:pPr>
            <w:r w:rsidRPr="00DF79AE">
              <w:rPr>
                <w:b/>
                <w:sz w:val="22"/>
                <w:szCs w:val="22"/>
                <w:lang w:val="sr-Latn-ME"/>
              </w:rPr>
              <w:t>Poboljšanje u znacima i simptomima</w:t>
            </w:r>
          </w:p>
        </w:tc>
      </w:tr>
      <w:tr w:rsidR="000B2A5C" w:rsidRPr="00DF79AE" w14:paraId="68D699C1" w14:textId="77777777" w:rsidTr="00BC1FCA">
        <w:trPr>
          <w:cantSplit/>
          <w:jc w:val="center"/>
        </w:trPr>
        <w:tc>
          <w:tcPr>
            <w:tcW w:w="2491" w:type="dxa"/>
            <w:vMerge w:val="restart"/>
          </w:tcPr>
          <w:p w14:paraId="5924F8D2" w14:textId="77777777" w:rsidR="000B2A5C" w:rsidRPr="00DF79AE" w:rsidRDefault="000B2A5C" w:rsidP="00BC1FCA">
            <w:pPr>
              <w:keepNext/>
              <w:autoSpaceDE w:val="0"/>
              <w:autoSpaceDN w:val="0"/>
              <w:adjustRightInd w:val="0"/>
              <w:jc w:val="center"/>
              <w:rPr>
                <w:sz w:val="22"/>
                <w:szCs w:val="22"/>
                <w:lang w:val="sr-Latn-ME"/>
              </w:rPr>
            </w:pPr>
          </w:p>
        </w:tc>
        <w:tc>
          <w:tcPr>
            <w:tcW w:w="3286" w:type="dxa"/>
            <w:gridSpan w:val="2"/>
            <w:vAlign w:val="bottom"/>
          </w:tcPr>
          <w:p w14:paraId="7A6A73CA" w14:textId="77777777" w:rsidR="000B2A5C" w:rsidRPr="00DF79AE" w:rsidRDefault="000B2A5C" w:rsidP="00BC1FCA">
            <w:pPr>
              <w:keepNext/>
              <w:autoSpaceDE w:val="0"/>
              <w:autoSpaceDN w:val="0"/>
              <w:adjustRightInd w:val="0"/>
              <w:jc w:val="center"/>
              <w:rPr>
                <w:sz w:val="22"/>
                <w:szCs w:val="22"/>
                <w:lang w:val="sr-Latn-ME"/>
              </w:rPr>
            </w:pPr>
            <w:r w:rsidRPr="00DF79AE">
              <w:rPr>
                <w:sz w:val="22"/>
                <w:szCs w:val="22"/>
                <w:lang w:val="sr-Latn-ME"/>
              </w:rPr>
              <w:t>Populacija svih liječenih pacijenata (AT)</w:t>
            </w:r>
          </w:p>
        </w:tc>
        <w:tc>
          <w:tcPr>
            <w:tcW w:w="3330" w:type="dxa"/>
            <w:gridSpan w:val="2"/>
            <w:vAlign w:val="bottom"/>
          </w:tcPr>
          <w:p w14:paraId="60E914FA" w14:textId="77777777" w:rsidR="000B2A5C" w:rsidRPr="00DF79AE" w:rsidRDefault="000B2A5C" w:rsidP="00BC1FCA">
            <w:pPr>
              <w:keepNext/>
              <w:autoSpaceDE w:val="0"/>
              <w:autoSpaceDN w:val="0"/>
              <w:adjustRightInd w:val="0"/>
              <w:jc w:val="center"/>
              <w:rPr>
                <w:sz w:val="22"/>
                <w:szCs w:val="22"/>
                <w:lang w:val="sr-Latn-ME"/>
              </w:rPr>
            </w:pPr>
            <w:r w:rsidRPr="00DF79AE">
              <w:rPr>
                <w:sz w:val="22"/>
                <w:szCs w:val="22"/>
                <w:lang w:val="sr-Latn-ME"/>
              </w:rPr>
              <w:t>Populacija sa objektivnim znacima inflamacije (OSI)</w:t>
            </w:r>
          </w:p>
        </w:tc>
      </w:tr>
      <w:tr w:rsidR="000B2A5C" w:rsidRPr="00DF79AE" w14:paraId="5AE0E740" w14:textId="77777777" w:rsidTr="00BC1FCA">
        <w:trPr>
          <w:cantSplit/>
          <w:jc w:val="center"/>
        </w:trPr>
        <w:tc>
          <w:tcPr>
            <w:tcW w:w="2491" w:type="dxa"/>
            <w:vMerge/>
          </w:tcPr>
          <w:p w14:paraId="0BD56047" w14:textId="77777777" w:rsidR="000B2A5C" w:rsidRPr="00DF79AE" w:rsidRDefault="000B2A5C" w:rsidP="00BC1FCA">
            <w:pPr>
              <w:keepNext/>
              <w:autoSpaceDE w:val="0"/>
              <w:autoSpaceDN w:val="0"/>
              <w:adjustRightInd w:val="0"/>
              <w:jc w:val="center"/>
              <w:rPr>
                <w:sz w:val="22"/>
                <w:szCs w:val="22"/>
                <w:lang w:val="sr-Latn-ME"/>
              </w:rPr>
            </w:pPr>
          </w:p>
        </w:tc>
        <w:tc>
          <w:tcPr>
            <w:tcW w:w="1576" w:type="dxa"/>
          </w:tcPr>
          <w:p w14:paraId="13DB2B22" w14:textId="77777777" w:rsidR="000B2A5C" w:rsidRPr="00DF79AE" w:rsidRDefault="000B2A5C" w:rsidP="00BC1FCA">
            <w:pPr>
              <w:keepNext/>
              <w:autoSpaceDE w:val="0"/>
              <w:autoSpaceDN w:val="0"/>
              <w:adjustRightInd w:val="0"/>
              <w:jc w:val="center"/>
              <w:rPr>
                <w:sz w:val="22"/>
                <w:szCs w:val="22"/>
                <w:lang w:val="sr-Latn-ME"/>
              </w:rPr>
            </w:pPr>
            <w:r w:rsidRPr="00DF79AE">
              <w:rPr>
                <w:sz w:val="22"/>
                <w:szCs w:val="22"/>
                <w:lang w:val="sr-Latn-ME"/>
              </w:rPr>
              <w:t>Placebo</w:t>
            </w:r>
          </w:p>
        </w:tc>
        <w:tc>
          <w:tcPr>
            <w:tcW w:w="1710" w:type="dxa"/>
          </w:tcPr>
          <w:p w14:paraId="5A1278B0" w14:textId="77777777" w:rsidR="000B2A5C" w:rsidRPr="00DF79AE" w:rsidRDefault="000B2A5C" w:rsidP="00BC1FCA">
            <w:pPr>
              <w:keepNext/>
              <w:autoSpaceDE w:val="0"/>
              <w:autoSpaceDN w:val="0"/>
              <w:adjustRightInd w:val="0"/>
              <w:jc w:val="center"/>
              <w:rPr>
                <w:sz w:val="22"/>
                <w:szCs w:val="22"/>
                <w:lang w:val="sr-Latn-ME"/>
              </w:rPr>
            </w:pPr>
            <w:r w:rsidRPr="00DF79AE">
              <w:rPr>
                <w:sz w:val="22"/>
                <w:szCs w:val="22"/>
                <w:lang w:val="sr-Latn-ME"/>
              </w:rPr>
              <w:t>Simponi 50 mg</w:t>
            </w:r>
          </w:p>
        </w:tc>
        <w:tc>
          <w:tcPr>
            <w:tcW w:w="1530" w:type="dxa"/>
          </w:tcPr>
          <w:p w14:paraId="11ACE0C4" w14:textId="77777777" w:rsidR="000B2A5C" w:rsidRPr="00DF79AE" w:rsidRDefault="000B2A5C" w:rsidP="00BC1FCA">
            <w:pPr>
              <w:keepNext/>
              <w:autoSpaceDE w:val="0"/>
              <w:autoSpaceDN w:val="0"/>
              <w:adjustRightInd w:val="0"/>
              <w:jc w:val="center"/>
              <w:rPr>
                <w:sz w:val="22"/>
                <w:szCs w:val="22"/>
                <w:lang w:val="sr-Latn-ME"/>
              </w:rPr>
            </w:pPr>
            <w:r w:rsidRPr="00DF79AE">
              <w:rPr>
                <w:sz w:val="22"/>
                <w:szCs w:val="22"/>
                <w:lang w:val="sr-Latn-ME"/>
              </w:rPr>
              <w:t>Placebo</w:t>
            </w:r>
          </w:p>
        </w:tc>
        <w:tc>
          <w:tcPr>
            <w:tcW w:w="1800" w:type="dxa"/>
          </w:tcPr>
          <w:p w14:paraId="3037771A" w14:textId="77777777" w:rsidR="000B2A5C" w:rsidRPr="00DF79AE" w:rsidRDefault="000B2A5C" w:rsidP="00BC1FCA">
            <w:pPr>
              <w:keepNext/>
              <w:autoSpaceDE w:val="0"/>
              <w:autoSpaceDN w:val="0"/>
              <w:adjustRightInd w:val="0"/>
              <w:jc w:val="center"/>
              <w:rPr>
                <w:sz w:val="22"/>
                <w:szCs w:val="22"/>
                <w:vertAlign w:val="superscript"/>
                <w:lang w:val="sr-Latn-ME"/>
              </w:rPr>
            </w:pPr>
            <w:r w:rsidRPr="00DF79AE">
              <w:rPr>
                <w:sz w:val="22"/>
                <w:szCs w:val="22"/>
                <w:lang w:val="sr-Latn-ME"/>
              </w:rPr>
              <w:t>Simponi 50 mg</w:t>
            </w:r>
          </w:p>
        </w:tc>
      </w:tr>
      <w:tr w:rsidR="000B2A5C" w:rsidRPr="00DF79AE" w14:paraId="0BB7104C" w14:textId="77777777" w:rsidTr="00BC1FCA">
        <w:trPr>
          <w:cantSplit/>
          <w:jc w:val="center"/>
        </w:trPr>
        <w:tc>
          <w:tcPr>
            <w:tcW w:w="2491" w:type="dxa"/>
            <w:vAlign w:val="center"/>
          </w:tcPr>
          <w:p w14:paraId="0114750B" w14:textId="77777777" w:rsidR="000B2A5C" w:rsidRPr="00DF79AE" w:rsidRDefault="000B2A5C" w:rsidP="00BC1FCA">
            <w:pPr>
              <w:keepNext/>
              <w:autoSpaceDE w:val="0"/>
              <w:autoSpaceDN w:val="0"/>
              <w:adjustRightInd w:val="0"/>
              <w:jc w:val="right"/>
              <w:rPr>
                <w:sz w:val="22"/>
                <w:szCs w:val="22"/>
                <w:vertAlign w:val="superscript"/>
                <w:lang w:val="sr-Latn-ME"/>
              </w:rPr>
            </w:pPr>
            <w:r w:rsidRPr="00DF79AE">
              <w:rPr>
                <w:sz w:val="22"/>
                <w:szCs w:val="22"/>
                <w:lang w:val="sr-Latn-ME"/>
              </w:rPr>
              <w:t>n</w:t>
            </w:r>
            <w:r w:rsidRPr="00DF79AE">
              <w:rPr>
                <w:sz w:val="22"/>
                <w:szCs w:val="22"/>
                <w:vertAlign w:val="superscript"/>
                <w:lang w:val="sr-Latn-ME"/>
              </w:rPr>
              <w:t>a</w:t>
            </w:r>
          </w:p>
        </w:tc>
        <w:tc>
          <w:tcPr>
            <w:tcW w:w="1576" w:type="dxa"/>
            <w:vAlign w:val="center"/>
          </w:tcPr>
          <w:p w14:paraId="08DAE4F7" w14:textId="77777777" w:rsidR="000B2A5C" w:rsidRPr="00DF79AE" w:rsidRDefault="000B2A5C" w:rsidP="00BC1FCA">
            <w:pPr>
              <w:keepNext/>
              <w:autoSpaceDE w:val="0"/>
              <w:autoSpaceDN w:val="0"/>
              <w:adjustRightInd w:val="0"/>
              <w:jc w:val="center"/>
              <w:rPr>
                <w:sz w:val="22"/>
                <w:szCs w:val="22"/>
                <w:lang w:val="sr-Latn-ME"/>
              </w:rPr>
            </w:pPr>
            <w:r w:rsidRPr="00DF79AE">
              <w:rPr>
                <w:sz w:val="22"/>
                <w:szCs w:val="22"/>
                <w:lang w:val="sr-Latn-ME"/>
              </w:rPr>
              <w:t>100</w:t>
            </w:r>
          </w:p>
        </w:tc>
        <w:tc>
          <w:tcPr>
            <w:tcW w:w="1710" w:type="dxa"/>
            <w:vAlign w:val="center"/>
          </w:tcPr>
          <w:p w14:paraId="508E9386" w14:textId="77777777" w:rsidR="000B2A5C" w:rsidRPr="00DF79AE" w:rsidRDefault="000B2A5C" w:rsidP="00BC1FCA">
            <w:pPr>
              <w:keepNext/>
              <w:autoSpaceDE w:val="0"/>
              <w:autoSpaceDN w:val="0"/>
              <w:adjustRightInd w:val="0"/>
              <w:jc w:val="center"/>
              <w:rPr>
                <w:sz w:val="22"/>
                <w:szCs w:val="22"/>
                <w:lang w:val="sr-Latn-ME"/>
              </w:rPr>
            </w:pPr>
            <w:r w:rsidRPr="00DF79AE">
              <w:rPr>
                <w:sz w:val="22"/>
                <w:szCs w:val="22"/>
                <w:lang w:val="sr-Latn-ME"/>
              </w:rPr>
              <w:t>97</w:t>
            </w:r>
          </w:p>
        </w:tc>
        <w:tc>
          <w:tcPr>
            <w:tcW w:w="1530" w:type="dxa"/>
            <w:vAlign w:val="center"/>
          </w:tcPr>
          <w:p w14:paraId="08BE5F13" w14:textId="77777777" w:rsidR="000B2A5C" w:rsidRPr="00DF79AE" w:rsidRDefault="000B2A5C" w:rsidP="00BC1FCA">
            <w:pPr>
              <w:keepNext/>
              <w:autoSpaceDE w:val="0"/>
              <w:autoSpaceDN w:val="0"/>
              <w:adjustRightInd w:val="0"/>
              <w:jc w:val="center"/>
              <w:rPr>
                <w:sz w:val="22"/>
                <w:szCs w:val="22"/>
                <w:lang w:val="sr-Latn-ME"/>
              </w:rPr>
            </w:pPr>
            <w:r w:rsidRPr="00DF79AE">
              <w:rPr>
                <w:sz w:val="22"/>
                <w:szCs w:val="22"/>
                <w:lang w:val="sr-Latn-ME"/>
              </w:rPr>
              <w:t>80</w:t>
            </w:r>
          </w:p>
        </w:tc>
        <w:tc>
          <w:tcPr>
            <w:tcW w:w="1800" w:type="dxa"/>
            <w:vAlign w:val="center"/>
          </w:tcPr>
          <w:p w14:paraId="0A52208A" w14:textId="77777777" w:rsidR="000B2A5C" w:rsidRPr="00DF79AE" w:rsidRDefault="000B2A5C" w:rsidP="00BC1FCA">
            <w:pPr>
              <w:keepNext/>
              <w:autoSpaceDE w:val="0"/>
              <w:autoSpaceDN w:val="0"/>
              <w:adjustRightInd w:val="0"/>
              <w:jc w:val="center"/>
              <w:rPr>
                <w:sz w:val="22"/>
                <w:szCs w:val="22"/>
                <w:lang w:val="sr-Latn-ME"/>
              </w:rPr>
            </w:pPr>
            <w:r w:rsidRPr="00DF79AE">
              <w:rPr>
                <w:sz w:val="22"/>
                <w:szCs w:val="22"/>
                <w:lang w:val="sr-Latn-ME"/>
              </w:rPr>
              <w:t>78</w:t>
            </w:r>
          </w:p>
        </w:tc>
      </w:tr>
      <w:tr w:rsidR="000B2A5C" w:rsidRPr="00DF79AE" w14:paraId="52020EED" w14:textId="77777777" w:rsidTr="00BC1FCA">
        <w:trPr>
          <w:cantSplit/>
          <w:jc w:val="center"/>
        </w:trPr>
        <w:tc>
          <w:tcPr>
            <w:tcW w:w="9107" w:type="dxa"/>
            <w:gridSpan w:val="5"/>
            <w:vAlign w:val="center"/>
          </w:tcPr>
          <w:p w14:paraId="08F8F600" w14:textId="77777777" w:rsidR="000B2A5C" w:rsidRPr="00DF79AE" w:rsidRDefault="000B2A5C" w:rsidP="00BC1FCA">
            <w:pPr>
              <w:keepNext/>
              <w:autoSpaceDE w:val="0"/>
              <w:autoSpaceDN w:val="0"/>
              <w:adjustRightInd w:val="0"/>
              <w:rPr>
                <w:b/>
                <w:sz w:val="22"/>
                <w:szCs w:val="22"/>
                <w:lang w:val="sr-Latn-ME"/>
              </w:rPr>
            </w:pPr>
            <w:r w:rsidRPr="00DF79AE">
              <w:rPr>
                <w:b/>
                <w:bCs/>
                <w:sz w:val="22"/>
                <w:szCs w:val="22"/>
                <w:lang w:val="sr-Latn-ME"/>
              </w:rPr>
              <w:t>Pacijenti koji su odgovorili na liječenje, % pacijenata</w:t>
            </w:r>
          </w:p>
        </w:tc>
      </w:tr>
      <w:tr w:rsidR="000B2A5C" w:rsidRPr="00DF79AE" w14:paraId="4FDA57E8" w14:textId="77777777" w:rsidTr="00BC1FCA">
        <w:trPr>
          <w:cantSplit/>
          <w:jc w:val="center"/>
        </w:trPr>
        <w:tc>
          <w:tcPr>
            <w:tcW w:w="2491" w:type="dxa"/>
            <w:vAlign w:val="bottom"/>
          </w:tcPr>
          <w:p w14:paraId="34038B64" w14:textId="77777777" w:rsidR="000B2A5C" w:rsidRPr="00DF79AE" w:rsidRDefault="000B2A5C" w:rsidP="00BC1FCA">
            <w:pPr>
              <w:autoSpaceDE w:val="0"/>
              <w:autoSpaceDN w:val="0"/>
              <w:adjustRightInd w:val="0"/>
              <w:rPr>
                <w:sz w:val="22"/>
                <w:szCs w:val="22"/>
                <w:lang w:val="sr-Latn-ME"/>
              </w:rPr>
            </w:pPr>
            <w:r w:rsidRPr="00DF79AE">
              <w:rPr>
                <w:sz w:val="22"/>
                <w:szCs w:val="22"/>
                <w:lang w:val="sr-Latn-ME"/>
              </w:rPr>
              <w:t>ASAS 20</w:t>
            </w:r>
          </w:p>
        </w:tc>
        <w:tc>
          <w:tcPr>
            <w:tcW w:w="1576" w:type="dxa"/>
            <w:vAlign w:val="bottom"/>
          </w:tcPr>
          <w:p w14:paraId="07074762" w14:textId="77777777" w:rsidR="000B2A5C" w:rsidRPr="00DF79AE" w:rsidRDefault="000B2A5C" w:rsidP="00BC1FCA">
            <w:pPr>
              <w:autoSpaceDE w:val="0"/>
              <w:autoSpaceDN w:val="0"/>
              <w:adjustRightInd w:val="0"/>
              <w:jc w:val="center"/>
              <w:rPr>
                <w:sz w:val="22"/>
                <w:szCs w:val="22"/>
                <w:lang w:val="sr-Latn-ME"/>
              </w:rPr>
            </w:pPr>
            <w:r w:rsidRPr="00DF79AE">
              <w:rPr>
                <w:sz w:val="22"/>
                <w:szCs w:val="22"/>
                <w:lang w:val="sr-Latn-ME"/>
              </w:rPr>
              <w:t>40%</w:t>
            </w:r>
          </w:p>
        </w:tc>
        <w:tc>
          <w:tcPr>
            <w:tcW w:w="1710" w:type="dxa"/>
            <w:vAlign w:val="bottom"/>
          </w:tcPr>
          <w:p w14:paraId="3D4A3C17" w14:textId="77777777" w:rsidR="000B2A5C" w:rsidRPr="00DF79AE" w:rsidRDefault="000B2A5C" w:rsidP="00BC1FCA">
            <w:pPr>
              <w:autoSpaceDE w:val="0"/>
              <w:autoSpaceDN w:val="0"/>
              <w:adjustRightInd w:val="0"/>
              <w:jc w:val="center"/>
              <w:rPr>
                <w:sz w:val="22"/>
                <w:szCs w:val="22"/>
                <w:lang w:val="sr-Latn-ME"/>
              </w:rPr>
            </w:pPr>
            <w:r w:rsidRPr="00DF79AE">
              <w:rPr>
                <w:sz w:val="22"/>
                <w:szCs w:val="22"/>
                <w:lang w:val="sr-Latn-ME"/>
              </w:rPr>
              <w:t>71%**</w:t>
            </w:r>
          </w:p>
        </w:tc>
        <w:tc>
          <w:tcPr>
            <w:tcW w:w="1530" w:type="dxa"/>
            <w:vAlign w:val="bottom"/>
          </w:tcPr>
          <w:p w14:paraId="63F00EC0" w14:textId="77777777" w:rsidR="000B2A5C" w:rsidRPr="00DF79AE" w:rsidRDefault="000B2A5C" w:rsidP="00BC1FCA">
            <w:pPr>
              <w:autoSpaceDE w:val="0"/>
              <w:autoSpaceDN w:val="0"/>
              <w:adjustRightInd w:val="0"/>
              <w:jc w:val="center"/>
              <w:rPr>
                <w:sz w:val="22"/>
                <w:szCs w:val="22"/>
                <w:lang w:val="sr-Latn-ME"/>
              </w:rPr>
            </w:pPr>
            <w:r w:rsidRPr="00DF79AE">
              <w:rPr>
                <w:sz w:val="22"/>
                <w:szCs w:val="22"/>
                <w:lang w:val="sr-Latn-ME"/>
              </w:rPr>
              <w:t>38%</w:t>
            </w:r>
          </w:p>
        </w:tc>
        <w:tc>
          <w:tcPr>
            <w:tcW w:w="1800" w:type="dxa"/>
            <w:vAlign w:val="bottom"/>
          </w:tcPr>
          <w:p w14:paraId="0B72D822" w14:textId="77777777" w:rsidR="000B2A5C" w:rsidRPr="00DF79AE" w:rsidRDefault="000B2A5C" w:rsidP="00BC1FCA">
            <w:pPr>
              <w:autoSpaceDE w:val="0"/>
              <w:autoSpaceDN w:val="0"/>
              <w:adjustRightInd w:val="0"/>
              <w:jc w:val="center"/>
              <w:rPr>
                <w:sz w:val="22"/>
                <w:szCs w:val="22"/>
                <w:lang w:val="sr-Latn-ME"/>
              </w:rPr>
            </w:pPr>
            <w:r w:rsidRPr="00DF79AE">
              <w:rPr>
                <w:sz w:val="22"/>
                <w:szCs w:val="22"/>
                <w:lang w:val="sr-Latn-ME"/>
              </w:rPr>
              <w:t>77%**</w:t>
            </w:r>
          </w:p>
        </w:tc>
      </w:tr>
      <w:tr w:rsidR="000B2A5C" w:rsidRPr="00DF79AE" w14:paraId="561D1158" w14:textId="77777777" w:rsidTr="00BC1FCA">
        <w:trPr>
          <w:cantSplit/>
          <w:jc w:val="center"/>
        </w:trPr>
        <w:tc>
          <w:tcPr>
            <w:tcW w:w="2491" w:type="dxa"/>
            <w:vAlign w:val="bottom"/>
          </w:tcPr>
          <w:p w14:paraId="066B4B08" w14:textId="77777777" w:rsidR="000B2A5C" w:rsidRPr="00DF79AE" w:rsidRDefault="000B2A5C" w:rsidP="00BC1FCA">
            <w:pPr>
              <w:autoSpaceDE w:val="0"/>
              <w:autoSpaceDN w:val="0"/>
              <w:adjustRightInd w:val="0"/>
              <w:rPr>
                <w:sz w:val="22"/>
                <w:szCs w:val="22"/>
                <w:lang w:val="sr-Latn-ME"/>
              </w:rPr>
            </w:pPr>
            <w:r w:rsidRPr="00DF79AE">
              <w:rPr>
                <w:sz w:val="22"/>
                <w:szCs w:val="22"/>
                <w:lang w:val="sr-Latn-ME"/>
              </w:rPr>
              <w:t>ASAS 40</w:t>
            </w:r>
          </w:p>
        </w:tc>
        <w:tc>
          <w:tcPr>
            <w:tcW w:w="1576" w:type="dxa"/>
            <w:vAlign w:val="bottom"/>
          </w:tcPr>
          <w:p w14:paraId="5D2A2D06" w14:textId="77777777" w:rsidR="000B2A5C" w:rsidRPr="00DF79AE" w:rsidRDefault="000B2A5C" w:rsidP="00BC1FCA">
            <w:pPr>
              <w:autoSpaceDE w:val="0"/>
              <w:autoSpaceDN w:val="0"/>
              <w:adjustRightInd w:val="0"/>
              <w:jc w:val="center"/>
              <w:rPr>
                <w:sz w:val="22"/>
                <w:szCs w:val="22"/>
                <w:lang w:val="sr-Latn-ME"/>
              </w:rPr>
            </w:pPr>
            <w:r w:rsidRPr="00DF79AE">
              <w:rPr>
                <w:sz w:val="22"/>
                <w:szCs w:val="22"/>
                <w:lang w:val="sr-Latn-ME"/>
              </w:rPr>
              <w:t>23%</w:t>
            </w:r>
          </w:p>
        </w:tc>
        <w:tc>
          <w:tcPr>
            <w:tcW w:w="1710" w:type="dxa"/>
            <w:vAlign w:val="bottom"/>
          </w:tcPr>
          <w:p w14:paraId="360E2515" w14:textId="77777777" w:rsidR="000B2A5C" w:rsidRPr="00DF79AE" w:rsidRDefault="000B2A5C" w:rsidP="00BC1FCA">
            <w:pPr>
              <w:autoSpaceDE w:val="0"/>
              <w:autoSpaceDN w:val="0"/>
              <w:adjustRightInd w:val="0"/>
              <w:jc w:val="center"/>
              <w:rPr>
                <w:sz w:val="22"/>
                <w:szCs w:val="22"/>
                <w:lang w:val="sr-Latn-ME"/>
              </w:rPr>
            </w:pPr>
            <w:r w:rsidRPr="00DF79AE">
              <w:rPr>
                <w:sz w:val="22"/>
                <w:szCs w:val="22"/>
                <w:lang w:val="sr-Latn-ME"/>
              </w:rPr>
              <w:t>57%**</w:t>
            </w:r>
          </w:p>
        </w:tc>
        <w:tc>
          <w:tcPr>
            <w:tcW w:w="1530" w:type="dxa"/>
            <w:vAlign w:val="bottom"/>
          </w:tcPr>
          <w:p w14:paraId="57B171AA" w14:textId="77777777" w:rsidR="000B2A5C" w:rsidRPr="00DF79AE" w:rsidRDefault="000B2A5C" w:rsidP="00BC1FCA">
            <w:pPr>
              <w:autoSpaceDE w:val="0"/>
              <w:autoSpaceDN w:val="0"/>
              <w:adjustRightInd w:val="0"/>
              <w:jc w:val="center"/>
              <w:rPr>
                <w:sz w:val="22"/>
                <w:szCs w:val="22"/>
                <w:lang w:val="sr-Latn-ME"/>
              </w:rPr>
            </w:pPr>
            <w:r w:rsidRPr="00DF79AE">
              <w:rPr>
                <w:sz w:val="22"/>
                <w:szCs w:val="22"/>
                <w:lang w:val="sr-Latn-ME"/>
              </w:rPr>
              <w:t>23%</w:t>
            </w:r>
          </w:p>
        </w:tc>
        <w:tc>
          <w:tcPr>
            <w:tcW w:w="1800" w:type="dxa"/>
            <w:vAlign w:val="bottom"/>
          </w:tcPr>
          <w:p w14:paraId="4D627B32" w14:textId="77777777" w:rsidR="000B2A5C" w:rsidRPr="00DF79AE" w:rsidRDefault="000B2A5C" w:rsidP="00BC1FCA">
            <w:pPr>
              <w:autoSpaceDE w:val="0"/>
              <w:autoSpaceDN w:val="0"/>
              <w:adjustRightInd w:val="0"/>
              <w:jc w:val="center"/>
              <w:rPr>
                <w:sz w:val="22"/>
                <w:szCs w:val="22"/>
                <w:lang w:val="sr-Latn-ME"/>
              </w:rPr>
            </w:pPr>
            <w:r w:rsidRPr="00DF79AE">
              <w:rPr>
                <w:sz w:val="22"/>
                <w:szCs w:val="22"/>
                <w:lang w:val="sr-Latn-ME"/>
              </w:rPr>
              <w:t>60%**</w:t>
            </w:r>
          </w:p>
        </w:tc>
      </w:tr>
      <w:tr w:rsidR="000B2A5C" w:rsidRPr="00DF79AE" w14:paraId="730E1CA8" w14:textId="77777777" w:rsidTr="00BC1FCA">
        <w:trPr>
          <w:cantSplit/>
          <w:jc w:val="center"/>
        </w:trPr>
        <w:tc>
          <w:tcPr>
            <w:tcW w:w="2491" w:type="dxa"/>
            <w:vAlign w:val="bottom"/>
          </w:tcPr>
          <w:p w14:paraId="342F3130" w14:textId="77777777" w:rsidR="000B2A5C" w:rsidRPr="00DF79AE" w:rsidRDefault="000B2A5C" w:rsidP="00BC1FCA">
            <w:pPr>
              <w:autoSpaceDE w:val="0"/>
              <w:autoSpaceDN w:val="0"/>
              <w:adjustRightInd w:val="0"/>
              <w:rPr>
                <w:sz w:val="22"/>
                <w:szCs w:val="22"/>
                <w:vertAlign w:val="superscript"/>
                <w:lang w:val="sr-Latn-ME"/>
              </w:rPr>
            </w:pPr>
            <w:r w:rsidRPr="00DF79AE">
              <w:rPr>
                <w:sz w:val="22"/>
                <w:szCs w:val="22"/>
                <w:lang w:val="sr-Latn-ME"/>
              </w:rPr>
              <w:t>ASAS 5/6</w:t>
            </w:r>
            <w:r w:rsidRPr="00DF79AE">
              <w:rPr>
                <w:sz w:val="22"/>
                <w:szCs w:val="22"/>
                <w:vertAlign w:val="superscript"/>
                <w:lang w:val="sr-Latn-ME"/>
              </w:rPr>
              <w:t xml:space="preserve"> </w:t>
            </w:r>
          </w:p>
        </w:tc>
        <w:tc>
          <w:tcPr>
            <w:tcW w:w="1576" w:type="dxa"/>
            <w:vAlign w:val="bottom"/>
          </w:tcPr>
          <w:p w14:paraId="117EDE93" w14:textId="77777777" w:rsidR="000B2A5C" w:rsidRPr="00DF79AE" w:rsidRDefault="000B2A5C" w:rsidP="00BC1FCA">
            <w:pPr>
              <w:autoSpaceDE w:val="0"/>
              <w:autoSpaceDN w:val="0"/>
              <w:adjustRightInd w:val="0"/>
              <w:jc w:val="center"/>
              <w:rPr>
                <w:sz w:val="22"/>
                <w:szCs w:val="22"/>
                <w:lang w:val="sr-Latn-ME"/>
              </w:rPr>
            </w:pPr>
            <w:r w:rsidRPr="00DF79AE">
              <w:rPr>
                <w:sz w:val="22"/>
                <w:szCs w:val="22"/>
                <w:lang w:val="sr-Latn-ME"/>
              </w:rPr>
              <w:t>23%</w:t>
            </w:r>
          </w:p>
        </w:tc>
        <w:tc>
          <w:tcPr>
            <w:tcW w:w="1710" w:type="dxa"/>
            <w:vAlign w:val="bottom"/>
          </w:tcPr>
          <w:p w14:paraId="4B2D629A" w14:textId="77777777" w:rsidR="000B2A5C" w:rsidRPr="00DF79AE" w:rsidRDefault="000B2A5C" w:rsidP="00BC1FCA">
            <w:pPr>
              <w:autoSpaceDE w:val="0"/>
              <w:autoSpaceDN w:val="0"/>
              <w:adjustRightInd w:val="0"/>
              <w:jc w:val="center"/>
              <w:rPr>
                <w:sz w:val="22"/>
                <w:szCs w:val="22"/>
                <w:lang w:val="sr-Latn-ME"/>
              </w:rPr>
            </w:pPr>
            <w:r w:rsidRPr="00DF79AE">
              <w:rPr>
                <w:sz w:val="22"/>
                <w:szCs w:val="22"/>
                <w:lang w:val="sr-Latn-ME"/>
              </w:rPr>
              <w:t>54%**</w:t>
            </w:r>
          </w:p>
        </w:tc>
        <w:tc>
          <w:tcPr>
            <w:tcW w:w="1530" w:type="dxa"/>
            <w:vAlign w:val="bottom"/>
          </w:tcPr>
          <w:p w14:paraId="272C8670" w14:textId="77777777" w:rsidR="000B2A5C" w:rsidRPr="00DF79AE" w:rsidRDefault="000B2A5C" w:rsidP="00BC1FCA">
            <w:pPr>
              <w:autoSpaceDE w:val="0"/>
              <w:autoSpaceDN w:val="0"/>
              <w:adjustRightInd w:val="0"/>
              <w:jc w:val="center"/>
              <w:rPr>
                <w:sz w:val="22"/>
                <w:szCs w:val="22"/>
                <w:lang w:val="sr-Latn-ME"/>
              </w:rPr>
            </w:pPr>
            <w:r w:rsidRPr="00DF79AE">
              <w:rPr>
                <w:sz w:val="22"/>
                <w:szCs w:val="22"/>
                <w:lang w:val="sr-Latn-ME"/>
              </w:rPr>
              <w:t>23%</w:t>
            </w:r>
          </w:p>
        </w:tc>
        <w:tc>
          <w:tcPr>
            <w:tcW w:w="1800" w:type="dxa"/>
            <w:vAlign w:val="bottom"/>
          </w:tcPr>
          <w:p w14:paraId="722E3E04" w14:textId="77777777" w:rsidR="000B2A5C" w:rsidRPr="00DF79AE" w:rsidRDefault="000B2A5C" w:rsidP="00BC1FCA">
            <w:pPr>
              <w:autoSpaceDE w:val="0"/>
              <w:autoSpaceDN w:val="0"/>
              <w:adjustRightInd w:val="0"/>
              <w:jc w:val="center"/>
              <w:rPr>
                <w:sz w:val="22"/>
                <w:szCs w:val="22"/>
                <w:lang w:val="sr-Latn-ME"/>
              </w:rPr>
            </w:pPr>
            <w:r w:rsidRPr="00DF79AE">
              <w:rPr>
                <w:sz w:val="22"/>
                <w:szCs w:val="22"/>
                <w:lang w:val="sr-Latn-ME"/>
              </w:rPr>
              <w:t>63%**</w:t>
            </w:r>
          </w:p>
        </w:tc>
      </w:tr>
      <w:tr w:rsidR="000B2A5C" w:rsidRPr="00DF79AE" w14:paraId="4B4A11C7" w14:textId="77777777" w:rsidTr="00BC1FCA">
        <w:trPr>
          <w:cantSplit/>
          <w:jc w:val="center"/>
        </w:trPr>
        <w:tc>
          <w:tcPr>
            <w:tcW w:w="2491" w:type="dxa"/>
            <w:vAlign w:val="bottom"/>
          </w:tcPr>
          <w:p w14:paraId="7F6E46F3" w14:textId="77777777" w:rsidR="000B2A5C" w:rsidRPr="00DF79AE" w:rsidRDefault="000B2A5C" w:rsidP="00BC1FCA">
            <w:pPr>
              <w:autoSpaceDE w:val="0"/>
              <w:autoSpaceDN w:val="0"/>
              <w:adjustRightInd w:val="0"/>
              <w:rPr>
                <w:sz w:val="22"/>
                <w:szCs w:val="22"/>
                <w:lang w:val="sr-Latn-ME"/>
              </w:rPr>
            </w:pPr>
            <w:r w:rsidRPr="00DF79AE">
              <w:rPr>
                <w:sz w:val="22"/>
                <w:szCs w:val="22"/>
                <w:lang w:val="sr-Latn-ME"/>
              </w:rPr>
              <w:t>ASAS parcijalna remisija</w:t>
            </w:r>
          </w:p>
        </w:tc>
        <w:tc>
          <w:tcPr>
            <w:tcW w:w="1576" w:type="dxa"/>
            <w:vAlign w:val="bottom"/>
          </w:tcPr>
          <w:p w14:paraId="44A4C419" w14:textId="77777777" w:rsidR="000B2A5C" w:rsidRPr="00DF79AE" w:rsidRDefault="000B2A5C" w:rsidP="00BC1FCA">
            <w:pPr>
              <w:autoSpaceDE w:val="0"/>
              <w:autoSpaceDN w:val="0"/>
              <w:adjustRightInd w:val="0"/>
              <w:jc w:val="center"/>
              <w:rPr>
                <w:sz w:val="22"/>
                <w:szCs w:val="22"/>
                <w:lang w:val="sr-Latn-ME"/>
              </w:rPr>
            </w:pPr>
            <w:r w:rsidRPr="00DF79AE">
              <w:rPr>
                <w:sz w:val="22"/>
                <w:szCs w:val="22"/>
                <w:lang w:val="sr-Latn-ME"/>
              </w:rPr>
              <w:t>18%</w:t>
            </w:r>
          </w:p>
        </w:tc>
        <w:tc>
          <w:tcPr>
            <w:tcW w:w="1710" w:type="dxa"/>
            <w:vAlign w:val="bottom"/>
          </w:tcPr>
          <w:p w14:paraId="0003DB9C" w14:textId="77777777" w:rsidR="000B2A5C" w:rsidRPr="00DF79AE" w:rsidRDefault="000B2A5C" w:rsidP="00BC1FCA">
            <w:pPr>
              <w:autoSpaceDE w:val="0"/>
              <w:autoSpaceDN w:val="0"/>
              <w:adjustRightInd w:val="0"/>
              <w:jc w:val="center"/>
              <w:rPr>
                <w:sz w:val="22"/>
                <w:szCs w:val="22"/>
                <w:lang w:val="sr-Latn-ME"/>
              </w:rPr>
            </w:pPr>
            <w:r w:rsidRPr="00DF79AE">
              <w:rPr>
                <w:sz w:val="22"/>
                <w:szCs w:val="22"/>
                <w:lang w:val="sr-Latn-ME"/>
              </w:rPr>
              <w:t>33%*</w:t>
            </w:r>
          </w:p>
        </w:tc>
        <w:tc>
          <w:tcPr>
            <w:tcW w:w="1530" w:type="dxa"/>
            <w:vAlign w:val="bottom"/>
          </w:tcPr>
          <w:p w14:paraId="2F0CB20F" w14:textId="77777777" w:rsidR="000B2A5C" w:rsidRPr="00DF79AE" w:rsidRDefault="000B2A5C" w:rsidP="00BC1FCA">
            <w:pPr>
              <w:autoSpaceDE w:val="0"/>
              <w:autoSpaceDN w:val="0"/>
              <w:adjustRightInd w:val="0"/>
              <w:jc w:val="center"/>
              <w:rPr>
                <w:sz w:val="22"/>
                <w:szCs w:val="22"/>
                <w:lang w:val="sr-Latn-ME"/>
              </w:rPr>
            </w:pPr>
            <w:r w:rsidRPr="00DF79AE">
              <w:rPr>
                <w:sz w:val="22"/>
                <w:szCs w:val="22"/>
                <w:lang w:val="sr-Latn-ME"/>
              </w:rPr>
              <w:t>19%</w:t>
            </w:r>
          </w:p>
        </w:tc>
        <w:tc>
          <w:tcPr>
            <w:tcW w:w="1800" w:type="dxa"/>
            <w:vAlign w:val="bottom"/>
          </w:tcPr>
          <w:p w14:paraId="1517C0BF" w14:textId="77777777" w:rsidR="000B2A5C" w:rsidRPr="00DF79AE" w:rsidRDefault="000B2A5C" w:rsidP="00BC1FCA">
            <w:pPr>
              <w:autoSpaceDE w:val="0"/>
              <w:autoSpaceDN w:val="0"/>
              <w:adjustRightInd w:val="0"/>
              <w:jc w:val="center"/>
              <w:rPr>
                <w:sz w:val="22"/>
                <w:szCs w:val="22"/>
                <w:lang w:val="sr-Latn-ME"/>
              </w:rPr>
            </w:pPr>
            <w:r w:rsidRPr="00DF79AE">
              <w:rPr>
                <w:sz w:val="22"/>
                <w:szCs w:val="22"/>
                <w:lang w:val="sr-Latn-ME"/>
              </w:rPr>
              <w:t>35%*</w:t>
            </w:r>
          </w:p>
        </w:tc>
      </w:tr>
      <w:tr w:rsidR="000B2A5C" w:rsidRPr="00DF79AE" w14:paraId="28CEC250" w14:textId="77777777" w:rsidTr="00BC1FCA">
        <w:trPr>
          <w:cantSplit/>
          <w:jc w:val="center"/>
        </w:trPr>
        <w:tc>
          <w:tcPr>
            <w:tcW w:w="2491" w:type="dxa"/>
            <w:vAlign w:val="bottom"/>
          </w:tcPr>
          <w:p w14:paraId="7398CBD4" w14:textId="77777777" w:rsidR="000B2A5C" w:rsidRPr="00DF79AE" w:rsidRDefault="000B2A5C" w:rsidP="00BC1FCA">
            <w:pPr>
              <w:autoSpaceDE w:val="0"/>
              <w:autoSpaceDN w:val="0"/>
              <w:adjustRightInd w:val="0"/>
              <w:rPr>
                <w:sz w:val="22"/>
                <w:szCs w:val="22"/>
                <w:lang w:val="sr-Latn-ME"/>
              </w:rPr>
            </w:pPr>
            <w:r w:rsidRPr="00DF79AE">
              <w:rPr>
                <w:sz w:val="22"/>
                <w:szCs w:val="22"/>
                <w:lang w:val="sr-Latn-ME"/>
              </w:rPr>
              <w:t>ASDAS-C</w:t>
            </w:r>
            <w:r w:rsidRPr="00DF79AE">
              <w:rPr>
                <w:sz w:val="22"/>
                <w:szCs w:val="22"/>
                <w:vertAlign w:val="superscript"/>
                <w:lang w:val="sr-Latn-ME"/>
              </w:rPr>
              <w:t xml:space="preserve"> b</w:t>
            </w:r>
            <w:r w:rsidRPr="00DF79AE">
              <w:rPr>
                <w:sz w:val="22"/>
                <w:szCs w:val="22"/>
                <w:lang w:val="sr-Latn-ME"/>
              </w:rPr>
              <w:t xml:space="preserve"> &lt; 1,3</w:t>
            </w:r>
            <w:r w:rsidRPr="00DF79AE">
              <w:rPr>
                <w:sz w:val="22"/>
                <w:szCs w:val="22"/>
                <w:vertAlign w:val="superscript"/>
                <w:lang w:val="sr-Latn-ME"/>
              </w:rPr>
              <w:t xml:space="preserve"> </w:t>
            </w:r>
          </w:p>
        </w:tc>
        <w:tc>
          <w:tcPr>
            <w:tcW w:w="1576" w:type="dxa"/>
            <w:vAlign w:val="bottom"/>
          </w:tcPr>
          <w:p w14:paraId="47D085F1" w14:textId="77777777" w:rsidR="000B2A5C" w:rsidRPr="00DF79AE" w:rsidRDefault="000B2A5C" w:rsidP="00BC1FCA">
            <w:pPr>
              <w:autoSpaceDE w:val="0"/>
              <w:autoSpaceDN w:val="0"/>
              <w:adjustRightInd w:val="0"/>
              <w:jc w:val="center"/>
              <w:rPr>
                <w:sz w:val="22"/>
                <w:szCs w:val="22"/>
                <w:lang w:val="sr-Latn-ME"/>
              </w:rPr>
            </w:pPr>
            <w:r w:rsidRPr="00DF79AE">
              <w:rPr>
                <w:sz w:val="22"/>
                <w:szCs w:val="22"/>
                <w:lang w:val="sr-Latn-ME"/>
              </w:rPr>
              <w:t>13%</w:t>
            </w:r>
          </w:p>
        </w:tc>
        <w:tc>
          <w:tcPr>
            <w:tcW w:w="1710" w:type="dxa"/>
            <w:vAlign w:val="bottom"/>
          </w:tcPr>
          <w:p w14:paraId="25AF4731" w14:textId="77777777" w:rsidR="000B2A5C" w:rsidRPr="00DF79AE" w:rsidRDefault="000B2A5C" w:rsidP="00BC1FCA">
            <w:pPr>
              <w:autoSpaceDE w:val="0"/>
              <w:autoSpaceDN w:val="0"/>
              <w:adjustRightInd w:val="0"/>
              <w:jc w:val="center"/>
              <w:rPr>
                <w:sz w:val="22"/>
                <w:szCs w:val="22"/>
                <w:lang w:val="sr-Latn-ME"/>
              </w:rPr>
            </w:pPr>
            <w:r w:rsidRPr="00DF79AE">
              <w:rPr>
                <w:sz w:val="22"/>
                <w:szCs w:val="22"/>
                <w:lang w:val="sr-Latn-ME"/>
              </w:rPr>
              <w:t>33%*</w:t>
            </w:r>
          </w:p>
        </w:tc>
        <w:tc>
          <w:tcPr>
            <w:tcW w:w="1530" w:type="dxa"/>
            <w:vAlign w:val="bottom"/>
          </w:tcPr>
          <w:p w14:paraId="504AF812" w14:textId="77777777" w:rsidR="000B2A5C" w:rsidRPr="00DF79AE" w:rsidRDefault="000B2A5C" w:rsidP="00BC1FCA">
            <w:pPr>
              <w:autoSpaceDE w:val="0"/>
              <w:autoSpaceDN w:val="0"/>
              <w:adjustRightInd w:val="0"/>
              <w:jc w:val="center"/>
              <w:rPr>
                <w:sz w:val="22"/>
                <w:szCs w:val="22"/>
                <w:lang w:val="sr-Latn-ME"/>
              </w:rPr>
            </w:pPr>
            <w:r w:rsidRPr="00DF79AE">
              <w:rPr>
                <w:sz w:val="22"/>
                <w:szCs w:val="22"/>
                <w:lang w:val="sr-Latn-ME"/>
              </w:rPr>
              <w:t>16%</w:t>
            </w:r>
          </w:p>
        </w:tc>
        <w:tc>
          <w:tcPr>
            <w:tcW w:w="1800" w:type="dxa"/>
            <w:vAlign w:val="bottom"/>
          </w:tcPr>
          <w:p w14:paraId="671B9923" w14:textId="77777777" w:rsidR="000B2A5C" w:rsidRPr="00DF79AE" w:rsidRDefault="000B2A5C" w:rsidP="00BC1FCA">
            <w:pPr>
              <w:autoSpaceDE w:val="0"/>
              <w:autoSpaceDN w:val="0"/>
              <w:adjustRightInd w:val="0"/>
              <w:jc w:val="center"/>
              <w:rPr>
                <w:sz w:val="22"/>
                <w:szCs w:val="22"/>
                <w:lang w:val="sr-Latn-ME"/>
              </w:rPr>
            </w:pPr>
            <w:r w:rsidRPr="00DF79AE">
              <w:rPr>
                <w:sz w:val="22"/>
                <w:szCs w:val="22"/>
                <w:lang w:val="sr-Latn-ME"/>
              </w:rPr>
              <w:t>35%*</w:t>
            </w:r>
          </w:p>
        </w:tc>
      </w:tr>
      <w:tr w:rsidR="000B2A5C" w:rsidRPr="00DF79AE" w14:paraId="153F45E6" w14:textId="77777777" w:rsidTr="00BC1FCA">
        <w:trPr>
          <w:cantSplit/>
          <w:jc w:val="center"/>
        </w:trPr>
        <w:tc>
          <w:tcPr>
            <w:tcW w:w="2491" w:type="dxa"/>
            <w:vAlign w:val="bottom"/>
          </w:tcPr>
          <w:p w14:paraId="1F012E70" w14:textId="77777777" w:rsidR="000B2A5C" w:rsidRPr="00DF79AE" w:rsidRDefault="000B2A5C" w:rsidP="00BC1FCA">
            <w:pPr>
              <w:autoSpaceDE w:val="0"/>
              <w:autoSpaceDN w:val="0"/>
              <w:adjustRightInd w:val="0"/>
              <w:rPr>
                <w:sz w:val="22"/>
                <w:szCs w:val="22"/>
                <w:lang w:val="sr-Latn-ME"/>
              </w:rPr>
            </w:pPr>
            <w:r w:rsidRPr="00DF79AE">
              <w:rPr>
                <w:sz w:val="22"/>
                <w:szCs w:val="22"/>
                <w:lang w:val="sr-Latn-ME"/>
              </w:rPr>
              <w:t>BASDAI 50</w:t>
            </w:r>
          </w:p>
        </w:tc>
        <w:tc>
          <w:tcPr>
            <w:tcW w:w="1576" w:type="dxa"/>
            <w:vAlign w:val="bottom"/>
          </w:tcPr>
          <w:p w14:paraId="0B5F3B15" w14:textId="77777777" w:rsidR="000B2A5C" w:rsidRPr="00DF79AE" w:rsidRDefault="000B2A5C" w:rsidP="00BC1FCA">
            <w:pPr>
              <w:autoSpaceDE w:val="0"/>
              <w:autoSpaceDN w:val="0"/>
              <w:adjustRightInd w:val="0"/>
              <w:jc w:val="center"/>
              <w:rPr>
                <w:sz w:val="22"/>
                <w:szCs w:val="22"/>
                <w:lang w:val="sr-Latn-ME"/>
              </w:rPr>
            </w:pPr>
            <w:r w:rsidRPr="00DF79AE">
              <w:rPr>
                <w:sz w:val="22"/>
                <w:szCs w:val="22"/>
                <w:lang w:val="sr-Latn-ME"/>
              </w:rPr>
              <w:t>30%</w:t>
            </w:r>
          </w:p>
        </w:tc>
        <w:tc>
          <w:tcPr>
            <w:tcW w:w="1710" w:type="dxa"/>
            <w:vAlign w:val="bottom"/>
          </w:tcPr>
          <w:p w14:paraId="5F6A578A" w14:textId="77777777" w:rsidR="000B2A5C" w:rsidRPr="00DF79AE" w:rsidRDefault="000B2A5C" w:rsidP="00BC1FCA">
            <w:pPr>
              <w:autoSpaceDE w:val="0"/>
              <w:autoSpaceDN w:val="0"/>
              <w:adjustRightInd w:val="0"/>
              <w:jc w:val="center"/>
              <w:rPr>
                <w:sz w:val="22"/>
                <w:szCs w:val="22"/>
                <w:lang w:val="sr-Latn-ME"/>
              </w:rPr>
            </w:pPr>
            <w:r w:rsidRPr="00DF79AE">
              <w:rPr>
                <w:sz w:val="22"/>
                <w:szCs w:val="22"/>
                <w:lang w:val="sr-Latn-ME"/>
              </w:rPr>
              <w:t>58%**</w:t>
            </w:r>
          </w:p>
        </w:tc>
        <w:tc>
          <w:tcPr>
            <w:tcW w:w="1530" w:type="dxa"/>
            <w:vAlign w:val="bottom"/>
          </w:tcPr>
          <w:p w14:paraId="0DAD2AD8" w14:textId="77777777" w:rsidR="000B2A5C" w:rsidRPr="00DF79AE" w:rsidRDefault="000B2A5C" w:rsidP="00BC1FCA">
            <w:pPr>
              <w:autoSpaceDE w:val="0"/>
              <w:autoSpaceDN w:val="0"/>
              <w:adjustRightInd w:val="0"/>
              <w:jc w:val="center"/>
              <w:rPr>
                <w:sz w:val="22"/>
                <w:szCs w:val="22"/>
                <w:lang w:val="sr-Latn-ME"/>
              </w:rPr>
            </w:pPr>
            <w:r w:rsidRPr="00DF79AE">
              <w:rPr>
                <w:sz w:val="22"/>
                <w:szCs w:val="22"/>
                <w:lang w:val="sr-Latn-ME"/>
              </w:rPr>
              <w:t>29%</w:t>
            </w:r>
          </w:p>
        </w:tc>
        <w:tc>
          <w:tcPr>
            <w:tcW w:w="1800" w:type="dxa"/>
            <w:vAlign w:val="bottom"/>
          </w:tcPr>
          <w:p w14:paraId="47514E8D" w14:textId="77777777" w:rsidR="000B2A5C" w:rsidRPr="00DF79AE" w:rsidRDefault="000B2A5C" w:rsidP="00BC1FCA">
            <w:pPr>
              <w:autoSpaceDE w:val="0"/>
              <w:autoSpaceDN w:val="0"/>
              <w:adjustRightInd w:val="0"/>
              <w:jc w:val="center"/>
              <w:rPr>
                <w:sz w:val="22"/>
                <w:szCs w:val="22"/>
                <w:lang w:val="sr-Latn-ME"/>
              </w:rPr>
            </w:pPr>
            <w:r w:rsidRPr="00DF79AE">
              <w:rPr>
                <w:sz w:val="22"/>
                <w:szCs w:val="22"/>
                <w:lang w:val="sr-Latn-ME"/>
              </w:rPr>
              <w:t>59%**</w:t>
            </w:r>
          </w:p>
        </w:tc>
      </w:tr>
      <w:tr w:rsidR="000B2A5C" w:rsidRPr="00DF79AE" w14:paraId="5F5860BA" w14:textId="77777777" w:rsidTr="00BC1FCA">
        <w:trPr>
          <w:cantSplit/>
          <w:jc w:val="center"/>
        </w:trPr>
        <w:tc>
          <w:tcPr>
            <w:tcW w:w="9107" w:type="dxa"/>
            <w:gridSpan w:val="5"/>
            <w:vAlign w:val="bottom"/>
          </w:tcPr>
          <w:p w14:paraId="376957C1" w14:textId="77777777" w:rsidR="000B2A5C" w:rsidRPr="00DF79AE" w:rsidRDefault="000B2A5C" w:rsidP="00BC1FCA">
            <w:pPr>
              <w:keepNext/>
              <w:autoSpaceDE w:val="0"/>
              <w:autoSpaceDN w:val="0"/>
              <w:adjustRightInd w:val="0"/>
              <w:jc w:val="center"/>
              <w:rPr>
                <w:b/>
                <w:sz w:val="22"/>
                <w:szCs w:val="22"/>
                <w:lang w:val="sr-Latn-ME"/>
              </w:rPr>
            </w:pPr>
            <w:r w:rsidRPr="00DF79AE">
              <w:rPr>
                <w:b/>
                <w:sz w:val="22"/>
                <w:szCs w:val="22"/>
                <w:lang w:val="sr-Latn-ME"/>
              </w:rPr>
              <w:t>Inhibicija inflamacije u sakroilijačnim zglobovima mjereno preko MRI</w:t>
            </w:r>
          </w:p>
        </w:tc>
      </w:tr>
      <w:tr w:rsidR="000B2A5C" w:rsidRPr="00DF79AE" w14:paraId="27C07FB0" w14:textId="77777777" w:rsidTr="00BC1FCA">
        <w:trPr>
          <w:cantSplit/>
          <w:jc w:val="center"/>
        </w:trPr>
        <w:tc>
          <w:tcPr>
            <w:tcW w:w="2491" w:type="dxa"/>
            <w:vAlign w:val="bottom"/>
          </w:tcPr>
          <w:p w14:paraId="5C83A2B3" w14:textId="77777777" w:rsidR="000B2A5C" w:rsidRPr="00DF79AE" w:rsidRDefault="000B2A5C" w:rsidP="00BC1FCA">
            <w:pPr>
              <w:keepNext/>
              <w:autoSpaceDE w:val="0"/>
              <w:autoSpaceDN w:val="0"/>
              <w:adjustRightInd w:val="0"/>
              <w:jc w:val="center"/>
              <w:rPr>
                <w:sz w:val="22"/>
                <w:szCs w:val="22"/>
                <w:lang w:val="sr-Latn-ME"/>
              </w:rPr>
            </w:pPr>
          </w:p>
        </w:tc>
        <w:tc>
          <w:tcPr>
            <w:tcW w:w="1576" w:type="dxa"/>
            <w:vAlign w:val="bottom"/>
          </w:tcPr>
          <w:p w14:paraId="410592C8" w14:textId="77777777" w:rsidR="000B2A5C" w:rsidRPr="00DF79AE" w:rsidRDefault="000B2A5C" w:rsidP="00BC1FCA">
            <w:pPr>
              <w:keepNext/>
              <w:autoSpaceDE w:val="0"/>
              <w:autoSpaceDN w:val="0"/>
              <w:adjustRightInd w:val="0"/>
              <w:jc w:val="center"/>
              <w:rPr>
                <w:sz w:val="22"/>
                <w:szCs w:val="22"/>
                <w:lang w:val="sr-Latn-ME"/>
              </w:rPr>
            </w:pPr>
            <w:r w:rsidRPr="00DF79AE">
              <w:rPr>
                <w:sz w:val="22"/>
                <w:szCs w:val="22"/>
                <w:lang w:val="sr-Latn-ME"/>
              </w:rPr>
              <w:t>Placebo</w:t>
            </w:r>
          </w:p>
        </w:tc>
        <w:tc>
          <w:tcPr>
            <w:tcW w:w="1710" w:type="dxa"/>
            <w:vAlign w:val="bottom"/>
          </w:tcPr>
          <w:p w14:paraId="0DDCCFC3" w14:textId="77777777" w:rsidR="000B2A5C" w:rsidRPr="00DF79AE" w:rsidRDefault="000B2A5C" w:rsidP="00BC1FCA">
            <w:pPr>
              <w:keepNext/>
              <w:autoSpaceDE w:val="0"/>
              <w:autoSpaceDN w:val="0"/>
              <w:adjustRightInd w:val="0"/>
              <w:jc w:val="center"/>
              <w:rPr>
                <w:sz w:val="22"/>
                <w:szCs w:val="22"/>
                <w:lang w:val="sr-Latn-ME"/>
              </w:rPr>
            </w:pPr>
            <w:r w:rsidRPr="00DF79AE">
              <w:rPr>
                <w:sz w:val="22"/>
                <w:szCs w:val="22"/>
                <w:lang w:val="sr-Latn-ME"/>
              </w:rPr>
              <w:t>Simponi 50 mg</w:t>
            </w:r>
          </w:p>
        </w:tc>
        <w:tc>
          <w:tcPr>
            <w:tcW w:w="1530" w:type="dxa"/>
            <w:vAlign w:val="bottom"/>
          </w:tcPr>
          <w:p w14:paraId="6B1B1BCB" w14:textId="77777777" w:rsidR="000B2A5C" w:rsidRPr="00DF79AE" w:rsidRDefault="000B2A5C" w:rsidP="00BC1FCA">
            <w:pPr>
              <w:keepNext/>
              <w:autoSpaceDE w:val="0"/>
              <w:autoSpaceDN w:val="0"/>
              <w:adjustRightInd w:val="0"/>
              <w:jc w:val="center"/>
              <w:rPr>
                <w:sz w:val="22"/>
                <w:szCs w:val="22"/>
                <w:lang w:val="sr-Latn-ME"/>
              </w:rPr>
            </w:pPr>
            <w:r w:rsidRPr="00DF79AE">
              <w:rPr>
                <w:sz w:val="22"/>
                <w:szCs w:val="22"/>
                <w:lang w:val="sr-Latn-ME"/>
              </w:rPr>
              <w:t>Placebo</w:t>
            </w:r>
          </w:p>
        </w:tc>
        <w:tc>
          <w:tcPr>
            <w:tcW w:w="1800" w:type="dxa"/>
            <w:vAlign w:val="bottom"/>
          </w:tcPr>
          <w:p w14:paraId="0A061E2E" w14:textId="77777777" w:rsidR="000B2A5C" w:rsidRPr="00DF79AE" w:rsidRDefault="000B2A5C" w:rsidP="00BC1FCA">
            <w:pPr>
              <w:keepNext/>
              <w:autoSpaceDE w:val="0"/>
              <w:autoSpaceDN w:val="0"/>
              <w:adjustRightInd w:val="0"/>
              <w:jc w:val="center"/>
              <w:rPr>
                <w:sz w:val="22"/>
                <w:szCs w:val="22"/>
                <w:lang w:val="sr-Latn-ME"/>
              </w:rPr>
            </w:pPr>
            <w:r w:rsidRPr="00DF79AE">
              <w:rPr>
                <w:sz w:val="22"/>
                <w:szCs w:val="22"/>
                <w:lang w:val="sr-Latn-ME"/>
              </w:rPr>
              <w:t>Simponi 50 mg</w:t>
            </w:r>
          </w:p>
        </w:tc>
      </w:tr>
      <w:tr w:rsidR="000B2A5C" w:rsidRPr="00DF79AE" w14:paraId="60B57506" w14:textId="77777777" w:rsidTr="00BC1FCA">
        <w:trPr>
          <w:cantSplit/>
          <w:jc w:val="center"/>
        </w:trPr>
        <w:tc>
          <w:tcPr>
            <w:tcW w:w="2491" w:type="dxa"/>
            <w:vAlign w:val="bottom"/>
          </w:tcPr>
          <w:p w14:paraId="1EEF4686" w14:textId="77777777" w:rsidR="000B2A5C" w:rsidRPr="00DF79AE" w:rsidRDefault="000B2A5C" w:rsidP="00BC1FCA">
            <w:pPr>
              <w:keepNext/>
              <w:autoSpaceDE w:val="0"/>
              <w:autoSpaceDN w:val="0"/>
              <w:adjustRightInd w:val="0"/>
              <w:jc w:val="right"/>
              <w:rPr>
                <w:sz w:val="22"/>
                <w:szCs w:val="22"/>
                <w:vertAlign w:val="superscript"/>
                <w:lang w:val="sr-Latn-ME"/>
              </w:rPr>
            </w:pPr>
            <w:r w:rsidRPr="00DF79AE">
              <w:rPr>
                <w:sz w:val="22"/>
                <w:szCs w:val="22"/>
                <w:lang w:val="sr-Latn-ME"/>
              </w:rPr>
              <w:t xml:space="preserve">n </w:t>
            </w:r>
            <w:r w:rsidRPr="00DF79AE">
              <w:rPr>
                <w:sz w:val="22"/>
                <w:szCs w:val="22"/>
                <w:vertAlign w:val="superscript"/>
                <w:lang w:val="sr-Latn-ME"/>
              </w:rPr>
              <w:t>C</w:t>
            </w:r>
          </w:p>
        </w:tc>
        <w:tc>
          <w:tcPr>
            <w:tcW w:w="1576" w:type="dxa"/>
            <w:vAlign w:val="bottom"/>
          </w:tcPr>
          <w:p w14:paraId="5C715660" w14:textId="77777777" w:rsidR="000B2A5C" w:rsidRPr="00DF79AE" w:rsidRDefault="000B2A5C" w:rsidP="00BC1FCA">
            <w:pPr>
              <w:keepNext/>
              <w:autoSpaceDE w:val="0"/>
              <w:autoSpaceDN w:val="0"/>
              <w:adjustRightInd w:val="0"/>
              <w:jc w:val="center"/>
              <w:rPr>
                <w:sz w:val="22"/>
                <w:szCs w:val="22"/>
                <w:lang w:val="sr-Latn-ME"/>
              </w:rPr>
            </w:pPr>
            <w:r w:rsidRPr="00DF79AE">
              <w:rPr>
                <w:sz w:val="22"/>
                <w:szCs w:val="22"/>
                <w:lang w:val="sr-Latn-ME"/>
              </w:rPr>
              <w:t>87</w:t>
            </w:r>
          </w:p>
        </w:tc>
        <w:tc>
          <w:tcPr>
            <w:tcW w:w="1710" w:type="dxa"/>
            <w:vAlign w:val="bottom"/>
          </w:tcPr>
          <w:p w14:paraId="030B7699" w14:textId="77777777" w:rsidR="000B2A5C" w:rsidRPr="00DF79AE" w:rsidRDefault="000B2A5C" w:rsidP="00BC1FCA">
            <w:pPr>
              <w:keepNext/>
              <w:autoSpaceDE w:val="0"/>
              <w:autoSpaceDN w:val="0"/>
              <w:adjustRightInd w:val="0"/>
              <w:jc w:val="center"/>
              <w:rPr>
                <w:sz w:val="22"/>
                <w:szCs w:val="22"/>
                <w:lang w:val="sr-Latn-ME"/>
              </w:rPr>
            </w:pPr>
            <w:r w:rsidRPr="00DF79AE">
              <w:rPr>
                <w:sz w:val="22"/>
                <w:szCs w:val="22"/>
                <w:lang w:val="sr-Latn-ME"/>
              </w:rPr>
              <w:t>74</w:t>
            </w:r>
          </w:p>
        </w:tc>
        <w:tc>
          <w:tcPr>
            <w:tcW w:w="1530" w:type="dxa"/>
            <w:vAlign w:val="bottom"/>
          </w:tcPr>
          <w:p w14:paraId="69D17743" w14:textId="77777777" w:rsidR="000B2A5C" w:rsidRPr="00DF79AE" w:rsidRDefault="000B2A5C" w:rsidP="00BC1FCA">
            <w:pPr>
              <w:keepNext/>
              <w:autoSpaceDE w:val="0"/>
              <w:autoSpaceDN w:val="0"/>
              <w:adjustRightInd w:val="0"/>
              <w:jc w:val="center"/>
              <w:rPr>
                <w:sz w:val="22"/>
                <w:szCs w:val="22"/>
                <w:lang w:val="sr-Latn-ME"/>
              </w:rPr>
            </w:pPr>
            <w:r w:rsidRPr="00DF79AE">
              <w:rPr>
                <w:sz w:val="22"/>
                <w:szCs w:val="22"/>
                <w:lang w:val="sr-Latn-ME"/>
              </w:rPr>
              <w:t>69</w:t>
            </w:r>
          </w:p>
        </w:tc>
        <w:tc>
          <w:tcPr>
            <w:tcW w:w="1800" w:type="dxa"/>
            <w:vAlign w:val="bottom"/>
          </w:tcPr>
          <w:p w14:paraId="23D94193" w14:textId="77777777" w:rsidR="000B2A5C" w:rsidRPr="00DF79AE" w:rsidRDefault="000B2A5C" w:rsidP="00BC1FCA">
            <w:pPr>
              <w:keepNext/>
              <w:autoSpaceDE w:val="0"/>
              <w:autoSpaceDN w:val="0"/>
              <w:adjustRightInd w:val="0"/>
              <w:jc w:val="center"/>
              <w:rPr>
                <w:sz w:val="22"/>
                <w:szCs w:val="22"/>
                <w:lang w:val="sr-Latn-ME"/>
              </w:rPr>
            </w:pPr>
            <w:r w:rsidRPr="00DF79AE">
              <w:rPr>
                <w:sz w:val="22"/>
                <w:szCs w:val="22"/>
                <w:lang w:val="sr-Latn-ME"/>
              </w:rPr>
              <w:t>61</w:t>
            </w:r>
          </w:p>
        </w:tc>
      </w:tr>
      <w:tr w:rsidR="000B2A5C" w:rsidRPr="00DF79AE" w14:paraId="4740951A" w14:textId="77777777" w:rsidTr="00BC1FCA">
        <w:trPr>
          <w:cantSplit/>
          <w:jc w:val="center"/>
        </w:trPr>
        <w:tc>
          <w:tcPr>
            <w:tcW w:w="2491" w:type="dxa"/>
            <w:tcBorders>
              <w:bottom w:val="single" w:sz="4" w:space="0" w:color="auto"/>
            </w:tcBorders>
            <w:vAlign w:val="bottom"/>
          </w:tcPr>
          <w:p w14:paraId="2C57521B" w14:textId="77777777" w:rsidR="000B2A5C" w:rsidRPr="00DF79AE" w:rsidRDefault="000B2A5C" w:rsidP="00BC1FCA">
            <w:pPr>
              <w:autoSpaceDE w:val="0"/>
              <w:autoSpaceDN w:val="0"/>
              <w:adjustRightInd w:val="0"/>
              <w:rPr>
                <w:sz w:val="22"/>
                <w:szCs w:val="22"/>
                <w:lang w:val="sr-Latn-ME"/>
              </w:rPr>
            </w:pPr>
            <w:r w:rsidRPr="00DF79AE">
              <w:rPr>
                <w:sz w:val="22"/>
                <w:szCs w:val="22"/>
                <w:lang w:val="sr-Latn-ME"/>
              </w:rPr>
              <w:t>Srednja promjena u SPARCC</w:t>
            </w:r>
            <w:r w:rsidRPr="00DF79AE">
              <w:rPr>
                <w:sz w:val="22"/>
                <w:szCs w:val="22"/>
                <w:vertAlign w:val="superscript"/>
                <w:lang w:val="sr-Latn-ME"/>
              </w:rPr>
              <w:t xml:space="preserve">d </w:t>
            </w:r>
            <w:r w:rsidRPr="00DF79AE">
              <w:rPr>
                <w:sz w:val="22"/>
                <w:szCs w:val="22"/>
                <w:lang w:val="sr-Latn-ME"/>
              </w:rPr>
              <w:t>MRI</w:t>
            </w:r>
          </w:p>
          <w:p w14:paraId="2CF59101" w14:textId="77777777" w:rsidR="000B2A5C" w:rsidRPr="00DF79AE" w:rsidRDefault="000B2A5C" w:rsidP="00BC1FCA">
            <w:pPr>
              <w:autoSpaceDE w:val="0"/>
              <w:autoSpaceDN w:val="0"/>
              <w:adjustRightInd w:val="0"/>
              <w:rPr>
                <w:sz w:val="22"/>
                <w:szCs w:val="22"/>
                <w:vertAlign w:val="superscript"/>
                <w:lang w:val="sr-Latn-ME"/>
              </w:rPr>
            </w:pPr>
            <w:r w:rsidRPr="00DF79AE">
              <w:rPr>
                <w:sz w:val="22"/>
                <w:szCs w:val="22"/>
                <w:lang w:val="sr-Latn-ME"/>
              </w:rPr>
              <w:t>rezultatu za sakroilijačne zglobove</w:t>
            </w:r>
          </w:p>
        </w:tc>
        <w:tc>
          <w:tcPr>
            <w:tcW w:w="1576" w:type="dxa"/>
            <w:tcBorders>
              <w:bottom w:val="single" w:sz="4" w:space="0" w:color="auto"/>
            </w:tcBorders>
            <w:vAlign w:val="bottom"/>
          </w:tcPr>
          <w:p w14:paraId="63C899DE" w14:textId="77777777" w:rsidR="000B2A5C" w:rsidRPr="00DF79AE" w:rsidRDefault="000B2A5C" w:rsidP="00BC1FCA">
            <w:pPr>
              <w:autoSpaceDE w:val="0"/>
              <w:autoSpaceDN w:val="0"/>
              <w:adjustRightInd w:val="0"/>
              <w:jc w:val="center"/>
              <w:rPr>
                <w:sz w:val="22"/>
                <w:szCs w:val="22"/>
                <w:lang w:val="sr-Latn-ME"/>
              </w:rPr>
            </w:pPr>
            <w:r w:rsidRPr="00DF79AE">
              <w:rPr>
                <w:sz w:val="22"/>
                <w:szCs w:val="22"/>
                <w:lang w:val="sr-Latn-ME"/>
              </w:rPr>
              <w:noBreakHyphen/>
              <w:t>0,9</w:t>
            </w:r>
          </w:p>
        </w:tc>
        <w:tc>
          <w:tcPr>
            <w:tcW w:w="1710" w:type="dxa"/>
            <w:tcBorders>
              <w:bottom w:val="single" w:sz="4" w:space="0" w:color="auto"/>
            </w:tcBorders>
            <w:vAlign w:val="bottom"/>
          </w:tcPr>
          <w:p w14:paraId="21C3D6EE" w14:textId="77777777" w:rsidR="000B2A5C" w:rsidRPr="00DF79AE" w:rsidRDefault="000B2A5C" w:rsidP="00BC1FCA">
            <w:pPr>
              <w:autoSpaceDE w:val="0"/>
              <w:autoSpaceDN w:val="0"/>
              <w:adjustRightInd w:val="0"/>
              <w:jc w:val="center"/>
              <w:rPr>
                <w:sz w:val="22"/>
                <w:szCs w:val="22"/>
                <w:lang w:val="sr-Latn-ME"/>
              </w:rPr>
            </w:pPr>
            <w:r w:rsidRPr="00DF79AE">
              <w:rPr>
                <w:sz w:val="22"/>
                <w:szCs w:val="22"/>
                <w:lang w:val="sr-Latn-ME"/>
              </w:rPr>
              <w:noBreakHyphen/>
              <w:t>5,3**</w:t>
            </w:r>
          </w:p>
        </w:tc>
        <w:tc>
          <w:tcPr>
            <w:tcW w:w="1530" w:type="dxa"/>
            <w:tcBorders>
              <w:bottom w:val="single" w:sz="4" w:space="0" w:color="auto"/>
            </w:tcBorders>
            <w:vAlign w:val="bottom"/>
          </w:tcPr>
          <w:p w14:paraId="711936E8" w14:textId="77777777" w:rsidR="000B2A5C" w:rsidRPr="00DF79AE" w:rsidRDefault="000B2A5C" w:rsidP="00BC1FCA">
            <w:pPr>
              <w:autoSpaceDE w:val="0"/>
              <w:autoSpaceDN w:val="0"/>
              <w:adjustRightInd w:val="0"/>
              <w:jc w:val="center"/>
              <w:rPr>
                <w:sz w:val="22"/>
                <w:szCs w:val="22"/>
                <w:lang w:val="sr-Latn-ME"/>
              </w:rPr>
            </w:pPr>
            <w:r w:rsidRPr="00DF79AE">
              <w:rPr>
                <w:sz w:val="22"/>
                <w:szCs w:val="22"/>
                <w:lang w:val="sr-Latn-ME"/>
              </w:rPr>
              <w:noBreakHyphen/>
              <w:t>1,2</w:t>
            </w:r>
          </w:p>
        </w:tc>
        <w:tc>
          <w:tcPr>
            <w:tcW w:w="1800" w:type="dxa"/>
            <w:tcBorders>
              <w:bottom w:val="single" w:sz="4" w:space="0" w:color="auto"/>
            </w:tcBorders>
            <w:vAlign w:val="bottom"/>
          </w:tcPr>
          <w:p w14:paraId="6F5C694D" w14:textId="77777777" w:rsidR="000B2A5C" w:rsidRPr="00DF79AE" w:rsidRDefault="000B2A5C" w:rsidP="00BC1FCA">
            <w:pPr>
              <w:autoSpaceDE w:val="0"/>
              <w:autoSpaceDN w:val="0"/>
              <w:adjustRightInd w:val="0"/>
              <w:jc w:val="center"/>
              <w:rPr>
                <w:sz w:val="22"/>
                <w:szCs w:val="22"/>
                <w:lang w:val="sr-Latn-ME"/>
              </w:rPr>
            </w:pPr>
            <w:r w:rsidRPr="00DF79AE">
              <w:rPr>
                <w:sz w:val="22"/>
                <w:szCs w:val="22"/>
                <w:lang w:val="sr-Latn-ME"/>
              </w:rPr>
              <w:noBreakHyphen/>
              <w:t>6,4**</w:t>
            </w:r>
          </w:p>
        </w:tc>
      </w:tr>
      <w:tr w:rsidR="000B2A5C" w:rsidRPr="00DF79AE" w14:paraId="65931E29" w14:textId="77777777" w:rsidTr="00BC1FCA">
        <w:trPr>
          <w:cantSplit/>
          <w:jc w:val="center"/>
        </w:trPr>
        <w:tc>
          <w:tcPr>
            <w:tcW w:w="9107" w:type="dxa"/>
            <w:gridSpan w:val="5"/>
            <w:tcBorders>
              <w:left w:val="nil"/>
              <w:bottom w:val="nil"/>
              <w:right w:val="nil"/>
            </w:tcBorders>
            <w:vAlign w:val="bottom"/>
          </w:tcPr>
          <w:p w14:paraId="13A4D01A" w14:textId="77777777" w:rsidR="000B2A5C" w:rsidRPr="00DF79AE" w:rsidRDefault="000B2A5C" w:rsidP="00BC1FCA">
            <w:pPr>
              <w:autoSpaceDE w:val="0"/>
              <w:autoSpaceDN w:val="0"/>
              <w:adjustRightInd w:val="0"/>
              <w:ind w:left="284" w:hanging="284"/>
              <w:jc w:val="both"/>
              <w:rPr>
                <w:sz w:val="22"/>
                <w:szCs w:val="22"/>
                <w:lang w:val="sr-Latn-ME"/>
              </w:rPr>
            </w:pPr>
            <w:r w:rsidRPr="00DF79AE">
              <w:rPr>
                <w:sz w:val="22"/>
                <w:szCs w:val="22"/>
                <w:vertAlign w:val="superscript"/>
                <w:lang w:val="sr-Latn-ME"/>
              </w:rPr>
              <w:t>a</w:t>
            </w:r>
            <w:r w:rsidRPr="00DF79AE">
              <w:rPr>
                <w:sz w:val="22"/>
                <w:szCs w:val="22"/>
                <w:vertAlign w:val="superscript"/>
                <w:lang w:val="sr-Latn-ME"/>
              </w:rPr>
              <w:tab/>
            </w:r>
            <w:r w:rsidRPr="00DF79AE">
              <w:rPr>
                <w:sz w:val="22"/>
                <w:szCs w:val="22"/>
                <w:lang w:val="sr-Latn-ME"/>
              </w:rPr>
              <w:t>n reflektuje randomizovane i liječene pacijente</w:t>
            </w:r>
          </w:p>
          <w:p w14:paraId="34D03E20" w14:textId="77777777" w:rsidR="000B2A5C" w:rsidRPr="00DF79AE" w:rsidRDefault="000B2A5C" w:rsidP="00BC1FCA">
            <w:pPr>
              <w:autoSpaceDE w:val="0"/>
              <w:autoSpaceDN w:val="0"/>
              <w:adjustRightInd w:val="0"/>
              <w:ind w:left="284" w:hanging="284"/>
              <w:jc w:val="both"/>
              <w:rPr>
                <w:sz w:val="22"/>
                <w:szCs w:val="22"/>
                <w:lang w:val="sr-Latn-ME"/>
              </w:rPr>
            </w:pPr>
            <w:r w:rsidRPr="00DF79AE">
              <w:rPr>
                <w:sz w:val="22"/>
                <w:szCs w:val="22"/>
                <w:vertAlign w:val="superscript"/>
                <w:lang w:val="sr-Latn-ME"/>
              </w:rPr>
              <w:t>b</w:t>
            </w:r>
            <w:r w:rsidRPr="00DF79AE">
              <w:rPr>
                <w:sz w:val="22"/>
                <w:szCs w:val="22"/>
                <w:vertAlign w:val="superscript"/>
                <w:lang w:val="sr-Latn-ME"/>
              </w:rPr>
              <w:tab/>
            </w:r>
            <w:r w:rsidRPr="00DF79AE">
              <w:rPr>
                <w:sz w:val="22"/>
                <w:szCs w:val="22"/>
                <w:lang w:val="sr-Latn-ME"/>
              </w:rPr>
              <w:t>Ankylosing Spondylitis Disease Activity Score C-Reactive Protein (AT</w:t>
            </w:r>
            <w:r w:rsidRPr="00DF79AE">
              <w:rPr>
                <w:sz w:val="22"/>
                <w:szCs w:val="22"/>
                <w:lang w:val="sr-Latn-ME"/>
              </w:rPr>
              <w:noBreakHyphen/>
              <w:t>Placebo, N = 90; AT</w:t>
            </w:r>
            <w:r w:rsidRPr="00DF79AE">
              <w:rPr>
                <w:sz w:val="22"/>
                <w:szCs w:val="22"/>
                <w:lang w:val="sr-Latn-ME"/>
              </w:rPr>
              <w:noBreakHyphen/>
              <w:t>Simponi 50 mg, N = 88; OSI</w:t>
            </w:r>
            <w:r w:rsidRPr="00DF79AE">
              <w:rPr>
                <w:sz w:val="22"/>
                <w:szCs w:val="22"/>
                <w:lang w:val="sr-Latn-ME"/>
              </w:rPr>
              <w:noBreakHyphen/>
              <w:t>Placebo, N = 71; OSI</w:t>
            </w:r>
            <w:r w:rsidRPr="00DF79AE">
              <w:rPr>
                <w:sz w:val="22"/>
                <w:szCs w:val="22"/>
                <w:lang w:val="sr-Latn-ME"/>
              </w:rPr>
              <w:noBreakHyphen/>
              <w:t>Simponi 50 mg, N = 71)</w:t>
            </w:r>
          </w:p>
          <w:p w14:paraId="33EC32CF" w14:textId="77777777" w:rsidR="000B2A5C" w:rsidRPr="00DF79AE" w:rsidRDefault="000B2A5C" w:rsidP="00BC1FCA">
            <w:pPr>
              <w:autoSpaceDE w:val="0"/>
              <w:autoSpaceDN w:val="0"/>
              <w:adjustRightInd w:val="0"/>
              <w:ind w:left="284" w:hanging="284"/>
              <w:jc w:val="both"/>
              <w:rPr>
                <w:sz w:val="22"/>
                <w:szCs w:val="22"/>
                <w:lang w:val="sr-Latn-ME"/>
              </w:rPr>
            </w:pPr>
            <w:r w:rsidRPr="00DF79AE">
              <w:rPr>
                <w:sz w:val="22"/>
                <w:szCs w:val="22"/>
                <w:vertAlign w:val="superscript"/>
                <w:lang w:val="sr-Latn-ME"/>
              </w:rPr>
              <w:t>c</w:t>
            </w:r>
            <w:r w:rsidRPr="00DF79AE">
              <w:rPr>
                <w:sz w:val="22"/>
                <w:szCs w:val="22"/>
                <w:vertAlign w:val="superscript"/>
                <w:lang w:val="sr-Latn-ME"/>
              </w:rPr>
              <w:tab/>
            </w:r>
            <w:r w:rsidRPr="00DF79AE">
              <w:rPr>
                <w:sz w:val="22"/>
                <w:szCs w:val="22"/>
                <w:lang w:val="sr-Latn-ME"/>
              </w:rPr>
              <w:t>n reflektuje broj pacijenata sa nalazima MRI na početku studije i u 16. nedjelji</w:t>
            </w:r>
          </w:p>
          <w:p w14:paraId="0765F93B" w14:textId="77777777" w:rsidR="000B2A5C" w:rsidRPr="00DF79AE" w:rsidRDefault="000B2A5C" w:rsidP="00BC1FCA">
            <w:pPr>
              <w:autoSpaceDE w:val="0"/>
              <w:autoSpaceDN w:val="0"/>
              <w:adjustRightInd w:val="0"/>
              <w:ind w:left="284" w:hanging="284"/>
              <w:jc w:val="both"/>
              <w:rPr>
                <w:sz w:val="22"/>
                <w:szCs w:val="22"/>
                <w:lang w:val="sr-Latn-ME"/>
              </w:rPr>
            </w:pPr>
            <w:r w:rsidRPr="00DF79AE">
              <w:rPr>
                <w:sz w:val="22"/>
                <w:szCs w:val="22"/>
                <w:vertAlign w:val="superscript"/>
                <w:lang w:val="sr-Latn-ME"/>
              </w:rPr>
              <w:t>d</w:t>
            </w:r>
            <w:r w:rsidRPr="00DF79AE">
              <w:rPr>
                <w:sz w:val="22"/>
                <w:szCs w:val="22"/>
                <w:vertAlign w:val="superscript"/>
                <w:lang w:val="sr-Latn-ME"/>
              </w:rPr>
              <w:tab/>
            </w:r>
            <w:r w:rsidRPr="00DF79AE">
              <w:rPr>
                <w:sz w:val="22"/>
                <w:szCs w:val="22"/>
                <w:lang w:val="sr-Latn-ME"/>
              </w:rPr>
              <w:t>SPARCC (Spondyloarthritis Research Consortium of Canada)</w:t>
            </w:r>
          </w:p>
          <w:p w14:paraId="6E171197" w14:textId="77777777" w:rsidR="000B2A5C" w:rsidRPr="00DF79AE" w:rsidRDefault="000B2A5C" w:rsidP="00BC1FCA">
            <w:pPr>
              <w:autoSpaceDE w:val="0"/>
              <w:autoSpaceDN w:val="0"/>
              <w:adjustRightInd w:val="0"/>
              <w:ind w:left="284" w:hanging="284"/>
              <w:jc w:val="both"/>
              <w:rPr>
                <w:sz w:val="22"/>
                <w:szCs w:val="22"/>
                <w:lang w:val="sr-Latn-ME"/>
              </w:rPr>
            </w:pPr>
            <w:r w:rsidRPr="00DF79AE">
              <w:rPr>
                <w:sz w:val="22"/>
                <w:szCs w:val="22"/>
                <w:lang w:val="sr-Latn-ME"/>
              </w:rPr>
              <w:t>**</w:t>
            </w:r>
            <w:r w:rsidRPr="00DF79AE">
              <w:rPr>
                <w:sz w:val="22"/>
                <w:szCs w:val="22"/>
                <w:lang w:val="sr-Latn-ME"/>
              </w:rPr>
              <w:tab/>
              <w:t xml:space="preserve">p &lt; 0,0001 za Simponi </w:t>
            </w:r>
            <w:r w:rsidRPr="00DF79AE">
              <w:rPr>
                <w:i/>
                <w:sz w:val="22"/>
                <w:szCs w:val="22"/>
                <w:lang w:val="sr-Latn-ME"/>
              </w:rPr>
              <w:t>vs</w:t>
            </w:r>
            <w:r w:rsidRPr="00DF79AE">
              <w:rPr>
                <w:sz w:val="22"/>
                <w:szCs w:val="22"/>
                <w:lang w:val="sr-Latn-ME"/>
              </w:rPr>
              <w:t xml:space="preserve"> placebo poređenje </w:t>
            </w:r>
          </w:p>
          <w:p w14:paraId="060AC0CD" w14:textId="77777777" w:rsidR="000B2A5C" w:rsidRPr="00DF79AE" w:rsidRDefault="000B2A5C" w:rsidP="00BC1FCA">
            <w:pPr>
              <w:autoSpaceDE w:val="0"/>
              <w:autoSpaceDN w:val="0"/>
              <w:adjustRightInd w:val="0"/>
              <w:ind w:left="284" w:hanging="284"/>
              <w:jc w:val="both"/>
              <w:rPr>
                <w:sz w:val="22"/>
                <w:szCs w:val="22"/>
                <w:lang w:val="sr-Latn-ME"/>
              </w:rPr>
            </w:pPr>
            <w:r w:rsidRPr="00DF79AE">
              <w:rPr>
                <w:sz w:val="22"/>
                <w:szCs w:val="22"/>
                <w:lang w:val="sr-Latn-ME"/>
              </w:rPr>
              <w:t>*</w:t>
            </w:r>
            <w:r w:rsidRPr="00DF79AE">
              <w:rPr>
                <w:sz w:val="22"/>
                <w:szCs w:val="22"/>
                <w:lang w:val="sr-Latn-ME"/>
              </w:rPr>
              <w:tab/>
              <w:t xml:space="preserve">p &lt; 0,05 za Simponi </w:t>
            </w:r>
            <w:r w:rsidRPr="00DF79AE">
              <w:rPr>
                <w:i/>
                <w:sz w:val="22"/>
                <w:szCs w:val="22"/>
                <w:lang w:val="sr-Latn-ME"/>
              </w:rPr>
              <w:t>vs</w:t>
            </w:r>
            <w:r w:rsidRPr="00DF79AE">
              <w:rPr>
                <w:sz w:val="22"/>
                <w:szCs w:val="22"/>
                <w:lang w:val="sr-Latn-ME"/>
              </w:rPr>
              <w:t xml:space="preserve"> placebo poređenje</w:t>
            </w:r>
          </w:p>
        </w:tc>
      </w:tr>
    </w:tbl>
    <w:p w14:paraId="57F8F2BE" w14:textId="77777777" w:rsidR="000B2A5C" w:rsidRPr="00DF79AE" w:rsidRDefault="000B2A5C" w:rsidP="000B2A5C">
      <w:pPr>
        <w:rPr>
          <w:rFonts w:eastAsiaTheme="minorHAnsi"/>
          <w:sz w:val="22"/>
          <w:szCs w:val="22"/>
          <w:lang w:val="sr-Latn-ME"/>
        </w:rPr>
      </w:pPr>
    </w:p>
    <w:p w14:paraId="0AD24A0A" w14:textId="7C27B879" w:rsidR="000B2A5C" w:rsidRPr="00DF79AE" w:rsidRDefault="000B2A5C" w:rsidP="000B2A5C">
      <w:pPr>
        <w:autoSpaceDE w:val="0"/>
        <w:autoSpaceDN w:val="0"/>
        <w:adjustRightInd w:val="0"/>
        <w:jc w:val="both"/>
        <w:rPr>
          <w:sz w:val="22"/>
          <w:szCs w:val="22"/>
          <w:lang w:val="sr-Latn-ME"/>
        </w:rPr>
      </w:pPr>
      <w:r w:rsidRPr="00DF79AE">
        <w:rPr>
          <w:sz w:val="22"/>
          <w:szCs w:val="22"/>
          <w:lang w:val="sr-Latn-ME"/>
        </w:rPr>
        <w:lastRenderedPageBreak/>
        <w:t xml:space="preserve">Statistički značajno poboljšanje u znacima i simptomima teškog aktivnog aksijalnog spondiloartritisa </w:t>
      </w:r>
      <w:r w:rsidR="00A06D4D" w:rsidRPr="00A06D4D">
        <w:rPr>
          <w:sz w:val="22"/>
          <w:szCs w:val="22"/>
          <w:lang w:val="sr-Latn-ME"/>
        </w:rPr>
        <w:t xml:space="preserve">bez radiografskog dokaza </w:t>
      </w:r>
      <w:r w:rsidRPr="00DF79AE">
        <w:rPr>
          <w:sz w:val="22"/>
          <w:szCs w:val="22"/>
          <w:lang w:val="sr-Latn-ME"/>
        </w:rPr>
        <w:t>pokazano je kod pacijenata liječenih lijekom Simponi u dozi od 50 mg u poređenju sa placebom u 16. nedjelji (tabela 6). Poboljšanje je primijećeno pri prvoj procjeni (u 4. nedjelji) nakon inicijalne primjene lijeka Simponi. SPARCC rezultat mjeren preko magnetene rezonance pokazao je statistički značajno smanjenje inflamacije u sakroilijačnim zglobovima u 16. nedjelji kod pacijenata liječenih lijekom Simponi u dozi od 50 mg u poređenju sa placebom (tabela 6). Bol procijenjen ukupnim bolom u leđima (Total Back Pain) i noćnim bolom u leđima (Nocturnal Back Pain) VAS, i aktivnošću bolesti mjereno preko ASDAS-C, takođe je pokazao statistički značajno poboljšanje u odnosu na početni nivo u 16. nedjelji kod pacijenata koji su primali lijek Simponi u poređenju sa placebom (p &lt;0,0001).</w:t>
      </w:r>
    </w:p>
    <w:p w14:paraId="406F2931" w14:textId="77777777" w:rsidR="000B2A5C" w:rsidRPr="00DF79AE" w:rsidRDefault="000B2A5C" w:rsidP="000B2A5C">
      <w:pPr>
        <w:autoSpaceDE w:val="0"/>
        <w:autoSpaceDN w:val="0"/>
        <w:adjustRightInd w:val="0"/>
        <w:jc w:val="both"/>
        <w:rPr>
          <w:sz w:val="22"/>
          <w:szCs w:val="22"/>
          <w:lang w:val="sr-Latn-ME"/>
        </w:rPr>
      </w:pPr>
    </w:p>
    <w:p w14:paraId="038C0230" w14:textId="77777777" w:rsidR="000B2A5C" w:rsidRPr="00DF79AE" w:rsidRDefault="000B2A5C" w:rsidP="000B2A5C">
      <w:pPr>
        <w:autoSpaceDE w:val="0"/>
        <w:autoSpaceDN w:val="0"/>
        <w:adjustRightInd w:val="0"/>
        <w:jc w:val="both"/>
        <w:rPr>
          <w:sz w:val="22"/>
          <w:szCs w:val="22"/>
          <w:lang w:val="sr-Latn-ME"/>
        </w:rPr>
      </w:pPr>
      <w:r w:rsidRPr="00DF79AE">
        <w:rPr>
          <w:sz w:val="22"/>
          <w:szCs w:val="22"/>
          <w:lang w:val="sr-Latn-ME"/>
        </w:rPr>
        <w:t>Statistički značajno poboljšanje u pokretljivosti kičme procijenjeno preko BASMI (Bath Ankylosing Spondylitis Metrology Index) i fizičkim funkcijama procijenjeno preko BASFI pokazano je kod pacijenata liječenih lijekom Simponi u dozi od 50 mg u poređenju sa placebom (p &lt; 0,0001). Pacijenti liječeni lijekom Simponi imali su značajno veće poboljšanje u kvalitetu života vezanom za zdravlje procijenjeno preko ASQoL, EQ 5D kao i fizičkim i mentalnim komponentama SF-36, i imali su značajno veće poboljšanje u produktivnosti, procijenjeno većim smanjenjem sveukupnog radnog oštećenja i oštećenja aktivnosti procijenjeno preko WPAI upitnika u poređenju sa pacijentima koji su primali placebo.</w:t>
      </w:r>
    </w:p>
    <w:p w14:paraId="2D3CA68F" w14:textId="77777777" w:rsidR="000B2A5C" w:rsidRPr="00DF79AE" w:rsidRDefault="000B2A5C" w:rsidP="000B2A5C">
      <w:pPr>
        <w:autoSpaceDE w:val="0"/>
        <w:autoSpaceDN w:val="0"/>
        <w:adjustRightInd w:val="0"/>
        <w:jc w:val="both"/>
        <w:rPr>
          <w:sz w:val="22"/>
          <w:szCs w:val="22"/>
          <w:lang w:val="sr-Latn-ME"/>
        </w:rPr>
      </w:pPr>
    </w:p>
    <w:p w14:paraId="0ACE7B7E" w14:textId="77777777" w:rsidR="000B2A5C" w:rsidRPr="00DF79AE" w:rsidRDefault="000B2A5C" w:rsidP="000B2A5C">
      <w:pPr>
        <w:autoSpaceDE w:val="0"/>
        <w:autoSpaceDN w:val="0"/>
        <w:adjustRightInd w:val="0"/>
        <w:jc w:val="both"/>
        <w:rPr>
          <w:sz w:val="22"/>
          <w:szCs w:val="22"/>
          <w:lang w:val="sr-Latn-ME"/>
        </w:rPr>
      </w:pPr>
      <w:r w:rsidRPr="00DF79AE">
        <w:rPr>
          <w:sz w:val="22"/>
          <w:szCs w:val="22"/>
          <w:lang w:val="sr-Latn-ME"/>
        </w:rPr>
        <w:t>Za sve primarne ciljeve opisane u tekstu iznad, statistički značajni rezultati pokazani su i u populaciji sa</w:t>
      </w:r>
      <w:r w:rsidRPr="00DF79AE">
        <w:rPr>
          <w:sz w:val="22"/>
          <w:szCs w:val="22"/>
          <w:u w:val="single"/>
          <w:lang w:val="sr-Latn-ME"/>
        </w:rPr>
        <w:t xml:space="preserve"> </w:t>
      </w:r>
      <w:r w:rsidRPr="00DF79AE">
        <w:rPr>
          <w:sz w:val="22"/>
          <w:szCs w:val="22"/>
          <w:lang w:val="sr-Latn-ME"/>
        </w:rPr>
        <w:t xml:space="preserve">objektivnim znacima inflamacije (OSI) u 16. nedjelji. </w:t>
      </w:r>
    </w:p>
    <w:p w14:paraId="2E644573" w14:textId="77777777" w:rsidR="000B2A5C" w:rsidRPr="00DF79AE" w:rsidRDefault="000B2A5C" w:rsidP="000B2A5C">
      <w:pPr>
        <w:autoSpaceDE w:val="0"/>
        <w:autoSpaceDN w:val="0"/>
        <w:adjustRightInd w:val="0"/>
        <w:jc w:val="both"/>
        <w:rPr>
          <w:sz w:val="22"/>
          <w:szCs w:val="22"/>
          <w:lang w:val="sr-Latn-ME"/>
        </w:rPr>
      </w:pPr>
    </w:p>
    <w:p w14:paraId="57C91ADA" w14:textId="6326F208" w:rsidR="000B2A5C" w:rsidRDefault="000B2A5C" w:rsidP="000B2A5C">
      <w:pPr>
        <w:tabs>
          <w:tab w:val="left" w:pos="284"/>
        </w:tabs>
        <w:autoSpaceDE w:val="0"/>
        <w:autoSpaceDN w:val="0"/>
        <w:adjustRightInd w:val="0"/>
        <w:jc w:val="both"/>
        <w:rPr>
          <w:sz w:val="22"/>
          <w:szCs w:val="22"/>
          <w:lang w:val="sr-Latn-ME"/>
        </w:rPr>
      </w:pPr>
      <w:r w:rsidRPr="00DF79AE">
        <w:rPr>
          <w:sz w:val="22"/>
          <w:szCs w:val="22"/>
          <w:lang w:val="sr-Latn-ME"/>
        </w:rPr>
        <w:t xml:space="preserve">Kod populacija svih liječenih pacijenata (AT) i populacije sa objektivnim znacima inflamacije (OSI), poboljšanje u znacima i simptomima, spinalna pokretljivost, fizička funkcija, kvalitet života i produktivnost koji su primijećeni u 16. nedjelji kod pacijenata koji su na terapiji lijekom Simponi 50 mg se nastavilo i kod onih koji su ostali u studiji u 52. nedjelji. </w:t>
      </w:r>
    </w:p>
    <w:p w14:paraId="68200E32" w14:textId="3849A177" w:rsidR="00527AA5" w:rsidRDefault="00527AA5" w:rsidP="000B2A5C">
      <w:pPr>
        <w:tabs>
          <w:tab w:val="left" w:pos="284"/>
        </w:tabs>
        <w:autoSpaceDE w:val="0"/>
        <w:autoSpaceDN w:val="0"/>
        <w:adjustRightInd w:val="0"/>
        <w:jc w:val="both"/>
        <w:rPr>
          <w:sz w:val="22"/>
          <w:szCs w:val="22"/>
          <w:lang w:val="sr-Latn-ME"/>
        </w:rPr>
      </w:pPr>
    </w:p>
    <w:p w14:paraId="28618D3A" w14:textId="77777777" w:rsidR="00682768" w:rsidRPr="00FA15F2" w:rsidRDefault="00682768" w:rsidP="00682768">
      <w:pPr>
        <w:tabs>
          <w:tab w:val="left" w:pos="284"/>
        </w:tabs>
        <w:autoSpaceDE w:val="0"/>
        <w:autoSpaceDN w:val="0"/>
        <w:adjustRightInd w:val="0"/>
        <w:rPr>
          <w:iCs/>
          <w:sz w:val="22"/>
          <w:szCs w:val="22"/>
          <w:lang w:val="sr-Latn-RS"/>
        </w:rPr>
      </w:pPr>
      <w:r w:rsidRPr="00FA15F2">
        <w:rPr>
          <w:iCs/>
          <w:sz w:val="22"/>
          <w:szCs w:val="22"/>
          <w:lang w:val="sr-Latn-RS"/>
        </w:rPr>
        <w:t>GO</w:t>
      </w:r>
      <w:r w:rsidRPr="00FA15F2">
        <w:rPr>
          <w:iCs/>
          <w:sz w:val="22"/>
          <w:szCs w:val="22"/>
          <w:lang w:val="sr-Latn-RS"/>
        </w:rPr>
        <w:noBreakHyphen/>
        <w:t>BACK</w:t>
      </w:r>
    </w:p>
    <w:p w14:paraId="0BDA30C0" w14:textId="0F597E81" w:rsidR="00682768" w:rsidRPr="00FA15F2" w:rsidRDefault="00682768" w:rsidP="00682768">
      <w:pPr>
        <w:tabs>
          <w:tab w:val="left" w:pos="284"/>
        </w:tabs>
        <w:autoSpaceDE w:val="0"/>
        <w:autoSpaceDN w:val="0"/>
        <w:adjustRightInd w:val="0"/>
        <w:rPr>
          <w:iCs/>
          <w:sz w:val="22"/>
          <w:szCs w:val="22"/>
          <w:lang w:val="sr-Latn-RS"/>
        </w:rPr>
      </w:pPr>
      <w:r w:rsidRPr="00FA15F2">
        <w:rPr>
          <w:iCs/>
          <w:sz w:val="22"/>
          <w:szCs w:val="22"/>
          <w:lang w:val="sr-Latn-RS"/>
        </w:rPr>
        <w:t>Efikasnost i bezb</w:t>
      </w:r>
      <w:r>
        <w:rPr>
          <w:iCs/>
          <w:sz w:val="22"/>
          <w:szCs w:val="22"/>
          <w:lang w:val="sr-Latn-RS"/>
        </w:rPr>
        <w:t>j</w:t>
      </w:r>
      <w:r w:rsidRPr="00FA15F2">
        <w:rPr>
          <w:iCs/>
          <w:sz w:val="22"/>
          <w:szCs w:val="22"/>
          <w:lang w:val="sr-Latn-RS"/>
        </w:rPr>
        <w:t>ednost nastavka l</w:t>
      </w:r>
      <w:r>
        <w:rPr>
          <w:iCs/>
          <w:sz w:val="22"/>
          <w:szCs w:val="22"/>
          <w:lang w:val="sr-Latn-RS"/>
        </w:rPr>
        <w:t>ij</w:t>
      </w:r>
      <w:r w:rsidRPr="00FA15F2">
        <w:rPr>
          <w:iCs/>
          <w:sz w:val="22"/>
          <w:szCs w:val="22"/>
          <w:lang w:val="sr-Latn-RS"/>
        </w:rPr>
        <w:t>ečenja golimumabom (uz punu ili smanjenu učestalost doziranja) u odnosu na prekid l</w:t>
      </w:r>
      <w:r>
        <w:rPr>
          <w:iCs/>
          <w:sz w:val="22"/>
          <w:szCs w:val="22"/>
          <w:lang w:val="sr-Latn-RS"/>
        </w:rPr>
        <w:t>ij</w:t>
      </w:r>
      <w:r w:rsidRPr="00FA15F2">
        <w:rPr>
          <w:iCs/>
          <w:sz w:val="22"/>
          <w:szCs w:val="22"/>
          <w:lang w:val="sr-Latn-RS"/>
        </w:rPr>
        <w:t>ečenja proc</w:t>
      </w:r>
      <w:r>
        <w:rPr>
          <w:iCs/>
          <w:sz w:val="22"/>
          <w:szCs w:val="22"/>
          <w:lang w:val="sr-Latn-RS"/>
        </w:rPr>
        <w:t>ij</w:t>
      </w:r>
      <w:r w:rsidRPr="00FA15F2">
        <w:rPr>
          <w:iCs/>
          <w:sz w:val="22"/>
          <w:szCs w:val="22"/>
          <w:lang w:val="sr-Latn-RS"/>
        </w:rPr>
        <w:t>enjene su kod odraslih pacijenata (starosti od 18-45 godina) sa aktivnim nr-Axial SpA koji su postigli održanu remisiju tokom 10 m</w:t>
      </w:r>
      <w:r>
        <w:rPr>
          <w:iCs/>
          <w:sz w:val="22"/>
          <w:szCs w:val="22"/>
          <w:lang w:val="sr-Latn-RS"/>
        </w:rPr>
        <w:t>j</w:t>
      </w:r>
      <w:r w:rsidRPr="00FA15F2">
        <w:rPr>
          <w:iCs/>
          <w:sz w:val="22"/>
          <w:szCs w:val="22"/>
          <w:lang w:val="sr-Latn-RS"/>
        </w:rPr>
        <w:t>eseci otvorenog l</w:t>
      </w:r>
      <w:r>
        <w:rPr>
          <w:iCs/>
          <w:sz w:val="22"/>
          <w:szCs w:val="22"/>
          <w:lang w:val="sr-Latn-RS"/>
        </w:rPr>
        <w:t>ije</w:t>
      </w:r>
      <w:r w:rsidRPr="00FA15F2">
        <w:rPr>
          <w:iCs/>
          <w:sz w:val="22"/>
          <w:szCs w:val="22"/>
          <w:lang w:val="sr-Latn-RS"/>
        </w:rPr>
        <w:t>čenja sa l</w:t>
      </w:r>
      <w:r>
        <w:rPr>
          <w:iCs/>
          <w:sz w:val="22"/>
          <w:szCs w:val="22"/>
          <w:lang w:val="sr-Latn-RS"/>
        </w:rPr>
        <w:t>ij</w:t>
      </w:r>
      <w:r w:rsidRPr="00FA15F2">
        <w:rPr>
          <w:iCs/>
          <w:sz w:val="22"/>
          <w:szCs w:val="22"/>
          <w:lang w:val="sr-Latn-RS"/>
        </w:rPr>
        <w:t>ekom Simponi prim</w:t>
      </w:r>
      <w:r>
        <w:rPr>
          <w:iCs/>
          <w:sz w:val="22"/>
          <w:szCs w:val="22"/>
          <w:lang w:val="sr-Latn-RS"/>
        </w:rPr>
        <w:t>ij</w:t>
      </w:r>
      <w:r w:rsidRPr="00FA15F2">
        <w:rPr>
          <w:iCs/>
          <w:sz w:val="22"/>
          <w:szCs w:val="22"/>
          <w:lang w:val="sr-Latn-RS"/>
        </w:rPr>
        <w:t>enjenog jednom m</w:t>
      </w:r>
      <w:r>
        <w:rPr>
          <w:iCs/>
          <w:sz w:val="22"/>
          <w:szCs w:val="22"/>
          <w:lang w:val="sr-Latn-RS"/>
        </w:rPr>
        <w:t>j</w:t>
      </w:r>
      <w:r w:rsidRPr="00FA15F2">
        <w:rPr>
          <w:iCs/>
          <w:sz w:val="22"/>
          <w:szCs w:val="22"/>
          <w:lang w:val="sr-Latn-RS"/>
        </w:rPr>
        <w:t>esečno (GO-BACK ispitivanje</w:t>
      </w:r>
      <w:bookmarkStart w:id="5" w:name="_Hlk133236767"/>
      <w:r w:rsidRPr="00FA15F2">
        <w:rPr>
          <w:iCs/>
          <w:sz w:val="22"/>
          <w:szCs w:val="22"/>
          <w:lang w:val="sr-Latn-RS"/>
        </w:rPr>
        <w:t>)</w:t>
      </w:r>
      <w:bookmarkEnd w:id="5"/>
      <w:r w:rsidRPr="00FA15F2">
        <w:rPr>
          <w:iCs/>
          <w:sz w:val="22"/>
          <w:szCs w:val="22"/>
          <w:lang w:val="sr-Latn-RS"/>
        </w:rPr>
        <w:t>. Pogodni pacijenti (oni koji su postigli klinički odgovor do 4. m</w:t>
      </w:r>
      <w:r>
        <w:rPr>
          <w:iCs/>
          <w:sz w:val="22"/>
          <w:szCs w:val="22"/>
          <w:lang w:val="sr-Latn-RS"/>
        </w:rPr>
        <w:t>j</w:t>
      </w:r>
      <w:r w:rsidRPr="00FA15F2">
        <w:rPr>
          <w:iCs/>
          <w:sz w:val="22"/>
          <w:szCs w:val="22"/>
          <w:lang w:val="sr-Latn-RS"/>
        </w:rPr>
        <w:t>eseca i imali status neaktivne bolesti (ASDAS rezultat &lt; 1,3) i u 7. i u 10. m</w:t>
      </w:r>
      <w:r>
        <w:rPr>
          <w:iCs/>
          <w:sz w:val="22"/>
          <w:szCs w:val="22"/>
          <w:lang w:val="sr-Latn-RS"/>
        </w:rPr>
        <w:t>j</w:t>
      </w:r>
      <w:r w:rsidRPr="00FA15F2">
        <w:rPr>
          <w:iCs/>
          <w:sz w:val="22"/>
          <w:szCs w:val="22"/>
          <w:lang w:val="sr-Latn-RS"/>
        </w:rPr>
        <w:t>esecu) koji su ušli u fazu dvostruko sl</w:t>
      </w:r>
      <w:r>
        <w:rPr>
          <w:iCs/>
          <w:sz w:val="22"/>
          <w:szCs w:val="22"/>
          <w:lang w:val="sr-Latn-RS"/>
        </w:rPr>
        <w:t>ij</w:t>
      </w:r>
      <w:r w:rsidRPr="00FA15F2">
        <w:rPr>
          <w:iCs/>
          <w:sz w:val="22"/>
          <w:szCs w:val="22"/>
          <w:lang w:val="sr-Latn-RS"/>
        </w:rPr>
        <w:t>epog prekida l</w:t>
      </w:r>
      <w:r>
        <w:rPr>
          <w:iCs/>
          <w:sz w:val="22"/>
          <w:szCs w:val="22"/>
          <w:lang w:val="sr-Latn-RS"/>
        </w:rPr>
        <w:t>ij</w:t>
      </w:r>
      <w:r w:rsidRPr="00FA15F2">
        <w:rPr>
          <w:iCs/>
          <w:sz w:val="22"/>
          <w:szCs w:val="22"/>
          <w:lang w:val="sr-Latn-RS"/>
        </w:rPr>
        <w:t>ečenja randomizovani su za nastavak l</w:t>
      </w:r>
      <w:r>
        <w:rPr>
          <w:iCs/>
          <w:sz w:val="22"/>
          <w:szCs w:val="22"/>
          <w:lang w:val="sr-Latn-RS"/>
        </w:rPr>
        <w:t>ij</w:t>
      </w:r>
      <w:r w:rsidRPr="00FA15F2">
        <w:rPr>
          <w:iCs/>
          <w:sz w:val="22"/>
          <w:szCs w:val="22"/>
          <w:lang w:val="sr-Latn-RS"/>
        </w:rPr>
        <w:t>ečenja l</w:t>
      </w:r>
      <w:r>
        <w:rPr>
          <w:iCs/>
          <w:sz w:val="22"/>
          <w:szCs w:val="22"/>
          <w:lang w:val="sr-Latn-RS"/>
        </w:rPr>
        <w:t>ij</w:t>
      </w:r>
      <w:r w:rsidRPr="00FA15F2">
        <w:rPr>
          <w:iCs/>
          <w:sz w:val="22"/>
          <w:szCs w:val="22"/>
          <w:lang w:val="sr-Latn-RS"/>
        </w:rPr>
        <w:t>ekom Simponi jednom m</w:t>
      </w:r>
      <w:r>
        <w:rPr>
          <w:iCs/>
          <w:sz w:val="22"/>
          <w:szCs w:val="22"/>
          <w:lang w:val="sr-Latn-RS"/>
        </w:rPr>
        <w:t>j</w:t>
      </w:r>
      <w:r w:rsidRPr="00FA15F2">
        <w:rPr>
          <w:iCs/>
          <w:sz w:val="22"/>
          <w:szCs w:val="22"/>
          <w:lang w:val="sr-Latn-RS"/>
        </w:rPr>
        <w:t>esečno (puni režim l</w:t>
      </w:r>
      <w:r>
        <w:rPr>
          <w:iCs/>
          <w:sz w:val="22"/>
          <w:szCs w:val="22"/>
          <w:lang w:val="sr-Latn-RS"/>
        </w:rPr>
        <w:t>ij</w:t>
      </w:r>
      <w:r w:rsidRPr="00FA15F2">
        <w:rPr>
          <w:iCs/>
          <w:sz w:val="22"/>
          <w:szCs w:val="22"/>
          <w:lang w:val="sr-Latn-RS"/>
        </w:rPr>
        <w:t>ečenja, N = 63), jednom svaka 2 m</w:t>
      </w:r>
      <w:r>
        <w:rPr>
          <w:iCs/>
          <w:sz w:val="22"/>
          <w:szCs w:val="22"/>
          <w:lang w:val="sr-Latn-RS"/>
        </w:rPr>
        <w:t>j</w:t>
      </w:r>
      <w:r w:rsidRPr="00FA15F2">
        <w:rPr>
          <w:iCs/>
          <w:sz w:val="22"/>
          <w:szCs w:val="22"/>
          <w:lang w:val="sr-Latn-RS"/>
        </w:rPr>
        <w:t>eseca (redukovani režim l</w:t>
      </w:r>
      <w:r>
        <w:rPr>
          <w:iCs/>
          <w:sz w:val="22"/>
          <w:szCs w:val="22"/>
          <w:lang w:val="sr-Latn-RS"/>
        </w:rPr>
        <w:t>ij</w:t>
      </w:r>
      <w:r w:rsidRPr="00FA15F2">
        <w:rPr>
          <w:iCs/>
          <w:sz w:val="22"/>
          <w:szCs w:val="22"/>
          <w:lang w:val="sr-Latn-RS"/>
        </w:rPr>
        <w:t>ečenja, N = 63) ili za prim</w:t>
      </w:r>
      <w:r>
        <w:rPr>
          <w:iCs/>
          <w:sz w:val="22"/>
          <w:szCs w:val="22"/>
          <w:lang w:val="sr-Latn-RS"/>
        </w:rPr>
        <w:t>j</w:t>
      </w:r>
      <w:r w:rsidRPr="00FA15F2">
        <w:rPr>
          <w:iCs/>
          <w:sz w:val="22"/>
          <w:szCs w:val="22"/>
          <w:lang w:val="sr-Latn-RS"/>
        </w:rPr>
        <w:t>enu placeba jednom m</w:t>
      </w:r>
      <w:r>
        <w:rPr>
          <w:iCs/>
          <w:sz w:val="22"/>
          <w:szCs w:val="22"/>
          <w:lang w:val="sr-Latn-RS"/>
        </w:rPr>
        <w:t>j</w:t>
      </w:r>
      <w:r w:rsidRPr="00FA15F2">
        <w:rPr>
          <w:iCs/>
          <w:sz w:val="22"/>
          <w:szCs w:val="22"/>
          <w:lang w:val="sr-Latn-RS"/>
        </w:rPr>
        <w:t>esečno (prekid l</w:t>
      </w:r>
      <w:r>
        <w:rPr>
          <w:iCs/>
          <w:sz w:val="22"/>
          <w:szCs w:val="22"/>
          <w:lang w:val="sr-Latn-RS"/>
        </w:rPr>
        <w:t>ij</w:t>
      </w:r>
      <w:r w:rsidRPr="00FA15F2">
        <w:rPr>
          <w:iCs/>
          <w:sz w:val="22"/>
          <w:szCs w:val="22"/>
          <w:lang w:val="sr-Latn-RS"/>
        </w:rPr>
        <w:t>ečenja, N = 62) tokom približno 12 m</w:t>
      </w:r>
      <w:r>
        <w:rPr>
          <w:iCs/>
          <w:sz w:val="22"/>
          <w:szCs w:val="22"/>
          <w:lang w:val="sr-Latn-RS"/>
        </w:rPr>
        <w:t>j</w:t>
      </w:r>
      <w:r w:rsidRPr="00FA15F2">
        <w:rPr>
          <w:iCs/>
          <w:sz w:val="22"/>
          <w:szCs w:val="22"/>
          <w:lang w:val="sr-Latn-RS"/>
        </w:rPr>
        <w:t>eseci.</w:t>
      </w:r>
    </w:p>
    <w:p w14:paraId="4C8CE9C0" w14:textId="77777777" w:rsidR="00682768" w:rsidRPr="00FA15F2" w:rsidRDefault="00682768" w:rsidP="00682768">
      <w:pPr>
        <w:tabs>
          <w:tab w:val="left" w:pos="284"/>
        </w:tabs>
        <w:autoSpaceDE w:val="0"/>
        <w:autoSpaceDN w:val="0"/>
        <w:adjustRightInd w:val="0"/>
        <w:rPr>
          <w:iCs/>
          <w:sz w:val="22"/>
          <w:szCs w:val="22"/>
          <w:lang w:val="sr-Latn-RS"/>
        </w:rPr>
      </w:pPr>
    </w:p>
    <w:p w14:paraId="54F046D6" w14:textId="151A1D39" w:rsidR="00682768" w:rsidRPr="00FA15F2" w:rsidRDefault="00682768" w:rsidP="00682768">
      <w:pPr>
        <w:tabs>
          <w:tab w:val="left" w:pos="284"/>
        </w:tabs>
        <w:autoSpaceDE w:val="0"/>
        <w:autoSpaceDN w:val="0"/>
        <w:adjustRightInd w:val="0"/>
        <w:rPr>
          <w:iCs/>
          <w:sz w:val="22"/>
          <w:szCs w:val="22"/>
          <w:lang w:val="sr-Latn-RS"/>
        </w:rPr>
      </w:pPr>
      <w:r w:rsidRPr="00FA15F2">
        <w:rPr>
          <w:iCs/>
          <w:sz w:val="22"/>
          <w:szCs w:val="22"/>
          <w:lang w:val="sr-Latn-RS"/>
        </w:rPr>
        <w:t xml:space="preserve">Primarni parametar praćenja </w:t>
      </w:r>
      <w:r w:rsidR="00A06D4D" w:rsidRPr="00A06D4D">
        <w:rPr>
          <w:iCs/>
          <w:sz w:val="22"/>
          <w:szCs w:val="22"/>
          <w:lang w:val="sr-Latn-RS"/>
        </w:rPr>
        <w:t xml:space="preserve">parametar praćenja </w:t>
      </w:r>
      <w:r w:rsidRPr="00FA15F2">
        <w:rPr>
          <w:iCs/>
          <w:sz w:val="22"/>
          <w:szCs w:val="22"/>
          <w:lang w:val="sr-Latn-RS"/>
        </w:rPr>
        <w:t>za efikasnost bio je ud</w:t>
      </w:r>
      <w:r>
        <w:rPr>
          <w:iCs/>
          <w:sz w:val="22"/>
          <w:szCs w:val="22"/>
          <w:lang w:val="sr-Latn-RS"/>
        </w:rPr>
        <w:t>i</w:t>
      </w:r>
      <w:r w:rsidRPr="00FA15F2">
        <w:rPr>
          <w:iCs/>
          <w:sz w:val="22"/>
          <w:szCs w:val="22"/>
          <w:lang w:val="sr-Latn-RS"/>
        </w:rPr>
        <w:t>o pacijenata bez pogoršanja aktivnosti bolesti. Pacijenti kod kojih je došlo do pogoršanja bolesti, tj. oni kojima je pri 2 uzastopne proc</w:t>
      </w:r>
      <w:r>
        <w:rPr>
          <w:iCs/>
          <w:sz w:val="22"/>
          <w:szCs w:val="22"/>
          <w:lang w:val="sr-Latn-RS"/>
        </w:rPr>
        <w:t>j</w:t>
      </w:r>
      <w:r w:rsidRPr="00FA15F2">
        <w:rPr>
          <w:iCs/>
          <w:sz w:val="22"/>
          <w:szCs w:val="22"/>
          <w:lang w:val="sr-Latn-RS"/>
        </w:rPr>
        <w:t>ene izm</w:t>
      </w:r>
      <w:r>
        <w:rPr>
          <w:iCs/>
          <w:sz w:val="22"/>
          <w:szCs w:val="22"/>
          <w:lang w:val="sr-Latn-RS"/>
        </w:rPr>
        <w:t>j</w:t>
      </w:r>
      <w:r w:rsidRPr="00FA15F2">
        <w:rPr>
          <w:iCs/>
          <w:sz w:val="22"/>
          <w:szCs w:val="22"/>
          <w:lang w:val="sr-Latn-RS"/>
        </w:rPr>
        <w:t>eren ili apsolutni ASDAS rezultat ≥ 2,1 ili povećanje ASDAS rezultata nakon prekida l</w:t>
      </w:r>
      <w:r>
        <w:rPr>
          <w:iCs/>
          <w:sz w:val="22"/>
          <w:szCs w:val="22"/>
          <w:lang w:val="sr-Latn-RS"/>
        </w:rPr>
        <w:t>ij</w:t>
      </w:r>
      <w:r w:rsidRPr="00FA15F2">
        <w:rPr>
          <w:iCs/>
          <w:sz w:val="22"/>
          <w:szCs w:val="22"/>
          <w:lang w:val="sr-Latn-RS"/>
        </w:rPr>
        <w:t>ečenja za ≥ 1,1 bod u odnosu na rezultat iz 10. m</w:t>
      </w:r>
      <w:r>
        <w:rPr>
          <w:iCs/>
          <w:sz w:val="22"/>
          <w:szCs w:val="22"/>
          <w:lang w:val="sr-Latn-RS"/>
        </w:rPr>
        <w:t>j</w:t>
      </w:r>
      <w:r w:rsidRPr="00FA15F2">
        <w:rPr>
          <w:iCs/>
          <w:sz w:val="22"/>
          <w:szCs w:val="22"/>
          <w:lang w:val="sr-Latn-RS"/>
        </w:rPr>
        <w:t>eseca (završetak perioda otvorenog l</w:t>
      </w:r>
      <w:r>
        <w:rPr>
          <w:iCs/>
          <w:sz w:val="22"/>
          <w:szCs w:val="22"/>
          <w:lang w:val="sr-Latn-RS"/>
        </w:rPr>
        <w:t>ij</w:t>
      </w:r>
      <w:r w:rsidRPr="00FA15F2">
        <w:rPr>
          <w:iCs/>
          <w:sz w:val="22"/>
          <w:szCs w:val="22"/>
          <w:lang w:val="sr-Latn-RS"/>
        </w:rPr>
        <w:t>ečenja), ponovno su počeli da primaju l</w:t>
      </w:r>
      <w:r>
        <w:rPr>
          <w:iCs/>
          <w:sz w:val="22"/>
          <w:szCs w:val="22"/>
          <w:lang w:val="sr-Latn-RS"/>
        </w:rPr>
        <w:t>ij</w:t>
      </w:r>
      <w:r w:rsidRPr="00FA15F2">
        <w:rPr>
          <w:iCs/>
          <w:sz w:val="22"/>
          <w:szCs w:val="22"/>
          <w:lang w:val="sr-Latn-RS"/>
        </w:rPr>
        <w:t>ek Simponi jednom m</w:t>
      </w:r>
      <w:r>
        <w:rPr>
          <w:iCs/>
          <w:sz w:val="22"/>
          <w:szCs w:val="22"/>
          <w:lang w:val="sr-Latn-RS"/>
        </w:rPr>
        <w:t>j</w:t>
      </w:r>
      <w:r w:rsidRPr="00FA15F2">
        <w:rPr>
          <w:iCs/>
          <w:sz w:val="22"/>
          <w:szCs w:val="22"/>
          <w:lang w:val="sr-Latn-RS"/>
        </w:rPr>
        <w:t>esečno u fazi otvorenog ponovnog l</w:t>
      </w:r>
      <w:r>
        <w:rPr>
          <w:iCs/>
          <w:sz w:val="22"/>
          <w:szCs w:val="22"/>
          <w:lang w:val="sr-Latn-RS"/>
        </w:rPr>
        <w:t>ij</w:t>
      </w:r>
      <w:r w:rsidRPr="00FA15F2">
        <w:rPr>
          <w:iCs/>
          <w:sz w:val="22"/>
          <w:szCs w:val="22"/>
          <w:lang w:val="sr-Latn-RS"/>
        </w:rPr>
        <w:t>ečenja da bi se okarakterisao klinički odgovor.</w:t>
      </w:r>
    </w:p>
    <w:p w14:paraId="20DA62A6" w14:textId="77777777" w:rsidR="00682768" w:rsidRPr="00FA15F2" w:rsidRDefault="00682768" w:rsidP="00682768">
      <w:pPr>
        <w:tabs>
          <w:tab w:val="left" w:pos="284"/>
        </w:tabs>
        <w:autoSpaceDE w:val="0"/>
        <w:autoSpaceDN w:val="0"/>
        <w:adjustRightInd w:val="0"/>
        <w:rPr>
          <w:sz w:val="22"/>
          <w:szCs w:val="22"/>
          <w:highlight w:val="yellow"/>
          <w:u w:val="single"/>
          <w:lang w:val="sr-Latn-RS"/>
        </w:rPr>
      </w:pPr>
    </w:p>
    <w:p w14:paraId="75074B26" w14:textId="77777777" w:rsidR="00682768" w:rsidRPr="00FA15F2" w:rsidRDefault="00682768" w:rsidP="00682768">
      <w:pPr>
        <w:keepNext/>
        <w:tabs>
          <w:tab w:val="left" w:pos="284"/>
        </w:tabs>
        <w:autoSpaceDE w:val="0"/>
        <w:autoSpaceDN w:val="0"/>
        <w:adjustRightInd w:val="0"/>
        <w:jc w:val="both"/>
        <w:rPr>
          <w:i/>
          <w:iCs/>
          <w:sz w:val="22"/>
          <w:szCs w:val="22"/>
          <w:lang w:val="sr-Latn-RS"/>
        </w:rPr>
      </w:pPr>
      <w:r w:rsidRPr="00FA15F2">
        <w:rPr>
          <w:i/>
          <w:iCs/>
          <w:sz w:val="22"/>
          <w:szCs w:val="22"/>
          <w:lang w:val="sr-Latn-RS"/>
        </w:rPr>
        <w:t>Klinički odgovor nakon dvostruko sl</w:t>
      </w:r>
      <w:r>
        <w:rPr>
          <w:i/>
          <w:iCs/>
          <w:sz w:val="22"/>
          <w:szCs w:val="22"/>
          <w:lang w:val="sr-Latn-RS"/>
        </w:rPr>
        <w:t>ij</w:t>
      </w:r>
      <w:r w:rsidRPr="00FA15F2">
        <w:rPr>
          <w:i/>
          <w:iCs/>
          <w:sz w:val="22"/>
          <w:szCs w:val="22"/>
          <w:lang w:val="sr-Latn-RS"/>
        </w:rPr>
        <w:t>epog prekida l</w:t>
      </w:r>
      <w:r>
        <w:rPr>
          <w:i/>
          <w:iCs/>
          <w:sz w:val="22"/>
          <w:szCs w:val="22"/>
          <w:lang w:val="sr-Latn-RS"/>
        </w:rPr>
        <w:t>ij</w:t>
      </w:r>
      <w:r w:rsidRPr="00FA15F2">
        <w:rPr>
          <w:i/>
          <w:iCs/>
          <w:sz w:val="22"/>
          <w:szCs w:val="22"/>
          <w:lang w:val="sr-Latn-RS"/>
        </w:rPr>
        <w:t>ečenja</w:t>
      </w:r>
    </w:p>
    <w:p w14:paraId="33DAF0A2" w14:textId="77777777" w:rsidR="00682768" w:rsidRPr="00FA15F2" w:rsidRDefault="00682768" w:rsidP="00682768">
      <w:pPr>
        <w:tabs>
          <w:tab w:val="left" w:pos="284"/>
        </w:tabs>
        <w:autoSpaceDE w:val="0"/>
        <w:autoSpaceDN w:val="0"/>
        <w:adjustRightInd w:val="0"/>
        <w:jc w:val="both"/>
        <w:rPr>
          <w:sz w:val="22"/>
          <w:szCs w:val="22"/>
          <w:lang w:val="sr-Latn-RS"/>
        </w:rPr>
      </w:pPr>
      <w:r w:rsidRPr="00FA15F2">
        <w:rPr>
          <w:sz w:val="22"/>
          <w:szCs w:val="22"/>
          <w:lang w:val="sr-Latn-RS"/>
        </w:rPr>
        <w:t>Među 188 pacijenata sa neaktivnom bolešću koji su primili najmanje jednu dozu u sklopu dvostruko sl</w:t>
      </w:r>
      <w:r>
        <w:rPr>
          <w:sz w:val="22"/>
          <w:szCs w:val="22"/>
          <w:lang w:val="sr-Latn-RS"/>
        </w:rPr>
        <w:t>ij</w:t>
      </w:r>
      <w:r w:rsidRPr="00FA15F2">
        <w:rPr>
          <w:sz w:val="22"/>
          <w:szCs w:val="22"/>
          <w:lang w:val="sr-Latn-RS"/>
        </w:rPr>
        <w:t>epog l</w:t>
      </w:r>
      <w:r>
        <w:rPr>
          <w:sz w:val="22"/>
          <w:szCs w:val="22"/>
          <w:lang w:val="sr-Latn-RS"/>
        </w:rPr>
        <w:t>ij</w:t>
      </w:r>
      <w:r w:rsidRPr="00FA15F2">
        <w:rPr>
          <w:sz w:val="22"/>
          <w:szCs w:val="22"/>
          <w:lang w:val="sr-Latn-RS"/>
        </w:rPr>
        <w:t>ečenja, značajno (p &lt; 0,001) veći udeo pacijenata nije doživ</w:t>
      </w:r>
      <w:r>
        <w:rPr>
          <w:sz w:val="22"/>
          <w:szCs w:val="22"/>
          <w:lang w:val="sr-Latn-RS"/>
        </w:rPr>
        <w:t>i</w:t>
      </w:r>
      <w:r w:rsidRPr="00FA15F2">
        <w:rPr>
          <w:sz w:val="22"/>
          <w:szCs w:val="22"/>
          <w:lang w:val="sr-Latn-RS"/>
        </w:rPr>
        <w:t>o pogoršanje bolesti uz nastavak l</w:t>
      </w:r>
      <w:r>
        <w:rPr>
          <w:sz w:val="22"/>
          <w:szCs w:val="22"/>
          <w:lang w:val="sr-Latn-RS"/>
        </w:rPr>
        <w:t>ije</w:t>
      </w:r>
      <w:r w:rsidRPr="00FA15F2">
        <w:rPr>
          <w:sz w:val="22"/>
          <w:szCs w:val="22"/>
          <w:lang w:val="sr-Latn-RS"/>
        </w:rPr>
        <w:t>čenja l</w:t>
      </w:r>
      <w:r>
        <w:rPr>
          <w:sz w:val="22"/>
          <w:szCs w:val="22"/>
          <w:lang w:val="sr-Latn-RS"/>
        </w:rPr>
        <w:t>ij</w:t>
      </w:r>
      <w:r w:rsidRPr="00FA15F2">
        <w:rPr>
          <w:sz w:val="22"/>
          <w:szCs w:val="22"/>
          <w:lang w:val="sr-Latn-RS"/>
        </w:rPr>
        <w:t>ekom Simponi, bilo u punom (84,1%) ili redukovanom (68,3%) režimu l</w:t>
      </w:r>
      <w:r>
        <w:rPr>
          <w:sz w:val="22"/>
          <w:szCs w:val="22"/>
          <w:lang w:val="sr-Latn-RS"/>
        </w:rPr>
        <w:t>ij</w:t>
      </w:r>
      <w:r w:rsidRPr="00FA15F2">
        <w:rPr>
          <w:sz w:val="22"/>
          <w:szCs w:val="22"/>
          <w:lang w:val="sr-Latn-RS"/>
        </w:rPr>
        <w:t>ečenja, u poređenju sa prekidom l</w:t>
      </w:r>
      <w:r>
        <w:rPr>
          <w:sz w:val="22"/>
          <w:szCs w:val="22"/>
          <w:lang w:val="sr-Latn-RS"/>
        </w:rPr>
        <w:t>ij</w:t>
      </w:r>
      <w:r w:rsidRPr="00FA15F2">
        <w:rPr>
          <w:sz w:val="22"/>
          <w:szCs w:val="22"/>
          <w:lang w:val="sr-Latn-RS"/>
        </w:rPr>
        <w:t>ečenja (33,9%) (</w:t>
      </w:r>
      <w:bookmarkStart w:id="6" w:name="_Hlk132895487"/>
      <w:r w:rsidRPr="00FA15F2">
        <w:rPr>
          <w:sz w:val="22"/>
          <w:szCs w:val="22"/>
          <w:lang w:val="sr-Latn-RS"/>
        </w:rPr>
        <w:t>Tabela</w:t>
      </w:r>
      <w:bookmarkEnd w:id="6"/>
      <w:r w:rsidRPr="00FA15F2">
        <w:rPr>
          <w:sz w:val="22"/>
          <w:szCs w:val="22"/>
          <w:lang w:val="sr-Latn-RS"/>
        </w:rPr>
        <w:t xml:space="preserve"> 7).</w:t>
      </w:r>
    </w:p>
    <w:p w14:paraId="714E4C31" w14:textId="77777777" w:rsidR="00682768" w:rsidRPr="00FA15F2" w:rsidRDefault="00682768" w:rsidP="00682768">
      <w:pPr>
        <w:tabs>
          <w:tab w:val="left" w:pos="284"/>
        </w:tabs>
        <w:autoSpaceDE w:val="0"/>
        <w:autoSpaceDN w:val="0"/>
        <w:adjustRightInd w:val="0"/>
        <w:jc w:val="both"/>
        <w:rPr>
          <w:sz w:val="22"/>
          <w:szCs w:val="22"/>
          <w:lang w:val="sr-Latn-RS"/>
        </w:rPr>
      </w:pPr>
    </w:p>
    <w:p w14:paraId="63CDEFBB" w14:textId="77777777" w:rsidR="00682768" w:rsidRPr="00FA15F2" w:rsidRDefault="00682768" w:rsidP="00682768">
      <w:pPr>
        <w:keepNext/>
        <w:tabs>
          <w:tab w:val="left" w:pos="284"/>
        </w:tabs>
        <w:autoSpaceDE w:val="0"/>
        <w:autoSpaceDN w:val="0"/>
        <w:adjustRightInd w:val="0"/>
        <w:jc w:val="center"/>
        <w:rPr>
          <w:b/>
          <w:bCs/>
          <w:sz w:val="22"/>
          <w:lang w:val="sr-Latn-RS"/>
        </w:rPr>
      </w:pPr>
      <w:r w:rsidRPr="00FA15F2">
        <w:rPr>
          <w:b/>
          <w:bCs/>
          <w:sz w:val="22"/>
          <w:lang w:val="sr-Latn-RS"/>
        </w:rPr>
        <w:lastRenderedPageBreak/>
        <w:t>Tabela 7</w:t>
      </w:r>
    </w:p>
    <w:p w14:paraId="6E72C38E" w14:textId="77777777" w:rsidR="00682768" w:rsidRPr="00FA15F2" w:rsidRDefault="00682768" w:rsidP="00682768">
      <w:pPr>
        <w:keepNext/>
        <w:tabs>
          <w:tab w:val="left" w:pos="284"/>
        </w:tabs>
        <w:autoSpaceDE w:val="0"/>
        <w:autoSpaceDN w:val="0"/>
        <w:adjustRightInd w:val="0"/>
        <w:jc w:val="center"/>
        <w:rPr>
          <w:b/>
          <w:bCs/>
          <w:sz w:val="22"/>
          <w:szCs w:val="22"/>
          <w:vertAlign w:val="superscript"/>
          <w:lang w:val="sr-Latn-RS"/>
        </w:rPr>
      </w:pPr>
      <w:r w:rsidRPr="00FA15F2">
        <w:rPr>
          <w:b/>
          <w:bCs/>
          <w:sz w:val="22"/>
          <w:szCs w:val="22"/>
          <w:lang w:val="sr-Latn-RS"/>
        </w:rPr>
        <w:t>Analiza ud</w:t>
      </w:r>
      <w:r>
        <w:rPr>
          <w:b/>
          <w:bCs/>
          <w:sz w:val="22"/>
          <w:szCs w:val="22"/>
          <w:lang w:val="sr-Latn-RS"/>
        </w:rPr>
        <w:t>j</w:t>
      </w:r>
      <w:r w:rsidRPr="00FA15F2">
        <w:rPr>
          <w:b/>
          <w:bCs/>
          <w:sz w:val="22"/>
          <w:szCs w:val="22"/>
          <w:lang w:val="sr-Latn-RS"/>
        </w:rPr>
        <w:t>ela učesnika bez pogoršanja bolesti</w:t>
      </w:r>
      <w:r w:rsidRPr="00FA15F2">
        <w:rPr>
          <w:b/>
          <w:bCs/>
          <w:sz w:val="22"/>
          <w:szCs w:val="22"/>
          <w:vertAlign w:val="superscript"/>
          <w:lang w:val="sr-Latn-RS"/>
        </w:rPr>
        <w:t>a</w:t>
      </w:r>
    </w:p>
    <w:p w14:paraId="43C50AA2" w14:textId="77777777" w:rsidR="00682768" w:rsidRPr="00FA15F2" w:rsidRDefault="00682768" w:rsidP="00682768">
      <w:pPr>
        <w:keepNext/>
        <w:tabs>
          <w:tab w:val="left" w:pos="284"/>
        </w:tabs>
        <w:autoSpaceDE w:val="0"/>
        <w:autoSpaceDN w:val="0"/>
        <w:adjustRightInd w:val="0"/>
        <w:jc w:val="center"/>
        <w:rPr>
          <w:sz w:val="22"/>
          <w:szCs w:val="22"/>
          <w:lang w:val="sr-Latn-RS"/>
        </w:rPr>
      </w:pPr>
      <w:bookmarkStart w:id="7" w:name="_Hlk132900934"/>
      <w:r w:rsidRPr="00FA15F2">
        <w:rPr>
          <w:b/>
          <w:bCs/>
          <w:sz w:val="22"/>
          <w:szCs w:val="22"/>
          <w:lang w:val="sr-Latn-RS"/>
        </w:rPr>
        <w:t xml:space="preserve">Potpuni skup podataka za analizu </w:t>
      </w:r>
      <w:bookmarkEnd w:id="7"/>
      <w:r w:rsidRPr="00FA15F2">
        <w:rPr>
          <w:b/>
          <w:bCs/>
          <w:sz w:val="22"/>
          <w:szCs w:val="22"/>
          <w:lang w:val="sr-Latn-RS"/>
        </w:rPr>
        <w:t>(2. period – dvostruko sl</w:t>
      </w:r>
      <w:r>
        <w:rPr>
          <w:b/>
          <w:bCs/>
          <w:sz w:val="22"/>
          <w:szCs w:val="22"/>
          <w:lang w:val="sr-Latn-RS"/>
        </w:rPr>
        <w:t>ij</w:t>
      </w:r>
      <w:r w:rsidRPr="00FA15F2">
        <w:rPr>
          <w:b/>
          <w:bCs/>
          <w:sz w:val="22"/>
          <w:szCs w:val="22"/>
          <w:lang w:val="sr-Latn-RS"/>
        </w:rPr>
        <w:t>epo)</w:t>
      </w:r>
    </w:p>
    <w:tbl>
      <w:tblPr>
        <w:tblW w:w="9072" w:type="dxa"/>
        <w:jc w:val="center"/>
        <w:tblBorders>
          <w:top w:val="double" w:sz="6" w:space="0" w:color="auto"/>
          <w:left w:val="single" w:sz="6" w:space="0" w:color="auto"/>
          <w:bottom w:val="double" w:sz="6" w:space="0" w:color="auto"/>
          <w:right w:val="single" w:sz="6" w:space="0" w:color="auto"/>
        </w:tblBorders>
        <w:tblLayout w:type="fixed"/>
        <w:tblLook w:val="0000" w:firstRow="0" w:lastRow="0" w:firstColumn="0" w:lastColumn="0" w:noHBand="0" w:noVBand="0"/>
      </w:tblPr>
      <w:tblGrid>
        <w:gridCol w:w="2672"/>
        <w:gridCol w:w="1098"/>
        <w:gridCol w:w="1178"/>
        <w:gridCol w:w="2356"/>
        <w:gridCol w:w="1768"/>
      </w:tblGrid>
      <w:tr w:rsidR="00682768" w:rsidRPr="00FA15F2" w14:paraId="6B1C02B2" w14:textId="77777777" w:rsidTr="00BC1FCA">
        <w:trPr>
          <w:jc w:val="center"/>
        </w:trPr>
        <w:tc>
          <w:tcPr>
            <w:tcW w:w="2544" w:type="dxa"/>
            <w:tcBorders>
              <w:top w:val="single" w:sz="4" w:space="0" w:color="auto"/>
              <w:bottom w:val="nil"/>
              <w:right w:val="single" w:sz="2" w:space="0" w:color="auto"/>
            </w:tcBorders>
            <w:vAlign w:val="center"/>
          </w:tcPr>
          <w:p w14:paraId="7935BFFD" w14:textId="77777777" w:rsidR="00682768" w:rsidRPr="00FA15F2" w:rsidRDefault="00682768" w:rsidP="00BC1FCA">
            <w:pPr>
              <w:keepNext/>
              <w:widowControl w:val="0"/>
              <w:tabs>
                <w:tab w:val="left" w:pos="284"/>
              </w:tabs>
              <w:autoSpaceDE w:val="0"/>
              <w:autoSpaceDN w:val="0"/>
              <w:adjustRightInd w:val="0"/>
              <w:jc w:val="both"/>
              <w:rPr>
                <w:b/>
                <w:bCs/>
                <w:sz w:val="22"/>
                <w:szCs w:val="22"/>
                <w:lang w:val="sr-Latn-RS"/>
              </w:rPr>
            </w:pPr>
          </w:p>
        </w:tc>
        <w:tc>
          <w:tcPr>
            <w:tcW w:w="1046" w:type="dxa"/>
            <w:tcBorders>
              <w:top w:val="single" w:sz="4" w:space="0" w:color="auto"/>
              <w:left w:val="nil"/>
              <w:bottom w:val="nil"/>
              <w:right w:val="single" w:sz="2" w:space="0" w:color="auto"/>
            </w:tcBorders>
            <w:vAlign w:val="center"/>
          </w:tcPr>
          <w:p w14:paraId="1E1356A1" w14:textId="77777777" w:rsidR="00682768" w:rsidRPr="00FA15F2" w:rsidRDefault="00682768" w:rsidP="00BC1FCA">
            <w:pPr>
              <w:keepNext/>
              <w:widowControl w:val="0"/>
              <w:tabs>
                <w:tab w:val="left" w:pos="284"/>
              </w:tabs>
              <w:autoSpaceDE w:val="0"/>
              <w:autoSpaceDN w:val="0"/>
              <w:adjustRightInd w:val="0"/>
              <w:jc w:val="center"/>
              <w:rPr>
                <w:b/>
                <w:bCs/>
                <w:sz w:val="22"/>
                <w:szCs w:val="22"/>
                <w:lang w:val="sr-Latn-RS"/>
              </w:rPr>
            </w:pPr>
          </w:p>
        </w:tc>
        <w:tc>
          <w:tcPr>
            <w:tcW w:w="1122" w:type="dxa"/>
            <w:tcBorders>
              <w:top w:val="single" w:sz="4" w:space="0" w:color="auto"/>
              <w:left w:val="nil"/>
              <w:bottom w:val="nil"/>
              <w:right w:val="single" w:sz="2" w:space="0" w:color="auto"/>
            </w:tcBorders>
            <w:vAlign w:val="center"/>
          </w:tcPr>
          <w:p w14:paraId="66EF32EE" w14:textId="77777777" w:rsidR="00682768" w:rsidRPr="00FA15F2" w:rsidRDefault="00682768" w:rsidP="00BC1FCA">
            <w:pPr>
              <w:keepNext/>
              <w:widowControl w:val="0"/>
              <w:tabs>
                <w:tab w:val="left" w:pos="284"/>
              </w:tabs>
              <w:autoSpaceDE w:val="0"/>
              <w:autoSpaceDN w:val="0"/>
              <w:adjustRightInd w:val="0"/>
              <w:jc w:val="center"/>
              <w:rPr>
                <w:b/>
                <w:bCs/>
                <w:sz w:val="22"/>
                <w:szCs w:val="22"/>
                <w:lang w:val="sr-Latn-RS"/>
              </w:rPr>
            </w:pPr>
          </w:p>
        </w:tc>
        <w:tc>
          <w:tcPr>
            <w:tcW w:w="3928" w:type="dxa"/>
            <w:gridSpan w:val="2"/>
            <w:tcBorders>
              <w:top w:val="single" w:sz="4" w:space="0" w:color="auto"/>
              <w:left w:val="nil"/>
              <w:bottom w:val="single" w:sz="4" w:space="0" w:color="auto"/>
            </w:tcBorders>
            <w:vAlign w:val="center"/>
          </w:tcPr>
          <w:p w14:paraId="0181C981" w14:textId="77777777" w:rsidR="00682768" w:rsidRPr="00FA15F2" w:rsidRDefault="00682768" w:rsidP="00BC1FCA">
            <w:pPr>
              <w:keepNext/>
              <w:widowControl w:val="0"/>
              <w:tabs>
                <w:tab w:val="left" w:pos="284"/>
              </w:tabs>
              <w:autoSpaceDE w:val="0"/>
              <w:autoSpaceDN w:val="0"/>
              <w:adjustRightInd w:val="0"/>
              <w:jc w:val="center"/>
              <w:rPr>
                <w:b/>
                <w:bCs/>
                <w:sz w:val="22"/>
                <w:szCs w:val="22"/>
                <w:lang w:val="sr-Latn-RS"/>
              </w:rPr>
            </w:pPr>
            <w:r w:rsidRPr="00FA15F2">
              <w:rPr>
                <w:b/>
                <w:bCs/>
                <w:sz w:val="22"/>
                <w:szCs w:val="22"/>
                <w:lang w:val="sr-Latn-RS"/>
              </w:rPr>
              <w:t>Razlika u odnosu na placebo (%)</w:t>
            </w:r>
          </w:p>
        </w:tc>
      </w:tr>
      <w:tr w:rsidR="00682768" w:rsidRPr="00FA15F2" w14:paraId="65D8FEA2" w14:textId="77777777" w:rsidTr="00BC1FCA">
        <w:tblPrEx>
          <w:tblBorders>
            <w:top w:val="single" w:sz="6" w:space="0" w:color="auto"/>
            <w:bottom w:val="single" w:sz="6" w:space="0" w:color="auto"/>
          </w:tblBorders>
        </w:tblPrEx>
        <w:trPr>
          <w:jc w:val="center"/>
        </w:trPr>
        <w:tc>
          <w:tcPr>
            <w:tcW w:w="2544" w:type="dxa"/>
            <w:tcBorders>
              <w:top w:val="nil"/>
              <w:bottom w:val="single" w:sz="2" w:space="0" w:color="auto"/>
              <w:right w:val="single" w:sz="2" w:space="0" w:color="auto"/>
            </w:tcBorders>
            <w:vAlign w:val="center"/>
          </w:tcPr>
          <w:p w14:paraId="2CA066A5" w14:textId="77777777" w:rsidR="00682768" w:rsidRPr="00FA15F2" w:rsidRDefault="00682768" w:rsidP="00BC1FCA">
            <w:pPr>
              <w:keepNext/>
              <w:widowControl w:val="0"/>
              <w:tabs>
                <w:tab w:val="left" w:pos="284"/>
              </w:tabs>
              <w:autoSpaceDE w:val="0"/>
              <w:autoSpaceDN w:val="0"/>
              <w:adjustRightInd w:val="0"/>
              <w:jc w:val="both"/>
              <w:rPr>
                <w:b/>
                <w:bCs/>
                <w:sz w:val="22"/>
                <w:szCs w:val="22"/>
                <w:lang w:val="sr-Latn-RS"/>
              </w:rPr>
            </w:pPr>
            <w:r w:rsidRPr="00FA15F2">
              <w:rPr>
                <w:b/>
                <w:bCs/>
                <w:sz w:val="22"/>
                <w:szCs w:val="22"/>
                <w:lang w:val="sr-Latn-RS"/>
              </w:rPr>
              <w:t>L</w:t>
            </w:r>
            <w:r>
              <w:rPr>
                <w:b/>
                <w:bCs/>
                <w:sz w:val="22"/>
                <w:szCs w:val="22"/>
                <w:lang w:val="sr-Latn-RS"/>
              </w:rPr>
              <w:t>ij</w:t>
            </w:r>
            <w:r w:rsidRPr="00FA15F2">
              <w:rPr>
                <w:b/>
                <w:bCs/>
                <w:sz w:val="22"/>
                <w:szCs w:val="22"/>
                <w:lang w:val="sr-Latn-RS"/>
              </w:rPr>
              <w:t>ečenje</w:t>
            </w:r>
          </w:p>
        </w:tc>
        <w:tc>
          <w:tcPr>
            <w:tcW w:w="1046" w:type="dxa"/>
            <w:tcBorders>
              <w:top w:val="nil"/>
              <w:left w:val="nil"/>
              <w:bottom w:val="single" w:sz="2" w:space="0" w:color="auto"/>
              <w:right w:val="single" w:sz="2" w:space="0" w:color="auto"/>
            </w:tcBorders>
            <w:vAlign w:val="center"/>
          </w:tcPr>
          <w:p w14:paraId="208E9040" w14:textId="77777777" w:rsidR="00682768" w:rsidRPr="00FA15F2" w:rsidRDefault="00682768" w:rsidP="00BC1FCA">
            <w:pPr>
              <w:keepNext/>
              <w:widowControl w:val="0"/>
              <w:tabs>
                <w:tab w:val="left" w:pos="284"/>
              </w:tabs>
              <w:autoSpaceDE w:val="0"/>
              <w:autoSpaceDN w:val="0"/>
              <w:adjustRightInd w:val="0"/>
              <w:jc w:val="center"/>
              <w:rPr>
                <w:b/>
                <w:bCs/>
                <w:sz w:val="22"/>
                <w:szCs w:val="22"/>
                <w:lang w:val="sr-Latn-RS"/>
              </w:rPr>
            </w:pPr>
            <w:r w:rsidRPr="00FA15F2">
              <w:rPr>
                <w:b/>
                <w:bCs/>
                <w:sz w:val="22"/>
                <w:szCs w:val="22"/>
                <w:lang w:val="sr-Latn-RS"/>
              </w:rPr>
              <w:t>n/N</w:t>
            </w:r>
          </w:p>
        </w:tc>
        <w:tc>
          <w:tcPr>
            <w:tcW w:w="1122" w:type="dxa"/>
            <w:tcBorders>
              <w:top w:val="nil"/>
              <w:left w:val="nil"/>
              <w:bottom w:val="single" w:sz="2" w:space="0" w:color="auto"/>
              <w:right w:val="single" w:sz="2" w:space="0" w:color="auto"/>
            </w:tcBorders>
            <w:vAlign w:val="center"/>
          </w:tcPr>
          <w:p w14:paraId="1840A598" w14:textId="77777777" w:rsidR="00682768" w:rsidRPr="00FA15F2" w:rsidRDefault="00682768" w:rsidP="00BC1FCA">
            <w:pPr>
              <w:keepNext/>
              <w:widowControl w:val="0"/>
              <w:tabs>
                <w:tab w:val="left" w:pos="284"/>
              </w:tabs>
              <w:autoSpaceDE w:val="0"/>
              <w:autoSpaceDN w:val="0"/>
              <w:adjustRightInd w:val="0"/>
              <w:jc w:val="center"/>
              <w:rPr>
                <w:b/>
                <w:bCs/>
                <w:sz w:val="22"/>
                <w:szCs w:val="22"/>
                <w:lang w:val="sr-Latn-RS"/>
              </w:rPr>
            </w:pPr>
            <w:r w:rsidRPr="00FA15F2">
              <w:rPr>
                <w:b/>
                <w:bCs/>
                <w:sz w:val="22"/>
                <w:szCs w:val="22"/>
                <w:lang w:val="sr-Latn-RS"/>
              </w:rPr>
              <w:t>%</w:t>
            </w:r>
          </w:p>
        </w:tc>
        <w:tc>
          <w:tcPr>
            <w:tcW w:w="2244" w:type="dxa"/>
            <w:tcBorders>
              <w:top w:val="single" w:sz="4" w:space="0" w:color="auto"/>
              <w:left w:val="nil"/>
              <w:bottom w:val="single" w:sz="2" w:space="0" w:color="auto"/>
              <w:right w:val="single" w:sz="2" w:space="0" w:color="auto"/>
            </w:tcBorders>
            <w:vAlign w:val="center"/>
          </w:tcPr>
          <w:p w14:paraId="031D707E" w14:textId="77777777" w:rsidR="00682768" w:rsidRPr="00FA15F2" w:rsidRDefault="00682768" w:rsidP="00BC1FCA">
            <w:pPr>
              <w:keepNext/>
              <w:widowControl w:val="0"/>
              <w:tabs>
                <w:tab w:val="left" w:pos="284"/>
              </w:tabs>
              <w:autoSpaceDE w:val="0"/>
              <w:autoSpaceDN w:val="0"/>
              <w:adjustRightInd w:val="0"/>
              <w:jc w:val="center"/>
              <w:rPr>
                <w:b/>
                <w:bCs/>
                <w:sz w:val="22"/>
                <w:szCs w:val="22"/>
                <w:lang w:val="sr-Latn-RS"/>
              </w:rPr>
            </w:pPr>
            <w:r w:rsidRPr="00FA15F2">
              <w:rPr>
                <w:b/>
                <w:bCs/>
                <w:sz w:val="22"/>
                <w:szCs w:val="22"/>
                <w:lang w:val="sr-Latn-RS"/>
              </w:rPr>
              <w:t>Proc</w:t>
            </w:r>
            <w:r>
              <w:rPr>
                <w:b/>
                <w:bCs/>
                <w:sz w:val="22"/>
                <w:szCs w:val="22"/>
                <w:lang w:val="sr-Latn-RS"/>
              </w:rPr>
              <w:t>j</w:t>
            </w:r>
            <w:r w:rsidRPr="00FA15F2">
              <w:rPr>
                <w:b/>
                <w:bCs/>
                <w:sz w:val="22"/>
                <w:szCs w:val="22"/>
                <w:lang w:val="sr-Latn-RS"/>
              </w:rPr>
              <w:t>ena (95% CI)</w:t>
            </w:r>
            <w:r w:rsidRPr="00FA15F2">
              <w:rPr>
                <w:b/>
                <w:bCs/>
                <w:sz w:val="22"/>
                <w:szCs w:val="22"/>
                <w:vertAlign w:val="superscript"/>
                <w:lang w:val="sr-Latn-RS"/>
              </w:rPr>
              <w:t>b</w:t>
            </w:r>
          </w:p>
        </w:tc>
        <w:tc>
          <w:tcPr>
            <w:tcW w:w="1684" w:type="dxa"/>
            <w:tcBorders>
              <w:top w:val="single" w:sz="4" w:space="0" w:color="auto"/>
              <w:left w:val="nil"/>
              <w:bottom w:val="single" w:sz="2" w:space="0" w:color="auto"/>
            </w:tcBorders>
            <w:vAlign w:val="center"/>
          </w:tcPr>
          <w:p w14:paraId="1B715510" w14:textId="77777777" w:rsidR="00682768" w:rsidRPr="00FA15F2" w:rsidRDefault="00682768" w:rsidP="00BC1FCA">
            <w:pPr>
              <w:keepNext/>
              <w:widowControl w:val="0"/>
              <w:tabs>
                <w:tab w:val="left" w:pos="284"/>
              </w:tabs>
              <w:autoSpaceDE w:val="0"/>
              <w:autoSpaceDN w:val="0"/>
              <w:adjustRightInd w:val="0"/>
              <w:jc w:val="center"/>
              <w:rPr>
                <w:b/>
                <w:bCs/>
                <w:sz w:val="22"/>
                <w:szCs w:val="22"/>
                <w:lang w:val="sr-Latn-RS"/>
              </w:rPr>
            </w:pPr>
            <w:r w:rsidRPr="00FA15F2">
              <w:rPr>
                <w:b/>
                <w:bCs/>
                <w:sz w:val="22"/>
                <w:szCs w:val="22"/>
                <w:lang w:val="sr-Latn-RS"/>
              </w:rPr>
              <w:t>p</w:t>
            </w:r>
            <w:r w:rsidRPr="00FA15F2">
              <w:rPr>
                <w:b/>
                <w:bCs/>
                <w:sz w:val="22"/>
                <w:szCs w:val="22"/>
                <w:lang w:val="sr-Latn-RS"/>
              </w:rPr>
              <w:noBreakHyphen/>
              <w:t>vr</w:t>
            </w:r>
            <w:r>
              <w:rPr>
                <w:b/>
                <w:bCs/>
                <w:sz w:val="22"/>
                <w:szCs w:val="22"/>
                <w:lang w:val="sr-Latn-RS"/>
              </w:rPr>
              <w:t>ij</w:t>
            </w:r>
            <w:r w:rsidRPr="00FA15F2">
              <w:rPr>
                <w:b/>
                <w:bCs/>
                <w:sz w:val="22"/>
                <w:szCs w:val="22"/>
                <w:lang w:val="sr-Latn-RS"/>
              </w:rPr>
              <w:t>ednost</w:t>
            </w:r>
            <w:r w:rsidRPr="00FA15F2">
              <w:rPr>
                <w:b/>
                <w:bCs/>
                <w:sz w:val="22"/>
                <w:szCs w:val="22"/>
                <w:vertAlign w:val="superscript"/>
                <w:lang w:val="sr-Latn-RS"/>
              </w:rPr>
              <w:t>b</w:t>
            </w:r>
          </w:p>
        </w:tc>
      </w:tr>
      <w:tr w:rsidR="00682768" w:rsidRPr="00FA15F2" w14:paraId="1F275EB6" w14:textId="77777777" w:rsidTr="00BC1FCA">
        <w:tblPrEx>
          <w:tblBorders>
            <w:top w:val="single" w:sz="6" w:space="0" w:color="auto"/>
            <w:bottom w:val="single" w:sz="6" w:space="0" w:color="auto"/>
          </w:tblBorders>
        </w:tblPrEx>
        <w:trPr>
          <w:jc w:val="center"/>
        </w:trPr>
        <w:tc>
          <w:tcPr>
            <w:tcW w:w="2544" w:type="dxa"/>
            <w:tcBorders>
              <w:top w:val="single" w:sz="2" w:space="0" w:color="auto"/>
              <w:bottom w:val="nil"/>
              <w:right w:val="single" w:sz="2" w:space="0" w:color="auto"/>
            </w:tcBorders>
          </w:tcPr>
          <w:p w14:paraId="50AD8A0E" w14:textId="77777777" w:rsidR="00682768" w:rsidRPr="00FA15F2" w:rsidRDefault="00682768" w:rsidP="00BC1FCA">
            <w:pPr>
              <w:tabs>
                <w:tab w:val="left" w:pos="284"/>
              </w:tabs>
              <w:jc w:val="both"/>
              <w:rPr>
                <w:sz w:val="22"/>
                <w:szCs w:val="22"/>
                <w:lang w:val="sr-Latn-RS"/>
              </w:rPr>
            </w:pPr>
            <w:r w:rsidRPr="00FA15F2">
              <w:rPr>
                <w:sz w:val="22"/>
                <w:szCs w:val="22"/>
                <w:lang w:val="sr-Latn-RS"/>
              </w:rPr>
              <w:t>GLM s.c. 1 x m</w:t>
            </w:r>
            <w:r>
              <w:rPr>
                <w:sz w:val="22"/>
                <w:szCs w:val="22"/>
                <w:lang w:val="sr-Latn-RS"/>
              </w:rPr>
              <w:t>j</w:t>
            </w:r>
            <w:r w:rsidRPr="00FA15F2">
              <w:rPr>
                <w:sz w:val="22"/>
                <w:szCs w:val="22"/>
                <w:lang w:val="sr-Latn-RS"/>
              </w:rPr>
              <w:t>esečno</w:t>
            </w:r>
          </w:p>
        </w:tc>
        <w:tc>
          <w:tcPr>
            <w:tcW w:w="1046" w:type="dxa"/>
            <w:tcBorders>
              <w:top w:val="single" w:sz="2" w:space="0" w:color="auto"/>
              <w:left w:val="nil"/>
              <w:bottom w:val="nil"/>
              <w:right w:val="single" w:sz="2" w:space="0" w:color="auto"/>
            </w:tcBorders>
            <w:vAlign w:val="center"/>
          </w:tcPr>
          <w:p w14:paraId="2C9628EF" w14:textId="77777777" w:rsidR="00682768" w:rsidRPr="00FA15F2" w:rsidRDefault="00682768" w:rsidP="00BC1FCA">
            <w:pPr>
              <w:widowControl w:val="0"/>
              <w:tabs>
                <w:tab w:val="left" w:pos="284"/>
              </w:tabs>
              <w:autoSpaceDE w:val="0"/>
              <w:autoSpaceDN w:val="0"/>
              <w:adjustRightInd w:val="0"/>
              <w:jc w:val="center"/>
              <w:rPr>
                <w:sz w:val="22"/>
                <w:szCs w:val="22"/>
                <w:lang w:val="sr-Latn-RS"/>
              </w:rPr>
            </w:pPr>
            <w:r w:rsidRPr="00FA15F2">
              <w:rPr>
                <w:sz w:val="22"/>
                <w:szCs w:val="22"/>
                <w:lang w:val="sr-Latn-RS"/>
              </w:rPr>
              <w:t>53/63</w:t>
            </w:r>
          </w:p>
        </w:tc>
        <w:tc>
          <w:tcPr>
            <w:tcW w:w="1122" w:type="dxa"/>
            <w:tcBorders>
              <w:top w:val="single" w:sz="2" w:space="0" w:color="auto"/>
              <w:left w:val="nil"/>
              <w:bottom w:val="nil"/>
              <w:right w:val="single" w:sz="2" w:space="0" w:color="auto"/>
            </w:tcBorders>
            <w:vAlign w:val="center"/>
          </w:tcPr>
          <w:p w14:paraId="17AD173E" w14:textId="77777777" w:rsidR="00682768" w:rsidRPr="00FA15F2" w:rsidRDefault="00682768" w:rsidP="00BC1FCA">
            <w:pPr>
              <w:widowControl w:val="0"/>
              <w:tabs>
                <w:tab w:val="left" w:pos="284"/>
              </w:tabs>
              <w:autoSpaceDE w:val="0"/>
              <w:autoSpaceDN w:val="0"/>
              <w:adjustRightInd w:val="0"/>
              <w:jc w:val="center"/>
              <w:rPr>
                <w:sz w:val="22"/>
                <w:szCs w:val="22"/>
                <w:lang w:val="sr-Latn-RS"/>
              </w:rPr>
            </w:pPr>
            <w:r w:rsidRPr="00FA15F2">
              <w:rPr>
                <w:sz w:val="22"/>
                <w:szCs w:val="22"/>
                <w:lang w:val="sr-Latn-RS"/>
              </w:rPr>
              <w:t>84,1</w:t>
            </w:r>
          </w:p>
        </w:tc>
        <w:tc>
          <w:tcPr>
            <w:tcW w:w="2244" w:type="dxa"/>
            <w:tcBorders>
              <w:top w:val="single" w:sz="2" w:space="0" w:color="auto"/>
              <w:left w:val="nil"/>
              <w:bottom w:val="nil"/>
              <w:right w:val="single" w:sz="2" w:space="0" w:color="auto"/>
            </w:tcBorders>
            <w:vAlign w:val="center"/>
          </w:tcPr>
          <w:p w14:paraId="666164C3" w14:textId="77777777" w:rsidR="00682768" w:rsidRPr="00FA15F2" w:rsidRDefault="00682768" w:rsidP="00BC1FCA">
            <w:pPr>
              <w:widowControl w:val="0"/>
              <w:tabs>
                <w:tab w:val="left" w:pos="284"/>
              </w:tabs>
              <w:autoSpaceDE w:val="0"/>
              <w:autoSpaceDN w:val="0"/>
              <w:adjustRightInd w:val="0"/>
              <w:jc w:val="center"/>
              <w:rPr>
                <w:sz w:val="22"/>
                <w:szCs w:val="22"/>
                <w:lang w:val="sr-Latn-RS"/>
              </w:rPr>
            </w:pPr>
            <w:r w:rsidRPr="00FA15F2">
              <w:rPr>
                <w:sz w:val="22"/>
                <w:szCs w:val="22"/>
                <w:lang w:val="sr-Latn-RS"/>
              </w:rPr>
              <w:t>50,2 (34,1; 63,6)</w:t>
            </w:r>
          </w:p>
        </w:tc>
        <w:tc>
          <w:tcPr>
            <w:tcW w:w="1684" w:type="dxa"/>
            <w:tcBorders>
              <w:top w:val="single" w:sz="2" w:space="0" w:color="auto"/>
              <w:left w:val="nil"/>
              <w:bottom w:val="nil"/>
            </w:tcBorders>
            <w:vAlign w:val="center"/>
          </w:tcPr>
          <w:p w14:paraId="4163725E" w14:textId="77777777" w:rsidR="00682768" w:rsidRPr="00FA15F2" w:rsidRDefault="00682768" w:rsidP="00BC1FCA">
            <w:pPr>
              <w:widowControl w:val="0"/>
              <w:tabs>
                <w:tab w:val="left" w:pos="284"/>
              </w:tabs>
              <w:autoSpaceDE w:val="0"/>
              <w:autoSpaceDN w:val="0"/>
              <w:adjustRightInd w:val="0"/>
              <w:jc w:val="center"/>
              <w:rPr>
                <w:sz w:val="22"/>
                <w:szCs w:val="22"/>
                <w:lang w:val="sr-Latn-RS"/>
              </w:rPr>
            </w:pPr>
            <w:r w:rsidRPr="00FA15F2">
              <w:rPr>
                <w:sz w:val="22"/>
                <w:szCs w:val="22"/>
                <w:lang w:val="sr-Latn-RS"/>
              </w:rPr>
              <w:t>&lt; 0,001</w:t>
            </w:r>
          </w:p>
        </w:tc>
      </w:tr>
      <w:tr w:rsidR="00682768" w:rsidRPr="00FA15F2" w14:paraId="5654ABC2" w14:textId="77777777" w:rsidTr="00BC1FCA">
        <w:tblPrEx>
          <w:tblBorders>
            <w:top w:val="single" w:sz="6" w:space="0" w:color="auto"/>
            <w:bottom w:val="single" w:sz="6" w:space="0" w:color="auto"/>
          </w:tblBorders>
        </w:tblPrEx>
        <w:trPr>
          <w:jc w:val="center"/>
        </w:trPr>
        <w:tc>
          <w:tcPr>
            <w:tcW w:w="2544" w:type="dxa"/>
            <w:tcBorders>
              <w:top w:val="nil"/>
              <w:bottom w:val="nil"/>
              <w:right w:val="single" w:sz="2" w:space="0" w:color="auto"/>
            </w:tcBorders>
          </w:tcPr>
          <w:p w14:paraId="4469286F" w14:textId="77777777" w:rsidR="00682768" w:rsidRPr="00FA15F2" w:rsidRDefault="00682768" w:rsidP="00BC1FCA">
            <w:pPr>
              <w:tabs>
                <w:tab w:val="left" w:pos="284"/>
              </w:tabs>
              <w:jc w:val="both"/>
              <w:rPr>
                <w:sz w:val="22"/>
                <w:szCs w:val="22"/>
                <w:lang w:val="sr-Latn-RS"/>
              </w:rPr>
            </w:pPr>
            <w:r w:rsidRPr="00FA15F2">
              <w:rPr>
                <w:sz w:val="22"/>
                <w:szCs w:val="22"/>
                <w:lang w:val="sr-Latn-RS"/>
              </w:rPr>
              <w:t>GLM s.c. svaka 2 m</w:t>
            </w:r>
            <w:r>
              <w:rPr>
                <w:sz w:val="22"/>
                <w:szCs w:val="22"/>
                <w:lang w:val="sr-Latn-RS"/>
              </w:rPr>
              <w:t>j</w:t>
            </w:r>
            <w:r w:rsidRPr="00FA15F2">
              <w:rPr>
                <w:sz w:val="22"/>
                <w:szCs w:val="22"/>
                <w:lang w:val="sr-Latn-RS"/>
              </w:rPr>
              <w:t>eseca</w:t>
            </w:r>
          </w:p>
        </w:tc>
        <w:tc>
          <w:tcPr>
            <w:tcW w:w="1046" w:type="dxa"/>
            <w:tcBorders>
              <w:top w:val="nil"/>
              <w:left w:val="nil"/>
              <w:bottom w:val="nil"/>
              <w:right w:val="single" w:sz="2" w:space="0" w:color="auto"/>
            </w:tcBorders>
            <w:vAlign w:val="center"/>
          </w:tcPr>
          <w:p w14:paraId="11410CA2" w14:textId="77777777" w:rsidR="00682768" w:rsidRPr="00FA15F2" w:rsidRDefault="00682768" w:rsidP="00BC1FCA">
            <w:pPr>
              <w:widowControl w:val="0"/>
              <w:tabs>
                <w:tab w:val="left" w:pos="284"/>
              </w:tabs>
              <w:autoSpaceDE w:val="0"/>
              <w:autoSpaceDN w:val="0"/>
              <w:adjustRightInd w:val="0"/>
              <w:jc w:val="center"/>
              <w:rPr>
                <w:sz w:val="22"/>
                <w:szCs w:val="22"/>
                <w:lang w:val="sr-Latn-RS"/>
              </w:rPr>
            </w:pPr>
            <w:r w:rsidRPr="00FA15F2">
              <w:rPr>
                <w:sz w:val="22"/>
                <w:szCs w:val="22"/>
                <w:lang w:val="sr-Latn-RS"/>
              </w:rPr>
              <w:t>43/63</w:t>
            </w:r>
          </w:p>
        </w:tc>
        <w:tc>
          <w:tcPr>
            <w:tcW w:w="1122" w:type="dxa"/>
            <w:tcBorders>
              <w:top w:val="nil"/>
              <w:left w:val="nil"/>
              <w:bottom w:val="nil"/>
              <w:right w:val="single" w:sz="2" w:space="0" w:color="auto"/>
            </w:tcBorders>
            <w:vAlign w:val="center"/>
          </w:tcPr>
          <w:p w14:paraId="078E6252" w14:textId="77777777" w:rsidR="00682768" w:rsidRPr="00FA15F2" w:rsidRDefault="00682768" w:rsidP="00BC1FCA">
            <w:pPr>
              <w:widowControl w:val="0"/>
              <w:tabs>
                <w:tab w:val="left" w:pos="284"/>
              </w:tabs>
              <w:autoSpaceDE w:val="0"/>
              <w:autoSpaceDN w:val="0"/>
              <w:adjustRightInd w:val="0"/>
              <w:jc w:val="center"/>
              <w:rPr>
                <w:sz w:val="22"/>
                <w:szCs w:val="22"/>
                <w:lang w:val="sr-Latn-RS"/>
              </w:rPr>
            </w:pPr>
            <w:r w:rsidRPr="00FA15F2">
              <w:rPr>
                <w:sz w:val="22"/>
                <w:szCs w:val="22"/>
                <w:lang w:val="sr-Latn-RS"/>
              </w:rPr>
              <w:t>68,3</w:t>
            </w:r>
          </w:p>
        </w:tc>
        <w:tc>
          <w:tcPr>
            <w:tcW w:w="2244" w:type="dxa"/>
            <w:tcBorders>
              <w:top w:val="nil"/>
              <w:left w:val="nil"/>
              <w:bottom w:val="nil"/>
              <w:right w:val="single" w:sz="2" w:space="0" w:color="auto"/>
            </w:tcBorders>
            <w:vAlign w:val="center"/>
          </w:tcPr>
          <w:p w14:paraId="7C5E917E" w14:textId="77777777" w:rsidR="00682768" w:rsidRPr="00FA15F2" w:rsidRDefault="00682768" w:rsidP="00BC1FCA">
            <w:pPr>
              <w:widowControl w:val="0"/>
              <w:tabs>
                <w:tab w:val="left" w:pos="284"/>
              </w:tabs>
              <w:autoSpaceDE w:val="0"/>
              <w:autoSpaceDN w:val="0"/>
              <w:adjustRightInd w:val="0"/>
              <w:jc w:val="center"/>
              <w:rPr>
                <w:sz w:val="22"/>
                <w:szCs w:val="22"/>
                <w:lang w:val="sr-Latn-RS"/>
              </w:rPr>
            </w:pPr>
            <w:r w:rsidRPr="00FA15F2">
              <w:rPr>
                <w:sz w:val="22"/>
                <w:szCs w:val="22"/>
                <w:lang w:val="sr-Latn-RS"/>
              </w:rPr>
              <w:t>34,4 (17,0; 49,7)</w:t>
            </w:r>
          </w:p>
        </w:tc>
        <w:tc>
          <w:tcPr>
            <w:tcW w:w="1684" w:type="dxa"/>
            <w:tcBorders>
              <w:top w:val="nil"/>
              <w:left w:val="nil"/>
              <w:bottom w:val="nil"/>
            </w:tcBorders>
            <w:vAlign w:val="center"/>
          </w:tcPr>
          <w:p w14:paraId="53008755" w14:textId="77777777" w:rsidR="00682768" w:rsidRPr="00FA15F2" w:rsidRDefault="00682768" w:rsidP="00BC1FCA">
            <w:pPr>
              <w:widowControl w:val="0"/>
              <w:tabs>
                <w:tab w:val="left" w:pos="284"/>
              </w:tabs>
              <w:autoSpaceDE w:val="0"/>
              <w:autoSpaceDN w:val="0"/>
              <w:adjustRightInd w:val="0"/>
              <w:jc w:val="center"/>
              <w:rPr>
                <w:sz w:val="22"/>
                <w:szCs w:val="22"/>
                <w:lang w:val="sr-Latn-RS"/>
              </w:rPr>
            </w:pPr>
            <w:r w:rsidRPr="00FA15F2">
              <w:rPr>
                <w:sz w:val="22"/>
                <w:szCs w:val="22"/>
                <w:lang w:val="sr-Latn-RS"/>
              </w:rPr>
              <w:t>&lt; 0,001</w:t>
            </w:r>
          </w:p>
        </w:tc>
      </w:tr>
      <w:tr w:rsidR="00682768" w:rsidRPr="00FA15F2" w14:paraId="6EF0E7E9" w14:textId="77777777" w:rsidTr="00BC1FCA">
        <w:tblPrEx>
          <w:tblBorders>
            <w:top w:val="single" w:sz="6" w:space="0" w:color="auto"/>
            <w:bottom w:val="single" w:sz="6" w:space="0" w:color="auto"/>
          </w:tblBorders>
        </w:tblPrEx>
        <w:trPr>
          <w:jc w:val="center"/>
        </w:trPr>
        <w:tc>
          <w:tcPr>
            <w:tcW w:w="2544" w:type="dxa"/>
            <w:tcBorders>
              <w:top w:val="nil"/>
              <w:bottom w:val="single" w:sz="4" w:space="0" w:color="auto"/>
              <w:right w:val="single" w:sz="2" w:space="0" w:color="auto"/>
            </w:tcBorders>
          </w:tcPr>
          <w:p w14:paraId="094E1031" w14:textId="77777777" w:rsidR="00682768" w:rsidRPr="00FA15F2" w:rsidRDefault="00682768" w:rsidP="00BC1FCA">
            <w:pPr>
              <w:tabs>
                <w:tab w:val="left" w:pos="284"/>
              </w:tabs>
              <w:jc w:val="both"/>
              <w:rPr>
                <w:sz w:val="22"/>
                <w:szCs w:val="22"/>
                <w:lang w:val="sr-Latn-RS"/>
              </w:rPr>
            </w:pPr>
            <w:r w:rsidRPr="00FA15F2">
              <w:rPr>
                <w:sz w:val="22"/>
                <w:szCs w:val="22"/>
                <w:lang w:val="sr-Latn-RS"/>
              </w:rPr>
              <w:t>Placebo</w:t>
            </w:r>
          </w:p>
        </w:tc>
        <w:tc>
          <w:tcPr>
            <w:tcW w:w="1046" w:type="dxa"/>
            <w:tcBorders>
              <w:top w:val="nil"/>
              <w:left w:val="nil"/>
              <w:bottom w:val="single" w:sz="4" w:space="0" w:color="auto"/>
              <w:right w:val="single" w:sz="2" w:space="0" w:color="auto"/>
            </w:tcBorders>
            <w:vAlign w:val="center"/>
          </w:tcPr>
          <w:p w14:paraId="12CFCBB2" w14:textId="77777777" w:rsidR="00682768" w:rsidRPr="00FA15F2" w:rsidRDefault="00682768" w:rsidP="00BC1FCA">
            <w:pPr>
              <w:widowControl w:val="0"/>
              <w:tabs>
                <w:tab w:val="left" w:pos="284"/>
              </w:tabs>
              <w:autoSpaceDE w:val="0"/>
              <w:autoSpaceDN w:val="0"/>
              <w:adjustRightInd w:val="0"/>
              <w:jc w:val="center"/>
              <w:rPr>
                <w:sz w:val="22"/>
                <w:szCs w:val="22"/>
                <w:lang w:val="sr-Latn-RS"/>
              </w:rPr>
            </w:pPr>
            <w:r w:rsidRPr="00FA15F2">
              <w:rPr>
                <w:sz w:val="22"/>
                <w:szCs w:val="22"/>
                <w:lang w:val="sr-Latn-RS"/>
              </w:rPr>
              <w:t>21/62</w:t>
            </w:r>
          </w:p>
        </w:tc>
        <w:tc>
          <w:tcPr>
            <w:tcW w:w="1122" w:type="dxa"/>
            <w:tcBorders>
              <w:top w:val="nil"/>
              <w:left w:val="nil"/>
              <w:bottom w:val="single" w:sz="4" w:space="0" w:color="auto"/>
              <w:right w:val="single" w:sz="2" w:space="0" w:color="auto"/>
            </w:tcBorders>
            <w:vAlign w:val="center"/>
          </w:tcPr>
          <w:p w14:paraId="48C61F5D" w14:textId="77777777" w:rsidR="00682768" w:rsidRPr="00FA15F2" w:rsidRDefault="00682768" w:rsidP="00BC1FCA">
            <w:pPr>
              <w:widowControl w:val="0"/>
              <w:tabs>
                <w:tab w:val="left" w:pos="284"/>
              </w:tabs>
              <w:autoSpaceDE w:val="0"/>
              <w:autoSpaceDN w:val="0"/>
              <w:adjustRightInd w:val="0"/>
              <w:jc w:val="center"/>
              <w:rPr>
                <w:sz w:val="22"/>
                <w:szCs w:val="22"/>
                <w:lang w:val="sr-Latn-RS"/>
              </w:rPr>
            </w:pPr>
            <w:r w:rsidRPr="00FA15F2">
              <w:rPr>
                <w:sz w:val="22"/>
                <w:szCs w:val="22"/>
                <w:lang w:val="sr-Latn-RS"/>
              </w:rPr>
              <w:t>33,9</w:t>
            </w:r>
          </w:p>
        </w:tc>
        <w:tc>
          <w:tcPr>
            <w:tcW w:w="2244" w:type="dxa"/>
            <w:tcBorders>
              <w:top w:val="nil"/>
              <w:left w:val="nil"/>
              <w:bottom w:val="single" w:sz="4" w:space="0" w:color="auto"/>
              <w:right w:val="single" w:sz="2" w:space="0" w:color="auto"/>
            </w:tcBorders>
            <w:vAlign w:val="center"/>
          </w:tcPr>
          <w:p w14:paraId="73AE195C" w14:textId="77777777" w:rsidR="00682768" w:rsidRPr="00FA15F2" w:rsidRDefault="00682768" w:rsidP="00BC1FCA">
            <w:pPr>
              <w:widowControl w:val="0"/>
              <w:tabs>
                <w:tab w:val="left" w:pos="284"/>
              </w:tabs>
              <w:autoSpaceDE w:val="0"/>
              <w:autoSpaceDN w:val="0"/>
              <w:adjustRightInd w:val="0"/>
              <w:jc w:val="center"/>
              <w:rPr>
                <w:sz w:val="22"/>
                <w:szCs w:val="22"/>
                <w:lang w:val="sr-Latn-RS"/>
              </w:rPr>
            </w:pPr>
          </w:p>
        </w:tc>
        <w:tc>
          <w:tcPr>
            <w:tcW w:w="1684" w:type="dxa"/>
            <w:tcBorders>
              <w:top w:val="nil"/>
              <w:left w:val="nil"/>
              <w:bottom w:val="single" w:sz="4" w:space="0" w:color="auto"/>
            </w:tcBorders>
            <w:vAlign w:val="center"/>
          </w:tcPr>
          <w:p w14:paraId="790FD1CF" w14:textId="77777777" w:rsidR="00682768" w:rsidRPr="00FA15F2" w:rsidRDefault="00682768" w:rsidP="00BC1FCA">
            <w:pPr>
              <w:widowControl w:val="0"/>
              <w:tabs>
                <w:tab w:val="left" w:pos="284"/>
              </w:tabs>
              <w:autoSpaceDE w:val="0"/>
              <w:autoSpaceDN w:val="0"/>
              <w:adjustRightInd w:val="0"/>
              <w:jc w:val="center"/>
              <w:rPr>
                <w:sz w:val="22"/>
                <w:szCs w:val="22"/>
                <w:lang w:val="sr-Latn-RS"/>
              </w:rPr>
            </w:pPr>
          </w:p>
        </w:tc>
      </w:tr>
      <w:tr w:rsidR="00682768" w:rsidRPr="00FA15F2" w14:paraId="498248D3" w14:textId="77777777" w:rsidTr="00BC1FCA">
        <w:tblPrEx>
          <w:tblBorders>
            <w:top w:val="single" w:sz="6" w:space="0" w:color="auto"/>
            <w:bottom w:val="single" w:sz="6" w:space="0" w:color="auto"/>
          </w:tblBorders>
        </w:tblPrEx>
        <w:trPr>
          <w:trHeight w:val="2200"/>
          <w:jc w:val="center"/>
        </w:trPr>
        <w:tc>
          <w:tcPr>
            <w:tcW w:w="8640" w:type="dxa"/>
            <w:gridSpan w:val="5"/>
            <w:tcBorders>
              <w:top w:val="single" w:sz="4" w:space="0" w:color="auto"/>
              <w:left w:val="nil"/>
              <w:bottom w:val="nil"/>
              <w:right w:val="nil"/>
            </w:tcBorders>
          </w:tcPr>
          <w:p w14:paraId="2AFDBD46" w14:textId="77777777" w:rsidR="00682768" w:rsidRPr="00FA15F2" w:rsidRDefault="00682768" w:rsidP="00BC1FCA">
            <w:pPr>
              <w:widowControl w:val="0"/>
              <w:tabs>
                <w:tab w:val="left" w:pos="284"/>
              </w:tabs>
              <w:autoSpaceDE w:val="0"/>
              <w:autoSpaceDN w:val="0"/>
              <w:adjustRightInd w:val="0"/>
              <w:jc w:val="both"/>
              <w:rPr>
                <w:sz w:val="18"/>
                <w:szCs w:val="18"/>
                <w:lang w:val="sr-Latn-RS"/>
              </w:rPr>
            </w:pPr>
            <w:r w:rsidRPr="00FA15F2">
              <w:rPr>
                <w:sz w:val="18"/>
                <w:szCs w:val="18"/>
                <w:lang w:val="sr-Latn-RS"/>
              </w:rPr>
              <w:t>Potpuni skup podataka za analizu uključuje sve randomizovane učesnike koji su postigli status neaktivne bolesti u 1. periodu i primili najmanje jednu dozu u sklopu dvostruko sl</w:t>
            </w:r>
            <w:r>
              <w:rPr>
                <w:sz w:val="18"/>
                <w:szCs w:val="18"/>
                <w:lang w:val="sr-Latn-RS"/>
              </w:rPr>
              <w:t>ij</w:t>
            </w:r>
            <w:r w:rsidRPr="00FA15F2">
              <w:rPr>
                <w:sz w:val="18"/>
                <w:szCs w:val="18"/>
                <w:lang w:val="sr-Latn-RS"/>
              </w:rPr>
              <w:t>epog, ispitivanog l</w:t>
            </w:r>
            <w:r>
              <w:rPr>
                <w:sz w:val="18"/>
                <w:szCs w:val="18"/>
                <w:lang w:val="sr-Latn-RS"/>
              </w:rPr>
              <w:t>ij</w:t>
            </w:r>
            <w:r w:rsidRPr="00FA15F2">
              <w:rPr>
                <w:sz w:val="18"/>
                <w:szCs w:val="18"/>
                <w:lang w:val="sr-Latn-RS"/>
              </w:rPr>
              <w:t>ečenja.</w:t>
            </w:r>
          </w:p>
          <w:p w14:paraId="6352E1FF" w14:textId="77777777" w:rsidR="00682768" w:rsidRPr="00FA15F2" w:rsidRDefault="00682768" w:rsidP="00BC1FCA">
            <w:pPr>
              <w:widowControl w:val="0"/>
              <w:tabs>
                <w:tab w:val="left" w:pos="284"/>
              </w:tabs>
              <w:autoSpaceDE w:val="0"/>
              <w:autoSpaceDN w:val="0"/>
              <w:adjustRightInd w:val="0"/>
              <w:ind w:left="284" w:hanging="284"/>
              <w:jc w:val="both"/>
              <w:rPr>
                <w:sz w:val="18"/>
                <w:szCs w:val="18"/>
                <w:lang w:val="sr-Latn-RS"/>
              </w:rPr>
            </w:pPr>
            <w:r w:rsidRPr="00FA15F2">
              <w:rPr>
                <w:sz w:val="22"/>
                <w:szCs w:val="22"/>
                <w:vertAlign w:val="superscript"/>
                <w:lang w:val="sr-Latn-RS"/>
              </w:rPr>
              <w:t>a</w:t>
            </w:r>
            <w:r w:rsidRPr="00FA15F2">
              <w:rPr>
                <w:sz w:val="22"/>
                <w:szCs w:val="22"/>
                <w:lang w:val="sr-Latn-RS"/>
              </w:rPr>
              <w:tab/>
            </w:r>
            <w:bookmarkStart w:id="8" w:name="_Hlk132900619"/>
            <w:r w:rsidRPr="00FA15F2">
              <w:rPr>
                <w:sz w:val="18"/>
                <w:szCs w:val="18"/>
                <w:lang w:val="sr-Latn-RS"/>
              </w:rPr>
              <w:t>Definisano kao apsolutni ASDAS rezultat ≥ 2,1 ili povećanje ASDAS rezultata nakon prekida l</w:t>
            </w:r>
            <w:r>
              <w:rPr>
                <w:sz w:val="18"/>
                <w:szCs w:val="18"/>
                <w:lang w:val="sr-Latn-RS"/>
              </w:rPr>
              <w:t>ij</w:t>
            </w:r>
            <w:r w:rsidRPr="00FA15F2">
              <w:rPr>
                <w:sz w:val="18"/>
                <w:szCs w:val="18"/>
                <w:lang w:val="sr-Latn-RS"/>
              </w:rPr>
              <w:t>ečenja za ≥ 1,1 bod u odnosu na rezultat iz 10. m</w:t>
            </w:r>
            <w:r>
              <w:rPr>
                <w:sz w:val="18"/>
                <w:szCs w:val="18"/>
                <w:lang w:val="sr-Latn-RS"/>
              </w:rPr>
              <w:t>j</w:t>
            </w:r>
            <w:r w:rsidRPr="00FA15F2">
              <w:rPr>
                <w:sz w:val="18"/>
                <w:szCs w:val="18"/>
                <w:lang w:val="sr-Latn-RS"/>
              </w:rPr>
              <w:t>eseca (pos</w:t>
            </w:r>
            <w:r>
              <w:rPr>
                <w:sz w:val="18"/>
                <w:szCs w:val="18"/>
                <w:lang w:val="sr-Latn-RS"/>
              </w:rPr>
              <w:t>j</w:t>
            </w:r>
            <w:r w:rsidRPr="00FA15F2">
              <w:rPr>
                <w:sz w:val="18"/>
                <w:szCs w:val="18"/>
                <w:lang w:val="sr-Latn-RS"/>
              </w:rPr>
              <w:t>eta br. 23) pri 2 uzastopne pos</w:t>
            </w:r>
            <w:r>
              <w:rPr>
                <w:sz w:val="18"/>
                <w:szCs w:val="18"/>
                <w:lang w:val="sr-Latn-RS"/>
              </w:rPr>
              <w:t>j</w:t>
            </w:r>
            <w:r w:rsidRPr="00FA15F2">
              <w:rPr>
                <w:sz w:val="18"/>
                <w:szCs w:val="18"/>
                <w:lang w:val="sr-Latn-RS"/>
              </w:rPr>
              <w:t>ete.</w:t>
            </w:r>
          </w:p>
          <w:bookmarkEnd w:id="8"/>
          <w:p w14:paraId="7DB4DCFC" w14:textId="77777777" w:rsidR="00682768" w:rsidRPr="00FA15F2" w:rsidRDefault="00682768" w:rsidP="00BC1FCA">
            <w:pPr>
              <w:widowControl w:val="0"/>
              <w:tabs>
                <w:tab w:val="left" w:pos="284"/>
              </w:tabs>
              <w:autoSpaceDE w:val="0"/>
              <w:autoSpaceDN w:val="0"/>
              <w:adjustRightInd w:val="0"/>
              <w:ind w:left="284" w:hanging="284"/>
              <w:jc w:val="both"/>
              <w:rPr>
                <w:sz w:val="18"/>
                <w:szCs w:val="18"/>
                <w:lang w:val="sr-Latn-RS"/>
              </w:rPr>
            </w:pPr>
            <w:r w:rsidRPr="00FA15F2">
              <w:rPr>
                <w:sz w:val="22"/>
                <w:szCs w:val="22"/>
                <w:vertAlign w:val="superscript"/>
                <w:lang w:val="sr-Latn-RS"/>
              </w:rPr>
              <w:t>b</w:t>
            </w:r>
            <w:r w:rsidRPr="00FA15F2">
              <w:rPr>
                <w:sz w:val="22"/>
                <w:szCs w:val="22"/>
                <w:vertAlign w:val="subscript"/>
                <w:lang w:val="sr-Latn-RS"/>
              </w:rPr>
              <w:tab/>
            </w:r>
            <w:r w:rsidRPr="00FA15F2">
              <w:rPr>
                <w:sz w:val="18"/>
                <w:szCs w:val="18"/>
                <w:lang w:val="sr-Latn-RS"/>
              </w:rPr>
              <w:t>Stopa greške tipa I u višestrukim poređenjima terapija (GLM s.c. 1 x m</w:t>
            </w:r>
            <w:r>
              <w:rPr>
                <w:sz w:val="18"/>
                <w:szCs w:val="18"/>
                <w:lang w:val="sr-Latn-RS"/>
              </w:rPr>
              <w:t>j</w:t>
            </w:r>
            <w:r w:rsidRPr="00FA15F2">
              <w:rPr>
                <w:sz w:val="18"/>
                <w:szCs w:val="18"/>
                <w:lang w:val="sr-Latn-RS"/>
              </w:rPr>
              <w:t>esečno naspram placeba i GLM s.c. jedanput svaka 2 m</w:t>
            </w:r>
            <w:r>
              <w:rPr>
                <w:sz w:val="18"/>
                <w:szCs w:val="18"/>
                <w:lang w:val="sr-Latn-RS"/>
              </w:rPr>
              <w:t>j</w:t>
            </w:r>
            <w:r w:rsidRPr="00FA15F2">
              <w:rPr>
                <w:sz w:val="18"/>
                <w:szCs w:val="18"/>
                <w:lang w:val="sr-Latn-RS"/>
              </w:rPr>
              <w:t>eseca naspram placeba) kontrolisana je prim</w:t>
            </w:r>
            <w:r>
              <w:rPr>
                <w:sz w:val="18"/>
                <w:szCs w:val="18"/>
                <w:lang w:val="sr-Latn-RS"/>
              </w:rPr>
              <w:t>j</w:t>
            </w:r>
            <w:r w:rsidRPr="00FA15F2">
              <w:rPr>
                <w:sz w:val="18"/>
                <w:szCs w:val="18"/>
                <w:lang w:val="sr-Latn-RS"/>
              </w:rPr>
              <w:t xml:space="preserve">enom sekvencijalnog (eng. </w:t>
            </w:r>
            <w:r w:rsidRPr="00FA15F2">
              <w:rPr>
                <w:i/>
                <w:iCs/>
                <w:sz w:val="18"/>
                <w:szCs w:val="18"/>
                <w:lang w:val="sr-Latn-RS"/>
              </w:rPr>
              <w:t>step-down</w:t>
            </w:r>
            <w:r w:rsidRPr="00FA15F2">
              <w:rPr>
                <w:sz w:val="18"/>
                <w:szCs w:val="18"/>
                <w:lang w:val="sr-Latn-RS"/>
              </w:rPr>
              <w:t xml:space="preserve">) postupka testiranja. Dobijena je na osnovu stratifikovane </w:t>
            </w:r>
            <w:r w:rsidRPr="00FA15F2">
              <w:rPr>
                <w:i/>
                <w:iCs/>
                <w:sz w:val="18"/>
                <w:szCs w:val="18"/>
                <w:lang w:val="sr-Latn-RS"/>
              </w:rPr>
              <w:t>Miettinen</w:t>
            </w:r>
            <w:r w:rsidRPr="00FA15F2">
              <w:rPr>
                <w:sz w:val="18"/>
                <w:szCs w:val="18"/>
                <w:lang w:val="sr-Latn-RS"/>
              </w:rPr>
              <w:t xml:space="preserve">-ove i </w:t>
            </w:r>
            <w:r w:rsidRPr="00FA15F2">
              <w:rPr>
                <w:i/>
                <w:iCs/>
                <w:sz w:val="18"/>
                <w:szCs w:val="18"/>
                <w:lang w:val="sr-Latn-RS"/>
              </w:rPr>
              <w:t>Nurminen</w:t>
            </w:r>
            <w:r w:rsidRPr="00FA15F2">
              <w:rPr>
                <w:sz w:val="18"/>
                <w:szCs w:val="18"/>
                <w:lang w:val="sr-Latn-RS"/>
              </w:rPr>
              <w:t xml:space="preserve">-ove metode, pri čemu je </w:t>
            </w:r>
            <w:bookmarkStart w:id="9" w:name="_Hlk132900519"/>
            <w:r w:rsidRPr="00FA15F2">
              <w:rPr>
                <w:sz w:val="18"/>
                <w:szCs w:val="18"/>
                <w:lang w:val="sr-Latn-RS"/>
              </w:rPr>
              <w:t>faktor stratifikacije bio nivo CRP</w:t>
            </w:r>
            <w:r w:rsidRPr="00FA15F2">
              <w:rPr>
                <w:sz w:val="18"/>
                <w:szCs w:val="18"/>
                <w:lang w:val="sr-Latn-RS"/>
              </w:rPr>
              <w:noBreakHyphen/>
              <w:t>a (&gt; 6 mg/L ili ≤ 6 mg/L).</w:t>
            </w:r>
            <w:bookmarkEnd w:id="9"/>
          </w:p>
          <w:p w14:paraId="1E8E9839" w14:textId="77777777" w:rsidR="00682768" w:rsidRPr="00FA15F2" w:rsidRDefault="00682768" w:rsidP="00BC1FCA">
            <w:pPr>
              <w:tabs>
                <w:tab w:val="left" w:pos="284"/>
              </w:tabs>
              <w:jc w:val="both"/>
              <w:rPr>
                <w:sz w:val="18"/>
                <w:szCs w:val="18"/>
                <w:lang w:val="sr-Latn-RS"/>
              </w:rPr>
            </w:pPr>
            <w:r w:rsidRPr="00FA15F2">
              <w:rPr>
                <w:sz w:val="18"/>
                <w:szCs w:val="18"/>
                <w:lang w:val="sr-Latn-RS"/>
              </w:rPr>
              <w:t>Za učesnike koji su učešće u 2. periodu prekinuli prevremeno i pr</w:t>
            </w:r>
            <w:r>
              <w:rPr>
                <w:sz w:val="18"/>
                <w:szCs w:val="18"/>
                <w:lang w:val="sr-Latn-RS"/>
              </w:rPr>
              <w:t>ij</w:t>
            </w:r>
            <w:r w:rsidRPr="00FA15F2">
              <w:rPr>
                <w:sz w:val="18"/>
                <w:szCs w:val="18"/>
                <w:lang w:val="sr-Latn-RS"/>
              </w:rPr>
              <w:t>e pogoršanja smatra se da su imali pogoršanje.</w:t>
            </w:r>
          </w:p>
          <w:p w14:paraId="5F72931A" w14:textId="77777777" w:rsidR="00682768" w:rsidRPr="00FA15F2" w:rsidRDefault="00682768" w:rsidP="00BC1FCA">
            <w:pPr>
              <w:tabs>
                <w:tab w:val="left" w:pos="284"/>
              </w:tabs>
              <w:jc w:val="both"/>
              <w:rPr>
                <w:sz w:val="18"/>
                <w:szCs w:val="18"/>
                <w:lang w:val="sr-Latn-RS"/>
              </w:rPr>
            </w:pPr>
            <w:r w:rsidRPr="00FA15F2">
              <w:rPr>
                <w:sz w:val="18"/>
                <w:szCs w:val="18"/>
                <w:lang w:val="sr-Latn-RS"/>
              </w:rPr>
              <w:t>N = ukupan broj učesnika; n = broj učesnika bez pogoršanja; GLM = golimumab; s.c. = supkutano.</w:t>
            </w:r>
          </w:p>
        </w:tc>
      </w:tr>
    </w:tbl>
    <w:p w14:paraId="2630B493" w14:textId="77777777" w:rsidR="00682768" w:rsidRPr="00FA15F2" w:rsidRDefault="00682768" w:rsidP="00682768">
      <w:pPr>
        <w:tabs>
          <w:tab w:val="left" w:pos="284"/>
        </w:tabs>
        <w:autoSpaceDE w:val="0"/>
        <w:autoSpaceDN w:val="0"/>
        <w:adjustRightInd w:val="0"/>
        <w:jc w:val="both"/>
        <w:rPr>
          <w:sz w:val="22"/>
          <w:lang w:val="sr-Latn-RS"/>
        </w:rPr>
      </w:pPr>
    </w:p>
    <w:p w14:paraId="358C30C9" w14:textId="77777777" w:rsidR="00682768" w:rsidRPr="00FA15F2" w:rsidRDefault="00682768" w:rsidP="00682768">
      <w:pPr>
        <w:tabs>
          <w:tab w:val="left" w:pos="284"/>
        </w:tabs>
        <w:autoSpaceDE w:val="0"/>
        <w:autoSpaceDN w:val="0"/>
        <w:adjustRightInd w:val="0"/>
        <w:jc w:val="both"/>
        <w:rPr>
          <w:sz w:val="22"/>
          <w:szCs w:val="22"/>
          <w:lang w:val="sr-Latn-RS"/>
        </w:rPr>
      </w:pPr>
      <w:r w:rsidRPr="00FA15F2">
        <w:rPr>
          <w:sz w:val="22"/>
          <w:lang w:val="sr-Latn-RS"/>
        </w:rPr>
        <w:t>Razlika u vremenu do prvog pogoršanja bolesti između grupe koja je prekinula l</w:t>
      </w:r>
      <w:r>
        <w:rPr>
          <w:sz w:val="22"/>
          <w:lang w:val="sr-Latn-RS"/>
        </w:rPr>
        <w:t>ij</w:t>
      </w:r>
      <w:r w:rsidRPr="00FA15F2">
        <w:rPr>
          <w:sz w:val="22"/>
          <w:lang w:val="sr-Latn-RS"/>
        </w:rPr>
        <w:t>ečenje i svake od grupa koje su nastavile l</w:t>
      </w:r>
      <w:r>
        <w:rPr>
          <w:sz w:val="22"/>
          <w:lang w:val="sr-Latn-RS"/>
        </w:rPr>
        <w:t>ij</w:t>
      </w:r>
      <w:r w:rsidRPr="00FA15F2">
        <w:rPr>
          <w:sz w:val="22"/>
          <w:lang w:val="sr-Latn-RS"/>
        </w:rPr>
        <w:t>ečenje l</w:t>
      </w:r>
      <w:r>
        <w:rPr>
          <w:sz w:val="22"/>
          <w:lang w:val="sr-Latn-RS"/>
        </w:rPr>
        <w:t>ij</w:t>
      </w:r>
      <w:r w:rsidRPr="00FA15F2">
        <w:rPr>
          <w:sz w:val="22"/>
          <w:lang w:val="sr-Latn-RS"/>
        </w:rPr>
        <w:t>ekom Simponi prikazana je na Slici 1 (log</w:t>
      </w:r>
      <w:r w:rsidRPr="00FA15F2">
        <w:rPr>
          <w:sz w:val="22"/>
          <w:lang w:val="sr-Latn-RS"/>
        </w:rPr>
        <w:noBreakHyphen/>
        <w:t>rang p &lt; 0,0001 za svako poređenje). U grupi koja je primala placebo, pogoršanja su započela približno 2 m</w:t>
      </w:r>
      <w:r>
        <w:rPr>
          <w:sz w:val="22"/>
          <w:lang w:val="sr-Latn-RS"/>
        </w:rPr>
        <w:t>j</w:t>
      </w:r>
      <w:r w:rsidRPr="00FA15F2">
        <w:rPr>
          <w:sz w:val="22"/>
          <w:lang w:val="sr-Latn-RS"/>
        </w:rPr>
        <w:t>eseca posl</w:t>
      </w:r>
      <w:r>
        <w:rPr>
          <w:sz w:val="22"/>
          <w:lang w:val="sr-Latn-RS"/>
        </w:rPr>
        <w:t>ij</w:t>
      </w:r>
      <w:r w:rsidRPr="00FA15F2">
        <w:rPr>
          <w:sz w:val="22"/>
          <w:lang w:val="sr-Latn-RS"/>
        </w:rPr>
        <w:t>e prestanka l</w:t>
      </w:r>
      <w:r>
        <w:rPr>
          <w:sz w:val="22"/>
          <w:lang w:val="sr-Latn-RS"/>
        </w:rPr>
        <w:t>ij</w:t>
      </w:r>
      <w:r w:rsidRPr="00FA15F2">
        <w:rPr>
          <w:sz w:val="22"/>
          <w:lang w:val="sr-Latn-RS"/>
        </w:rPr>
        <w:t>ečenja l</w:t>
      </w:r>
      <w:r>
        <w:rPr>
          <w:sz w:val="22"/>
          <w:lang w:val="sr-Latn-RS"/>
        </w:rPr>
        <w:t>ij</w:t>
      </w:r>
      <w:r w:rsidRPr="00FA15F2">
        <w:rPr>
          <w:sz w:val="22"/>
          <w:lang w:val="sr-Latn-RS"/>
        </w:rPr>
        <w:t>ekom Simponi, a većina pogoršanja se javila unutar 4 m</w:t>
      </w:r>
      <w:r>
        <w:rPr>
          <w:sz w:val="22"/>
          <w:lang w:val="sr-Latn-RS"/>
        </w:rPr>
        <w:t>j</w:t>
      </w:r>
      <w:r w:rsidRPr="00FA15F2">
        <w:rPr>
          <w:sz w:val="22"/>
          <w:lang w:val="sr-Latn-RS"/>
        </w:rPr>
        <w:t>eseca od prekida l</w:t>
      </w:r>
      <w:r>
        <w:rPr>
          <w:sz w:val="22"/>
          <w:lang w:val="sr-Latn-RS"/>
        </w:rPr>
        <w:t>ij</w:t>
      </w:r>
      <w:r w:rsidRPr="00FA15F2">
        <w:rPr>
          <w:sz w:val="22"/>
          <w:lang w:val="sr-Latn-RS"/>
        </w:rPr>
        <w:t>ečenja (Slika 1).</w:t>
      </w:r>
    </w:p>
    <w:p w14:paraId="5E387080" w14:textId="27E7B27E" w:rsidR="00682768" w:rsidRDefault="00682768" w:rsidP="00682768">
      <w:pPr>
        <w:tabs>
          <w:tab w:val="left" w:pos="284"/>
        </w:tabs>
        <w:autoSpaceDE w:val="0"/>
        <w:autoSpaceDN w:val="0"/>
        <w:adjustRightInd w:val="0"/>
        <w:rPr>
          <w:sz w:val="22"/>
          <w:szCs w:val="22"/>
          <w:highlight w:val="yellow"/>
          <w:u w:val="single"/>
          <w:lang w:val="hr-HR"/>
        </w:rPr>
      </w:pPr>
    </w:p>
    <w:p w14:paraId="7EB7417E" w14:textId="77777777" w:rsidR="00F30B92" w:rsidRPr="00FA15F2" w:rsidRDefault="00F30B92" w:rsidP="00682768">
      <w:pPr>
        <w:tabs>
          <w:tab w:val="left" w:pos="284"/>
        </w:tabs>
        <w:autoSpaceDE w:val="0"/>
        <w:autoSpaceDN w:val="0"/>
        <w:adjustRightInd w:val="0"/>
        <w:rPr>
          <w:sz w:val="22"/>
          <w:szCs w:val="22"/>
          <w:highlight w:val="yellow"/>
          <w:u w:val="single"/>
          <w:lang w:val="hr-HR"/>
        </w:rPr>
      </w:pPr>
    </w:p>
    <w:p w14:paraId="3640C467" w14:textId="77777777" w:rsidR="00682768" w:rsidRPr="00FA15F2" w:rsidRDefault="00682768" w:rsidP="00682768">
      <w:pPr>
        <w:keepNext/>
        <w:tabs>
          <w:tab w:val="left" w:pos="567"/>
        </w:tabs>
        <w:jc w:val="center"/>
        <w:rPr>
          <w:noProof/>
          <w:sz w:val="22"/>
          <w:szCs w:val="20"/>
          <w:lang w:val="hr-HR"/>
        </w:rPr>
      </w:pPr>
      <w:r w:rsidRPr="00FA15F2">
        <w:rPr>
          <w:b/>
          <w:bCs/>
          <w:noProof/>
          <w:sz w:val="22"/>
          <w:szCs w:val="20"/>
          <w:lang w:val="hr-HR"/>
        </w:rPr>
        <w:t>Slika 1:</w:t>
      </w:r>
      <w:r w:rsidRPr="00FA15F2">
        <w:rPr>
          <w:b/>
          <w:bCs/>
          <w:noProof/>
          <w:sz w:val="22"/>
          <w:szCs w:val="20"/>
          <w:lang w:val="hr-HR"/>
        </w:rPr>
        <w:tab/>
      </w:r>
      <w:r w:rsidRPr="00FA15F2">
        <w:rPr>
          <w:b/>
          <w:bCs/>
          <w:i/>
          <w:iCs/>
          <w:noProof/>
          <w:sz w:val="22"/>
          <w:szCs w:val="20"/>
          <w:lang w:val="hr-HR"/>
        </w:rPr>
        <w:t>Kaplan-Meier</w:t>
      </w:r>
      <w:r w:rsidRPr="00FA15F2">
        <w:rPr>
          <w:b/>
          <w:bCs/>
          <w:noProof/>
          <w:sz w:val="22"/>
          <w:szCs w:val="20"/>
          <w:lang w:val="hr-HR"/>
        </w:rPr>
        <w:t>-ova analiza vremena do prvog pogoršanja bolesti</w:t>
      </w:r>
    </w:p>
    <w:p w14:paraId="6DBB7E74" w14:textId="77777777" w:rsidR="00682768" w:rsidRPr="00FA15F2" w:rsidRDefault="00682768" w:rsidP="00682768">
      <w:pPr>
        <w:keepNext/>
        <w:tabs>
          <w:tab w:val="left" w:pos="567"/>
        </w:tabs>
        <w:rPr>
          <w:noProof/>
          <w:sz w:val="22"/>
          <w:szCs w:val="22"/>
          <w:lang w:val="hr-HR"/>
        </w:rPr>
      </w:pPr>
    </w:p>
    <w:p w14:paraId="4CEF1C94" w14:textId="77777777" w:rsidR="00682768" w:rsidRPr="00FA15F2" w:rsidRDefault="00682768" w:rsidP="00682768">
      <w:pPr>
        <w:tabs>
          <w:tab w:val="left" w:pos="567"/>
        </w:tabs>
        <w:rPr>
          <w:noProof/>
          <w:sz w:val="22"/>
          <w:szCs w:val="20"/>
          <w:lang w:val="en-GB"/>
        </w:rPr>
      </w:pPr>
      <w:r w:rsidRPr="00FA15F2">
        <w:rPr>
          <w:noProof/>
          <w:sz w:val="16"/>
          <w:szCs w:val="16"/>
        </w:rPr>
        <w:drawing>
          <wp:inline distT="0" distB="0" distL="0" distR="0" wp14:anchorId="15C43218" wp14:editId="22C274C6">
            <wp:extent cx="6120765" cy="4518660"/>
            <wp:effectExtent l="0" t="0" r="0" b="0"/>
            <wp:docPr id="3" name="Picture 2" descr="A picture containing text, diagram,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diagram, line&#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6120765" cy="4518660"/>
                    </a:xfrm>
                    <a:prstGeom prst="rect">
                      <a:avLst/>
                    </a:prstGeom>
                  </pic:spPr>
                </pic:pic>
              </a:graphicData>
            </a:graphic>
          </wp:inline>
        </w:drawing>
      </w:r>
    </w:p>
    <w:p w14:paraId="0C283E19" w14:textId="77777777" w:rsidR="00682768" w:rsidRPr="00FA15F2" w:rsidRDefault="00682768" w:rsidP="00682768">
      <w:pPr>
        <w:tabs>
          <w:tab w:val="left" w:pos="567"/>
        </w:tabs>
        <w:rPr>
          <w:noProof/>
          <w:sz w:val="22"/>
          <w:szCs w:val="20"/>
          <w:lang w:val="en-GB"/>
        </w:rPr>
      </w:pPr>
    </w:p>
    <w:p w14:paraId="7EE300DF" w14:textId="77777777" w:rsidR="00682768" w:rsidRPr="00FA15F2" w:rsidRDefault="00682768" w:rsidP="00682768">
      <w:pPr>
        <w:keepNext/>
        <w:tabs>
          <w:tab w:val="left" w:pos="567"/>
        </w:tabs>
        <w:textAlignment w:val="baseline"/>
        <w:rPr>
          <w:noProof/>
          <w:sz w:val="22"/>
          <w:szCs w:val="22"/>
          <w:lang w:val="hr-HR"/>
        </w:rPr>
      </w:pPr>
      <w:r w:rsidRPr="00FA15F2">
        <w:rPr>
          <w:i/>
          <w:iCs/>
          <w:noProof/>
          <w:sz w:val="22"/>
          <w:szCs w:val="22"/>
          <w:lang w:val="hr-HR"/>
        </w:rPr>
        <w:lastRenderedPageBreak/>
        <w:t>Klinički odgovor na ponovno l</w:t>
      </w:r>
      <w:r>
        <w:rPr>
          <w:i/>
          <w:iCs/>
          <w:noProof/>
          <w:sz w:val="22"/>
          <w:szCs w:val="22"/>
          <w:lang w:val="hr-HR"/>
        </w:rPr>
        <w:t>ij</w:t>
      </w:r>
      <w:r w:rsidRPr="00FA15F2">
        <w:rPr>
          <w:i/>
          <w:iCs/>
          <w:noProof/>
          <w:sz w:val="22"/>
          <w:szCs w:val="22"/>
          <w:lang w:val="hr-HR"/>
        </w:rPr>
        <w:t>ečenje zbog pogoršanja bolesti</w:t>
      </w:r>
    </w:p>
    <w:p w14:paraId="65A56944" w14:textId="77777777" w:rsidR="00682768" w:rsidRPr="00FA15F2" w:rsidRDefault="00682768" w:rsidP="00682768">
      <w:pPr>
        <w:tabs>
          <w:tab w:val="left" w:pos="567"/>
        </w:tabs>
        <w:rPr>
          <w:noProof/>
          <w:sz w:val="22"/>
          <w:szCs w:val="22"/>
          <w:lang w:val="hr-HR"/>
        </w:rPr>
      </w:pPr>
      <w:r w:rsidRPr="00FA15F2">
        <w:rPr>
          <w:noProof/>
          <w:sz w:val="22"/>
          <w:szCs w:val="22"/>
          <w:lang w:val="hr-HR"/>
        </w:rPr>
        <w:t>Klinički odgovor je definisan kao poboljšanje BASDAI rezultata za ≥ 2 boda ili ≥ 50% u odnosu na srednju vr</w:t>
      </w:r>
      <w:r>
        <w:rPr>
          <w:noProof/>
          <w:sz w:val="22"/>
          <w:szCs w:val="22"/>
          <w:lang w:val="hr-HR"/>
        </w:rPr>
        <w:t>ij</w:t>
      </w:r>
      <w:r w:rsidRPr="00FA15F2">
        <w:rPr>
          <w:noProof/>
          <w:sz w:val="22"/>
          <w:szCs w:val="22"/>
          <w:lang w:val="hr-HR"/>
        </w:rPr>
        <w:t>ednost 2 uzastopna BASDAI rezultata koja se pripisuju pogoršanju bolesti. Od 53 učesnika koja su primala redukovan režim l</w:t>
      </w:r>
      <w:r>
        <w:rPr>
          <w:noProof/>
          <w:sz w:val="22"/>
          <w:szCs w:val="22"/>
          <w:lang w:val="hr-HR"/>
        </w:rPr>
        <w:t>ij</w:t>
      </w:r>
      <w:r w:rsidRPr="00FA15F2">
        <w:rPr>
          <w:noProof/>
          <w:sz w:val="22"/>
          <w:szCs w:val="22"/>
          <w:lang w:val="hr-HR"/>
        </w:rPr>
        <w:t>ečenja ili prekinula l</w:t>
      </w:r>
      <w:r>
        <w:rPr>
          <w:noProof/>
          <w:sz w:val="22"/>
          <w:szCs w:val="22"/>
          <w:lang w:val="hr-HR"/>
        </w:rPr>
        <w:t>ij</w:t>
      </w:r>
      <w:r w:rsidRPr="00FA15F2">
        <w:rPr>
          <w:noProof/>
          <w:sz w:val="22"/>
          <w:szCs w:val="22"/>
          <w:lang w:val="hr-HR"/>
        </w:rPr>
        <w:t>ečenje i imala potvrđeno pogoršanje bolesti, 51 (96,2%) je ostvarilo klinički odgovor na l</w:t>
      </w:r>
      <w:r>
        <w:rPr>
          <w:noProof/>
          <w:sz w:val="22"/>
          <w:szCs w:val="22"/>
          <w:lang w:val="hr-HR"/>
        </w:rPr>
        <w:t>ij</w:t>
      </w:r>
      <w:r w:rsidRPr="00FA15F2">
        <w:rPr>
          <w:noProof/>
          <w:sz w:val="22"/>
          <w:szCs w:val="22"/>
          <w:lang w:val="hr-HR"/>
        </w:rPr>
        <w:t>ek Simponi unutar prva 3 m</w:t>
      </w:r>
      <w:r>
        <w:rPr>
          <w:noProof/>
          <w:sz w:val="22"/>
          <w:szCs w:val="22"/>
          <w:lang w:val="hr-HR"/>
        </w:rPr>
        <w:t>j</w:t>
      </w:r>
      <w:r w:rsidRPr="00FA15F2">
        <w:rPr>
          <w:noProof/>
          <w:sz w:val="22"/>
          <w:szCs w:val="22"/>
          <w:lang w:val="hr-HR"/>
        </w:rPr>
        <w:t>eseca od ponovnog uvođenja l</w:t>
      </w:r>
      <w:r>
        <w:rPr>
          <w:noProof/>
          <w:sz w:val="22"/>
          <w:szCs w:val="22"/>
          <w:lang w:val="hr-HR"/>
        </w:rPr>
        <w:t>ij</w:t>
      </w:r>
      <w:r w:rsidRPr="00FA15F2">
        <w:rPr>
          <w:noProof/>
          <w:sz w:val="22"/>
          <w:szCs w:val="22"/>
          <w:lang w:val="hr-HR"/>
        </w:rPr>
        <w:t>ečenja, premda je manji broj njih (71,7%) usp</w:t>
      </w:r>
      <w:r>
        <w:rPr>
          <w:noProof/>
          <w:sz w:val="22"/>
          <w:szCs w:val="22"/>
          <w:lang w:val="hr-HR"/>
        </w:rPr>
        <w:t>i</w:t>
      </w:r>
      <w:r w:rsidRPr="00FA15F2">
        <w:rPr>
          <w:noProof/>
          <w:sz w:val="22"/>
          <w:szCs w:val="22"/>
          <w:lang w:val="hr-HR"/>
        </w:rPr>
        <w:t>o da održi odgovor tokom sva 3 m</w:t>
      </w:r>
      <w:r>
        <w:rPr>
          <w:noProof/>
          <w:sz w:val="22"/>
          <w:szCs w:val="22"/>
          <w:lang w:val="hr-HR"/>
        </w:rPr>
        <w:t>j</w:t>
      </w:r>
      <w:r w:rsidRPr="00FA15F2">
        <w:rPr>
          <w:noProof/>
          <w:sz w:val="22"/>
          <w:szCs w:val="22"/>
          <w:lang w:val="hr-HR"/>
        </w:rPr>
        <w:t>eseca.</w:t>
      </w:r>
    </w:p>
    <w:p w14:paraId="59180160" w14:textId="77777777" w:rsidR="000B2A5C" w:rsidRPr="00DF79AE" w:rsidRDefault="000B2A5C" w:rsidP="000B2A5C">
      <w:pPr>
        <w:autoSpaceDE w:val="0"/>
        <w:autoSpaceDN w:val="0"/>
        <w:adjustRightInd w:val="0"/>
        <w:jc w:val="both"/>
        <w:rPr>
          <w:sz w:val="22"/>
          <w:szCs w:val="22"/>
          <w:u w:val="single"/>
          <w:lang w:val="sr-Latn-ME"/>
        </w:rPr>
      </w:pPr>
    </w:p>
    <w:p w14:paraId="08F99419" w14:textId="77777777" w:rsidR="000B2A5C" w:rsidRPr="00DF79AE" w:rsidRDefault="000B2A5C" w:rsidP="000B2A5C">
      <w:pPr>
        <w:autoSpaceDE w:val="0"/>
        <w:autoSpaceDN w:val="0"/>
        <w:adjustRightInd w:val="0"/>
        <w:jc w:val="both"/>
        <w:rPr>
          <w:i/>
          <w:sz w:val="22"/>
          <w:szCs w:val="22"/>
          <w:lang w:val="sr-Latn-ME"/>
        </w:rPr>
      </w:pPr>
      <w:r w:rsidRPr="00DF79AE">
        <w:rPr>
          <w:i/>
          <w:sz w:val="22"/>
          <w:szCs w:val="22"/>
          <w:lang w:val="sr-Latn-ME"/>
        </w:rPr>
        <w:t>Ulcerozni kolitis</w:t>
      </w:r>
    </w:p>
    <w:p w14:paraId="69B33CD9" w14:textId="77777777" w:rsidR="000B2A5C" w:rsidRPr="00DF79AE" w:rsidRDefault="000B2A5C" w:rsidP="000B2A5C">
      <w:pPr>
        <w:autoSpaceDE w:val="0"/>
        <w:autoSpaceDN w:val="0"/>
        <w:adjustRightInd w:val="0"/>
        <w:jc w:val="both"/>
        <w:rPr>
          <w:sz w:val="22"/>
          <w:szCs w:val="22"/>
          <w:lang w:val="sr-Latn-ME"/>
        </w:rPr>
      </w:pPr>
      <w:r w:rsidRPr="00DF79AE">
        <w:rPr>
          <w:sz w:val="22"/>
          <w:szCs w:val="22"/>
          <w:lang w:val="sr-Latn-ME"/>
        </w:rPr>
        <w:t>Efikasnost lijeka Simponi ispitana je u dvije randomizovane, dvostruko slijepe, placebo kontrolisane kliničke studije kod odraslih pacijenata.</w:t>
      </w:r>
    </w:p>
    <w:p w14:paraId="1C3252C3" w14:textId="77777777" w:rsidR="000B2A5C" w:rsidRPr="00DF79AE" w:rsidRDefault="000B2A5C" w:rsidP="000B2A5C">
      <w:pPr>
        <w:autoSpaceDE w:val="0"/>
        <w:autoSpaceDN w:val="0"/>
        <w:adjustRightInd w:val="0"/>
        <w:jc w:val="both"/>
        <w:rPr>
          <w:sz w:val="22"/>
          <w:szCs w:val="22"/>
          <w:lang w:val="sr-Latn-ME"/>
        </w:rPr>
      </w:pPr>
    </w:p>
    <w:p w14:paraId="519DB4F7" w14:textId="77777777" w:rsidR="000B2A5C" w:rsidRPr="00DF79AE" w:rsidRDefault="000B2A5C" w:rsidP="000B2A5C">
      <w:pPr>
        <w:autoSpaceDE w:val="0"/>
        <w:autoSpaceDN w:val="0"/>
        <w:adjustRightInd w:val="0"/>
        <w:jc w:val="both"/>
        <w:rPr>
          <w:sz w:val="22"/>
          <w:szCs w:val="22"/>
          <w:lang w:val="sr-Latn-ME"/>
        </w:rPr>
      </w:pPr>
      <w:r w:rsidRPr="00DF79AE">
        <w:rPr>
          <w:sz w:val="22"/>
          <w:szCs w:val="22"/>
          <w:lang w:val="sr-Latn-ME"/>
        </w:rPr>
        <w:t xml:space="preserve">U ispitivanju uvodne terapije (PURSUIT-Induction) procjenjivani su pacijenti sa umjerenim do teškim oblikom aktivnog ulceroznog kolitisa (Mayo skor 6 do 12; endoskopski podskor ≥2) koji nijesu na odgovarajući način odgovorili ili nijesu podnosili konvencionalnu terapiju, ili su bili zavisni od kortikosteroida. U dijelu ispitivanja namijenjenom potvrđivanju doze, 761 pacijent randomizovan je u grupu koja je u 0. nedjelji primila Simponi u subkutanoj dozi od 400 mg, a zatim u 2. nedjelji dozu od 200 mg, ili u grupu koja je u 0. nedjelji primila Simponi u subkutanoj dozi od 200 mg, a zatim u 2. nedjelji dozu od 100 mg, ili u grupu koja je i u 0. i u 2. nedjelji primila subkutanu dozu placeba. Bila je dozvoljena istovremena primjena stabilnih doza peroralnih aminosalicilata, kortikosteroida i/ili imunomodulatora. U tom ispitivanju je procijenjena efikasnost lijeka Simponi do 6. nedjelje terapije. </w:t>
      </w:r>
    </w:p>
    <w:p w14:paraId="2A34556D" w14:textId="77777777" w:rsidR="000B2A5C" w:rsidRPr="00DF79AE" w:rsidRDefault="000B2A5C" w:rsidP="000B2A5C">
      <w:pPr>
        <w:autoSpaceDE w:val="0"/>
        <w:autoSpaceDN w:val="0"/>
        <w:adjustRightInd w:val="0"/>
        <w:jc w:val="both"/>
        <w:rPr>
          <w:sz w:val="22"/>
          <w:szCs w:val="22"/>
          <w:lang w:val="sr-Latn-ME"/>
        </w:rPr>
      </w:pPr>
    </w:p>
    <w:p w14:paraId="34BE0D71" w14:textId="77777777" w:rsidR="000B2A5C" w:rsidRPr="00DF79AE" w:rsidRDefault="000B2A5C" w:rsidP="000B2A5C">
      <w:pPr>
        <w:autoSpaceDE w:val="0"/>
        <w:autoSpaceDN w:val="0"/>
        <w:adjustRightInd w:val="0"/>
        <w:jc w:val="both"/>
        <w:rPr>
          <w:rFonts w:eastAsia="MS Mincho"/>
          <w:color w:val="000000"/>
          <w:sz w:val="22"/>
          <w:szCs w:val="22"/>
          <w:lang w:val="sr-Latn-ME" w:eastAsia="ja-JP"/>
        </w:rPr>
      </w:pPr>
      <w:r w:rsidRPr="00DF79AE">
        <w:rPr>
          <w:rFonts w:eastAsia="MS Mincho"/>
          <w:color w:val="000000"/>
          <w:sz w:val="22"/>
          <w:szCs w:val="22"/>
          <w:lang w:val="sr-Latn-ME" w:eastAsia="ja-JP"/>
        </w:rPr>
        <w:t>Rezultati ispitivanja terapije održavanja (PURSUIT-Maintenance) temeljili su se na procjeni 456 pacijenata koji su ostvarili klinički odgovor na prethodnu uvodnu terapiju lijekom Simponi. Pacijenti su randomizovani u grupu koja je svake 4 nedjelje primala subkutanu dozu lijeka Simponi od 50 mg, 100 mg ili placebo. Bila je dozvoljena istovremena primjena stabilnih doza peroralnih aminosalicilata i/ili imunomodulatora. Primjena kortikosteroida morala se postupno smanjivati na početku ispitivanja terapije održavanja. U tom ispitivanju je procijenjena efikasnost lijeka Simponi do 54. nedjelje terapije. Pacijenti koji su završili studiju održavanja tokom 54. nedjelje su nastavili sa terapijom u produžetku studije, sa procjenom efikasnosti tokom 216. nedjelje. Procjena efikasnosti u produžetku studije se zasnivala na promjenama u upotrebi koritkosteroida, po globalnoj procjeni ljekara (Physician’s Global Assessment (PGA)) o aktivnosti bolesti i poboljšanju u kvalitetu života mjerenoj na osnovu Upitnika o inflamatornom oboljenju crijeva (Inflammatory Bowel Disease Questionnaire (IBDQ)).</w:t>
      </w:r>
    </w:p>
    <w:p w14:paraId="7A166F87" w14:textId="1202F8D4" w:rsidR="000B2A5C" w:rsidRDefault="000B2A5C" w:rsidP="000B2A5C">
      <w:pPr>
        <w:autoSpaceDE w:val="0"/>
        <w:autoSpaceDN w:val="0"/>
        <w:adjustRightInd w:val="0"/>
        <w:rPr>
          <w:rFonts w:eastAsia="MS Mincho"/>
          <w:color w:val="000000"/>
          <w:sz w:val="22"/>
          <w:szCs w:val="22"/>
          <w:lang w:val="sr-Latn-ME" w:eastAsia="ja-JP"/>
        </w:rPr>
      </w:pPr>
    </w:p>
    <w:p w14:paraId="1710AA45" w14:textId="213296F8" w:rsidR="00F30B92" w:rsidRDefault="00F30B92" w:rsidP="000B2A5C">
      <w:pPr>
        <w:autoSpaceDE w:val="0"/>
        <w:autoSpaceDN w:val="0"/>
        <w:adjustRightInd w:val="0"/>
        <w:rPr>
          <w:rFonts w:eastAsia="MS Mincho"/>
          <w:color w:val="000000"/>
          <w:sz w:val="22"/>
          <w:szCs w:val="22"/>
          <w:lang w:val="sr-Latn-ME" w:eastAsia="ja-JP"/>
        </w:rPr>
      </w:pPr>
    </w:p>
    <w:p w14:paraId="2CD65C65" w14:textId="77777777" w:rsidR="00F30B92" w:rsidRPr="00DF79AE" w:rsidRDefault="00F30B92" w:rsidP="000B2A5C">
      <w:pPr>
        <w:autoSpaceDE w:val="0"/>
        <w:autoSpaceDN w:val="0"/>
        <w:adjustRightInd w:val="0"/>
        <w:rPr>
          <w:rFonts w:eastAsia="MS Mincho"/>
          <w:color w:val="000000"/>
          <w:sz w:val="22"/>
          <w:szCs w:val="22"/>
          <w:lang w:val="sr-Latn-ME" w:eastAsia="ja-JP"/>
        </w:rPr>
      </w:pPr>
      <w:bookmarkStart w:id="10" w:name="_GoBack"/>
      <w:bookmarkEnd w:id="10"/>
    </w:p>
    <w:p w14:paraId="49C1992F" w14:textId="0584970C" w:rsidR="000B2A5C" w:rsidRPr="00DF79AE" w:rsidRDefault="000B2A5C" w:rsidP="000B2A5C">
      <w:pPr>
        <w:pageBreakBefore/>
        <w:autoSpaceDE w:val="0"/>
        <w:autoSpaceDN w:val="0"/>
        <w:adjustRightInd w:val="0"/>
        <w:jc w:val="center"/>
        <w:rPr>
          <w:rFonts w:eastAsia="MS Mincho"/>
          <w:b/>
          <w:color w:val="000000"/>
          <w:sz w:val="22"/>
          <w:szCs w:val="22"/>
          <w:lang w:val="sr-Latn-ME" w:eastAsia="ja-JP"/>
        </w:rPr>
      </w:pPr>
      <w:r w:rsidRPr="00DF79AE">
        <w:rPr>
          <w:rFonts w:eastAsia="MS Mincho"/>
          <w:b/>
          <w:bCs/>
          <w:color w:val="000000"/>
          <w:sz w:val="22"/>
          <w:szCs w:val="22"/>
          <w:lang w:val="sr-Latn-ME" w:eastAsia="ja-JP"/>
        </w:rPr>
        <w:lastRenderedPageBreak/>
        <w:t xml:space="preserve">Tabela </w:t>
      </w:r>
      <w:r w:rsidR="00C93A4E">
        <w:rPr>
          <w:rFonts w:eastAsia="MS Mincho"/>
          <w:b/>
          <w:bCs/>
          <w:color w:val="000000"/>
          <w:sz w:val="22"/>
          <w:szCs w:val="22"/>
          <w:lang w:val="sr-Latn-ME" w:eastAsia="ja-JP"/>
        </w:rPr>
        <w:t>8</w:t>
      </w:r>
    </w:p>
    <w:p w14:paraId="231E85C1" w14:textId="77777777" w:rsidR="000B2A5C" w:rsidRPr="00DF79AE" w:rsidRDefault="000B2A5C" w:rsidP="000B2A5C">
      <w:pPr>
        <w:autoSpaceDE w:val="0"/>
        <w:autoSpaceDN w:val="0"/>
        <w:adjustRightInd w:val="0"/>
        <w:jc w:val="center"/>
        <w:rPr>
          <w:rFonts w:eastAsia="MS Mincho"/>
          <w:b/>
          <w:bCs/>
          <w:color w:val="000000"/>
          <w:sz w:val="22"/>
          <w:szCs w:val="22"/>
          <w:lang w:val="sr-Latn-ME" w:eastAsia="ja-JP"/>
        </w:rPr>
      </w:pPr>
      <w:r w:rsidRPr="00DF79AE">
        <w:rPr>
          <w:rFonts w:eastAsia="MS Mincho"/>
          <w:b/>
          <w:bCs/>
          <w:color w:val="000000"/>
          <w:sz w:val="22"/>
          <w:szCs w:val="22"/>
          <w:lang w:val="sr-Latn-ME" w:eastAsia="ja-JP"/>
        </w:rPr>
        <w:t>Ključni rezultati efikasnosti iz ispitivanja PURSUIT – Induction i PURSUIT – Maintenance</w:t>
      </w:r>
    </w:p>
    <w:p w14:paraId="64FE033F" w14:textId="77777777" w:rsidR="000B2A5C" w:rsidRPr="00DF79AE" w:rsidRDefault="000B2A5C" w:rsidP="000B2A5C">
      <w:pPr>
        <w:autoSpaceDE w:val="0"/>
        <w:autoSpaceDN w:val="0"/>
        <w:adjustRightInd w:val="0"/>
        <w:jc w:val="center"/>
        <w:rPr>
          <w:rFonts w:eastAsia="MS Mincho"/>
          <w:color w:val="000000"/>
          <w:sz w:val="22"/>
          <w:szCs w:val="22"/>
          <w:lang w:val="sr-Latn-ME" w:eastAsia="ja-JP"/>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16"/>
        <w:gridCol w:w="2253"/>
        <w:gridCol w:w="2247"/>
        <w:gridCol w:w="2247"/>
      </w:tblGrid>
      <w:tr w:rsidR="000B2A5C" w:rsidRPr="00DF79AE" w14:paraId="51FBED35" w14:textId="77777777" w:rsidTr="00BC1FCA">
        <w:trPr>
          <w:jc w:val="center"/>
        </w:trPr>
        <w:tc>
          <w:tcPr>
            <w:tcW w:w="10295" w:type="dxa"/>
            <w:gridSpan w:val="4"/>
            <w:shd w:val="clear" w:color="auto" w:fill="auto"/>
          </w:tcPr>
          <w:p w14:paraId="7FCF6252" w14:textId="77777777" w:rsidR="000B2A5C" w:rsidRPr="00DF79AE" w:rsidRDefault="000B2A5C" w:rsidP="00BC1FCA">
            <w:pPr>
              <w:autoSpaceDE w:val="0"/>
              <w:autoSpaceDN w:val="0"/>
              <w:adjustRightInd w:val="0"/>
              <w:jc w:val="center"/>
              <w:rPr>
                <w:b/>
                <w:sz w:val="22"/>
                <w:szCs w:val="22"/>
                <w:lang w:val="sr-Latn-ME"/>
              </w:rPr>
            </w:pPr>
            <w:r w:rsidRPr="00DF79AE">
              <w:rPr>
                <w:b/>
                <w:bCs/>
                <w:sz w:val="22"/>
                <w:szCs w:val="22"/>
                <w:lang w:val="sr-Latn-ME"/>
              </w:rPr>
              <w:t>PURSUIT – Induction</w:t>
            </w:r>
          </w:p>
        </w:tc>
      </w:tr>
      <w:tr w:rsidR="000B2A5C" w:rsidRPr="00DF79AE" w14:paraId="02A9B8F8" w14:textId="77777777" w:rsidTr="00BC1FCA">
        <w:trPr>
          <w:jc w:val="center"/>
        </w:trPr>
        <w:tc>
          <w:tcPr>
            <w:tcW w:w="2573" w:type="dxa"/>
            <w:shd w:val="clear" w:color="auto" w:fill="auto"/>
          </w:tcPr>
          <w:p w14:paraId="48C7E930" w14:textId="77777777" w:rsidR="000B2A5C" w:rsidRPr="00DF79AE" w:rsidRDefault="000B2A5C" w:rsidP="00BC1FCA">
            <w:pPr>
              <w:autoSpaceDE w:val="0"/>
              <w:autoSpaceDN w:val="0"/>
              <w:adjustRightInd w:val="0"/>
              <w:rPr>
                <w:sz w:val="22"/>
                <w:szCs w:val="22"/>
                <w:u w:val="single"/>
                <w:lang w:val="sr-Latn-ME"/>
              </w:rPr>
            </w:pPr>
          </w:p>
        </w:tc>
        <w:tc>
          <w:tcPr>
            <w:tcW w:w="2574" w:type="dxa"/>
            <w:shd w:val="clear" w:color="auto" w:fill="auto"/>
            <w:vAlign w:val="center"/>
          </w:tcPr>
          <w:p w14:paraId="3849B599" w14:textId="77777777" w:rsidR="000B2A5C" w:rsidRPr="00DF79AE" w:rsidRDefault="000B2A5C" w:rsidP="00BC1FCA">
            <w:pPr>
              <w:autoSpaceDE w:val="0"/>
              <w:autoSpaceDN w:val="0"/>
              <w:adjustRightInd w:val="0"/>
              <w:jc w:val="center"/>
              <w:rPr>
                <w:b/>
                <w:sz w:val="22"/>
                <w:szCs w:val="22"/>
                <w:lang w:val="sr-Latn-ME"/>
              </w:rPr>
            </w:pPr>
            <w:r w:rsidRPr="00DF79AE">
              <w:rPr>
                <w:b/>
                <w:sz w:val="22"/>
                <w:szCs w:val="22"/>
                <w:lang w:val="sr-Latn-ME"/>
              </w:rPr>
              <w:t>Placebo</w:t>
            </w:r>
          </w:p>
          <w:p w14:paraId="7EC87C47" w14:textId="77777777" w:rsidR="000B2A5C" w:rsidRPr="00DF79AE" w:rsidRDefault="000B2A5C" w:rsidP="00BC1FCA">
            <w:pPr>
              <w:autoSpaceDE w:val="0"/>
              <w:autoSpaceDN w:val="0"/>
              <w:adjustRightInd w:val="0"/>
              <w:jc w:val="center"/>
              <w:rPr>
                <w:sz w:val="22"/>
                <w:szCs w:val="22"/>
                <w:u w:val="single"/>
                <w:lang w:val="sr-Latn-ME"/>
              </w:rPr>
            </w:pPr>
            <w:r w:rsidRPr="00DF79AE">
              <w:rPr>
                <w:sz w:val="22"/>
                <w:szCs w:val="22"/>
                <w:lang w:val="sr-Latn-ME"/>
              </w:rPr>
              <w:t>N=251</w:t>
            </w:r>
          </w:p>
        </w:tc>
        <w:tc>
          <w:tcPr>
            <w:tcW w:w="5148" w:type="dxa"/>
            <w:gridSpan w:val="2"/>
            <w:shd w:val="clear" w:color="auto" w:fill="auto"/>
            <w:vAlign w:val="center"/>
          </w:tcPr>
          <w:p w14:paraId="6C54BDDB" w14:textId="77777777" w:rsidR="000B2A5C" w:rsidRPr="00DF79AE" w:rsidRDefault="000B2A5C" w:rsidP="00BC1FCA">
            <w:pPr>
              <w:autoSpaceDE w:val="0"/>
              <w:autoSpaceDN w:val="0"/>
              <w:adjustRightInd w:val="0"/>
              <w:jc w:val="center"/>
              <w:rPr>
                <w:b/>
                <w:sz w:val="22"/>
                <w:szCs w:val="22"/>
                <w:lang w:val="sr-Latn-ME"/>
              </w:rPr>
            </w:pPr>
            <w:r w:rsidRPr="00DF79AE">
              <w:rPr>
                <w:b/>
                <w:sz w:val="22"/>
                <w:szCs w:val="22"/>
                <w:lang w:val="sr-Latn-ME"/>
              </w:rPr>
              <w:t>Simponi</w:t>
            </w:r>
          </w:p>
          <w:p w14:paraId="0A046363" w14:textId="77777777" w:rsidR="000B2A5C" w:rsidRPr="00DF79AE" w:rsidRDefault="000B2A5C" w:rsidP="00BC1FCA">
            <w:pPr>
              <w:autoSpaceDE w:val="0"/>
              <w:autoSpaceDN w:val="0"/>
              <w:adjustRightInd w:val="0"/>
              <w:jc w:val="center"/>
              <w:rPr>
                <w:b/>
                <w:sz w:val="22"/>
                <w:szCs w:val="22"/>
                <w:lang w:val="sr-Latn-ME"/>
              </w:rPr>
            </w:pPr>
            <w:r w:rsidRPr="00DF79AE">
              <w:rPr>
                <w:b/>
                <w:sz w:val="22"/>
                <w:szCs w:val="22"/>
                <w:lang w:val="sr-Latn-ME"/>
              </w:rPr>
              <w:t>200/100 mg</w:t>
            </w:r>
          </w:p>
          <w:p w14:paraId="656584EF" w14:textId="77777777" w:rsidR="000B2A5C" w:rsidRPr="00DF79AE" w:rsidRDefault="000B2A5C" w:rsidP="00BC1FCA">
            <w:pPr>
              <w:autoSpaceDE w:val="0"/>
              <w:autoSpaceDN w:val="0"/>
              <w:adjustRightInd w:val="0"/>
              <w:jc w:val="center"/>
              <w:rPr>
                <w:sz w:val="22"/>
                <w:szCs w:val="22"/>
                <w:u w:val="single"/>
                <w:lang w:val="sr-Latn-ME"/>
              </w:rPr>
            </w:pPr>
            <w:r w:rsidRPr="00DF79AE">
              <w:rPr>
                <w:sz w:val="22"/>
                <w:szCs w:val="22"/>
                <w:lang w:val="sr-Latn-ME"/>
              </w:rPr>
              <w:t>N=253</w:t>
            </w:r>
          </w:p>
        </w:tc>
      </w:tr>
      <w:tr w:rsidR="000B2A5C" w:rsidRPr="00DF79AE" w14:paraId="0C86D1FB" w14:textId="77777777" w:rsidTr="00BC1FCA">
        <w:trPr>
          <w:jc w:val="center"/>
        </w:trPr>
        <w:tc>
          <w:tcPr>
            <w:tcW w:w="10295" w:type="dxa"/>
            <w:gridSpan w:val="4"/>
            <w:shd w:val="clear" w:color="auto" w:fill="auto"/>
          </w:tcPr>
          <w:p w14:paraId="4429A409" w14:textId="77777777" w:rsidR="000B2A5C" w:rsidRPr="00DF79AE" w:rsidRDefault="000B2A5C" w:rsidP="00BC1FCA">
            <w:pPr>
              <w:autoSpaceDE w:val="0"/>
              <w:autoSpaceDN w:val="0"/>
              <w:adjustRightInd w:val="0"/>
              <w:rPr>
                <w:sz w:val="22"/>
                <w:szCs w:val="22"/>
                <w:lang w:val="sr-Latn-ME"/>
              </w:rPr>
            </w:pPr>
            <w:r w:rsidRPr="00DF79AE">
              <w:rPr>
                <w:sz w:val="22"/>
                <w:szCs w:val="22"/>
                <w:lang w:val="sr-Latn-ME"/>
              </w:rPr>
              <w:t>% pacijenata</w:t>
            </w:r>
          </w:p>
        </w:tc>
      </w:tr>
      <w:tr w:rsidR="000B2A5C" w:rsidRPr="00DF79AE" w14:paraId="5B974B4F" w14:textId="77777777" w:rsidTr="00BC1FCA">
        <w:trPr>
          <w:jc w:val="center"/>
        </w:trPr>
        <w:tc>
          <w:tcPr>
            <w:tcW w:w="2573" w:type="dxa"/>
            <w:shd w:val="clear" w:color="auto" w:fill="auto"/>
          </w:tcPr>
          <w:p w14:paraId="2B323319" w14:textId="77777777" w:rsidR="000B2A5C" w:rsidRPr="00DF79AE" w:rsidRDefault="000B2A5C" w:rsidP="00BC1FCA">
            <w:pPr>
              <w:autoSpaceDE w:val="0"/>
              <w:autoSpaceDN w:val="0"/>
              <w:adjustRightInd w:val="0"/>
              <w:rPr>
                <w:sz w:val="22"/>
                <w:szCs w:val="22"/>
                <w:lang w:val="sr-Latn-ME"/>
              </w:rPr>
            </w:pPr>
            <w:r w:rsidRPr="00DF79AE">
              <w:rPr>
                <w:sz w:val="22"/>
                <w:szCs w:val="22"/>
                <w:lang w:val="sr-Latn-ME"/>
              </w:rPr>
              <w:t>Pacijenti sa kliničkim odgovorom u 6. nedjelji</w:t>
            </w:r>
            <w:r w:rsidRPr="00DF79AE">
              <w:rPr>
                <w:sz w:val="22"/>
                <w:szCs w:val="22"/>
                <w:vertAlign w:val="superscript"/>
                <w:lang w:val="sr-Latn-ME"/>
              </w:rPr>
              <w:t>a</w:t>
            </w:r>
          </w:p>
        </w:tc>
        <w:tc>
          <w:tcPr>
            <w:tcW w:w="2574" w:type="dxa"/>
            <w:shd w:val="clear" w:color="auto" w:fill="auto"/>
            <w:vAlign w:val="center"/>
          </w:tcPr>
          <w:p w14:paraId="3FDF004D" w14:textId="77777777" w:rsidR="000B2A5C" w:rsidRPr="00DF79AE" w:rsidRDefault="000B2A5C" w:rsidP="00BC1FCA">
            <w:pPr>
              <w:autoSpaceDE w:val="0"/>
              <w:autoSpaceDN w:val="0"/>
              <w:adjustRightInd w:val="0"/>
              <w:jc w:val="center"/>
              <w:rPr>
                <w:sz w:val="22"/>
                <w:szCs w:val="22"/>
                <w:lang w:val="sr-Latn-ME"/>
              </w:rPr>
            </w:pPr>
            <w:r w:rsidRPr="00DF79AE">
              <w:rPr>
                <w:sz w:val="22"/>
                <w:szCs w:val="22"/>
                <w:lang w:val="sr-Latn-ME"/>
              </w:rPr>
              <w:t>30%</w:t>
            </w:r>
          </w:p>
        </w:tc>
        <w:tc>
          <w:tcPr>
            <w:tcW w:w="5148" w:type="dxa"/>
            <w:gridSpan w:val="2"/>
            <w:shd w:val="clear" w:color="auto" w:fill="auto"/>
            <w:vAlign w:val="center"/>
          </w:tcPr>
          <w:p w14:paraId="691B68FB" w14:textId="77777777" w:rsidR="000B2A5C" w:rsidRPr="00DF79AE" w:rsidRDefault="000B2A5C" w:rsidP="00BC1FCA">
            <w:pPr>
              <w:autoSpaceDE w:val="0"/>
              <w:autoSpaceDN w:val="0"/>
              <w:adjustRightInd w:val="0"/>
              <w:jc w:val="center"/>
              <w:rPr>
                <w:sz w:val="22"/>
                <w:szCs w:val="22"/>
                <w:lang w:val="sr-Latn-ME"/>
              </w:rPr>
            </w:pPr>
            <w:r w:rsidRPr="00DF79AE">
              <w:rPr>
                <w:sz w:val="22"/>
                <w:szCs w:val="22"/>
                <w:lang w:val="sr-Latn-ME"/>
              </w:rPr>
              <w:t>51%**</w:t>
            </w:r>
          </w:p>
        </w:tc>
      </w:tr>
      <w:tr w:rsidR="000B2A5C" w:rsidRPr="00DF79AE" w14:paraId="73F4251C" w14:textId="77777777" w:rsidTr="00BC1FCA">
        <w:trPr>
          <w:jc w:val="center"/>
        </w:trPr>
        <w:tc>
          <w:tcPr>
            <w:tcW w:w="2573" w:type="dxa"/>
            <w:shd w:val="clear" w:color="auto" w:fill="auto"/>
          </w:tcPr>
          <w:p w14:paraId="563105A4" w14:textId="77777777" w:rsidR="000B2A5C" w:rsidRPr="00DF79AE" w:rsidRDefault="000B2A5C" w:rsidP="00BC1FCA">
            <w:pPr>
              <w:autoSpaceDE w:val="0"/>
              <w:autoSpaceDN w:val="0"/>
              <w:adjustRightInd w:val="0"/>
              <w:rPr>
                <w:sz w:val="22"/>
                <w:szCs w:val="22"/>
                <w:lang w:val="sr-Latn-ME"/>
              </w:rPr>
            </w:pPr>
            <w:r w:rsidRPr="00DF79AE">
              <w:rPr>
                <w:sz w:val="22"/>
                <w:szCs w:val="22"/>
                <w:lang w:val="sr-Latn-ME"/>
              </w:rPr>
              <w:t>Pacijenti sa kliničkom remisijom u 6. nedjelji</w:t>
            </w:r>
            <w:r w:rsidRPr="00DF79AE">
              <w:rPr>
                <w:sz w:val="22"/>
                <w:szCs w:val="22"/>
                <w:vertAlign w:val="superscript"/>
                <w:lang w:val="sr-Latn-ME"/>
              </w:rPr>
              <w:t>b</w:t>
            </w:r>
          </w:p>
        </w:tc>
        <w:tc>
          <w:tcPr>
            <w:tcW w:w="2574" w:type="dxa"/>
            <w:shd w:val="clear" w:color="auto" w:fill="auto"/>
            <w:vAlign w:val="center"/>
          </w:tcPr>
          <w:p w14:paraId="31B24CA8" w14:textId="77777777" w:rsidR="000B2A5C" w:rsidRPr="00DF79AE" w:rsidRDefault="000B2A5C" w:rsidP="00BC1FCA">
            <w:pPr>
              <w:autoSpaceDE w:val="0"/>
              <w:autoSpaceDN w:val="0"/>
              <w:adjustRightInd w:val="0"/>
              <w:jc w:val="center"/>
              <w:rPr>
                <w:sz w:val="22"/>
                <w:szCs w:val="22"/>
                <w:lang w:val="sr-Latn-ME"/>
              </w:rPr>
            </w:pPr>
            <w:r w:rsidRPr="00DF79AE">
              <w:rPr>
                <w:sz w:val="22"/>
                <w:szCs w:val="22"/>
                <w:lang w:val="sr-Latn-ME"/>
              </w:rPr>
              <w:t>6%</w:t>
            </w:r>
          </w:p>
        </w:tc>
        <w:tc>
          <w:tcPr>
            <w:tcW w:w="5148" w:type="dxa"/>
            <w:gridSpan w:val="2"/>
            <w:shd w:val="clear" w:color="auto" w:fill="auto"/>
            <w:vAlign w:val="center"/>
          </w:tcPr>
          <w:p w14:paraId="203387F9" w14:textId="77777777" w:rsidR="000B2A5C" w:rsidRPr="00DF79AE" w:rsidRDefault="000B2A5C" w:rsidP="00BC1FCA">
            <w:pPr>
              <w:autoSpaceDE w:val="0"/>
              <w:autoSpaceDN w:val="0"/>
              <w:adjustRightInd w:val="0"/>
              <w:jc w:val="center"/>
              <w:rPr>
                <w:sz w:val="22"/>
                <w:szCs w:val="22"/>
                <w:lang w:val="sr-Latn-ME"/>
              </w:rPr>
            </w:pPr>
            <w:r w:rsidRPr="00DF79AE">
              <w:rPr>
                <w:sz w:val="22"/>
                <w:szCs w:val="22"/>
                <w:lang w:val="sr-Latn-ME"/>
              </w:rPr>
              <w:t>18%**</w:t>
            </w:r>
          </w:p>
        </w:tc>
      </w:tr>
      <w:tr w:rsidR="000B2A5C" w:rsidRPr="00DF79AE" w14:paraId="407F61B2" w14:textId="77777777" w:rsidTr="00BC1FCA">
        <w:trPr>
          <w:jc w:val="center"/>
        </w:trPr>
        <w:tc>
          <w:tcPr>
            <w:tcW w:w="2573" w:type="dxa"/>
            <w:shd w:val="clear" w:color="auto" w:fill="auto"/>
          </w:tcPr>
          <w:p w14:paraId="78409236" w14:textId="77777777" w:rsidR="000B2A5C" w:rsidRPr="00DF79AE" w:rsidRDefault="000B2A5C" w:rsidP="00BC1FCA">
            <w:pPr>
              <w:autoSpaceDE w:val="0"/>
              <w:autoSpaceDN w:val="0"/>
              <w:adjustRightInd w:val="0"/>
              <w:rPr>
                <w:sz w:val="22"/>
                <w:szCs w:val="22"/>
                <w:lang w:val="sr-Latn-ME"/>
              </w:rPr>
            </w:pPr>
            <w:r w:rsidRPr="00DF79AE">
              <w:rPr>
                <w:sz w:val="22"/>
                <w:szCs w:val="22"/>
                <w:lang w:val="sr-Latn-ME"/>
              </w:rPr>
              <w:t>Pacijenti sa zacjeljenjem sluznice u 6. nedjelji</w:t>
            </w:r>
            <w:r w:rsidRPr="00DF79AE">
              <w:rPr>
                <w:sz w:val="22"/>
                <w:szCs w:val="22"/>
                <w:vertAlign w:val="superscript"/>
                <w:lang w:val="sr-Latn-ME"/>
              </w:rPr>
              <w:t>c</w:t>
            </w:r>
          </w:p>
        </w:tc>
        <w:tc>
          <w:tcPr>
            <w:tcW w:w="2574" w:type="dxa"/>
            <w:shd w:val="clear" w:color="auto" w:fill="auto"/>
            <w:vAlign w:val="center"/>
          </w:tcPr>
          <w:p w14:paraId="60362950" w14:textId="77777777" w:rsidR="000B2A5C" w:rsidRPr="00DF79AE" w:rsidRDefault="000B2A5C" w:rsidP="00BC1FCA">
            <w:pPr>
              <w:autoSpaceDE w:val="0"/>
              <w:autoSpaceDN w:val="0"/>
              <w:adjustRightInd w:val="0"/>
              <w:jc w:val="center"/>
              <w:rPr>
                <w:sz w:val="22"/>
                <w:szCs w:val="22"/>
                <w:lang w:val="sr-Latn-ME"/>
              </w:rPr>
            </w:pPr>
            <w:r w:rsidRPr="00DF79AE">
              <w:rPr>
                <w:sz w:val="22"/>
                <w:szCs w:val="22"/>
                <w:lang w:val="sr-Latn-ME"/>
              </w:rPr>
              <w:t>29%</w:t>
            </w:r>
          </w:p>
        </w:tc>
        <w:tc>
          <w:tcPr>
            <w:tcW w:w="5148" w:type="dxa"/>
            <w:gridSpan w:val="2"/>
            <w:shd w:val="clear" w:color="auto" w:fill="auto"/>
            <w:vAlign w:val="center"/>
          </w:tcPr>
          <w:p w14:paraId="18DBBA1B" w14:textId="77777777" w:rsidR="000B2A5C" w:rsidRPr="00DF79AE" w:rsidRDefault="000B2A5C" w:rsidP="00BC1FCA">
            <w:pPr>
              <w:autoSpaceDE w:val="0"/>
              <w:autoSpaceDN w:val="0"/>
              <w:adjustRightInd w:val="0"/>
              <w:jc w:val="center"/>
              <w:rPr>
                <w:sz w:val="22"/>
                <w:szCs w:val="22"/>
                <w:lang w:val="sr-Latn-ME"/>
              </w:rPr>
            </w:pPr>
            <w:r w:rsidRPr="00DF79AE">
              <w:rPr>
                <w:sz w:val="22"/>
                <w:szCs w:val="22"/>
                <w:lang w:val="sr-Latn-ME"/>
              </w:rPr>
              <w:t>42%**</w:t>
            </w:r>
          </w:p>
        </w:tc>
      </w:tr>
      <w:tr w:rsidR="000B2A5C" w:rsidRPr="00DF79AE" w14:paraId="6181DA3E" w14:textId="77777777" w:rsidTr="00BC1FCA">
        <w:trPr>
          <w:jc w:val="center"/>
        </w:trPr>
        <w:tc>
          <w:tcPr>
            <w:tcW w:w="10295" w:type="dxa"/>
            <w:gridSpan w:val="4"/>
            <w:shd w:val="clear" w:color="auto" w:fill="auto"/>
            <w:vAlign w:val="center"/>
          </w:tcPr>
          <w:p w14:paraId="71D3B2DE" w14:textId="77777777" w:rsidR="000B2A5C" w:rsidRPr="00DF79AE" w:rsidRDefault="000B2A5C" w:rsidP="00BC1FCA">
            <w:pPr>
              <w:autoSpaceDE w:val="0"/>
              <w:autoSpaceDN w:val="0"/>
              <w:adjustRightInd w:val="0"/>
              <w:jc w:val="center"/>
              <w:rPr>
                <w:b/>
                <w:sz w:val="22"/>
                <w:szCs w:val="22"/>
                <w:lang w:val="sr-Latn-ME"/>
              </w:rPr>
            </w:pPr>
            <w:r w:rsidRPr="00DF79AE">
              <w:rPr>
                <w:b/>
                <w:bCs/>
                <w:sz w:val="22"/>
                <w:szCs w:val="22"/>
                <w:lang w:val="sr-Latn-ME"/>
              </w:rPr>
              <w:t>PURSUIT – Maintenance</w:t>
            </w:r>
          </w:p>
        </w:tc>
      </w:tr>
      <w:tr w:rsidR="000B2A5C" w:rsidRPr="00DF79AE" w14:paraId="428733F8" w14:textId="77777777" w:rsidTr="00BC1FCA">
        <w:trPr>
          <w:jc w:val="center"/>
        </w:trPr>
        <w:tc>
          <w:tcPr>
            <w:tcW w:w="2573" w:type="dxa"/>
            <w:shd w:val="clear" w:color="auto" w:fill="auto"/>
          </w:tcPr>
          <w:p w14:paraId="4D9E766E" w14:textId="77777777" w:rsidR="000B2A5C" w:rsidRPr="00DF79AE" w:rsidRDefault="000B2A5C" w:rsidP="00BC1FCA">
            <w:pPr>
              <w:autoSpaceDE w:val="0"/>
              <w:autoSpaceDN w:val="0"/>
              <w:adjustRightInd w:val="0"/>
              <w:rPr>
                <w:sz w:val="22"/>
                <w:szCs w:val="22"/>
                <w:lang w:val="sr-Latn-ME"/>
              </w:rPr>
            </w:pPr>
          </w:p>
        </w:tc>
        <w:tc>
          <w:tcPr>
            <w:tcW w:w="2574" w:type="dxa"/>
            <w:shd w:val="clear" w:color="auto" w:fill="auto"/>
            <w:vAlign w:val="center"/>
          </w:tcPr>
          <w:p w14:paraId="5332481B" w14:textId="77777777" w:rsidR="000B2A5C" w:rsidRPr="00DF79AE" w:rsidRDefault="000B2A5C" w:rsidP="00BC1FCA">
            <w:pPr>
              <w:autoSpaceDE w:val="0"/>
              <w:autoSpaceDN w:val="0"/>
              <w:adjustRightInd w:val="0"/>
              <w:jc w:val="center"/>
              <w:rPr>
                <w:b/>
                <w:sz w:val="22"/>
                <w:szCs w:val="22"/>
                <w:lang w:val="sr-Latn-ME"/>
              </w:rPr>
            </w:pPr>
            <w:r w:rsidRPr="00DF79AE">
              <w:rPr>
                <w:b/>
                <w:sz w:val="22"/>
                <w:szCs w:val="22"/>
                <w:lang w:val="sr-Latn-ME"/>
              </w:rPr>
              <w:t>Placebo</w:t>
            </w:r>
            <w:r w:rsidRPr="00DF79AE">
              <w:rPr>
                <w:b/>
                <w:sz w:val="22"/>
                <w:szCs w:val="22"/>
                <w:vertAlign w:val="superscript"/>
                <w:lang w:val="sr-Latn-ME"/>
              </w:rPr>
              <w:t>d</w:t>
            </w:r>
          </w:p>
          <w:p w14:paraId="4B050E19" w14:textId="77777777" w:rsidR="000B2A5C" w:rsidRPr="00DF79AE" w:rsidRDefault="000B2A5C" w:rsidP="00BC1FCA">
            <w:pPr>
              <w:autoSpaceDE w:val="0"/>
              <w:autoSpaceDN w:val="0"/>
              <w:adjustRightInd w:val="0"/>
              <w:jc w:val="center"/>
              <w:rPr>
                <w:sz w:val="22"/>
                <w:szCs w:val="22"/>
                <w:lang w:val="sr-Latn-ME"/>
              </w:rPr>
            </w:pPr>
            <w:r w:rsidRPr="00DF79AE">
              <w:rPr>
                <w:sz w:val="22"/>
                <w:szCs w:val="22"/>
                <w:lang w:val="sr-Latn-ME"/>
              </w:rPr>
              <w:t>N=154</w:t>
            </w:r>
          </w:p>
        </w:tc>
        <w:tc>
          <w:tcPr>
            <w:tcW w:w="2574" w:type="dxa"/>
            <w:shd w:val="clear" w:color="auto" w:fill="auto"/>
            <w:vAlign w:val="center"/>
          </w:tcPr>
          <w:p w14:paraId="1BFAAA34" w14:textId="77777777" w:rsidR="000B2A5C" w:rsidRPr="00DF79AE" w:rsidRDefault="000B2A5C" w:rsidP="00BC1FCA">
            <w:pPr>
              <w:autoSpaceDE w:val="0"/>
              <w:autoSpaceDN w:val="0"/>
              <w:adjustRightInd w:val="0"/>
              <w:jc w:val="center"/>
              <w:rPr>
                <w:b/>
                <w:sz w:val="22"/>
                <w:szCs w:val="22"/>
                <w:lang w:val="sr-Latn-ME"/>
              </w:rPr>
            </w:pPr>
            <w:r w:rsidRPr="00DF79AE">
              <w:rPr>
                <w:b/>
                <w:sz w:val="22"/>
                <w:szCs w:val="22"/>
                <w:lang w:val="sr-Latn-ME"/>
              </w:rPr>
              <w:t>Simponi</w:t>
            </w:r>
          </w:p>
          <w:p w14:paraId="7A604D8D" w14:textId="77777777" w:rsidR="000B2A5C" w:rsidRPr="00DF79AE" w:rsidRDefault="000B2A5C" w:rsidP="00BC1FCA">
            <w:pPr>
              <w:autoSpaceDE w:val="0"/>
              <w:autoSpaceDN w:val="0"/>
              <w:adjustRightInd w:val="0"/>
              <w:jc w:val="center"/>
              <w:rPr>
                <w:b/>
                <w:sz w:val="22"/>
                <w:szCs w:val="22"/>
                <w:lang w:val="sr-Latn-ME"/>
              </w:rPr>
            </w:pPr>
            <w:r w:rsidRPr="00DF79AE">
              <w:rPr>
                <w:b/>
                <w:sz w:val="22"/>
                <w:szCs w:val="22"/>
                <w:lang w:val="sr-Latn-ME"/>
              </w:rPr>
              <w:t>50 mg</w:t>
            </w:r>
          </w:p>
          <w:p w14:paraId="5B8C110F" w14:textId="77777777" w:rsidR="000B2A5C" w:rsidRPr="00DF79AE" w:rsidRDefault="000B2A5C" w:rsidP="00BC1FCA">
            <w:pPr>
              <w:autoSpaceDE w:val="0"/>
              <w:autoSpaceDN w:val="0"/>
              <w:adjustRightInd w:val="0"/>
              <w:jc w:val="center"/>
              <w:rPr>
                <w:sz w:val="22"/>
                <w:szCs w:val="22"/>
                <w:lang w:val="sr-Latn-ME"/>
              </w:rPr>
            </w:pPr>
            <w:r w:rsidRPr="00DF79AE">
              <w:rPr>
                <w:sz w:val="22"/>
                <w:szCs w:val="22"/>
                <w:lang w:val="sr-Latn-ME"/>
              </w:rPr>
              <w:t>N=151</w:t>
            </w:r>
          </w:p>
        </w:tc>
        <w:tc>
          <w:tcPr>
            <w:tcW w:w="2574" w:type="dxa"/>
            <w:shd w:val="clear" w:color="auto" w:fill="auto"/>
            <w:vAlign w:val="center"/>
          </w:tcPr>
          <w:p w14:paraId="27774996" w14:textId="77777777" w:rsidR="000B2A5C" w:rsidRPr="00DF79AE" w:rsidRDefault="000B2A5C" w:rsidP="00BC1FCA">
            <w:pPr>
              <w:autoSpaceDE w:val="0"/>
              <w:autoSpaceDN w:val="0"/>
              <w:adjustRightInd w:val="0"/>
              <w:jc w:val="center"/>
              <w:rPr>
                <w:b/>
                <w:sz w:val="22"/>
                <w:szCs w:val="22"/>
                <w:lang w:val="sr-Latn-ME"/>
              </w:rPr>
            </w:pPr>
            <w:r w:rsidRPr="00DF79AE">
              <w:rPr>
                <w:b/>
                <w:sz w:val="22"/>
                <w:szCs w:val="22"/>
                <w:lang w:val="sr-Latn-ME"/>
              </w:rPr>
              <w:t>Simponi</w:t>
            </w:r>
          </w:p>
          <w:p w14:paraId="264ED0DE" w14:textId="77777777" w:rsidR="000B2A5C" w:rsidRPr="00DF79AE" w:rsidRDefault="000B2A5C" w:rsidP="00BC1FCA">
            <w:pPr>
              <w:autoSpaceDE w:val="0"/>
              <w:autoSpaceDN w:val="0"/>
              <w:adjustRightInd w:val="0"/>
              <w:jc w:val="center"/>
              <w:rPr>
                <w:b/>
                <w:sz w:val="22"/>
                <w:szCs w:val="22"/>
                <w:lang w:val="sr-Latn-ME"/>
              </w:rPr>
            </w:pPr>
            <w:r w:rsidRPr="00DF79AE">
              <w:rPr>
                <w:b/>
                <w:sz w:val="22"/>
                <w:szCs w:val="22"/>
                <w:lang w:val="sr-Latn-ME"/>
              </w:rPr>
              <w:t>100 mg</w:t>
            </w:r>
          </w:p>
          <w:p w14:paraId="38AF922A" w14:textId="77777777" w:rsidR="000B2A5C" w:rsidRPr="00DF79AE" w:rsidRDefault="000B2A5C" w:rsidP="00BC1FCA">
            <w:pPr>
              <w:autoSpaceDE w:val="0"/>
              <w:autoSpaceDN w:val="0"/>
              <w:adjustRightInd w:val="0"/>
              <w:jc w:val="center"/>
              <w:rPr>
                <w:sz w:val="22"/>
                <w:szCs w:val="22"/>
                <w:lang w:val="sr-Latn-ME"/>
              </w:rPr>
            </w:pPr>
            <w:r w:rsidRPr="00DF79AE">
              <w:rPr>
                <w:sz w:val="22"/>
                <w:szCs w:val="22"/>
                <w:lang w:val="sr-Latn-ME"/>
              </w:rPr>
              <w:t>N=151</w:t>
            </w:r>
          </w:p>
        </w:tc>
      </w:tr>
      <w:tr w:rsidR="000B2A5C" w:rsidRPr="00DF79AE" w14:paraId="790DF66F" w14:textId="77777777" w:rsidTr="00BC1FCA">
        <w:trPr>
          <w:jc w:val="center"/>
        </w:trPr>
        <w:tc>
          <w:tcPr>
            <w:tcW w:w="2573" w:type="dxa"/>
            <w:shd w:val="clear" w:color="auto" w:fill="auto"/>
          </w:tcPr>
          <w:p w14:paraId="57E17B59" w14:textId="77777777" w:rsidR="000B2A5C" w:rsidRPr="00DF79AE" w:rsidRDefault="000B2A5C" w:rsidP="00BC1FCA">
            <w:pPr>
              <w:autoSpaceDE w:val="0"/>
              <w:autoSpaceDN w:val="0"/>
              <w:adjustRightInd w:val="0"/>
              <w:rPr>
                <w:b/>
                <w:sz w:val="22"/>
                <w:szCs w:val="22"/>
                <w:lang w:val="sr-Latn-ME"/>
              </w:rPr>
            </w:pPr>
            <w:r w:rsidRPr="00DF79AE">
              <w:rPr>
                <w:b/>
                <w:sz w:val="22"/>
                <w:szCs w:val="22"/>
                <w:lang w:val="sr-Latn-ME"/>
              </w:rPr>
              <w:t>% pacijenata</w:t>
            </w:r>
          </w:p>
        </w:tc>
        <w:tc>
          <w:tcPr>
            <w:tcW w:w="2574" w:type="dxa"/>
            <w:shd w:val="clear" w:color="auto" w:fill="auto"/>
          </w:tcPr>
          <w:p w14:paraId="0045DF66" w14:textId="77777777" w:rsidR="000B2A5C" w:rsidRPr="00DF79AE" w:rsidRDefault="000B2A5C" w:rsidP="00BC1FCA">
            <w:pPr>
              <w:autoSpaceDE w:val="0"/>
              <w:autoSpaceDN w:val="0"/>
              <w:adjustRightInd w:val="0"/>
              <w:rPr>
                <w:sz w:val="22"/>
                <w:szCs w:val="22"/>
                <w:lang w:val="sr-Latn-ME"/>
              </w:rPr>
            </w:pPr>
          </w:p>
        </w:tc>
        <w:tc>
          <w:tcPr>
            <w:tcW w:w="2574" w:type="dxa"/>
            <w:shd w:val="clear" w:color="auto" w:fill="auto"/>
          </w:tcPr>
          <w:p w14:paraId="13980C45" w14:textId="77777777" w:rsidR="000B2A5C" w:rsidRPr="00DF79AE" w:rsidRDefault="000B2A5C" w:rsidP="00BC1FCA">
            <w:pPr>
              <w:autoSpaceDE w:val="0"/>
              <w:autoSpaceDN w:val="0"/>
              <w:adjustRightInd w:val="0"/>
              <w:rPr>
                <w:sz w:val="22"/>
                <w:szCs w:val="22"/>
                <w:lang w:val="sr-Latn-ME"/>
              </w:rPr>
            </w:pPr>
          </w:p>
        </w:tc>
        <w:tc>
          <w:tcPr>
            <w:tcW w:w="2574" w:type="dxa"/>
            <w:shd w:val="clear" w:color="auto" w:fill="auto"/>
          </w:tcPr>
          <w:p w14:paraId="4B1B8018" w14:textId="77777777" w:rsidR="000B2A5C" w:rsidRPr="00DF79AE" w:rsidRDefault="000B2A5C" w:rsidP="00BC1FCA">
            <w:pPr>
              <w:autoSpaceDE w:val="0"/>
              <w:autoSpaceDN w:val="0"/>
              <w:adjustRightInd w:val="0"/>
              <w:rPr>
                <w:sz w:val="22"/>
                <w:szCs w:val="22"/>
                <w:lang w:val="sr-Latn-ME"/>
              </w:rPr>
            </w:pPr>
          </w:p>
        </w:tc>
      </w:tr>
      <w:tr w:rsidR="000B2A5C" w:rsidRPr="00DF79AE" w14:paraId="013913D9" w14:textId="77777777" w:rsidTr="00BC1FCA">
        <w:trPr>
          <w:jc w:val="center"/>
        </w:trPr>
        <w:tc>
          <w:tcPr>
            <w:tcW w:w="2573" w:type="dxa"/>
            <w:shd w:val="clear" w:color="auto" w:fill="auto"/>
          </w:tcPr>
          <w:p w14:paraId="27B3EAF3" w14:textId="77777777" w:rsidR="000B2A5C" w:rsidRPr="00DF79AE" w:rsidRDefault="000B2A5C" w:rsidP="00BC1FCA">
            <w:pPr>
              <w:autoSpaceDE w:val="0"/>
              <w:autoSpaceDN w:val="0"/>
              <w:adjustRightInd w:val="0"/>
              <w:rPr>
                <w:sz w:val="22"/>
                <w:szCs w:val="22"/>
                <w:lang w:val="sr-Latn-ME"/>
              </w:rPr>
            </w:pPr>
            <w:r w:rsidRPr="00DF79AE">
              <w:rPr>
                <w:sz w:val="22"/>
                <w:szCs w:val="22"/>
                <w:lang w:val="sr-Latn-ME"/>
              </w:rPr>
              <w:t>Održavanje odgovora (pacijenti sa kliničkim odgovorom do 54. nedjelje)</w:t>
            </w:r>
            <w:r w:rsidRPr="00DF79AE">
              <w:rPr>
                <w:sz w:val="22"/>
                <w:szCs w:val="22"/>
                <w:vertAlign w:val="superscript"/>
                <w:lang w:val="sr-Latn-ME"/>
              </w:rPr>
              <w:t>e</w:t>
            </w:r>
          </w:p>
        </w:tc>
        <w:tc>
          <w:tcPr>
            <w:tcW w:w="2574" w:type="dxa"/>
            <w:shd w:val="clear" w:color="auto" w:fill="auto"/>
            <w:vAlign w:val="center"/>
          </w:tcPr>
          <w:p w14:paraId="3C493209" w14:textId="77777777" w:rsidR="000B2A5C" w:rsidRPr="00DF79AE" w:rsidRDefault="000B2A5C" w:rsidP="00BC1FCA">
            <w:pPr>
              <w:autoSpaceDE w:val="0"/>
              <w:autoSpaceDN w:val="0"/>
              <w:adjustRightInd w:val="0"/>
              <w:jc w:val="center"/>
              <w:rPr>
                <w:sz w:val="22"/>
                <w:szCs w:val="22"/>
                <w:lang w:val="sr-Latn-ME"/>
              </w:rPr>
            </w:pPr>
            <w:r w:rsidRPr="00DF79AE">
              <w:rPr>
                <w:sz w:val="22"/>
                <w:szCs w:val="22"/>
                <w:lang w:val="sr-Latn-ME"/>
              </w:rPr>
              <w:t>31%</w:t>
            </w:r>
          </w:p>
        </w:tc>
        <w:tc>
          <w:tcPr>
            <w:tcW w:w="2574" w:type="dxa"/>
            <w:shd w:val="clear" w:color="auto" w:fill="auto"/>
            <w:vAlign w:val="center"/>
          </w:tcPr>
          <w:p w14:paraId="5F11613A" w14:textId="77777777" w:rsidR="000B2A5C" w:rsidRPr="00DF79AE" w:rsidRDefault="000B2A5C" w:rsidP="00BC1FCA">
            <w:pPr>
              <w:autoSpaceDE w:val="0"/>
              <w:autoSpaceDN w:val="0"/>
              <w:adjustRightInd w:val="0"/>
              <w:jc w:val="center"/>
              <w:rPr>
                <w:sz w:val="22"/>
                <w:szCs w:val="22"/>
                <w:lang w:val="sr-Latn-ME"/>
              </w:rPr>
            </w:pPr>
            <w:r w:rsidRPr="00DF79AE">
              <w:rPr>
                <w:sz w:val="22"/>
                <w:szCs w:val="22"/>
                <w:lang w:val="sr-Latn-ME"/>
              </w:rPr>
              <w:t>47%*</w:t>
            </w:r>
          </w:p>
        </w:tc>
        <w:tc>
          <w:tcPr>
            <w:tcW w:w="2574" w:type="dxa"/>
            <w:shd w:val="clear" w:color="auto" w:fill="auto"/>
            <w:vAlign w:val="center"/>
          </w:tcPr>
          <w:p w14:paraId="38CBE5BB" w14:textId="77777777" w:rsidR="000B2A5C" w:rsidRPr="00DF79AE" w:rsidRDefault="000B2A5C" w:rsidP="00BC1FCA">
            <w:pPr>
              <w:autoSpaceDE w:val="0"/>
              <w:autoSpaceDN w:val="0"/>
              <w:adjustRightInd w:val="0"/>
              <w:jc w:val="center"/>
              <w:rPr>
                <w:sz w:val="22"/>
                <w:szCs w:val="22"/>
                <w:lang w:val="sr-Latn-ME"/>
              </w:rPr>
            </w:pPr>
            <w:r w:rsidRPr="00DF79AE">
              <w:rPr>
                <w:sz w:val="22"/>
                <w:szCs w:val="22"/>
                <w:lang w:val="sr-Latn-ME"/>
              </w:rPr>
              <w:t>50%**</w:t>
            </w:r>
          </w:p>
        </w:tc>
      </w:tr>
      <w:tr w:rsidR="000B2A5C" w:rsidRPr="00DF79AE" w14:paraId="44CE78E7" w14:textId="77777777" w:rsidTr="00BC1FCA">
        <w:trPr>
          <w:jc w:val="center"/>
        </w:trPr>
        <w:tc>
          <w:tcPr>
            <w:tcW w:w="2573" w:type="dxa"/>
            <w:shd w:val="clear" w:color="auto" w:fill="auto"/>
          </w:tcPr>
          <w:p w14:paraId="05BB284E" w14:textId="77777777" w:rsidR="000B2A5C" w:rsidRPr="00DF79AE" w:rsidRDefault="000B2A5C" w:rsidP="00BC1FCA">
            <w:pPr>
              <w:autoSpaceDE w:val="0"/>
              <w:autoSpaceDN w:val="0"/>
              <w:adjustRightInd w:val="0"/>
              <w:rPr>
                <w:sz w:val="22"/>
                <w:szCs w:val="22"/>
                <w:lang w:val="sr-Latn-ME"/>
              </w:rPr>
            </w:pPr>
            <w:r w:rsidRPr="00DF79AE">
              <w:rPr>
                <w:sz w:val="22"/>
                <w:szCs w:val="22"/>
                <w:lang w:val="sr-Latn-ME"/>
              </w:rPr>
              <w:t>Održana remisija (pacijenti sa kliničkom remisijom u 30. i 54. nedjelji)</w:t>
            </w:r>
            <w:r w:rsidRPr="00DF79AE">
              <w:rPr>
                <w:sz w:val="22"/>
                <w:szCs w:val="22"/>
                <w:vertAlign w:val="superscript"/>
                <w:lang w:val="sr-Latn-ME"/>
              </w:rPr>
              <w:t>f</w:t>
            </w:r>
          </w:p>
        </w:tc>
        <w:tc>
          <w:tcPr>
            <w:tcW w:w="2574" w:type="dxa"/>
            <w:shd w:val="clear" w:color="auto" w:fill="auto"/>
            <w:vAlign w:val="center"/>
          </w:tcPr>
          <w:p w14:paraId="7805DBDA" w14:textId="77777777" w:rsidR="000B2A5C" w:rsidRPr="00DF79AE" w:rsidRDefault="000B2A5C" w:rsidP="00BC1FCA">
            <w:pPr>
              <w:autoSpaceDE w:val="0"/>
              <w:autoSpaceDN w:val="0"/>
              <w:adjustRightInd w:val="0"/>
              <w:jc w:val="center"/>
              <w:rPr>
                <w:sz w:val="22"/>
                <w:szCs w:val="22"/>
                <w:lang w:val="sr-Latn-ME"/>
              </w:rPr>
            </w:pPr>
            <w:r w:rsidRPr="00DF79AE">
              <w:rPr>
                <w:sz w:val="22"/>
                <w:szCs w:val="22"/>
                <w:lang w:val="sr-Latn-ME"/>
              </w:rPr>
              <w:t>16%</w:t>
            </w:r>
          </w:p>
        </w:tc>
        <w:tc>
          <w:tcPr>
            <w:tcW w:w="2574" w:type="dxa"/>
            <w:shd w:val="clear" w:color="auto" w:fill="auto"/>
            <w:vAlign w:val="center"/>
          </w:tcPr>
          <w:p w14:paraId="13D02348" w14:textId="77777777" w:rsidR="000B2A5C" w:rsidRPr="00DF79AE" w:rsidRDefault="000B2A5C" w:rsidP="00BC1FCA">
            <w:pPr>
              <w:autoSpaceDE w:val="0"/>
              <w:autoSpaceDN w:val="0"/>
              <w:adjustRightInd w:val="0"/>
              <w:jc w:val="center"/>
              <w:rPr>
                <w:sz w:val="22"/>
                <w:szCs w:val="22"/>
                <w:lang w:val="sr-Latn-ME"/>
              </w:rPr>
            </w:pPr>
            <w:r w:rsidRPr="00DF79AE">
              <w:rPr>
                <w:sz w:val="22"/>
                <w:szCs w:val="22"/>
                <w:lang w:val="sr-Latn-ME"/>
              </w:rPr>
              <w:t>23%</w:t>
            </w:r>
            <w:r w:rsidRPr="00DF79AE">
              <w:rPr>
                <w:sz w:val="22"/>
                <w:szCs w:val="22"/>
                <w:vertAlign w:val="superscript"/>
                <w:lang w:val="sr-Latn-ME"/>
              </w:rPr>
              <w:t>g</w:t>
            </w:r>
          </w:p>
        </w:tc>
        <w:tc>
          <w:tcPr>
            <w:tcW w:w="2574" w:type="dxa"/>
            <w:shd w:val="clear" w:color="auto" w:fill="auto"/>
            <w:vAlign w:val="center"/>
          </w:tcPr>
          <w:p w14:paraId="32E636BB" w14:textId="77777777" w:rsidR="000B2A5C" w:rsidRPr="00DF79AE" w:rsidRDefault="000B2A5C" w:rsidP="00BC1FCA">
            <w:pPr>
              <w:autoSpaceDE w:val="0"/>
              <w:autoSpaceDN w:val="0"/>
              <w:adjustRightInd w:val="0"/>
              <w:jc w:val="center"/>
              <w:rPr>
                <w:sz w:val="22"/>
                <w:szCs w:val="22"/>
                <w:lang w:val="sr-Latn-ME"/>
              </w:rPr>
            </w:pPr>
            <w:r w:rsidRPr="00DF79AE">
              <w:rPr>
                <w:sz w:val="22"/>
                <w:szCs w:val="22"/>
                <w:lang w:val="sr-Latn-ME"/>
              </w:rPr>
              <w:t>28%*</w:t>
            </w:r>
          </w:p>
        </w:tc>
      </w:tr>
      <w:tr w:rsidR="000B2A5C" w:rsidRPr="00DF79AE" w14:paraId="22ED84C1" w14:textId="77777777" w:rsidTr="00BC1FCA">
        <w:trPr>
          <w:jc w:val="center"/>
        </w:trPr>
        <w:tc>
          <w:tcPr>
            <w:tcW w:w="10295" w:type="dxa"/>
            <w:gridSpan w:val="4"/>
            <w:shd w:val="clear" w:color="auto" w:fill="auto"/>
          </w:tcPr>
          <w:tbl>
            <w:tblPr>
              <w:tblW w:w="0" w:type="auto"/>
              <w:tblBorders>
                <w:top w:val="nil"/>
                <w:left w:val="nil"/>
                <w:bottom w:val="nil"/>
                <w:right w:val="nil"/>
              </w:tblBorders>
              <w:tblLook w:val="0000" w:firstRow="0" w:lastRow="0" w:firstColumn="0" w:lastColumn="0" w:noHBand="0" w:noVBand="0"/>
            </w:tblPr>
            <w:tblGrid>
              <w:gridCol w:w="8847"/>
            </w:tblGrid>
            <w:tr w:rsidR="000B2A5C" w:rsidRPr="00DF79AE" w14:paraId="20394D38" w14:textId="77777777" w:rsidTr="00BC1FCA">
              <w:trPr>
                <w:trHeight w:val="991"/>
              </w:trPr>
              <w:tc>
                <w:tcPr>
                  <w:tcW w:w="0" w:type="auto"/>
                </w:tcPr>
                <w:p w14:paraId="40010F02" w14:textId="77777777" w:rsidR="000B2A5C" w:rsidRPr="00DF79AE" w:rsidRDefault="000B2A5C" w:rsidP="00BC1FCA">
                  <w:pPr>
                    <w:autoSpaceDE w:val="0"/>
                    <w:autoSpaceDN w:val="0"/>
                    <w:adjustRightInd w:val="0"/>
                    <w:jc w:val="both"/>
                    <w:rPr>
                      <w:sz w:val="22"/>
                      <w:szCs w:val="22"/>
                      <w:lang w:val="sr-Latn-ME"/>
                    </w:rPr>
                  </w:pPr>
                  <w:r w:rsidRPr="00DF79AE">
                    <w:rPr>
                      <w:sz w:val="22"/>
                      <w:szCs w:val="22"/>
                      <w:lang w:val="sr-Latn-ME"/>
                    </w:rPr>
                    <w:t xml:space="preserve">N = broj pacijenata </w:t>
                  </w:r>
                </w:p>
                <w:p w14:paraId="03A99872" w14:textId="77777777" w:rsidR="000B2A5C" w:rsidRPr="00DF79AE" w:rsidRDefault="000B2A5C" w:rsidP="00BC1FCA">
                  <w:pPr>
                    <w:autoSpaceDE w:val="0"/>
                    <w:autoSpaceDN w:val="0"/>
                    <w:adjustRightInd w:val="0"/>
                    <w:jc w:val="both"/>
                    <w:rPr>
                      <w:sz w:val="22"/>
                      <w:szCs w:val="22"/>
                      <w:lang w:val="sr-Latn-ME"/>
                    </w:rPr>
                  </w:pPr>
                  <w:r w:rsidRPr="00DF79AE">
                    <w:rPr>
                      <w:sz w:val="22"/>
                      <w:szCs w:val="22"/>
                      <w:lang w:val="sr-Latn-ME"/>
                    </w:rPr>
                    <w:t xml:space="preserve">** p ≤ 0,001 </w:t>
                  </w:r>
                </w:p>
                <w:p w14:paraId="1C4A034A" w14:textId="77777777" w:rsidR="000B2A5C" w:rsidRPr="00DF79AE" w:rsidRDefault="000B2A5C" w:rsidP="00BC1FCA">
                  <w:pPr>
                    <w:autoSpaceDE w:val="0"/>
                    <w:autoSpaceDN w:val="0"/>
                    <w:adjustRightInd w:val="0"/>
                    <w:jc w:val="both"/>
                    <w:rPr>
                      <w:sz w:val="22"/>
                      <w:szCs w:val="22"/>
                      <w:lang w:val="sr-Latn-ME"/>
                    </w:rPr>
                  </w:pPr>
                  <w:r w:rsidRPr="00DF79AE">
                    <w:rPr>
                      <w:sz w:val="22"/>
                      <w:szCs w:val="22"/>
                      <w:lang w:val="sr-Latn-ME"/>
                    </w:rPr>
                    <w:t xml:space="preserve">* p ≤ 0,01 </w:t>
                  </w:r>
                </w:p>
                <w:p w14:paraId="5E6CF85C" w14:textId="77777777" w:rsidR="000B2A5C" w:rsidRPr="00DF79AE" w:rsidRDefault="000B2A5C" w:rsidP="00BC1FCA">
                  <w:pPr>
                    <w:autoSpaceDE w:val="0"/>
                    <w:autoSpaceDN w:val="0"/>
                    <w:adjustRightInd w:val="0"/>
                    <w:jc w:val="both"/>
                    <w:rPr>
                      <w:sz w:val="22"/>
                      <w:szCs w:val="22"/>
                      <w:lang w:val="sr-Latn-ME"/>
                    </w:rPr>
                  </w:pPr>
                  <w:r w:rsidRPr="00DF79AE">
                    <w:rPr>
                      <w:sz w:val="22"/>
                      <w:szCs w:val="22"/>
                      <w:vertAlign w:val="superscript"/>
                      <w:lang w:val="sr-Latn-ME"/>
                    </w:rPr>
                    <w:t>a</w:t>
                  </w:r>
                  <w:r w:rsidRPr="00DF79AE">
                    <w:rPr>
                      <w:sz w:val="22"/>
                      <w:szCs w:val="22"/>
                      <w:lang w:val="sr-Latn-ME"/>
                    </w:rPr>
                    <w:t xml:space="preserve"> Definisano kao smanjenje Mayo skora za ≥ 30% i  ≥ 3 boda u odnosu na početnu vrijednost, uz smanjenje podskora rektalnog krvarenja za ≥ 1 ili podskor rektalnog krvarenja 0 ili 1.</w:t>
                  </w:r>
                </w:p>
                <w:p w14:paraId="1580D065" w14:textId="77777777" w:rsidR="000B2A5C" w:rsidRPr="00DF79AE" w:rsidRDefault="000B2A5C" w:rsidP="00BC1FCA">
                  <w:pPr>
                    <w:autoSpaceDE w:val="0"/>
                    <w:autoSpaceDN w:val="0"/>
                    <w:adjustRightInd w:val="0"/>
                    <w:jc w:val="both"/>
                    <w:rPr>
                      <w:sz w:val="22"/>
                      <w:szCs w:val="22"/>
                      <w:lang w:val="sr-Latn-ME"/>
                    </w:rPr>
                  </w:pPr>
                  <w:r w:rsidRPr="00DF79AE">
                    <w:rPr>
                      <w:sz w:val="22"/>
                      <w:szCs w:val="22"/>
                      <w:vertAlign w:val="superscript"/>
                      <w:lang w:val="sr-Latn-ME"/>
                    </w:rPr>
                    <w:t>b</w:t>
                  </w:r>
                  <w:r w:rsidRPr="00DF79AE">
                    <w:rPr>
                      <w:sz w:val="22"/>
                      <w:szCs w:val="22"/>
                      <w:lang w:val="sr-Latn-ME"/>
                    </w:rPr>
                    <w:t xml:space="preserve"> Definisano kao Mayo skor  ≤ 2 boda, pri čemu nijedan podskor nije &gt; 1.</w:t>
                  </w:r>
                </w:p>
                <w:p w14:paraId="09C7668C" w14:textId="77777777" w:rsidR="000B2A5C" w:rsidRPr="00DF79AE" w:rsidRDefault="000B2A5C" w:rsidP="00BC1FCA">
                  <w:pPr>
                    <w:autoSpaceDE w:val="0"/>
                    <w:autoSpaceDN w:val="0"/>
                    <w:adjustRightInd w:val="0"/>
                    <w:jc w:val="both"/>
                    <w:rPr>
                      <w:sz w:val="22"/>
                      <w:szCs w:val="22"/>
                      <w:lang w:val="sr-Latn-ME"/>
                    </w:rPr>
                  </w:pPr>
                  <w:r w:rsidRPr="00DF79AE">
                    <w:rPr>
                      <w:sz w:val="22"/>
                      <w:szCs w:val="22"/>
                      <w:vertAlign w:val="superscript"/>
                      <w:lang w:val="sr-Latn-ME"/>
                    </w:rPr>
                    <w:t>c</w:t>
                  </w:r>
                  <w:r w:rsidRPr="00DF79AE">
                    <w:rPr>
                      <w:sz w:val="22"/>
                      <w:szCs w:val="22"/>
                      <w:lang w:val="sr-Latn-ME"/>
                    </w:rPr>
                    <w:t xml:space="preserve"> Definisano kao endoskopski podskor 0 ili 1 u sklopu Mayo skora. </w:t>
                  </w:r>
                </w:p>
                <w:p w14:paraId="41B5B0A6" w14:textId="77777777" w:rsidR="000B2A5C" w:rsidRPr="00DF79AE" w:rsidRDefault="000B2A5C" w:rsidP="00BC1FCA">
                  <w:pPr>
                    <w:autoSpaceDE w:val="0"/>
                    <w:autoSpaceDN w:val="0"/>
                    <w:adjustRightInd w:val="0"/>
                    <w:jc w:val="both"/>
                    <w:rPr>
                      <w:sz w:val="22"/>
                      <w:szCs w:val="22"/>
                      <w:lang w:val="sr-Latn-ME"/>
                    </w:rPr>
                  </w:pPr>
                  <w:r w:rsidRPr="00DF79AE">
                    <w:rPr>
                      <w:sz w:val="22"/>
                      <w:szCs w:val="22"/>
                      <w:vertAlign w:val="superscript"/>
                      <w:lang w:val="sr-Latn-ME"/>
                    </w:rPr>
                    <w:t>d</w:t>
                  </w:r>
                  <w:r w:rsidRPr="00DF79AE">
                    <w:rPr>
                      <w:sz w:val="22"/>
                      <w:szCs w:val="22"/>
                      <w:lang w:val="sr-Latn-ME"/>
                    </w:rPr>
                    <w:t xml:space="preserve"> Samo uvodna terapija lijekom Simponi. </w:t>
                  </w:r>
                </w:p>
                <w:p w14:paraId="72469516" w14:textId="77777777" w:rsidR="000B2A5C" w:rsidRPr="00DF79AE" w:rsidRDefault="000B2A5C" w:rsidP="00BC1FCA">
                  <w:pPr>
                    <w:autoSpaceDE w:val="0"/>
                    <w:autoSpaceDN w:val="0"/>
                    <w:adjustRightInd w:val="0"/>
                    <w:jc w:val="both"/>
                    <w:rPr>
                      <w:sz w:val="22"/>
                      <w:szCs w:val="22"/>
                      <w:lang w:val="sr-Latn-ME"/>
                    </w:rPr>
                  </w:pPr>
                  <w:r w:rsidRPr="00DF79AE">
                    <w:rPr>
                      <w:sz w:val="22"/>
                      <w:szCs w:val="22"/>
                      <w:vertAlign w:val="superscript"/>
                      <w:lang w:val="sr-Latn-ME"/>
                    </w:rPr>
                    <w:t>e</w:t>
                  </w:r>
                  <w:r w:rsidRPr="00DF79AE">
                    <w:rPr>
                      <w:sz w:val="22"/>
                      <w:szCs w:val="22"/>
                      <w:lang w:val="sr-Latn-ME"/>
                    </w:rPr>
                    <w:t xml:space="preserve"> Kod pacijenata se aktivnost ulceroznog kolitisa procjenjivala svake 4 nedjelje djelimičnim Mayo skorom (gubitak odgovora potvrđen je endoskopijom). Dakle, pacijent s održanim odgovorom imao je kontinuiran klinički odgovor pri svakoj procjeni do 54. nedjelje liječenja. </w:t>
                  </w:r>
                </w:p>
                <w:p w14:paraId="18D26375" w14:textId="77777777" w:rsidR="000B2A5C" w:rsidRPr="00DF79AE" w:rsidRDefault="000B2A5C" w:rsidP="00BC1FCA">
                  <w:pPr>
                    <w:autoSpaceDE w:val="0"/>
                    <w:autoSpaceDN w:val="0"/>
                    <w:adjustRightInd w:val="0"/>
                    <w:jc w:val="both"/>
                    <w:rPr>
                      <w:sz w:val="22"/>
                      <w:szCs w:val="22"/>
                      <w:lang w:val="sr-Latn-ME"/>
                    </w:rPr>
                  </w:pPr>
                  <w:r w:rsidRPr="00DF79AE">
                    <w:rPr>
                      <w:sz w:val="22"/>
                      <w:szCs w:val="22"/>
                      <w:vertAlign w:val="superscript"/>
                      <w:lang w:val="sr-Latn-ME"/>
                    </w:rPr>
                    <w:t>f</w:t>
                  </w:r>
                  <w:r w:rsidRPr="00DF79AE">
                    <w:rPr>
                      <w:sz w:val="22"/>
                      <w:szCs w:val="22"/>
                      <w:lang w:val="sr-Latn-ME"/>
                    </w:rPr>
                    <w:t xml:space="preserve"> Pacijent je morao biti u remisiji i u 30. i u 54. nedjelji (bez znakova gubitka odgovora u bilo kojem trenutku do 54. nedjelje liječenja) kako bi postigao trajnu remisiju. </w:t>
                  </w:r>
                </w:p>
                <w:p w14:paraId="5A3E39B9" w14:textId="77777777" w:rsidR="000B2A5C" w:rsidRPr="00DF79AE" w:rsidRDefault="000B2A5C" w:rsidP="00BC1FCA">
                  <w:pPr>
                    <w:autoSpaceDE w:val="0"/>
                    <w:autoSpaceDN w:val="0"/>
                    <w:adjustRightInd w:val="0"/>
                    <w:jc w:val="both"/>
                    <w:rPr>
                      <w:sz w:val="22"/>
                      <w:szCs w:val="22"/>
                      <w:lang w:val="sr-Latn-ME"/>
                    </w:rPr>
                  </w:pPr>
                  <w:r w:rsidRPr="00DF79AE">
                    <w:rPr>
                      <w:sz w:val="22"/>
                      <w:szCs w:val="22"/>
                      <w:vertAlign w:val="superscript"/>
                      <w:lang w:val="sr-Latn-ME"/>
                    </w:rPr>
                    <w:t>g</w:t>
                  </w:r>
                  <w:r w:rsidRPr="00DF79AE">
                    <w:rPr>
                      <w:sz w:val="22"/>
                      <w:szCs w:val="22"/>
                      <w:lang w:val="sr-Latn-ME"/>
                    </w:rPr>
                    <w:t xml:space="preserve"> Među pacijentima tjelesne težine manje od 80 kg, održana klinička remisija primijećena je u većoj mjeri kod pacijenata koji su primali terapiju održavanja u dozi od 50 mg nego kod pacijenata koji su primali placebo.</w:t>
                  </w:r>
                </w:p>
              </w:tc>
            </w:tr>
          </w:tbl>
          <w:p w14:paraId="51541D1B" w14:textId="77777777" w:rsidR="000B2A5C" w:rsidRPr="00DF79AE" w:rsidRDefault="000B2A5C" w:rsidP="00BC1FCA">
            <w:pPr>
              <w:autoSpaceDE w:val="0"/>
              <w:autoSpaceDN w:val="0"/>
              <w:adjustRightInd w:val="0"/>
              <w:jc w:val="center"/>
              <w:rPr>
                <w:sz w:val="22"/>
                <w:szCs w:val="22"/>
                <w:lang w:val="sr-Latn-ME"/>
              </w:rPr>
            </w:pPr>
          </w:p>
        </w:tc>
      </w:tr>
    </w:tbl>
    <w:p w14:paraId="4B0480A8" w14:textId="77777777" w:rsidR="000B2A5C" w:rsidRPr="00DF79AE" w:rsidRDefault="000B2A5C" w:rsidP="000B2A5C">
      <w:pPr>
        <w:rPr>
          <w:rFonts w:eastAsiaTheme="minorHAnsi"/>
          <w:sz w:val="22"/>
          <w:szCs w:val="22"/>
          <w:lang w:val="sr-Latn-ME"/>
        </w:rPr>
      </w:pPr>
    </w:p>
    <w:p w14:paraId="06C89C27" w14:textId="77777777" w:rsidR="000B2A5C" w:rsidRPr="00DF79AE" w:rsidRDefault="000B2A5C" w:rsidP="000B2A5C">
      <w:pPr>
        <w:autoSpaceDE w:val="0"/>
        <w:autoSpaceDN w:val="0"/>
        <w:adjustRightInd w:val="0"/>
        <w:jc w:val="both"/>
        <w:rPr>
          <w:sz w:val="22"/>
          <w:szCs w:val="22"/>
          <w:lang w:val="sr-Latn-ME"/>
        </w:rPr>
      </w:pPr>
      <w:r w:rsidRPr="00DF79AE">
        <w:rPr>
          <w:sz w:val="22"/>
          <w:szCs w:val="22"/>
          <w:lang w:val="sr-Latn-ME"/>
        </w:rPr>
        <w:t>Veći broj pacijenata liječenih lijekom Simponi pokazao je održivo zacjeljenje sluznice (pacijenti sa zacjeljenjem sluznice i u 30. i u 54. nedjelji) u dozi od 50 mg (42%, nominalna p-vrijednost &lt; 0,05) i 100 mg (42%, p &lt; 0,005) nego kod pacijenata koji su primali placebo (27%).</w:t>
      </w:r>
    </w:p>
    <w:p w14:paraId="591B45F4" w14:textId="77777777" w:rsidR="000B2A5C" w:rsidRPr="00DF79AE" w:rsidRDefault="000B2A5C" w:rsidP="000B2A5C">
      <w:pPr>
        <w:autoSpaceDE w:val="0"/>
        <w:autoSpaceDN w:val="0"/>
        <w:adjustRightInd w:val="0"/>
        <w:jc w:val="both"/>
        <w:rPr>
          <w:sz w:val="22"/>
          <w:szCs w:val="22"/>
          <w:lang w:val="sr-Latn-ME"/>
        </w:rPr>
      </w:pPr>
    </w:p>
    <w:p w14:paraId="061341BC" w14:textId="25DFE0F6" w:rsidR="00F2102A" w:rsidRPr="00DF79AE" w:rsidRDefault="000B2A5C" w:rsidP="000B2A5C">
      <w:pPr>
        <w:autoSpaceDE w:val="0"/>
        <w:autoSpaceDN w:val="0"/>
        <w:adjustRightInd w:val="0"/>
        <w:jc w:val="both"/>
        <w:rPr>
          <w:sz w:val="22"/>
          <w:szCs w:val="22"/>
          <w:lang w:val="sr-Latn-ME"/>
        </w:rPr>
      </w:pPr>
      <w:r w:rsidRPr="00DF79AE">
        <w:rPr>
          <w:sz w:val="22"/>
          <w:szCs w:val="22"/>
          <w:lang w:val="sr-Latn-ME"/>
        </w:rPr>
        <w:t xml:space="preserve">Među 54% pacijenata (247/456) koji su na početku ispitivanja PURSUIT-Maintenance istovremeno primali kortikosteroide, održiv klinički odgovor do 54. nedjelje bez istovremene primjene kortikosteroida u 54. nedjelji zabilježen je u većoj mjeri kod pacijenata koji su primali lijek u dozi od 50 mg (38%, 30/78) i 100 mg (30%, 25/82) u odnosu na pacijente koji su primali placebo (21%, 18/87). Udio pacijenata koji su prestali sa primjenom kortikosteroida do 54. nedjelje terapije bio je veći u grupama koje su primale lijek u dozi od 50 mg (41%, 32/78) i 100 mg (33%, 27/82) u odnosu na grupu </w:t>
      </w:r>
      <w:r w:rsidRPr="00DF79AE">
        <w:rPr>
          <w:sz w:val="22"/>
          <w:szCs w:val="22"/>
          <w:lang w:val="sr-Latn-ME"/>
        </w:rPr>
        <w:lastRenderedPageBreak/>
        <w:t>koja je primala placebo (22%, 19/87). Među pacijentima koji su uključeni u ekstenziju studije, procenat pacijenata koji su ostali na terapiji bez kortikosteroida je uopšteno održavan tokom 216. nedjelje.</w:t>
      </w:r>
    </w:p>
    <w:p w14:paraId="67EC0F8A" w14:textId="77777777" w:rsidR="000B2A5C" w:rsidRPr="00DF79AE" w:rsidRDefault="000B2A5C" w:rsidP="00FF1314">
      <w:pPr>
        <w:autoSpaceDE w:val="0"/>
        <w:autoSpaceDN w:val="0"/>
        <w:adjustRightInd w:val="0"/>
        <w:jc w:val="both"/>
        <w:rPr>
          <w:rFonts w:asciiTheme="minorHAnsi" w:eastAsiaTheme="minorHAnsi" w:hAnsiTheme="minorHAnsi" w:cstheme="minorBidi"/>
          <w:sz w:val="22"/>
          <w:szCs w:val="22"/>
          <w:lang w:val="hr-HR"/>
        </w:rPr>
      </w:pPr>
    </w:p>
    <w:p w14:paraId="0410CEE3" w14:textId="18C5FB43" w:rsidR="000B2A5C" w:rsidRPr="00DF79AE" w:rsidRDefault="000B2A5C" w:rsidP="00FF1314">
      <w:pPr>
        <w:autoSpaceDE w:val="0"/>
        <w:autoSpaceDN w:val="0"/>
        <w:adjustRightInd w:val="0"/>
        <w:spacing w:after="160" w:line="259" w:lineRule="auto"/>
        <w:rPr>
          <w:sz w:val="22"/>
          <w:szCs w:val="22"/>
          <w:lang w:val="sr-Latn-ME"/>
        </w:rPr>
      </w:pPr>
      <w:r w:rsidRPr="00DF79AE">
        <w:rPr>
          <w:sz w:val="22"/>
          <w:szCs w:val="22"/>
          <w:lang w:val="sr-Latn-ME"/>
        </w:rPr>
        <w:t>Pacijenti koji nisu postigli klinički odgovor u 6. nedelji u studiji PURSUIT-Induction su u studiji PURSUIT-maintenance primali Simponi u dozi od 100 mg svake 4 nedelje. U 14. nedelji ispitivanja, 28% pacijenata je dostigao odgovor definisan parcijalnim Mayo skorom (smanjenjem za ≥ 3 boda u odnosu na rezultat na početku uvodne terapije). Klinički ishodi zapaženi kod ovih pacijenata u 54. nedelji su bili slični kliničkim ishodima prijavljenim kod pacijenata koji su postigli klinički odgovor u 6. nedelji</w:t>
      </w:r>
      <w:r w:rsidRPr="00DF79AE">
        <w:rPr>
          <w:rFonts w:asciiTheme="minorHAnsi" w:eastAsiaTheme="minorHAnsi" w:hAnsiTheme="minorHAnsi" w:cstheme="minorBidi"/>
          <w:sz w:val="22"/>
          <w:szCs w:val="22"/>
          <w:lang w:val="hr-HR"/>
        </w:rPr>
        <w:t xml:space="preserve">. </w:t>
      </w:r>
    </w:p>
    <w:p w14:paraId="13DD8FE4" w14:textId="77777777" w:rsidR="000B2A5C" w:rsidRPr="00DF79AE" w:rsidRDefault="000B2A5C" w:rsidP="000B2A5C">
      <w:pPr>
        <w:tabs>
          <w:tab w:val="left" w:pos="284"/>
        </w:tabs>
        <w:autoSpaceDE w:val="0"/>
        <w:autoSpaceDN w:val="0"/>
        <w:adjustRightInd w:val="0"/>
        <w:jc w:val="both"/>
        <w:rPr>
          <w:sz w:val="22"/>
          <w:szCs w:val="22"/>
          <w:lang w:val="sr-Latn-ME"/>
        </w:rPr>
      </w:pPr>
      <w:r w:rsidRPr="00DF79AE">
        <w:rPr>
          <w:sz w:val="22"/>
          <w:szCs w:val="22"/>
          <w:lang w:val="sr-Latn-ME"/>
        </w:rPr>
        <w:t>Lijek Simponi je u 6. nedjelji značajno poboljšao kvalitet života, mjereno promjenom u odnosu na početnu vrijednost mjere specifične za bolest, upitniku IBDQ (upitnik za zapaljenske bolesti crijeva). Među pacijentima koji su primali terapiju održavanja lijekom Simponi, poboljšanje kvaliteta života mjereno upitnikom IBDQ održalo se do 54. nedjelje.</w:t>
      </w:r>
    </w:p>
    <w:p w14:paraId="35E5E4DC" w14:textId="77777777" w:rsidR="000B2A5C" w:rsidRPr="00DF79AE" w:rsidRDefault="000B2A5C" w:rsidP="000B2A5C">
      <w:pPr>
        <w:tabs>
          <w:tab w:val="left" w:pos="284"/>
        </w:tabs>
        <w:autoSpaceDE w:val="0"/>
        <w:autoSpaceDN w:val="0"/>
        <w:adjustRightInd w:val="0"/>
        <w:jc w:val="both"/>
        <w:rPr>
          <w:sz w:val="22"/>
          <w:szCs w:val="22"/>
          <w:lang w:val="sr-Latn-ME"/>
        </w:rPr>
      </w:pPr>
    </w:p>
    <w:p w14:paraId="4F89AD41" w14:textId="77777777" w:rsidR="000B2A5C" w:rsidRPr="00DF79AE" w:rsidRDefault="000B2A5C" w:rsidP="000B2A5C">
      <w:pPr>
        <w:tabs>
          <w:tab w:val="left" w:pos="284"/>
        </w:tabs>
        <w:autoSpaceDE w:val="0"/>
        <w:autoSpaceDN w:val="0"/>
        <w:adjustRightInd w:val="0"/>
        <w:jc w:val="both"/>
        <w:rPr>
          <w:sz w:val="22"/>
          <w:szCs w:val="22"/>
          <w:u w:val="single"/>
          <w:lang w:val="sr-Latn-ME"/>
        </w:rPr>
      </w:pPr>
      <w:r w:rsidRPr="00DF79AE">
        <w:rPr>
          <w:sz w:val="22"/>
          <w:szCs w:val="22"/>
          <w:lang w:val="sr-Latn-ME"/>
        </w:rPr>
        <w:t>Približno 63% pacijenata koji su primali lijek Simponi na početku ekstenzije studije (56. nedjelja) su ostali na terapiji do kraja studije (posljednja primjena golimumaba je bila u 212. nedjelji).</w:t>
      </w:r>
    </w:p>
    <w:p w14:paraId="6FC86E94" w14:textId="77777777" w:rsidR="000B2A5C" w:rsidRPr="00DF79AE" w:rsidRDefault="000B2A5C" w:rsidP="000B2A5C">
      <w:pPr>
        <w:tabs>
          <w:tab w:val="left" w:pos="284"/>
        </w:tabs>
        <w:autoSpaceDE w:val="0"/>
        <w:autoSpaceDN w:val="0"/>
        <w:adjustRightInd w:val="0"/>
        <w:jc w:val="both"/>
        <w:rPr>
          <w:sz w:val="22"/>
          <w:szCs w:val="22"/>
          <w:u w:val="single"/>
          <w:lang w:val="sr-Latn-ME"/>
        </w:rPr>
      </w:pPr>
    </w:p>
    <w:p w14:paraId="7747070B" w14:textId="77777777" w:rsidR="000B2A5C" w:rsidRPr="00DF79AE" w:rsidRDefault="000B2A5C" w:rsidP="000B2A5C">
      <w:pPr>
        <w:tabs>
          <w:tab w:val="left" w:pos="284"/>
        </w:tabs>
        <w:autoSpaceDE w:val="0"/>
        <w:autoSpaceDN w:val="0"/>
        <w:adjustRightInd w:val="0"/>
        <w:jc w:val="both"/>
        <w:rPr>
          <w:sz w:val="22"/>
          <w:szCs w:val="22"/>
          <w:u w:val="single"/>
          <w:lang w:val="sr-Latn-ME"/>
        </w:rPr>
      </w:pPr>
      <w:r w:rsidRPr="00DF79AE">
        <w:rPr>
          <w:sz w:val="22"/>
          <w:szCs w:val="22"/>
          <w:u w:val="single"/>
          <w:lang w:val="sr-Latn-ME"/>
        </w:rPr>
        <w:t xml:space="preserve">Imunogenost: </w:t>
      </w:r>
    </w:p>
    <w:p w14:paraId="7AE624C2" w14:textId="77777777" w:rsidR="000B2A5C" w:rsidRPr="00DF79AE" w:rsidRDefault="000B2A5C" w:rsidP="000B2A5C">
      <w:pPr>
        <w:tabs>
          <w:tab w:val="left" w:pos="284"/>
        </w:tabs>
        <w:autoSpaceDE w:val="0"/>
        <w:autoSpaceDN w:val="0"/>
        <w:adjustRightInd w:val="0"/>
        <w:jc w:val="both"/>
        <w:rPr>
          <w:sz w:val="22"/>
          <w:szCs w:val="22"/>
          <w:lang w:val="sr-Latn-ME"/>
        </w:rPr>
      </w:pPr>
      <w:r w:rsidRPr="00DF79AE">
        <w:rPr>
          <w:sz w:val="22"/>
          <w:szCs w:val="22"/>
          <w:lang w:val="sr-Latn-ME"/>
        </w:rPr>
        <w:t xml:space="preserve">U studijama faze III u reumatoidnom artritisu, psorijatičnom artritisu i ankilozirajućem spondilitisu do 52. nedjelje, antitijela na golimumab, od kojih su gotovo sva djelovala neutrališuće </w:t>
      </w:r>
      <w:r w:rsidRPr="00DF79AE">
        <w:rPr>
          <w:i/>
          <w:iCs/>
          <w:sz w:val="22"/>
          <w:szCs w:val="22"/>
          <w:lang w:val="sr-Latn-ME"/>
        </w:rPr>
        <w:t>in vitro</w:t>
      </w:r>
      <w:r w:rsidRPr="00DF79AE">
        <w:rPr>
          <w:sz w:val="22"/>
          <w:szCs w:val="22"/>
          <w:lang w:val="sr-Latn-ME"/>
        </w:rPr>
        <w:t xml:space="preserve">, otkrivena su kod 5% pacijenata (105/2062) liječenih golimumabom. Slične stope dobijene su u svim reumatološkim indikacijama. Istovremeno liječenje metotreksatom rezultiralo je manjim udjelom pacijenata s antitijelima na golimumab (oko 3% [41/1235]), u poređenju s pacijentima koji uz golimumab nisu primali MTX (8% [64/827]). </w:t>
      </w:r>
    </w:p>
    <w:p w14:paraId="6A1D18BD" w14:textId="77777777" w:rsidR="000B2A5C" w:rsidRPr="00DF79AE" w:rsidRDefault="000B2A5C" w:rsidP="000B2A5C">
      <w:pPr>
        <w:tabs>
          <w:tab w:val="left" w:pos="284"/>
        </w:tabs>
        <w:autoSpaceDE w:val="0"/>
        <w:autoSpaceDN w:val="0"/>
        <w:adjustRightInd w:val="0"/>
        <w:jc w:val="both"/>
        <w:rPr>
          <w:sz w:val="22"/>
          <w:szCs w:val="22"/>
          <w:lang w:val="sr-Latn-ME"/>
        </w:rPr>
      </w:pPr>
    </w:p>
    <w:p w14:paraId="794B0B02" w14:textId="7E44EE29" w:rsidR="000B2A5C" w:rsidRPr="00DF79AE" w:rsidRDefault="000B2A5C" w:rsidP="000B2A5C">
      <w:pPr>
        <w:autoSpaceDE w:val="0"/>
        <w:autoSpaceDN w:val="0"/>
        <w:adjustRightInd w:val="0"/>
        <w:jc w:val="both"/>
        <w:rPr>
          <w:sz w:val="22"/>
          <w:szCs w:val="22"/>
          <w:lang w:val="sr-Latn-ME"/>
        </w:rPr>
      </w:pPr>
      <w:r w:rsidRPr="00DF79AE">
        <w:rPr>
          <w:sz w:val="22"/>
          <w:szCs w:val="22"/>
          <w:lang w:val="sr-Latn-ME"/>
        </w:rPr>
        <w:t>Kod aksijalnog spondiloartritisa</w:t>
      </w:r>
      <w:r w:rsidR="00A06D4D">
        <w:rPr>
          <w:sz w:val="22"/>
          <w:szCs w:val="22"/>
          <w:lang w:val="sr-Latn-ME"/>
        </w:rPr>
        <w:t xml:space="preserve"> </w:t>
      </w:r>
      <w:r w:rsidR="00A06D4D" w:rsidRPr="00A06D4D">
        <w:rPr>
          <w:sz w:val="22"/>
          <w:szCs w:val="22"/>
          <w:lang w:val="sr-Latn-ME"/>
        </w:rPr>
        <w:t>bez radiografskog dokaza</w:t>
      </w:r>
      <w:r w:rsidRPr="00DF79AE">
        <w:rPr>
          <w:sz w:val="22"/>
          <w:szCs w:val="22"/>
          <w:lang w:val="sr-Latn-ME"/>
        </w:rPr>
        <w:t>, antitijela na golimumab su detektovana kod 7% (14/193) pacijenata liječenih golimumabom do 52. nedjelje.</w:t>
      </w:r>
    </w:p>
    <w:p w14:paraId="4EF251B3" w14:textId="77777777" w:rsidR="000B2A5C" w:rsidRPr="00DF79AE" w:rsidRDefault="000B2A5C" w:rsidP="000B2A5C">
      <w:pPr>
        <w:tabs>
          <w:tab w:val="left" w:pos="284"/>
        </w:tabs>
        <w:autoSpaceDE w:val="0"/>
        <w:autoSpaceDN w:val="0"/>
        <w:adjustRightInd w:val="0"/>
        <w:jc w:val="both"/>
        <w:rPr>
          <w:sz w:val="22"/>
          <w:szCs w:val="22"/>
          <w:lang w:val="sr-Latn-ME"/>
        </w:rPr>
      </w:pPr>
    </w:p>
    <w:p w14:paraId="4135112D" w14:textId="77777777" w:rsidR="000B2A5C" w:rsidRPr="00DF79AE" w:rsidRDefault="000B2A5C" w:rsidP="000B2A5C">
      <w:pPr>
        <w:tabs>
          <w:tab w:val="left" w:pos="284"/>
        </w:tabs>
        <w:autoSpaceDE w:val="0"/>
        <w:autoSpaceDN w:val="0"/>
        <w:adjustRightInd w:val="0"/>
        <w:jc w:val="both"/>
        <w:rPr>
          <w:i/>
          <w:sz w:val="22"/>
          <w:szCs w:val="22"/>
          <w:lang w:val="sr-Latn-ME"/>
        </w:rPr>
      </w:pPr>
      <w:r w:rsidRPr="00DF79AE">
        <w:rPr>
          <w:sz w:val="22"/>
          <w:szCs w:val="22"/>
          <w:lang w:val="sr-Latn-ME"/>
        </w:rPr>
        <w:t xml:space="preserve">U studijama faze II i III kod ulceroznog kolitisa do 54. nedjelje, antitijela na golimumab su identifikovana kod 3% (26/946) pacijenata na terapiji golimumabom. 68% (21/31) pacijenata pozitivnih na antitijela su imali neutrališuća antitijela </w:t>
      </w:r>
      <w:r w:rsidRPr="00DF79AE">
        <w:rPr>
          <w:i/>
          <w:sz w:val="22"/>
          <w:szCs w:val="22"/>
          <w:lang w:val="sr-Latn-ME"/>
        </w:rPr>
        <w:t>in vitro</w:t>
      </w:r>
      <w:r w:rsidRPr="00DF79AE">
        <w:rPr>
          <w:sz w:val="22"/>
          <w:szCs w:val="22"/>
          <w:lang w:val="sr-Latn-ME"/>
        </w:rPr>
        <w:t xml:space="preserve">. Terapija sa istovremenom primjenom imunomodulatora (azatioprin, 6-merkaptopurin i metotreksat) rezultirala je u manjem procentu pacijenata sa antitijelima na golimumab u poređenju sa rezultatom kod pacijenata koji su primali golimumab bez imunomodulatora (1% (4/308) naspram 3% (22/638) redom). Pacijenti koji su učestvovali u ekstenziji studije i čiji su se uzorci mogli procijeniti tokom 228. nedjelje, antitijela na golimumab su detektovana kod 4% (23̸604) pacijenata na terapiji golimumabom. 82% (18/22) od pacijenata koji su imali pozitivna antitijela imali su neutrališuća antitijela </w:t>
      </w:r>
      <w:r w:rsidRPr="00DF79AE">
        <w:rPr>
          <w:i/>
          <w:sz w:val="22"/>
          <w:szCs w:val="22"/>
          <w:lang w:val="sr-Latn-ME"/>
        </w:rPr>
        <w:t>in vitro.</w:t>
      </w:r>
    </w:p>
    <w:p w14:paraId="2BE0BA53" w14:textId="77777777" w:rsidR="000B2A5C" w:rsidRPr="00DF79AE" w:rsidRDefault="000B2A5C" w:rsidP="000B2A5C">
      <w:pPr>
        <w:tabs>
          <w:tab w:val="left" w:pos="284"/>
        </w:tabs>
        <w:autoSpaceDE w:val="0"/>
        <w:autoSpaceDN w:val="0"/>
        <w:adjustRightInd w:val="0"/>
        <w:jc w:val="both"/>
        <w:rPr>
          <w:sz w:val="22"/>
          <w:szCs w:val="22"/>
          <w:lang w:val="sr-Latn-ME"/>
        </w:rPr>
      </w:pPr>
    </w:p>
    <w:p w14:paraId="6758C6DC" w14:textId="77777777" w:rsidR="000B2A5C" w:rsidRPr="00DF79AE" w:rsidRDefault="000B2A5C" w:rsidP="000B2A5C">
      <w:pPr>
        <w:tabs>
          <w:tab w:val="left" w:pos="284"/>
        </w:tabs>
        <w:autoSpaceDE w:val="0"/>
        <w:autoSpaceDN w:val="0"/>
        <w:adjustRightInd w:val="0"/>
        <w:jc w:val="both"/>
        <w:rPr>
          <w:sz w:val="22"/>
          <w:szCs w:val="22"/>
          <w:lang w:val="sr-Latn-ME"/>
        </w:rPr>
      </w:pPr>
      <w:r w:rsidRPr="00DF79AE">
        <w:rPr>
          <w:sz w:val="22"/>
          <w:szCs w:val="22"/>
          <w:lang w:val="sr-Latn-ME"/>
        </w:rPr>
        <w:t xml:space="preserve">Prisustvo antitijela na golimumab može povećati rizik od reakcija na mjestu injekcije (vidjeti dio 4.4). Mali broj pacijenata s pozitivnim nalazom antitijela na golimumab ograničava mogućnost donošenja konačnih zaključaka o povezanosti nastanka antitijela na golimumab i kliničke efikasnosti, odnosno mjera bezbjednosti. </w:t>
      </w:r>
    </w:p>
    <w:p w14:paraId="53D1D56A" w14:textId="77777777" w:rsidR="000B2A5C" w:rsidRPr="00DF79AE" w:rsidRDefault="000B2A5C" w:rsidP="000B2A5C">
      <w:pPr>
        <w:tabs>
          <w:tab w:val="left" w:pos="284"/>
        </w:tabs>
        <w:autoSpaceDE w:val="0"/>
        <w:autoSpaceDN w:val="0"/>
        <w:adjustRightInd w:val="0"/>
        <w:jc w:val="both"/>
        <w:rPr>
          <w:sz w:val="22"/>
          <w:szCs w:val="22"/>
          <w:lang w:val="sr-Latn-ME"/>
        </w:rPr>
      </w:pPr>
    </w:p>
    <w:p w14:paraId="33F52823" w14:textId="77777777" w:rsidR="000B2A5C" w:rsidRPr="00DF79AE" w:rsidRDefault="000B2A5C" w:rsidP="000B2A5C">
      <w:pPr>
        <w:jc w:val="both"/>
        <w:rPr>
          <w:sz w:val="22"/>
          <w:szCs w:val="22"/>
          <w:lang w:val="sr-Latn-ME"/>
        </w:rPr>
      </w:pPr>
      <w:r w:rsidRPr="00DF79AE">
        <w:rPr>
          <w:sz w:val="22"/>
          <w:szCs w:val="22"/>
          <w:lang w:val="sr-Latn-ME"/>
        </w:rPr>
        <w:t>Budući da su analize imunogenosti specifične za pojedini proizvod i pojedine testove, nije primjereno upoređivati incidencu antitijela s incidencom pri upotrebi drugih ljekova.</w:t>
      </w:r>
    </w:p>
    <w:p w14:paraId="5F119E61" w14:textId="77777777" w:rsidR="000B2A5C" w:rsidRPr="00DF79AE" w:rsidRDefault="000B2A5C" w:rsidP="000B2A5C">
      <w:pPr>
        <w:jc w:val="both"/>
        <w:rPr>
          <w:sz w:val="22"/>
          <w:szCs w:val="22"/>
          <w:lang w:val="sr-Latn-ME"/>
        </w:rPr>
      </w:pPr>
    </w:p>
    <w:p w14:paraId="41F5DD02" w14:textId="77777777" w:rsidR="000B2A5C" w:rsidRPr="00DF79AE" w:rsidRDefault="000B2A5C" w:rsidP="000B2A5C">
      <w:pPr>
        <w:jc w:val="both"/>
        <w:rPr>
          <w:sz w:val="22"/>
          <w:szCs w:val="22"/>
          <w:u w:val="single"/>
          <w:lang w:val="sr-Latn-ME"/>
        </w:rPr>
      </w:pPr>
      <w:r w:rsidRPr="00DF79AE">
        <w:rPr>
          <w:sz w:val="22"/>
          <w:szCs w:val="22"/>
          <w:u w:val="single"/>
          <w:lang w:val="sr-Latn-ME"/>
        </w:rPr>
        <w:t>Pedijatrijska populacija</w:t>
      </w:r>
    </w:p>
    <w:p w14:paraId="102C738A" w14:textId="77777777" w:rsidR="000B2A5C" w:rsidRPr="00DF79AE" w:rsidRDefault="000B2A5C" w:rsidP="000B2A5C">
      <w:pPr>
        <w:jc w:val="both"/>
        <w:rPr>
          <w:sz w:val="22"/>
          <w:szCs w:val="22"/>
          <w:lang w:val="sr-Latn-ME"/>
        </w:rPr>
      </w:pPr>
      <w:r w:rsidRPr="00DF79AE">
        <w:rPr>
          <w:sz w:val="22"/>
          <w:szCs w:val="22"/>
          <w:lang w:val="sr-Latn-ME"/>
        </w:rPr>
        <w:t>Evropska Agencija za ljekove je odložila obavezu za sprovođenjem studija sa lijekom Simponi u pedijatrijskoj populaciji sa ulceroznim kolitisom (vidjeti dio 4.2 za informacije o pedijatrijskoj primjeni).</w:t>
      </w:r>
    </w:p>
    <w:p w14:paraId="61FA3BF8" w14:textId="77777777" w:rsidR="000B2A5C" w:rsidRPr="00786071" w:rsidRDefault="000B2A5C" w:rsidP="00480FB1">
      <w:pPr>
        <w:tabs>
          <w:tab w:val="left" w:pos="540"/>
          <w:tab w:val="left" w:pos="569"/>
        </w:tabs>
        <w:rPr>
          <w:b/>
          <w:bCs/>
          <w:sz w:val="22"/>
          <w:szCs w:val="22"/>
        </w:rPr>
      </w:pPr>
    </w:p>
    <w:p w14:paraId="1A0C0D9C" w14:textId="77777777" w:rsidR="0072020E" w:rsidRPr="00FF1314" w:rsidRDefault="0072020E" w:rsidP="00480FB1">
      <w:pPr>
        <w:tabs>
          <w:tab w:val="left" w:pos="540"/>
          <w:tab w:val="left" w:pos="569"/>
        </w:tabs>
        <w:rPr>
          <w:b/>
          <w:bCs/>
          <w:sz w:val="22"/>
          <w:szCs w:val="22"/>
          <w:lang w:val="sr-Latn-ME"/>
        </w:rPr>
      </w:pPr>
      <w:r w:rsidRPr="00FF1314">
        <w:rPr>
          <w:b/>
          <w:bCs/>
          <w:sz w:val="22"/>
          <w:szCs w:val="22"/>
          <w:lang w:val="sr-Latn-ME"/>
        </w:rPr>
        <w:t xml:space="preserve">5.2. </w:t>
      </w:r>
      <w:r w:rsidR="00480FB1" w:rsidRPr="00FF1314">
        <w:rPr>
          <w:b/>
          <w:bCs/>
          <w:sz w:val="22"/>
          <w:szCs w:val="22"/>
          <w:lang w:val="sr-Latn-ME"/>
        </w:rPr>
        <w:tab/>
      </w:r>
      <w:r w:rsidRPr="00FF1314">
        <w:rPr>
          <w:b/>
          <w:bCs/>
          <w:sz w:val="22"/>
          <w:szCs w:val="22"/>
          <w:lang w:val="sr-Latn-ME"/>
        </w:rPr>
        <w:t>Farmakokinetički podaci</w:t>
      </w:r>
      <w:r w:rsidR="003A7059" w:rsidRPr="00FF1314">
        <w:rPr>
          <w:b/>
          <w:bCs/>
          <w:sz w:val="22"/>
          <w:szCs w:val="22"/>
          <w:lang w:val="sr-Latn-ME"/>
        </w:rPr>
        <w:t xml:space="preserve"> </w:t>
      </w:r>
    </w:p>
    <w:p w14:paraId="5B72DE28" w14:textId="53FEFACC" w:rsidR="0072020E" w:rsidRDefault="0072020E" w:rsidP="00480FB1">
      <w:pPr>
        <w:tabs>
          <w:tab w:val="left" w:pos="540"/>
          <w:tab w:val="left" w:pos="569"/>
        </w:tabs>
        <w:rPr>
          <w:bCs/>
          <w:sz w:val="22"/>
          <w:szCs w:val="22"/>
        </w:rPr>
      </w:pPr>
    </w:p>
    <w:p w14:paraId="26D65FD6" w14:textId="77777777" w:rsidR="000B2A5C" w:rsidRPr="00DF79AE" w:rsidRDefault="000B2A5C" w:rsidP="000B2A5C">
      <w:pPr>
        <w:tabs>
          <w:tab w:val="left" w:pos="284"/>
        </w:tabs>
        <w:jc w:val="both"/>
        <w:rPr>
          <w:i/>
          <w:sz w:val="22"/>
          <w:szCs w:val="22"/>
          <w:lang w:val="sr-Latn-ME"/>
        </w:rPr>
      </w:pPr>
      <w:r w:rsidRPr="00DF79AE">
        <w:rPr>
          <w:i/>
          <w:sz w:val="22"/>
          <w:szCs w:val="22"/>
          <w:lang w:val="sr-Latn-ME"/>
        </w:rPr>
        <w:t>Resorpcija</w:t>
      </w:r>
    </w:p>
    <w:p w14:paraId="09274E5E" w14:textId="77777777" w:rsidR="000B2A5C" w:rsidRPr="00DF79AE" w:rsidRDefault="000B2A5C" w:rsidP="000B2A5C">
      <w:pPr>
        <w:tabs>
          <w:tab w:val="left" w:pos="284"/>
        </w:tabs>
        <w:jc w:val="both"/>
        <w:rPr>
          <w:sz w:val="22"/>
          <w:szCs w:val="22"/>
          <w:lang w:val="sr-Latn-ME"/>
        </w:rPr>
      </w:pPr>
      <w:r w:rsidRPr="00DF79AE">
        <w:rPr>
          <w:sz w:val="22"/>
          <w:szCs w:val="22"/>
          <w:lang w:val="sr-Latn-ME"/>
        </w:rPr>
        <w:t>Nakon jednokratne subkutane primjene golimumaba</w:t>
      </w:r>
      <w:r w:rsidRPr="00DF79AE">
        <w:rPr>
          <w:b/>
          <w:sz w:val="22"/>
          <w:szCs w:val="22"/>
          <w:lang w:val="sr-Latn-ME"/>
        </w:rPr>
        <w:t xml:space="preserve"> </w:t>
      </w:r>
      <w:r w:rsidRPr="00DF79AE">
        <w:rPr>
          <w:sz w:val="22"/>
          <w:szCs w:val="22"/>
          <w:lang w:val="sr-Latn-ME"/>
        </w:rPr>
        <w:t>kod zdravih dobrovoljaca ili pacijenata s reumatoidnim artritisom, srednje vrijeme postizanja maksimalne serumske koncentracije (T</w:t>
      </w:r>
      <w:r w:rsidRPr="00DF79AE">
        <w:rPr>
          <w:sz w:val="22"/>
          <w:szCs w:val="22"/>
          <w:vertAlign w:val="subscript"/>
          <w:lang w:val="sr-Latn-ME"/>
        </w:rPr>
        <w:t>max</w:t>
      </w:r>
      <w:r w:rsidRPr="00DF79AE">
        <w:rPr>
          <w:sz w:val="22"/>
          <w:szCs w:val="22"/>
          <w:lang w:val="sr-Latn-ME"/>
        </w:rPr>
        <w:t xml:space="preserve">)  iznosilo </w:t>
      </w:r>
      <w:r w:rsidRPr="00DF79AE">
        <w:rPr>
          <w:sz w:val="22"/>
          <w:szCs w:val="22"/>
          <w:lang w:val="sr-Latn-ME"/>
        </w:rPr>
        <w:lastRenderedPageBreak/>
        <w:t>je 2 do 6 dana. Jednom subkutanom injekcijom 50 mg golimumaba zdravim dobrovoljcima postignuta je prosječna maksimalna serumska koncentracija (C</w:t>
      </w:r>
      <w:r w:rsidRPr="00DF79AE">
        <w:rPr>
          <w:sz w:val="22"/>
          <w:szCs w:val="22"/>
          <w:vertAlign w:val="subscript"/>
          <w:lang w:val="sr-Latn-ME"/>
        </w:rPr>
        <w:t>max</w:t>
      </w:r>
      <w:r w:rsidRPr="00DF79AE">
        <w:rPr>
          <w:sz w:val="22"/>
          <w:szCs w:val="22"/>
          <w:lang w:val="sr-Latn-ME"/>
        </w:rPr>
        <w:t xml:space="preserve">) od 3,1 </w:t>
      </w:r>
      <w:r w:rsidRPr="00DF79AE">
        <w:rPr>
          <w:sz w:val="22"/>
          <w:szCs w:val="22"/>
          <w:lang w:val="sr-Latn-ME"/>
        </w:rPr>
        <w:sym w:font="Symbol" w:char="F0B1"/>
      </w:r>
      <w:r w:rsidRPr="00DF79AE">
        <w:rPr>
          <w:sz w:val="22"/>
          <w:szCs w:val="22"/>
          <w:lang w:val="sr-Latn-ME"/>
        </w:rPr>
        <w:t xml:space="preserve"> 1,4 </w:t>
      </w:r>
      <w:r w:rsidRPr="00DF79AE">
        <w:rPr>
          <w:sz w:val="22"/>
          <w:szCs w:val="22"/>
          <w:lang w:val="sr-Latn-ME"/>
        </w:rPr>
        <w:sym w:font="Symbol" w:char="F06D"/>
      </w:r>
      <w:r w:rsidRPr="00DF79AE">
        <w:rPr>
          <w:sz w:val="22"/>
          <w:szCs w:val="22"/>
          <w:lang w:val="sr-Latn-ME"/>
        </w:rPr>
        <w:t>g/ml (</w:t>
      </w:r>
      <w:r w:rsidRPr="00DF79AE">
        <w:rPr>
          <w:sz w:val="22"/>
          <w:szCs w:val="22"/>
          <w:lang w:val="sr-Latn-ME"/>
        </w:rPr>
        <w:sym w:font="Symbol" w:char="F0B1"/>
      </w:r>
      <w:r w:rsidRPr="00DF79AE">
        <w:rPr>
          <w:sz w:val="22"/>
          <w:szCs w:val="22"/>
          <w:lang w:val="sr-Latn-ME"/>
        </w:rPr>
        <w:t xml:space="preserve"> standardna devijacija).</w:t>
      </w:r>
    </w:p>
    <w:p w14:paraId="43F61369" w14:textId="77777777" w:rsidR="000B2A5C" w:rsidRPr="00DF79AE" w:rsidRDefault="000B2A5C" w:rsidP="000B2A5C">
      <w:pPr>
        <w:tabs>
          <w:tab w:val="left" w:pos="284"/>
        </w:tabs>
        <w:jc w:val="both"/>
        <w:rPr>
          <w:sz w:val="22"/>
          <w:szCs w:val="22"/>
          <w:lang w:val="sr-Latn-ME"/>
        </w:rPr>
      </w:pPr>
    </w:p>
    <w:p w14:paraId="525383E0" w14:textId="77777777" w:rsidR="000B2A5C" w:rsidRPr="00DF79AE" w:rsidRDefault="000B2A5C" w:rsidP="000B2A5C">
      <w:pPr>
        <w:tabs>
          <w:tab w:val="left" w:pos="284"/>
        </w:tabs>
        <w:jc w:val="both"/>
        <w:rPr>
          <w:sz w:val="22"/>
          <w:szCs w:val="22"/>
          <w:lang w:val="sr-Latn-ME"/>
        </w:rPr>
      </w:pPr>
      <w:r w:rsidRPr="00DF79AE">
        <w:rPr>
          <w:sz w:val="22"/>
          <w:szCs w:val="22"/>
          <w:lang w:val="sr-Latn-ME"/>
        </w:rPr>
        <w:t>Nakon jednokratne subkutane injekcije 100 mg golimumaba, resorpcija golimumaba bila je slična na nadlaktici, abdomenu i bedru, a prosječna apsolutna bioraspoloživost iznosila je 51%. Budući da golimumab nakon subkutane primjene pokazuje farmakokinetiku otprilike proporcionalnu dozi, očekuje se da je slična apsolutna bioraspoloživost doze od 50 mg ili 200 mg.</w:t>
      </w:r>
    </w:p>
    <w:p w14:paraId="68F71552" w14:textId="77777777" w:rsidR="000B2A5C" w:rsidRPr="00DF79AE" w:rsidRDefault="000B2A5C" w:rsidP="000B2A5C">
      <w:pPr>
        <w:tabs>
          <w:tab w:val="left" w:pos="284"/>
        </w:tabs>
        <w:jc w:val="both"/>
        <w:rPr>
          <w:sz w:val="22"/>
          <w:szCs w:val="22"/>
          <w:lang w:val="sr-Latn-ME"/>
        </w:rPr>
      </w:pPr>
    </w:p>
    <w:p w14:paraId="69F9C8AC" w14:textId="77777777" w:rsidR="000B2A5C" w:rsidRPr="00DF79AE" w:rsidRDefault="000B2A5C" w:rsidP="000B2A5C">
      <w:pPr>
        <w:tabs>
          <w:tab w:val="left" w:pos="284"/>
        </w:tabs>
        <w:jc w:val="both"/>
        <w:rPr>
          <w:i/>
          <w:sz w:val="22"/>
          <w:szCs w:val="22"/>
          <w:lang w:val="sr-Latn-ME"/>
        </w:rPr>
      </w:pPr>
      <w:r w:rsidRPr="00DF79AE">
        <w:rPr>
          <w:i/>
          <w:sz w:val="22"/>
          <w:szCs w:val="22"/>
          <w:lang w:val="sr-Latn-ME"/>
        </w:rPr>
        <w:t>Distribucija</w:t>
      </w:r>
    </w:p>
    <w:p w14:paraId="2E945F2E" w14:textId="77777777" w:rsidR="000B2A5C" w:rsidRPr="00DF79AE" w:rsidRDefault="000B2A5C" w:rsidP="000B2A5C">
      <w:pPr>
        <w:tabs>
          <w:tab w:val="left" w:pos="284"/>
        </w:tabs>
        <w:jc w:val="both"/>
        <w:rPr>
          <w:sz w:val="22"/>
          <w:szCs w:val="22"/>
          <w:lang w:val="sr-Latn-ME"/>
        </w:rPr>
      </w:pPr>
      <w:r w:rsidRPr="00DF79AE">
        <w:rPr>
          <w:sz w:val="22"/>
          <w:szCs w:val="22"/>
          <w:lang w:val="sr-Latn-ME"/>
        </w:rPr>
        <w:t xml:space="preserve">Nakon pojedinačne intravenske doze, srednji volumen distribucije iznosio je 115 </w:t>
      </w:r>
      <w:r w:rsidRPr="00DF79AE">
        <w:rPr>
          <w:sz w:val="22"/>
          <w:szCs w:val="22"/>
          <w:lang w:val="sr-Latn-ME"/>
        </w:rPr>
        <w:sym w:font="Symbol" w:char="F0B1"/>
      </w:r>
      <w:r w:rsidRPr="00DF79AE">
        <w:rPr>
          <w:sz w:val="22"/>
          <w:szCs w:val="22"/>
          <w:lang w:val="sr-Latn-ME"/>
        </w:rPr>
        <w:t xml:space="preserve"> 19 ml/kg.</w:t>
      </w:r>
    </w:p>
    <w:p w14:paraId="0D142262" w14:textId="77777777" w:rsidR="000B2A5C" w:rsidRPr="00DF79AE" w:rsidRDefault="000B2A5C" w:rsidP="000B2A5C">
      <w:pPr>
        <w:tabs>
          <w:tab w:val="left" w:pos="284"/>
        </w:tabs>
        <w:jc w:val="both"/>
        <w:rPr>
          <w:sz w:val="22"/>
          <w:szCs w:val="22"/>
          <w:lang w:val="sr-Latn-ME"/>
        </w:rPr>
      </w:pPr>
    </w:p>
    <w:p w14:paraId="5877C5B1" w14:textId="77777777" w:rsidR="000B2A5C" w:rsidRPr="00DF79AE" w:rsidRDefault="000B2A5C" w:rsidP="000B2A5C">
      <w:pPr>
        <w:tabs>
          <w:tab w:val="left" w:pos="284"/>
        </w:tabs>
        <w:jc w:val="both"/>
        <w:rPr>
          <w:i/>
          <w:sz w:val="22"/>
          <w:szCs w:val="22"/>
          <w:lang w:val="sr-Latn-ME"/>
        </w:rPr>
      </w:pPr>
      <w:r w:rsidRPr="00DF79AE">
        <w:rPr>
          <w:i/>
          <w:sz w:val="22"/>
          <w:szCs w:val="22"/>
          <w:lang w:val="sr-Latn-ME"/>
        </w:rPr>
        <w:t>Eliminacija</w:t>
      </w:r>
    </w:p>
    <w:p w14:paraId="05E80B12" w14:textId="77777777" w:rsidR="000B2A5C" w:rsidRPr="00DF79AE" w:rsidRDefault="000B2A5C" w:rsidP="000B2A5C">
      <w:pPr>
        <w:tabs>
          <w:tab w:val="left" w:pos="284"/>
        </w:tabs>
        <w:jc w:val="both"/>
        <w:rPr>
          <w:sz w:val="22"/>
          <w:szCs w:val="22"/>
          <w:lang w:val="sr-Latn-ME"/>
        </w:rPr>
      </w:pPr>
      <w:r w:rsidRPr="00DF79AE">
        <w:rPr>
          <w:sz w:val="22"/>
          <w:szCs w:val="22"/>
          <w:lang w:val="sr-Latn-ME"/>
        </w:rPr>
        <w:t xml:space="preserve">Procijenjeno je da je sistemski klirens golimumaba 6,9 </w:t>
      </w:r>
      <w:r w:rsidRPr="00DF79AE">
        <w:rPr>
          <w:sz w:val="22"/>
          <w:szCs w:val="22"/>
          <w:lang w:val="sr-Latn-ME"/>
        </w:rPr>
        <w:sym w:font="Symbol" w:char="F0B1"/>
      </w:r>
      <w:r w:rsidRPr="00DF79AE">
        <w:rPr>
          <w:sz w:val="22"/>
          <w:szCs w:val="22"/>
          <w:lang w:val="sr-Latn-ME"/>
        </w:rPr>
        <w:t xml:space="preserve"> 2,0 ml/dan/kg. Poluvrijeme eliminacije procijenjeno je na oko 12 </w:t>
      </w:r>
      <w:r w:rsidRPr="00DF79AE">
        <w:rPr>
          <w:sz w:val="22"/>
          <w:szCs w:val="22"/>
          <w:lang w:val="sr-Latn-ME"/>
        </w:rPr>
        <w:sym w:font="Symbol" w:char="F0B1"/>
      </w:r>
      <w:r w:rsidRPr="00DF79AE">
        <w:rPr>
          <w:sz w:val="22"/>
          <w:szCs w:val="22"/>
          <w:lang w:val="sr-Latn-ME"/>
        </w:rPr>
        <w:t xml:space="preserve"> 3 dana kod zdravih dobrovoljaca, a slične vrijednosti su zabilježene kod pacijenata sa reumatoidnim artritisom, psorijatičnim artritisom, ankilozirajućim spondilitisom i ulceroznim kolitisom.</w:t>
      </w:r>
    </w:p>
    <w:p w14:paraId="31FD5701" w14:textId="77777777" w:rsidR="000B2A5C" w:rsidRPr="00DF79AE" w:rsidRDefault="000B2A5C" w:rsidP="000B2A5C">
      <w:pPr>
        <w:tabs>
          <w:tab w:val="left" w:pos="284"/>
        </w:tabs>
        <w:jc w:val="both"/>
        <w:rPr>
          <w:sz w:val="22"/>
          <w:szCs w:val="22"/>
          <w:lang w:val="sr-Latn-ME"/>
        </w:rPr>
      </w:pPr>
    </w:p>
    <w:p w14:paraId="5EFF944F" w14:textId="77777777" w:rsidR="000B2A5C" w:rsidRPr="00DF79AE" w:rsidRDefault="000B2A5C" w:rsidP="000B2A5C">
      <w:pPr>
        <w:jc w:val="both"/>
        <w:rPr>
          <w:sz w:val="22"/>
          <w:szCs w:val="22"/>
          <w:lang w:val="sr-Latn-ME"/>
        </w:rPr>
      </w:pPr>
      <w:r w:rsidRPr="00DF79AE">
        <w:rPr>
          <w:sz w:val="22"/>
          <w:szCs w:val="22"/>
          <w:lang w:val="sr-Latn-ME"/>
        </w:rPr>
        <w:t>Kad je golimumab u dozi od 50 mg primijenjen subkutano kod pacijenata s reumatoidnim artritisom, psorijatičnim artritisom i ankilozirajućim spondilitisom svake 4 nedjelje, njegove serumske koncentracije su dostigle stanje dinamičke ravnoteže do 12. nedjelje. Uz istovremenu primjenu metotreksata, liječenje golimumabom primijenjenim subkutano u dozi od 50 mg svake 4 nedjelje dovelo je do prosječne (</w:t>
      </w:r>
      <w:r w:rsidRPr="00DF79AE">
        <w:rPr>
          <w:sz w:val="22"/>
          <w:szCs w:val="22"/>
          <w:lang w:val="sr-Latn-ME"/>
        </w:rPr>
        <w:sym w:font="Symbol" w:char="F0B1"/>
      </w:r>
      <w:r w:rsidRPr="00DF79AE">
        <w:rPr>
          <w:sz w:val="22"/>
          <w:szCs w:val="22"/>
          <w:lang w:val="sr-Latn-ME"/>
        </w:rPr>
        <w:t xml:space="preserve"> standardna devijacija) koncentracije u stanju dinamičke ravnoteže od približno 0,6 </w:t>
      </w:r>
      <w:r w:rsidRPr="00DF79AE">
        <w:rPr>
          <w:sz w:val="22"/>
          <w:szCs w:val="22"/>
          <w:lang w:val="sr-Latn-ME"/>
        </w:rPr>
        <w:sym w:font="Symbol" w:char="F0B1"/>
      </w:r>
      <w:r w:rsidRPr="00DF79AE">
        <w:rPr>
          <w:sz w:val="22"/>
          <w:szCs w:val="22"/>
          <w:lang w:val="sr-Latn-ME"/>
        </w:rPr>
        <w:t xml:space="preserve"> 0,4 </w:t>
      </w:r>
      <w:r w:rsidRPr="00DF79AE">
        <w:rPr>
          <w:sz w:val="22"/>
          <w:szCs w:val="22"/>
          <w:lang w:val="sr-Latn-ME"/>
        </w:rPr>
        <w:sym w:font="Symbol" w:char="F06D"/>
      </w:r>
      <w:r w:rsidRPr="00DF79AE">
        <w:rPr>
          <w:sz w:val="22"/>
          <w:szCs w:val="22"/>
          <w:lang w:val="sr-Latn-ME"/>
        </w:rPr>
        <w:t>g/ml kod pacijenata s reumatoidnim artritisom aktivnim nasuprot liječenju metotreksatom, približno 0,5 </w:t>
      </w:r>
      <w:r w:rsidRPr="00DF79AE">
        <w:rPr>
          <w:sz w:val="22"/>
          <w:szCs w:val="22"/>
          <w:lang w:val="sr-Latn-ME"/>
        </w:rPr>
        <w:sym w:font="Symbol" w:char="F0B1"/>
      </w:r>
      <w:r w:rsidRPr="00DF79AE">
        <w:rPr>
          <w:sz w:val="22"/>
          <w:szCs w:val="22"/>
          <w:lang w:val="sr-Latn-ME"/>
        </w:rPr>
        <w:t xml:space="preserve"> 0,4 </w:t>
      </w:r>
      <w:r w:rsidRPr="00DF79AE">
        <w:rPr>
          <w:sz w:val="22"/>
          <w:szCs w:val="22"/>
          <w:lang w:val="sr-Latn-ME"/>
        </w:rPr>
        <w:sym w:font="Symbol" w:char="F06D"/>
      </w:r>
      <w:r w:rsidRPr="00DF79AE">
        <w:rPr>
          <w:sz w:val="22"/>
          <w:szCs w:val="22"/>
          <w:lang w:val="sr-Latn-ME"/>
        </w:rPr>
        <w:t>g/ml kod pacijenata s aktivnim psorijatičnim artritisom, i približno 0,8 </w:t>
      </w:r>
      <w:r w:rsidRPr="00DF79AE">
        <w:rPr>
          <w:sz w:val="22"/>
          <w:szCs w:val="22"/>
          <w:lang w:val="sr-Latn-ME"/>
        </w:rPr>
        <w:sym w:font="Symbol" w:char="F0B1"/>
      </w:r>
      <w:r w:rsidRPr="00DF79AE">
        <w:rPr>
          <w:sz w:val="22"/>
          <w:szCs w:val="22"/>
          <w:lang w:val="sr-Latn-ME"/>
        </w:rPr>
        <w:t xml:space="preserve"> 0,4 </w:t>
      </w:r>
      <w:r w:rsidRPr="00DF79AE">
        <w:rPr>
          <w:sz w:val="22"/>
          <w:szCs w:val="22"/>
          <w:lang w:val="sr-Latn-ME"/>
        </w:rPr>
        <w:sym w:font="Symbol" w:char="F06D"/>
      </w:r>
      <w:r w:rsidRPr="00DF79AE">
        <w:rPr>
          <w:sz w:val="22"/>
          <w:szCs w:val="22"/>
          <w:lang w:val="sr-Latn-ME"/>
        </w:rPr>
        <w:t>g/ml kod pacijenata s ankilozirajućim spondilitisom. Prosječne koncentracije golimumaba u stanju dinamičke ravnoteže kod pacijenta sa nr-Axial SpA bile su slične onima kod pacijenata sa AS nakon subkutane primjene 50 mg golimumaba svake 4 nedjelje.</w:t>
      </w:r>
    </w:p>
    <w:p w14:paraId="0DE97777" w14:textId="77777777" w:rsidR="000B2A5C" w:rsidRPr="00DF79AE" w:rsidRDefault="000B2A5C" w:rsidP="000B2A5C">
      <w:pPr>
        <w:tabs>
          <w:tab w:val="left" w:pos="284"/>
        </w:tabs>
        <w:jc w:val="both"/>
        <w:rPr>
          <w:sz w:val="22"/>
          <w:szCs w:val="22"/>
          <w:lang w:val="sr-Latn-ME"/>
        </w:rPr>
      </w:pPr>
    </w:p>
    <w:p w14:paraId="5098BEC3" w14:textId="77777777" w:rsidR="000B2A5C" w:rsidRPr="00DF79AE" w:rsidRDefault="000B2A5C" w:rsidP="000B2A5C">
      <w:pPr>
        <w:tabs>
          <w:tab w:val="left" w:pos="284"/>
        </w:tabs>
        <w:jc w:val="both"/>
        <w:rPr>
          <w:sz w:val="22"/>
          <w:szCs w:val="22"/>
          <w:lang w:val="sr-Latn-ME"/>
        </w:rPr>
      </w:pPr>
      <w:r w:rsidRPr="00DF79AE">
        <w:rPr>
          <w:sz w:val="22"/>
          <w:szCs w:val="22"/>
          <w:lang w:val="sr-Latn-ME"/>
        </w:rPr>
        <w:t>Pacijenti s reumatoidnim artritisom, psorijatičnim artritisom i ankilozirajućim spondilitisom koji istovremeno nisu primali MTX imali su oko 30% niže koncentracije golimumaba u stanju dinamičke ravnoteže od onih koji su uz golimumab primali i MTX. Kod malog broja pacijenata oboljelih od reumatoidnog artritisa liječenih subkutano primijenjenim golimumabom tokom perioda od 6 mjeseci, istovremena primjena sa MTX smanjila je prividni klirens golimumaba za oko 36%.</w:t>
      </w:r>
    </w:p>
    <w:p w14:paraId="0EDB10F7" w14:textId="77777777" w:rsidR="000B2A5C" w:rsidRPr="00DF79AE" w:rsidRDefault="000B2A5C" w:rsidP="000B2A5C">
      <w:pPr>
        <w:tabs>
          <w:tab w:val="left" w:pos="284"/>
        </w:tabs>
        <w:jc w:val="both"/>
        <w:rPr>
          <w:sz w:val="22"/>
          <w:szCs w:val="22"/>
          <w:lang w:val="sr-Latn-ME"/>
        </w:rPr>
      </w:pPr>
      <w:r w:rsidRPr="00DF79AE">
        <w:rPr>
          <w:sz w:val="22"/>
          <w:szCs w:val="22"/>
          <w:lang w:val="sr-Latn-ME"/>
        </w:rPr>
        <w:t>Međutim, analiza populacijske farmakokinetike ukazuje i da istovremena primjena NSAIL, oralnih kortikosteroida ili sulfasalazina nije uticala na prividni klirens golimumaba.</w:t>
      </w:r>
    </w:p>
    <w:p w14:paraId="3290C8C1" w14:textId="77777777" w:rsidR="000B2A5C" w:rsidRPr="00DF79AE" w:rsidRDefault="000B2A5C" w:rsidP="000B2A5C">
      <w:pPr>
        <w:tabs>
          <w:tab w:val="left" w:pos="284"/>
        </w:tabs>
        <w:jc w:val="both"/>
        <w:rPr>
          <w:sz w:val="22"/>
          <w:szCs w:val="22"/>
          <w:lang w:val="sr-Latn-ME"/>
        </w:rPr>
      </w:pPr>
    </w:p>
    <w:p w14:paraId="7772621C" w14:textId="77777777" w:rsidR="000B2A5C" w:rsidRPr="00DF79AE" w:rsidRDefault="000B2A5C" w:rsidP="000B2A5C">
      <w:pPr>
        <w:tabs>
          <w:tab w:val="left" w:pos="284"/>
        </w:tabs>
        <w:jc w:val="both"/>
        <w:rPr>
          <w:sz w:val="22"/>
          <w:szCs w:val="22"/>
          <w:lang w:val="sr-Latn-ME"/>
        </w:rPr>
      </w:pPr>
      <w:r w:rsidRPr="00DF79AE">
        <w:rPr>
          <w:sz w:val="22"/>
          <w:szCs w:val="22"/>
          <w:lang w:val="sr-Latn-ME"/>
        </w:rPr>
        <w:t>Nakon uvodnih doza od 200 mg i 100 mg golimumaba u 0. i 2. nedjelji, i doza održavanja od 50 mg ili 100 mg golimumaba subkutano svake 4 nedjelje nakon toga, kod pacijenata sa ulceroznim kolitisom serumske koncentracije golimumaba su dostigle stanje ravnoteže približno 14 nedjelja nakon početka terapije. Terapija golimumabom u subkutanoj dozi od 50 mg odnosno100 mg svake 4 nedjelje u toku terapije održavanja dovela je do srednjih vrijednosti najnižih serumskih koncentracija u stanju ravnoteže od približno 0,9 ± 0,5 μg</w:t>
      </w:r>
      <w:r w:rsidRPr="00DF79AE" w:rsidDel="00241D0B">
        <w:rPr>
          <w:sz w:val="22"/>
          <w:szCs w:val="22"/>
          <w:lang w:val="sr-Latn-ME"/>
        </w:rPr>
        <w:t xml:space="preserve"> </w:t>
      </w:r>
      <w:r w:rsidRPr="00DF79AE">
        <w:rPr>
          <w:sz w:val="22"/>
          <w:szCs w:val="22"/>
          <w:lang w:val="sr-Latn-ME"/>
        </w:rPr>
        <w:t>/ml, odnosno 1,8 ± 1,1 μg/ml.</w:t>
      </w:r>
    </w:p>
    <w:p w14:paraId="7A2ACFBE" w14:textId="77777777" w:rsidR="000B2A5C" w:rsidRPr="00DF79AE" w:rsidRDefault="000B2A5C" w:rsidP="000B2A5C">
      <w:pPr>
        <w:tabs>
          <w:tab w:val="left" w:pos="284"/>
        </w:tabs>
        <w:jc w:val="both"/>
        <w:rPr>
          <w:sz w:val="22"/>
          <w:szCs w:val="22"/>
          <w:lang w:val="sr-Latn-ME"/>
        </w:rPr>
      </w:pPr>
    </w:p>
    <w:p w14:paraId="5770AABA" w14:textId="77777777" w:rsidR="000B2A5C" w:rsidRPr="00DF79AE" w:rsidRDefault="000B2A5C" w:rsidP="000B2A5C">
      <w:pPr>
        <w:tabs>
          <w:tab w:val="left" w:pos="284"/>
        </w:tabs>
        <w:jc w:val="both"/>
        <w:rPr>
          <w:sz w:val="22"/>
          <w:szCs w:val="22"/>
          <w:lang w:val="sr-Latn-ME"/>
        </w:rPr>
      </w:pPr>
      <w:r w:rsidRPr="00DF79AE">
        <w:rPr>
          <w:sz w:val="22"/>
          <w:szCs w:val="22"/>
          <w:lang w:val="sr-Latn-ME"/>
        </w:rPr>
        <w:t>Kod pacijenata sa ulceroznim kolitisom na terapiji golimumabom u subkutanoj dozi od 50 mg odnosno 100 mg svake 4 nedjelje i istovremenom primjenom imunomodulatora nije imala značajan efekat na najniže nivoe golimumaba u stanju ravnoteže.</w:t>
      </w:r>
    </w:p>
    <w:p w14:paraId="18528168" w14:textId="77777777" w:rsidR="000B2A5C" w:rsidRPr="00DF79AE" w:rsidRDefault="000B2A5C" w:rsidP="000B2A5C">
      <w:pPr>
        <w:tabs>
          <w:tab w:val="left" w:pos="284"/>
        </w:tabs>
        <w:jc w:val="both"/>
        <w:rPr>
          <w:sz w:val="22"/>
          <w:szCs w:val="22"/>
          <w:lang w:val="sr-Latn-ME"/>
        </w:rPr>
      </w:pPr>
    </w:p>
    <w:p w14:paraId="303B3279" w14:textId="77777777" w:rsidR="000B2A5C" w:rsidRPr="00DF79AE" w:rsidRDefault="000B2A5C" w:rsidP="000B2A5C">
      <w:pPr>
        <w:numPr>
          <w:ilvl w:val="12"/>
          <w:numId w:val="0"/>
        </w:numPr>
        <w:tabs>
          <w:tab w:val="left" w:pos="284"/>
        </w:tabs>
        <w:ind w:right="-2"/>
        <w:jc w:val="both"/>
        <w:rPr>
          <w:sz w:val="22"/>
          <w:szCs w:val="22"/>
          <w:lang w:val="sr-Latn-ME"/>
        </w:rPr>
      </w:pPr>
      <w:r w:rsidRPr="00DF79AE">
        <w:rPr>
          <w:sz w:val="22"/>
          <w:szCs w:val="22"/>
          <w:lang w:val="sr-Latn-ME"/>
        </w:rPr>
        <w:t>Pacijenti kod kojih su se razvila antitijela na golimumab uopšteno su imali niske najmanje serumske koncentracije golimumaba u stanju dinamičke ravnoteže (vidjeti dio 5.1).</w:t>
      </w:r>
    </w:p>
    <w:p w14:paraId="6A0C0E91" w14:textId="77777777" w:rsidR="000B2A5C" w:rsidRPr="00DF79AE" w:rsidRDefault="000B2A5C" w:rsidP="000B2A5C">
      <w:pPr>
        <w:numPr>
          <w:ilvl w:val="12"/>
          <w:numId w:val="0"/>
        </w:numPr>
        <w:tabs>
          <w:tab w:val="left" w:pos="284"/>
        </w:tabs>
        <w:ind w:right="-2"/>
        <w:jc w:val="both"/>
        <w:rPr>
          <w:sz w:val="22"/>
          <w:szCs w:val="22"/>
          <w:lang w:val="sr-Latn-ME"/>
        </w:rPr>
      </w:pPr>
    </w:p>
    <w:p w14:paraId="6B97BCDF" w14:textId="77777777" w:rsidR="000B2A5C" w:rsidRPr="00DF79AE" w:rsidRDefault="000B2A5C" w:rsidP="000B2A5C">
      <w:pPr>
        <w:numPr>
          <w:ilvl w:val="12"/>
          <w:numId w:val="0"/>
        </w:numPr>
        <w:tabs>
          <w:tab w:val="left" w:pos="284"/>
        </w:tabs>
        <w:ind w:right="-2"/>
        <w:jc w:val="both"/>
        <w:rPr>
          <w:i/>
          <w:sz w:val="22"/>
          <w:szCs w:val="22"/>
          <w:lang w:val="sr-Latn-ME"/>
        </w:rPr>
      </w:pPr>
      <w:r w:rsidRPr="00DF79AE">
        <w:rPr>
          <w:i/>
          <w:sz w:val="22"/>
          <w:szCs w:val="22"/>
          <w:lang w:val="sr-Latn-ME"/>
        </w:rPr>
        <w:t>Linearnost</w:t>
      </w:r>
    </w:p>
    <w:p w14:paraId="37359BF1" w14:textId="7D351906" w:rsidR="000B2A5C" w:rsidRDefault="000B2A5C" w:rsidP="000B2A5C">
      <w:pPr>
        <w:numPr>
          <w:ilvl w:val="12"/>
          <w:numId w:val="0"/>
        </w:numPr>
        <w:tabs>
          <w:tab w:val="left" w:pos="284"/>
        </w:tabs>
        <w:ind w:right="-2"/>
        <w:jc w:val="both"/>
        <w:rPr>
          <w:sz w:val="22"/>
          <w:szCs w:val="22"/>
          <w:lang w:val="sr-Latn-ME"/>
        </w:rPr>
      </w:pPr>
      <w:r w:rsidRPr="00DF79AE">
        <w:rPr>
          <w:sz w:val="22"/>
          <w:szCs w:val="22"/>
          <w:lang w:val="sr-Latn-ME"/>
        </w:rPr>
        <w:t>Nakon pojedinačne intravenske doze kod pacijenata sa reumatoidnim artritisom, farmakokinetika golimumaba je, u opsegu doza od 0,1 do 10,0 mg/kg, bila približno dozno zavisna. Nakon pojedinačne subkutane doze kod zdravih ispitanika, takođe je primijećena dozno zavisna farmakokinetika u rasponu doza od 50 mg do 400 mg.</w:t>
      </w:r>
    </w:p>
    <w:p w14:paraId="790DF157" w14:textId="77777777" w:rsidR="003271C1" w:rsidRPr="00DF79AE" w:rsidRDefault="003271C1" w:rsidP="000B2A5C">
      <w:pPr>
        <w:numPr>
          <w:ilvl w:val="12"/>
          <w:numId w:val="0"/>
        </w:numPr>
        <w:tabs>
          <w:tab w:val="left" w:pos="284"/>
        </w:tabs>
        <w:ind w:right="-2"/>
        <w:jc w:val="both"/>
        <w:rPr>
          <w:sz w:val="22"/>
          <w:szCs w:val="22"/>
          <w:lang w:val="sr-Latn-ME"/>
        </w:rPr>
      </w:pPr>
    </w:p>
    <w:p w14:paraId="1EAC39CE" w14:textId="77777777" w:rsidR="000B2A5C" w:rsidRPr="00DF79AE" w:rsidRDefault="000B2A5C" w:rsidP="000B2A5C">
      <w:pPr>
        <w:numPr>
          <w:ilvl w:val="12"/>
          <w:numId w:val="0"/>
        </w:numPr>
        <w:tabs>
          <w:tab w:val="left" w:pos="284"/>
        </w:tabs>
        <w:ind w:right="-2"/>
        <w:jc w:val="both"/>
        <w:rPr>
          <w:sz w:val="22"/>
          <w:szCs w:val="22"/>
          <w:lang w:val="sr-Latn-ME"/>
        </w:rPr>
      </w:pPr>
    </w:p>
    <w:p w14:paraId="503251BA" w14:textId="77777777" w:rsidR="000B2A5C" w:rsidRPr="00DF79AE" w:rsidRDefault="000B2A5C" w:rsidP="000B2A5C">
      <w:pPr>
        <w:numPr>
          <w:ilvl w:val="12"/>
          <w:numId w:val="0"/>
        </w:numPr>
        <w:tabs>
          <w:tab w:val="left" w:pos="284"/>
        </w:tabs>
        <w:ind w:right="-2"/>
        <w:jc w:val="both"/>
        <w:rPr>
          <w:i/>
          <w:sz w:val="22"/>
          <w:szCs w:val="22"/>
          <w:lang w:val="sr-Latn-ME"/>
        </w:rPr>
      </w:pPr>
      <w:r w:rsidRPr="00DF79AE">
        <w:rPr>
          <w:i/>
          <w:sz w:val="22"/>
          <w:szCs w:val="22"/>
          <w:lang w:val="sr-Latn-ME"/>
        </w:rPr>
        <w:lastRenderedPageBreak/>
        <w:t>Uticaj tjelesne mase na farmakokinetiku lijeka</w:t>
      </w:r>
    </w:p>
    <w:p w14:paraId="357627C2" w14:textId="77777777" w:rsidR="000B2A5C" w:rsidRPr="00DF79AE" w:rsidRDefault="000B2A5C" w:rsidP="000B2A5C">
      <w:pPr>
        <w:tabs>
          <w:tab w:val="left" w:pos="284"/>
        </w:tabs>
        <w:jc w:val="both"/>
        <w:rPr>
          <w:sz w:val="22"/>
          <w:szCs w:val="22"/>
          <w:lang w:val="sr-Latn-ME"/>
        </w:rPr>
      </w:pPr>
      <w:r w:rsidRPr="00DF79AE">
        <w:rPr>
          <w:sz w:val="22"/>
          <w:szCs w:val="22"/>
          <w:lang w:val="sr-Latn-ME"/>
        </w:rPr>
        <w:t xml:space="preserve">Analize populacijske farmakokinetike ukazale su na trend povećanja prividnog klirensa golimumaba s povećanjem tjelesne mase (vidjeti dio 4.2). </w:t>
      </w:r>
    </w:p>
    <w:p w14:paraId="77E85373" w14:textId="77777777" w:rsidR="000B2A5C" w:rsidRPr="00786071" w:rsidRDefault="000B2A5C" w:rsidP="00480FB1">
      <w:pPr>
        <w:tabs>
          <w:tab w:val="left" w:pos="540"/>
          <w:tab w:val="left" w:pos="569"/>
        </w:tabs>
        <w:rPr>
          <w:bCs/>
          <w:sz w:val="22"/>
          <w:szCs w:val="22"/>
        </w:rPr>
      </w:pPr>
    </w:p>
    <w:p w14:paraId="60C17F1E" w14:textId="77777777" w:rsidR="0072020E" w:rsidRPr="00FF1314" w:rsidRDefault="0072020E" w:rsidP="00480FB1">
      <w:pPr>
        <w:tabs>
          <w:tab w:val="left" w:pos="540"/>
          <w:tab w:val="left" w:pos="569"/>
        </w:tabs>
        <w:rPr>
          <w:b/>
          <w:bCs/>
          <w:sz w:val="22"/>
          <w:szCs w:val="22"/>
          <w:lang w:val="sr-Latn-ME"/>
        </w:rPr>
      </w:pPr>
      <w:r w:rsidRPr="00FF1314">
        <w:rPr>
          <w:b/>
          <w:bCs/>
          <w:sz w:val="22"/>
          <w:szCs w:val="22"/>
          <w:lang w:val="sr-Latn-ME"/>
        </w:rPr>
        <w:t xml:space="preserve">5.3. </w:t>
      </w:r>
      <w:r w:rsidR="00480FB1" w:rsidRPr="00FF1314">
        <w:rPr>
          <w:b/>
          <w:bCs/>
          <w:sz w:val="22"/>
          <w:szCs w:val="22"/>
          <w:lang w:val="sr-Latn-ME"/>
        </w:rPr>
        <w:tab/>
      </w:r>
      <w:r w:rsidRPr="00FF1314">
        <w:rPr>
          <w:b/>
          <w:bCs/>
          <w:sz w:val="22"/>
          <w:szCs w:val="22"/>
          <w:lang w:val="sr-Latn-ME"/>
        </w:rPr>
        <w:t xml:space="preserve">Pretklinički podaci o bezbjednosti </w:t>
      </w:r>
    </w:p>
    <w:p w14:paraId="7A3692E3" w14:textId="77777777" w:rsidR="00836B35" w:rsidRPr="00FF1314" w:rsidRDefault="00836B35" w:rsidP="00480FB1">
      <w:pPr>
        <w:tabs>
          <w:tab w:val="left" w:pos="540"/>
          <w:tab w:val="left" w:pos="569"/>
        </w:tabs>
        <w:rPr>
          <w:bCs/>
          <w:sz w:val="22"/>
          <w:szCs w:val="22"/>
          <w:lang w:val="sr-Latn-ME"/>
        </w:rPr>
      </w:pPr>
    </w:p>
    <w:p w14:paraId="44E889F6" w14:textId="77777777" w:rsidR="000B2A5C" w:rsidRPr="00F2102A" w:rsidRDefault="000B2A5C" w:rsidP="000B2A5C">
      <w:pPr>
        <w:tabs>
          <w:tab w:val="left" w:pos="284"/>
        </w:tabs>
        <w:jc w:val="both"/>
        <w:rPr>
          <w:noProof/>
          <w:sz w:val="22"/>
          <w:szCs w:val="22"/>
          <w:lang w:val="sr-Latn-ME"/>
        </w:rPr>
      </w:pPr>
      <w:r w:rsidRPr="00F2102A">
        <w:rPr>
          <w:noProof/>
          <w:sz w:val="22"/>
          <w:szCs w:val="22"/>
          <w:lang w:val="sr-Latn-ME"/>
        </w:rPr>
        <w:t>Pretklinički podaci dobijeni iz konvencionalnih istraživanja farmakološke bezbjednosti, toksičnosti ponovljenih doza i reproduktivne i razvojne toksičnosti ne ukazuju na poseban rizik za ljude.</w:t>
      </w:r>
    </w:p>
    <w:p w14:paraId="2801849A" w14:textId="77777777" w:rsidR="000B2A5C" w:rsidRPr="00F2102A" w:rsidRDefault="000B2A5C" w:rsidP="000B2A5C">
      <w:pPr>
        <w:tabs>
          <w:tab w:val="left" w:pos="284"/>
        </w:tabs>
        <w:jc w:val="both"/>
        <w:rPr>
          <w:noProof/>
          <w:sz w:val="22"/>
          <w:szCs w:val="22"/>
          <w:lang w:val="sr-Latn-ME"/>
        </w:rPr>
      </w:pPr>
    </w:p>
    <w:p w14:paraId="5D48C071" w14:textId="77777777" w:rsidR="000B2A5C" w:rsidRPr="00F2102A" w:rsidRDefault="000B2A5C" w:rsidP="000B2A5C">
      <w:pPr>
        <w:tabs>
          <w:tab w:val="left" w:pos="284"/>
        </w:tabs>
        <w:jc w:val="both"/>
        <w:outlineLvl w:val="0"/>
        <w:rPr>
          <w:sz w:val="22"/>
          <w:szCs w:val="22"/>
          <w:lang w:val="sr-Latn-ME"/>
        </w:rPr>
      </w:pPr>
      <w:r w:rsidRPr="00F2102A">
        <w:rPr>
          <w:sz w:val="22"/>
          <w:szCs w:val="22"/>
          <w:lang w:val="sr-Latn-ME"/>
        </w:rPr>
        <w:t>Nijesu sprovedena istraživanja mutagenosti, istraživanja plodnosti na životinjama, niti dugotrajna istraživanja kancerogenog potencijala golimumaba.</w:t>
      </w:r>
    </w:p>
    <w:p w14:paraId="4B0B873E" w14:textId="77777777" w:rsidR="000B2A5C" w:rsidRPr="00F2102A" w:rsidRDefault="000B2A5C" w:rsidP="000B2A5C">
      <w:pPr>
        <w:tabs>
          <w:tab w:val="left" w:pos="284"/>
        </w:tabs>
        <w:jc w:val="both"/>
        <w:outlineLvl w:val="0"/>
        <w:rPr>
          <w:sz w:val="22"/>
          <w:szCs w:val="22"/>
          <w:lang w:val="sr-Latn-ME"/>
        </w:rPr>
      </w:pPr>
    </w:p>
    <w:p w14:paraId="14502759" w14:textId="77777777" w:rsidR="000B2A5C" w:rsidRPr="00F2102A" w:rsidRDefault="000B2A5C" w:rsidP="000B2A5C">
      <w:pPr>
        <w:tabs>
          <w:tab w:val="left" w:pos="284"/>
        </w:tabs>
        <w:autoSpaceDE w:val="0"/>
        <w:autoSpaceDN w:val="0"/>
        <w:adjustRightInd w:val="0"/>
        <w:jc w:val="both"/>
        <w:rPr>
          <w:bCs/>
          <w:iCs/>
          <w:sz w:val="22"/>
          <w:szCs w:val="22"/>
          <w:lang w:val="sr-Latn-ME"/>
        </w:rPr>
      </w:pPr>
      <w:r w:rsidRPr="00F2102A">
        <w:rPr>
          <w:bCs/>
          <w:iCs/>
          <w:sz w:val="22"/>
          <w:szCs w:val="22"/>
          <w:lang w:val="sr-Latn-ME"/>
        </w:rPr>
        <w:t>U istraživanju plodnosti i opšte reproduktivne funkcije na miševima, pri upotrebi analognog antitijela koje selektivno inhibira funkcionalnu aktivnost mišjeg TNFα, smanjio se broj skotnih ženki miševa. Nije poznato da li je uzrok tog nalaza uticaj na mužjake i/ili ženke. U istraživanju razvojne toksičnosti na miševima nakon primjene istog analognog antitijela, kao ni kod Cynomolgus majmuna nakon primjene golimumaba, nije bilo znakova maternalne toksičnosti, embriotoksičnosti niti teratogenosti.</w:t>
      </w:r>
    </w:p>
    <w:p w14:paraId="1AAE0B5F" w14:textId="716F2CEB" w:rsidR="00396DFD" w:rsidRPr="00FF1314" w:rsidRDefault="00396DFD" w:rsidP="00480FB1">
      <w:pPr>
        <w:tabs>
          <w:tab w:val="left" w:pos="540"/>
          <w:tab w:val="left" w:pos="569"/>
        </w:tabs>
        <w:rPr>
          <w:b/>
          <w:bCs/>
          <w:sz w:val="22"/>
          <w:szCs w:val="22"/>
          <w:lang w:val="sr-Latn-ME"/>
        </w:rPr>
      </w:pPr>
    </w:p>
    <w:p w14:paraId="511B27CF" w14:textId="77777777" w:rsidR="00C563C2" w:rsidRPr="00FF1314" w:rsidRDefault="00C563C2" w:rsidP="00480FB1">
      <w:pPr>
        <w:tabs>
          <w:tab w:val="left" w:pos="540"/>
          <w:tab w:val="left" w:pos="569"/>
        </w:tabs>
        <w:rPr>
          <w:b/>
          <w:bCs/>
          <w:sz w:val="22"/>
          <w:szCs w:val="22"/>
          <w:lang w:val="sr-Latn-ME"/>
        </w:rPr>
      </w:pPr>
    </w:p>
    <w:p w14:paraId="21F70D8F" w14:textId="77777777" w:rsidR="0072020E" w:rsidRPr="00FF1314" w:rsidRDefault="0072020E" w:rsidP="00480FB1">
      <w:pPr>
        <w:tabs>
          <w:tab w:val="left" w:pos="540"/>
          <w:tab w:val="left" w:pos="569"/>
        </w:tabs>
        <w:rPr>
          <w:b/>
          <w:bCs/>
          <w:sz w:val="22"/>
          <w:szCs w:val="22"/>
          <w:lang w:val="sr-Latn-ME"/>
        </w:rPr>
      </w:pPr>
      <w:r w:rsidRPr="00FF1314">
        <w:rPr>
          <w:b/>
          <w:bCs/>
          <w:sz w:val="22"/>
          <w:szCs w:val="22"/>
          <w:lang w:val="sr-Latn-ME"/>
        </w:rPr>
        <w:t xml:space="preserve">6. </w:t>
      </w:r>
      <w:r w:rsidR="00480FB1" w:rsidRPr="00FF1314">
        <w:rPr>
          <w:b/>
          <w:bCs/>
          <w:sz w:val="22"/>
          <w:szCs w:val="22"/>
          <w:lang w:val="sr-Latn-ME"/>
        </w:rPr>
        <w:tab/>
      </w:r>
      <w:r w:rsidRPr="00FF1314">
        <w:rPr>
          <w:b/>
          <w:bCs/>
          <w:sz w:val="22"/>
          <w:szCs w:val="22"/>
          <w:lang w:val="sr-Latn-ME"/>
        </w:rPr>
        <w:t>FARMACEUTSKI PODACI</w:t>
      </w:r>
    </w:p>
    <w:p w14:paraId="1DCFFCD2" w14:textId="77777777" w:rsidR="00836B35" w:rsidRPr="00FF1314" w:rsidRDefault="00836B35" w:rsidP="00480FB1">
      <w:pPr>
        <w:tabs>
          <w:tab w:val="left" w:pos="540"/>
          <w:tab w:val="left" w:pos="569"/>
        </w:tabs>
        <w:rPr>
          <w:bCs/>
          <w:sz w:val="22"/>
          <w:szCs w:val="22"/>
          <w:lang w:val="sr-Latn-ME"/>
        </w:rPr>
      </w:pPr>
    </w:p>
    <w:p w14:paraId="4F22BDE9" w14:textId="77777777" w:rsidR="0072020E" w:rsidRPr="00FF1314" w:rsidRDefault="0072020E" w:rsidP="00480FB1">
      <w:pPr>
        <w:tabs>
          <w:tab w:val="left" w:pos="540"/>
          <w:tab w:val="left" w:pos="569"/>
        </w:tabs>
        <w:rPr>
          <w:b/>
          <w:bCs/>
          <w:sz w:val="22"/>
          <w:szCs w:val="22"/>
          <w:lang w:val="sr-Latn-ME"/>
        </w:rPr>
      </w:pPr>
      <w:r w:rsidRPr="00FF1314">
        <w:rPr>
          <w:b/>
          <w:bCs/>
          <w:sz w:val="22"/>
          <w:szCs w:val="22"/>
          <w:lang w:val="sr-Latn-ME"/>
        </w:rPr>
        <w:t xml:space="preserve">6.1. </w:t>
      </w:r>
      <w:r w:rsidR="00480FB1" w:rsidRPr="00FF1314">
        <w:rPr>
          <w:b/>
          <w:bCs/>
          <w:sz w:val="22"/>
          <w:szCs w:val="22"/>
          <w:lang w:val="sr-Latn-ME"/>
        </w:rPr>
        <w:tab/>
      </w:r>
      <w:r w:rsidRPr="00FF1314">
        <w:rPr>
          <w:b/>
          <w:bCs/>
          <w:sz w:val="22"/>
          <w:szCs w:val="22"/>
          <w:lang w:val="sr-Latn-ME"/>
        </w:rPr>
        <w:t>Lista pomoćnih supstanci</w:t>
      </w:r>
      <w:r w:rsidR="002E0135" w:rsidRPr="00FF1314">
        <w:rPr>
          <w:b/>
          <w:bCs/>
          <w:sz w:val="22"/>
          <w:szCs w:val="22"/>
          <w:lang w:val="sr-Latn-ME"/>
        </w:rPr>
        <w:t xml:space="preserve"> (ekscipijenasa)</w:t>
      </w:r>
    </w:p>
    <w:p w14:paraId="02DC6146" w14:textId="67EFF98B" w:rsidR="0072020E" w:rsidRPr="00FF1314" w:rsidRDefault="0072020E" w:rsidP="00480FB1">
      <w:pPr>
        <w:tabs>
          <w:tab w:val="left" w:pos="540"/>
          <w:tab w:val="left" w:pos="569"/>
        </w:tabs>
        <w:rPr>
          <w:bCs/>
          <w:sz w:val="22"/>
          <w:szCs w:val="22"/>
          <w:lang w:val="sr-Latn-ME"/>
        </w:rPr>
      </w:pPr>
    </w:p>
    <w:p w14:paraId="568A5A5F" w14:textId="77777777" w:rsidR="000B2A5C" w:rsidRPr="00F2102A" w:rsidRDefault="000B2A5C" w:rsidP="000B2A5C">
      <w:pPr>
        <w:tabs>
          <w:tab w:val="left" w:pos="284"/>
        </w:tabs>
        <w:rPr>
          <w:sz w:val="22"/>
          <w:szCs w:val="22"/>
          <w:lang w:val="sr-Latn-ME"/>
        </w:rPr>
      </w:pPr>
      <w:r w:rsidRPr="00F2102A">
        <w:rPr>
          <w:sz w:val="22"/>
          <w:szCs w:val="22"/>
          <w:lang w:val="sr-Latn-ME"/>
        </w:rPr>
        <w:t>Sorbitol (E420)</w:t>
      </w:r>
    </w:p>
    <w:p w14:paraId="14B9DA1D" w14:textId="77777777" w:rsidR="000B2A5C" w:rsidRPr="00F2102A" w:rsidRDefault="000B2A5C" w:rsidP="000B2A5C">
      <w:pPr>
        <w:tabs>
          <w:tab w:val="left" w:pos="284"/>
        </w:tabs>
        <w:rPr>
          <w:sz w:val="22"/>
          <w:szCs w:val="22"/>
          <w:lang w:val="sr-Latn-ME"/>
        </w:rPr>
      </w:pPr>
      <w:r w:rsidRPr="00F2102A">
        <w:rPr>
          <w:sz w:val="22"/>
          <w:szCs w:val="22"/>
          <w:lang w:val="sr-Latn-ME"/>
        </w:rPr>
        <w:t>L-histidin</w:t>
      </w:r>
    </w:p>
    <w:p w14:paraId="38F137B8" w14:textId="35719D45" w:rsidR="000B2A5C" w:rsidRPr="00F2102A" w:rsidRDefault="000B2A5C" w:rsidP="000B2A5C">
      <w:pPr>
        <w:tabs>
          <w:tab w:val="left" w:pos="284"/>
        </w:tabs>
        <w:rPr>
          <w:sz w:val="22"/>
          <w:szCs w:val="22"/>
          <w:lang w:val="sr-Latn-ME"/>
        </w:rPr>
      </w:pPr>
      <w:r w:rsidRPr="00F2102A">
        <w:rPr>
          <w:sz w:val="22"/>
          <w:szCs w:val="22"/>
          <w:lang w:val="sr-Latn-ME"/>
        </w:rPr>
        <w:t>L-histidin hidrohlorid monohidrat</w:t>
      </w:r>
    </w:p>
    <w:p w14:paraId="18F355A1" w14:textId="77777777" w:rsidR="000B2A5C" w:rsidRPr="00F2102A" w:rsidRDefault="000B2A5C" w:rsidP="000B2A5C">
      <w:pPr>
        <w:rPr>
          <w:sz w:val="22"/>
          <w:szCs w:val="22"/>
          <w:lang w:val="sr-Latn-ME"/>
        </w:rPr>
      </w:pPr>
      <w:r w:rsidRPr="00F2102A">
        <w:rPr>
          <w:sz w:val="22"/>
          <w:szCs w:val="22"/>
          <w:lang w:val="sr-Latn-ME"/>
        </w:rPr>
        <w:t>Polisorbat 80</w:t>
      </w:r>
    </w:p>
    <w:p w14:paraId="4A28B56A" w14:textId="77777777" w:rsidR="000B2A5C" w:rsidRPr="00F2102A" w:rsidRDefault="000B2A5C" w:rsidP="000B2A5C">
      <w:pPr>
        <w:tabs>
          <w:tab w:val="left" w:pos="284"/>
        </w:tabs>
        <w:rPr>
          <w:sz w:val="22"/>
          <w:szCs w:val="22"/>
          <w:lang w:val="sr-Latn-ME"/>
        </w:rPr>
      </w:pPr>
      <w:r w:rsidRPr="00F2102A">
        <w:rPr>
          <w:sz w:val="22"/>
          <w:szCs w:val="22"/>
          <w:lang w:val="sr-Latn-ME"/>
        </w:rPr>
        <w:t>Voda za injekcije</w:t>
      </w:r>
    </w:p>
    <w:p w14:paraId="7C453637" w14:textId="77777777" w:rsidR="000B2A5C" w:rsidRPr="00FF1314" w:rsidRDefault="000B2A5C" w:rsidP="00480FB1">
      <w:pPr>
        <w:tabs>
          <w:tab w:val="left" w:pos="540"/>
          <w:tab w:val="left" w:pos="569"/>
        </w:tabs>
        <w:rPr>
          <w:bCs/>
          <w:sz w:val="22"/>
          <w:szCs w:val="22"/>
          <w:lang w:val="sr-Latn-ME"/>
        </w:rPr>
      </w:pPr>
    </w:p>
    <w:p w14:paraId="5B8C74CC" w14:textId="77777777" w:rsidR="0072020E" w:rsidRPr="00FF1314" w:rsidRDefault="0072020E" w:rsidP="00480FB1">
      <w:pPr>
        <w:tabs>
          <w:tab w:val="left" w:pos="540"/>
          <w:tab w:val="left" w:pos="569"/>
        </w:tabs>
        <w:rPr>
          <w:b/>
          <w:bCs/>
          <w:sz w:val="22"/>
          <w:szCs w:val="22"/>
          <w:lang w:val="sr-Latn-ME"/>
        </w:rPr>
      </w:pPr>
      <w:r w:rsidRPr="00FF1314">
        <w:rPr>
          <w:b/>
          <w:bCs/>
          <w:sz w:val="22"/>
          <w:szCs w:val="22"/>
          <w:lang w:val="sr-Latn-ME"/>
        </w:rPr>
        <w:t xml:space="preserve">6.2. </w:t>
      </w:r>
      <w:r w:rsidR="00480FB1" w:rsidRPr="00FF1314">
        <w:rPr>
          <w:b/>
          <w:bCs/>
          <w:sz w:val="22"/>
          <w:szCs w:val="22"/>
          <w:lang w:val="sr-Latn-ME"/>
        </w:rPr>
        <w:tab/>
      </w:r>
      <w:r w:rsidRPr="00FF1314">
        <w:rPr>
          <w:b/>
          <w:bCs/>
          <w:sz w:val="22"/>
          <w:szCs w:val="22"/>
          <w:lang w:val="sr-Latn-ME"/>
        </w:rPr>
        <w:t>Inkompatibilnost</w:t>
      </w:r>
      <w:r w:rsidR="002846DB" w:rsidRPr="00FF1314">
        <w:rPr>
          <w:b/>
          <w:bCs/>
          <w:sz w:val="22"/>
          <w:szCs w:val="22"/>
          <w:lang w:val="sr-Latn-ME"/>
        </w:rPr>
        <w:t>i</w:t>
      </w:r>
    </w:p>
    <w:p w14:paraId="3669A30F" w14:textId="59F80F2E" w:rsidR="0072020E" w:rsidRPr="00FF1314" w:rsidRDefault="0072020E" w:rsidP="00480FB1">
      <w:pPr>
        <w:tabs>
          <w:tab w:val="left" w:pos="540"/>
          <w:tab w:val="left" w:pos="569"/>
        </w:tabs>
        <w:rPr>
          <w:bCs/>
          <w:sz w:val="22"/>
          <w:szCs w:val="22"/>
          <w:lang w:val="sr-Latn-ME"/>
        </w:rPr>
      </w:pPr>
    </w:p>
    <w:p w14:paraId="5AB4393A" w14:textId="77777777" w:rsidR="000B2A5C" w:rsidRPr="00F2102A" w:rsidRDefault="000B2A5C" w:rsidP="000B2A5C">
      <w:pPr>
        <w:tabs>
          <w:tab w:val="left" w:pos="540"/>
          <w:tab w:val="left" w:pos="569"/>
        </w:tabs>
        <w:rPr>
          <w:bCs/>
          <w:sz w:val="22"/>
          <w:szCs w:val="22"/>
          <w:lang w:val="sr-Latn-ME"/>
        </w:rPr>
      </w:pPr>
      <w:r w:rsidRPr="00F2102A">
        <w:rPr>
          <w:bCs/>
          <w:sz w:val="22"/>
          <w:szCs w:val="22"/>
          <w:lang w:val="sr-Latn-ME"/>
        </w:rPr>
        <w:t xml:space="preserve">U nedostatku studija kompatibilnosti, ovaj lijek se ne smije miješati s drugim ljekovima. </w:t>
      </w:r>
    </w:p>
    <w:p w14:paraId="1C6B47F5" w14:textId="77777777" w:rsidR="000B2A5C" w:rsidRPr="00FF1314" w:rsidRDefault="000B2A5C" w:rsidP="00480FB1">
      <w:pPr>
        <w:tabs>
          <w:tab w:val="left" w:pos="540"/>
          <w:tab w:val="left" w:pos="569"/>
        </w:tabs>
        <w:rPr>
          <w:bCs/>
          <w:sz w:val="22"/>
          <w:szCs w:val="22"/>
          <w:lang w:val="sr-Latn-ME"/>
        </w:rPr>
      </w:pPr>
    </w:p>
    <w:p w14:paraId="0DA144FA" w14:textId="77777777" w:rsidR="0072020E" w:rsidRPr="00FF1314" w:rsidRDefault="0072020E" w:rsidP="00480FB1">
      <w:pPr>
        <w:tabs>
          <w:tab w:val="left" w:pos="540"/>
          <w:tab w:val="left" w:pos="569"/>
        </w:tabs>
        <w:rPr>
          <w:b/>
          <w:bCs/>
          <w:sz w:val="22"/>
          <w:szCs w:val="22"/>
          <w:lang w:val="sr-Latn-ME"/>
        </w:rPr>
      </w:pPr>
      <w:r w:rsidRPr="00FF1314">
        <w:rPr>
          <w:b/>
          <w:bCs/>
          <w:sz w:val="22"/>
          <w:szCs w:val="22"/>
          <w:lang w:val="sr-Latn-ME"/>
        </w:rPr>
        <w:t>6.3.</w:t>
      </w:r>
      <w:r w:rsidR="00C05DF8" w:rsidRPr="00FF1314">
        <w:rPr>
          <w:b/>
          <w:bCs/>
          <w:sz w:val="22"/>
          <w:szCs w:val="22"/>
          <w:lang w:val="sr-Latn-ME"/>
        </w:rPr>
        <w:t xml:space="preserve"> </w:t>
      </w:r>
      <w:r w:rsidR="00480FB1" w:rsidRPr="00FF1314">
        <w:rPr>
          <w:b/>
          <w:bCs/>
          <w:sz w:val="22"/>
          <w:szCs w:val="22"/>
          <w:lang w:val="sr-Latn-ME"/>
        </w:rPr>
        <w:tab/>
      </w:r>
      <w:r w:rsidRPr="00FF1314">
        <w:rPr>
          <w:b/>
          <w:bCs/>
          <w:sz w:val="22"/>
          <w:szCs w:val="22"/>
          <w:lang w:val="sr-Latn-ME"/>
        </w:rPr>
        <w:t>Rok upotrebe</w:t>
      </w:r>
    </w:p>
    <w:p w14:paraId="7EDFEC14" w14:textId="78CB8CA3" w:rsidR="0072020E" w:rsidRPr="00FF1314" w:rsidRDefault="0072020E" w:rsidP="00480FB1">
      <w:pPr>
        <w:tabs>
          <w:tab w:val="left" w:pos="540"/>
          <w:tab w:val="left" w:pos="569"/>
        </w:tabs>
        <w:rPr>
          <w:bCs/>
          <w:sz w:val="22"/>
          <w:szCs w:val="22"/>
          <w:lang w:val="sr-Latn-ME"/>
        </w:rPr>
      </w:pPr>
    </w:p>
    <w:p w14:paraId="16C00ED4" w14:textId="4AA356F0" w:rsidR="000B2A5C" w:rsidRPr="00F2102A" w:rsidRDefault="00392194" w:rsidP="000B2A5C">
      <w:pPr>
        <w:tabs>
          <w:tab w:val="left" w:pos="540"/>
          <w:tab w:val="left" w:pos="569"/>
        </w:tabs>
        <w:rPr>
          <w:bCs/>
          <w:sz w:val="22"/>
          <w:szCs w:val="22"/>
          <w:lang w:val="sr-Latn-ME"/>
        </w:rPr>
      </w:pPr>
      <w:r w:rsidRPr="00F2102A">
        <w:rPr>
          <w:bCs/>
          <w:sz w:val="22"/>
          <w:szCs w:val="22"/>
          <w:lang w:val="sr-Latn-ME"/>
        </w:rPr>
        <w:t>2 godine</w:t>
      </w:r>
      <w:r w:rsidR="000B2A5C" w:rsidRPr="00F2102A">
        <w:rPr>
          <w:bCs/>
          <w:sz w:val="22"/>
          <w:szCs w:val="22"/>
          <w:lang w:val="sr-Latn-ME"/>
        </w:rPr>
        <w:t>.</w:t>
      </w:r>
    </w:p>
    <w:p w14:paraId="33DF40A7" w14:textId="77777777" w:rsidR="000B2A5C" w:rsidRPr="00FF1314" w:rsidRDefault="000B2A5C" w:rsidP="00480FB1">
      <w:pPr>
        <w:tabs>
          <w:tab w:val="left" w:pos="540"/>
          <w:tab w:val="left" w:pos="569"/>
        </w:tabs>
        <w:rPr>
          <w:bCs/>
          <w:sz w:val="22"/>
          <w:szCs w:val="22"/>
          <w:lang w:val="sr-Latn-ME"/>
        </w:rPr>
      </w:pPr>
    </w:p>
    <w:p w14:paraId="6F70C37C" w14:textId="77777777" w:rsidR="0072020E" w:rsidRPr="00FF1314" w:rsidRDefault="0072020E" w:rsidP="00480FB1">
      <w:pPr>
        <w:tabs>
          <w:tab w:val="left" w:pos="540"/>
          <w:tab w:val="left" w:pos="569"/>
        </w:tabs>
        <w:rPr>
          <w:b/>
          <w:bCs/>
          <w:sz w:val="22"/>
          <w:szCs w:val="22"/>
          <w:lang w:val="sr-Latn-ME"/>
        </w:rPr>
      </w:pPr>
      <w:r w:rsidRPr="00FF1314">
        <w:rPr>
          <w:b/>
          <w:bCs/>
          <w:sz w:val="22"/>
          <w:szCs w:val="22"/>
          <w:lang w:val="sr-Latn-ME"/>
        </w:rPr>
        <w:t xml:space="preserve">6.4. </w:t>
      </w:r>
      <w:r w:rsidR="00480FB1" w:rsidRPr="00FF1314">
        <w:rPr>
          <w:b/>
          <w:bCs/>
          <w:sz w:val="22"/>
          <w:szCs w:val="22"/>
          <w:lang w:val="sr-Latn-ME"/>
        </w:rPr>
        <w:tab/>
      </w:r>
      <w:r w:rsidRPr="00FF1314">
        <w:rPr>
          <w:b/>
          <w:bCs/>
          <w:sz w:val="22"/>
          <w:szCs w:val="22"/>
          <w:lang w:val="sr-Latn-ME"/>
        </w:rPr>
        <w:t>Posebne mjere upozorenja pri čuvanju</w:t>
      </w:r>
      <w:r w:rsidR="00F8570A" w:rsidRPr="00FF1314">
        <w:rPr>
          <w:b/>
          <w:bCs/>
          <w:sz w:val="22"/>
          <w:szCs w:val="22"/>
          <w:lang w:val="sr-Latn-ME"/>
        </w:rPr>
        <w:t xml:space="preserve"> lijeka</w:t>
      </w:r>
    </w:p>
    <w:p w14:paraId="54084E94" w14:textId="2825F8DC" w:rsidR="00EC2532" w:rsidRPr="00FF1314" w:rsidRDefault="00EC2532" w:rsidP="00480FB1">
      <w:pPr>
        <w:tabs>
          <w:tab w:val="left" w:pos="540"/>
          <w:tab w:val="left" w:pos="569"/>
        </w:tabs>
        <w:rPr>
          <w:bCs/>
          <w:sz w:val="22"/>
          <w:szCs w:val="22"/>
          <w:lang w:val="sr-Latn-ME"/>
        </w:rPr>
      </w:pPr>
    </w:p>
    <w:p w14:paraId="5AA07355" w14:textId="77777777" w:rsidR="000B2A5C" w:rsidRPr="00FF1314" w:rsidRDefault="000B2A5C" w:rsidP="00FF1314">
      <w:pPr>
        <w:spacing w:after="160" w:line="259" w:lineRule="auto"/>
        <w:jc w:val="both"/>
        <w:rPr>
          <w:rFonts w:eastAsiaTheme="minorHAnsi"/>
          <w:sz w:val="22"/>
          <w:szCs w:val="22"/>
          <w:lang w:val="sr-Latn-ME"/>
        </w:rPr>
      </w:pPr>
      <w:r w:rsidRPr="00FF1314">
        <w:rPr>
          <w:rFonts w:eastAsiaTheme="minorHAnsi"/>
          <w:sz w:val="22"/>
          <w:szCs w:val="22"/>
          <w:lang w:val="sr-Latn-ME"/>
        </w:rPr>
        <w:t>Čuvati u frižideru (2-8°C). Ne zamrzavati. Čuvati napunjeni injekcioni špric u spoljnjem pakovanju (složiva kartonska kutija) radi zaštite od svjetlosti. Lijek se može čuvati na temperaturi do 25°C, tokom pojedinačnog perioda od maksimalno 30 dana, pri čemu ne smije da se prekorači datum isteka roka upotrebe lijeka.</w:t>
      </w:r>
    </w:p>
    <w:p w14:paraId="53C8D501" w14:textId="62AB3C00" w:rsidR="000B2A5C" w:rsidRPr="00FF1314" w:rsidRDefault="000B2A5C" w:rsidP="00FF1314">
      <w:pPr>
        <w:spacing w:after="160" w:line="259" w:lineRule="auto"/>
        <w:jc w:val="both"/>
        <w:rPr>
          <w:bCs/>
          <w:sz w:val="22"/>
          <w:szCs w:val="22"/>
          <w:lang w:val="sr-Latn-ME"/>
        </w:rPr>
      </w:pPr>
      <w:r w:rsidRPr="00FF1314">
        <w:rPr>
          <w:rFonts w:eastAsiaTheme="minorHAnsi"/>
          <w:sz w:val="22"/>
          <w:szCs w:val="22"/>
          <w:lang w:val="sr-Latn-ME"/>
        </w:rPr>
        <w:t>Zabilježiti novi datum isteka roka upotrebe lijeka na kartonskoj kutiji (do 30 dana od datuma vađenja iz frižidera). Nakon što je lijek čuvan na sobnoj temperaturi ne smije se više vraćati u frižider. Lijek se mora odbaciti ukoliko se ne iskoristi u roku od 30 dana od datuma vađenja iz frižidera.</w:t>
      </w:r>
    </w:p>
    <w:p w14:paraId="5DBB5835" w14:textId="77777777" w:rsidR="0072020E" w:rsidRPr="00FF1314" w:rsidRDefault="0072020E" w:rsidP="00480FB1">
      <w:pPr>
        <w:tabs>
          <w:tab w:val="left" w:pos="540"/>
          <w:tab w:val="left" w:pos="569"/>
        </w:tabs>
        <w:rPr>
          <w:b/>
          <w:bCs/>
          <w:sz w:val="22"/>
          <w:szCs w:val="22"/>
          <w:lang w:val="sr-Latn-ME"/>
        </w:rPr>
      </w:pPr>
      <w:r w:rsidRPr="00FF1314">
        <w:rPr>
          <w:b/>
          <w:bCs/>
          <w:sz w:val="22"/>
          <w:szCs w:val="22"/>
          <w:lang w:val="sr-Latn-ME"/>
        </w:rPr>
        <w:t xml:space="preserve">6.5. </w:t>
      </w:r>
      <w:r w:rsidR="00480FB1" w:rsidRPr="00FF1314">
        <w:rPr>
          <w:b/>
          <w:bCs/>
          <w:sz w:val="22"/>
          <w:szCs w:val="22"/>
          <w:lang w:val="sr-Latn-ME"/>
        </w:rPr>
        <w:tab/>
      </w:r>
      <w:r w:rsidR="002846DB" w:rsidRPr="00FF1314">
        <w:rPr>
          <w:b/>
          <w:bCs/>
          <w:sz w:val="22"/>
          <w:szCs w:val="22"/>
          <w:lang w:val="sr-Latn-ME"/>
        </w:rPr>
        <w:t xml:space="preserve">Vrsta i sadržaj </w:t>
      </w:r>
      <w:r w:rsidR="00F8570A" w:rsidRPr="00FF1314">
        <w:rPr>
          <w:b/>
          <w:bCs/>
          <w:sz w:val="22"/>
          <w:szCs w:val="22"/>
          <w:lang w:val="sr-Latn-ME"/>
        </w:rPr>
        <w:t>pakovanja</w:t>
      </w:r>
      <w:r w:rsidR="00C06864" w:rsidRPr="00FF1314">
        <w:rPr>
          <w:b/>
          <w:bCs/>
          <w:sz w:val="22"/>
          <w:szCs w:val="22"/>
          <w:lang w:val="sr-Latn-ME"/>
        </w:rPr>
        <w:t xml:space="preserve"> </w:t>
      </w:r>
    </w:p>
    <w:p w14:paraId="7733DE4A" w14:textId="583BCCD3" w:rsidR="0072020E" w:rsidRPr="00FF1314" w:rsidRDefault="0072020E" w:rsidP="00480FB1">
      <w:pPr>
        <w:tabs>
          <w:tab w:val="left" w:pos="540"/>
          <w:tab w:val="left" w:pos="569"/>
        </w:tabs>
        <w:rPr>
          <w:bCs/>
          <w:sz w:val="22"/>
          <w:szCs w:val="22"/>
          <w:lang w:val="sr-Latn-ME"/>
        </w:rPr>
      </w:pPr>
    </w:p>
    <w:p w14:paraId="5BB9CB91" w14:textId="03D0E0F9" w:rsidR="000B2A5C" w:rsidRPr="00F2102A" w:rsidRDefault="000B2A5C" w:rsidP="000B2A5C">
      <w:pPr>
        <w:tabs>
          <w:tab w:val="left" w:pos="284"/>
        </w:tabs>
        <w:jc w:val="both"/>
        <w:rPr>
          <w:sz w:val="22"/>
          <w:szCs w:val="22"/>
          <w:lang w:val="sr-Latn-ME"/>
        </w:rPr>
      </w:pPr>
      <w:r w:rsidRPr="00F2102A">
        <w:rPr>
          <w:sz w:val="22"/>
          <w:szCs w:val="22"/>
          <w:lang w:val="sr-Latn-ME"/>
        </w:rPr>
        <w:t xml:space="preserve">1 ml rastvora u napunjenom injekcionom špricu (staklo tipa 1) s pričvršćenom iglom (od nerđajućeg čelika) i poklopcem za iglu (od gume koja sadrži lateks). </w:t>
      </w:r>
    </w:p>
    <w:p w14:paraId="01C353AB" w14:textId="74D53BE5" w:rsidR="000B2A5C" w:rsidRDefault="000B2A5C" w:rsidP="000B2A5C">
      <w:pPr>
        <w:tabs>
          <w:tab w:val="left" w:pos="284"/>
        </w:tabs>
        <w:jc w:val="both"/>
        <w:rPr>
          <w:sz w:val="22"/>
          <w:szCs w:val="22"/>
          <w:lang w:val="sr-Latn-ME"/>
        </w:rPr>
      </w:pPr>
      <w:r w:rsidRPr="00F2102A">
        <w:rPr>
          <w:sz w:val="22"/>
          <w:szCs w:val="22"/>
          <w:lang w:val="sr-Latn-ME"/>
        </w:rPr>
        <w:t xml:space="preserve">Lijek Simponi je dostupan u pakovanju od 1 napunjenog injekcionog šprica. </w:t>
      </w:r>
    </w:p>
    <w:p w14:paraId="009AE96B" w14:textId="75CF8438" w:rsidR="008B64BA" w:rsidRDefault="008B64BA" w:rsidP="000B2A5C">
      <w:pPr>
        <w:tabs>
          <w:tab w:val="left" w:pos="284"/>
        </w:tabs>
        <w:jc w:val="both"/>
        <w:rPr>
          <w:sz w:val="22"/>
          <w:szCs w:val="22"/>
          <w:lang w:val="sr-Latn-ME"/>
        </w:rPr>
      </w:pPr>
    </w:p>
    <w:p w14:paraId="35104045" w14:textId="1645C485" w:rsidR="008B64BA" w:rsidRDefault="008B64BA" w:rsidP="000B2A5C">
      <w:pPr>
        <w:tabs>
          <w:tab w:val="left" w:pos="284"/>
        </w:tabs>
        <w:jc w:val="both"/>
        <w:rPr>
          <w:sz w:val="22"/>
          <w:szCs w:val="22"/>
          <w:lang w:val="sr-Latn-ME"/>
        </w:rPr>
      </w:pPr>
    </w:p>
    <w:p w14:paraId="0D90DBA4" w14:textId="77777777" w:rsidR="008B64BA" w:rsidRPr="00F2102A" w:rsidRDefault="008B64BA" w:rsidP="000B2A5C">
      <w:pPr>
        <w:tabs>
          <w:tab w:val="left" w:pos="284"/>
        </w:tabs>
        <w:jc w:val="both"/>
        <w:rPr>
          <w:sz w:val="22"/>
          <w:szCs w:val="22"/>
          <w:lang w:val="sr-Latn-ME"/>
        </w:rPr>
      </w:pPr>
    </w:p>
    <w:p w14:paraId="092D8F2D" w14:textId="77777777" w:rsidR="000B2A5C" w:rsidRPr="00FF1314" w:rsidRDefault="000B2A5C" w:rsidP="00480FB1">
      <w:pPr>
        <w:tabs>
          <w:tab w:val="left" w:pos="540"/>
          <w:tab w:val="left" w:pos="569"/>
        </w:tabs>
        <w:rPr>
          <w:bCs/>
          <w:sz w:val="22"/>
          <w:szCs w:val="22"/>
          <w:lang w:val="sr-Latn-ME"/>
        </w:rPr>
      </w:pPr>
    </w:p>
    <w:p w14:paraId="1BE3B273" w14:textId="77777777" w:rsidR="002846DB" w:rsidRPr="00FF1314" w:rsidRDefault="0072020E" w:rsidP="00480FB1">
      <w:pPr>
        <w:tabs>
          <w:tab w:val="left" w:pos="540"/>
          <w:tab w:val="left" w:pos="569"/>
        </w:tabs>
        <w:rPr>
          <w:b/>
          <w:bCs/>
          <w:sz w:val="22"/>
          <w:szCs w:val="22"/>
          <w:lang w:val="sr-Latn-ME"/>
        </w:rPr>
      </w:pPr>
      <w:r w:rsidRPr="00FF1314">
        <w:rPr>
          <w:b/>
          <w:bCs/>
          <w:sz w:val="22"/>
          <w:szCs w:val="22"/>
          <w:lang w:val="sr-Latn-ME"/>
        </w:rPr>
        <w:lastRenderedPageBreak/>
        <w:t xml:space="preserve">6.6. </w:t>
      </w:r>
      <w:r w:rsidR="00480FB1" w:rsidRPr="00FF1314">
        <w:rPr>
          <w:b/>
          <w:bCs/>
          <w:sz w:val="22"/>
          <w:szCs w:val="22"/>
          <w:lang w:val="sr-Latn-ME"/>
        </w:rPr>
        <w:tab/>
      </w:r>
      <w:r w:rsidRPr="00FF1314">
        <w:rPr>
          <w:b/>
          <w:bCs/>
          <w:color w:val="000000"/>
          <w:sz w:val="22"/>
          <w:szCs w:val="22"/>
          <w:lang w:val="sr-Latn-ME"/>
        </w:rPr>
        <w:t>Posebne mjere opreza pri odlaganju materijala koji treba odbaciti nakon primjene lijeka</w:t>
      </w:r>
      <w:r w:rsidRPr="00FF1314">
        <w:rPr>
          <w:b/>
          <w:bCs/>
          <w:sz w:val="22"/>
          <w:szCs w:val="22"/>
          <w:lang w:val="sr-Latn-ME"/>
        </w:rPr>
        <w:t xml:space="preserve"> </w:t>
      </w:r>
      <w:r w:rsidR="00310F03" w:rsidRPr="00FF1314">
        <w:rPr>
          <w:b/>
          <w:bCs/>
          <w:sz w:val="22"/>
          <w:szCs w:val="22"/>
          <w:lang w:val="sr-Latn-ME"/>
        </w:rPr>
        <w:t>(i druga uputs</w:t>
      </w:r>
      <w:r w:rsidR="004109FA" w:rsidRPr="00FF1314">
        <w:rPr>
          <w:b/>
          <w:bCs/>
          <w:sz w:val="22"/>
          <w:szCs w:val="22"/>
          <w:lang w:val="sr-Latn-ME"/>
        </w:rPr>
        <w:t>t</w:t>
      </w:r>
      <w:r w:rsidR="00310F03" w:rsidRPr="00FF1314">
        <w:rPr>
          <w:b/>
          <w:bCs/>
          <w:sz w:val="22"/>
          <w:szCs w:val="22"/>
          <w:lang w:val="sr-Latn-ME"/>
        </w:rPr>
        <w:t xml:space="preserve">va za rukovanje lijekom) </w:t>
      </w:r>
    </w:p>
    <w:p w14:paraId="0941991B" w14:textId="77777777" w:rsidR="00B66A70" w:rsidRPr="00FF1314" w:rsidRDefault="00B66A70" w:rsidP="00480FB1">
      <w:pPr>
        <w:tabs>
          <w:tab w:val="left" w:pos="540"/>
          <w:tab w:val="left" w:pos="569"/>
        </w:tabs>
        <w:rPr>
          <w:b/>
          <w:bCs/>
          <w:sz w:val="22"/>
          <w:szCs w:val="22"/>
          <w:lang w:val="sr-Latn-ME"/>
        </w:rPr>
      </w:pPr>
    </w:p>
    <w:p w14:paraId="284C5638" w14:textId="77777777" w:rsidR="000B2A5C" w:rsidRPr="00F2102A" w:rsidRDefault="000B2A5C" w:rsidP="000B2A5C">
      <w:pPr>
        <w:tabs>
          <w:tab w:val="left" w:pos="284"/>
        </w:tabs>
        <w:autoSpaceDE w:val="0"/>
        <w:autoSpaceDN w:val="0"/>
        <w:adjustRightInd w:val="0"/>
        <w:jc w:val="both"/>
        <w:rPr>
          <w:sz w:val="22"/>
          <w:szCs w:val="22"/>
          <w:lang w:val="sr-Latn-ME"/>
        </w:rPr>
      </w:pPr>
      <w:r w:rsidRPr="00F2102A">
        <w:rPr>
          <w:sz w:val="22"/>
          <w:szCs w:val="22"/>
          <w:lang w:val="sr-Latn-ME"/>
        </w:rPr>
        <w:t>Lijek Simponi se nalazi na tržištu u napunjenom injekcionom špricu</w:t>
      </w:r>
      <w:r w:rsidRPr="00F2102A" w:rsidDel="007247EF">
        <w:rPr>
          <w:sz w:val="22"/>
          <w:szCs w:val="22"/>
          <w:lang w:val="sr-Latn-ME"/>
        </w:rPr>
        <w:t xml:space="preserve"> </w:t>
      </w:r>
      <w:r w:rsidRPr="00F2102A">
        <w:rPr>
          <w:sz w:val="22"/>
          <w:szCs w:val="22"/>
          <w:lang w:val="sr-Latn-ME"/>
        </w:rPr>
        <w:t>za jednokratnu upotrebu. U svakom pakovanju nalazi se uputstvo za upotrebu u kome je detaljno opisana upotreba šprica. Nakon što se špric izvadi iz frižidera, treba sačekati 30 minuta prije primjene lijeka Simponi da lijek dostigne sobnu temperaturu. Špric se ne smije tresti.</w:t>
      </w:r>
    </w:p>
    <w:p w14:paraId="139475AB" w14:textId="77777777" w:rsidR="000B2A5C" w:rsidRPr="00F2102A" w:rsidRDefault="000B2A5C" w:rsidP="000B2A5C">
      <w:pPr>
        <w:tabs>
          <w:tab w:val="left" w:pos="284"/>
          <w:tab w:val="left" w:pos="567"/>
        </w:tabs>
        <w:autoSpaceDE w:val="0"/>
        <w:autoSpaceDN w:val="0"/>
        <w:adjustRightInd w:val="0"/>
        <w:ind w:right="-2"/>
        <w:jc w:val="both"/>
        <w:rPr>
          <w:noProof/>
          <w:sz w:val="22"/>
          <w:szCs w:val="22"/>
          <w:lang w:val="sr-Latn-ME"/>
        </w:rPr>
      </w:pPr>
    </w:p>
    <w:p w14:paraId="4172D3FF" w14:textId="77777777" w:rsidR="000B2A5C" w:rsidRPr="00F2102A" w:rsidRDefault="000B2A5C" w:rsidP="000B2A5C">
      <w:pPr>
        <w:tabs>
          <w:tab w:val="left" w:pos="284"/>
        </w:tabs>
        <w:jc w:val="both"/>
        <w:rPr>
          <w:noProof/>
          <w:sz w:val="22"/>
          <w:szCs w:val="22"/>
          <w:lang w:val="sr-Latn-ME"/>
        </w:rPr>
      </w:pPr>
      <w:r w:rsidRPr="00F2102A">
        <w:rPr>
          <w:noProof/>
          <w:sz w:val="22"/>
          <w:szCs w:val="22"/>
          <w:lang w:val="sr-Latn-ME"/>
        </w:rPr>
        <w:t>Rastvor je bistar do blago opalescentan, bezbojan do svijetlo žute boje i može sadržati nekoliko malih prozirnih ili bijelih čestica proteina. Ovaj izgled nije neuobičajen kod rastvora koji sadrže proteine. Lijek Simponi se ne smije primijeniti ako je rastvor promijenio boju, ako je zamućen ili sadrži vidljive strane čestice.</w:t>
      </w:r>
    </w:p>
    <w:p w14:paraId="6D3BC449" w14:textId="77777777" w:rsidR="000B2A5C" w:rsidRPr="00F2102A" w:rsidRDefault="000B2A5C" w:rsidP="000B2A5C">
      <w:pPr>
        <w:tabs>
          <w:tab w:val="left" w:pos="284"/>
        </w:tabs>
        <w:autoSpaceDE w:val="0"/>
        <w:autoSpaceDN w:val="0"/>
        <w:adjustRightInd w:val="0"/>
        <w:jc w:val="both"/>
        <w:rPr>
          <w:sz w:val="22"/>
          <w:szCs w:val="22"/>
          <w:lang w:val="sr-Latn-ME"/>
        </w:rPr>
      </w:pPr>
    </w:p>
    <w:p w14:paraId="28E61EE1" w14:textId="77777777" w:rsidR="000B2A5C" w:rsidRPr="00F2102A" w:rsidRDefault="000B2A5C" w:rsidP="000B2A5C">
      <w:pPr>
        <w:tabs>
          <w:tab w:val="left" w:pos="284"/>
        </w:tabs>
        <w:autoSpaceDE w:val="0"/>
        <w:autoSpaceDN w:val="0"/>
        <w:adjustRightInd w:val="0"/>
        <w:jc w:val="both"/>
        <w:rPr>
          <w:sz w:val="22"/>
          <w:szCs w:val="22"/>
          <w:lang w:val="sr-Latn-ME"/>
        </w:rPr>
      </w:pPr>
      <w:r w:rsidRPr="00F2102A">
        <w:rPr>
          <w:sz w:val="22"/>
          <w:szCs w:val="22"/>
          <w:lang w:val="sr-Latn-ME"/>
        </w:rPr>
        <w:t xml:space="preserve">U uputstvu za pacijenta navedena su detaljna uputstva za pripremu i primjenu lijeka Simponi u napunjenom injekcionom špricu. </w:t>
      </w:r>
    </w:p>
    <w:p w14:paraId="1F3B690B" w14:textId="77777777" w:rsidR="000B2A5C" w:rsidRPr="00F2102A" w:rsidRDefault="000B2A5C" w:rsidP="000B2A5C">
      <w:pPr>
        <w:tabs>
          <w:tab w:val="left" w:pos="284"/>
        </w:tabs>
        <w:jc w:val="both"/>
        <w:rPr>
          <w:noProof/>
          <w:sz w:val="22"/>
          <w:szCs w:val="22"/>
          <w:lang w:val="sr-Latn-ME"/>
        </w:rPr>
      </w:pPr>
    </w:p>
    <w:p w14:paraId="45399387" w14:textId="46EDB4BD" w:rsidR="000B2A5C" w:rsidRPr="00F2102A" w:rsidRDefault="000B2A5C" w:rsidP="000B2A5C">
      <w:pPr>
        <w:widowControl w:val="0"/>
        <w:tabs>
          <w:tab w:val="left" w:pos="284"/>
        </w:tabs>
        <w:autoSpaceDE w:val="0"/>
        <w:autoSpaceDN w:val="0"/>
        <w:jc w:val="both"/>
        <w:rPr>
          <w:sz w:val="22"/>
          <w:szCs w:val="22"/>
          <w:lang w:val="sr-Latn-ME"/>
        </w:rPr>
      </w:pPr>
      <w:r w:rsidRPr="00F2102A">
        <w:rPr>
          <w:sz w:val="22"/>
          <w:szCs w:val="22"/>
          <w:lang w:val="sr-Latn-ME"/>
        </w:rPr>
        <w:t>Neupotrijebljeni lijek ili otpadni materijal se uništava u skladu sa važećim propisima.</w:t>
      </w:r>
    </w:p>
    <w:p w14:paraId="283B826A" w14:textId="77777777" w:rsidR="00C563C2" w:rsidRPr="00F2102A" w:rsidRDefault="00C563C2" w:rsidP="000B2A5C">
      <w:pPr>
        <w:widowControl w:val="0"/>
        <w:tabs>
          <w:tab w:val="left" w:pos="284"/>
        </w:tabs>
        <w:autoSpaceDE w:val="0"/>
        <w:autoSpaceDN w:val="0"/>
        <w:jc w:val="both"/>
        <w:rPr>
          <w:sz w:val="22"/>
          <w:szCs w:val="22"/>
          <w:lang w:val="sr-Latn-ME"/>
        </w:rPr>
      </w:pPr>
    </w:p>
    <w:p w14:paraId="349B648B" w14:textId="77777777" w:rsidR="0072020E" w:rsidRPr="00FF1314" w:rsidRDefault="0072020E" w:rsidP="00480FB1">
      <w:pPr>
        <w:tabs>
          <w:tab w:val="left" w:pos="540"/>
          <w:tab w:val="left" w:pos="569"/>
        </w:tabs>
        <w:rPr>
          <w:bCs/>
          <w:sz w:val="22"/>
          <w:szCs w:val="22"/>
          <w:lang w:val="sr-Latn-ME"/>
        </w:rPr>
      </w:pPr>
    </w:p>
    <w:p w14:paraId="486D0A21" w14:textId="77777777" w:rsidR="00F8570A" w:rsidRPr="00FF1314" w:rsidRDefault="0072020E" w:rsidP="00480FB1">
      <w:pPr>
        <w:tabs>
          <w:tab w:val="left" w:pos="540"/>
          <w:tab w:val="left" w:pos="569"/>
        </w:tabs>
        <w:rPr>
          <w:b/>
          <w:bCs/>
          <w:sz w:val="22"/>
          <w:szCs w:val="22"/>
          <w:lang w:val="sr-Latn-ME"/>
        </w:rPr>
      </w:pPr>
      <w:r w:rsidRPr="00FF1314">
        <w:rPr>
          <w:b/>
          <w:bCs/>
          <w:sz w:val="22"/>
          <w:szCs w:val="22"/>
          <w:lang w:val="sr-Latn-ME"/>
        </w:rPr>
        <w:t xml:space="preserve">7. </w:t>
      </w:r>
      <w:r w:rsidR="00480FB1" w:rsidRPr="00FF1314">
        <w:rPr>
          <w:b/>
          <w:bCs/>
          <w:sz w:val="22"/>
          <w:szCs w:val="22"/>
          <w:lang w:val="sr-Latn-ME"/>
        </w:rPr>
        <w:tab/>
      </w:r>
      <w:r w:rsidRPr="00FF1314">
        <w:rPr>
          <w:b/>
          <w:bCs/>
          <w:sz w:val="22"/>
          <w:szCs w:val="22"/>
          <w:lang w:val="sr-Latn-ME"/>
        </w:rPr>
        <w:t>NOSILAC DOZVOLE</w:t>
      </w:r>
      <w:r w:rsidR="00483928" w:rsidRPr="00FF1314">
        <w:rPr>
          <w:b/>
          <w:bCs/>
          <w:sz w:val="22"/>
          <w:szCs w:val="22"/>
          <w:lang w:val="sr-Latn-ME"/>
        </w:rPr>
        <w:t xml:space="preserve"> </w:t>
      </w:r>
    </w:p>
    <w:p w14:paraId="1A2A6177" w14:textId="77777777" w:rsidR="00C61BE0" w:rsidRPr="00FF1314" w:rsidRDefault="00C61BE0" w:rsidP="00480FB1">
      <w:pPr>
        <w:tabs>
          <w:tab w:val="left" w:pos="540"/>
          <w:tab w:val="left" w:pos="569"/>
        </w:tabs>
        <w:rPr>
          <w:bCs/>
          <w:sz w:val="22"/>
          <w:szCs w:val="22"/>
          <w:lang w:val="sr-Latn-ME"/>
        </w:rPr>
      </w:pPr>
    </w:p>
    <w:p w14:paraId="4034FD54" w14:textId="77777777" w:rsidR="00F127E6" w:rsidRDefault="00F127E6" w:rsidP="000B2A5C">
      <w:pPr>
        <w:tabs>
          <w:tab w:val="left" w:pos="540"/>
          <w:tab w:val="left" w:pos="569"/>
        </w:tabs>
        <w:rPr>
          <w:bCs/>
          <w:sz w:val="22"/>
          <w:szCs w:val="22"/>
          <w:lang w:val="sr-Latn-ME"/>
        </w:rPr>
      </w:pPr>
      <w:r w:rsidRPr="00F127E6">
        <w:rPr>
          <w:bCs/>
          <w:sz w:val="22"/>
          <w:szCs w:val="22"/>
          <w:lang w:val="sr-Latn-ME"/>
        </w:rPr>
        <w:t>Glosarij d.o.o., Vojislavljevića 76, 81 000 Podgorica, Crna Gora</w:t>
      </w:r>
    </w:p>
    <w:p w14:paraId="7C6D2AB3" w14:textId="77777777" w:rsidR="00C563C2" w:rsidRPr="00F2102A" w:rsidRDefault="00C563C2" w:rsidP="000B2A5C">
      <w:pPr>
        <w:tabs>
          <w:tab w:val="left" w:pos="540"/>
          <w:tab w:val="left" w:pos="569"/>
        </w:tabs>
        <w:rPr>
          <w:bCs/>
          <w:sz w:val="22"/>
          <w:szCs w:val="22"/>
          <w:lang w:val="sr-Latn-ME"/>
        </w:rPr>
      </w:pPr>
    </w:p>
    <w:p w14:paraId="66E9E506" w14:textId="77777777" w:rsidR="00C37FD7" w:rsidRPr="00FF1314" w:rsidRDefault="00C37FD7" w:rsidP="00480FB1">
      <w:pPr>
        <w:tabs>
          <w:tab w:val="left" w:pos="540"/>
          <w:tab w:val="left" w:pos="569"/>
        </w:tabs>
        <w:rPr>
          <w:bCs/>
          <w:sz w:val="22"/>
          <w:szCs w:val="22"/>
          <w:lang w:val="sr-Latn-ME"/>
        </w:rPr>
      </w:pPr>
    </w:p>
    <w:p w14:paraId="36040C5E" w14:textId="77777777" w:rsidR="0072020E" w:rsidRPr="00FF1314" w:rsidRDefault="0072020E" w:rsidP="00480FB1">
      <w:pPr>
        <w:tabs>
          <w:tab w:val="left" w:pos="540"/>
          <w:tab w:val="left" w:pos="569"/>
        </w:tabs>
        <w:rPr>
          <w:b/>
          <w:bCs/>
          <w:sz w:val="22"/>
          <w:szCs w:val="22"/>
          <w:lang w:val="sr-Latn-ME"/>
        </w:rPr>
      </w:pPr>
      <w:r w:rsidRPr="00FF1314">
        <w:rPr>
          <w:b/>
          <w:bCs/>
          <w:sz w:val="22"/>
          <w:szCs w:val="22"/>
          <w:lang w:val="sr-Latn-ME"/>
        </w:rPr>
        <w:t xml:space="preserve">8. </w:t>
      </w:r>
      <w:r w:rsidR="00480FB1" w:rsidRPr="00FF1314">
        <w:rPr>
          <w:b/>
          <w:bCs/>
          <w:sz w:val="22"/>
          <w:szCs w:val="22"/>
          <w:lang w:val="sr-Latn-ME"/>
        </w:rPr>
        <w:tab/>
      </w:r>
      <w:r w:rsidRPr="00FF1314">
        <w:rPr>
          <w:b/>
          <w:bCs/>
          <w:sz w:val="22"/>
          <w:szCs w:val="22"/>
          <w:lang w:val="sr-Latn-ME"/>
        </w:rPr>
        <w:t>BROJ DOZVOLE</w:t>
      </w:r>
      <w:r w:rsidR="008A6D43" w:rsidRPr="00FF1314">
        <w:rPr>
          <w:b/>
          <w:bCs/>
          <w:sz w:val="22"/>
          <w:szCs w:val="22"/>
          <w:lang w:val="sr-Latn-ME"/>
        </w:rPr>
        <w:t xml:space="preserve"> ZA STAVLJANJE LIJEKA U PROMET</w:t>
      </w:r>
    </w:p>
    <w:p w14:paraId="545B4F49" w14:textId="77777777" w:rsidR="0072020E" w:rsidRPr="00FF1314" w:rsidRDefault="0072020E" w:rsidP="00480FB1">
      <w:pPr>
        <w:tabs>
          <w:tab w:val="left" w:pos="540"/>
          <w:tab w:val="left" w:pos="569"/>
        </w:tabs>
        <w:rPr>
          <w:bCs/>
          <w:sz w:val="22"/>
          <w:szCs w:val="22"/>
          <w:lang w:val="sr-Latn-ME"/>
        </w:rPr>
      </w:pPr>
    </w:p>
    <w:p w14:paraId="52061C09" w14:textId="2AF438C7" w:rsidR="00F127E6" w:rsidRDefault="003271C1" w:rsidP="00480FB1">
      <w:pPr>
        <w:tabs>
          <w:tab w:val="left" w:pos="540"/>
          <w:tab w:val="left" w:pos="569"/>
        </w:tabs>
        <w:rPr>
          <w:bCs/>
          <w:sz w:val="22"/>
          <w:szCs w:val="22"/>
          <w:lang w:val="sr-Latn-ME"/>
        </w:rPr>
      </w:pPr>
      <w:r w:rsidRPr="003271C1">
        <w:rPr>
          <w:bCs/>
          <w:sz w:val="22"/>
          <w:szCs w:val="22"/>
          <w:lang w:val="sr-Latn-ME"/>
        </w:rPr>
        <w:t>2030/24/4888 - 5442</w:t>
      </w:r>
    </w:p>
    <w:p w14:paraId="4DFD74E4" w14:textId="2A9359D0" w:rsidR="00F45F77" w:rsidRPr="00FF1314" w:rsidRDefault="00F45F77" w:rsidP="00480FB1">
      <w:pPr>
        <w:tabs>
          <w:tab w:val="left" w:pos="540"/>
          <w:tab w:val="left" w:pos="569"/>
        </w:tabs>
        <w:rPr>
          <w:bCs/>
          <w:sz w:val="22"/>
          <w:szCs w:val="22"/>
          <w:lang w:val="sr-Latn-ME"/>
        </w:rPr>
      </w:pPr>
    </w:p>
    <w:p w14:paraId="71E95288" w14:textId="77777777" w:rsidR="00484221" w:rsidRPr="00FF1314" w:rsidRDefault="00484221" w:rsidP="00480FB1">
      <w:pPr>
        <w:tabs>
          <w:tab w:val="left" w:pos="540"/>
          <w:tab w:val="left" w:pos="569"/>
        </w:tabs>
        <w:rPr>
          <w:bCs/>
          <w:sz w:val="22"/>
          <w:szCs w:val="22"/>
          <w:lang w:val="sr-Latn-ME"/>
        </w:rPr>
      </w:pPr>
    </w:p>
    <w:p w14:paraId="0F7A32B6" w14:textId="77777777" w:rsidR="0072020E" w:rsidRPr="00FF1314" w:rsidRDefault="0072020E" w:rsidP="00480FB1">
      <w:pPr>
        <w:tabs>
          <w:tab w:val="left" w:pos="540"/>
          <w:tab w:val="left" w:pos="569"/>
        </w:tabs>
        <w:rPr>
          <w:b/>
          <w:bCs/>
          <w:sz w:val="22"/>
          <w:szCs w:val="22"/>
          <w:lang w:val="sr-Latn-ME"/>
        </w:rPr>
      </w:pPr>
      <w:r w:rsidRPr="00FF1314">
        <w:rPr>
          <w:b/>
          <w:bCs/>
          <w:sz w:val="22"/>
          <w:szCs w:val="22"/>
          <w:lang w:val="sr-Latn-ME"/>
        </w:rPr>
        <w:t xml:space="preserve">9. </w:t>
      </w:r>
      <w:r w:rsidR="00480FB1" w:rsidRPr="00FF1314">
        <w:rPr>
          <w:b/>
          <w:bCs/>
          <w:sz w:val="22"/>
          <w:szCs w:val="22"/>
          <w:lang w:val="sr-Latn-ME"/>
        </w:rPr>
        <w:tab/>
      </w:r>
      <w:r w:rsidRPr="00FF1314">
        <w:rPr>
          <w:b/>
          <w:bCs/>
          <w:sz w:val="22"/>
          <w:szCs w:val="22"/>
          <w:lang w:val="sr-Latn-ME"/>
        </w:rPr>
        <w:t xml:space="preserve">DATUM </w:t>
      </w:r>
      <w:r w:rsidR="00C05DF8" w:rsidRPr="00FF1314">
        <w:rPr>
          <w:b/>
          <w:bCs/>
          <w:sz w:val="22"/>
          <w:szCs w:val="22"/>
          <w:lang w:val="sr-Latn-ME"/>
        </w:rPr>
        <w:t xml:space="preserve">PRVE </w:t>
      </w:r>
      <w:r w:rsidR="008A6D43" w:rsidRPr="00FF1314">
        <w:rPr>
          <w:b/>
          <w:bCs/>
          <w:sz w:val="22"/>
          <w:szCs w:val="22"/>
          <w:lang w:val="sr-Latn-ME"/>
        </w:rPr>
        <w:t>DOZVOLE</w:t>
      </w:r>
      <w:r w:rsidR="00C05DF8" w:rsidRPr="00FF1314">
        <w:rPr>
          <w:b/>
          <w:bCs/>
          <w:sz w:val="22"/>
          <w:szCs w:val="22"/>
          <w:lang w:val="sr-Latn-ME"/>
        </w:rPr>
        <w:t>/OBNOVE DOZVOLE</w:t>
      </w:r>
      <w:r w:rsidR="008A6D43" w:rsidRPr="00FF1314">
        <w:rPr>
          <w:b/>
          <w:bCs/>
          <w:sz w:val="22"/>
          <w:szCs w:val="22"/>
          <w:lang w:val="sr-Latn-ME"/>
        </w:rPr>
        <w:t xml:space="preserve"> ZA STAVLJANJE LIJEKA U PROMET</w:t>
      </w:r>
    </w:p>
    <w:p w14:paraId="5DF82876" w14:textId="77777777" w:rsidR="0072020E" w:rsidRPr="00FF1314" w:rsidRDefault="0072020E" w:rsidP="00480FB1">
      <w:pPr>
        <w:tabs>
          <w:tab w:val="left" w:pos="540"/>
          <w:tab w:val="left" w:pos="569"/>
        </w:tabs>
        <w:rPr>
          <w:bCs/>
          <w:sz w:val="22"/>
          <w:szCs w:val="22"/>
          <w:lang w:val="sr-Latn-ME"/>
        </w:rPr>
      </w:pPr>
    </w:p>
    <w:p w14:paraId="7DF45C6E" w14:textId="28994213" w:rsidR="000B2A5C" w:rsidRDefault="00F127E6" w:rsidP="000B2A5C">
      <w:pPr>
        <w:tabs>
          <w:tab w:val="left" w:pos="540"/>
          <w:tab w:val="left" w:pos="569"/>
        </w:tabs>
        <w:jc w:val="both"/>
        <w:rPr>
          <w:bCs/>
          <w:sz w:val="22"/>
          <w:szCs w:val="22"/>
          <w:lang w:val="sr-Latn-ME"/>
        </w:rPr>
      </w:pPr>
      <w:r w:rsidRPr="00F127E6">
        <w:rPr>
          <w:bCs/>
          <w:sz w:val="22"/>
          <w:szCs w:val="22"/>
          <w:lang w:val="sr-Latn-ME"/>
        </w:rPr>
        <w:t xml:space="preserve">Datum prve dozvole: </w:t>
      </w:r>
      <w:r w:rsidR="000B2A5C" w:rsidRPr="00F2102A">
        <w:rPr>
          <w:bCs/>
          <w:sz w:val="22"/>
          <w:szCs w:val="22"/>
          <w:lang w:val="sr-Latn-ME"/>
        </w:rPr>
        <w:t>02.06.2017. godine</w:t>
      </w:r>
    </w:p>
    <w:p w14:paraId="328FA39D" w14:textId="36B27F71" w:rsidR="00F127E6" w:rsidRPr="00F127E6" w:rsidRDefault="00F127E6" w:rsidP="000B2A5C">
      <w:pPr>
        <w:tabs>
          <w:tab w:val="left" w:pos="540"/>
          <w:tab w:val="left" w:pos="569"/>
        </w:tabs>
        <w:jc w:val="both"/>
        <w:rPr>
          <w:bCs/>
          <w:sz w:val="22"/>
          <w:szCs w:val="22"/>
          <w:lang w:val="sr-Latn-ME"/>
        </w:rPr>
      </w:pPr>
      <w:r w:rsidRPr="00F127E6">
        <w:rPr>
          <w:bCs/>
          <w:sz w:val="22"/>
          <w:szCs w:val="22"/>
          <w:lang w:val="sr-Latn-ME"/>
        </w:rPr>
        <w:t>Datum posljednje obnove dozvole:</w:t>
      </w:r>
      <w:r w:rsidR="003271C1" w:rsidRPr="003271C1">
        <w:t xml:space="preserve"> </w:t>
      </w:r>
      <w:r w:rsidR="003271C1" w:rsidRPr="003271C1">
        <w:rPr>
          <w:bCs/>
          <w:sz w:val="22"/>
          <w:szCs w:val="22"/>
          <w:lang w:val="sr-Latn-ME"/>
        </w:rPr>
        <w:t>25.09.2024. godine</w:t>
      </w:r>
    </w:p>
    <w:p w14:paraId="1435277D" w14:textId="7D045074" w:rsidR="00836B35" w:rsidRPr="00FF1314" w:rsidRDefault="00836B35" w:rsidP="00480FB1">
      <w:pPr>
        <w:tabs>
          <w:tab w:val="left" w:pos="540"/>
          <w:tab w:val="left" w:pos="569"/>
        </w:tabs>
        <w:rPr>
          <w:bCs/>
          <w:sz w:val="22"/>
          <w:szCs w:val="22"/>
          <w:lang w:val="sr-Latn-ME"/>
        </w:rPr>
      </w:pPr>
    </w:p>
    <w:p w14:paraId="298F6203" w14:textId="77777777" w:rsidR="00484221" w:rsidRPr="00FF1314" w:rsidRDefault="00484221" w:rsidP="00480FB1">
      <w:pPr>
        <w:tabs>
          <w:tab w:val="left" w:pos="540"/>
          <w:tab w:val="left" w:pos="569"/>
        </w:tabs>
        <w:rPr>
          <w:bCs/>
          <w:sz w:val="22"/>
          <w:szCs w:val="22"/>
          <w:lang w:val="sr-Latn-ME"/>
        </w:rPr>
      </w:pPr>
    </w:p>
    <w:p w14:paraId="56389A1C" w14:textId="02A94312" w:rsidR="003F6A59" w:rsidRDefault="0072020E" w:rsidP="00C05DF8">
      <w:pPr>
        <w:tabs>
          <w:tab w:val="left" w:pos="540"/>
          <w:tab w:val="left" w:pos="569"/>
        </w:tabs>
        <w:ind w:left="540" w:hanging="540"/>
        <w:rPr>
          <w:b/>
          <w:bCs/>
          <w:sz w:val="22"/>
          <w:szCs w:val="22"/>
          <w:lang w:val="sr-Latn-ME"/>
        </w:rPr>
      </w:pPr>
      <w:r w:rsidRPr="00FF1314">
        <w:rPr>
          <w:b/>
          <w:bCs/>
          <w:sz w:val="22"/>
          <w:szCs w:val="22"/>
          <w:lang w:val="sr-Latn-ME"/>
        </w:rPr>
        <w:t xml:space="preserve">10. </w:t>
      </w:r>
      <w:r w:rsidR="00480FB1" w:rsidRPr="00FF1314">
        <w:rPr>
          <w:b/>
          <w:bCs/>
          <w:sz w:val="22"/>
          <w:szCs w:val="22"/>
          <w:lang w:val="sr-Latn-ME"/>
        </w:rPr>
        <w:tab/>
      </w:r>
      <w:r w:rsidR="002846DB" w:rsidRPr="00FF1314">
        <w:rPr>
          <w:b/>
          <w:bCs/>
          <w:sz w:val="22"/>
          <w:szCs w:val="22"/>
          <w:lang w:val="sr-Latn-ME"/>
        </w:rPr>
        <w:t>D</w:t>
      </w:r>
      <w:r w:rsidR="00EC2532" w:rsidRPr="00FF1314">
        <w:rPr>
          <w:b/>
          <w:bCs/>
          <w:sz w:val="22"/>
          <w:szCs w:val="22"/>
          <w:lang w:val="sr-Latn-ME"/>
        </w:rPr>
        <w:t xml:space="preserve">ATUM REVIZIJE TEKSTA </w:t>
      </w:r>
    </w:p>
    <w:p w14:paraId="327EC170" w14:textId="4405F90B" w:rsidR="003271C1" w:rsidRDefault="003271C1" w:rsidP="00C05DF8">
      <w:pPr>
        <w:tabs>
          <w:tab w:val="left" w:pos="540"/>
          <w:tab w:val="left" w:pos="569"/>
        </w:tabs>
        <w:ind w:left="540" w:hanging="540"/>
        <w:rPr>
          <w:b/>
          <w:bCs/>
          <w:sz w:val="22"/>
          <w:szCs w:val="22"/>
          <w:lang w:val="sr-Latn-ME"/>
        </w:rPr>
      </w:pPr>
    </w:p>
    <w:p w14:paraId="342FE1BB" w14:textId="15E1DB05" w:rsidR="003271C1" w:rsidRPr="003271C1" w:rsidRDefault="003271C1" w:rsidP="00C05DF8">
      <w:pPr>
        <w:tabs>
          <w:tab w:val="left" w:pos="540"/>
          <w:tab w:val="left" w:pos="569"/>
        </w:tabs>
        <w:ind w:left="540" w:hanging="540"/>
        <w:rPr>
          <w:bCs/>
          <w:sz w:val="22"/>
          <w:szCs w:val="22"/>
          <w:lang w:val="sr-Latn-ME"/>
        </w:rPr>
      </w:pPr>
      <w:r w:rsidRPr="003271C1">
        <w:rPr>
          <w:bCs/>
          <w:sz w:val="22"/>
          <w:szCs w:val="22"/>
          <w:lang w:val="sr-Latn-ME"/>
        </w:rPr>
        <w:t>Septembar, 2024. godine</w:t>
      </w:r>
    </w:p>
    <w:p w14:paraId="60B4A5F1" w14:textId="0923503A" w:rsidR="003F6A59" w:rsidRPr="00FF1314" w:rsidRDefault="003F6A59" w:rsidP="00DE3F5C">
      <w:pPr>
        <w:rPr>
          <w:sz w:val="22"/>
          <w:szCs w:val="22"/>
          <w:lang w:val="sr-Latn-ME"/>
        </w:rPr>
      </w:pPr>
    </w:p>
    <w:sectPr w:rsidR="003F6A59" w:rsidRPr="00FF1314" w:rsidSect="006B5404">
      <w:footerReference w:type="default" r:id="rId14"/>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F9ED93" w14:textId="77777777" w:rsidR="002D1887" w:rsidRDefault="002D1887">
      <w:r>
        <w:separator/>
      </w:r>
    </w:p>
  </w:endnote>
  <w:endnote w:type="continuationSeparator" w:id="0">
    <w:p w14:paraId="58C954CA" w14:textId="77777777" w:rsidR="002D1887" w:rsidRDefault="002D1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D49499" w14:textId="39E7FA45" w:rsidR="003518BE" w:rsidRPr="00B23F69" w:rsidRDefault="003518BE"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F30B92">
      <w:rPr>
        <w:noProof/>
        <w:sz w:val="22"/>
        <w:szCs w:val="22"/>
      </w:rPr>
      <w:t>26</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F30B92">
      <w:rPr>
        <w:noProof/>
        <w:sz w:val="22"/>
        <w:szCs w:val="22"/>
      </w:rPr>
      <w:t>30</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DC2720" w14:textId="77777777" w:rsidR="002D1887" w:rsidRDefault="002D1887">
      <w:r>
        <w:separator/>
      </w:r>
    </w:p>
  </w:footnote>
  <w:footnote w:type="continuationSeparator" w:id="0">
    <w:p w14:paraId="336F30A4" w14:textId="77777777" w:rsidR="002D1887" w:rsidRDefault="002D18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5.75pt;height:13.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E5F6A23"/>
    <w:multiLevelType w:val="hybridMultilevel"/>
    <w:tmpl w:val="FF68E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A83629"/>
    <w:multiLevelType w:val="hybridMultilevel"/>
    <w:tmpl w:val="1B561530"/>
    <w:lvl w:ilvl="0" w:tplc="80B87A1E">
      <w:start w:val="1"/>
      <w:numFmt w:val="bullet"/>
      <w:lvlText w:val="•"/>
      <w:lvlJc w:val="left"/>
      <w:pPr>
        <w:tabs>
          <w:tab w:val="num" w:pos="360"/>
        </w:tabs>
        <w:ind w:left="36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0"/>
  </w:num>
  <w:num w:numId="4">
    <w:abstractNumId w:val="10"/>
  </w:num>
  <w:num w:numId="5">
    <w:abstractNumId w:val="5"/>
  </w:num>
  <w:num w:numId="6">
    <w:abstractNumId w:val="1"/>
  </w:num>
  <w:num w:numId="7">
    <w:abstractNumId w:val="9"/>
  </w:num>
  <w:num w:numId="8">
    <w:abstractNumId w:val="4"/>
  </w:num>
  <w:num w:numId="9">
    <w:abstractNumId w:val="8"/>
  </w:num>
  <w:num w:numId="10">
    <w:abstractNumId w:val="12"/>
  </w:num>
  <w:num w:numId="11">
    <w:abstractNumId w:val="6"/>
  </w:num>
  <w:num w:numId="12">
    <w:abstractNumId w:val="7"/>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3315D"/>
    <w:rsid w:val="00036FA0"/>
    <w:rsid w:val="0003793F"/>
    <w:rsid w:val="00057E35"/>
    <w:rsid w:val="00076726"/>
    <w:rsid w:val="00080303"/>
    <w:rsid w:val="000A3F58"/>
    <w:rsid w:val="000B2A5C"/>
    <w:rsid w:val="000C218C"/>
    <w:rsid w:val="000D2343"/>
    <w:rsid w:val="000D3449"/>
    <w:rsid w:val="000D425A"/>
    <w:rsid w:val="000D60CC"/>
    <w:rsid w:val="000E2084"/>
    <w:rsid w:val="000E6F55"/>
    <w:rsid w:val="000F77FA"/>
    <w:rsid w:val="00107BF7"/>
    <w:rsid w:val="00126F53"/>
    <w:rsid w:val="001348E1"/>
    <w:rsid w:val="00147519"/>
    <w:rsid w:val="0014766D"/>
    <w:rsid w:val="001534C5"/>
    <w:rsid w:val="001536CC"/>
    <w:rsid w:val="001A3FBA"/>
    <w:rsid w:val="001A5518"/>
    <w:rsid w:val="001B1C6A"/>
    <w:rsid w:val="001C1263"/>
    <w:rsid w:val="001C1417"/>
    <w:rsid w:val="001C3AEE"/>
    <w:rsid w:val="001E390B"/>
    <w:rsid w:val="001F42FB"/>
    <w:rsid w:val="001F719A"/>
    <w:rsid w:val="002031B3"/>
    <w:rsid w:val="00215931"/>
    <w:rsid w:val="00217FAF"/>
    <w:rsid w:val="00224C91"/>
    <w:rsid w:val="00227BDB"/>
    <w:rsid w:val="00234CB1"/>
    <w:rsid w:val="002352F8"/>
    <w:rsid w:val="002510A5"/>
    <w:rsid w:val="00254A0A"/>
    <w:rsid w:val="00266046"/>
    <w:rsid w:val="002846DB"/>
    <w:rsid w:val="00284CCD"/>
    <w:rsid w:val="002C6637"/>
    <w:rsid w:val="002D1887"/>
    <w:rsid w:val="002D1DE8"/>
    <w:rsid w:val="002D6C9C"/>
    <w:rsid w:val="002E0135"/>
    <w:rsid w:val="002E37A5"/>
    <w:rsid w:val="003107A5"/>
    <w:rsid w:val="00310F03"/>
    <w:rsid w:val="00313A2C"/>
    <w:rsid w:val="003247D2"/>
    <w:rsid w:val="003271C1"/>
    <w:rsid w:val="003445C1"/>
    <w:rsid w:val="003518BE"/>
    <w:rsid w:val="00355B61"/>
    <w:rsid w:val="00362686"/>
    <w:rsid w:val="00371510"/>
    <w:rsid w:val="00392194"/>
    <w:rsid w:val="00396DFD"/>
    <w:rsid w:val="003A7059"/>
    <w:rsid w:val="003B7A36"/>
    <w:rsid w:val="003C17AB"/>
    <w:rsid w:val="003C7823"/>
    <w:rsid w:val="003E1DCC"/>
    <w:rsid w:val="003F11A1"/>
    <w:rsid w:val="003F6A59"/>
    <w:rsid w:val="004065C8"/>
    <w:rsid w:val="004109FA"/>
    <w:rsid w:val="00411B4B"/>
    <w:rsid w:val="00415BEE"/>
    <w:rsid w:val="00427F85"/>
    <w:rsid w:val="004307DD"/>
    <w:rsid w:val="00436F42"/>
    <w:rsid w:val="004378B4"/>
    <w:rsid w:val="004479C7"/>
    <w:rsid w:val="00451314"/>
    <w:rsid w:val="00452E9D"/>
    <w:rsid w:val="004534C7"/>
    <w:rsid w:val="0046018A"/>
    <w:rsid w:val="004671AA"/>
    <w:rsid w:val="00480FB1"/>
    <w:rsid w:val="00483928"/>
    <w:rsid w:val="00484221"/>
    <w:rsid w:val="004C331F"/>
    <w:rsid w:val="004D6103"/>
    <w:rsid w:val="004E3BCE"/>
    <w:rsid w:val="004E70AD"/>
    <w:rsid w:val="004F0E97"/>
    <w:rsid w:val="00501DD1"/>
    <w:rsid w:val="00515C21"/>
    <w:rsid w:val="00517ED8"/>
    <w:rsid w:val="00527AA5"/>
    <w:rsid w:val="00530BD7"/>
    <w:rsid w:val="00545CD2"/>
    <w:rsid w:val="005476F3"/>
    <w:rsid w:val="00572527"/>
    <w:rsid w:val="00573E40"/>
    <w:rsid w:val="00576348"/>
    <w:rsid w:val="005A0B2E"/>
    <w:rsid w:val="005A23D2"/>
    <w:rsid w:val="005A36CB"/>
    <w:rsid w:val="005A75CD"/>
    <w:rsid w:val="005B49B8"/>
    <w:rsid w:val="005C0741"/>
    <w:rsid w:val="005C5EF4"/>
    <w:rsid w:val="005E2E0B"/>
    <w:rsid w:val="005E63F1"/>
    <w:rsid w:val="005E7A7D"/>
    <w:rsid w:val="00602457"/>
    <w:rsid w:val="00644FC3"/>
    <w:rsid w:val="00646BD1"/>
    <w:rsid w:val="006561C2"/>
    <w:rsid w:val="00671CB3"/>
    <w:rsid w:val="00674BAF"/>
    <w:rsid w:val="006818D6"/>
    <w:rsid w:val="00682200"/>
    <w:rsid w:val="00682768"/>
    <w:rsid w:val="00692BF6"/>
    <w:rsid w:val="006A1497"/>
    <w:rsid w:val="006B0BD1"/>
    <w:rsid w:val="006B5404"/>
    <w:rsid w:val="006C383F"/>
    <w:rsid w:val="006D20A5"/>
    <w:rsid w:val="006D37BF"/>
    <w:rsid w:val="00702E22"/>
    <w:rsid w:val="0072020E"/>
    <w:rsid w:val="00786071"/>
    <w:rsid w:val="007A3ECB"/>
    <w:rsid w:val="007C2FF4"/>
    <w:rsid w:val="007D7BB3"/>
    <w:rsid w:val="00824AB9"/>
    <w:rsid w:val="00825402"/>
    <w:rsid w:val="00836B35"/>
    <w:rsid w:val="00843BDE"/>
    <w:rsid w:val="00873496"/>
    <w:rsid w:val="0087588C"/>
    <w:rsid w:val="00883D50"/>
    <w:rsid w:val="00892383"/>
    <w:rsid w:val="0089705C"/>
    <w:rsid w:val="008A6D43"/>
    <w:rsid w:val="008B491E"/>
    <w:rsid w:val="008B64BA"/>
    <w:rsid w:val="008C1A28"/>
    <w:rsid w:val="008C2E98"/>
    <w:rsid w:val="008E49BD"/>
    <w:rsid w:val="008E53E9"/>
    <w:rsid w:val="008E5771"/>
    <w:rsid w:val="008F4ACF"/>
    <w:rsid w:val="00924166"/>
    <w:rsid w:val="00940B9B"/>
    <w:rsid w:val="00941596"/>
    <w:rsid w:val="0095676E"/>
    <w:rsid w:val="00956983"/>
    <w:rsid w:val="00956B18"/>
    <w:rsid w:val="00963CF0"/>
    <w:rsid w:val="00964BB1"/>
    <w:rsid w:val="009775D9"/>
    <w:rsid w:val="00997175"/>
    <w:rsid w:val="009A1847"/>
    <w:rsid w:val="009B062A"/>
    <w:rsid w:val="009E0305"/>
    <w:rsid w:val="009E7C6F"/>
    <w:rsid w:val="009F1793"/>
    <w:rsid w:val="009F2D23"/>
    <w:rsid w:val="00A01D69"/>
    <w:rsid w:val="00A02335"/>
    <w:rsid w:val="00A06D4D"/>
    <w:rsid w:val="00A434EC"/>
    <w:rsid w:val="00A46C9A"/>
    <w:rsid w:val="00A619F3"/>
    <w:rsid w:val="00A62A73"/>
    <w:rsid w:val="00A67A74"/>
    <w:rsid w:val="00A87FF6"/>
    <w:rsid w:val="00A94E93"/>
    <w:rsid w:val="00AA0A3B"/>
    <w:rsid w:val="00AA2763"/>
    <w:rsid w:val="00AA33B6"/>
    <w:rsid w:val="00AB50CA"/>
    <w:rsid w:val="00AB6D64"/>
    <w:rsid w:val="00AC53CE"/>
    <w:rsid w:val="00AD2193"/>
    <w:rsid w:val="00AE1C98"/>
    <w:rsid w:val="00AF2AC7"/>
    <w:rsid w:val="00AF74CE"/>
    <w:rsid w:val="00B208DB"/>
    <w:rsid w:val="00B23F69"/>
    <w:rsid w:val="00B30351"/>
    <w:rsid w:val="00B60619"/>
    <w:rsid w:val="00B66A70"/>
    <w:rsid w:val="00B67366"/>
    <w:rsid w:val="00B80EE1"/>
    <w:rsid w:val="00B84135"/>
    <w:rsid w:val="00BC1FCA"/>
    <w:rsid w:val="00BD1596"/>
    <w:rsid w:val="00C04D34"/>
    <w:rsid w:val="00C05DF8"/>
    <w:rsid w:val="00C06864"/>
    <w:rsid w:val="00C10F54"/>
    <w:rsid w:val="00C15FC1"/>
    <w:rsid w:val="00C23D8D"/>
    <w:rsid w:val="00C37AA3"/>
    <w:rsid w:val="00C37FD7"/>
    <w:rsid w:val="00C43419"/>
    <w:rsid w:val="00C44CF3"/>
    <w:rsid w:val="00C563C2"/>
    <w:rsid w:val="00C61BE0"/>
    <w:rsid w:val="00C6707E"/>
    <w:rsid w:val="00C70B0E"/>
    <w:rsid w:val="00C773CA"/>
    <w:rsid w:val="00C83785"/>
    <w:rsid w:val="00C93A4E"/>
    <w:rsid w:val="00C94C0D"/>
    <w:rsid w:val="00CA1FEB"/>
    <w:rsid w:val="00CD4F85"/>
    <w:rsid w:val="00CD6F02"/>
    <w:rsid w:val="00CE246D"/>
    <w:rsid w:val="00CF07A0"/>
    <w:rsid w:val="00CF3E03"/>
    <w:rsid w:val="00D0082A"/>
    <w:rsid w:val="00D21455"/>
    <w:rsid w:val="00D47634"/>
    <w:rsid w:val="00D6411D"/>
    <w:rsid w:val="00D709B3"/>
    <w:rsid w:val="00D75363"/>
    <w:rsid w:val="00DA2ED6"/>
    <w:rsid w:val="00DA562C"/>
    <w:rsid w:val="00DB76B8"/>
    <w:rsid w:val="00DC2EA1"/>
    <w:rsid w:val="00DD6AAF"/>
    <w:rsid w:val="00DE3F5C"/>
    <w:rsid w:val="00DF1D20"/>
    <w:rsid w:val="00E21324"/>
    <w:rsid w:val="00E246B9"/>
    <w:rsid w:val="00E31FEA"/>
    <w:rsid w:val="00E45169"/>
    <w:rsid w:val="00E47787"/>
    <w:rsid w:val="00E51C30"/>
    <w:rsid w:val="00E64180"/>
    <w:rsid w:val="00E74AEE"/>
    <w:rsid w:val="00E868E5"/>
    <w:rsid w:val="00E9237A"/>
    <w:rsid w:val="00E939FA"/>
    <w:rsid w:val="00EA5765"/>
    <w:rsid w:val="00EC2532"/>
    <w:rsid w:val="00ED7812"/>
    <w:rsid w:val="00EF3B86"/>
    <w:rsid w:val="00F127E6"/>
    <w:rsid w:val="00F2102A"/>
    <w:rsid w:val="00F30B92"/>
    <w:rsid w:val="00F317E9"/>
    <w:rsid w:val="00F34554"/>
    <w:rsid w:val="00F42F66"/>
    <w:rsid w:val="00F45F77"/>
    <w:rsid w:val="00F5167F"/>
    <w:rsid w:val="00F52258"/>
    <w:rsid w:val="00F8570A"/>
    <w:rsid w:val="00F91C7B"/>
    <w:rsid w:val="00FF1314"/>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C09308"/>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rsid w:val="005A0B2E"/>
    <w:rPr>
      <w:sz w:val="16"/>
      <w:szCs w:val="16"/>
    </w:rPr>
  </w:style>
  <w:style w:type="paragraph" w:styleId="CommentText">
    <w:name w:val="annotation text"/>
    <w:basedOn w:val="Normal"/>
    <w:link w:val="CommentTextChar"/>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rsid w:val="008A6D43"/>
    <w:rPr>
      <w:lang w:val="en-US" w:eastAsia="en-US"/>
    </w:rPr>
  </w:style>
  <w:style w:type="character" w:styleId="Hyperlink">
    <w:name w:val="Hyperlink"/>
    <w:basedOn w:val="DefaultParagraphFont"/>
    <w:rsid w:val="004E70AD"/>
    <w:rPr>
      <w:color w:val="0563C1" w:themeColor="hyperlink"/>
      <w:u w:val="single"/>
    </w:rPr>
  </w:style>
  <w:style w:type="paragraph" w:styleId="Revision">
    <w:name w:val="Revision"/>
    <w:hidden/>
    <w:uiPriority w:val="99"/>
    <w:semiHidden/>
    <w:rsid w:val="00873496"/>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rimaryreporting.who-umc.org/M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nezeljenadejstva@cinmed.me" TargetMode="External"/><Relationship Id="rId4" Type="http://schemas.openxmlformats.org/officeDocument/2006/relationships/styles" Target="styles.xml"/><Relationship Id="rId9" Type="http://schemas.openxmlformats.org/officeDocument/2006/relationships/hyperlink" Target="http://www.cinmed.me"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a10f9ac0-5937-4b4f-b459-96aedd9ed2c5" origin="userSelected">
  <element uid="9920fcc9-9f43-4d43-9e3e-b98a219cfd55"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3CF4E-8EA8-4BEC-86AA-6B57514AEA22}">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F6333981-37E5-4961-BF7F-76B93A523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14337</Words>
  <Characters>81724</Characters>
  <Application>Microsoft Office Word</Application>
  <DocSecurity>0</DocSecurity>
  <Lines>681</Lines>
  <Paragraphs>191</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95870</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Olja Borozan</cp:lastModifiedBy>
  <cp:revision>2</cp:revision>
  <dcterms:created xsi:type="dcterms:W3CDTF">2024-09-27T07:05:00Z</dcterms:created>
  <dcterms:modified xsi:type="dcterms:W3CDTF">2024-09-27T07:05:00Z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IndexRef">
    <vt:lpwstr>b89884d7-98c8-47de-8b66-26c991347492</vt:lpwstr>
  </property>
  <property fmtid="{D5CDD505-2E9C-101B-9397-08002B2CF9AE}" pid="4" name="bjSaver">
    <vt:lpwstr>gzWf4sEXl22b75FnNEhodrev1D4SSmqp</vt:lpwstr>
  </property>
  <property fmtid="{D5CDD505-2E9C-101B-9397-08002B2CF9AE}" pid="5" name="bjDocumentLabelXML">
    <vt:lpwstr>&lt;?xml version="1.0" encoding="us-ascii"?&gt;&lt;sisl xmlns:xsi="http://www.w3.org/2001/XMLSchema-instance" xmlns:xsd="http://www.w3.org/2001/XMLSchema" sislVersion="0" policy="a10f9ac0-5937-4b4f-b459-96aedd9ed2c5" origin="userSelected" xmlns="http://www.boldonj</vt:lpwstr>
  </property>
  <property fmtid="{D5CDD505-2E9C-101B-9397-08002B2CF9AE}" pid="6" name="bjDocumentLabelXML-0">
    <vt:lpwstr>ames.com/2008/01/sie/internal/label"&gt;&lt;element uid="9920fcc9-9f43-4d43-9e3e-b98a219cfd55" value="" /&gt;&lt;/sisl&gt;</vt:lpwstr>
  </property>
  <property fmtid="{D5CDD505-2E9C-101B-9397-08002B2CF9AE}" pid="7" name="bjDocumentSecurityLabel">
    <vt:lpwstr>Not Classified</vt:lpwstr>
  </property>
</Properties>
</file>