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70F61" w14:textId="77777777" w:rsidR="001A5518" w:rsidRPr="001D6D86" w:rsidRDefault="001A5518" w:rsidP="001A5518">
      <w:pPr>
        <w:rPr>
          <w:b/>
          <w:bCs/>
          <w:i/>
          <w:iCs/>
          <w:sz w:val="22"/>
          <w:szCs w:val="22"/>
          <w:u w:val="single"/>
          <w:lang w:val="sr-Latn-ME"/>
        </w:rPr>
      </w:pPr>
    </w:p>
    <w:p w14:paraId="7425CD88" w14:textId="77777777" w:rsidR="00F91C7B" w:rsidRPr="001D6D86" w:rsidRDefault="00F91C7B" w:rsidP="001A5518">
      <w:pPr>
        <w:rPr>
          <w:b/>
          <w:bCs/>
          <w:i/>
          <w:iCs/>
          <w:sz w:val="22"/>
          <w:szCs w:val="22"/>
          <w:u w:val="single"/>
          <w:lang w:val="sr-Latn-ME"/>
        </w:rPr>
      </w:pPr>
    </w:p>
    <w:p w14:paraId="694ADDAE" w14:textId="77777777" w:rsidR="002510A5" w:rsidRPr="001D6D86" w:rsidRDefault="002510A5" w:rsidP="002510A5">
      <w:pPr>
        <w:jc w:val="center"/>
        <w:rPr>
          <w:b/>
          <w:bCs/>
          <w:iCs/>
          <w:sz w:val="22"/>
          <w:szCs w:val="22"/>
          <w:u w:val="single"/>
          <w:lang w:val="sr-Latn-ME"/>
        </w:rPr>
      </w:pPr>
      <w:r w:rsidRPr="001D6D86">
        <w:rPr>
          <w:b/>
          <w:bCs/>
          <w:iCs/>
          <w:sz w:val="22"/>
          <w:szCs w:val="22"/>
          <w:u w:val="single"/>
          <w:lang w:val="sr-Latn-ME"/>
        </w:rPr>
        <w:t>SAŽETAK KARAKTERISTIKA LIJEKA</w:t>
      </w:r>
    </w:p>
    <w:p w14:paraId="05ADC9EE" w14:textId="77777777" w:rsidR="003C17AB" w:rsidRPr="001D6D86" w:rsidRDefault="003C17AB" w:rsidP="00F5167F">
      <w:pPr>
        <w:tabs>
          <w:tab w:val="left" w:pos="540"/>
          <w:tab w:val="left" w:pos="569"/>
        </w:tabs>
        <w:rPr>
          <w:noProof/>
          <w:sz w:val="22"/>
          <w:szCs w:val="22"/>
          <w:lang w:val="sr-Latn-ME"/>
        </w:rPr>
      </w:pPr>
    </w:p>
    <w:p w14:paraId="7728725E" w14:textId="77777777" w:rsidR="00C37FD7" w:rsidRPr="001D6D86" w:rsidRDefault="00C37FD7" w:rsidP="00F5167F">
      <w:pPr>
        <w:tabs>
          <w:tab w:val="left" w:pos="540"/>
          <w:tab w:val="left" w:pos="569"/>
        </w:tabs>
        <w:rPr>
          <w:bCs/>
          <w:sz w:val="22"/>
          <w:szCs w:val="22"/>
          <w:lang w:val="sr-Latn-ME"/>
        </w:rPr>
      </w:pPr>
    </w:p>
    <w:p w14:paraId="65B88837" w14:textId="77777777" w:rsidR="00411B4B" w:rsidRPr="001D6D86" w:rsidRDefault="00411B4B" w:rsidP="00F5167F">
      <w:pPr>
        <w:tabs>
          <w:tab w:val="left" w:pos="540"/>
          <w:tab w:val="left" w:pos="569"/>
        </w:tabs>
        <w:rPr>
          <w:b/>
          <w:bCs/>
          <w:sz w:val="22"/>
          <w:szCs w:val="22"/>
          <w:lang w:val="sr-Latn-ME"/>
        </w:rPr>
      </w:pPr>
      <w:r w:rsidRPr="001D6D86">
        <w:rPr>
          <w:b/>
          <w:bCs/>
          <w:sz w:val="22"/>
          <w:szCs w:val="22"/>
          <w:lang w:val="sr-Latn-ME"/>
        </w:rPr>
        <w:t>1.</w:t>
      </w:r>
      <w:r w:rsidR="00F5167F" w:rsidRPr="001D6D86">
        <w:rPr>
          <w:b/>
          <w:bCs/>
          <w:sz w:val="22"/>
          <w:szCs w:val="22"/>
          <w:lang w:val="sr-Latn-ME"/>
        </w:rPr>
        <w:tab/>
      </w:r>
      <w:r w:rsidR="002846DB" w:rsidRPr="001D6D86">
        <w:rPr>
          <w:b/>
          <w:bCs/>
          <w:sz w:val="22"/>
          <w:szCs w:val="22"/>
          <w:lang w:val="sr-Latn-ME"/>
        </w:rPr>
        <w:t xml:space="preserve">NAZIV </w:t>
      </w:r>
      <w:r w:rsidRPr="001D6D86">
        <w:rPr>
          <w:b/>
          <w:bCs/>
          <w:sz w:val="22"/>
          <w:szCs w:val="22"/>
          <w:lang w:val="sr-Latn-ME"/>
        </w:rPr>
        <w:t>LIJEKA</w:t>
      </w:r>
    </w:p>
    <w:p w14:paraId="734EA0C9" w14:textId="77777777" w:rsidR="00EC2532" w:rsidRPr="001D6D86" w:rsidRDefault="00EC2532">
      <w:pPr>
        <w:rPr>
          <w:sz w:val="22"/>
          <w:szCs w:val="22"/>
          <w:lang w:val="sr-Latn-ME"/>
        </w:rPr>
      </w:pPr>
    </w:p>
    <w:p w14:paraId="2282A1CE" w14:textId="624ECB0C" w:rsidR="00030415" w:rsidRPr="001D6D86" w:rsidRDefault="00030415" w:rsidP="00030415">
      <w:pPr>
        <w:rPr>
          <w:sz w:val="22"/>
          <w:szCs w:val="22"/>
          <w:lang w:val="sr-Latn-ME"/>
        </w:rPr>
      </w:pPr>
      <w:r w:rsidRPr="001D6D86">
        <w:rPr>
          <w:sz w:val="22"/>
          <w:szCs w:val="22"/>
          <w:lang w:val="sr-Latn-ME"/>
        </w:rPr>
        <w:t>COUPET</w:t>
      </w:r>
      <w:r w:rsidR="00BB3151" w:rsidRPr="001D6D86">
        <w:rPr>
          <w:sz w:val="22"/>
          <w:szCs w:val="22"/>
          <w:lang w:val="sr-Latn-ME"/>
        </w:rPr>
        <w:t>,</w:t>
      </w:r>
      <w:r w:rsidRPr="001D6D86">
        <w:rPr>
          <w:sz w:val="22"/>
          <w:szCs w:val="22"/>
          <w:lang w:val="sr-Latn-ME"/>
        </w:rPr>
        <w:t xml:space="preserve"> 10 mg, film tablet</w:t>
      </w:r>
      <w:r w:rsidR="00661FC8" w:rsidRPr="001D6D86">
        <w:rPr>
          <w:sz w:val="22"/>
          <w:szCs w:val="22"/>
          <w:lang w:val="sr-Latn-ME"/>
        </w:rPr>
        <w:t>a</w:t>
      </w:r>
      <w:r w:rsidRPr="001D6D86">
        <w:rPr>
          <w:sz w:val="22"/>
          <w:szCs w:val="22"/>
          <w:lang w:val="sr-Latn-ME"/>
        </w:rPr>
        <w:t xml:space="preserve"> </w:t>
      </w:r>
    </w:p>
    <w:p w14:paraId="08861D1A" w14:textId="03D085A5" w:rsidR="00030415" w:rsidRPr="001D6D86" w:rsidRDefault="00030415" w:rsidP="00030415">
      <w:pPr>
        <w:rPr>
          <w:sz w:val="22"/>
          <w:szCs w:val="22"/>
          <w:lang w:val="sr-Latn-ME"/>
        </w:rPr>
      </w:pPr>
      <w:r w:rsidRPr="001D6D86">
        <w:rPr>
          <w:sz w:val="22"/>
          <w:szCs w:val="22"/>
          <w:lang w:val="sr-Latn-ME"/>
        </w:rPr>
        <w:t>COUPET</w:t>
      </w:r>
      <w:r w:rsidR="00BB3151" w:rsidRPr="001D6D86">
        <w:rPr>
          <w:sz w:val="22"/>
          <w:szCs w:val="22"/>
          <w:lang w:val="sr-Latn-ME"/>
        </w:rPr>
        <w:t>,</w:t>
      </w:r>
      <w:r w:rsidRPr="001D6D86">
        <w:rPr>
          <w:sz w:val="22"/>
          <w:szCs w:val="22"/>
          <w:lang w:val="sr-Latn-ME"/>
        </w:rPr>
        <w:t xml:space="preserve"> 20 mg, film tablet</w:t>
      </w:r>
      <w:r w:rsidR="00661FC8" w:rsidRPr="001D6D86">
        <w:rPr>
          <w:sz w:val="22"/>
          <w:szCs w:val="22"/>
          <w:lang w:val="sr-Latn-ME"/>
        </w:rPr>
        <w:t>a</w:t>
      </w:r>
    </w:p>
    <w:p w14:paraId="4CDF40ED" w14:textId="77777777" w:rsidR="00030415" w:rsidRPr="001D6D86" w:rsidRDefault="00030415">
      <w:pPr>
        <w:rPr>
          <w:bCs/>
          <w:sz w:val="22"/>
          <w:szCs w:val="22"/>
          <w:lang w:val="sr-Latn-ME"/>
        </w:rPr>
      </w:pPr>
    </w:p>
    <w:p w14:paraId="47D763A9" w14:textId="756E4ED8" w:rsidR="006D20A5" w:rsidRPr="001D6D86" w:rsidRDefault="006D20A5" w:rsidP="006D20A5">
      <w:pPr>
        <w:rPr>
          <w:sz w:val="22"/>
          <w:szCs w:val="22"/>
          <w:lang w:val="sr-Latn-ME"/>
        </w:rPr>
      </w:pPr>
      <w:r w:rsidRPr="001D6D86">
        <w:rPr>
          <w:sz w:val="22"/>
          <w:szCs w:val="22"/>
          <w:lang w:val="sr-Latn-ME"/>
        </w:rPr>
        <w:t>INN:</w:t>
      </w:r>
      <w:r w:rsidR="00030415" w:rsidRPr="001D6D86">
        <w:rPr>
          <w:rFonts w:eastAsiaTheme="minorHAnsi"/>
          <w:sz w:val="22"/>
          <w:szCs w:val="22"/>
          <w:lang w:val="sr-Latn-ME"/>
        </w:rPr>
        <w:t xml:space="preserve"> </w:t>
      </w:r>
      <w:r w:rsidR="00030415" w:rsidRPr="001D6D86">
        <w:rPr>
          <w:sz w:val="22"/>
          <w:szCs w:val="22"/>
          <w:lang w:val="sr-Latn-ME"/>
        </w:rPr>
        <w:t>rosuvastatin</w:t>
      </w:r>
    </w:p>
    <w:p w14:paraId="6BFE21A8" w14:textId="4D5ADAB1" w:rsidR="00530BD7" w:rsidRPr="001D6D86" w:rsidRDefault="00530BD7">
      <w:pPr>
        <w:rPr>
          <w:bCs/>
          <w:sz w:val="22"/>
          <w:szCs w:val="22"/>
          <w:lang w:val="sr-Latn-ME"/>
        </w:rPr>
      </w:pPr>
    </w:p>
    <w:p w14:paraId="31848C5F" w14:textId="77777777" w:rsidR="00661FC8" w:rsidRPr="001D6D86" w:rsidRDefault="00661FC8">
      <w:pPr>
        <w:rPr>
          <w:bCs/>
          <w:sz w:val="22"/>
          <w:szCs w:val="22"/>
          <w:lang w:val="sr-Latn-ME"/>
        </w:rPr>
      </w:pPr>
    </w:p>
    <w:p w14:paraId="0F5E1675" w14:textId="77777777" w:rsidR="00411B4B" w:rsidRPr="001D6D86" w:rsidRDefault="00411B4B" w:rsidP="00F5167F">
      <w:pPr>
        <w:tabs>
          <w:tab w:val="left" w:pos="540"/>
          <w:tab w:val="left" w:pos="569"/>
        </w:tabs>
        <w:rPr>
          <w:b/>
          <w:bCs/>
          <w:sz w:val="22"/>
          <w:szCs w:val="22"/>
          <w:lang w:val="sr-Latn-ME"/>
        </w:rPr>
      </w:pPr>
      <w:r w:rsidRPr="001D6D86">
        <w:rPr>
          <w:b/>
          <w:bCs/>
          <w:sz w:val="22"/>
          <w:szCs w:val="22"/>
          <w:lang w:val="sr-Latn-ME"/>
        </w:rPr>
        <w:t xml:space="preserve">2. </w:t>
      </w:r>
      <w:r w:rsidR="00F5167F" w:rsidRPr="001D6D86">
        <w:rPr>
          <w:b/>
          <w:bCs/>
          <w:sz w:val="22"/>
          <w:szCs w:val="22"/>
          <w:lang w:val="sr-Latn-ME"/>
        </w:rPr>
        <w:tab/>
      </w:r>
      <w:r w:rsidRPr="001D6D86">
        <w:rPr>
          <w:b/>
          <w:bCs/>
          <w:sz w:val="22"/>
          <w:szCs w:val="22"/>
          <w:lang w:val="sr-Latn-ME"/>
        </w:rPr>
        <w:t>KVALITATIVNI I KVANTITATIVNI SASTAV</w:t>
      </w:r>
    </w:p>
    <w:p w14:paraId="279033B0" w14:textId="77777777" w:rsidR="005A0B2E" w:rsidRPr="001D6D86" w:rsidRDefault="005A0B2E">
      <w:pPr>
        <w:rPr>
          <w:sz w:val="22"/>
          <w:szCs w:val="22"/>
          <w:lang w:val="sr-Latn-ME"/>
        </w:rPr>
      </w:pPr>
    </w:p>
    <w:p w14:paraId="50B988B9" w14:textId="71A3CF33" w:rsidR="00030415" w:rsidRPr="001D6D86" w:rsidRDefault="00030415" w:rsidP="00030415">
      <w:pPr>
        <w:rPr>
          <w:sz w:val="22"/>
          <w:szCs w:val="22"/>
          <w:lang w:val="sr-Latn-ME"/>
        </w:rPr>
      </w:pPr>
      <w:r w:rsidRPr="001D6D86">
        <w:rPr>
          <w:i/>
          <w:sz w:val="22"/>
          <w:szCs w:val="22"/>
          <w:lang w:val="sr-Latn-ME"/>
        </w:rPr>
        <w:t>COUPET, 10 mg, film tablet</w:t>
      </w:r>
      <w:r w:rsidR="00661FC8" w:rsidRPr="001D6D86">
        <w:rPr>
          <w:i/>
          <w:sz w:val="22"/>
          <w:szCs w:val="22"/>
          <w:lang w:val="sr-Latn-ME"/>
        </w:rPr>
        <w:t>a</w:t>
      </w:r>
    </w:p>
    <w:p w14:paraId="187E24BF" w14:textId="3450C393" w:rsidR="00030415" w:rsidRPr="001D6D86" w:rsidRDefault="00030415" w:rsidP="00030415">
      <w:pPr>
        <w:rPr>
          <w:sz w:val="22"/>
          <w:szCs w:val="22"/>
          <w:lang w:val="sr-Latn-ME"/>
        </w:rPr>
      </w:pPr>
      <w:r w:rsidRPr="001D6D86">
        <w:rPr>
          <w:sz w:val="22"/>
          <w:szCs w:val="22"/>
          <w:lang w:val="sr-Latn-ME"/>
        </w:rPr>
        <w:t>Jedna film tableta sadrži 10 mg rosuvastatina, u obliku rosuvastatin</w:t>
      </w:r>
      <w:r w:rsidR="00661FC8" w:rsidRPr="001D6D86">
        <w:rPr>
          <w:sz w:val="22"/>
          <w:szCs w:val="22"/>
          <w:lang w:val="sr-Latn-ME"/>
        </w:rPr>
        <w:t xml:space="preserve"> </w:t>
      </w:r>
      <w:r w:rsidRPr="001D6D86">
        <w:rPr>
          <w:sz w:val="22"/>
          <w:szCs w:val="22"/>
          <w:lang w:val="sr-Latn-ME"/>
        </w:rPr>
        <w:t>kalcijuma.</w:t>
      </w:r>
    </w:p>
    <w:p w14:paraId="78BEFEA4" w14:textId="5748A210" w:rsidR="00030415" w:rsidRPr="001D6D86" w:rsidRDefault="00030415" w:rsidP="00030415">
      <w:pPr>
        <w:rPr>
          <w:sz w:val="22"/>
          <w:szCs w:val="22"/>
          <w:lang w:val="sr-Latn-ME"/>
        </w:rPr>
      </w:pPr>
      <w:r w:rsidRPr="001D6D86">
        <w:rPr>
          <w:sz w:val="22"/>
          <w:szCs w:val="22"/>
          <w:u w:val="single"/>
          <w:lang w:val="sr-Latn-ME"/>
        </w:rPr>
        <w:t>Pomoćna supstanca sa potvrđenim dejstvom:</w:t>
      </w:r>
    </w:p>
    <w:p w14:paraId="523BC6D3" w14:textId="77777777" w:rsidR="00030415" w:rsidRPr="001D6D86" w:rsidRDefault="00030415" w:rsidP="00030415">
      <w:pPr>
        <w:rPr>
          <w:sz w:val="22"/>
          <w:szCs w:val="22"/>
          <w:lang w:val="sr-Latn-ME"/>
        </w:rPr>
      </w:pPr>
      <w:r w:rsidRPr="001D6D86">
        <w:rPr>
          <w:sz w:val="22"/>
          <w:szCs w:val="22"/>
          <w:lang w:val="sr-Latn-ME"/>
        </w:rPr>
        <w:t>Jedna film tableta sadrži 52,92 mg laktoze, bezvodne.</w:t>
      </w:r>
    </w:p>
    <w:p w14:paraId="5A476032" w14:textId="77777777" w:rsidR="00030415" w:rsidRPr="001D6D86" w:rsidRDefault="00030415" w:rsidP="00030415">
      <w:pPr>
        <w:rPr>
          <w:sz w:val="22"/>
          <w:szCs w:val="22"/>
          <w:lang w:val="sr-Latn-ME"/>
        </w:rPr>
      </w:pPr>
    </w:p>
    <w:p w14:paraId="7F424C4E" w14:textId="196BB58C" w:rsidR="00030415" w:rsidRPr="001D6D86" w:rsidRDefault="00030415" w:rsidP="00030415">
      <w:pPr>
        <w:rPr>
          <w:sz w:val="22"/>
          <w:szCs w:val="22"/>
          <w:lang w:val="sr-Latn-ME"/>
        </w:rPr>
      </w:pPr>
      <w:r w:rsidRPr="001D6D86">
        <w:rPr>
          <w:i/>
          <w:sz w:val="22"/>
          <w:szCs w:val="22"/>
          <w:lang w:val="sr-Latn-ME"/>
        </w:rPr>
        <w:t>COUPET, 20 mg, film tablet</w:t>
      </w:r>
      <w:r w:rsidR="00661FC8" w:rsidRPr="001D6D86">
        <w:rPr>
          <w:i/>
          <w:sz w:val="22"/>
          <w:szCs w:val="22"/>
          <w:lang w:val="sr-Latn-ME"/>
        </w:rPr>
        <w:t>a</w:t>
      </w:r>
    </w:p>
    <w:p w14:paraId="5487AC1C" w14:textId="542078DA" w:rsidR="00030415" w:rsidRPr="001D6D86" w:rsidRDefault="00030415" w:rsidP="00030415">
      <w:pPr>
        <w:rPr>
          <w:sz w:val="22"/>
          <w:szCs w:val="22"/>
          <w:lang w:val="sr-Latn-ME"/>
        </w:rPr>
      </w:pPr>
      <w:r w:rsidRPr="001D6D86">
        <w:rPr>
          <w:sz w:val="22"/>
          <w:szCs w:val="22"/>
          <w:lang w:val="sr-Latn-ME"/>
        </w:rPr>
        <w:t>Jedna film tableta sadrži 20 mg rosuvastatina, u obliku rosuvastatin</w:t>
      </w:r>
      <w:r w:rsidR="00661FC8" w:rsidRPr="001D6D86">
        <w:rPr>
          <w:sz w:val="22"/>
          <w:szCs w:val="22"/>
          <w:lang w:val="sr-Latn-ME"/>
        </w:rPr>
        <w:t xml:space="preserve"> </w:t>
      </w:r>
      <w:r w:rsidRPr="001D6D86">
        <w:rPr>
          <w:sz w:val="22"/>
          <w:szCs w:val="22"/>
          <w:lang w:val="sr-Latn-ME"/>
        </w:rPr>
        <w:t>kalcijuma.</w:t>
      </w:r>
    </w:p>
    <w:p w14:paraId="2D764CFD" w14:textId="3A547134" w:rsidR="00030415" w:rsidRPr="001D6D86" w:rsidRDefault="00030415" w:rsidP="00030415">
      <w:pPr>
        <w:rPr>
          <w:sz w:val="22"/>
          <w:szCs w:val="22"/>
          <w:lang w:val="sr-Latn-ME"/>
        </w:rPr>
      </w:pPr>
      <w:r w:rsidRPr="001D6D86">
        <w:rPr>
          <w:sz w:val="22"/>
          <w:szCs w:val="22"/>
          <w:u w:val="single"/>
          <w:lang w:val="sr-Latn-ME"/>
        </w:rPr>
        <w:t>Pomoćna supstanca sa potvrđenim dejstvom:</w:t>
      </w:r>
    </w:p>
    <w:p w14:paraId="5F271BF7" w14:textId="11E48DA5" w:rsidR="00030415" w:rsidRPr="001D6D86" w:rsidRDefault="00030415">
      <w:pPr>
        <w:rPr>
          <w:sz w:val="22"/>
          <w:szCs w:val="22"/>
          <w:lang w:val="sr-Latn-ME"/>
        </w:rPr>
      </w:pPr>
      <w:r w:rsidRPr="001D6D86">
        <w:rPr>
          <w:sz w:val="22"/>
          <w:szCs w:val="22"/>
          <w:lang w:val="sr-Latn-ME"/>
        </w:rPr>
        <w:t>Jedna film tableta sadrži 105,84 mg laktoze, bezvodne.</w:t>
      </w:r>
    </w:p>
    <w:p w14:paraId="0343B378" w14:textId="77777777" w:rsidR="00030415" w:rsidRPr="001D6D86" w:rsidRDefault="00030415">
      <w:pPr>
        <w:rPr>
          <w:sz w:val="22"/>
          <w:szCs w:val="22"/>
          <w:lang w:val="sr-Latn-ME"/>
        </w:rPr>
      </w:pPr>
    </w:p>
    <w:p w14:paraId="621BAEB8" w14:textId="3DED9983" w:rsidR="0003793F" w:rsidRPr="001D6D86" w:rsidRDefault="0003793F">
      <w:pPr>
        <w:rPr>
          <w:sz w:val="22"/>
          <w:szCs w:val="22"/>
          <w:lang w:val="sr-Latn-ME"/>
        </w:rPr>
      </w:pPr>
      <w:r w:rsidRPr="001D6D86">
        <w:rPr>
          <w:sz w:val="22"/>
          <w:szCs w:val="22"/>
          <w:lang w:val="sr-Latn-ME"/>
        </w:rPr>
        <w:t>Za spisak svih ekscipijenasa, pogledati dio 6.1.</w:t>
      </w:r>
    </w:p>
    <w:p w14:paraId="42212478" w14:textId="713DFDC3" w:rsidR="00C37FD7" w:rsidRPr="001D6D86" w:rsidRDefault="00C37FD7">
      <w:pPr>
        <w:rPr>
          <w:sz w:val="22"/>
          <w:szCs w:val="22"/>
          <w:lang w:val="sr-Latn-ME"/>
        </w:rPr>
      </w:pPr>
    </w:p>
    <w:p w14:paraId="723D142D" w14:textId="77777777" w:rsidR="00661FC8" w:rsidRPr="001D6D86" w:rsidRDefault="00661FC8">
      <w:pPr>
        <w:rPr>
          <w:sz w:val="22"/>
          <w:szCs w:val="22"/>
          <w:lang w:val="sr-Latn-ME"/>
        </w:rPr>
      </w:pPr>
    </w:p>
    <w:p w14:paraId="0C80F6A0" w14:textId="77777777" w:rsidR="00411B4B" w:rsidRPr="001D6D86" w:rsidRDefault="00411B4B" w:rsidP="00F5167F">
      <w:pPr>
        <w:tabs>
          <w:tab w:val="left" w:pos="540"/>
          <w:tab w:val="left" w:pos="569"/>
        </w:tabs>
        <w:rPr>
          <w:b/>
          <w:bCs/>
          <w:sz w:val="22"/>
          <w:szCs w:val="22"/>
          <w:lang w:val="sr-Latn-ME"/>
        </w:rPr>
      </w:pPr>
      <w:r w:rsidRPr="001D6D86">
        <w:rPr>
          <w:b/>
          <w:bCs/>
          <w:sz w:val="22"/>
          <w:szCs w:val="22"/>
          <w:lang w:val="sr-Latn-ME"/>
        </w:rPr>
        <w:t xml:space="preserve">3. </w:t>
      </w:r>
      <w:r w:rsidR="00F5167F" w:rsidRPr="001D6D86">
        <w:rPr>
          <w:b/>
          <w:bCs/>
          <w:sz w:val="22"/>
          <w:szCs w:val="22"/>
          <w:lang w:val="sr-Latn-ME"/>
        </w:rPr>
        <w:tab/>
      </w:r>
      <w:r w:rsidRPr="001D6D86">
        <w:rPr>
          <w:b/>
          <w:bCs/>
          <w:sz w:val="22"/>
          <w:szCs w:val="22"/>
          <w:lang w:val="sr-Latn-ME"/>
        </w:rPr>
        <w:t>FARMACEUTSKI OBLIK</w:t>
      </w:r>
      <w:r w:rsidR="009F2D23" w:rsidRPr="001D6D86">
        <w:rPr>
          <w:b/>
          <w:bCs/>
          <w:sz w:val="22"/>
          <w:szCs w:val="22"/>
          <w:lang w:val="sr-Latn-ME"/>
        </w:rPr>
        <w:t xml:space="preserve"> </w:t>
      </w:r>
    </w:p>
    <w:p w14:paraId="4A82023C" w14:textId="77777777" w:rsidR="00411B4B" w:rsidRPr="001D6D86" w:rsidRDefault="00411B4B">
      <w:pPr>
        <w:rPr>
          <w:bCs/>
          <w:sz w:val="22"/>
          <w:szCs w:val="22"/>
          <w:lang w:val="sr-Latn-ME"/>
        </w:rPr>
      </w:pPr>
    </w:p>
    <w:p w14:paraId="480AE502" w14:textId="77777777" w:rsidR="00030415" w:rsidRPr="001D6D86" w:rsidRDefault="00030415" w:rsidP="00030415">
      <w:pPr>
        <w:rPr>
          <w:bCs/>
          <w:sz w:val="22"/>
          <w:szCs w:val="22"/>
          <w:lang w:val="sr-Latn-ME"/>
        </w:rPr>
      </w:pPr>
      <w:r w:rsidRPr="001D6D86">
        <w:rPr>
          <w:bCs/>
          <w:sz w:val="22"/>
          <w:szCs w:val="22"/>
          <w:lang w:val="sr-Latn-ME"/>
        </w:rPr>
        <w:t>Film tableta.</w:t>
      </w:r>
    </w:p>
    <w:p w14:paraId="65004AE7" w14:textId="77777777" w:rsidR="00030415" w:rsidRPr="001D6D86" w:rsidRDefault="00030415" w:rsidP="00030415">
      <w:pPr>
        <w:rPr>
          <w:bCs/>
          <w:sz w:val="22"/>
          <w:szCs w:val="22"/>
          <w:lang w:val="sr-Latn-ME"/>
        </w:rPr>
      </w:pPr>
    </w:p>
    <w:p w14:paraId="57465D34" w14:textId="77777777" w:rsidR="00030415" w:rsidRPr="001D6D86" w:rsidRDefault="00030415" w:rsidP="00030415">
      <w:pPr>
        <w:rPr>
          <w:bCs/>
          <w:sz w:val="22"/>
          <w:szCs w:val="22"/>
          <w:lang w:val="sr-Latn-ME"/>
        </w:rPr>
      </w:pPr>
      <w:r w:rsidRPr="001D6D86">
        <w:rPr>
          <w:bCs/>
          <w:i/>
          <w:sz w:val="22"/>
          <w:szCs w:val="22"/>
          <w:lang w:val="sr-Latn-ME"/>
        </w:rPr>
        <w:t>COUPET, 10 mg, film tablete</w:t>
      </w:r>
    </w:p>
    <w:p w14:paraId="41727333" w14:textId="171D2B22" w:rsidR="00030415" w:rsidRPr="001D6D86" w:rsidRDefault="00030415" w:rsidP="00030415">
      <w:pPr>
        <w:rPr>
          <w:bCs/>
          <w:sz w:val="22"/>
          <w:szCs w:val="22"/>
          <w:lang w:val="sr-Latn-ME"/>
        </w:rPr>
      </w:pPr>
      <w:r w:rsidRPr="001D6D86">
        <w:rPr>
          <w:bCs/>
          <w:sz w:val="22"/>
          <w:szCs w:val="22"/>
          <w:lang w:val="sr-Latn-ME"/>
        </w:rPr>
        <w:t>Smeđe, okrugle, filmom obložene tablete koje sa jedne strane imaju</w:t>
      </w:r>
      <w:r w:rsidR="007216E1" w:rsidRPr="001D6D86">
        <w:rPr>
          <w:bCs/>
          <w:sz w:val="22"/>
          <w:szCs w:val="22"/>
          <w:lang w:val="sr-Latn-ME"/>
        </w:rPr>
        <w:t xml:space="preserve"> utisnutu</w:t>
      </w:r>
      <w:r w:rsidRPr="001D6D86">
        <w:rPr>
          <w:bCs/>
          <w:sz w:val="22"/>
          <w:szCs w:val="22"/>
          <w:lang w:val="sr-Latn-ME"/>
        </w:rPr>
        <w:t xml:space="preserve"> oznaku „RSV 10”.</w:t>
      </w:r>
    </w:p>
    <w:p w14:paraId="5EBA472A" w14:textId="77777777" w:rsidR="00030415" w:rsidRPr="001D6D86" w:rsidRDefault="00030415" w:rsidP="00030415">
      <w:pPr>
        <w:rPr>
          <w:bCs/>
          <w:sz w:val="22"/>
          <w:szCs w:val="22"/>
          <w:lang w:val="sr-Latn-ME"/>
        </w:rPr>
      </w:pPr>
    </w:p>
    <w:p w14:paraId="2B48F5B8" w14:textId="77777777" w:rsidR="00030415" w:rsidRPr="001D6D86" w:rsidRDefault="00030415" w:rsidP="00030415">
      <w:pPr>
        <w:rPr>
          <w:bCs/>
          <w:sz w:val="22"/>
          <w:szCs w:val="22"/>
          <w:lang w:val="sr-Latn-ME"/>
        </w:rPr>
      </w:pPr>
      <w:r w:rsidRPr="001D6D86">
        <w:rPr>
          <w:bCs/>
          <w:i/>
          <w:sz w:val="22"/>
          <w:szCs w:val="22"/>
          <w:lang w:val="sr-Latn-ME"/>
        </w:rPr>
        <w:t>COUPET, 20 mg, film tablete</w:t>
      </w:r>
    </w:p>
    <w:p w14:paraId="2907570E" w14:textId="7052E86A" w:rsidR="00030415" w:rsidRPr="001D6D86" w:rsidRDefault="00030415" w:rsidP="00030415">
      <w:pPr>
        <w:rPr>
          <w:bCs/>
          <w:sz w:val="22"/>
          <w:szCs w:val="22"/>
          <w:lang w:val="sr-Latn-ME"/>
        </w:rPr>
      </w:pPr>
      <w:r w:rsidRPr="001D6D86">
        <w:rPr>
          <w:bCs/>
          <w:sz w:val="22"/>
          <w:szCs w:val="22"/>
          <w:lang w:val="sr-Latn-ME"/>
        </w:rPr>
        <w:t>Smeđe, okrugle, filmom obložene tablete koje sa jedne strane imaju</w:t>
      </w:r>
      <w:r w:rsidR="007216E1" w:rsidRPr="001D6D86">
        <w:rPr>
          <w:bCs/>
          <w:sz w:val="22"/>
          <w:szCs w:val="22"/>
          <w:lang w:val="sr-Latn-ME"/>
        </w:rPr>
        <w:t xml:space="preserve"> utisnutu</w:t>
      </w:r>
      <w:r w:rsidRPr="001D6D86">
        <w:rPr>
          <w:bCs/>
          <w:sz w:val="22"/>
          <w:szCs w:val="22"/>
          <w:lang w:val="sr-Latn-ME"/>
        </w:rPr>
        <w:t xml:space="preserve"> oznaku „RSV 20”.</w:t>
      </w:r>
    </w:p>
    <w:p w14:paraId="789C94C8" w14:textId="4473A471" w:rsidR="00EC2532" w:rsidRPr="001D6D86" w:rsidRDefault="00EC2532">
      <w:pPr>
        <w:rPr>
          <w:bCs/>
          <w:sz w:val="22"/>
          <w:szCs w:val="22"/>
          <w:lang w:val="sr-Latn-ME"/>
        </w:rPr>
      </w:pPr>
    </w:p>
    <w:p w14:paraId="23784D75" w14:textId="77777777" w:rsidR="00661FC8" w:rsidRPr="001D6D86" w:rsidRDefault="00661FC8">
      <w:pPr>
        <w:rPr>
          <w:bCs/>
          <w:sz w:val="22"/>
          <w:szCs w:val="22"/>
          <w:lang w:val="sr-Latn-ME"/>
        </w:rPr>
      </w:pPr>
    </w:p>
    <w:p w14:paraId="2A04A675" w14:textId="77777777" w:rsidR="00411B4B" w:rsidRPr="001D6D86" w:rsidRDefault="00411B4B" w:rsidP="0026307D">
      <w:pPr>
        <w:tabs>
          <w:tab w:val="left" w:pos="540"/>
          <w:tab w:val="left" w:pos="569"/>
        </w:tabs>
        <w:jc w:val="both"/>
        <w:rPr>
          <w:b/>
          <w:bCs/>
          <w:sz w:val="22"/>
          <w:szCs w:val="22"/>
          <w:lang w:val="sr-Latn-ME"/>
        </w:rPr>
      </w:pPr>
      <w:r w:rsidRPr="001D6D86">
        <w:rPr>
          <w:b/>
          <w:bCs/>
          <w:sz w:val="22"/>
          <w:szCs w:val="22"/>
          <w:lang w:val="sr-Latn-ME"/>
        </w:rPr>
        <w:t xml:space="preserve">4. </w:t>
      </w:r>
      <w:r w:rsidR="00480FB1" w:rsidRPr="001D6D86">
        <w:rPr>
          <w:b/>
          <w:bCs/>
          <w:sz w:val="22"/>
          <w:szCs w:val="22"/>
          <w:lang w:val="sr-Latn-ME"/>
        </w:rPr>
        <w:tab/>
      </w:r>
      <w:r w:rsidRPr="001D6D86">
        <w:rPr>
          <w:b/>
          <w:bCs/>
          <w:sz w:val="22"/>
          <w:szCs w:val="22"/>
          <w:lang w:val="sr-Latn-ME"/>
        </w:rPr>
        <w:t>KLINIČKI PODACI</w:t>
      </w:r>
    </w:p>
    <w:p w14:paraId="0F729C44" w14:textId="77777777" w:rsidR="00CD6F02" w:rsidRPr="001D6D86" w:rsidRDefault="00CD6F02" w:rsidP="0026307D">
      <w:pPr>
        <w:tabs>
          <w:tab w:val="left" w:pos="540"/>
          <w:tab w:val="left" w:pos="569"/>
        </w:tabs>
        <w:jc w:val="both"/>
        <w:rPr>
          <w:bCs/>
          <w:sz w:val="22"/>
          <w:szCs w:val="22"/>
          <w:lang w:val="sr-Latn-ME"/>
        </w:rPr>
      </w:pPr>
    </w:p>
    <w:p w14:paraId="3AE1944D" w14:textId="77777777" w:rsidR="00411B4B" w:rsidRPr="001D6D86" w:rsidRDefault="00411B4B" w:rsidP="0026307D">
      <w:pPr>
        <w:tabs>
          <w:tab w:val="left" w:pos="540"/>
          <w:tab w:val="left" w:pos="569"/>
        </w:tabs>
        <w:jc w:val="both"/>
        <w:rPr>
          <w:b/>
          <w:bCs/>
          <w:sz w:val="22"/>
          <w:szCs w:val="22"/>
          <w:lang w:val="sr-Latn-ME"/>
        </w:rPr>
      </w:pPr>
      <w:r w:rsidRPr="001D6D86">
        <w:rPr>
          <w:b/>
          <w:bCs/>
          <w:sz w:val="22"/>
          <w:szCs w:val="22"/>
          <w:lang w:val="sr-Latn-ME"/>
        </w:rPr>
        <w:t xml:space="preserve">4.1. </w:t>
      </w:r>
      <w:r w:rsidR="00480FB1" w:rsidRPr="001D6D86">
        <w:rPr>
          <w:b/>
          <w:bCs/>
          <w:sz w:val="22"/>
          <w:szCs w:val="22"/>
          <w:lang w:val="sr-Latn-ME"/>
        </w:rPr>
        <w:tab/>
      </w:r>
      <w:r w:rsidRPr="001D6D86">
        <w:rPr>
          <w:b/>
          <w:bCs/>
          <w:sz w:val="22"/>
          <w:szCs w:val="22"/>
          <w:lang w:val="sr-Latn-ME"/>
        </w:rPr>
        <w:t>Terapijske indikacije</w:t>
      </w:r>
    </w:p>
    <w:p w14:paraId="3852EF0B" w14:textId="77777777" w:rsidR="00030415" w:rsidRPr="001D6D86" w:rsidRDefault="00030415" w:rsidP="0026307D">
      <w:pPr>
        <w:tabs>
          <w:tab w:val="left" w:pos="540"/>
          <w:tab w:val="left" w:pos="569"/>
        </w:tabs>
        <w:jc w:val="both"/>
        <w:rPr>
          <w:bCs/>
          <w:sz w:val="22"/>
          <w:szCs w:val="22"/>
          <w:lang w:val="sr-Latn-ME"/>
        </w:rPr>
      </w:pPr>
    </w:p>
    <w:p w14:paraId="3652D593" w14:textId="74B009F5"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L</w:t>
      </w:r>
      <w:r w:rsidR="000F23BD" w:rsidRPr="001D6D86">
        <w:rPr>
          <w:b/>
          <w:bCs/>
          <w:sz w:val="22"/>
          <w:szCs w:val="22"/>
          <w:lang w:val="sr-Latn-ME"/>
        </w:rPr>
        <w:t>ij</w:t>
      </w:r>
      <w:r w:rsidRPr="001D6D86">
        <w:rPr>
          <w:b/>
          <w:bCs/>
          <w:sz w:val="22"/>
          <w:szCs w:val="22"/>
          <w:lang w:val="sr-Latn-ME"/>
        </w:rPr>
        <w:t>ečenje hiperholesterolemije</w:t>
      </w:r>
    </w:p>
    <w:p w14:paraId="59EB7ECD" w14:textId="26ED2DD5"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odraslih, adolescenata i d</w:t>
      </w:r>
      <w:r w:rsidR="000F23BD" w:rsidRPr="001D6D86">
        <w:rPr>
          <w:bCs/>
          <w:sz w:val="22"/>
          <w:szCs w:val="22"/>
          <w:lang w:val="sr-Latn-ME"/>
        </w:rPr>
        <w:t>j</w:t>
      </w:r>
      <w:r w:rsidRPr="001D6D86">
        <w:rPr>
          <w:bCs/>
          <w:sz w:val="22"/>
          <w:szCs w:val="22"/>
          <w:lang w:val="sr-Latn-ME"/>
        </w:rPr>
        <w:t>ece uzrasta od 6 godina i starije sa primarnom hiperholesterolemijom (tip   IIa,</w:t>
      </w:r>
      <w:r w:rsidR="000F23BD" w:rsidRPr="001D6D86">
        <w:rPr>
          <w:bCs/>
          <w:sz w:val="22"/>
          <w:szCs w:val="22"/>
          <w:lang w:val="sr-Latn-ME"/>
        </w:rPr>
        <w:t xml:space="preserve"> </w:t>
      </w:r>
      <w:r w:rsidRPr="001D6D86">
        <w:rPr>
          <w:bCs/>
          <w:sz w:val="22"/>
          <w:szCs w:val="22"/>
          <w:lang w:val="sr-Latn-ME"/>
        </w:rPr>
        <w:t>uključujući porodičnu heterozigotnu hiperholesterolemiju) ili m</w:t>
      </w:r>
      <w:r w:rsidR="000F23BD" w:rsidRPr="001D6D86">
        <w:rPr>
          <w:bCs/>
          <w:sz w:val="22"/>
          <w:szCs w:val="22"/>
          <w:lang w:val="sr-Latn-ME"/>
        </w:rPr>
        <w:t>j</w:t>
      </w:r>
      <w:r w:rsidRPr="001D6D86">
        <w:rPr>
          <w:bCs/>
          <w:sz w:val="22"/>
          <w:szCs w:val="22"/>
          <w:lang w:val="sr-Latn-ME"/>
        </w:rPr>
        <w:t>ešovitom dislipidemijom (tip IIb) kao dodatak dijeti, kada odgovor na dijetu i druge nefarmakološke m</w:t>
      </w:r>
      <w:r w:rsidR="000F23BD" w:rsidRPr="001D6D86">
        <w:rPr>
          <w:bCs/>
          <w:sz w:val="22"/>
          <w:szCs w:val="22"/>
          <w:lang w:val="sr-Latn-ME"/>
        </w:rPr>
        <w:t>j</w:t>
      </w:r>
      <w:r w:rsidRPr="001D6D86">
        <w:rPr>
          <w:bCs/>
          <w:sz w:val="22"/>
          <w:szCs w:val="22"/>
          <w:lang w:val="sr-Latn-ME"/>
        </w:rPr>
        <w:t>ere (npr. fizička aktivnost, smanjenje t</w:t>
      </w:r>
      <w:r w:rsidR="000F23BD" w:rsidRPr="001D6D86">
        <w:rPr>
          <w:bCs/>
          <w:sz w:val="22"/>
          <w:szCs w:val="22"/>
          <w:lang w:val="sr-Latn-ME"/>
        </w:rPr>
        <w:t>j</w:t>
      </w:r>
      <w:r w:rsidRPr="001D6D86">
        <w:rPr>
          <w:bCs/>
          <w:sz w:val="22"/>
          <w:szCs w:val="22"/>
          <w:lang w:val="sr-Latn-ME"/>
        </w:rPr>
        <w:t>elesne mase) ne daju odgovarajuće rezultate.</w:t>
      </w:r>
    </w:p>
    <w:p w14:paraId="6DA69724" w14:textId="77777777" w:rsidR="00030415" w:rsidRPr="001D6D86" w:rsidRDefault="00030415" w:rsidP="0026307D">
      <w:pPr>
        <w:tabs>
          <w:tab w:val="left" w:pos="540"/>
          <w:tab w:val="left" w:pos="569"/>
        </w:tabs>
        <w:jc w:val="both"/>
        <w:rPr>
          <w:bCs/>
          <w:sz w:val="22"/>
          <w:szCs w:val="22"/>
          <w:lang w:val="sr-Latn-ME"/>
        </w:rPr>
      </w:pPr>
    </w:p>
    <w:p w14:paraId="2B012B74" w14:textId="7CC9177C"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odraslih, adolescenata i d</w:t>
      </w:r>
      <w:r w:rsidR="000F23BD" w:rsidRPr="001D6D86">
        <w:rPr>
          <w:bCs/>
          <w:sz w:val="22"/>
          <w:szCs w:val="22"/>
          <w:lang w:val="sr-Latn-ME"/>
        </w:rPr>
        <w:t>j</w:t>
      </w:r>
      <w:r w:rsidRPr="001D6D86">
        <w:rPr>
          <w:bCs/>
          <w:sz w:val="22"/>
          <w:szCs w:val="22"/>
          <w:lang w:val="sr-Latn-ME"/>
        </w:rPr>
        <w:t>ece uzrasta od 6 godina i starije sa homozigotnom porodičnom hiperholesterolemijom, kao dodatak dijeti i drugim terapijama za smanjenje nivoa lipida (npr. LDL afereza) ili ako takve terapije ni</w:t>
      </w:r>
      <w:r w:rsidR="00711079" w:rsidRPr="001D6D86">
        <w:rPr>
          <w:bCs/>
          <w:sz w:val="22"/>
          <w:szCs w:val="22"/>
          <w:lang w:val="sr-Latn-ME"/>
        </w:rPr>
        <w:t>je</w:t>
      </w:r>
      <w:r w:rsidRPr="001D6D86">
        <w:rPr>
          <w:bCs/>
          <w:sz w:val="22"/>
          <w:szCs w:val="22"/>
          <w:lang w:val="sr-Latn-ME"/>
        </w:rPr>
        <w:t>su prim</w:t>
      </w:r>
      <w:r w:rsidR="000F23BD" w:rsidRPr="001D6D86">
        <w:rPr>
          <w:bCs/>
          <w:sz w:val="22"/>
          <w:szCs w:val="22"/>
          <w:lang w:val="sr-Latn-ME"/>
        </w:rPr>
        <w:t>j</w:t>
      </w:r>
      <w:r w:rsidRPr="001D6D86">
        <w:rPr>
          <w:bCs/>
          <w:sz w:val="22"/>
          <w:szCs w:val="22"/>
          <w:lang w:val="sr-Latn-ME"/>
        </w:rPr>
        <w:t>erene.</w:t>
      </w:r>
    </w:p>
    <w:p w14:paraId="66ECBFDB" w14:textId="77777777" w:rsidR="00030415" w:rsidRPr="001D6D86" w:rsidRDefault="00030415" w:rsidP="0026307D">
      <w:pPr>
        <w:tabs>
          <w:tab w:val="left" w:pos="540"/>
          <w:tab w:val="left" w:pos="569"/>
        </w:tabs>
        <w:jc w:val="both"/>
        <w:rPr>
          <w:bCs/>
          <w:sz w:val="22"/>
          <w:szCs w:val="22"/>
          <w:lang w:val="sr-Latn-ME"/>
        </w:rPr>
      </w:pPr>
    </w:p>
    <w:p w14:paraId="23890FAC"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Prevencija kardiovaskularnih događaja</w:t>
      </w:r>
    </w:p>
    <w:p w14:paraId="4E130F53" w14:textId="40886208" w:rsidR="000F23BD" w:rsidRPr="001D6D86" w:rsidRDefault="00030415" w:rsidP="0026307D">
      <w:pPr>
        <w:tabs>
          <w:tab w:val="left" w:pos="540"/>
          <w:tab w:val="left" w:pos="569"/>
        </w:tabs>
        <w:jc w:val="both"/>
        <w:rPr>
          <w:bCs/>
          <w:sz w:val="22"/>
          <w:szCs w:val="22"/>
          <w:lang w:val="sr-Latn-ME"/>
        </w:rPr>
      </w:pPr>
      <w:r w:rsidRPr="001D6D86">
        <w:rPr>
          <w:bCs/>
          <w:sz w:val="22"/>
          <w:szCs w:val="22"/>
          <w:lang w:val="sr-Latn-ME"/>
        </w:rPr>
        <w:t>Prevencija velikih kardiovaskularnih događaja kod pacijenata kod kojih je proc</w:t>
      </w:r>
      <w:r w:rsidR="000F23BD" w:rsidRPr="001D6D86">
        <w:rPr>
          <w:bCs/>
          <w:sz w:val="22"/>
          <w:szCs w:val="22"/>
          <w:lang w:val="sr-Latn-ME"/>
        </w:rPr>
        <w:t>ij</w:t>
      </w:r>
      <w:r w:rsidRPr="001D6D86">
        <w:rPr>
          <w:bCs/>
          <w:sz w:val="22"/>
          <w:szCs w:val="22"/>
          <w:lang w:val="sr-Latn-ME"/>
        </w:rPr>
        <w:t>enjeno da imaju visoki rizik od prvog kardiovaskularnog događaja (</w:t>
      </w:r>
      <w:r w:rsidR="00BD2708" w:rsidRPr="001D6D86">
        <w:rPr>
          <w:bCs/>
          <w:sz w:val="22"/>
          <w:szCs w:val="22"/>
          <w:lang w:val="sr-Latn-ME"/>
        </w:rPr>
        <w:t>vidjeti</w:t>
      </w:r>
      <w:r w:rsidRPr="001D6D86">
        <w:rPr>
          <w:bCs/>
          <w:sz w:val="22"/>
          <w:szCs w:val="22"/>
          <w:lang w:val="sr-Latn-ME"/>
        </w:rPr>
        <w:t xml:space="preserve"> </w:t>
      </w:r>
      <w:r w:rsidR="000F23BD" w:rsidRPr="001D6D86">
        <w:rPr>
          <w:bCs/>
          <w:sz w:val="22"/>
          <w:szCs w:val="22"/>
          <w:lang w:val="sr-Latn-ME"/>
        </w:rPr>
        <w:t>dio</w:t>
      </w:r>
      <w:r w:rsidRPr="001D6D86">
        <w:rPr>
          <w:bCs/>
          <w:sz w:val="22"/>
          <w:szCs w:val="22"/>
          <w:lang w:val="sr-Latn-ME"/>
        </w:rPr>
        <w:t xml:space="preserve"> 5.1), kao dodatak korekciji drugih faktora rizika.</w:t>
      </w:r>
    </w:p>
    <w:p w14:paraId="4713AD7C" w14:textId="77777777" w:rsidR="000F23BD" w:rsidRPr="001D6D86" w:rsidRDefault="000F23BD" w:rsidP="0026307D">
      <w:pPr>
        <w:tabs>
          <w:tab w:val="left" w:pos="540"/>
          <w:tab w:val="left" w:pos="569"/>
        </w:tabs>
        <w:jc w:val="both"/>
        <w:rPr>
          <w:bCs/>
          <w:sz w:val="22"/>
          <w:szCs w:val="22"/>
          <w:lang w:val="sr-Latn-ME"/>
        </w:rPr>
      </w:pPr>
    </w:p>
    <w:p w14:paraId="41D376FA" w14:textId="77777777" w:rsidR="00411B4B" w:rsidRPr="001D6D86" w:rsidRDefault="00411B4B" w:rsidP="0026307D">
      <w:pPr>
        <w:tabs>
          <w:tab w:val="left" w:pos="540"/>
          <w:tab w:val="left" w:pos="569"/>
        </w:tabs>
        <w:jc w:val="both"/>
        <w:rPr>
          <w:b/>
          <w:bCs/>
          <w:sz w:val="22"/>
          <w:szCs w:val="22"/>
          <w:lang w:val="sr-Latn-ME"/>
        </w:rPr>
      </w:pPr>
      <w:r w:rsidRPr="001D6D86">
        <w:rPr>
          <w:b/>
          <w:bCs/>
          <w:sz w:val="22"/>
          <w:szCs w:val="22"/>
          <w:lang w:val="sr-Latn-ME"/>
        </w:rPr>
        <w:lastRenderedPageBreak/>
        <w:t xml:space="preserve">4.2. </w:t>
      </w:r>
      <w:r w:rsidR="00480FB1" w:rsidRPr="001D6D86">
        <w:rPr>
          <w:b/>
          <w:bCs/>
          <w:sz w:val="22"/>
          <w:szCs w:val="22"/>
          <w:lang w:val="sr-Latn-ME"/>
        </w:rPr>
        <w:tab/>
      </w:r>
      <w:r w:rsidRPr="001D6D86">
        <w:rPr>
          <w:b/>
          <w:bCs/>
          <w:sz w:val="22"/>
          <w:szCs w:val="22"/>
          <w:lang w:val="sr-Latn-ME"/>
        </w:rPr>
        <w:t>Doziranje i način primjene</w:t>
      </w:r>
    </w:p>
    <w:p w14:paraId="688837A6" w14:textId="77777777" w:rsidR="0072020E" w:rsidRPr="001D6D86" w:rsidRDefault="0072020E" w:rsidP="0026307D">
      <w:pPr>
        <w:tabs>
          <w:tab w:val="left" w:pos="540"/>
          <w:tab w:val="left" w:pos="569"/>
        </w:tabs>
        <w:jc w:val="both"/>
        <w:rPr>
          <w:bCs/>
          <w:sz w:val="22"/>
          <w:szCs w:val="22"/>
          <w:lang w:val="sr-Latn-ME"/>
        </w:rPr>
      </w:pPr>
    </w:p>
    <w:p w14:paraId="3D157596" w14:textId="395CE1B4" w:rsidR="00711079" w:rsidRPr="001D6D86" w:rsidRDefault="00030415" w:rsidP="0026307D">
      <w:pPr>
        <w:tabs>
          <w:tab w:val="left" w:pos="540"/>
          <w:tab w:val="left" w:pos="569"/>
        </w:tabs>
        <w:jc w:val="both"/>
        <w:rPr>
          <w:bCs/>
          <w:sz w:val="22"/>
          <w:szCs w:val="22"/>
          <w:lang w:val="sr-Latn-ME"/>
        </w:rPr>
      </w:pPr>
      <w:r w:rsidRPr="001D6D86">
        <w:rPr>
          <w:bCs/>
          <w:sz w:val="22"/>
          <w:szCs w:val="22"/>
          <w:lang w:val="sr-Latn-ME"/>
        </w:rPr>
        <w:t>Pr</w:t>
      </w:r>
      <w:r w:rsidR="000F23BD" w:rsidRPr="001D6D86">
        <w:rPr>
          <w:bCs/>
          <w:sz w:val="22"/>
          <w:szCs w:val="22"/>
          <w:lang w:val="sr-Latn-ME"/>
        </w:rPr>
        <w:t>ij</w:t>
      </w:r>
      <w:r w:rsidRPr="001D6D86">
        <w:rPr>
          <w:bCs/>
          <w:sz w:val="22"/>
          <w:szCs w:val="22"/>
          <w:lang w:val="sr-Latn-ME"/>
        </w:rPr>
        <w:t xml:space="preserve">e započinjanja terapije, pacijent treba da se podvrgne standardnoj dijeti za smanjenje nivoa holesterola koja se nastavlja i tokom terapije. </w:t>
      </w:r>
    </w:p>
    <w:p w14:paraId="3B4B80A5" w14:textId="6A279336" w:rsidR="00711079" w:rsidRPr="001D6D86" w:rsidRDefault="00711079" w:rsidP="0026307D">
      <w:pPr>
        <w:tabs>
          <w:tab w:val="left" w:pos="540"/>
          <w:tab w:val="left" w:pos="569"/>
        </w:tabs>
        <w:jc w:val="both"/>
        <w:rPr>
          <w:bCs/>
          <w:sz w:val="22"/>
          <w:szCs w:val="22"/>
          <w:lang w:val="sr-Latn-ME"/>
        </w:rPr>
      </w:pPr>
    </w:p>
    <w:p w14:paraId="457979B2" w14:textId="578BA9B9" w:rsidR="00711079" w:rsidRPr="001D6D86" w:rsidRDefault="00711079" w:rsidP="0026307D">
      <w:pPr>
        <w:tabs>
          <w:tab w:val="left" w:pos="540"/>
          <w:tab w:val="left" w:pos="569"/>
        </w:tabs>
        <w:jc w:val="both"/>
        <w:rPr>
          <w:bCs/>
          <w:sz w:val="22"/>
          <w:szCs w:val="22"/>
          <w:u w:val="single"/>
          <w:lang w:val="sr-Latn-ME"/>
        </w:rPr>
      </w:pPr>
      <w:r w:rsidRPr="001D6D86">
        <w:rPr>
          <w:bCs/>
          <w:sz w:val="22"/>
          <w:szCs w:val="22"/>
          <w:u w:val="single"/>
          <w:lang w:val="sr-Latn-ME"/>
        </w:rPr>
        <w:t>Doziranje</w:t>
      </w:r>
    </w:p>
    <w:p w14:paraId="25A19D14" w14:textId="78FEF152" w:rsidR="00711079" w:rsidRPr="001D6D86" w:rsidRDefault="00711079" w:rsidP="00711079">
      <w:pPr>
        <w:pStyle w:val="Default"/>
        <w:rPr>
          <w:bCs/>
          <w:color w:val="auto"/>
          <w:sz w:val="22"/>
          <w:szCs w:val="22"/>
          <w:lang w:val="sr-Latn-ME" w:eastAsia="en-US"/>
        </w:rPr>
      </w:pPr>
      <w:r w:rsidRPr="001D6D86">
        <w:rPr>
          <w:bCs/>
          <w:color w:val="auto"/>
          <w:sz w:val="22"/>
          <w:szCs w:val="22"/>
          <w:lang w:val="sr-Latn-ME" w:eastAsia="en-US"/>
        </w:rPr>
        <w:t xml:space="preserve">Doze lijeka koje se postižu jačinom od 5 mg nije moguće postići lijekom Coupet u jačinama 10 mg i 20 mg,  jer se radi o filmom obloženoj tableti koju nije moguće dijeliti. </w:t>
      </w:r>
    </w:p>
    <w:p w14:paraId="719E6EC1" w14:textId="7A48543F" w:rsidR="00711079" w:rsidRPr="001D6D86" w:rsidRDefault="00711079" w:rsidP="0026307D">
      <w:pPr>
        <w:tabs>
          <w:tab w:val="left" w:pos="540"/>
          <w:tab w:val="left" w:pos="569"/>
        </w:tabs>
        <w:jc w:val="both"/>
        <w:rPr>
          <w:bCs/>
          <w:sz w:val="22"/>
          <w:szCs w:val="22"/>
          <w:lang w:val="sr-Latn-ME"/>
        </w:rPr>
      </w:pPr>
      <w:r w:rsidRPr="001D6D86">
        <w:rPr>
          <w:bCs/>
          <w:sz w:val="22"/>
          <w:szCs w:val="22"/>
          <w:lang w:val="sr-Latn-ME"/>
        </w:rPr>
        <w:t xml:space="preserve">Dozu lijeka od 5 mg moguće je postići primjenom drugih lijekova koji su dostupni na tržištu i sadrže aktivnu suspstancu rosuvastatin. </w:t>
      </w:r>
    </w:p>
    <w:p w14:paraId="0BFB58E9" w14:textId="4B25A5C5" w:rsidR="00030415" w:rsidRPr="001D6D86" w:rsidRDefault="002F5278" w:rsidP="0026307D">
      <w:pPr>
        <w:tabs>
          <w:tab w:val="left" w:pos="540"/>
          <w:tab w:val="left" w:pos="569"/>
        </w:tabs>
        <w:jc w:val="both"/>
        <w:rPr>
          <w:bCs/>
          <w:sz w:val="22"/>
          <w:szCs w:val="22"/>
          <w:lang w:val="sr-Latn-ME"/>
        </w:rPr>
      </w:pPr>
      <w:r w:rsidRPr="001D6D86">
        <w:rPr>
          <w:bCs/>
          <w:sz w:val="22"/>
          <w:szCs w:val="22"/>
          <w:lang w:val="sr-Latn-ME"/>
        </w:rPr>
        <w:t>D</w:t>
      </w:r>
      <w:r w:rsidR="00030415" w:rsidRPr="001D6D86">
        <w:rPr>
          <w:bCs/>
          <w:sz w:val="22"/>
          <w:szCs w:val="22"/>
          <w:lang w:val="sr-Latn-ME"/>
        </w:rPr>
        <w:t>ozu treba individualno prilagoditi prema ciljevima terapije i odgovoru pacijenta, u skladu sa korišćenjem aktuelnih opšteprihvaćenih sm</w:t>
      </w:r>
      <w:r w:rsidR="000F23BD" w:rsidRPr="001D6D86">
        <w:rPr>
          <w:bCs/>
          <w:sz w:val="22"/>
          <w:szCs w:val="22"/>
          <w:lang w:val="sr-Latn-ME"/>
        </w:rPr>
        <w:t>j</w:t>
      </w:r>
      <w:r w:rsidR="00030415" w:rsidRPr="001D6D86">
        <w:rPr>
          <w:bCs/>
          <w:sz w:val="22"/>
          <w:szCs w:val="22"/>
          <w:lang w:val="sr-Latn-ME"/>
        </w:rPr>
        <w:t>ernicama.</w:t>
      </w:r>
    </w:p>
    <w:p w14:paraId="448EA21C" w14:textId="77777777" w:rsidR="00030415" w:rsidRPr="001D6D86" w:rsidRDefault="00030415" w:rsidP="0026307D">
      <w:pPr>
        <w:tabs>
          <w:tab w:val="left" w:pos="540"/>
          <w:tab w:val="left" w:pos="569"/>
        </w:tabs>
        <w:jc w:val="both"/>
        <w:rPr>
          <w:bCs/>
          <w:sz w:val="22"/>
          <w:szCs w:val="22"/>
          <w:lang w:val="sr-Latn-ME"/>
        </w:rPr>
      </w:pPr>
    </w:p>
    <w:p w14:paraId="2EEDE03E" w14:textId="0BDE7BD1"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L</w:t>
      </w:r>
      <w:r w:rsidR="000F23BD" w:rsidRPr="001D6D86">
        <w:rPr>
          <w:bCs/>
          <w:sz w:val="22"/>
          <w:szCs w:val="22"/>
          <w:lang w:val="sr-Latn-ME"/>
        </w:rPr>
        <w:t>ij</w:t>
      </w:r>
      <w:r w:rsidRPr="001D6D86">
        <w:rPr>
          <w:bCs/>
          <w:sz w:val="22"/>
          <w:szCs w:val="22"/>
          <w:lang w:val="sr-Latn-ME"/>
        </w:rPr>
        <w:t>ek COUPET se može prim</w:t>
      </w:r>
      <w:r w:rsidR="000F23BD" w:rsidRPr="001D6D86">
        <w:rPr>
          <w:bCs/>
          <w:sz w:val="22"/>
          <w:szCs w:val="22"/>
          <w:lang w:val="sr-Latn-ME"/>
        </w:rPr>
        <w:t>j</w:t>
      </w:r>
      <w:r w:rsidRPr="001D6D86">
        <w:rPr>
          <w:bCs/>
          <w:sz w:val="22"/>
          <w:szCs w:val="22"/>
          <w:lang w:val="sr-Latn-ME"/>
        </w:rPr>
        <w:t>enjivati u bilo koje doba dana, bez obzira na obroke.</w:t>
      </w:r>
    </w:p>
    <w:p w14:paraId="76C07CB7" w14:textId="77777777" w:rsidR="00030415" w:rsidRPr="001D6D86" w:rsidRDefault="00030415" w:rsidP="0026307D">
      <w:pPr>
        <w:tabs>
          <w:tab w:val="left" w:pos="540"/>
          <w:tab w:val="left" w:pos="569"/>
        </w:tabs>
        <w:jc w:val="both"/>
        <w:rPr>
          <w:bCs/>
          <w:sz w:val="22"/>
          <w:szCs w:val="22"/>
          <w:lang w:val="sr-Latn-ME"/>
        </w:rPr>
      </w:pPr>
    </w:p>
    <w:p w14:paraId="517D82A6"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Terapija hiperholesterolemije</w:t>
      </w:r>
    </w:p>
    <w:p w14:paraId="5709F20B" w14:textId="1CECE47C"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Preporučena početna doza je jedna film tableta od 5 mg ili 10 mg uzeta oralno, jednom dnevno i kod pacijenata koji ni</w:t>
      </w:r>
      <w:r w:rsidR="0015697D" w:rsidRPr="001D6D86">
        <w:rPr>
          <w:bCs/>
          <w:sz w:val="22"/>
          <w:szCs w:val="22"/>
          <w:lang w:val="sr-Latn-ME"/>
        </w:rPr>
        <w:t>je</w:t>
      </w:r>
      <w:r w:rsidRPr="001D6D86">
        <w:rPr>
          <w:bCs/>
          <w:sz w:val="22"/>
          <w:szCs w:val="22"/>
          <w:lang w:val="sr-Latn-ME"/>
        </w:rPr>
        <w:t>su bili na terapiji statinima i kod pacijenata koji prelaze sa terapije drugim inhibitorma HMG CoA reduktaze. Pri izboru početne doze treba uzeti u obzir individualni nivo holesterola kod pacijenta kao i buduće kardiovaskularne rizike, kao i potencijalni rizik od neželjenih reakcija (vid</w:t>
      </w:r>
      <w:r w:rsidR="000F23BD" w:rsidRPr="001D6D86">
        <w:rPr>
          <w:bCs/>
          <w:sz w:val="22"/>
          <w:szCs w:val="22"/>
          <w:lang w:val="sr-Latn-ME"/>
        </w:rPr>
        <w:t>j</w:t>
      </w:r>
      <w:r w:rsidRPr="001D6D86">
        <w:rPr>
          <w:bCs/>
          <w:sz w:val="22"/>
          <w:szCs w:val="22"/>
          <w:lang w:val="sr-Latn-ME"/>
        </w:rPr>
        <w:t>eti u nastavku). Ukoliko je potrebno, prilagođavanje sl</w:t>
      </w:r>
      <w:r w:rsidR="000F23BD" w:rsidRPr="001D6D86">
        <w:rPr>
          <w:bCs/>
          <w:sz w:val="22"/>
          <w:szCs w:val="22"/>
          <w:lang w:val="sr-Latn-ME"/>
        </w:rPr>
        <w:t>j</w:t>
      </w:r>
      <w:r w:rsidRPr="001D6D86">
        <w:rPr>
          <w:bCs/>
          <w:sz w:val="22"/>
          <w:szCs w:val="22"/>
          <w:lang w:val="sr-Latn-ME"/>
        </w:rPr>
        <w:t>edećoj većoj dozi se može izvršiti nakon 4 ned</w:t>
      </w:r>
      <w:r w:rsidR="000F23BD" w:rsidRPr="001D6D86">
        <w:rPr>
          <w:bCs/>
          <w:sz w:val="22"/>
          <w:szCs w:val="22"/>
          <w:lang w:val="sr-Latn-ME"/>
        </w:rPr>
        <w:t>j</w:t>
      </w:r>
      <w:r w:rsidRPr="001D6D86">
        <w:rPr>
          <w:bCs/>
          <w:sz w:val="22"/>
          <w:szCs w:val="22"/>
          <w:lang w:val="sr-Latn-ME"/>
        </w:rPr>
        <w:t>elje od početne terapije (vid</w:t>
      </w:r>
      <w:r w:rsidR="000F23BD" w:rsidRPr="001D6D86">
        <w:rPr>
          <w:bCs/>
          <w:sz w:val="22"/>
          <w:szCs w:val="22"/>
          <w:lang w:val="sr-Latn-ME"/>
        </w:rPr>
        <w:t>j</w:t>
      </w:r>
      <w:r w:rsidRPr="001D6D86">
        <w:rPr>
          <w:bCs/>
          <w:sz w:val="22"/>
          <w:szCs w:val="22"/>
          <w:lang w:val="sr-Latn-ME"/>
        </w:rPr>
        <w:t xml:space="preserve">eti </w:t>
      </w:r>
      <w:r w:rsidR="000F23BD" w:rsidRPr="001D6D86">
        <w:rPr>
          <w:bCs/>
          <w:sz w:val="22"/>
          <w:szCs w:val="22"/>
          <w:lang w:val="sr-Latn-ME"/>
        </w:rPr>
        <w:t>dio</w:t>
      </w:r>
      <w:r w:rsidRPr="001D6D86">
        <w:rPr>
          <w:bCs/>
          <w:sz w:val="22"/>
          <w:szCs w:val="22"/>
          <w:lang w:val="sr-Latn-ME"/>
        </w:rPr>
        <w:t xml:space="preserve"> 5.1).</w:t>
      </w:r>
    </w:p>
    <w:p w14:paraId="339784BC" w14:textId="77777777" w:rsidR="00030415" w:rsidRPr="001D6D86" w:rsidRDefault="00030415" w:rsidP="0026307D">
      <w:pPr>
        <w:tabs>
          <w:tab w:val="left" w:pos="540"/>
          <w:tab w:val="left" w:pos="569"/>
        </w:tabs>
        <w:jc w:val="both"/>
        <w:rPr>
          <w:bCs/>
          <w:sz w:val="22"/>
          <w:szCs w:val="22"/>
          <w:lang w:val="sr-Latn-ME"/>
        </w:rPr>
      </w:pPr>
    </w:p>
    <w:p w14:paraId="56CBF9FC" w14:textId="478DB31D"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Zbog povećane stope prijavljivanja neželjenih reakcija pri uzimanju doze od 40 mg u poređenju sa ostalim dozama (vid</w:t>
      </w:r>
      <w:r w:rsidR="000F23BD" w:rsidRPr="001D6D86">
        <w:rPr>
          <w:bCs/>
          <w:sz w:val="22"/>
          <w:szCs w:val="22"/>
          <w:lang w:val="sr-Latn-ME"/>
        </w:rPr>
        <w:t>j</w:t>
      </w:r>
      <w:r w:rsidRPr="001D6D86">
        <w:rPr>
          <w:bCs/>
          <w:sz w:val="22"/>
          <w:szCs w:val="22"/>
          <w:lang w:val="sr-Latn-ME"/>
        </w:rPr>
        <w:t xml:space="preserve">eti </w:t>
      </w:r>
      <w:r w:rsidR="000F23BD" w:rsidRPr="001D6D86">
        <w:rPr>
          <w:bCs/>
          <w:sz w:val="22"/>
          <w:szCs w:val="22"/>
          <w:lang w:val="sr-Latn-ME"/>
        </w:rPr>
        <w:t>dio</w:t>
      </w:r>
      <w:r w:rsidRPr="001D6D86">
        <w:rPr>
          <w:bCs/>
          <w:sz w:val="22"/>
          <w:szCs w:val="22"/>
          <w:lang w:val="sr-Latn-ME"/>
        </w:rPr>
        <w:t xml:space="preserve"> 4.8), konačnu titraciju do maksimalne dnevne doze od 40 mg treba razmotriti samo kod pacijenata sa teškom hiperholesterolemijom i visokim kardiovaskularnim rizikom (posebno kod onih sa porodičnom hiperholesterolemijom), kod kojih doza od 20 mg ne daje očekivane rezultate i kod kojih će biti sprovedeno rutinsko praćenje (vid</w:t>
      </w:r>
      <w:r w:rsidR="000F23BD" w:rsidRPr="001D6D86">
        <w:rPr>
          <w:bCs/>
          <w:sz w:val="22"/>
          <w:szCs w:val="22"/>
          <w:lang w:val="sr-Latn-ME"/>
        </w:rPr>
        <w:t>j</w:t>
      </w:r>
      <w:r w:rsidRPr="001D6D86">
        <w:rPr>
          <w:bCs/>
          <w:sz w:val="22"/>
          <w:szCs w:val="22"/>
          <w:lang w:val="sr-Latn-ME"/>
        </w:rPr>
        <w:t xml:space="preserve">eti </w:t>
      </w:r>
      <w:r w:rsidR="000F23BD" w:rsidRPr="001D6D86">
        <w:rPr>
          <w:bCs/>
          <w:sz w:val="22"/>
          <w:szCs w:val="22"/>
          <w:lang w:val="sr-Latn-ME"/>
        </w:rPr>
        <w:t>dio</w:t>
      </w:r>
      <w:r w:rsidRPr="001D6D86">
        <w:rPr>
          <w:bCs/>
          <w:sz w:val="22"/>
          <w:szCs w:val="22"/>
          <w:lang w:val="sr-Latn-ME"/>
        </w:rPr>
        <w:t xml:space="preserve"> 4.4).</w:t>
      </w:r>
    </w:p>
    <w:p w14:paraId="6A4222A5" w14:textId="77777777" w:rsidR="00030415" w:rsidRPr="001D6D86" w:rsidRDefault="00030415" w:rsidP="0026307D">
      <w:pPr>
        <w:tabs>
          <w:tab w:val="left" w:pos="540"/>
          <w:tab w:val="left" w:pos="569"/>
        </w:tabs>
        <w:jc w:val="both"/>
        <w:rPr>
          <w:bCs/>
          <w:sz w:val="22"/>
          <w:szCs w:val="22"/>
          <w:lang w:val="sr-Latn-ME"/>
        </w:rPr>
      </w:pPr>
    </w:p>
    <w:p w14:paraId="0637F594" w14:textId="221D441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Kada se uvodi doza od 40 mg preporučuje se nadzor l</w:t>
      </w:r>
      <w:r w:rsidR="000F23BD" w:rsidRPr="001D6D86">
        <w:rPr>
          <w:bCs/>
          <w:sz w:val="22"/>
          <w:szCs w:val="22"/>
          <w:lang w:val="sr-Latn-ME"/>
        </w:rPr>
        <w:t>j</w:t>
      </w:r>
      <w:r w:rsidRPr="001D6D86">
        <w:rPr>
          <w:bCs/>
          <w:sz w:val="22"/>
          <w:szCs w:val="22"/>
          <w:lang w:val="sr-Latn-ME"/>
        </w:rPr>
        <w:t>ekara specijaliste.</w:t>
      </w:r>
    </w:p>
    <w:p w14:paraId="2BD4D5E1" w14:textId="77777777" w:rsidR="00030415" w:rsidRPr="001D6D86" w:rsidRDefault="00030415" w:rsidP="0026307D">
      <w:pPr>
        <w:tabs>
          <w:tab w:val="left" w:pos="540"/>
          <w:tab w:val="left" w:pos="569"/>
        </w:tabs>
        <w:jc w:val="both"/>
        <w:rPr>
          <w:bCs/>
          <w:sz w:val="22"/>
          <w:szCs w:val="22"/>
          <w:lang w:val="sr-Latn-ME"/>
        </w:rPr>
      </w:pPr>
    </w:p>
    <w:p w14:paraId="1F1DEB89"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Prevencija kardiovaskularnih događaja</w:t>
      </w:r>
    </w:p>
    <w:p w14:paraId="6BBBADE1" w14:textId="52E4149F"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studiji smanjenja rizika od kardiovaskularnih događaja, korišćena je doza od 20 mg dnevno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5.1).</w:t>
      </w:r>
    </w:p>
    <w:p w14:paraId="38252F0E" w14:textId="77777777" w:rsidR="00030415" w:rsidRPr="001D6D86" w:rsidRDefault="00030415" w:rsidP="0026307D">
      <w:pPr>
        <w:tabs>
          <w:tab w:val="left" w:pos="540"/>
          <w:tab w:val="left" w:pos="569"/>
        </w:tabs>
        <w:jc w:val="both"/>
        <w:rPr>
          <w:bCs/>
          <w:sz w:val="22"/>
          <w:szCs w:val="22"/>
          <w:lang w:val="sr-Latn-ME"/>
        </w:rPr>
      </w:pPr>
    </w:p>
    <w:p w14:paraId="703CAC95"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Pedijatrijska populacija</w:t>
      </w:r>
    </w:p>
    <w:p w14:paraId="62B5BE92" w14:textId="1B68DB5B"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Upotreba kod d</w:t>
      </w:r>
      <w:r w:rsidR="003E1008" w:rsidRPr="001D6D86">
        <w:rPr>
          <w:bCs/>
          <w:sz w:val="22"/>
          <w:szCs w:val="22"/>
          <w:lang w:val="sr-Latn-ME"/>
        </w:rPr>
        <w:t>j</w:t>
      </w:r>
      <w:r w:rsidRPr="001D6D86">
        <w:rPr>
          <w:bCs/>
          <w:sz w:val="22"/>
          <w:szCs w:val="22"/>
          <w:lang w:val="sr-Latn-ME"/>
        </w:rPr>
        <w:t>ece treba da bude pod nadzorom l</w:t>
      </w:r>
      <w:r w:rsidR="003E1008" w:rsidRPr="001D6D86">
        <w:rPr>
          <w:bCs/>
          <w:sz w:val="22"/>
          <w:szCs w:val="22"/>
          <w:lang w:val="sr-Latn-ME"/>
        </w:rPr>
        <w:t>j</w:t>
      </w:r>
      <w:r w:rsidRPr="001D6D86">
        <w:rPr>
          <w:bCs/>
          <w:sz w:val="22"/>
          <w:szCs w:val="22"/>
          <w:lang w:val="sr-Latn-ME"/>
        </w:rPr>
        <w:t>ekara</w:t>
      </w:r>
      <w:r w:rsidR="003E1008" w:rsidRPr="001D6D86">
        <w:rPr>
          <w:bCs/>
          <w:sz w:val="22"/>
          <w:szCs w:val="22"/>
          <w:lang w:val="sr-Latn-ME"/>
        </w:rPr>
        <w:t xml:space="preserve"> </w:t>
      </w:r>
      <w:r w:rsidRPr="001D6D86">
        <w:rPr>
          <w:bCs/>
          <w:sz w:val="22"/>
          <w:szCs w:val="22"/>
          <w:lang w:val="sr-Latn-ME"/>
        </w:rPr>
        <w:t>specijaliste.</w:t>
      </w:r>
    </w:p>
    <w:p w14:paraId="715CDD59" w14:textId="77777777" w:rsidR="00030415" w:rsidRPr="001D6D86" w:rsidRDefault="00030415" w:rsidP="0026307D">
      <w:pPr>
        <w:tabs>
          <w:tab w:val="left" w:pos="540"/>
          <w:tab w:val="left" w:pos="569"/>
        </w:tabs>
        <w:jc w:val="both"/>
        <w:rPr>
          <w:bCs/>
          <w:sz w:val="22"/>
          <w:szCs w:val="22"/>
          <w:lang w:val="sr-Latn-ME"/>
        </w:rPr>
      </w:pPr>
    </w:p>
    <w:p w14:paraId="12A49845" w14:textId="20B3EA55"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D</w:t>
      </w:r>
      <w:r w:rsidR="003E1008" w:rsidRPr="001D6D86">
        <w:rPr>
          <w:bCs/>
          <w:sz w:val="22"/>
          <w:szCs w:val="22"/>
          <w:u w:val="single"/>
          <w:lang w:val="sr-Latn-ME"/>
        </w:rPr>
        <w:t>j</w:t>
      </w:r>
      <w:r w:rsidRPr="001D6D86">
        <w:rPr>
          <w:bCs/>
          <w:sz w:val="22"/>
          <w:szCs w:val="22"/>
          <w:u w:val="single"/>
          <w:lang w:val="sr-Latn-ME"/>
        </w:rPr>
        <w:t xml:space="preserve">eca i adolescenti uzrasta od 6 do 17 godina (stadijum po </w:t>
      </w:r>
      <w:r w:rsidRPr="001D6D86">
        <w:rPr>
          <w:bCs/>
          <w:i/>
          <w:sz w:val="22"/>
          <w:szCs w:val="22"/>
          <w:u w:val="single"/>
          <w:lang w:val="sr-Latn-ME"/>
        </w:rPr>
        <w:t>Tanner</w:t>
      </w:r>
      <w:r w:rsidRPr="001D6D86">
        <w:rPr>
          <w:bCs/>
          <w:sz w:val="22"/>
          <w:szCs w:val="22"/>
          <w:u w:val="single"/>
          <w:lang w:val="sr-Latn-ME"/>
        </w:rPr>
        <w:t>-u &lt; II-V)</w:t>
      </w:r>
    </w:p>
    <w:p w14:paraId="4F724923" w14:textId="77777777" w:rsidR="00030415" w:rsidRPr="001D6D86" w:rsidRDefault="00030415" w:rsidP="0026307D">
      <w:pPr>
        <w:tabs>
          <w:tab w:val="left" w:pos="540"/>
          <w:tab w:val="left" w:pos="569"/>
        </w:tabs>
        <w:jc w:val="both"/>
        <w:rPr>
          <w:bCs/>
          <w:sz w:val="22"/>
          <w:szCs w:val="22"/>
          <w:u w:val="single"/>
          <w:lang w:val="sr-Latn-ME"/>
        </w:rPr>
      </w:pPr>
    </w:p>
    <w:p w14:paraId="6E6C94C9" w14:textId="77777777" w:rsidR="00030415" w:rsidRPr="001D6D86" w:rsidRDefault="00030415" w:rsidP="0026307D">
      <w:pPr>
        <w:tabs>
          <w:tab w:val="left" w:pos="540"/>
          <w:tab w:val="left" w:pos="569"/>
        </w:tabs>
        <w:jc w:val="both"/>
        <w:rPr>
          <w:bCs/>
          <w:sz w:val="22"/>
          <w:szCs w:val="22"/>
          <w:u w:val="single"/>
          <w:lang w:val="sr-Latn-ME"/>
        </w:rPr>
      </w:pPr>
      <w:r w:rsidRPr="001D6D86">
        <w:rPr>
          <w:bCs/>
          <w:sz w:val="22"/>
          <w:szCs w:val="22"/>
          <w:u w:val="single"/>
          <w:lang w:val="sr-Latn-ME"/>
        </w:rPr>
        <w:t>Heterozigotna porodična hiperholesterolemija</w:t>
      </w:r>
    </w:p>
    <w:p w14:paraId="5694D163" w14:textId="3131822A"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d</w:t>
      </w:r>
      <w:r w:rsidR="003E1008" w:rsidRPr="001D6D86">
        <w:rPr>
          <w:bCs/>
          <w:sz w:val="22"/>
          <w:szCs w:val="22"/>
          <w:lang w:val="sr-Latn-ME"/>
        </w:rPr>
        <w:t>j</w:t>
      </w:r>
      <w:r w:rsidRPr="001D6D86">
        <w:rPr>
          <w:bCs/>
          <w:sz w:val="22"/>
          <w:szCs w:val="22"/>
          <w:lang w:val="sr-Latn-ME"/>
        </w:rPr>
        <w:t>ece i adolescenata sa porodičnom heterozigotnom hiperholestrolemijom uobičajena početna doza je 5 mg dnevno.</w:t>
      </w:r>
    </w:p>
    <w:p w14:paraId="2631B23C" w14:textId="1C1339A2" w:rsidR="00030415" w:rsidRPr="001D6D86" w:rsidRDefault="00030415" w:rsidP="0026307D">
      <w:pPr>
        <w:numPr>
          <w:ilvl w:val="0"/>
          <w:numId w:val="13"/>
        </w:numPr>
        <w:tabs>
          <w:tab w:val="left" w:pos="540"/>
          <w:tab w:val="left" w:pos="569"/>
        </w:tabs>
        <w:jc w:val="both"/>
        <w:rPr>
          <w:bCs/>
          <w:sz w:val="22"/>
          <w:szCs w:val="22"/>
          <w:lang w:val="sr-Latn-ME"/>
        </w:rPr>
      </w:pPr>
      <w:r w:rsidRPr="001D6D86">
        <w:rPr>
          <w:bCs/>
          <w:sz w:val="22"/>
          <w:szCs w:val="22"/>
          <w:lang w:val="sr-Latn-ME"/>
        </w:rPr>
        <w:t>kod d</w:t>
      </w:r>
      <w:r w:rsidR="003E1008" w:rsidRPr="001D6D86">
        <w:rPr>
          <w:bCs/>
          <w:sz w:val="22"/>
          <w:szCs w:val="22"/>
          <w:lang w:val="sr-Latn-ME"/>
        </w:rPr>
        <w:t>j</w:t>
      </w:r>
      <w:r w:rsidRPr="001D6D86">
        <w:rPr>
          <w:bCs/>
          <w:sz w:val="22"/>
          <w:szCs w:val="22"/>
          <w:lang w:val="sr-Latn-ME"/>
        </w:rPr>
        <w:t>ece uzrasta od 6 do 9 godina sa porodičnom heterozigotnom hiperholestrolemijom,</w:t>
      </w:r>
      <w:r w:rsidR="003E1008" w:rsidRPr="001D6D86">
        <w:rPr>
          <w:bCs/>
          <w:sz w:val="22"/>
          <w:szCs w:val="22"/>
          <w:lang w:val="sr-Latn-ME"/>
        </w:rPr>
        <w:t xml:space="preserve"> </w:t>
      </w:r>
      <w:r w:rsidRPr="001D6D86">
        <w:rPr>
          <w:bCs/>
          <w:sz w:val="22"/>
          <w:szCs w:val="22"/>
          <w:lang w:val="sr-Latn-ME"/>
        </w:rPr>
        <w:t>uobičajeni raspon doza je od 5 do 10 mg prim</w:t>
      </w:r>
      <w:r w:rsidR="003E1008" w:rsidRPr="001D6D86">
        <w:rPr>
          <w:bCs/>
          <w:sz w:val="22"/>
          <w:szCs w:val="22"/>
          <w:lang w:val="sr-Latn-ME"/>
        </w:rPr>
        <w:t>ij</w:t>
      </w:r>
      <w:r w:rsidRPr="001D6D86">
        <w:rPr>
          <w:bCs/>
          <w:sz w:val="22"/>
          <w:szCs w:val="22"/>
          <w:lang w:val="sr-Latn-ME"/>
        </w:rPr>
        <w:t>enjeno oralnim putem jednom dnevno. Bezb</w:t>
      </w:r>
      <w:r w:rsidR="003E1008" w:rsidRPr="001D6D86">
        <w:rPr>
          <w:bCs/>
          <w:sz w:val="22"/>
          <w:szCs w:val="22"/>
          <w:lang w:val="sr-Latn-ME"/>
        </w:rPr>
        <w:t>j</w:t>
      </w:r>
      <w:r w:rsidRPr="001D6D86">
        <w:rPr>
          <w:bCs/>
          <w:sz w:val="22"/>
          <w:szCs w:val="22"/>
          <w:lang w:val="sr-Latn-ME"/>
        </w:rPr>
        <w:t>ednost i efikasnost doza većih od 10 mg ni</w:t>
      </w:r>
      <w:r w:rsidR="0015697D" w:rsidRPr="001D6D86">
        <w:rPr>
          <w:bCs/>
          <w:sz w:val="22"/>
          <w:szCs w:val="22"/>
          <w:lang w:val="sr-Latn-ME"/>
        </w:rPr>
        <w:t>je</w:t>
      </w:r>
      <w:r w:rsidRPr="001D6D86">
        <w:rPr>
          <w:bCs/>
          <w:sz w:val="22"/>
          <w:szCs w:val="22"/>
          <w:lang w:val="sr-Latn-ME"/>
        </w:rPr>
        <w:t>su ispitivana u ovoj populaciji;</w:t>
      </w:r>
    </w:p>
    <w:p w14:paraId="5B8F7785" w14:textId="7E5560BC" w:rsidR="00030415" w:rsidRPr="001D6D86" w:rsidRDefault="00030415" w:rsidP="0026307D">
      <w:pPr>
        <w:numPr>
          <w:ilvl w:val="0"/>
          <w:numId w:val="13"/>
        </w:numPr>
        <w:tabs>
          <w:tab w:val="left" w:pos="540"/>
          <w:tab w:val="left" w:pos="569"/>
        </w:tabs>
        <w:jc w:val="both"/>
        <w:rPr>
          <w:bCs/>
          <w:sz w:val="22"/>
          <w:szCs w:val="22"/>
          <w:lang w:val="sr-Latn-ME"/>
        </w:rPr>
      </w:pPr>
      <w:r w:rsidRPr="001D6D86">
        <w:rPr>
          <w:bCs/>
          <w:sz w:val="22"/>
          <w:szCs w:val="22"/>
          <w:lang w:val="sr-Latn-ME"/>
        </w:rPr>
        <w:t>kod d</w:t>
      </w:r>
      <w:r w:rsidR="003E1008" w:rsidRPr="001D6D86">
        <w:rPr>
          <w:bCs/>
          <w:sz w:val="22"/>
          <w:szCs w:val="22"/>
          <w:lang w:val="sr-Latn-ME"/>
        </w:rPr>
        <w:t>j</w:t>
      </w:r>
      <w:r w:rsidRPr="001D6D86">
        <w:rPr>
          <w:bCs/>
          <w:sz w:val="22"/>
          <w:szCs w:val="22"/>
          <w:lang w:val="sr-Latn-ME"/>
        </w:rPr>
        <w:t>ece uzrasta od 10 do 17 godina sa porodičnom heterozigotnom hiperholestrolemijom, uobičajeni raspon doza je od 5 do 20 mg prim</w:t>
      </w:r>
      <w:r w:rsidR="003E1008" w:rsidRPr="001D6D86">
        <w:rPr>
          <w:bCs/>
          <w:sz w:val="22"/>
          <w:szCs w:val="22"/>
          <w:lang w:val="sr-Latn-ME"/>
        </w:rPr>
        <w:t>ij</w:t>
      </w:r>
      <w:r w:rsidRPr="001D6D86">
        <w:rPr>
          <w:bCs/>
          <w:sz w:val="22"/>
          <w:szCs w:val="22"/>
          <w:lang w:val="sr-Latn-ME"/>
        </w:rPr>
        <w:t>enjeno oralnim putem jednom dnevno. Bezb</w:t>
      </w:r>
      <w:r w:rsidR="003E1008" w:rsidRPr="001D6D86">
        <w:rPr>
          <w:bCs/>
          <w:sz w:val="22"/>
          <w:szCs w:val="22"/>
          <w:lang w:val="sr-Latn-ME"/>
        </w:rPr>
        <w:t>j</w:t>
      </w:r>
      <w:r w:rsidRPr="001D6D86">
        <w:rPr>
          <w:bCs/>
          <w:sz w:val="22"/>
          <w:szCs w:val="22"/>
          <w:lang w:val="sr-Latn-ME"/>
        </w:rPr>
        <w:t>ednost i efikasnost doza većih od 20 mg nije ispitana u ovoj populaciji.</w:t>
      </w:r>
    </w:p>
    <w:p w14:paraId="29E90D59" w14:textId="77777777" w:rsidR="00030415" w:rsidRPr="001D6D86" w:rsidRDefault="00030415" w:rsidP="0026307D">
      <w:pPr>
        <w:tabs>
          <w:tab w:val="left" w:pos="540"/>
          <w:tab w:val="left" w:pos="569"/>
        </w:tabs>
        <w:jc w:val="both"/>
        <w:rPr>
          <w:bCs/>
          <w:sz w:val="22"/>
          <w:szCs w:val="22"/>
          <w:lang w:val="sr-Latn-ME"/>
        </w:rPr>
      </w:pPr>
    </w:p>
    <w:p w14:paraId="6CB1D59D" w14:textId="00458662"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Titriranje doze treba sprovesti prema individualnom odgovoru i podnošljivosti l</w:t>
      </w:r>
      <w:r w:rsidR="003E1008" w:rsidRPr="001D6D86">
        <w:rPr>
          <w:bCs/>
          <w:sz w:val="22"/>
          <w:szCs w:val="22"/>
          <w:lang w:val="sr-Latn-ME"/>
        </w:rPr>
        <w:t>ij</w:t>
      </w:r>
      <w:r w:rsidRPr="001D6D86">
        <w:rPr>
          <w:bCs/>
          <w:sz w:val="22"/>
          <w:szCs w:val="22"/>
          <w:lang w:val="sr-Latn-ME"/>
        </w:rPr>
        <w:t>eka kod pedijatrijskih pacijenata, kako je navedeno u preporukama za terapiju pedijatrijske populacije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4.4).</w:t>
      </w:r>
    </w:p>
    <w:p w14:paraId="7D5CD068" w14:textId="2C6D1B43"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D</w:t>
      </w:r>
      <w:r w:rsidR="003E1008" w:rsidRPr="001D6D86">
        <w:rPr>
          <w:bCs/>
          <w:sz w:val="22"/>
          <w:szCs w:val="22"/>
          <w:lang w:val="sr-Latn-ME"/>
        </w:rPr>
        <w:t>j</w:t>
      </w:r>
      <w:r w:rsidRPr="001D6D86">
        <w:rPr>
          <w:bCs/>
          <w:sz w:val="22"/>
          <w:szCs w:val="22"/>
          <w:lang w:val="sr-Latn-ME"/>
        </w:rPr>
        <w:t>eca i adolescenti treba da se podvrgnu standardnoj dijeti za smanjivanje nivoa holesterola pr</w:t>
      </w:r>
      <w:r w:rsidR="003E1008" w:rsidRPr="001D6D86">
        <w:rPr>
          <w:bCs/>
          <w:sz w:val="22"/>
          <w:szCs w:val="22"/>
          <w:lang w:val="sr-Latn-ME"/>
        </w:rPr>
        <w:t>ij</w:t>
      </w:r>
      <w:r w:rsidRPr="001D6D86">
        <w:rPr>
          <w:bCs/>
          <w:sz w:val="22"/>
          <w:szCs w:val="22"/>
          <w:lang w:val="sr-Latn-ME"/>
        </w:rPr>
        <w:t>e započinjanja terapije rosuvastatinom; ova dijeta treba da bude nastavljena i tokom terapije rosuvastatinom.</w:t>
      </w:r>
    </w:p>
    <w:p w14:paraId="6CB42708" w14:textId="04B7BC84" w:rsidR="00030415" w:rsidRPr="001D6D86" w:rsidRDefault="00030415" w:rsidP="0026307D">
      <w:pPr>
        <w:tabs>
          <w:tab w:val="left" w:pos="540"/>
          <w:tab w:val="left" w:pos="569"/>
        </w:tabs>
        <w:jc w:val="both"/>
        <w:rPr>
          <w:bCs/>
          <w:sz w:val="22"/>
          <w:szCs w:val="22"/>
          <w:lang w:val="sr-Latn-ME"/>
        </w:rPr>
      </w:pPr>
    </w:p>
    <w:p w14:paraId="17C7C841" w14:textId="77777777" w:rsidR="003C0163" w:rsidRPr="001D6D86" w:rsidRDefault="003C0163" w:rsidP="0026307D">
      <w:pPr>
        <w:tabs>
          <w:tab w:val="left" w:pos="540"/>
          <w:tab w:val="left" w:pos="569"/>
        </w:tabs>
        <w:jc w:val="both"/>
        <w:rPr>
          <w:bCs/>
          <w:sz w:val="22"/>
          <w:szCs w:val="22"/>
          <w:lang w:val="sr-Latn-ME"/>
        </w:rPr>
      </w:pPr>
    </w:p>
    <w:p w14:paraId="564A447B" w14:textId="77777777" w:rsidR="00030415" w:rsidRPr="001D6D86" w:rsidRDefault="00030415" w:rsidP="0026307D">
      <w:pPr>
        <w:tabs>
          <w:tab w:val="left" w:pos="540"/>
          <w:tab w:val="left" w:pos="569"/>
        </w:tabs>
        <w:jc w:val="both"/>
        <w:rPr>
          <w:bCs/>
          <w:sz w:val="22"/>
          <w:szCs w:val="22"/>
          <w:u w:val="single"/>
          <w:lang w:val="sr-Latn-ME"/>
        </w:rPr>
      </w:pPr>
      <w:r w:rsidRPr="001D6D86">
        <w:rPr>
          <w:bCs/>
          <w:sz w:val="22"/>
          <w:szCs w:val="22"/>
          <w:u w:val="single"/>
          <w:lang w:val="sr-Latn-ME"/>
        </w:rPr>
        <w:lastRenderedPageBreak/>
        <w:t>Homozigotna porodična hiperholesterolemija</w:t>
      </w:r>
    </w:p>
    <w:p w14:paraId="7A321625" w14:textId="77777777" w:rsidR="00030415" w:rsidRPr="001D6D86" w:rsidRDefault="00030415" w:rsidP="0026307D">
      <w:pPr>
        <w:tabs>
          <w:tab w:val="left" w:pos="540"/>
          <w:tab w:val="left" w:pos="569"/>
        </w:tabs>
        <w:jc w:val="both"/>
        <w:rPr>
          <w:bCs/>
          <w:sz w:val="22"/>
          <w:szCs w:val="22"/>
          <w:lang w:val="sr-Latn-ME"/>
        </w:rPr>
      </w:pPr>
    </w:p>
    <w:p w14:paraId="6E88861F" w14:textId="5D9ECEFD"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d</w:t>
      </w:r>
      <w:r w:rsidR="003E1008" w:rsidRPr="001D6D86">
        <w:rPr>
          <w:bCs/>
          <w:sz w:val="22"/>
          <w:szCs w:val="22"/>
          <w:lang w:val="sr-Latn-ME"/>
        </w:rPr>
        <w:t>j</w:t>
      </w:r>
      <w:r w:rsidRPr="001D6D86">
        <w:rPr>
          <w:bCs/>
          <w:sz w:val="22"/>
          <w:szCs w:val="22"/>
          <w:lang w:val="sr-Latn-ME"/>
        </w:rPr>
        <w:t>ece uzrasta 6 do 17 godina sa homozigotnom porodičnom hiperholesterolemijom preporučena</w:t>
      </w:r>
    </w:p>
    <w:p w14:paraId="068E36B2"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maksimalna doza je 20 mg, jednom dnevno.</w:t>
      </w:r>
    </w:p>
    <w:p w14:paraId="18D4FFA4" w14:textId="77777777" w:rsidR="00030415" w:rsidRPr="001D6D86" w:rsidRDefault="00030415" w:rsidP="0026307D">
      <w:pPr>
        <w:tabs>
          <w:tab w:val="left" w:pos="540"/>
          <w:tab w:val="left" w:pos="569"/>
        </w:tabs>
        <w:jc w:val="both"/>
        <w:rPr>
          <w:bCs/>
          <w:sz w:val="22"/>
          <w:szCs w:val="22"/>
          <w:lang w:val="sr-Latn-ME"/>
        </w:rPr>
      </w:pPr>
    </w:p>
    <w:p w14:paraId="3D89B3A5" w14:textId="70BBA2B1"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Sav</w:t>
      </w:r>
      <w:r w:rsidR="003E1008" w:rsidRPr="001D6D86">
        <w:rPr>
          <w:bCs/>
          <w:sz w:val="22"/>
          <w:szCs w:val="22"/>
          <w:lang w:val="sr-Latn-ME"/>
        </w:rPr>
        <w:t>j</w:t>
      </w:r>
      <w:r w:rsidRPr="001D6D86">
        <w:rPr>
          <w:bCs/>
          <w:sz w:val="22"/>
          <w:szCs w:val="22"/>
          <w:lang w:val="sr-Latn-ME"/>
        </w:rPr>
        <w:t>etuje se početna doza od 5 do 10 mg, jednom dnevno, u zavisnosti od uzrasta, t</w:t>
      </w:r>
      <w:r w:rsidR="003E1008" w:rsidRPr="001D6D86">
        <w:rPr>
          <w:bCs/>
          <w:sz w:val="22"/>
          <w:szCs w:val="22"/>
          <w:lang w:val="sr-Latn-ME"/>
        </w:rPr>
        <w:t>j</w:t>
      </w:r>
      <w:r w:rsidRPr="001D6D86">
        <w:rPr>
          <w:bCs/>
          <w:sz w:val="22"/>
          <w:szCs w:val="22"/>
          <w:lang w:val="sr-Latn-ME"/>
        </w:rPr>
        <w:t>elesne mase i prethodne</w:t>
      </w:r>
      <w:r w:rsidR="003E1008" w:rsidRPr="001D6D86">
        <w:rPr>
          <w:bCs/>
          <w:sz w:val="22"/>
          <w:szCs w:val="22"/>
          <w:lang w:val="sr-Latn-ME"/>
        </w:rPr>
        <w:t xml:space="preserve"> </w:t>
      </w:r>
      <w:r w:rsidRPr="001D6D86">
        <w:rPr>
          <w:bCs/>
          <w:sz w:val="22"/>
          <w:szCs w:val="22"/>
          <w:lang w:val="sr-Latn-ME"/>
        </w:rPr>
        <w:t>prim</w:t>
      </w:r>
      <w:r w:rsidR="003E1008" w:rsidRPr="001D6D86">
        <w:rPr>
          <w:bCs/>
          <w:sz w:val="22"/>
          <w:szCs w:val="22"/>
          <w:lang w:val="sr-Latn-ME"/>
        </w:rPr>
        <w:t>j</w:t>
      </w:r>
      <w:r w:rsidRPr="001D6D86">
        <w:rPr>
          <w:bCs/>
          <w:sz w:val="22"/>
          <w:szCs w:val="22"/>
          <w:lang w:val="sr-Latn-ME"/>
        </w:rPr>
        <w:t>ene statina. Titraciju do maksimalne doze od 20 mg jednom dnevno treba sprovesti u skladu sa</w:t>
      </w:r>
      <w:r w:rsidR="003E1008" w:rsidRPr="001D6D86">
        <w:rPr>
          <w:bCs/>
          <w:sz w:val="22"/>
          <w:szCs w:val="22"/>
          <w:lang w:val="sr-Latn-ME"/>
        </w:rPr>
        <w:t xml:space="preserve"> </w:t>
      </w:r>
      <w:r w:rsidRPr="001D6D86">
        <w:rPr>
          <w:bCs/>
          <w:sz w:val="22"/>
          <w:szCs w:val="22"/>
          <w:lang w:val="sr-Latn-ME"/>
        </w:rPr>
        <w:t>individualnim odgovorom i toleranciji kod pedijatrijskih pacijenata, kako je preporučeno u preporukama za</w:t>
      </w:r>
      <w:r w:rsidR="003E1008" w:rsidRPr="001D6D86">
        <w:rPr>
          <w:bCs/>
          <w:sz w:val="22"/>
          <w:szCs w:val="22"/>
          <w:lang w:val="sr-Latn-ME"/>
        </w:rPr>
        <w:t xml:space="preserve"> </w:t>
      </w:r>
      <w:r w:rsidRPr="001D6D86">
        <w:rPr>
          <w:bCs/>
          <w:sz w:val="22"/>
          <w:szCs w:val="22"/>
          <w:lang w:val="sr-Latn-ME"/>
        </w:rPr>
        <w:t>terapiju pedijatrijske populacije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4.4). D</w:t>
      </w:r>
      <w:r w:rsidR="003E1008" w:rsidRPr="001D6D86">
        <w:rPr>
          <w:bCs/>
          <w:sz w:val="22"/>
          <w:szCs w:val="22"/>
          <w:lang w:val="sr-Latn-ME"/>
        </w:rPr>
        <w:t>j</w:t>
      </w:r>
      <w:r w:rsidRPr="001D6D86">
        <w:rPr>
          <w:bCs/>
          <w:sz w:val="22"/>
          <w:szCs w:val="22"/>
          <w:lang w:val="sr-Latn-ME"/>
        </w:rPr>
        <w:t>eca i adolescenti treba da budu na standardnoj dijeti</w:t>
      </w:r>
      <w:r w:rsidR="003E1008" w:rsidRPr="001D6D86">
        <w:rPr>
          <w:bCs/>
          <w:sz w:val="22"/>
          <w:szCs w:val="22"/>
          <w:lang w:val="sr-Latn-ME"/>
        </w:rPr>
        <w:t xml:space="preserve"> </w:t>
      </w:r>
      <w:r w:rsidRPr="001D6D86">
        <w:rPr>
          <w:bCs/>
          <w:sz w:val="22"/>
          <w:szCs w:val="22"/>
          <w:lang w:val="sr-Latn-ME"/>
        </w:rPr>
        <w:t>za snižavanje nivoa holesterola pr</w:t>
      </w:r>
      <w:r w:rsidR="003E1008" w:rsidRPr="001D6D86">
        <w:rPr>
          <w:bCs/>
          <w:sz w:val="22"/>
          <w:szCs w:val="22"/>
          <w:lang w:val="sr-Latn-ME"/>
        </w:rPr>
        <w:t>ij</w:t>
      </w:r>
      <w:r w:rsidRPr="001D6D86">
        <w:rPr>
          <w:bCs/>
          <w:sz w:val="22"/>
          <w:szCs w:val="22"/>
          <w:lang w:val="sr-Latn-ME"/>
        </w:rPr>
        <w:t>e započinjanja terapije rosuvastatinom; ova dijeta treba da bude</w:t>
      </w:r>
      <w:r w:rsidR="003E1008" w:rsidRPr="001D6D86">
        <w:rPr>
          <w:bCs/>
          <w:sz w:val="22"/>
          <w:szCs w:val="22"/>
          <w:lang w:val="sr-Latn-ME"/>
        </w:rPr>
        <w:t xml:space="preserve"> </w:t>
      </w:r>
      <w:r w:rsidRPr="001D6D86">
        <w:rPr>
          <w:bCs/>
          <w:sz w:val="22"/>
          <w:szCs w:val="22"/>
          <w:lang w:val="sr-Latn-ME"/>
        </w:rPr>
        <w:t>nastavljena i tokom terapije rosuvastatinom.</w:t>
      </w:r>
    </w:p>
    <w:p w14:paraId="0AF1D641" w14:textId="77777777" w:rsidR="00030415" w:rsidRPr="001D6D86" w:rsidRDefault="00030415" w:rsidP="0026307D">
      <w:pPr>
        <w:tabs>
          <w:tab w:val="left" w:pos="540"/>
          <w:tab w:val="left" w:pos="569"/>
        </w:tabs>
        <w:jc w:val="both"/>
        <w:rPr>
          <w:bCs/>
          <w:sz w:val="22"/>
          <w:szCs w:val="22"/>
          <w:lang w:val="sr-Latn-ME"/>
        </w:rPr>
      </w:pPr>
    </w:p>
    <w:p w14:paraId="1A0C2AAD"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Iskustvo sa drugim dozama, osim 20 mg u ovoj populaciji je ograničeno.</w:t>
      </w:r>
    </w:p>
    <w:p w14:paraId="7BCB70A9" w14:textId="1CC2C458"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Pojedinačna doza od 40 mg nije pogodna za </w:t>
      </w:r>
      <w:r w:rsidR="00BD2708" w:rsidRPr="001D6D86">
        <w:rPr>
          <w:bCs/>
          <w:sz w:val="22"/>
          <w:szCs w:val="22"/>
          <w:lang w:val="sr-Latn-ME"/>
        </w:rPr>
        <w:t>primjenu</w:t>
      </w:r>
      <w:r w:rsidRPr="001D6D86">
        <w:rPr>
          <w:bCs/>
          <w:sz w:val="22"/>
          <w:szCs w:val="22"/>
          <w:lang w:val="sr-Latn-ME"/>
        </w:rPr>
        <w:t xml:space="preserve"> kod pedijatrijskih pacijenata.</w:t>
      </w:r>
    </w:p>
    <w:p w14:paraId="670FA8F4" w14:textId="77777777" w:rsidR="00030415" w:rsidRPr="001D6D86" w:rsidRDefault="00030415" w:rsidP="0026307D">
      <w:pPr>
        <w:tabs>
          <w:tab w:val="left" w:pos="540"/>
          <w:tab w:val="left" w:pos="569"/>
        </w:tabs>
        <w:jc w:val="both"/>
        <w:rPr>
          <w:bCs/>
          <w:sz w:val="22"/>
          <w:szCs w:val="22"/>
          <w:lang w:val="sr-Latn-ME"/>
        </w:rPr>
      </w:pPr>
    </w:p>
    <w:p w14:paraId="46AE009A" w14:textId="020B60B4"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D</w:t>
      </w:r>
      <w:r w:rsidR="003E1008" w:rsidRPr="001D6D86">
        <w:rPr>
          <w:bCs/>
          <w:sz w:val="22"/>
          <w:szCs w:val="22"/>
          <w:u w:val="single"/>
          <w:lang w:val="sr-Latn-ME"/>
        </w:rPr>
        <w:t>j</w:t>
      </w:r>
      <w:r w:rsidRPr="001D6D86">
        <w:rPr>
          <w:bCs/>
          <w:sz w:val="22"/>
          <w:szCs w:val="22"/>
          <w:u w:val="single"/>
          <w:lang w:val="sr-Latn-ME"/>
        </w:rPr>
        <w:t>eca mlađa od 6 godina</w:t>
      </w:r>
    </w:p>
    <w:p w14:paraId="0AB26FD7" w14:textId="77777777" w:rsidR="0015697D" w:rsidRPr="001D6D86" w:rsidRDefault="00030415" w:rsidP="0026307D">
      <w:pPr>
        <w:tabs>
          <w:tab w:val="left" w:pos="540"/>
          <w:tab w:val="left" w:pos="569"/>
        </w:tabs>
        <w:jc w:val="both"/>
        <w:rPr>
          <w:b/>
          <w:bCs/>
          <w:sz w:val="22"/>
          <w:szCs w:val="22"/>
          <w:lang w:val="sr-Latn-ME"/>
        </w:rPr>
      </w:pPr>
      <w:r w:rsidRPr="001D6D86">
        <w:rPr>
          <w:b/>
          <w:bCs/>
          <w:sz w:val="22"/>
          <w:szCs w:val="22"/>
          <w:lang w:val="sr-Latn-ME"/>
        </w:rPr>
        <w:t>Bezb</w:t>
      </w:r>
      <w:r w:rsidR="003E1008" w:rsidRPr="001D6D86">
        <w:rPr>
          <w:b/>
          <w:bCs/>
          <w:sz w:val="22"/>
          <w:szCs w:val="22"/>
          <w:lang w:val="sr-Latn-ME"/>
        </w:rPr>
        <w:t>j</w:t>
      </w:r>
      <w:r w:rsidRPr="001D6D86">
        <w:rPr>
          <w:b/>
          <w:bCs/>
          <w:sz w:val="22"/>
          <w:szCs w:val="22"/>
          <w:lang w:val="sr-Latn-ME"/>
        </w:rPr>
        <w:t>ednost i efikasnost prim</w:t>
      </w:r>
      <w:r w:rsidR="003E1008" w:rsidRPr="001D6D86">
        <w:rPr>
          <w:b/>
          <w:bCs/>
          <w:sz w:val="22"/>
          <w:szCs w:val="22"/>
          <w:lang w:val="sr-Latn-ME"/>
        </w:rPr>
        <w:t>j</w:t>
      </w:r>
      <w:r w:rsidRPr="001D6D86">
        <w:rPr>
          <w:b/>
          <w:bCs/>
          <w:sz w:val="22"/>
          <w:szCs w:val="22"/>
          <w:lang w:val="sr-Latn-ME"/>
        </w:rPr>
        <w:t>ene l</w:t>
      </w:r>
      <w:r w:rsidR="003E1008" w:rsidRPr="001D6D86">
        <w:rPr>
          <w:b/>
          <w:bCs/>
          <w:sz w:val="22"/>
          <w:szCs w:val="22"/>
          <w:lang w:val="sr-Latn-ME"/>
        </w:rPr>
        <w:t>ij</w:t>
      </w:r>
      <w:r w:rsidRPr="001D6D86">
        <w:rPr>
          <w:b/>
          <w:bCs/>
          <w:sz w:val="22"/>
          <w:szCs w:val="22"/>
          <w:lang w:val="sr-Latn-ME"/>
        </w:rPr>
        <w:t>eka kod d</w:t>
      </w:r>
      <w:r w:rsidR="003E1008" w:rsidRPr="001D6D86">
        <w:rPr>
          <w:b/>
          <w:bCs/>
          <w:sz w:val="22"/>
          <w:szCs w:val="22"/>
          <w:lang w:val="sr-Latn-ME"/>
        </w:rPr>
        <w:t>j</w:t>
      </w:r>
      <w:r w:rsidRPr="001D6D86">
        <w:rPr>
          <w:b/>
          <w:bCs/>
          <w:sz w:val="22"/>
          <w:szCs w:val="22"/>
          <w:lang w:val="sr-Latn-ME"/>
        </w:rPr>
        <w:t>ece mlađe od 6 godina ni</w:t>
      </w:r>
      <w:r w:rsidR="0015697D" w:rsidRPr="001D6D86">
        <w:rPr>
          <w:b/>
          <w:bCs/>
          <w:sz w:val="22"/>
          <w:szCs w:val="22"/>
          <w:lang w:val="sr-Latn-ME"/>
        </w:rPr>
        <w:t>je</w:t>
      </w:r>
      <w:r w:rsidRPr="001D6D86">
        <w:rPr>
          <w:b/>
          <w:bCs/>
          <w:sz w:val="22"/>
          <w:szCs w:val="22"/>
          <w:lang w:val="sr-Latn-ME"/>
        </w:rPr>
        <w:t>su ispitani. U skladu sa tim, prim</w:t>
      </w:r>
      <w:r w:rsidR="003E1008" w:rsidRPr="001D6D86">
        <w:rPr>
          <w:b/>
          <w:bCs/>
          <w:sz w:val="22"/>
          <w:szCs w:val="22"/>
          <w:lang w:val="sr-Latn-ME"/>
        </w:rPr>
        <w:t>j</w:t>
      </w:r>
      <w:r w:rsidRPr="001D6D86">
        <w:rPr>
          <w:b/>
          <w:bCs/>
          <w:sz w:val="22"/>
          <w:szCs w:val="22"/>
          <w:lang w:val="sr-Latn-ME"/>
        </w:rPr>
        <w:t>ena l</w:t>
      </w:r>
      <w:r w:rsidR="003E1008" w:rsidRPr="001D6D86">
        <w:rPr>
          <w:b/>
          <w:bCs/>
          <w:sz w:val="22"/>
          <w:szCs w:val="22"/>
          <w:lang w:val="sr-Latn-ME"/>
        </w:rPr>
        <w:t>ij</w:t>
      </w:r>
      <w:r w:rsidRPr="001D6D86">
        <w:rPr>
          <w:b/>
          <w:bCs/>
          <w:sz w:val="22"/>
          <w:szCs w:val="22"/>
          <w:lang w:val="sr-Latn-ME"/>
        </w:rPr>
        <w:t>eka COUPET se ne preporučuje za upotrebu kod d</w:t>
      </w:r>
      <w:r w:rsidR="003E1008" w:rsidRPr="001D6D86">
        <w:rPr>
          <w:b/>
          <w:bCs/>
          <w:sz w:val="22"/>
          <w:szCs w:val="22"/>
          <w:lang w:val="sr-Latn-ME"/>
        </w:rPr>
        <w:t>j</w:t>
      </w:r>
      <w:r w:rsidRPr="001D6D86">
        <w:rPr>
          <w:b/>
          <w:bCs/>
          <w:sz w:val="22"/>
          <w:szCs w:val="22"/>
          <w:lang w:val="sr-Latn-ME"/>
        </w:rPr>
        <w:t>ece mlađe od 6 godina.</w:t>
      </w:r>
      <w:r w:rsidRPr="001D6D86">
        <w:rPr>
          <w:bCs/>
          <w:sz w:val="22"/>
          <w:szCs w:val="22"/>
          <w:lang w:val="sr-Latn-ME"/>
        </w:rPr>
        <w:t xml:space="preserve">  </w:t>
      </w:r>
      <w:r w:rsidRPr="001D6D86">
        <w:rPr>
          <w:b/>
          <w:bCs/>
          <w:sz w:val="22"/>
          <w:szCs w:val="22"/>
          <w:lang w:val="sr-Latn-ME"/>
        </w:rPr>
        <w:t xml:space="preserve">    </w:t>
      </w:r>
    </w:p>
    <w:p w14:paraId="1C59DB81" w14:textId="520E53D2" w:rsidR="00030415" w:rsidRPr="001D6D86" w:rsidRDefault="00030415" w:rsidP="0026307D">
      <w:pPr>
        <w:tabs>
          <w:tab w:val="left" w:pos="540"/>
          <w:tab w:val="left" w:pos="569"/>
        </w:tabs>
        <w:jc w:val="both"/>
        <w:rPr>
          <w:b/>
          <w:bCs/>
          <w:sz w:val="22"/>
          <w:szCs w:val="22"/>
          <w:lang w:val="sr-Latn-ME"/>
        </w:rPr>
      </w:pPr>
      <w:r w:rsidRPr="001D6D86">
        <w:rPr>
          <w:b/>
          <w:bCs/>
          <w:sz w:val="22"/>
          <w:szCs w:val="22"/>
          <w:lang w:val="sr-Latn-ME"/>
        </w:rPr>
        <w:t xml:space="preserve">                                                       </w:t>
      </w:r>
    </w:p>
    <w:p w14:paraId="3E46A93F" w14:textId="4BDC262E"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Prim</w:t>
      </w:r>
      <w:r w:rsidR="003E1008" w:rsidRPr="001D6D86">
        <w:rPr>
          <w:b/>
          <w:bCs/>
          <w:sz w:val="22"/>
          <w:szCs w:val="22"/>
          <w:lang w:val="sr-Latn-ME"/>
        </w:rPr>
        <w:t>j</w:t>
      </w:r>
      <w:r w:rsidRPr="001D6D86">
        <w:rPr>
          <w:b/>
          <w:bCs/>
          <w:sz w:val="22"/>
          <w:szCs w:val="22"/>
          <w:lang w:val="sr-Latn-ME"/>
        </w:rPr>
        <w:t>ena kod starijih pacijenata</w:t>
      </w:r>
    </w:p>
    <w:p w14:paraId="37D7B75F" w14:textId="3D1D0BFE"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pacijenata starijih od 70 godina preporučena početna doza je 5 mg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4.4). Nije potrebno prilagođavanje doze u odnosu na godine pacijenta.</w:t>
      </w:r>
    </w:p>
    <w:p w14:paraId="69A2770C" w14:textId="77777777" w:rsidR="00030415" w:rsidRPr="001D6D86" w:rsidRDefault="00030415" w:rsidP="0026307D">
      <w:pPr>
        <w:tabs>
          <w:tab w:val="left" w:pos="540"/>
          <w:tab w:val="left" w:pos="569"/>
        </w:tabs>
        <w:jc w:val="both"/>
        <w:rPr>
          <w:bCs/>
          <w:sz w:val="22"/>
          <w:szCs w:val="22"/>
          <w:lang w:val="sr-Latn-ME"/>
        </w:rPr>
      </w:pPr>
    </w:p>
    <w:p w14:paraId="18BE08C3"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Pacijenti sa oštećenom funkcijom bubrega</w:t>
      </w:r>
    </w:p>
    <w:p w14:paraId="4D62EEEA" w14:textId="617C121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Nije potrebno prilagođavanje doze kod pacijenata sa blagim do um</w:t>
      </w:r>
      <w:r w:rsidR="003E1008" w:rsidRPr="001D6D86">
        <w:rPr>
          <w:bCs/>
          <w:sz w:val="22"/>
          <w:szCs w:val="22"/>
          <w:lang w:val="sr-Latn-ME"/>
        </w:rPr>
        <w:t>j</w:t>
      </w:r>
      <w:r w:rsidRPr="001D6D86">
        <w:rPr>
          <w:bCs/>
          <w:sz w:val="22"/>
          <w:szCs w:val="22"/>
          <w:lang w:val="sr-Latn-ME"/>
        </w:rPr>
        <w:t>erenim oštećenjem funkcije bubrega. Preporučena početna doza je 5 mg kod pacijenata sa um</w:t>
      </w:r>
      <w:r w:rsidR="003E1008" w:rsidRPr="001D6D86">
        <w:rPr>
          <w:bCs/>
          <w:sz w:val="22"/>
          <w:szCs w:val="22"/>
          <w:lang w:val="sr-Latn-ME"/>
        </w:rPr>
        <w:t>j</w:t>
      </w:r>
      <w:r w:rsidRPr="001D6D86">
        <w:rPr>
          <w:bCs/>
          <w:sz w:val="22"/>
          <w:szCs w:val="22"/>
          <w:lang w:val="sr-Latn-ME"/>
        </w:rPr>
        <w:t>erenim oštećenjem funkcije bubrega (klirens kreatinina &lt; 60 m</w:t>
      </w:r>
      <w:r w:rsidR="003E1008" w:rsidRPr="001D6D86">
        <w:rPr>
          <w:bCs/>
          <w:sz w:val="22"/>
          <w:szCs w:val="22"/>
          <w:lang w:val="sr-Latn-ME"/>
        </w:rPr>
        <w:t>l</w:t>
      </w:r>
      <w:r w:rsidRPr="001D6D86">
        <w:rPr>
          <w:bCs/>
          <w:sz w:val="22"/>
          <w:szCs w:val="22"/>
          <w:lang w:val="sr-Latn-ME"/>
        </w:rPr>
        <w:t>/min). Doza od 40 mg je kontraindikovana kod pacijenata sa um</w:t>
      </w:r>
      <w:r w:rsidR="003E1008" w:rsidRPr="001D6D86">
        <w:rPr>
          <w:bCs/>
          <w:sz w:val="22"/>
          <w:szCs w:val="22"/>
          <w:lang w:val="sr-Latn-ME"/>
        </w:rPr>
        <w:t>j</w:t>
      </w:r>
      <w:r w:rsidRPr="001D6D86">
        <w:rPr>
          <w:bCs/>
          <w:sz w:val="22"/>
          <w:szCs w:val="22"/>
          <w:lang w:val="sr-Latn-ME"/>
        </w:rPr>
        <w:t>erenim oštećenjem funkcije bubrega. Prim</w:t>
      </w:r>
      <w:r w:rsidR="003E1008" w:rsidRPr="001D6D86">
        <w:rPr>
          <w:bCs/>
          <w:sz w:val="22"/>
          <w:szCs w:val="22"/>
          <w:lang w:val="sr-Latn-ME"/>
        </w:rPr>
        <w:t>j</w:t>
      </w:r>
      <w:r w:rsidRPr="001D6D86">
        <w:rPr>
          <w:bCs/>
          <w:sz w:val="22"/>
          <w:szCs w:val="22"/>
          <w:lang w:val="sr-Latn-ME"/>
        </w:rPr>
        <w:t>ena rosuvastatina u svim dozama je kontraindikovana kod pacijenata sa teškim oštećenjem funkcije bubrega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4.3 i 5.2).</w:t>
      </w:r>
    </w:p>
    <w:p w14:paraId="67746B2F" w14:textId="77777777" w:rsidR="00030415" w:rsidRPr="001D6D86" w:rsidRDefault="00030415" w:rsidP="0026307D">
      <w:pPr>
        <w:tabs>
          <w:tab w:val="left" w:pos="540"/>
          <w:tab w:val="left" w:pos="569"/>
        </w:tabs>
        <w:jc w:val="both"/>
        <w:rPr>
          <w:bCs/>
          <w:sz w:val="22"/>
          <w:szCs w:val="22"/>
          <w:lang w:val="sr-Latn-ME"/>
        </w:rPr>
      </w:pPr>
    </w:p>
    <w:p w14:paraId="7840E4A7"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Pacijenati sa oštećenom funkcijom jetre</w:t>
      </w:r>
    </w:p>
    <w:p w14:paraId="6C90E129" w14:textId="1ED2035E"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Nije bilo povećanja sistemske izloženosti rosuvastatinu kod pacijenata sa </w:t>
      </w:r>
      <w:r w:rsidRPr="001D6D86">
        <w:rPr>
          <w:bCs/>
          <w:i/>
          <w:sz w:val="22"/>
          <w:szCs w:val="22"/>
          <w:lang w:val="sr-Latn-ME"/>
        </w:rPr>
        <w:t xml:space="preserve">Child Pugh </w:t>
      </w:r>
      <w:r w:rsidRPr="001D6D86">
        <w:rPr>
          <w:bCs/>
          <w:sz w:val="22"/>
          <w:szCs w:val="22"/>
          <w:lang w:val="sr-Latn-ME"/>
        </w:rPr>
        <w:t>skorom 7 ili manje. Ipak, prim</w:t>
      </w:r>
      <w:r w:rsidR="003E1008" w:rsidRPr="001D6D86">
        <w:rPr>
          <w:bCs/>
          <w:sz w:val="22"/>
          <w:szCs w:val="22"/>
          <w:lang w:val="sr-Latn-ME"/>
        </w:rPr>
        <w:t>ij</w:t>
      </w:r>
      <w:r w:rsidRPr="001D6D86">
        <w:rPr>
          <w:bCs/>
          <w:sz w:val="22"/>
          <w:szCs w:val="22"/>
          <w:lang w:val="sr-Latn-ME"/>
        </w:rPr>
        <w:t xml:space="preserve">ećena je veća sistemska izloženost kod pacijenata sa </w:t>
      </w:r>
      <w:r w:rsidRPr="001D6D86">
        <w:rPr>
          <w:bCs/>
          <w:i/>
          <w:sz w:val="22"/>
          <w:szCs w:val="22"/>
          <w:lang w:val="sr-Latn-ME"/>
        </w:rPr>
        <w:t xml:space="preserve">Child Pugh </w:t>
      </w:r>
      <w:r w:rsidRPr="001D6D86">
        <w:rPr>
          <w:bCs/>
          <w:sz w:val="22"/>
          <w:szCs w:val="22"/>
          <w:lang w:val="sr-Latn-ME"/>
        </w:rPr>
        <w:t>skorom 8 i 9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5.2). Kod ovih pacijenata potrebno je uraditi proc</w:t>
      </w:r>
      <w:r w:rsidR="003E1008" w:rsidRPr="001D6D86">
        <w:rPr>
          <w:bCs/>
          <w:sz w:val="22"/>
          <w:szCs w:val="22"/>
          <w:lang w:val="sr-Latn-ME"/>
        </w:rPr>
        <w:t>j</w:t>
      </w:r>
      <w:r w:rsidRPr="001D6D86">
        <w:rPr>
          <w:bCs/>
          <w:sz w:val="22"/>
          <w:szCs w:val="22"/>
          <w:lang w:val="sr-Latn-ME"/>
        </w:rPr>
        <w:t>enu bubrežne funkcije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4.4). Nema iskustava sa pacijentima kod kojih je </w:t>
      </w:r>
      <w:r w:rsidRPr="001D6D86">
        <w:rPr>
          <w:bCs/>
          <w:i/>
          <w:sz w:val="22"/>
          <w:szCs w:val="22"/>
          <w:lang w:val="sr-Latn-ME"/>
        </w:rPr>
        <w:t xml:space="preserve">Child Pugh </w:t>
      </w:r>
      <w:r w:rsidRPr="001D6D86">
        <w:rPr>
          <w:bCs/>
          <w:sz w:val="22"/>
          <w:szCs w:val="22"/>
          <w:lang w:val="sr-Latn-ME"/>
        </w:rPr>
        <w:t>skor veći od 9. Rosuvastatin je kontraindikovan kod pacijenata sa aktivnim oboljenjem jetre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4.3).</w:t>
      </w:r>
    </w:p>
    <w:p w14:paraId="0D1AE3E6" w14:textId="77777777" w:rsidR="00030415" w:rsidRPr="001D6D86" w:rsidRDefault="00030415" w:rsidP="0026307D">
      <w:pPr>
        <w:tabs>
          <w:tab w:val="left" w:pos="540"/>
          <w:tab w:val="left" w:pos="569"/>
        </w:tabs>
        <w:jc w:val="both"/>
        <w:rPr>
          <w:bCs/>
          <w:sz w:val="22"/>
          <w:szCs w:val="22"/>
          <w:lang w:val="sr-Latn-ME"/>
        </w:rPr>
      </w:pPr>
    </w:p>
    <w:p w14:paraId="5BA5A7B9"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Rasa</w:t>
      </w:r>
    </w:p>
    <w:p w14:paraId="7D2054BF" w14:textId="688D876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Veća sistemska izloženost je zab</w:t>
      </w:r>
      <w:r w:rsidR="003E1008" w:rsidRPr="001D6D86">
        <w:rPr>
          <w:bCs/>
          <w:sz w:val="22"/>
          <w:szCs w:val="22"/>
          <w:lang w:val="sr-Latn-ME"/>
        </w:rPr>
        <w:t>ilj</w:t>
      </w:r>
      <w:r w:rsidRPr="001D6D86">
        <w:rPr>
          <w:bCs/>
          <w:sz w:val="22"/>
          <w:szCs w:val="22"/>
          <w:lang w:val="sr-Latn-ME"/>
        </w:rPr>
        <w:t>ežena kod pacijenata azijskog porekla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4.3, 4.4 i 5.2). Preporučena početna doza je 5 mg za pacijente azijskog porekla. Doze od 40 mg su kontraindikovane kod ovih pacijenata.</w:t>
      </w:r>
    </w:p>
    <w:p w14:paraId="5C601CD8" w14:textId="77777777" w:rsidR="00030415" w:rsidRPr="001D6D86" w:rsidRDefault="00030415" w:rsidP="0026307D">
      <w:pPr>
        <w:tabs>
          <w:tab w:val="left" w:pos="540"/>
          <w:tab w:val="left" w:pos="569"/>
        </w:tabs>
        <w:jc w:val="both"/>
        <w:rPr>
          <w:bCs/>
          <w:sz w:val="22"/>
          <w:szCs w:val="22"/>
          <w:lang w:val="sr-Latn-ME"/>
        </w:rPr>
      </w:pPr>
    </w:p>
    <w:p w14:paraId="6E3F753D"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Genetski polimorfizam</w:t>
      </w:r>
    </w:p>
    <w:p w14:paraId="13819F25" w14:textId="2982F030"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Određeni tipovi genetskog polimorfizma mogu dovesti do povećane izloženosti rosuvastatinu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5.2). Kod pacijenata za koje je poznato da imaju ove specifične tipove polimorfizma preporučuje se manja doza rosuvastatina.</w:t>
      </w:r>
    </w:p>
    <w:p w14:paraId="6EC31D30" w14:textId="77777777" w:rsidR="00030415" w:rsidRPr="001D6D86" w:rsidRDefault="00030415" w:rsidP="0026307D">
      <w:pPr>
        <w:tabs>
          <w:tab w:val="left" w:pos="540"/>
          <w:tab w:val="left" w:pos="569"/>
        </w:tabs>
        <w:jc w:val="both"/>
        <w:rPr>
          <w:bCs/>
          <w:sz w:val="22"/>
          <w:szCs w:val="22"/>
          <w:lang w:val="sr-Latn-ME"/>
        </w:rPr>
      </w:pPr>
    </w:p>
    <w:p w14:paraId="4E43B6F8" w14:textId="77777777" w:rsidR="00030415" w:rsidRPr="001D6D86" w:rsidRDefault="00030415" w:rsidP="0026307D">
      <w:pPr>
        <w:tabs>
          <w:tab w:val="left" w:pos="540"/>
          <w:tab w:val="left" w:pos="569"/>
        </w:tabs>
        <w:jc w:val="both"/>
        <w:rPr>
          <w:b/>
          <w:bCs/>
          <w:sz w:val="22"/>
          <w:szCs w:val="22"/>
          <w:lang w:val="sr-Latn-ME"/>
        </w:rPr>
      </w:pPr>
      <w:r w:rsidRPr="001D6D86">
        <w:rPr>
          <w:b/>
          <w:bCs/>
          <w:sz w:val="22"/>
          <w:szCs w:val="22"/>
          <w:lang w:val="sr-Latn-ME"/>
        </w:rPr>
        <w:t>Doziranje kod pacijenata sa predisponirajućim faktorima za razvoj miopatije</w:t>
      </w:r>
    </w:p>
    <w:p w14:paraId="16CF1DBD" w14:textId="0403DC4C"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Preporučena početna doza je 5 mg kod pacijenata koji imaju predispozicije za razvoj miopatije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4.4). Doze od 40 mg su kontraindikovane kod nekih od ovih pacijenata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4.3).</w:t>
      </w:r>
    </w:p>
    <w:p w14:paraId="22B4A6BE" w14:textId="77777777" w:rsidR="00030415" w:rsidRPr="001D6D86" w:rsidRDefault="00030415" w:rsidP="0026307D">
      <w:pPr>
        <w:tabs>
          <w:tab w:val="left" w:pos="540"/>
          <w:tab w:val="left" w:pos="569"/>
        </w:tabs>
        <w:jc w:val="both"/>
        <w:rPr>
          <w:bCs/>
          <w:sz w:val="22"/>
          <w:szCs w:val="22"/>
          <w:lang w:val="sr-Latn-ME"/>
        </w:rPr>
      </w:pPr>
    </w:p>
    <w:p w14:paraId="076D7AA7" w14:textId="2952348E" w:rsidR="00030415" w:rsidRPr="001D6D86" w:rsidRDefault="00030415" w:rsidP="0026307D">
      <w:pPr>
        <w:tabs>
          <w:tab w:val="left" w:pos="540"/>
          <w:tab w:val="left" w:pos="569"/>
        </w:tabs>
        <w:jc w:val="both"/>
        <w:rPr>
          <w:b/>
          <w:bCs/>
          <w:sz w:val="22"/>
          <w:szCs w:val="22"/>
          <w:lang w:val="sr-Latn-ME"/>
        </w:rPr>
      </w:pPr>
      <w:r w:rsidRPr="001D6D86">
        <w:rPr>
          <w:b/>
          <w:bCs/>
          <w:sz w:val="22"/>
          <w:szCs w:val="22"/>
          <w:lang w:val="sr-Latn-ME"/>
        </w:rPr>
        <w:t>Istovremena prim</w:t>
      </w:r>
      <w:r w:rsidR="003E1008" w:rsidRPr="001D6D86">
        <w:rPr>
          <w:b/>
          <w:bCs/>
          <w:sz w:val="22"/>
          <w:szCs w:val="22"/>
          <w:lang w:val="sr-Latn-ME"/>
        </w:rPr>
        <w:t>j</w:t>
      </w:r>
      <w:r w:rsidRPr="001D6D86">
        <w:rPr>
          <w:b/>
          <w:bCs/>
          <w:sz w:val="22"/>
          <w:szCs w:val="22"/>
          <w:lang w:val="sr-Latn-ME"/>
        </w:rPr>
        <w:t xml:space="preserve">ena drugih </w:t>
      </w:r>
      <w:r w:rsidR="00637E1E" w:rsidRPr="001D6D86">
        <w:rPr>
          <w:b/>
          <w:bCs/>
          <w:sz w:val="22"/>
          <w:szCs w:val="22"/>
          <w:lang w:val="sr-Latn-ME"/>
        </w:rPr>
        <w:t>ljekova</w:t>
      </w:r>
    </w:p>
    <w:p w14:paraId="0E0711EB" w14:textId="0B46E879"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Rosuvastatin je supstrat različitih transportnih proteina (npr. OATP1B1 i BCRP). Rizik od miopatije (uključujući i rabdomiolizu) je povećan kada se rosuvastatin daje u kombinaciji sa određenim l</w:t>
      </w:r>
      <w:r w:rsidR="003E1008" w:rsidRPr="001D6D86">
        <w:rPr>
          <w:bCs/>
          <w:sz w:val="22"/>
          <w:szCs w:val="22"/>
          <w:lang w:val="sr-Latn-ME"/>
        </w:rPr>
        <w:t>j</w:t>
      </w:r>
      <w:r w:rsidRPr="001D6D86">
        <w:rPr>
          <w:bCs/>
          <w:sz w:val="22"/>
          <w:szCs w:val="22"/>
          <w:lang w:val="sr-Latn-ME"/>
        </w:rPr>
        <w:t>ekovima koji mogu da povećaju koncentraciju rosuvastatina usl</w:t>
      </w:r>
      <w:r w:rsidR="003E1008" w:rsidRPr="001D6D86">
        <w:rPr>
          <w:bCs/>
          <w:sz w:val="22"/>
          <w:szCs w:val="22"/>
          <w:lang w:val="sr-Latn-ME"/>
        </w:rPr>
        <w:t>j</w:t>
      </w:r>
      <w:r w:rsidRPr="001D6D86">
        <w:rPr>
          <w:bCs/>
          <w:sz w:val="22"/>
          <w:szCs w:val="22"/>
          <w:lang w:val="sr-Latn-ME"/>
        </w:rPr>
        <w:t>ed interakcija sa transportnim proteinima (npr.  ciklosporin i određeni inhibitori proteaza, uključujući kombinacije ritonavira sa atazanavirom, lopinavirom i/ili tipranavirom;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djelove</w:t>
      </w:r>
      <w:r w:rsidRPr="001D6D86">
        <w:rPr>
          <w:bCs/>
          <w:sz w:val="22"/>
          <w:szCs w:val="22"/>
          <w:lang w:val="sr-Latn-ME"/>
        </w:rPr>
        <w:t xml:space="preserve"> 4.4 i 4.5). Kad god je moguće, trebalo bi razmotriti </w:t>
      </w:r>
      <w:r w:rsidRPr="001D6D86">
        <w:rPr>
          <w:bCs/>
          <w:sz w:val="22"/>
          <w:szCs w:val="22"/>
          <w:lang w:val="sr-Latn-ME"/>
        </w:rPr>
        <w:lastRenderedPageBreak/>
        <w:t>prim</w:t>
      </w:r>
      <w:r w:rsidR="003E1008" w:rsidRPr="001D6D86">
        <w:rPr>
          <w:bCs/>
          <w:sz w:val="22"/>
          <w:szCs w:val="22"/>
          <w:lang w:val="sr-Latn-ME"/>
        </w:rPr>
        <w:t>j</w:t>
      </w:r>
      <w:r w:rsidRPr="001D6D86">
        <w:rPr>
          <w:bCs/>
          <w:sz w:val="22"/>
          <w:szCs w:val="22"/>
          <w:lang w:val="sr-Latn-ME"/>
        </w:rPr>
        <w:t>enu drugih l</w:t>
      </w:r>
      <w:r w:rsidR="003E1008" w:rsidRPr="001D6D86">
        <w:rPr>
          <w:bCs/>
          <w:sz w:val="22"/>
          <w:szCs w:val="22"/>
          <w:lang w:val="sr-Latn-ME"/>
        </w:rPr>
        <w:t>j</w:t>
      </w:r>
      <w:r w:rsidRPr="001D6D86">
        <w:rPr>
          <w:bCs/>
          <w:sz w:val="22"/>
          <w:szCs w:val="22"/>
          <w:lang w:val="sr-Latn-ME"/>
        </w:rPr>
        <w:t>ekova i ukoliko je neophodno, razmotriti mogućnost privremenog prekida terapije rosuvastatinom. U situacijama kada je prim</w:t>
      </w:r>
      <w:r w:rsidR="003E1008" w:rsidRPr="001D6D86">
        <w:rPr>
          <w:bCs/>
          <w:sz w:val="22"/>
          <w:szCs w:val="22"/>
          <w:lang w:val="sr-Latn-ME"/>
        </w:rPr>
        <w:t>j</w:t>
      </w:r>
      <w:r w:rsidRPr="001D6D86">
        <w:rPr>
          <w:bCs/>
          <w:sz w:val="22"/>
          <w:szCs w:val="22"/>
          <w:lang w:val="sr-Latn-ME"/>
        </w:rPr>
        <w:t>ena ovih l</w:t>
      </w:r>
      <w:r w:rsidR="003E1008" w:rsidRPr="001D6D86">
        <w:rPr>
          <w:bCs/>
          <w:sz w:val="22"/>
          <w:szCs w:val="22"/>
          <w:lang w:val="sr-Latn-ME"/>
        </w:rPr>
        <w:t>j</w:t>
      </w:r>
      <w:r w:rsidRPr="001D6D86">
        <w:rPr>
          <w:bCs/>
          <w:sz w:val="22"/>
          <w:szCs w:val="22"/>
          <w:lang w:val="sr-Latn-ME"/>
        </w:rPr>
        <w:t>ekova u kombinaciji sa rosuvastatinom neizb</w:t>
      </w:r>
      <w:r w:rsidR="003E1008" w:rsidRPr="001D6D86">
        <w:rPr>
          <w:bCs/>
          <w:sz w:val="22"/>
          <w:szCs w:val="22"/>
          <w:lang w:val="sr-Latn-ME"/>
        </w:rPr>
        <w:t>j</w:t>
      </w:r>
      <w:r w:rsidRPr="001D6D86">
        <w:rPr>
          <w:bCs/>
          <w:sz w:val="22"/>
          <w:szCs w:val="22"/>
          <w:lang w:val="sr-Latn-ME"/>
        </w:rPr>
        <w:t>ežna, treba pažljivo razmotriti odnos koristi i rizika ovakve terapije i pažljivo prilagoditi dozu rosuvastatina (vid</w:t>
      </w:r>
      <w:r w:rsidR="003E1008" w:rsidRPr="001D6D86">
        <w:rPr>
          <w:bCs/>
          <w:sz w:val="22"/>
          <w:szCs w:val="22"/>
          <w:lang w:val="sr-Latn-ME"/>
        </w:rPr>
        <w:t>j</w:t>
      </w:r>
      <w:r w:rsidRPr="001D6D86">
        <w:rPr>
          <w:bCs/>
          <w:sz w:val="22"/>
          <w:szCs w:val="22"/>
          <w:lang w:val="sr-Latn-ME"/>
        </w:rPr>
        <w:t xml:space="preserve">eti </w:t>
      </w:r>
      <w:r w:rsidR="003E1008" w:rsidRPr="001D6D86">
        <w:rPr>
          <w:bCs/>
          <w:sz w:val="22"/>
          <w:szCs w:val="22"/>
          <w:lang w:val="sr-Latn-ME"/>
        </w:rPr>
        <w:t>dio</w:t>
      </w:r>
      <w:r w:rsidRPr="001D6D86">
        <w:rPr>
          <w:bCs/>
          <w:sz w:val="22"/>
          <w:szCs w:val="22"/>
          <w:lang w:val="sr-Latn-ME"/>
        </w:rPr>
        <w:t xml:space="preserve"> 4.5).</w:t>
      </w:r>
    </w:p>
    <w:p w14:paraId="3A511F62" w14:textId="62FDDC50" w:rsidR="0015697D" w:rsidRPr="001D6D86" w:rsidRDefault="0015697D" w:rsidP="0026307D">
      <w:pPr>
        <w:tabs>
          <w:tab w:val="left" w:pos="540"/>
          <w:tab w:val="left" w:pos="569"/>
        </w:tabs>
        <w:jc w:val="both"/>
        <w:rPr>
          <w:bCs/>
          <w:sz w:val="22"/>
          <w:szCs w:val="22"/>
          <w:lang w:val="sr-Latn-ME"/>
        </w:rPr>
      </w:pPr>
    </w:p>
    <w:p w14:paraId="3FF9C2AD" w14:textId="4C87D373" w:rsidR="0015697D" w:rsidRPr="001D6D86" w:rsidRDefault="0015697D" w:rsidP="0026307D">
      <w:pPr>
        <w:tabs>
          <w:tab w:val="left" w:pos="540"/>
          <w:tab w:val="left" w:pos="569"/>
        </w:tabs>
        <w:jc w:val="both"/>
        <w:rPr>
          <w:bCs/>
          <w:sz w:val="22"/>
          <w:szCs w:val="22"/>
          <w:u w:val="single"/>
          <w:lang w:val="sr-Latn-ME"/>
        </w:rPr>
      </w:pPr>
      <w:r w:rsidRPr="001D6D86">
        <w:rPr>
          <w:bCs/>
          <w:sz w:val="22"/>
          <w:szCs w:val="22"/>
          <w:u w:val="single"/>
          <w:lang w:val="sr-Latn-ME"/>
        </w:rPr>
        <w:t>Način primjene</w:t>
      </w:r>
    </w:p>
    <w:p w14:paraId="11C7BB0C" w14:textId="4182F412" w:rsidR="0015697D" w:rsidRPr="001D6D86" w:rsidRDefault="0015697D" w:rsidP="0026307D">
      <w:pPr>
        <w:tabs>
          <w:tab w:val="left" w:pos="540"/>
          <w:tab w:val="left" w:pos="569"/>
        </w:tabs>
        <w:jc w:val="both"/>
        <w:rPr>
          <w:bCs/>
          <w:sz w:val="22"/>
          <w:szCs w:val="22"/>
          <w:lang w:val="sr-Latn-ME"/>
        </w:rPr>
      </w:pPr>
      <w:r w:rsidRPr="001D6D86">
        <w:rPr>
          <w:bCs/>
          <w:sz w:val="22"/>
          <w:szCs w:val="22"/>
          <w:lang w:val="sr-Latn-ME"/>
        </w:rPr>
        <w:t xml:space="preserve">Lijek Coupet se uzima oralno. </w:t>
      </w:r>
    </w:p>
    <w:p w14:paraId="57DA394B" w14:textId="47175F31" w:rsidR="0015697D" w:rsidRPr="001D6D86" w:rsidRDefault="0015697D" w:rsidP="0026307D">
      <w:pPr>
        <w:tabs>
          <w:tab w:val="left" w:pos="540"/>
          <w:tab w:val="left" w:pos="569"/>
        </w:tabs>
        <w:jc w:val="both"/>
        <w:rPr>
          <w:bCs/>
          <w:sz w:val="22"/>
          <w:szCs w:val="22"/>
          <w:lang w:val="sr-Latn-ME"/>
        </w:rPr>
      </w:pPr>
      <w:r w:rsidRPr="001D6D86">
        <w:rPr>
          <w:bCs/>
          <w:sz w:val="22"/>
          <w:szCs w:val="22"/>
          <w:lang w:val="sr-Latn-ME"/>
        </w:rPr>
        <w:t>Lijek Coupet se može uzimati u bilo koje vrijeme, nezavisno od obroka.</w:t>
      </w:r>
    </w:p>
    <w:p w14:paraId="11DE144C" w14:textId="77777777" w:rsidR="003E1008" w:rsidRPr="001D6D86" w:rsidRDefault="003E1008" w:rsidP="0026307D">
      <w:pPr>
        <w:tabs>
          <w:tab w:val="left" w:pos="540"/>
          <w:tab w:val="left" w:pos="569"/>
        </w:tabs>
        <w:jc w:val="both"/>
        <w:rPr>
          <w:bCs/>
          <w:sz w:val="22"/>
          <w:szCs w:val="22"/>
          <w:lang w:val="sr-Latn-ME"/>
        </w:rPr>
      </w:pPr>
    </w:p>
    <w:p w14:paraId="3580A03C" w14:textId="273C48B3" w:rsidR="00411B4B" w:rsidRPr="001D6D86" w:rsidRDefault="00411B4B" w:rsidP="0026307D">
      <w:pPr>
        <w:tabs>
          <w:tab w:val="left" w:pos="540"/>
          <w:tab w:val="left" w:pos="569"/>
        </w:tabs>
        <w:jc w:val="both"/>
        <w:rPr>
          <w:b/>
          <w:bCs/>
          <w:sz w:val="22"/>
          <w:szCs w:val="22"/>
          <w:lang w:val="sr-Latn-ME"/>
        </w:rPr>
      </w:pPr>
      <w:r w:rsidRPr="001D6D86">
        <w:rPr>
          <w:b/>
          <w:bCs/>
          <w:sz w:val="22"/>
          <w:szCs w:val="22"/>
          <w:lang w:val="sr-Latn-ME"/>
        </w:rPr>
        <w:t xml:space="preserve">4.3. </w:t>
      </w:r>
      <w:r w:rsidR="00480FB1" w:rsidRPr="001D6D86">
        <w:rPr>
          <w:b/>
          <w:bCs/>
          <w:sz w:val="22"/>
          <w:szCs w:val="22"/>
          <w:lang w:val="sr-Latn-ME"/>
        </w:rPr>
        <w:tab/>
      </w:r>
      <w:r w:rsidRPr="001D6D86">
        <w:rPr>
          <w:b/>
          <w:bCs/>
          <w:sz w:val="22"/>
          <w:szCs w:val="22"/>
          <w:lang w:val="sr-Latn-ME"/>
        </w:rPr>
        <w:t>Kontraindikacije</w:t>
      </w:r>
    </w:p>
    <w:p w14:paraId="4EBDC282" w14:textId="77777777" w:rsidR="0015697D" w:rsidRPr="001D6D86" w:rsidRDefault="0015697D" w:rsidP="0026307D">
      <w:pPr>
        <w:tabs>
          <w:tab w:val="left" w:pos="540"/>
          <w:tab w:val="left" w:pos="569"/>
        </w:tabs>
        <w:jc w:val="both"/>
        <w:rPr>
          <w:b/>
          <w:bCs/>
          <w:sz w:val="22"/>
          <w:szCs w:val="22"/>
          <w:lang w:val="sr-Latn-ME"/>
        </w:rPr>
      </w:pPr>
    </w:p>
    <w:p w14:paraId="5BC3BB39" w14:textId="6D9015D8"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L</w:t>
      </w:r>
      <w:r w:rsidR="003E1008" w:rsidRPr="001D6D86">
        <w:rPr>
          <w:bCs/>
          <w:sz w:val="22"/>
          <w:szCs w:val="22"/>
          <w:lang w:val="sr-Latn-ME"/>
        </w:rPr>
        <w:t>ij</w:t>
      </w:r>
      <w:r w:rsidRPr="001D6D86">
        <w:rPr>
          <w:bCs/>
          <w:sz w:val="22"/>
          <w:szCs w:val="22"/>
          <w:lang w:val="sr-Latn-ME"/>
        </w:rPr>
        <w:t>ek COUPET je kontraindikovan:</w:t>
      </w:r>
    </w:p>
    <w:p w14:paraId="7EF269A5" w14:textId="704EA8F8"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kod pacijenata koji su preos</w:t>
      </w:r>
      <w:r w:rsidR="003E1008" w:rsidRPr="001D6D86">
        <w:rPr>
          <w:bCs/>
          <w:sz w:val="22"/>
          <w:szCs w:val="22"/>
          <w:lang w:val="sr-Latn-ME"/>
        </w:rPr>
        <w:t>j</w:t>
      </w:r>
      <w:r w:rsidRPr="001D6D86">
        <w:rPr>
          <w:bCs/>
          <w:sz w:val="22"/>
          <w:szCs w:val="22"/>
          <w:lang w:val="sr-Latn-ME"/>
        </w:rPr>
        <w:t xml:space="preserve">etljivi na rosuvastatin ili na bilo koju od pomoćnih supstanci navedenih u </w:t>
      </w:r>
      <w:r w:rsidR="003E1008" w:rsidRPr="001D6D86">
        <w:rPr>
          <w:bCs/>
          <w:sz w:val="22"/>
          <w:szCs w:val="22"/>
          <w:lang w:val="sr-Latn-ME"/>
        </w:rPr>
        <w:t>dijelu</w:t>
      </w:r>
      <w:r w:rsidRPr="001D6D86">
        <w:rPr>
          <w:bCs/>
          <w:sz w:val="22"/>
          <w:szCs w:val="22"/>
          <w:lang w:val="sr-Latn-ME"/>
        </w:rPr>
        <w:t xml:space="preserve"> 6.1;</w:t>
      </w:r>
    </w:p>
    <w:p w14:paraId="34CBED62" w14:textId="0AB143BD"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kod pacijenata sa aktivnim oboljenjem jetre, uključujući neobjašnjiva i stalna povećanja vr</w:t>
      </w:r>
      <w:r w:rsidR="003E1008" w:rsidRPr="001D6D86">
        <w:rPr>
          <w:bCs/>
          <w:sz w:val="22"/>
          <w:szCs w:val="22"/>
          <w:lang w:val="sr-Latn-ME"/>
        </w:rPr>
        <w:t>ij</w:t>
      </w:r>
      <w:r w:rsidRPr="001D6D86">
        <w:rPr>
          <w:bCs/>
          <w:sz w:val="22"/>
          <w:szCs w:val="22"/>
          <w:lang w:val="sr-Latn-ME"/>
        </w:rPr>
        <w:t>ednosti transaminaza u serumu i svaki porast vr</w:t>
      </w:r>
      <w:r w:rsidR="003E1008" w:rsidRPr="001D6D86">
        <w:rPr>
          <w:bCs/>
          <w:sz w:val="22"/>
          <w:szCs w:val="22"/>
          <w:lang w:val="sr-Latn-ME"/>
        </w:rPr>
        <w:t>ij</w:t>
      </w:r>
      <w:r w:rsidRPr="001D6D86">
        <w:rPr>
          <w:bCs/>
          <w:sz w:val="22"/>
          <w:szCs w:val="22"/>
          <w:lang w:val="sr-Latn-ME"/>
        </w:rPr>
        <w:t>ednosti transaminaza u serumu koji prevazilazi trostruku vr</w:t>
      </w:r>
      <w:r w:rsidR="003E1008" w:rsidRPr="001D6D86">
        <w:rPr>
          <w:bCs/>
          <w:sz w:val="22"/>
          <w:szCs w:val="22"/>
          <w:lang w:val="sr-Latn-ME"/>
        </w:rPr>
        <w:t>ij</w:t>
      </w:r>
      <w:r w:rsidRPr="001D6D86">
        <w:rPr>
          <w:bCs/>
          <w:sz w:val="22"/>
          <w:szCs w:val="22"/>
          <w:lang w:val="sr-Latn-ME"/>
        </w:rPr>
        <w:t>ednost gornje granice normalnih vr</w:t>
      </w:r>
      <w:r w:rsidR="003E1008" w:rsidRPr="001D6D86">
        <w:rPr>
          <w:bCs/>
          <w:sz w:val="22"/>
          <w:szCs w:val="22"/>
          <w:lang w:val="sr-Latn-ME"/>
        </w:rPr>
        <w:t>ij</w:t>
      </w:r>
      <w:r w:rsidRPr="001D6D86">
        <w:rPr>
          <w:bCs/>
          <w:sz w:val="22"/>
          <w:szCs w:val="22"/>
          <w:lang w:val="sr-Latn-ME"/>
        </w:rPr>
        <w:t xml:space="preserve">ednosti (engl. </w:t>
      </w:r>
      <w:r w:rsidRPr="001D6D86">
        <w:rPr>
          <w:bCs/>
          <w:i/>
          <w:sz w:val="22"/>
          <w:szCs w:val="22"/>
          <w:lang w:val="sr-Latn-ME"/>
        </w:rPr>
        <w:t>upper limit of normal</w:t>
      </w:r>
      <w:r w:rsidRPr="001D6D86">
        <w:rPr>
          <w:bCs/>
          <w:sz w:val="22"/>
          <w:szCs w:val="22"/>
          <w:lang w:val="sr-Latn-ME"/>
        </w:rPr>
        <w:t>, ULN),</w:t>
      </w:r>
    </w:p>
    <w:p w14:paraId="0E5E879F" w14:textId="4FE9803E"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kod pacijenata sa teškim oštećenjem funkcije bubrega (klirens kreatinina &lt;30 m</w:t>
      </w:r>
      <w:r w:rsidR="003E1008" w:rsidRPr="001D6D86">
        <w:rPr>
          <w:bCs/>
          <w:sz w:val="22"/>
          <w:szCs w:val="22"/>
          <w:lang w:val="sr-Latn-ME"/>
        </w:rPr>
        <w:t>l</w:t>
      </w:r>
      <w:r w:rsidRPr="001D6D86">
        <w:rPr>
          <w:bCs/>
          <w:sz w:val="22"/>
          <w:szCs w:val="22"/>
          <w:lang w:val="sr-Latn-ME"/>
        </w:rPr>
        <w:t>/min),</w:t>
      </w:r>
    </w:p>
    <w:p w14:paraId="5B858905" w14:textId="77777777"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kod pacijenata sa miopatijom,</w:t>
      </w:r>
    </w:p>
    <w:p w14:paraId="2CE66FBE" w14:textId="1536085E"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 xml:space="preserve">kod pacijenata koji istovremeno uzimaju kombinaciju sofosbuvir/velpatasvir/voksilaprevir (pogledati </w:t>
      </w:r>
      <w:r w:rsidR="003E1008" w:rsidRPr="001D6D86">
        <w:rPr>
          <w:bCs/>
          <w:sz w:val="22"/>
          <w:szCs w:val="22"/>
          <w:lang w:val="sr-Latn-ME"/>
        </w:rPr>
        <w:t>dio</w:t>
      </w:r>
      <w:r w:rsidRPr="001D6D86">
        <w:rPr>
          <w:bCs/>
          <w:sz w:val="22"/>
          <w:szCs w:val="22"/>
          <w:lang w:val="sr-Latn-ME"/>
        </w:rPr>
        <w:t xml:space="preserve"> 4.5). </w:t>
      </w:r>
    </w:p>
    <w:p w14:paraId="1F598738" w14:textId="77777777"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kod pacijenata koji istovremeno primaju ciklosporin,</w:t>
      </w:r>
    </w:p>
    <w:p w14:paraId="48A535DA" w14:textId="201EC781"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tokom perioda trudnoće i dojenja, kao i kod žena u reproduktivnom periodu koje ne koriste odgovarajuće m</w:t>
      </w:r>
      <w:r w:rsidR="00D41D02" w:rsidRPr="001D6D86">
        <w:rPr>
          <w:bCs/>
          <w:sz w:val="22"/>
          <w:szCs w:val="22"/>
          <w:lang w:val="sr-Latn-ME"/>
        </w:rPr>
        <w:t>j</w:t>
      </w:r>
      <w:r w:rsidRPr="001D6D86">
        <w:rPr>
          <w:bCs/>
          <w:sz w:val="22"/>
          <w:szCs w:val="22"/>
          <w:lang w:val="sr-Latn-ME"/>
        </w:rPr>
        <w:t>ere kontracepcije.</w:t>
      </w:r>
    </w:p>
    <w:p w14:paraId="57D86D1D" w14:textId="77777777" w:rsidR="00A673BE" w:rsidRPr="001D6D86" w:rsidRDefault="00A673BE" w:rsidP="0026307D">
      <w:pPr>
        <w:tabs>
          <w:tab w:val="left" w:pos="540"/>
          <w:tab w:val="left" w:pos="569"/>
        </w:tabs>
        <w:ind w:left="832"/>
        <w:jc w:val="right"/>
        <w:rPr>
          <w:bCs/>
          <w:sz w:val="22"/>
          <w:szCs w:val="22"/>
          <w:lang w:val="sr-Latn-ME"/>
        </w:rPr>
      </w:pPr>
    </w:p>
    <w:p w14:paraId="050FC31E"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Doza od 40 mg rosuvastatina je kontraindikovana kod pacijenata sa predisponirajućim faktorima za razvoj miopatije/rabdomiolize. Ovi faktori su:</w:t>
      </w:r>
    </w:p>
    <w:p w14:paraId="48BCFDFC" w14:textId="7CF377ED"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um</w:t>
      </w:r>
      <w:r w:rsidR="00D41D02" w:rsidRPr="001D6D86">
        <w:rPr>
          <w:bCs/>
          <w:sz w:val="22"/>
          <w:szCs w:val="22"/>
          <w:lang w:val="sr-Latn-ME"/>
        </w:rPr>
        <w:t>j</w:t>
      </w:r>
      <w:r w:rsidRPr="001D6D86">
        <w:rPr>
          <w:bCs/>
          <w:sz w:val="22"/>
          <w:szCs w:val="22"/>
          <w:lang w:val="sr-Latn-ME"/>
        </w:rPr>
        <w:t>ereno oštećenje funkcije bubrega (klirens kreatinina &lt;60 m</w:t>
      </w:r>
      <w:r w:rsidR="00D41D02" w:rsidRPr="001D6D86">
        <w:rPr>
          <w:bCs/>
          <w:sz w:val="22"/>
          <w:szCs w:val="22"/>
          <w:lang w:val="sr-Latn-ME"/>
        </w:rPr>
        <w:t>l</w:t>
      </w:r>
      <w:r w:rsidRPr="001D6D86">
        <w:rPr>
          <w:bCs/>
          <w:sz w:val="22"/>
          <w:szCs w:val="22"/>
          <w:lang w:val="sr-Latn-ME"/>
        </w:rPr>
        <w:t>/min),</w:t>
      </w:r>
    </w:p>
    <w:p w14:paraId="15688D35" w14:textId="77777777"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hipotireoidizam,</w:t>
      </w:r>
    </w:p>
    <w:p w14:paraId="66FDE9DE" w14:textId="234CAA3F"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postojanje u ličnoj ili porodičnoj anamnezi nasl</w:t>
      </w:r>
      <w:r w:rsidR="00D41D02" w:rsidRPr="001D6D86">
        <w:rPr>
          <w:bCs/>
          <w:sz w:val="22"/>
          <w:szCs w:val="22"/>
          <w:lang w:val="sr-Latn-ME"/>
        </w:rPr>
        <w:t>j</w:t>
      </w:r>
      <w:r w:rsidRPr="001D6D86">
        <w:rPr>
          <w:bCs/>
          <w:sz w:val="22"/>
          <w:szCs w:val="22"/>
          <w:lang w:val="sr-Latn-ME"/>
        </w:rPr>
        <w:t>ednih mišićnih poremećaja,</w:t>
      </w:r>
    </w:p>
    <w:p w14:paraId="3601CBA8" w14:textId="4F2C0322"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mišićna toksičnosti pri prim</w:t>
      </w:r>
      <w:r w:rsidR="00D41D02" w:rsidRPr="001D6D86">
        <w:rPr>
          <w:bCs/>
          <w:sz w:val="22"/>
          <w:szCs w:val="22"/>
          <w:lang w:val="sr-Latn-ME"/>
        </w:rPr>
        <w:t>j</w:t>
      </w:r>
      <w:r w:rsidRPr="001D6D86">
        <w:rPr>
          <w:bCs/>
          <w:sz w:val="22"/>
          <w:szCs w:val="22"/>
          <w:lang w:val="sr-Latn-ME"/>
        </w:rPr>
        <w:t>eni nekog od inhibitora HMG-CoA reduktaze ili fibrata u anamnezi,</w:t>
      </w:r>
    </w:p>
    <w:p w14:paraId="7DEEB5FB" w14:textId="77777777"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zloupotreba alkohola,</w:t>
      </w:r>
    </w:p>
    <w:p w14:paraId="49C8691A" w14:textId="0260EAE9"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situacije u kojima može doći do povećanja koncentracije l</w:t>
      </w:r>
      <w:r w:rsidR="00D41D02" w:rsidRPr="001D6D86">
        <w:rPr>
          <w:bCs/>
          <w:sz w:val="22"/>
          <w:szCs w:val="22"/>
          <w:lang w:val="sr-Latn-ME"/>
        </w:rPr>
        <w:t>ij</w:t>
      </w:r>
      <w:r w:rsidRPr="001D6D86">
        <w:rPr>
          <w:bCs/>
          <w:sz w:val="22"/>
          <w:szCs w:val="22"/>
          <w:lang w:val="sr-Latn-ME"/>
        </w:rPr>
        <w:t>eka u plazmi,</w:t>
      </w:r>
    </w:p>
    <w:p w14:paraId="2874DB4B" w14:textId="77777777" w:rsidR="00030415"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pacijenti azijskog porekla,</w:t>
      </w:r>
    </w:p>
    <w:p w14:paraId="228FF949" w14:textId="1234EE0A" w:rsidR="0072020E" w:rsidRPr="001D6D86" w:rsidRDefault="00030415" w:rsidP="0026307D">
      <w:pPr>
        <w:numPr>
          <w:ilvl w:val="2"/>
          <w:numId w:val="12"/>
        </w:numPr>
        <w:tabs>
          <w:tab w:val="left" w:pos="540"/>
          <w:tab w:val="left" w:pos="569"/>
        </w:tabs>
        <w:jc w:val="both"/>
        <w:rPr>
          <w:bCs/>
          <w:sz w:val="22"/>
          <w:szCs w:val="22"/>
          <w:lang w:val="sr-Latn-ME"/>
        </w:rPr>
      </w:pPr>
      <w:r w:rsidRPr="001D6D86">
        <w:rPr>
          <w:bCs/>
          <w:sz w:val="22"/>
          <w:szCs w:val="22"/>
          <w:lang w:val="sr-Latn-ME"/>
        </w:rPr>
        <w:t>istovremena upotreba fibrata (vid</w:t>
      </w:r>
      <w:r w:rsidR="00D41D02" w:rsidRPr="001D6D86">
        <w:rPr>
          <w:bCs/>
          <w:sz w:val="22"/>
          <w:szCs w:val="22"/>
          <w:lang w:val="sr-Latn-ME"/>
        </w:rPr>
        <w:t>j</w:t>
      </w:r>
      <w:r w:rsidRPr="001D6D86">
        <w:rPr>
          <w:bCs/>
          <w:sz w:val="22"/>
          <w:szCs w:val="22"/>
          <w:lang w:val="sr-Latn-ME"/>
        </w:rPr>
        <w:t xml:space="preserve">eti </w:t>
      </w:r>
      <w:r w:rsidR="00637E1E" w:rsidRPr="001D6D86">
        <w:rPr>
          <w:bCs/>
          <w:sz w:val="22"/>
          <w:szCs w:val="22"/>
          <w:lang w:val="sr-Latn-ME"/>
        </w:rPr>
        <w:t>djelove</w:t>
      </w:r>
      <w:r w:rsidRPr="001D6D86">
        <w:rPr>
          <w:bCs/>
          <w:sz w:val="22"/>
          <w:szCs w:val="22"/>
          <w:lang w:val="sr-Latn-ME"/>
        </w:rPr>
        <w:t xml:space="preserve"> 4.4, 4.5. i 5.2)</w:t>
      </w:r>
    </w:p>
    <w:p w14:paraId="5A857652" w14:textId="77777777" w:rsidR="00030415" w:rsidRPr="001D6D86" w:rsidRDefault="00030415" w:rsidP="0026307D">
      <w:pPr>
        <w:tabs>
          <w:tab w:val="left" w:pos="540"/>
          <w:tab w:val="left" w:pos="569"/>
        </w:tabs>
        <w:jc w:val="both"/>
        <w:rPr>
          <w:bCs/>
          <w:sz w:val="22"/>
          <w:szCs w:val="22"/>
          <w:lang w:val="sr-Latn-ME"/>
        </w:rPr>
      </w:pPr>
    </w:p>
    <w:p w14:paraId="085B370C" w14:textId="77777777" w:rsidR="00411B4B" w:rsidRPr="001D6D86" w:rsidRDefault="00411B4B" w:rsidP="0026307D">
      <w:pPr>
        <w:tabs>
          <w:tab w:val="left" w:pos="540"/>
          <w:tab w:val="left" w:pos="569"/>
        </w:tabs>
        <w:jc w:val="both"/>
        <w:rPr>
          <w:b/>
          <w:bCs/>
          <w:sz w:val="22"/>
          <w:szCs w:val="22"/>
          <w:lang w:val="sr-Latn-ME"/>
        </w:rPr>
      </w:pPr>
      <w:r w:rsidRPr="001D6D86">
        <w:rPr>
          <w:b/>
          <w:bCs/>
          <w:sz w:val="22"/>
          <w:szCs w:val="22"/>
          <w:lang w:val="sr-Latn-ME"/>
        </w:rPr>
        <w:t xml:space="preserve">4.4. </w:t>
      </w:r>
      <w:r w:rsidR="00480FB1" w:rsidRPr="001D6D86">
        <w:rPr>
          <w:b/>
          <w:bCs/>
          <w:sz w:val="22"/>
          <w:szCs w:val="22"/>
          <w:lang w:val="sr-Latn-ME"/>
        </w:rPr>
        <w:tab/>
      </w:r>
      <w:r w:rsidRPr="001D6D86">
        <w:rPr>
          <w:b/>
          <w:bCs/>
          <w:sz w:val="22"/>
          <w:szCs w:val="22"/>
          <w:lang w:val="sr-Latn-ME"/>
        </w:rPr>
        <w:t>Posebna upozorenja i mjere opreza pri upotrebi lijeka</w:t>
      </w:r>
    </w:p>
    <w:p w14:paraId="2E5B6C73" w14:textId="77777777" w:rsidR="0072020E" w:rsidRPr="001D6D86" w:rsidRDefault="0072020E" w:rsidP="0026307D">
      <w:pPr>
        <w:tabs>
          <w:tab w:val="left" w:pos="540"/>
          <w:tab w:val="left" w:pos="569"/>
        </w:tabs>
        <w:jc w:val="both"/>
        <w:rPr>
          <w:bCs/>
          <w:sz w:val="22"/>
          <w:szCs w:val="22"/>
          <w:lang w:val="sr-Latn-ME"/>
        </w:rPr>
      </w:pPr>
    </w:p>
    <w:p w14:paraId="22E36AAC"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Uticaj na funkciju bubrega</w:t>
      </w:r>
    </w:p>
    <w:p w14:paraId="098001E2" w14:textId="695D59D5"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Proteinurija, otkrivena test trakom, pretežno tubularnog por</w:t>
      </w:r>
      <w:r w:rsidR="00637E1E" w:rsidRPr="001D6D86">
        <w:rPr>
          <w:bCs/>
          <w:sz w:val="22"/>
          <w:szCs w:val="22"/>
          <w:lang w:val="sr-Latn-ME"/>
        </w:rPr>
        <w:t>ij</w:t>
      </w:r>
      <w:r w:rsidRPr="001D6D86">
        <w:rPr>
          <w:bCs/>
          <w:sz w:val="22"/>
          <w:szCs w:val="22"/>
          <w:lang w:val="sr-Latn-ME"/>
        </w:rPr>
        <w:t>ekla, prim</w:t>
      </w:r>
      <w:r w:rsidR="00D41D02" w:rsidRPr="001D6D86">
        <w:rPr>
          <w:bCs/>
          <w:sz w:val="22"/>
          <w:szCs w:val="22"/>
          <w:lang w:val="sr-Latn-ME"/>
        </w:rPr>
        <w:t>ij</w:t>
      </w:r>
      <w:r w:rsidRPr="001D6D86">
        <w:rPr>
          <w:bCs/>
          <w:sz w:val="22"/>
          <w:szCs w:val="22"/>
          <w:lang w:val="sr-Latn-ME"/>
        </w:rPr>
        <w:t>ećena je kod pacijenata kod kojih su prim</w:t>
      </w:r>
      <w:r w:rsidR="00D41D02" w:rsidRPr="001D6D86">
        <w:rPr>
          <w:bCs/>
          <w:sz w:val="22"/>
          <w:szCs w:val="22"/>
          <w:lang w:val="sr-Latn-ME"/>
        </w:rPr>
        <w:t>j</w:t>
      </w:r>
      <w:r w:rsidRPr="001D6D86">
        <w:rPr>
          <w:bCs/>
          <w:sz w:val="22"/>
          <w:szCs w:val="22"/>
          <w:lang w:val="sr-Latn-ME"/>
        </w:rPr>
        <w:t>enjivane veće doze rosuvastatina, posebno doze od 40 mg i u većini slučajeva je bila prolazna i periodična. Nije dokazano da je proteinurija pokazatelj akutnog ili progresivnog oboljenja bubrega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dio</w:t>
      </w:r>
      <w:r w:rsidRPr="001D6D86">
        <w:rPr>
          <w:bCs/>
          <w:sz w:val="22"/>
          <w:szCs w:val="22"/>
          <w:lang w:val="sr-Latn-ME"/>
        </w:rPr>
        <w:t xml:space="preserve"> 4.8). U postmarketinškom periodu, stopa prijavljivanja ozbiljnih neželjenih reakcija povezanih sa renalnim sistemom je veća pri dozi od 40 mg. Treba razmotriti proc</w:t>
      </w:r>
      <w:r w:rsidR="00D41D02" w:rsidRPr="001D6D86">
        <w:rPr>
          <w:bCs/>
          <w:sz w:val="22"/>
          <w:szCs w:val="22"/>
          <w:lang w:val="sr-Latn-ME"/>
        </w:rPr>
        <w:t>j</w:t>
      </w:r>
      <w:r w:rsidRPr="001D6D86">
        <w:rPr>
          <w:bCs/>
          <w:sz w:val="22"/>
          <w:szCs w:val="22"/>
          <w:lang w:val="sr-Latn-ME"/>
        </w:rPr>
        <w:t>enu bubrežne funkcije tokom rutinskog praćenja pacijenata koji primaju dozu od 40 mg.</w:t>
      </w:r>
    </w:p>
    <w:p w14:paraId="0ED4F3D3" w14:textId="77777777" w:rsidR="00030415" w:rsidRPr="001D6D86" w:rsidRDefault="00030415" w:rsidP="0026307D">
      <w:pPr>
        <w:tabs>
          <w:tab w:val="left" w:pos="540"/>
          <w:tab w:val="left" w:pos="569"/>
        </w:tabs>
        <w:jc w:val="both"/>
        <w:rPr>
          <w:bCs/>
          <w:sz w:val="22"/>
          <w:szCs w:val="22"/>
          <w:lang w:val="sr-Latn-ME"/>
        </w:rPr>
      </w:pPr>
    </w:p>
    <w:p w14:paraId="1A9AAC63"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Uticaj na skeletne mišiće</w:t>
      </w:r>
    </w:p>
    <w:p w14:paraId="3AD4176D" w14:textId="1E131D7F"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Prijavljen je uticaj na skeletne mišiće npr. mialgija, miopatija i, r</w:t>
      </w:r>
      <w:r w:rsidR="00D41D02" w:rsidRPr="001D6D86">
        <w:rPr>
          <w:bCs/>
          <w:sz w:val="22"/>
          <w:szCs w:val="22"/>
          <w:lang w:val="sr-Latn-ME"/>
        </w:rPr>
        <w:t>ij</w:t>
      </w:r>
      <w:r w:rsidRPr="001D6D86">
        <w:rPr>
          <w:bCs/>
          <w:sz w:val="22"/>
          <w:szCs w:val="22"/>
          <w:lang w:val="sr-Latn-ME"/>
        </w:rPr>
        <w:t>etko, rabdomioliza su prijavljeni kod pacijenata kod kojih je prim</w:t>
      </w:r>
      <w:r w:rsidR="00D41D02" w:rsidRPr="001D6D86">
        <w:rPr>
          <w:bCs/>
          <w:sz w:val="22"/>
          <w:szCs w:val="22"/>
          <w:lang w:val="sr-Latn-ME"/>
        </w:rPr>
        <w:t>j</w:t>
      </w:r>
      <w:r w:rsidRPr="001D6D86">
        <w:rPr>
          <w:bCs/>
          <w:sz w:val="22"/>
          <w:szCs w:val="22"/>
          <w:lang w:val="sr-Latn-ME"/>
        </w:rPr>
        <w:t>enjivan rosuvastatin u svim dozama, naročito u dozama većim od 20 mg. Prijavljeni su veoma r</w:t>
      </w:r>
      <w:r w:rsidR="00D41D02" w:rsidRPr="001D6D86">
        <w:rPr>
          <w:bCs/>
          <w:sz w:val="22"/>
          <w:szCs w:val="22"/>
          <w:lang w:val="sr-Latn-ME"/>
        </w:rPr>
        <w:t>ij</w:t>
      </w:r>
      <w:r w:rsidRPr="001D6D86">
        <w:rPr>
          <w:bCs/>
          <w:sz w:val="22"/>
          <w:szCs w:val="22"/>
          <w:lang w:val="sr-Latn-ME"/>
        </w:rPr>
        <w:t>etki slučajevi rabdomiolize pri prim</w:t>
      </w:r>
      <w:r w:rsidR="00D41D02" w:rsidRPr="001D6D86">
        <w:rPr>
          <w:bCs/>
          <w:sz w:val="22"/>
          <w:szCs w:val="22"/>
          <w:lang w:val="sr-Latn-ME"/>
        </w:rPr>
        <w:t>j</w:t>
      </w:r>
      <w:r w:rsidRPr="001D6D86">
        <w:rPr>
          <w:bCs/>
          <w:sz w:val="22"/>
          <w:szCs w:val="22"/>
          <w:lang w:val="sr-Latn-ME"/>
        </w:rPr>
        <w:t>eni ezetimiba u kombinaciji sa inhibitorima HMG- CoA reduktaze. Farmakokinetička interakcija se ne može isključiti, zbog čega treba biti oprezan pri istovremenoj prim</w:t>
      </w:r>
      <w:r w:rsidR="00D41D02" w:rsidRPr="001D6D86">
        <w:rPr>
          <w:bCs/>
          <w:sz w:val="22"/>
          <w:szCs w:val="22"/>
          <w:lang w:val="sr-Latn-ME"/>
        </w:rPr>
        <w:t>j</w:t>
      </w:r>
      <w:r w:rsidRPr="001D6D86">
        <w:rPr>
          <w:bCs/>
          <w:sz w:val="22"/>
          <w:szCs w:val="22"/>
          <w:lang w:val="sr-Latn-ME"/>
        </w:rPr>
        <w:t>eni ovih l</w:t>
      </w:r>
      <w:r w:rsidR="00D41D02" w:rsidRPr="001D6D86">
        <w:rPr>
          <w:bCs/>
          <w:sz w:val="22"/>
          <w:szCs w:val="22"/>
          <w:lang w:val="sr-Latn-ME"/>
        </w:rPr>
        <w:t>j</w:t>
      </w:r>
      <w:r w:rsidRPr="001D6D86">
        <w:rPr>
          <w:bCs/>
          <w:sz w:val="22"/>
          <w:szCs w:val="22"/>
          <w:lang w:val="sr-Latn-ME"/>
        </w:rPr>
        <w:t>ekova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dio</w:t>
      </w:r>
      <w:r w:rsidRPr="001D6D86">
        <w:rPr>
          <w:bCs/>
          <w:sz w:val="22"/>
          <w:szCs w:val="22"/>
          <w:lang w:val="sr-Latn-ME"/>
        </w:rPr>
        <w:t xml:space="preserve"> 4.5).</w:t>
      </w:r>
    </w:p>
    <w:p w14:paraId="759372AE" w14:textId="089E63CA"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Kao i sa drugim inhibitorima HMG-CoA reduktaze u postmarketinškom periodu, stopa prijavljivanja rabdomiolize, povezane sa prim</w:t>
      </w:r>
      <w:r w:rsidR="00D41D02" w:rsidRPr="001D6D86">
        <w:rPr>
          <w:bCs/>
          <w:sz w:val="22"/>
          <w:szCs w:val="22"/>
          <w:lang w:val="sr-Latn-ME"/>
        </w:rPr>
        <w:t>j</w:t>
      </w:r>
      <w:r w:rsidRPr="001D6D86">
        <w:rPr>
          <w:bCs/>
          <w:sz w:val="22"/>
          <w:szCs w:val="22"/>
          <w:lang w:val="sr-Latn-ME"/>
        </w:rPr>
        <w:t>enom rosuvastatina, je veća pri prim</w:t>
      </w:r>
      <w:r w:rsidR="00D41D02" w:rsidRPr="001D6D86">
        <w:rPr>
          <w:bCs/>
          <w:sz w:val="22"/>
          <w:szCs w:val="22"/>
          <w:lang w:val="sr-Latn-ME"/>
        </w:rPr>
        <w:t>j</w:t>
      </w:r>
      <w:r w:rsidRPr="001D6D86">
        <w:rPr>
          <w:bCs/>
          <w:sz w:val="22"/>
          <w:szCs w:val="22"/>
          <w:lang w:val="sr-Latn-ME"/>
        </w:rPr>
        <w:t>eni doze od 40 mg.</w:t>
      </w:r>
    </w:p>
    <w:p w14:paraId="34A3855B" w14:textId="5CD8097D" w:rsidR="00030415" w:rsidRPr="001D6D86" w:rsidRDefault="00030415" w:rsidP="0026307D">
      <w:pPr>
        <w:tabs>
          <w:tab w:val="left" w:pos="540"/>
          <w:tab w:val="left" w:pos="569"/>
        </w:tabs>
        <w:jc w:val="both"/>
        <w:rPr>
          <w:bCs/>
          <w:sz w:val="22"/>
          <w:szCs w:val="22"/>
          <w:lang w:val="sr-Latn-ME"/>
        </w:rPr>
      </w:pPr>
    </w:p>
    <w:p w14:paraId="66F0E317" w14:textId="39ED2C9A" w:rsidR="00661FC8" w:rsidRPr="001D6D86" w:rsidRDefault="00661FC8" w:rsidP="0026307D">
      <w:pPr>
        <w:tabs>
          <w:tab w:val="left" w:pos="540"/>
          <w:tab w:val="left" w:pos="569"/>
        </w:tabs>
        <w:jc w:val="both"/>
        <w:rPr>
          <w:bCs/>
          <w:sz w:val="22"/>
          <w:szCs w:val="22"/>
          <w:lang w:val="sr-Latn-ME"/>
        </w:rPr>
      </w:pPr>
    </w:p>
    <w:p w14:paraId="003FCF8D" w14:textId="689CD8A8"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lastRenderedPageBreak/>
        <w:t>Određivanje vr</w:t>
      </w:r>
      <w:r w:rsidR="00D41D02" w:rsidRPr="001D6D86">
        <w:rPr>
          <w:bCs/>
          <w:i/>
          <w:sz w:val="22"/>
          <w:szCs w:val="22"/>
          <w:lang w:val="sr-Latn-ME"/>
        </w:rPr>
        <w:t>ij</w:t>
      </w:r>
      <w:r w:rsidRPr="001D6D86">
        <w:rPr>
          <w:bCs/>
          <w:i/>
          <w:sz w:val="22"/>
          <w:szCs w:val="22"/>
          <w:lang w:val="sr-Latn-ME"/>
        </w:rPr>
        <w:t>ednosti kreatin kinaze</w:t>
      </w:r>
    </w:p>
    <w:p w14:paraId="2B09FF62" w14:textId="77D2B3DA"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Određivanje vr</w:t>
      </w:r>
      <w:r w:rsidR="00D41D02" w:rsidRPr="001D6D86">
        <w:rPr>
          <w:bCs/>
          <w:sz w:val="22"/>
          <w:szCs w:val="22"/>
          <w:lang w:val="sr-Latn-ME"/>
        </w:rPr>
        <w:t>ij</w:t>
      </w:r>
      <w:r w:rsidRPr="001D6D86">
        <w:rPr>
          <w:bCs/>
          <w:sz w:val="22"/>
          <w:szCs w:val="22"/>
          <w:lang w:val="sr-Latn-ME"/>
        </w:rPr>
        <w:t>ednosti kreatin kinaze (CK) se ne preporučuje nakon naporne fizičke aktivnosti ili u prisustvu nekog drugog faktora koji može dovesti do povećanja vr</w:t>
      </w:r>
      <w:r w:rsidR="00D41D02" w:rsidRPr="001D6D86">
        <w:rPr>
          <w:bCs/>
          <w:sz w:val="22"/>
          <w:szCs w:val="22"/>
          <w:lang w:val="sr-Latn-ME"/>
        </w:rPr>
        <w:t>ij</w:t>
      </w:r>
      <w:r w:rsidRPr="001D6D86">
        <w:rPr>
          <w:bCs/>
          <w:sz w:val="22"/>
          <w:szCs w:val="22"/>
          <w:lang w:val="sr-Latn-ME"/>
        </w:rPr>
        <w:t>ednosti CK, što može dovesti do pogrešnog tumačenja rezultata. Ako su vr</w:t>
      </w:r>
      <w:r w:rsidR="00D41D02" w:rsidRPr="001D6D86">
        <w:rPr>
          <w:bCs/>
          <w:sz w:val="22"/>
          <w:szCs w:val="22"/>
          <w:lang w:val="sr-Latn-ME"/>
        </w:rPr>
        <w:t>ij</w:t>
      </w:r>
      <w:r w:rsidRPr="001D6D86">
        <w:rPr>
          <w:bCs/>
          <w:sz w:val="22"/>
          <w:szCs w:val="22"/>
          <w:lang w:val="sr-Latn-ME"/>
        </w:rPr>
        <w:t>ednosti CK značajno povećane na početku (više od pet puta od gornje granice normalnih vr</w:t>
      </w:r>
      <w:r w:rsidR="00D41D02" w:rsidRPr="001D6D86">
        <w:rPr>
          <w:bCs/>
          <w:sz w:val="22"/>
          <w:szCs w:val="22"/>
          <w:lang w:val="sr-Latn-ME"/>
        </w:rPr>
        <w:t>ij</w:t>
      </w:r>
      <w:r w:rsidRPr="001D6D86">
        <w:rPr>
          <w:bCs/>
          <w:sz w:val="22"/>
          <w:szCs w:val="22"/>
          <w:lang w:val="sr-Latn-ME"/>
        </w:rPr>
        <w:t>ednosti), ovaj parametar treba prov</w:t>
      </w:r>
      <w:r w:rsidR="00D41D02" w:rsidRPr="001D6D86">
        <w:rPr>
          <w:bCs/>
          <w:sz w:val="22"/>
          <w:szCs w:val="22"/>
          <w:lang w:val="sr-Latn-ME"/>
        </w:rPr>
        <w:t>j</w:t>
      </w:r>
      <w:r w:rsidRPr="001D6D86">
        <w:rPr>
          <w:bCs/>
          <w:sz w:val="22"/>
          <w:szCs w:val="22"/>
          <w:lang w:val="sr-Latn-ME"/>
        </w:rPr>
        <w:t>eriti nakon 5-7 dana da bi se potvrdili rezultati. Ako se potvrdi da su vr</w:t>
      </w:r>
      <w:r w:rsidR="00D41D02" w:rsidRPr="001D6D86">
        <w:rPr>
          <w:bCs/>
          <w:sz w:val="22"/>
          <w:szCs w:val="22"/>
          <w:lang w:val="sr-Latn-ME"/>
        </w:rPr>
        <w:t>ij</w:t>
      </w:r>
      <w:r w:rsidRPr="001D6D86">
        <w:rPr>
          <w:bCs/>
          <w:sz w:val="22"/>
          <w:szCs w:val="22"/>
          <w:lang w:val="sr-Latn-ME"/>
        </w:rPr>
        <w:t>ednosti CK veće od pet puta od gornje granice normalnih vr</w:t>
      </w:r>
      <w:r w:rsidR="00D41D02" w:rsidRPr="001D6D86">
        <w:rPr>
          <w:bCs/>
          <w:sz w:val="22"/>
          <w:szCs w:val="22"/>
          <w:lang w:val="sr-Latn-ME"/>
        </w:rPr>
        <w:t>ij</w:t>
      </w:r>
      <w:r w:rsidRPr="001D6D86">
        <w:rPr>
          <w:bCs/>
          <w:sz w:val="22"/>
          <w:szCs w:val="22"/>
          <w:lang w:val="sr-Latn-ME"/>
        </w:rPr>
        <w:t>ednosti, ne treba započinjati terapiju.</w:t>
      </w:r>
    </w:p>
    <w:p w14:paraId="39971E0E" w14:textId="77777777" w:rsidR="00030415" w:rsidRPr="001D6D86" w:rsidRDefault="00030415" w:rsidP="0026307D">
      <w:pPr>
        <w:tabs>
          <w:tab w:val="left" w:pos="540"/>
          <w:tab w:val="left" w:pos="569"/>
        </w:tabs>
        <w:jc w:val="both"/>
        <w:rPr>
          <w:bCs/>
          <w:sz w:val="22"/>
          <w:szCs w:val="22"/>
          <w:lang w:val="sr-Latn-ME"/>
        </w:rPr>
      </w:pPr>
    </w:p>
    <w:p w14:paraId="7568E3F0" w14:textId="72403E13"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Pr</w:t>
      </w:r>
      <w:r w:rsidR="00D41D02" w:rsidRPr="001D6D86">
        <w:rPr>
          <w:bCs/>
          <w:i/>
          <w:sz w:val="22"/>
          <w:szCs w:val="22"/>
          <w:lang w:val="sr-Latn-ME"/>
        </w:rPr>
        <w:t>ij</w:t>
      </w:r>
      <w:r w:rsidRPr="001D6D86">
        <w:rPr>
          <w:bCs/>
          <w:i/>
          <w:sz w:val="22"/>
          <w:szCs w:val="22"/>
          <w:lang w:val="sr-Latn-ME"/>
        </w:rPr>
        <w:t>e terapije</w:t>
      </w:r>
    </w:p>
    <w:p w14:paraId="53FD5AC2" w14:textId="259A4F2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Rosuvastatin, kao i druge inhibitore HMG-CoA reduktaze, treba prim</w:t>
      </w:r>
      <w:r w:rsidR="00D41D02" w:rsidRPr="001D6D86">
        <w:rPr>
          <w:bCs/>
          <w:sz w:val="22"/>
          <w:szCs w:val="22"/>
          <w:lang w:val="sr-Latn-ME"/>
        </w:rPr>
        <w:t>j</w:t>
      </w:r>
      <w:r w:rsidRPr="001D6D86">
        <w:rPr>
          <w:bCs/>
          <w:sz w:val="22"/>
          <w:szCs w:val="22"/>
          <w:lang w:val="sr-Latn-ME"/>
        </w:rPr>
        <w:t>enjivati sa oprezom kod pacijenata sa predisponirajućim faktorima, za pojavu miopatije/rabdomiolize. U ove faktore spadaju:</w:t>
      </w:r>
    </w:p>
    <w:p w14:paraId="398FA5F6" w14:textId="77777777" w:rsidR="00030415" w:rsidRPr="001D6D86" w:rsidRDefault="00030415" w:rsidP="0026307D">
      <w:pPr>
        <w:numPr>
          <w:ilvl w:val="0"/>
          <w:numId w:val="14"/>
        </w:numPr>
        <w:tabs>
          <w:tab w:val="left" w:pos="540"/>
          <w:tab w:val="left" w:pos="569"/>
        </w:tabs>
        <w:jc w:val="both"/>
        <w:rPr>
          <w:bCs/>
          <w:sz w:val="22"/>
          <w:szCs w:val="22"/>
          <w:lang w:val="sr-Latn-ME"/>
        </w:rPr>
      </w:pPr>
      <w:r w:rsidRPr="001D6D86">
        <w:rPr>
          <w:bCs/>
          <w:sz w:val="22"/>
          <w:szCs w:val="22"/>
          <w:lang w:val="sr-Latn-ME"/>
        </w:rPr>
        <w:t>oštećenje funkcije bubrega,</w:t>
      </w:r>
    </w:p>
    <w:p w14:paraId="56DE8DE8" w14:textId="0FD4CD1B" w:rsidR="00030415" w:rsidRPr="001D6D86" w:rsidRDefault="00D41D02" w:rsidP="0026307D">
      <w:pPr>
        <w:numPr>
          <w:ilvl w:val="0"/>
          <w:numId w:val="14"/>
        </w:numPr>
        <w:tabs>
          <w:tab w:val="left" w:pos="540"/>
          <w:tab w:val="left" w:pos="569"/>
        </w:tabs>
        <w:jc w:val="both"/>
        <w:rPr>
          <w:bCs/>
          <w:sz w:val="22"/>
          <w:szCs w:val="22"/>
          <w:lang w:val="sr-Latn-ME"/>
        </w:rPr>
      </w:pPr>
      <w:r w:rsidRPr="001D6D86">
        <w:rPr>
          <w:bCs/>
          <w:sz w:val="22"/>
          <w:szCs w:val="22"/>
          <w:lang w:val="sr-Latn-ME"/>
        </w:rPr>
        <w:t>h</w:t>
      </w:r>
      <w:r w:rsidR="00030415" w:rsidRPr="001D6D86">
        <w:rPr>
          <w:bCs/>
          <w:sz w:val="22"/>
          <w:szCs w:val="22"/>
          <w:lang w:val="sr-Latn-ME"/>
        </w:rPr>
        <w:t>ipotireoidizam,</w:t>
      </w:r>
    </w:p>
    <w:p w14:paraId="32F6D852" w14:textId="71CD47B8" w:rsidR="00030415" w:rsidRPr="001D6D86" w:rsidRDefault="00030415" w:rsidP="0026307D">
      <w:pPr>
        <w:numPr>
          <w:ilvl w:val="0"/>
          <w:numId w:val="14"/>
        </w:numPr>
        <w:tabs>
          <w:tab w:val="left" w:pos="540"/>
          <w:tab w:val="left" w:pos="569"/>
        </w:tabs>
        <w:jc w:val="both"/>
        <w:rPr>
          <w:bCs/>
          <w:sz w:val="22"/>
          <w:szCs w:val="22"/>
          <w:lang w:val="sr-Latn-ME"/>
        </w:rPr>
      </w:pPr>
      <w:r w:rsidRPr="001D6D86">
        <w:rPr>
          <w:bCs/>
          <w:sz w:val="22"/>
          <w:szCs w:val="22"/>
          <w:lang w:val="sr-Latn-ME"/>
        </w:rPr>
        <w:t>lična ili porodična istorija nasl</w:t>
      </w:r>
      <w:r w:rsidR="00D41D02" w:rsidRPr="001D6D86">
        <w:rPr>
          <w:bCs/>
          <w:sz w:val="22"/>
          <w:szCs w:val="22"/>
          <w:lang w:val="sr-Latn-ME"/>
        </w:rPr>
        <w:t>j</w:t>
      </w:r>
      <w:r w:rsidRPr="001D6D86">
        <w:rPr>
          <w:bCs/>
          <w:sz w:val="22"/>
          <w:szCs w:val="22"/>
          <w:lang w:val="sr-Latn-ME"/>
        </w:rPr>
        <w:t>ednih mišićnih poremećaja,</w:t>
      </w:r>
    </w:p>
    <w:p w14:paraId="42D58FDD" w14:textId="3D4C3232" w:rsidR="00030415" w:rsidRPr="001D6D86" w:rsidRDefault="00030415" w:rsidP="0026307D">
      <w:pPr>
        <w:numPr>
          <w:ilvl w:val="0"/>
          <w:numId w:val="14"/>
        </w:numPr>
        <w:tabs>
          <w:tab w:val="left" w:pos="540"/>
          <w:tab w:val="left" w:pos="569"/>
        </w:tabs>
        <w:jc w:val="both"/>
        <w:rPr>
          <w:bCs/>
          <w:sz w:val="22"/>
          <w:szCs w:val="22"/>
          <w:lang w:val="sr-Latn-ME"/>
        </w:rPr>
      </w:pPr>
      <w:r w:rsidRPr="001D6D86">
        <w:rPr>
          <w:bCs/>
          <w:sz w:val="22"/>
          <w:szCs w:val="22"/>
          <w:lang w:val="sr-Latn-ME"/>
        </w:rPr>
        <w:t>anamneza ranije mišićne toksičnosti pri prim</w:t>
      </w:r>
      <w:r w:rsidR="00D41D02" w:rsidRPr="001D6D86">
        <w:rPr>
          <w:bCs/>
          <w:sz w:val="22"/>
          <w:szCs w:val="22"/>
          <w:lang w:val="sr-Latn-ME"/>
        </w:rPr>
        <w:t>j</w:t>
      </w:r>
      <w:r w:rsidRPr="001D6D86">
        <w:rPr>
          <w:bCs/>
          <w:sz w:val="22"/>
          <w:szCs w:val="22"/>
          <w:lang w:val="sr-Latn-ME"/>
        </w:rPr>
        <w:t>eni nekih drugih inhibitora HMG-CoA reduktaze ili fibrate,</w:t>
      </w:r>
    </w:p>
    <w:p w14:paraId="15FCF578" w14:textId="77777777" w:rsidR="00030415" w:rsidRPr="001D6D86" w:rsidRDefault="00030415" w:rsidP="0026307D">
      <w:pPr>
        <w:numPr>
          <w:ilvl w:val="0"/>
          <w:numId w:val="14"/>
        </w:numPr>
        <w:tabs>
          <w:tab w:val="left" w:pos="540"/>
          <w:tab w:val="left" w:pos="569"/>
        </w:tabs>
        <w:jc w:val="both"/>
        <w:rPr>
          <w:bCs/>
          <w:sz w:val="22"/>
          <w:szCs w:val="22"/>
          <w:lang w:val="sr-Latn-ME"/>
        </w:rPr>
      </w:pPr>
      <w:r w:rsidRPr="001D6D86">
        <w:rPr>
          <w:bCs/>
          <w:sz w:val="22"/>
          <w:szCs w:val="22"/>
          <w:lang w:val="sr-Latn-ME"/>
        </w:rPr>
        <w:t>zloupotreba alkohola,</w:t>
      </w:r>
    </w:p>
    <w:p w14:paraId="2461AA74" w14:textId="77777777" w:rsidR="00030415" w:rsidRPr="001D6D86" w:rsidRDefault="00030415" w:rsidP="0026307D">
      <w:pPr>
        <w:numPr>
          <w:ilvl w:val="0"/>
          <w:numId w:val="14"/>
        </w:numPr>
        <w:tabs>
          <w:tab w:val="left" w:pos="540"/>
          <w:tab w:val="left" w:pos="569"/>
        </w:tabs>
        <w:jc w:val="both"/>
        <w:rPr>
          <w:bCs/>
          <w:sz w:val="22"/>
          <w:szCs w:val="22"/>
          <w:lang w:val="sr-Latn-ME"/>
        </w:rPr>
      </w:pPr>
      <w:r w:rsidRPr="001D6D86">
        <w:rPr>
          <w:bCs/>
          <w:sz w:val="22"/>
          <w:szCs w:val="22"/>
          <w:lang w:val="sr-Latn-ME"/>
        </w:rPr>
        <w:t>pacijenti starijeg životnog doba preko 70 godina,</w:t>
      </w:r>
    </w:p>
    <w:p w14:paraId="51D4DDE9" w14:textId="77A21395" w:rsidR="00030415" w:rsidRPr="001D6D86" w:rsidRDefault="00030415" w:rsidP="0026307D">
      <w:pPr>
        <w:numPr>
          <w:ilvl w:val="0"/>
          <w:numId w:val="14"/>
        </w:numPr>
        <w:tabs>
          <w:tab w:val="left" w:pos="540"/>
          <w:tab w:val="left" w:pos="569"/>
        </w:tabs>
        <w:jc w:val="both"/>
        <w:rPr>
          <w:bCs/>
          <w:sz w:val="22"/>
          <w:szCs w:val="22"/>
          <w:lang w:val="sr-Latn-ME"/>
        </w:rPr>
      </w:pPr>
      <w:r w:rsidRPr="001D6D86">
        <w:rPr>
          <w:bCs/>
          <w:sz w:val="22"/>
          <w:szCs w:val="22"/>
          <w:lang w:val="sr-Latn-ME"/>
        </w:rPr>
        <w:t>situacije u kojima može doći do povećanja koncentracije l</w:t>
      </w:r>
      <w:r w:rsidR="00D41D02" w:rsidRPr="001D6D86">
        <w:rPr>
          <w:bCs/>
          <w:sz w:val="22"/>
          <w:szCs w:val="22"/>
          <w:lang w:val="sr-Latn-ME"/>
        </w:rPr>
        <w:t>ij</w:t>
      </w:r>
      <w:r w:rsidRPr="001D6D86">
        <w:rPr>
          <w:bCs/>
          <w:sz w:val="22"/>
          <w:szCs w:val="22"/>
          <w:lang w:val="sr-Latn-ME"/>
        </w:rPr>
        <w:t>eka u plazmi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djelove</w:t>
      </w:r>
      <w:r w:rsidRPr="001D6D86">
        <w:rPr>
          <w:bCs/>
          <w:sz w:val="22"/>
          <w:szCs w:val="22"/>
          <w:lang w:val="sr-Latn-ME"/>
        </w:rPr>
        <w:t xml:space="preserve"> 4.2,4.5 i 5.2)</w:t>
      </w:r>
    </w:p>
    <w:p w14:paraId="6E520F34" w14:textId="41E4E132" w:rsidR="00030415" w:rsidRPr="001D6D86" w:rsidRDefault="00030415" w:rsidP="0026307D">
      <w:pPr>
        <w:numPr>
          <w:ilvl w:val="0"/>
          <w:numId w:val="14"/>
        </w:numPr>
        <w:tabs>
          <w:tab w:val="left" w:pos="540"/>
          <w:tab w:val="left" w:pos="569"/>
        </w:tabs>
        <w:jc w:val="both"/>
        <w:rPr>
          <w:bCs/>
          <w:sz w:val="22"/>
          <w:szCs w:val="22"/>
          <w:lang w:val="sr-Latn-ME"/>
        </w:rPr>
      </w:pPr>
      <w:r w:rsidRPr="001D6D86">
        <w:rPr>
          <w:bCs/>
          <w:sz w:val="22"/>
          <w:szCs w:val="22"/>
          <w:lang w:val="sr-Latn-ME"/>
        </w:rPr>
        <w:t>istovremena upotreba fibrata.</w:t>
      </w:r>
    </w:p>
    <w:p w14:paraId="04A0136F" w14:textId="77777777" w:rsidR="00A673BE" w:rsidRPr="001D6D86" w:rsidRDefault="00A673BE" w:rsidP="0026307D">
      <w:pPr>
        <w:tabs>
          <w:tab w:val="left" w:pos="540"/>
          <w:tab w:val="left" w:pos="569"/>
        </w:tabs>
        <w:ind w:left="832"/>
        <w:jc w:val="both"/>
        <w:rPr>
          <w:bCs/>
          <w:sz w:val="22"/>
          <w:szCs w:val="22"/>
          <w:lang w:val="sr-Latn-ME"/>
        </w:rPr>
      </w:pPr>
    </w:p>
    <w:p w14:paraId="5D1E3CBE" w14:textId="70E8B1D9"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ovih pacijenata, potrebno je da se rizik terapije sagleda u odnosu na moguću korist pa se preporučuje kliničko praćenje. Ako su vr</w:t>
      </w:r>
      <w:r w:rsidR="00D41D02" w:rsidRPr="001D6D86">
        <w:rPr>
          <w:bCs/>
          <w:sz w:val="22"/>
          <w:szCs w:val="22"/>
          <w:lang w:val="sr-Latn-ME"/>
        </w:rPr>
        <w:t>ij</w:t>
      </w:r>
      <w:r w:rsidRPr="001D6D86">
        <w:rPr>
          <w:bCs/>
          <w:sz w:val="22"/>
          <w:szCs w:val="22"/>
          <w:lang w:val="sr-Latn-ME"/>
        </w:rPr>
        <w:t>ednosti CK značajno povećane pr</w:t>
      </w:r>
      <w:r w:rsidR="00D41D02" w:rsidRPr="001D6D86">
        <w:rPr>
          <w:bCs/>
          <w:sz w:val="22"/>
          <w:szCs w:val="22"/>
          <w:lang w:val="sr-Latn-ME"/>
        </w:rPr>
        <w:t>ij</w:t>
      </w:r>
      <w:r w:rsidRPr="001D6D86">
        <w:rPr>
          <w:bCs/>
          <w:sz w:val="22"/>
          <w:szCs w:val="22"/>
          <w:lang w:val="sr-Latn-ME"/>
        </w:rPr>
        <w:t>e uvođenja terapije (više od pet puta od gornje granice normalnih vr</w:t>
      </w:r>
      <w:r w:rsidR="00D41D02" w:rsidRPr="001D6D86">
        <w:rPr>
          <w:bCs/>
          <w:sz w:val="22"/>
          <w:szCs w:val="22"/>
          <w:lang w:val="sr-Latn-ME"/>
        </w:rPr>
        <w:t>ij</w:t>
      </w:r>
      <w:r w:rsidRPr="001D6D86">
        <w:rPr>
          <w:bCs/>
          <w:sz w:val="22"/>
          <w:szCs w:val="22"/>
          <w:lang w:val="sr-Latn-ME"/>
        </w:rPr>
        <w:t>ednosti) onda terapiju ne treba ni započinjati.</w:t>
      </w:r>
    </w:p>
    <w:p w14:paraId="70732B9B" w14:textId="77777777" w:rsidR="00030415" w:rsidRPr="001D6D86" w:rsidRDefault="00030415" w:rsidP="0026307D">
      <w:pPr>
        <w:tabs>
          <w:tab w:val="left" w:pos="540"/>
          <w:tab w:val="left" w:pos="569"/>
        </w:tabs>
        <w:jc w:val="both"/>
        <w:rPr>
          <w:bCs/>
          <w:sz w:val="22"/>
          <w:szCs w:val="22"/>
          <w:lang w:val="sr-Latn-ME"/>
        </w:rPr>
      </w:pPr>
    </w:p>
    <w:p w14:paraId="73E87036" w14:textId="77777777"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Tokom terapije</w:t>
      </w:r>
    </w:p>
    <w:p w14:paraId="66AB7697" w14:textId="2F2E7EA2" w:rsidR="00A673BE" w:rsidRPr="001D6D86" w:rsidRDefault="00030415" w:rsidP="0026307D">
      <w:pPr>
        <w:tabs>
          <w:tab w:val="left" w:pos="540"/>
          <w:tab w:val="left" w:pos="569"/>
        </w:tabs>
        <w:jc w:val="both"/>
        <w:rPr>
          <w:bCs/>
          <w:sz w:val="22"/>
          <w:szCs w:val="22"/>
          <w:lang w:val="sr-Latn-ME"/>
        </w:rPr>
      </w:pPr>
      <w:r w:rsidRPr="001D6D86">
        <w:rPr>
          <w:bCs/>
          <w:sz w:val="22"/>
          <w:szCs w:val="22"/>
          <w:lang w:val="sr-Latn-ME"/>
        </w:rPr>
        <w:t>Pacijente treba sav</w:t>
      </w:r>
      <w:r w:rsidR="00D41D02" w:rsidRPr="001D6D86">
        <w:rPr>
          <w:bCs/>
          <w:sz w:val="22"/>
          <w:szCs w:val="22"/>
          <w:lang w:val="sr-Latn-ME"/>
        </w:rPr>
        <w:t>j</w:t>
      </w:r>
      <w:r w:rsidRPr="001D6D86">
        <w:rPr>
          <w:bCs/>
          <w:sz w:val="22"/>
          <w:szCs w:val="22"/>
          <w:lang w:val="sr-Latn-ME"/>
        </w:rPr>
        <w:t>etovati da odmah prijave neobjašnjive bolove u mišićima, slabost ili grčeve, posebno ako su povezani sa malaksalošću ili groznicom</w:t>
      </w:r>
      <w:r w:rsidR="00A673BE" w:rsidRPr="001D6D86">
        <w:rPr>
          <w:bCs/>
          <w:sz w:val="22"/>
          <w:szCs w:val="22"/>
          <w:lang w:val="sr-Latn-ME"/>
        </w:rPr>
        <w:t xml:space="preserve"> (</w:t>
      </w:r>
      <w:r w:rsidRPr="001D6D86">
        <w:rPr>
          <w:bCs/>
          <w:sz w:val="22"/>
          <w:szCs w:val="22"/>
          <w:lang w:val="sr-Latn-ME"/>
        </w:rPr>
        <w:t>povišenom t</w:t>
      </w:r>
      <w:r w:rsidR="00D41D02" w:rsidRPr="001D6D86">
        <w:rPr>
          <w:bCs/>
          <w:sz w:val="22"/>
          <w:szCs w:val="22"/>
          <w:lang w:val="sr-Latn-ME"/>
        </w:rPr>
        <w:t>j</w:t>
      </w:r>
      <w:r w:rsidRPr="001D6D86">
        <w:rPr>
          <w:bCs/>
          <w:sz w:val="22"/>
          <w:szCs w:val="22"/>
          <w:lang w:val="sr-Latn-ME"/>
        </w:rPr>
        <w:t>elesnom temperaturom</w:t>
      </w:r>
      <w:r w:rsidR="00A673BE" w:rsidRPr="001D6D86">
        <w:rPr>
          <w:bCs/>
          <w:sz w:val="22"/>
          <w:szCs w:val="22"/>
          <w:lang w:val="sr-Latn-ME"/>
        </w:rPr>
        <w:t>)</w:t>
      </w:r>
      <w:r w:rsidRPr="001D6D86">
        <w:rPr>
          <w:bCs/>
          <w:sz w:val="22"/>
          <w:szCs w:val="22"/>
          <w:lang w:val="sr-Latn-ME"/>
        </w:rPr>
        <w:t>. Kod ovih pacijenata treba kontrolisati vr</w:t>
      </w:r>
      <w:r w:rsidR="00D41D02" w:rsidRPr="001D6D86">
        <w:rPr>
          <w:bCs/>
          <w:sz w:val="22"/>
          <w:szCs w:val="22"/>
          <w:lang w:val="sr-Latn-ME"/>
        </w:rPr>
        <w:t>ij</w:t>
      </w:r>
      <w:r w:rsidRPr="001D6D86">
        <w:rPr>
          <w:bCs/>
          <w:sz w:val="22"/>
          <w:szCs w:val="22"/>
          <w:lang w:val="sr-Latn-ME"/>
        </w:rPr>
        <w:t>ednosti CK i prekinuti terapiju ako su vr</w:t>
      </w:r>
      <w:r w:rsidR="00D41D02" w:rsidRPr="001D6D86">
        <w:rPr>
          <w:bCs/>
          <w:sz w:val="22"/>
          <w:szCs w:val="22"/>
          <w:lang w:val="sr-Latn-ME"/>
        </w:rPr>
        <w:t>ij</w:t>
      </w:r>
      <w:r w:rsidRPr="001D6D86">
        <w:rPr>
          <w:bCs/>
          <w:sz w:val="22"/>
          <w:szCs w:val="22"/>
          <w:lang w:val="sr-Latn-ME"/>
        </w:rPr>
        <w:t>ednosti CK značajno povećane (više od 5 puta od gornje granice normalnih vr</w:t>
      </w:r>
      <w:r w:rsidR="00D41D02" w:rsidRPr="001D6D86">
        <w:rPr>
          <w:bCs/>
          <w:sz w:val="22"/>
          <w:szCs w:val="22"/>
          <w:lang w:val="sr-Latn-ME"/>
        </w:rPr>
        <w:t>ij</w:t>
      </w:r>
      <w:r w:rsidRPr="001D6D86">
        <w:rPr>
          <w:bCs/>
          <w:sz w:val="22"/>
          <w:szCs w:val="22"/>
          <w:lang w:val="sr-Latn-ME"/>
        </w:rPr>
        <w:t>ednosti) ili ako dođe do pojave jakih i neprijatnih mišićnih simptoma (čak i ako su vr</w:t>
      </w:r>
      <w:r w:rsidR="00D41D02" w:rsidRPr="001D6D86">
        <w:rPr>
          <w:bCs/>
          <w:sz w:val="22"/>
          <w:szCs w:val="22"/>
          <w:lang w:val="sr-Latn-ME"/>
        </w:rPr>
        <w:t>ij</w:t>
      </w:r>
      <w:r w:rsidRPr="001D6D86">
        <w:rPr>
          <w:bCs/>
          <w:sz w:val="22"/>
          <w:szCs w:val="22"/>
          <w:lang w:val="sr-Latn-ME"/>
        </w:rPr>
        <w:t>ednosti CK povećane manje od 5 puta od gornje granice normalnih vr</w:t>
      </w:r>
      <w:r w:rsidR="00D41D02" w:rsidRPr="001D6D86">
        <w:rPr>
          <w:bCs/>
          <w:sz w:val="22"/>
          <w:szCs w:val="22"/>
          <w:lang w:val="sr-Latn-ME"/>
        </w:rPr>
        <w:t>ij</w:t>
      </w:r>
      <w:r w:rsidRPr="001D6D86">
        <w:rPr>
          <w:bCs/>
          <w:sz w:val="22"/>
          <w:szCs w:val="22"/>
          <w:lang w:val="sr-Latn-ME"/>
        </w:rPr>
        <w:t xml:space="preserve">ednosti). </w:t>
      </w:r>
    </w:p>
    <w:p w14:paraId="7DAC66D3" w14:textId="77777777" w:rsidR="00A673BE" w:rsidRPr="001D6D86" w:rsidRDefault="00030415" w:rsidP="0026307D">
      <w:pPr>
        <w:tabs>
          <w:tab w:val="left" w:pos="540"/>
          <w:tab w:val="left" w:pos="569"/>
        </w:tabs>
        <w:jc w:val="both"/>
        <w:rPr>
          <w:bCs/>
          <w:sz w:val="22"/>
          <w:szCs w:val="22"/>
          <w:lang w:val="sr-Latn-ME"/>
        </w:rPr>
      </w:pPr>
      <w:r w:rsidRPr="001D6D86">
        <w:rPr>
          <w:bCs/>
          <w:sz w:val="22"/>
          <w:szCs w:val="22"/>
          <w:lang w:val="sr-Latn-ME"/>
        </w:rPr>
        <w:t>Ako se simptomi povuku i vr</w:t>
      </w:r>
      <w:r w:rsidR="00D41D02" w:rsidRPr="001D6D86">
        <w:rPr>
          <w:bCs/>
          <w:sz w:val="22"/>
          <w:szCs w:val="22"/>
          <w:lang w:val="sr-Latn-ME"/>
        </w:rPr>
        <w:t>ij</w:t>
      </w:r>
      <w:r w:rsidRPr="001D6D86">
        <w:rPr>
          <w:bCs/>
          <w:sz w:val="22"/>
          <w:szCs w:val="22"/>
          <w:lang w:val="sr-Latn-ME"/>
        </w:rPr>
        <w:t>ednosti CK vrate na normalu, može se razmotriti ponovno započinjanje terapije rosuvastatinom ili alternativnim inhibitorom HMG-CoA reduktaze, prim</w:t>
      </w:r>
      <w:r w:rsidR="00D41D02" w:rsidRPr="001D6D86">
        <w:rPr>
          <w:bCs/>
          <w:sz w:val="22"/>
          <w:szCs w:val="22"/>
          <w:lang w:val="sr-Latn-ME"/>
        </w:rPr>
        <w:t>j</w:t>
      </w:r>
      <w:r w:rsidRPr="001D6D86">
        <w:rPr>
          <w:bCs/>
          <w:sz w:val="22"/>
          <w:szCs w:val="22"/>
          <w:lang w:val="sr-Latn-ME"/>
        </w:rPr>
        <w:t>enom najmanjih doza i uz pažljivo praćenje. Nije neophodno rutinsko praćenje CK vr</w:t>
      </w:r>
      <w:r w:rsidR="00D41D02" w:rsidRPr="001D6D86">
        <w:rPr>
          <w:bCs/>
          <w:sz w:val="22"/>
          <w:szCs w:val="22"/>
          <w:lang w:val="sr-Latn-ME"/>
        </w:rPr>
        <w:t>ij</w:t>
      </w:r>
      <w:r w:rsidRPr="001D6D86">
        <w:rPr>
          <w:bCs/>
          <w:sz w:val="22"/>
          <w:szCs w:val="22"/>
          <w:lang w:val="sr-Latn-ME"/>
        </w:rPr>
        <w:t>ednosti kod pacijenata bez simptoma.</w:t>
      </w:r>
    </w:p>
    <w:p w14:paraId="0A699A0D" w14:textId="77777777" w:rsidR="00A673BE" w:rsidRPr="001D6D86" w:rsidRDefault="00A673BE" w:rsidP="0026307D">
      <w:pPr>
        <w:tabs>
          <w:tab w:val="left" w:pos="540"/>
          <w:tab w:val="left" w:pos="569"/>
        </w:tabs>
        <w:jc w:val="both"/>
        <w:rPr>
          <w:bCs/>
          <w:sz w:val="22"/>
          <w:szCs w:val="22"/>
          <w:lang w:val="sr-Latn-ME"/>
        </w:rPr>
      </w:pPr>
    </w:p>
    <w:p w14:paraId="3725B371" w14:textId="25BCD7DB"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Zab</w:t>
      </w:r>
      <w:r w:rsidR="00D41D02" w:rsidRPr="001D6D86">
        <w:rPr>
          <w:bCs/>
          <w:sz w:val="22"/>
          <w:szCs w:val="22"/>
          <w:lang w:val="sr-Latn-ME"/>
        </w:rPr>
        <w:t>ilj</w:t>
      </w:r>
      <w:r w:rsidRPr="001D6D86">
        <w:rPr>
          <w:bCs/>
          <w:sz w:val="22"/>
          <w:szCs w:val="22"/>
          <w:lang w:val="sr-Latn-ME"/>
        </w:rPr>
        <w:t>eženi su veoma r</w:t>
      </w:r>
      <w:r w:rsidR="00D41D02" w:rsidRPr="001D6D86">
        <w:rPr>
          <w:bCs/>
          <w:sz w:val="22"/>
          <w:szCs w:val="22"/>
          <w:lang w:val="sr-Latn-ME"/>
        </w:rPr>
        <w:t>ij</w:t>
      </w:r>
      <w:r w:rsidRPr="001D6D86">
        <w:rPr>
          <w:bCs/>
          <w:sz w:val="22"/>
          <w:szCs w:val="22"/>
          <w:lang w:val="sr-Latn-ME"/>
        </w:rPr>
        <w:t xml:space="preserve">etki izveštaji o imunski-posredovanoj nekrotizirajućoj miopatiji (engl. </w:t>
      </w:r>
      <w:r w:rsidRPr="001D6D86">
        <w:rPr>
          <w:bCs/>
          <w:i/>
          <w:sz w:val="22"/>
          <w:szCs w:val="22"/>
          <w:lang w:val="sr-Latn-ME"/>
        </w:rPr>
        <w:t>immune-mediated necrotising myopathy</w:t>
      </w:r>
      <w:r w:rsidRPr="001D6D86">
        <w:rPr>
          <w:bCs/>
          <w:sz w:val="22"/>
          <w:szCs w:val="22"/>
          <w:lang w:val="sr-Latn-ME"/>
        </w:rPr>
        <w:t>, IMNM) za vr</w:t>
      </w:r>
      <w:r w:rsidR="00D41D02" w:rsidRPr="001D6D86">
        <w:rPr>
          <w:bCs/>
          <w:sz w:val="22"/>
          <w:szCs w:val="22"/>
          <w:lang w:val="sr-Latn-ME"/>
        </w:rPr>
        <w:t>ij</w:t>
      </w:r>
      <w:r w:rsidRPr="001D6D86">
        <w:rPr>
          <w:bCs/>
          <w:sz w:val="22"/>
          <w:szCs w:val="22"/>
          <w:lang w:val="sr-Latn-ME"/>
        </w:rPr>
        <w:t>eme ili nakon terapije statinima, uključujući rosuvastatin. IMNM je klinički okarakterisan proksimalnom mišićnom slabošću i povećanim vr</w:t>
      </w:r>
      <w:r w:rsidR="00D41D02" w:rsidRPr="001D6D86">
        <w:rPr>
          <w:bCs/>
          <w:sz w:val="22"/>
          <w:szCs w:val="22"/>
          <w:lang w:val="sr-Latn-ME"/>
        </w:rPr>
        <w:t>ij</w:t>
      </w:r>
      <w:r w:rsidRPr="001D6D86">
        <w:rPr>
          <w:bCs/>
          <w:sz w:val="22"/>
          <w:szCs w:val="22"/>
          <w:lang w:val="sr-Latn-ME"/>
        </w:rPr>
        <w:t>ednostima keratin kinaze u serumu, koje se zadržavaju i nakon prekida terapije statinima.</w:t>
      </w:r>
    </w:p>
    <w:p w14:paraId="3C61C3C1" w14:textId="77777777" w:rsidR="00030415" w:rsidRPr="001D6D86" w:rsidRDefault="00030415" w:rsidP="0026307D">
      <w:pPr>
        <w:tabs>
          <w:tab w:val="left" w:pos="540"/>
          <w:tab w:val="left" w:pos="569"/>
        </w:tabs>
        <w:jc w:val="both"/>
        <w:rPr>
          <w:bCs/>
          <w:sz w:val="22"/>
          <w:szCs w:val="22"/>
          <w:lang w:val="sr-Latn-ME"/>
        </w:rPr>
      </w:pPr>
    </w:p>
    <w:p w14:paraId="3BA9189A" w14:textId="069C9D9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nekoliko slučajeva zab</w:t>
      </w:r>
      <w:r w:rsidR="00D41D02" w:rsidRPr="001D6D86">
        <w:rPr>
          <w:bCs/>
          <w:sz w:val="22"/>
          <w:szCs w:val="22"/>
          <w:lang w:val="sr-Latn-ME"/>
        </w:rPr>
        <w:t>ilj</w:t>
      </w:r>
      <w:r w:rsidRPr="001D6D86">
        <w:rPr>
          <w:bCs/>
          <w:sz w:val="22"/>
          <w:szCs w:val="22"/>
          <w:lang w:val="sr-Latn-ME"/>
        </w:rPr>
        <w:t xml:space="preserve">eženo je da statini indukuju </w:t>
      </w:r>
      <w:r w:rsidRPr="001D6D86">
        <w:rPr>
          <w:bCs/>
          <w:i/>
          <w:sz w:val="22"/>
          <w:szCs w:val="22"/>
          <w:lang w:val="sr-Latn-ME"/>
        </w:rPr>
        <w:t xml:space="preserve">de novo </w:t>
      </w:r>
      <w:r w:rsidRPr="001D6D86">
        <w:rPr>
          <w:bCs/>
          <w:sz w:val="22"/>
          <w:szCs w:val="22"/>
          <w:lang w:val="sr-Latn-ME"/>
        </w:rPr>
        <w:t>ili pogoršavaju već postojeću miasteniju gravis ili okularnu miasteniju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dio</w:t>
      </w:r>
      <w:r w:rsidRPr="001D6D86">
        <w:rPr>
          <w:bCs/>
          <w:sz w:val="22"/>
          <w:szCs w:val="22"/>
          <w:lang w:val="sr-Latn-ME"/>
        </w:rPr>
        <w:t xml:space="preserve"> 4.8). Prim</w:t>
      </w:r>
      <w:r w:rsidR="00D41D02" w:rsidRPr="001D6D86">
        <w:rPr>
          <w:bCs/>
          <w:sz w:val="22"/>
          <w:szCs w:val="22"/>
          <w:lang w:val="sr-Latn-ME"/>
        </w:rPr>
        <w:t>j</w:t>
      </w:r>
      <w:r w:rsidRPr="001D6D86">
        <w:rPr>
          <w:bCs/>
          <w:sz w:val="22"/>
          <w:szCs w:val="22"/>
          <w:lang w:val="sr-Latn-ME"/>
        </w:rPr>
        <w:t>enu l</w:t>
      </w:r>
      <w:r w:rsidR="00D41D02" w:rsidRPr="001D6D86">
        <w:rPr>
          <w:bCs/>
          <w:sz w:val="22"/>
          <w:szCs w:val="22"/>
          <w:lang w:val="sr-Latn-ME"/>
        </w:rPr>
        <w:t>ij</w:t>
      </w:r>
      <w:r w:rsidRPr="001D6D86">
        <w:rPr>
          <w:bCs/>
          <w:sz w:val="22"/>
          <w:szCs w:val="22"/>
          <w:lang w:val="sr-Latn-ME"/>
        </w:rPr>
        <w:t>eka treba obustaviti u slučaju pogoršanja simptoma. Zab</w:t>
      </w:r>
      <w:r w:rsidR="00D41D02" w:rsidRPr="001D6D86">
        <w:rPr>
          <w:bCs/>
          <w:sz w:val="22"/>
          <w:szCs w:val="22"/>
          <w:lang w:val="sr-Latn-ME"/>
        </w:rPr>
        <w:t>ilj</w:t>
      </w:r>
      <w:r w:rsidRPr="001D6D86">
        <w:rPr>
          <w:bCs/>
          <w:sz w:val="22"/>
          <w:szCs w:val="22"/>
          <w:lang w:val="sr-Latn-ME"/>
        </w:rPr>
        <w:t>eženo je ponovno pojavljivanje kada je isti ili neki drugi statin (ponovno) prim</w:t>
      </w:r>
      <w:r w:rsidR="00D41D02" w:rsidRPr="001D6D86">
        <w:rPr>
          <w:bCs/>
          <w:sz w:val="22"/>
          <w:szCs w:val="22"/>
          <w:lang w:val="sr-Latn-ME"/>
        </w:rPr>
        <w:t>ij</w:t>
      </w:r>
      <w:r w:rsidRPr="001D6D86">
        <w:rPr>
          <w:bCs/>
          <w:sz w:val="22"/>
          <w:szCs w:val="22"/>
          <w:lang w:val="sr-Latn-ME"/>
        </w:rPr>
        <w:t>enjen.</w:t>
      </w:r>
      <w:r w:rsidRPr="001D6D86">
        <w:rPr>
          <w:bCs/>
          <w:sz w:val="22"/>
          <w:szCs w:val="22"/>
          <w:lang w:val="sr-Latn-ME"/>
        </w:rPr>
        <w:cr/>
      </w:r>
    </w:p>
    <w:p w14:paraId="6121AA34" w14:textId="5E9E435C"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kliničkim ispitivanjima nije dokazan povećan uticaj na skeletne mišiće kod malog broja pacijenata koji su primali rosuvastatin uporedo sa drugom terapijom. Ipak, zab</w:t>
      </w:r>
      <w:r w:rsidR="00D41D02" w:rsidRPr="001D6D86">
        <w:rPr>
          <w:bCs/>
          <w:sz w:val="22"/>
          <w:szCs w:val="22"/>
          <w:lang w:val="sr-Latn-ME"/>
        </w:rPr>
        <w:t>ilj</w:t>
      </w:r>
      <w:r w:rsidRPr="001D6D86">
        <w:rPr>
          <w:bCs/>
          <w:sz w:val="22"/>
          <w:szCs w:val="22"/>
          <w:lang w:val="sr-Latn-ME"/>
        </w:rPr>
        <w:t>ežena je povećana incidenca miozitisa i miopatije kod pacijenata koji su primali druge inhibitore HMG-CoA reduktaze zajedno sa derivatima fibrinske kiseline, kao što su gemfibrozil, ciklosporin, nikotinska kiselina, azolni antimikotici, inhibitori proteaze i makrolidni antibiotici. Gemfibrozil povećava rizik od miopatije, ako se prim</w:t>
      </w:r>
      <w:r w:rsidR="00D41D02" w:rsidRPr="001D6D86">
        <w:rPr>
          <w:bCs/>
          <w:sz w:val="22"/>
          <w:szCs w:val="22"/>
          <w:lang w:val="sr-Latn-ME"/>
        </w:rPr>
        <w:t>j</w:t>
      </w:r>
      <w:r w:rsidRPr="001D6D86">
        <w:rPr>
          <w:bCs/>
          <w:sz w:val="22"/>
          <w:szCs w:val="22"/>
          <w:lang w:val="sr-Latn-ME"/>
        </w:rPr>
        <w:t>enjuje istovremeno sa nekim od inhibitora HMG-CoA reduktaze. Zbog toga se ne preporučuje istovremena prim</w:t>
      </w:r>
      <w:r w:rsidR="00D41D02" w:rsidRPr="001D6D86">
        <w:rPr>
          <w:bCs/>
          <w:sz w:val="22"/>
          <w:szCs w:val="22"/>
          <w:lang w:val="sr-Latn-ME"/>
        </w:rPr>
        <w:t>j</w:t>
      </w:r>
      <w:r w:rsidRPr="001D6D86">
        <w:rPr>
          <w:bCs/>
          <w:sz w:val="22"/>
          <w:szCs w:val="22"/>
          <w:lang w:val="sr-Latn-ME"/>
        </w:rPr>
        <w:t>ena rosuvastatina i gemfibrozila. Treba pažljivo proc</w:t>
      </w:r>
      <w:r w:rsidR="00D41D02" w:rsidRPr="001D6D86">
        <w:rPr>
          <w:bCs/>
          <w:sz w:val="22"/>
          <w:szCs w:val="22"/>
          <w:lang w:val="sr-Latn-ME"/>
        </w:rPr>
        <w:t>ij</w:t>
      </w:r>
      <w:r w:rsidRPr="001D6D86">
        <w:rPr>
          <w:bCs/>
          <w:sz w:val="22"/>
          <w:szCs w:val="22"/>
          <w:lang w:val="sr-Latn-ME"/>
        </w:rPr>
        <w:t>eniti korist od daljih prom</w:t>
      </w:r>
      <w:r w:rsidR="00D41D02" w:rsidRPr="001D6D86">
        <w:rPr>
          <w:bCs/>
          <w:sz w:val="22"/>
          <w:szCs w:val="22"/>
          <w:lang w:val="sr-Latn-ME"/>
        </w:rPr>
        <w:t>j</w:t>
      </w:r>
      <w:r w:rsidRPr="001D6D86">
        <w:rPr>
          <w:bCs/>
          <w:sz w:val="22"/>
          <w:szCs w:val="22"/>
          <w:lang w:val="sr-Latn-ME"/>
        </w:rPr>
        <w:t>ena nivoa lipida usl</w:t>
      </w:r>
      <w:r w:rsidR="00D41D02" w:rsidRPr="001D6D86">
        <w:rPr>
          <w:bCs/>
          <w:sz w:val="22"/>
          <w:szCs w:val="22"/>
          <w:lang w:val="sr-Latn-ME"/>
        </w:rPr>
        <w:t>j</w:t>
      </w:r>
      <w:r w:rsidRPr="001D6D86">
        <w:rPr>
          <w:bCs/>
          <w:sz w:val="22"/>
          <w:szCs w:val="22"/>
          <w:lang w:val="sr-Latn-ME"/>
        </w:rPr>
        <w:t>ed istovremene prim</w:t>
      </w:r>
      <w:r w:rsidR="00D41D02" w:rsidRPr="001D6D86">
        <w:rPr>
          <w:bCs/>
          <w:sz w:val="22"/>
          <w:szCs w:val="22"/>
          <w:lang w:val="sr-Latn-ME"/>
        </w:rPr>
        <w:t>j</w:t>
      </w:r>
      <w:r w:rsidRPr="001D6D86">
        <w:rPr>
          <w:bCs/>
          <w:sz w:val="22"/>
          <w:szCs w:val="22"/>
          <w:lang w:val="sr-Latn-ME"/>
        </w:rPr>
        <w:t>ene rosuvastatina i fibrata ili niacina u odnosu na moguće rizike koje imaju takve kombinacije. Doza od 40 mg rosuvastatina je kontraindikovana sa istovremenom upotrebom fibrata (</w:t>
      </w:r>
      <w:r w:rsidR="00637E1E" w:rsidRPr="001D6D86">
        <w:rPr>
          <w:bCs/>
          <w:sz w:val="22"/>
          <w:szCs w:val="22"/>
          <w:lang w:val="sr-Latn-ME"/>
        </w:rPr>
        <w:t>vidjeti</w:t>
      </w:r>
      <w:r w:rsidRPr="001D6D86">
        <w:rPr>
          <w:bCs/>
          <w:sz w:val="22"/>
          <w:szCs w:val="22"/>
          <w:lang w:val="sr-Latn-ME"/>
        </w:rPr>
        <w:t xml:space="preserve"> </w:t>
      </w:r>
      <w:r w:rsidR="00D41D02" w:rsidRPr="001D6D86">
        <w:rPr>
          <w:bCs/>
          <w:sz w:val="22"/>
          <w:szCs w:val="22"/>
          <w:lang w:val="sr-Latn-ME"/>
        </w:rPr>
        <w:t>djelove</w:t>
      </w:r>
      <w:r w:rsidRPr="001D6D86">
        <w:rPr>
          <w:bCs/>
          <w:sz w:val="22"/>
          <w:szCs w:val="22"/>
          <w:lang w:val="sr-Latn-ME"/>
        </w:rPr>
        <w:t xml:space="preserve"> 4.5 i 4.8).</w:t>
      </w:r>
    </w:p>
    <w:p w14:paraId="638B7A0F" w14:textId="77777777" w:rsidR="00030415" w:rsidRPr="001D6D86" w:rsidRDefault="00030415" w:rsidP="0026307D">
      <w:pPr>
        <w:tabs>
          <w:tab w:val="left" w:pos="540"/>
          <w:tab w:val="left" w:pos="569"/>
        </w:tabs>
        <w:jc w:val="both"/>
        <w:rPr>
          <w:bCs/>
          <w:sz w:val="22"/>
          <w:szCs w:val="22"/>
          <w:lang w:val="sr-Latn-ME"/>
        </w:rPr>
      </w:pPr>
    </w:p>
    <w:p w14:paraId="78D6843C" w14:textId="09F4FCEA"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lastRenderedPageBreak/>
        <w:t>L</w:t>
      </w:r>
      <w:r w:rsidR="00D41D02" w:rsidRPr="001D6D86">
        <w:rPr>
          <w:bCs/>
          <w:sz w:val="22"/>
          <w:szCs w:val="22"/>
          <w:lang w:val="sr-Latn-ME"/>
        </w:rPr>
        <w:t>ij</w:t>
      </w:r>
      <w:r w:rsidRPr="001D6D86">
        <w:rPr>
          <w:bCs/>
          <w:sz w:val="22"/>
          <w:szCs w:val="22"/>
          <w:lang w:val="sr-Latn-ME"/>
        </w:rPr>
        <w:t>ek COUPET ne sm</w:t>
      </w:r>
      <w:r w:rsidR="00D41D02" w:rsidRPr="001D6D86">
        <w:rPr>
          <w:bCs/>
          <w:sz w:val="22"/>
          <w:szCs w:val="22"/>
          <w:lang w:val="sr-Latn-ME"/>
        </w:rPr>
        <w:t>ij</w:t>
      </w:r>
      <w:r w:rsidRPr="001D6D86">
        <w:rPr>
          <w:bCs/>
          <w:sz w:val="22"/>
          <w:szCs w:val="22"/>
          <w:lang w:val="sr-Latn-ME"/>
        </w:rPr>
        <w:t>e da se uzima istovremeno sa formulacijom fusidinske kiseline za sistemsku prim</w:t>
      </w:r>
      <w:r w:rsidR="00D41D02" w:rsidRPr="001D6D86">
        <w:rPr>
          <w:bCs/>
          <w:sz w:val="22"/>
          <w:szCs w:val="22"/>
          <w:lang w:val="sr-Latn-ME"/>
        </w:rPr>
        <w:t>j</w:t>
      </w:r>
      <w:r w:rsidRPr="001D6D86">
        <w:rPr>
          <w:bCs/>
          <w:sz w:val="22"/>
          <w:szCs w:val="22"/>
          <w:lang w:val="sr-Latn-ME"/>
        </w:rPr>
        <w:t>enu, kao ni u periodu kraćem od 7 dana nakon prekida terapije fusidinskom kiselinom. Kod pacijenata kod kojih je prim</w:t>
      </w:r>
      <w:r w:rsidR="00D41D02" w:rsidRPr="001D6D86">
        <w:rPr>
          <w:bCs/>
          <w:sz w:val="22"/>
          <w:szCs w:val="22"/>
          <w:lang w:val="sr-Latn-ME"/>
        </w:rPr>
        <w:t>j</w:t>
      </w:r>
      <w:r w:rsidRPr="001D6D86">
        <w:rPr>
          <w:bCs/>
          <w:sz w:val="22"/>
          <w:szCs w:val="22"/>
          <w:lang w:val="sr-Latn-ME"/>
        </w:rPr>
        <w:t>ena fusidinske kiseline neophodna, l</w:t>
      </w:r>
      <w:r w:rsidR="00D41D02" w:rsidRPr="001D6D86">
        <w:rPr>
          <w:bCs/>
          <w:sz w:val="22"/>
          <w:szCs w:val="22"/>
          <w:lang w:val="sr-Latn-ME"/>
        </w:rPr>
        <w:t>ij</w:t>
      </w:r>
      <w:r w:rsidRPr="001D6D86">
        <w:rPr>
          <w:bCs/>
          <w:sz w:val="22"/>
          <w:szCs w:val="22"/>
          <w:lang w:val="sr-Latn-ME"/>
        </w:rPr>
        <w:t>ečenje statinom treba prekinuti tokom terapije fusidinskom kiselinom</w:t>
      </w:r>
      <w:r w:rsidR="00D41D02" w:rsidRPr="001D6D86">
        <w:rPr>
          <w:bCs/>
          <w:sz w:val="22"/>
          <w:szCs w:val="22"/>
          <w:lang w:val="sr-Latn-ME"/>
        </w:rPr>
        <w:t>.</w:t>
      </w:r>
      <w:r w:rsidRPr="001D6D86">
        <w:rPr>
          <w:bCs/>
          <w:sz w:val="22"/>
          <w:szCs w:val="22"/>
          <w:lang w:val="sr-Latn-ME"/>
        </w:rPr>
        <w:t xml:space="preserve"> Prijavljeni su slučajevi rabdomiolize (uključujući i smrtne slučajeve) kod pacijenata koji su primali fusidinsku kiselinu i statine u kombinaciji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dio</w:t>
      </w:r>
      <w:r w:rsidRPr="001D6D86">
        <w:rPr>
          <w:bCs/>
          <w:sz w:val="22"/>
          <w:szCs w:val="22"/>
          <w:lang w:val="sr-Latn-ME"/>
        </w:rPr>
        <w:t xml:space="preserve"> 4.5). Pacijente treba sav</w:t>
      </w:r>
      <w:r w:rsidR="00D41D02" w:rsidRPr="001D6D86">
        <w:rPr>
          <w:bCs/>
          <w:sz w:val="22"/>
          <w:szCs w:val="22"/>
          <w:lang w:val="sr-Latn-ME"/>
        </w:rPr>
        <w:t>j</w:t>
      </w:r>
      <w:r w:rsidRPr="001D6D86">
        <w:rPr>
          <w:bCs/>
          <w:sz w:val="22"/>
          <w:szCs w:val="22"/>
          <w:lang w:val="sr-Latn-ME"/>
        </w:rPr>
        <w:t>etovati da odmah zatraže medicinsku pomoć ukoliko prim</w:t>
      </w:r>
      <w:r w:rsidR="00D41D02" w:rsidRPr="001D6D86">
        <w:rPr>
          <w:bCs/>
          <w:sz w:val="22"/>
          <w:szCs w:val="22"/>
          <w:lang w:val="sr-Latn-ME"/>
        </w:rPr>
        <w:t>ij</w:t>
      </w:r>
      <w:r w:rsidRPr="001D6D86">
        <w:rPr>
          <w:bCs/>
          <w:sz w:val="22"/>
          <w:szCs w:val="22"/>
          <w:lang w:val="sr-Latn-ME"/>
        </w:rPr>
        <w:t xml:space="preserve">ete bilo koji simptom mišićne slabosti, bol ili napetost u mišićima. </w:t>
      </w:r>
    </w:p>
    <w:p w14:paraId="589BFC7D" w14:textId="77777777" w:rsidR="00030415" w:rsidRPr="001D6D86" w:rsidRDefault="00030415" w:rsidP="0026307D">
      <w:pPr>
        <w:tabs>
          <w:tab w:val="left" w:pos="540"/>
          <w:tab w:val="left" w:pos="569"/>
        </w:tabs>
        <w:jc w:val="both"/>
        <w:rPr>
          <w:bCs/>
          <w:sz w:val="22"/>
          <w:szCs w:val="22"/>
          <w:lang w:val="sr-Latn-ME"/>
        </w:rPr>
      </w:pPr>
    </w:p>
    <w:p w14:paraId="733229A3" w14:textId="16974925"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Terapija statinom se može ponovo uvesti sedam dana nakon prim</w:t>
      </w:r>
      <w:r w:rsidR="00D41D02" w:rsidRPr="001D6D86">
        <w:rPr>
          <w:bCs/>
          <w:sz w:val="22"/>
          <w:szCs w:val="22"/>
          <w:lang w:val="sr-Latn-ME"/>
        </w:rPr>
        <w:t>j</w:t>
      </w:r>
      <w:r w:rsidRPr="001D6D86">
        <w:rPr>
          <w:bCs/>
          <w:sz w:val="22"/>
          <w:szCs w:val="22"/>
          <w:lang w:val="sr-Latn-ME"/>
        </w:rPr>
        <w:t>ene posl</w:t>
      </w:r>
      <w:r w:rsidR="00D41D02" w:rsidRPr="001D6D86">
        <w:rPr>
          <w:bCs/>
          <w:sz w:val="22"/>
          <w:szCs w:val="22"/>
          <w:lang w:val="sr-Latn-ME"/>
        </w:rPr>
        <w:t>j</w:t>
      </w:r>
      <w:r w:rsidRPr="001D6D86">
        <w:rPr>
          <w:bCs/>
          <w:sz w:val="22"/>
          <w:szCs w:val="22"/>
          <w:lang w:val="sr-Latn-ME"/>
        </w:rPr>
        <w:t>ednje doze fusidinske kiseline. U izuzetnim okolnostima, kada je potrebna produžena terapija fusidinskom kiselinom, npr, za l</w:t>
      </w:r>
      <w:r w:rsidR="00D41D02" w:rsidRPr="001D6D86">
        <w:rPr>
          <w:bCs/>
          <w:sz w:val="22"/>
          <w:szCs w:val="22"/>
          <w:lang w:val="sr-Latn-ME"/>
        </w:rPr>
        <w:t>ij</w:t>
      </w:r>
      <w:r w:rsidRPr="001D6D86">
        <w:rPr>
          <w:bCs/>
          <w:sz w:val="22"/>
          <w:szCs w:val="22"/>
          <w:lang w:val="sr-Latn-ME"/>
        </w:rPr>
        <w:t>ečenje teških infekcija, istovremenu prim</w:t>
      </w:r>
      <w:r w:rsidR="00D41D02" w:rsidRPr="001D6D86">
        <w:rPr>
          <w:bCs/>
          <w:sz w:val="22"/>
          <w:szCs w:val="22"/>
          <w:lang w:val="sr-Latn-ME"/>
        </w:rPr>
        <w:t>j</w:t>
      </w:r>
      <w:r w:rsidRPr="001D6D86">
        <w:rPr>
          <w:bCs/>
          <w:sz w:val="22"/>
          <w:szCs w:val="22"/>
          <w:lang w:val="sr-Latn-ME"/>
        </w:rPr>
        <w:t>enu rosuvastatina i fusidinske kiseline treba uzeti u obzir samo od slučaja do slučaja i pod neposrednim medicinskim nadzorom.</w:t>
      </w:r>
    </w:p>
    <w:p w14:paraId="6674576F" w14:textId="77777777" w:rsidR="00030415" w:rsidRPr="001D6D86" w:rsidRDefault="00030415" w:rsidP="0026307D">
      <w:pPr>
        <w:tabs>
          <w:tab w:val="left" w:pos="540"/>
          <w:tab w:val="left" w:pos="569"/>
        </w:tabs>
        <w:jc w:val="both"/>
        <w:rPr>
          <w:bCs/>
          <w:sz w:val="22"/>
          <w:szCs w:val="22"/>
          <w:lang w:val="sr-Latn-ME"/>
        </w:rPr>
      </w:pPr>
    </w:p>
    <w:p w14:paraId="184B3C08" w14:textId="46724463"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Rosuvastatin ne treba prim</w:t>
      </w:r>
      <w:r w:rsidR="00D41D02" w:rsidRPr="001D6D86">
        <w:rPr>
          <w:bCs/>
          <w:sz w:val="22"/>
          <w:szCs w:val="22"/>
          <w:lang w:val="sr-Latn-ME"/>
        </w:rPr>
        <w:t>j</w:t>
      </w:r>
      <w:r w:rsidRPr="001D6D86">
        <w:rPr>
          <w:bCs/>
          <w:sz w:val="22"/>
          <w:szCs w:val="22"/>
          <w:lang w:val="sr-Latn-ME"/>
        </w:rPr>
        <w:t>enjivati kod pacijenata sa akutnim, ozbiljnim stanjem koja ukazuju na miopatiju ili koji imaju predispozicije za razvoj bubrežne insuficijencije usl</w:t>
      </w:r>
      <w:r w:rsidR="00D41D02" w:rsidRPr="001D6D86">
        <w:rPr>
          <w:bCs/>
          <w:sz w:val="22"/>
          <w:szCs w:val="22"/>
          <w:lang w:val="sr-Latn-ME"/>
        </w:rPr>
        <w:t>j</w:t>
      </w:r>
      <w:r w:rsidRPr="001D6D86">
        <w:rPr>
          <w:bCs/>
          <w:sz w:val="22"/>
          <w:szCs w:val="22"/>
          <w:lang w:val="sr-Latn-ME"/>
        </w:rPr>
        <w:t>ed rabdomiolize (npr. sepsa, hipotenzija, veće hirurške intervencije, trauma, ozbiljni poremećaji metabolizma, endokrinog sistema i elektrolita; ili nekontrolisani epileptični napadi).</w:t>
      </w:r>
    </w:p>
    <w:p w14:paraId="194AB84E" w14:textId="77777777" w:rsidR="00030415" w:rsidRPr="001D6D86" w:rsidRDefault="00030415" w:rsidP="0026307D">
      <w:pPr>
        <w:tabs>
          <w:tab w:val="left" w:pos="540"/>
          <w:tab w:val="left" w:pos="569"/>
        </w:tabs>
        <w:jc w:val="both"/>
        <w:rPr>
          <w:bCs/>
          <w:sz w:val="22"/>
          <w:szCs w:val="22"/>
          <w:lang w:val="sr-Latn-ME"/>
        </w:rPr>
      </w:pPr>
    </w:p>
    <w:p w14:paraId="628D410E" w14:textId="77777777" w:rsidR="00030415" w:rsidRPr="001D6D86" w:rsidRDefault="00030415" w:rsidP="0026307D">
      <w:pPr>
        <w:tabs>
          <w:tab w:val="left" w:pos="540"/>
          <w:tab w:val="left" w:pos="569"/>
        </w:tabs>
        <w:jc w:val="both"/>
        <w:rPr>
          <w:bCs/>
          <w:sz w:val="22"/>
          <w:szCs w:val="22"/>
          <w:u w:val="single"/>
          <w:lang w:val="sr-Latn-ME"/>
        </w:rPr>
      </w:pPr>
      <w:r w:rsidRPr="001D6D86">
        <w:rPr>
          <w:bCs/>
          <w:sz w:val="22"/>
          <w:szCs w:val="22"/>
          <w:u w:val="single"/>
          <w:lang w:val="sr-Latn-ME"/>
        </w:rPr>
        <w:t>Teške neželjene rekacije na koži</w:t>
      </w:r>
    </w:p>
    <w:p w14:paraId="283E1D7C" w14:textId="44DDC365" w:rsidR="007C1056"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Teške neželjene reakcije na koži, uključujući </w:t>
      </w:r>
      <w:r w:rsidRPr="001D6D86">
        <w:rPr>
          <w:bCs/>
          <w:i/>
          <w:iCs/>
          <w:sz w:val="22"/>
          <w:szCs w:val="22"/>
          <w:lang w:val="sr-Latn-ME"/>
        </w:rPr>
        <w:t>Stevens-Johnson-</w:t>
      </w:r>
      <w:r w:rsidRPr="001D6D86">
        <w:rPr>
          <w:bCs/>
          <w:sz w:val="22"/>
          <w:szCs w:val="22"/>
          <w:lang w:val="sr-Latn-ME"/>
        </w:rPr>
        <w:t>ov sindrom (SJS) i reakcije na l</w:t>
      </w:r>
      <w:r w:rsidR="00D41D02" w:rsidRPr="001D6D86">
        <w:rPr>
          <w:bCs/>
          <w:sz w:val="22"/>
          <w:szCs w:val="22"/>
          <w:lang w:val="sr-Latn-ME"/>
        </w:rPr>
        <w:t>j</w:t>
      </w:r>
      <w:r w:rsidRPr="001D6D86">
        <w:rPr>
          <w:bCs/>
          <w:sz w:val="22"/>
          <w:szCs w:val="22"/>
          <w:lang w:val="sr-Latn-ME"/>
        </w:rPr>
        <w:t>ekove sa eozinofilijom i sistemskim simptomima (DRESS), koje mogu biti opasne po život ili sa smrtnim ishodom, prijavljene su tokom terapije rosuvastatin</w:t>
      </w:r>
      <w:r w:rsidR="00A673BE" w:rsidRPr="001D6D86">
        <w:rPr>
          <w:bCs/>
          <w:sz w:val="22"/>
          <w:szCs w:val="22"/>
          <w:lang w:val="sr-Latn-ME"/>
        </w:rPr>
        <w:t>om</w:t>
      </w:r>
      <w:r w:rsidRPr="001D6D86">
        <w:rPr>
          <w:bCs/>
          <w:sz w:val="22"/>
          <w:szCs w:val="22"/>
          <w:lang w:val="sr-Latn-ME"/>
        </w:rPr>
        <w:t xml:space="preserve">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dio</w:t>
      </w:r>
      <w:r w:rsidRPr="001D6D86">
        <w:rPr>
          <w:bCs/>
          <w:sz w:val="22"/>
          <w:szCs w:val="22"/>
          <w:lang w:val="sr-Latn-ME"/>
        </w:rPr>
        <w:t xml:space="preserve"> 4.8). Tokom propisivanja, pacijente treba obav</w:t>
      </w:r>
      <w:r w:rsidR="00D41D02" w:rsidRPr="001D6D86">
        <w:rPr>
          <w:bCs/>
          <w:sz w:val="22"/>
          <w:szCs w:val="22"/>
          <w:lang w:val="sr-Latn-ME"/>
        </w:rPr>
        <w:t>ij</w:t>
      </w:r>
      <w:r w:rsidRPr="001D6D86">
        <w:rPr>
          <w:bCs/>
          <w:sz w:val="22"/>
          <w:szCs w:val="22"/>
          <w:lang w:val="sr-Latn-ME"/>
        </w:rPr>
        <w:t>estiti o znacima i simptomima teških kožnih reakcija i pažljivo ih pratiti. Ako se pojave znaci i simptomi koji ukazuju na ovu reakciju, terapiju rosuvastatinom treba odmah prekinuti i razmotriti alternativni tretman.</w:t>
      </w:r>
    </w:p>
    <w:p w14:paraId="53520788" w14:textId="0A9DC0F4"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Ako se pri prim</w:t>
      </w:r>
      <w:r w:rsidR="00D41D02" w:rsidRPr="001D6D86">
        <w:rPr>
          <w:bCs/>
          <w:sz w:val="22"/>
          <w:szCs w:val="22"/>
          <w:lang w:val="sr-Latn-ME"/>
        </w:rPr>
        <w:t>j</w:t>
      </w:r>
      <w:r w:rsidRPr="001D6D86">
        <w:rPr>
          <w:bCs/>
          <w:sz w:val="22"/>
          <w:szCs w:val="22"/>
          <w:lang w:val="sr-Latn-ME"/>
        </w:rPr>
        <w:t>eni l</w:t>
      </w:r>
      <w:r w:rsidR="00D41D02" w:rsidRPr="001D6D86">
        <w:rPr>
          <w:bCs/>
          <w:sz w:val="22"/>
          <w:szCs w:val="22"/>
          <w:lang w:val="sr-Latn-ME"/>
        </w:rPr>
        <w:t>ij</w:t>
      </w:r>
      <w:r w:rsidRPr="001D6D86">
        <w:rPr>
          <w:bCs/>
          <w:sz w:val="22"/>
          <w:szCs w:val="22"/>
          <w:lang w:val="sr-Latn-ME"/>
        </w:rPr>
        <w:t xml:space="preserve">eka COUPET kod pacijenta javi ozbiljna reakcija kao što </w:t>
      </w:r>
      <w:r w:rsidR="00A673BE" w:rsidRPr="001D6D86">
        <w:rPr>
          <w:bCs/>
          <w:sz w:val="22"/>
          <w:szCs w:val="22"/>
          <w:lang w:val="sr-Latn-ME"/>
        </w:rPr>
        <w:t>su</w:t>
      </w:r>
      <w:r w:rsidRPr="001D6D86">
        <w:rPr>
          <w:bCs/>
          <w:sz w:val="22"/>
          <w:szCs w:val="22"/>
          <w:lang w:val="sr-Latn-ME"/>
        </w:rPr>
        <w:t xml:space="preserve"> SJS ili DRESS, ni pod  kojim uslovom se ne sm</w:t>
      </w:r>
      <w:r w:rsidR="00D41D02" w:rsidRPr="001D6D86">
        <w:rPr>
          <w:bCs/>
          <w:sz w:val="22"/>
          <w:szCs w:val="22"/>
          <w:lang w:val="sr-Latn-ME"/>
        </w:rPr>
        <w:t>ij</w:t>
      </w:r>
      <w:r w:rsidRPr="001D6D86">
        <w:rPr>
          <w:bCs/>
          <w:sz w:val="22"/>
          <w:szCs w:val="22"/>
          <w:lang w:val="sr-Latn-ME"/>
        </w:rPr>
        <w:t>e nastaviti terapija u bilo koje vr</w:t>
      </w:r>
      <w:r w:rsidR="00D41D02" w:rsidRPr="001D6D86">
        <w:rPr>
          <w:bCs/>
          <w:sz w:val="22"/>
          <w:szCs w:val="22"/>
          <w:lang w:val="sr-Latn-ME"/>
        </w:rPr>
        <w:t>ij</w:t>
      </w:r>
      <w:r w:rsidRPr="001D6D86">
        <w:rPr>
          <w:bCs/>
          <w:sz w:val="22"/>
          <w:szCs w:val="22"/>
          <w:lang w:val="sr-Latn-ME"/>
        </w:rPr>
        <w:t>eme.</w:t>
      </w:r>
    </w:p>
    <w:p w14:paraId="01A361B8" w14:textId="77777777" w:rsidR="00030415" w:rsidRPr="001D6D86" w:rsidRDefault="00030415" w:rsidP="0026307D">
      <w:pPr>
        <w:tabs>
          <w:tab w:val="left" w:pos="540"/>
          <w:tab w:val="left" w:pos="569"/>
        </w:tabs>
        <w:jc w:val="both"/>
        <w:rPr>
          <w:bCs/>
          <w:sz w:val="22"/>
          <w:szCs w:val="22"/>
          <w:lang w:val="sr-Latn-ME"/>
        </w:rPr>
      </w:pPr>
    </w:p>
    <w:p w14:paraId="1E6452AC"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Uticaj na funkciju jetre</w:t>
      </w:r>
    </w:p>
    <w:p w14:paraId="09C44670" w14:textId="71FDE1B4"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Kao i ostale inhibitore HMG-CoA reduktaze, rosuvastatin treba sa oprezom prim</w:t>
      </w:r>
      <w:r w:rsidR="00D41D02" w:rsidRPr="001D6D86">
        <w:rPr>
          <w:bCs/>
          <w:sz w:val="22"/>
          <w:szCs w:val="22"/>
          <w:lang w:val="sr-Latn-ME"/>
        </w:rPr>
        <w:t>j</w:t>
      </w:r>
      <w:r w:rsidRPr="001D6D86">
        <w:rPr>
          <w:bCs/>
          <w:sz w:val="22"/>
          <w:szCs w:val="22"/>
          <w:lang w:val="sr-Latn-ME"/>
        </w:rPr>
        <w:t>enjivati kod pacijenata koji konzumiraju pret</w:t>
      </w:r>
      <w:r w:rsidR="007C1056" w:rsidRPr="001D6D86">
        <w:rPr>
          <w:bCs/>
          <w:sz w:val="22"/>
          <w:szCs w:val="22"/>
          <w:lang w:val="sr-Latn-ME"/>
        </w:rPr>
        <w:t>j</w:t>
      </w:r>
      <w:r w:rsidRPr="001D6D86">
        <w:rPr>
          <w:bCs/>
          <w:sz w:val="22"/>
          <w:szCs w:val="22"/>
          <w:lang w:val="sr-Latn-ME"/>
        </w:rPr>
        <w:t>erane količine alkohola i/ili imaju oboljenja jetre u anamnezi.</w:t>
      </w:r>
    </w:p>
    <w:p w14:paraId="49CEE1C5" w14:textId="77777777" w:rsidR="00030415" w:rsidRPr="001D6D86" w:rsidRDefault="00030415" w:rsidP="0026307D">
      <w:pPr>
        <w:tabs>
          <w:tab w:val="left" w:pos="540"/>
          <w:tab w:val="left" w:pos="569"/>
        </w:tabs>
        <w:jc w:val="both"/>
        <w:rPr>
          <w:bCs/>
          <w:sz w:val="22"/>
          <w:szCs w:val="22"/>
          <w:lang w:val="sr-Latn-ME"/>
        </w:rPr>
      </w:pPr>
    </w:p>
    <w:p w14:paraId="20B82D6B" w14:textId="3B5F2F72"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Preporučuje se prov</w:t>
      </w:r>
      <w:r w:rsidR="00D41D02" w:rsidRPr="001D6D86">
        <w:rPr>
          <w:bCs/>
          <w:sz w:val="22"/>
          <w:szCs w:val="22"/>
          <w:lang w:val="sr-Latn-ME"/>
        </w:rPr>
        <w:t>j</w:t>
      </w:r>
      <w:r w:rsidRPr="001D6D86">
        <w:rPr>
          <w:bCs/>
          <w:sz w:val="22"/>
          <w:szCs w:val="22"/>
          <w:lang w:val="sr-Latn-ME"/>
        </w:rPr>
        <w:t>era funkcije jetre pr</w:t>
      </w:r>
      <w:r w:rsidR="00D41D02" w:rsidRPr="001D6D86">
        <w:rPr>
          <w:bCs/>
          <w:sz w:val="22"/>
          <w:szCs w:val="22"/>
          <w:lang w:val="sr-Latn-ME"/>
        </w:rPr>
        <w:t>ij</w:t>
      </w:r>
      <w:r w:rsidRPr="001D6D86">
        <w:rPr>
          <w:bCs/>
          <w:sz w:val="22"/>
          <w:szCs w:val="22"/>
          <w:lang w:val="sr-Latn-ME"/>
        </w:rPr>
        <w:t>e započinjanja terapije i 3 m</w:t>
      </w:r>
      <w:r w:rsidR="00D41D02" w:rsidRPr="001D6D86">
        <w:rPr>
          <w:bCs/>
          <w:sz w:val="22"/>
          <w:szCs w:val="22"/>
          <w:lang w:val="sr-Latn-ME"/>
        </w:rPr>
        <w:t>j</w:t>
      </w:r>
      <w:r w:rsidRPr="001D6D86">
        <w:rPr>
          <w:bCs/>
          <w:sz w:val="22"/>
          <w:szCs w:val="22"/>
          <w:lang w:val="sr-Latn-ME"/>
        </w:rPr>
        <w:t>eseca tokom terapije. Ukoliko su vr</w:t>
      </w:r>
      <w:r w:rsidR="00D41D02" w:rsidRPr="001D6D86">
        <w:rPr>
          <w:bCs/>
          <w:sz w:val="22"/>
          <w:szCs w:val="22"/>
          <w:lang w:val="sr-Latn-ME"/>
        </w:rPr>
        <w:t>ij</w:t>
      </w:r>
      <w:r w:rsidRPr="001D6D86">
        <w:rPr>
          <w:bCs/>
          <w:sz w:val="22"/>
          <w:szCs w:val="22"/>
          <w:lang w:val="sr-Latn-ME"/>
        </w:rPr>
        <w:t>ednosti transaminaza u serumu veće od 3 puta od gornje granice normalnih vr</w:t>
      </w:r>
      <w:r w:rsidR="00D41D02" w:rsidRPr="001D6D86">
        <w:rPr>
          <w:bCs/>
          <w:sz w:val="22"/>
          <w:szCs w:val="22"/>
          <w:lang w:val="sr-Latn-ME"/>
        </w:rPr>
        <w:t>ij</w:t>
      </w:r>
      <w:r w:rsidRPr="001D6D86">
        <w:rPr>
          <w:bCs/>
          <w:sz w:val="22"/>
          <w:szCs w:val="22"/>
          <w:lang w:val="sr-Latn-ME"/>
        </w:rPr>
        <w:t>ednosti, treba prekinuti terapiju rosuvastatinom ili smanjiti dozu. Stopa prijavljenih teških hepatičkih događaja (koji se uglavnom sastoje od povećanih vr</w:t>
      </w:r>
      <w:r w:rsidR="00D41D02" w:rsidRPr="001D6D86">
        <w:rPr>
          <w:bCs/>
          <w:sz w:val="22"/>
          <w:szCs w:val="22"/>
          <w:lang w:val="sr-Latn-ME"/>
        </w:rPr>
        <w:t>ij</w:t>
      </w:r>
      <w:r w:rsidRPr="001D6D86">
        <w:rPr>
          <w:bCs/>
          <w:sz w:val="22"/>
          <w:szCs w:val="22"/>
          <w:lang w:val="sr-Latn-ME"/>
        </w:rPr>
        <w:t>ednosti transaminaza jetre) u postmarketinškom periodu veća je pri prim</w:t>
      </w:r>
      <w:r w:rsidR="00D41D02" w:rsidRPr="001D6D86">
        <w:rPr>
          <w:bCs/>
          <w:sz w:val="22"/>
          <w:szCs w:val="22"/>
          <w:lang w:val="sr-Latn-ME"/>
        </w:rPr>
        <w:t>j</w:t>
      </w:r>
      <w:r w:rsidRPr="001D6D86">
        <w:rPr>
          <w:bCs/>
          <w:sz w:val="22"/>
          <w:szCs w:val="22"/>
          <w:lang w:val="sr-Latn-ME"/>
        </w:rPr>
        <w:t>eni doze od 40 mg.</w:t>
      </w:r>
    </w:p>
    <w:p w14:paraId="54B31618" w14:textId="77777777" w:rsidR="00030415" w:rsidRPr="001D6D86" w:rsidRDefault="00030415" w:rsidP="0026307D">
      <w:pPr>
        <w:tabs>
          <w:tab w:val="left" w:pos="540"/>
          <w:tab w:val="left" w:pos="569"/>
        </w:tabs>
        <w:jc w:val="both"/>
        <w:rPr>
          <w:bCs/>
          <w:sz w:val="22"/>
          <w:szCs w:val="22"/>
          <w:lang w:val="sr-Latn-ME"/>
        </w:rPr>
      </w:pPr>
    </w:p>
    <w:p w14:paraId="756387B5" w14:textId="0FA02E69"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pacijenata sa sekundarnom hiperholesterolemijom izazvanom hipotireoidizmom ili nefrotskim sindromom, treba l</w:t>
      </w:r>
      <w:r w:rsidR="00D41D02" w:rsidRPr="001D6D86">
        <w:rPr>
          <w:bCs/>
          <w:sz w:val="22"/>
          <w:szCs w:val="22"/>
          <w:lang w:val="sr-Latn-ME"/>
        </w:rPr>
        <w:t>ij</w:t>
      </w:r>
      <w:r w:rsidRPr="001D6D86">
        <w:rPr>
          <w:bCs/>
          <w:sz w:val="22"/>
          <w:szCs w:val="22"/>
          <w:lang w:val="sr-Latn-ME"/>
        </w:rPr>
        <w:t>ečiti primarnu bolest pr</w:t>
      </w:r>
      <w:r w:rsidR="00D41D02" w:rsidRPr="001D6D86">
        <w:rPr>
          <w:bCs/>
          <w:sz w:val="22"/>
          <w:szCs w:val="22"/>
          <w:lang w:val="sr-Latn-ME"/>
        </w:rPr>
        <w:t>ij</w:t>
      </w:r>
      <w:r w:rsidRPr="001D6D86">
        <w:rPr>
          <w:bCs/>
          <w:sz w:val="22"/>
          <w:szCs w:val="22"/>
          <w:lang w:val="sr-Latn-ME"/>
        </w:rPr>
        <w:t>e započinjanja terapije rosuvastatinom.</w:t>
      </w:r>
    </w:p>
    <w:p w14:paraId="065A27AA" w14:textId="77777777" w:rsidR="00030415" w:rsidRPr="001D6D86" w:rsidRDefault="00030415" w:rsidP="0026307D">
      <w:pPr>
        <w:tabs>
          <w:tab w:val="left" w:pos="540"/>
          <w:tab w:val="left" w:pos="569"/>
        </w:tabs>
        <w:jc w:val="both"/>
        <w:rPr>
          <w:bCs/>
          <w:sz w:val="22"/>
          <w:szCs w:val="22"/>
          <w:lang w:val="sr-Latn-ME"/>
        </w:rPr>
      </w:pPr>
    </w:p>
    <w:p w14:paraId="4BB05071"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Rasa</w:t>
      </w:r>
    </w:p>
    <w:p w14:paraId="460AD4EB" w14:textId="622D6803"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Rezultati farmakokinetičkeih studija su pokazali da je veća izloženost kod pacijenata azijskog por</w:t>
      </w:r>
      <w:r w:rsidR="00D41D02" w:rsidRPr="001D6D86">
        <w:rPr>
          <w:bCs/>
          <w:sz w:val="22"/>
          <w:szCs w:val="22"/>
          <w:lang w:val="sr-Latn-ME"/>
        </w:rPr>
        <w:t>ij</w:t>
      </w:r>
      <w:r w:rsidRPr="001D6D86">
        <w:rPr>
          <w:bCs/>
          <w:sz w:val="22"/>
          <w:szCs w:val="22"/>
          <w:lang w:val="sr-Latn-ME"/>
        </w:rPr>
        <w:t>ekla u poređenju sa pripadnicima b</w:t>
      </w:r>
      <w:r w:rsidR="00D41D02" w:rsidRPr="001D6D86">
        <w:rPr>
          <w:bCs/>
          <w:sz w:val="22"/>
          <w:szCs w:val="22"/>
          <w:lang w:val="sr-Latn-ME"/>
        </w:rPr>
        <w:t>ij</w:t>
      </w:r>
      <w:r w:rsidRPr="001D6D86">
        <w:rPr>
          <w:bCs/>
          <w:sz w:val="22"/>
          <w:szCs w:val="22"/>
          <w:lang w:val="sr-Latn-ME"/>
        </w:rPr>
        <w:t>ele rase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djelove</w:t>
      </w:r>
      <w:r w:rsidRPr="001D6D86">
        <w:rPr>
          <w:bCs/>
          <w:sz w:val="22"/>
          <w:szCs w:val="22"/>
          <w:lang w:val="sr-Latn-ME"/>
        </w:rPr>
        <w:t xml:space="preserve"> 4.2, 4.3 i 5.2).</w:t>
      </w:r>
    </w:p>
    <w:p w14:paraId="28971B5B" w14:textId="77777777" w:rsidR="00030415" w:rsidRPr="001D6D86" w:rsidRDefault="00030415" w:rsidP="0026307D">
      <w:pPr>
        <w:tabs>
          <w:tab w:val="left" w:pos="540"/>
          <w:tab w:val="left" w:pos="569"/>
        </w:tabs>
        <w:jc w:val="both"/>
        <w:rPr>
          <w:bCs/>
          <w:sz w:val="22"/>
          <w:szCs w:val="22"/>
          <w:u w:val="single"/>
          <w:lang w:val="sr-Latn-ME"/>
        </w:rPr>
      </w:pPr>
    </w:p>
    <w:p w14:paraId="48013FAF"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Inhibitori proteaze</w:t>
      </w:r>
    </w:p>
    <w:p w14:paraId="72F4FD4E" w14:textId="33C8B76B"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Prilikom istovremene prim</w:t>
      </w:r>
      <w:r w:rsidR="00D41D02" w:rsidRPr="001D6D86">
        <w:rPr>
          <w:bCs/>
          <w:sz w:val="22"/>
          <w:szCs w:val="22"/>
          <w:lang w:val="sr-Latn-ME"/>
        </w:rPr>
        <w:t>j</w:t>
      </w:r>
      <w:r w:rsidRPr="001D6D86">
        <w:rPr>
          <w:bCs/>
          <w:sz w:val="22"/>
          <w:szCs w:val="22"/>
          <w:lang w:val="sr-Latn-ME"/>
        </w:rPr>
        <w:t>ene rosuvastatina i inhibitora proteaze u kombinaciji sa ritonavirom uočena je povećana sistemska izloženost rosuvastatinu. Treba pažljivo razmotriti odnos koristi i rizika od smanjenja nivoa lipida prim</w:t>
      </w:r>
      <w:r w:rsidR="00D41D02" w:rsidRPr="001D6D86">
        <w:rPr>
          <w:bCs/>
          <w:sz w:val="22"/>
          <w:szCs w:val="22"/>
          <w:lang w:val="sr-Latn-ME"/>
        </w:rPr>
        <w:t>j</w:t>
      </w:r>
      <w:r w:rsidRPr="001D6D86">
        <w:rPr>
          <w:bCs/>
          <w:sz w:val="22"/>
          <w:szCs w:val="22"/>
          <w:lang w:val="sr-Latn-ME"/>
        </w:rPr>
        <w:t>enom rosuvastatina kod HIV-pozitivnih pacijenata koji su na terapiji inhibitorima proteaze i potencijala za povećanje nivoa rosuvastatina u plazmi prilikom započinjanja terapije i tokom titriranja doze l</w:t>
      </w:r>
      <w:r w:rsidR="00D41D02" w:rsidRPr="001D6D86">
        <w:rPr>
          <w:bCs/>
          <w:sz w:val="22"/>
          <w:szCs w:val="22"/>
          <w:lang w:val="sr-Latn-ME"/>
        </w:rPr>
        <w:t>ij</w:t>
      </w:r>
      <w:r w:rsidRPr="001D6D86">
        <w:rPr>
          <w:bCs/>
          <w:sz w:val="22"/>
          <w:szCs w:val="22"/>
          <w:lang w:val="sr-Latn-ME"/>
        </w:rPr>
        <w:t>eka COUPET kod pacijenata koji su na terapiji inhibitorima proteaze. Ukoliko doza l</w:t>
      </w:r>
      <w:r w:rsidR="00D41D02" w:rsidRPr="001D6D86">
        <w:rPr>
          <w:bCs/>
          <w:sz w:val="22"/>
          <w:szCs w:val="22"/>
          <w:lang w:val="sr-Latn-ME"/>
        </w:rPr>
        <w:t>ij</w:t>
      </w:r>
      <w:r w:rsidRPr="001D6D86">
        <w:rPr>
          <w:bCs/>
          <w:sz w:val="22"/>
          <w:szCs w:val="22"/>
          <w:lang w:val="sr-Latn-ME"/>
        </w:rPr>
        <w:t>eka COUPET nije pažljivo prilagođena ne preporučuje se istovremena prim</w:t>
      </w:r>
      <w:r w:rsidR="00D41D02" w:rsidRPr="001D6D86">
        <w:rPr>
          <w:bCs/>
          <w:sz w:val="22"/>
          <w:szCs w:val="22"/>
          <w:lang w:val="sr-Latn-ME"/>
        </w:rPr>
        <w:t>j</w:t>
      </w:r>
      <w:r w:rsidRPr="001D6D86">
        <w:rPr>
          <w:bCs/>
          <w:sz w:val="22"/>
          <w:szCs w:val="22"/>
          <w:lang w:val="sr-Latn-ME"/>
        </w:rPr>
        <w:t>ena sa određenim inhibitorima proteaze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djelove</w:t>
      </w:r>
      <w:r w:rsidRPr="001D6D86">
        <w:rPr>
          <w:bCs/>
          <w:sz w:val="22"/>
          <w:szCs w:val="22"/>
          <w:lang w:val="sr-Latn-ME"/>
        </w:rPr>
        <w:t xml:space="preserve"> 4.2 i 4.5).</w:t>
      </w:r>
    </w:p>
    <w:p w14:paraId="3BA68648" w14:textId="77777777" w:rsidR="00030415" w:rsidRPr="001D6D86" w:rsidRDefault="00030415" w:rsidP="0026307D">
      <w:pPr>
        <w:tabs>
          <w:tab w:val="left" w:pos="540"/>
          <w:tab w:val="left" w:pos="569"/>
        </w:tabs>
        <w:jc w:val="both"/>
        <w:rPr>
          <w:bCs/>
          <w:sz w:val="22"/>
          <w:szCs w:val="22"/>
          <w:lang w:val="sr-Latn-ME"/>
        </w:rPr>
      </w:pPr>
    </w:p>
    <w:p w14:paraId="7E7A5630"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Intersticijalna bolest pluća</w:t>
      </w:r>
    </w:p>
    <w:p w14:paraId="36496E11" w14:textId="3631559E"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Prijavljeni su r</w:t>
      </w:r>
      <w:r w:rsidR="00D41D02" w:rsidRPr="001D6D86">
        <w:rPr>
          <w:bCs/>
          <w:sz w:val="22"/>
          <w:szCs w:val="22"/>
          <w:lang w:val="sr-Latn-ME"/>
        </w:rPr>
        <w:t>ij</w:t>
      </w:r>
      <w:r w:rsidRPr="001D6D86">
        <w:rPr>
          <w:bCs/>
          <w:sz w:val="22"/>
          <w:szCs w:val="22"/>
          <w:lang w:val="sr-Latn-ME"/>
        </w:rPr>
        <w:t>etki slučajevi intersticijalne bolesti pluća tokom prim</w:t>
      </w:r>
      <w:r w:rsidR="00D41D02" w:rsidRPr="001D6D86">
        <w:rPr>
          <w:bCs/>
          <w:sz w:val="22"/>
          <w:szCs w:val="22"/>
          <w:lang w:val="sr-Latn-ME"/>
        </w:rPr>
        <w:t>j</w:t>
      </w:r>
      <w:r w:rsidRPr="001D6D86">
        <w:rPr>
          <w:bCs/>
          <w:sz w:val="22"/>
          <w:szCs w:val="22"/>
          <w:lang w:val="sr-Latn-ME"/>
        </w:rPr>
        <w:t>ene nekih statina, posebno tokom dugotrajne terapije (vid</w:t>
      </w:r>
      <w:r w:rsidR="00D41D02" w:rsidRPr="001D6D86">
        <w:rPr>
          <w:bCs/>
          <w:sz w:val="22"/>
          <w:szCs w:val="22"/>
          <w:lang w:val="sr-Latn-ME"/>
        </w:rPr>
        <w:t>j</w:t>
      </w:r>
      <w:r w:rsidRPr="001D6D86">
        <w:rPr>
          <w:bCs/>
          <w:sz w:val="22"/>
          <w:szCs w:val="22"/>
          <w:lang w:val="sr-Latn-ME"/>
        </w:rPr>
        <w:t xml:space="preserve">eti </w:t>
      </w:r>
      <w:r w:rsidR="00D41D02" w:rsidRPr="001D6D86">
        <w:rPr>
          <w:bCs/>
          <w:sz w:val="22"/>
          <w:szCs w:val="22"/>
          <w:lang w:val="sr-Latn-ME"/>
        </w:rPr>
        <w:t>dio</w:t>
      </w:r>
      <w:r w:rsidRPr="001D6D86">
        <w:rPr>
          <w:bCs/>
          <w:sz w:val="22"/>
          <w:szCs w:val="22"/>
          <w:lang w:val="sr-Latn-ME"/>
        </w:rPr>
        <w:t xml:space="preserve"> 4.8), </w:t>
      </w:r>
      <w:r w:rsidR="00D41D02" w:rsidRPr="001D6D86">
        <w:rPr>
          <w:bCs/>
          <w:sz w:val="22"/>
          <w:szCs w:val="22"/>
          <w:lang w:val="sr-Latn-ME"/>
        </w:rPr>
        <w:t>š</w:t>
      </w:r>
      <w:r w:rsidRPr="001D6D86">
        <w:rPr>
          <w:bCs/>
          <w:sz w:val="22"/>
          <w:szCs w:val="22"/>
          <w:lang w:val="sr-Latn-ME"/>
        </w:rPr>
        <w:t>to se manifestuje pojavom dispne</w:t>
      </w:r>
      <w:r w:rsidR="007C1056" w:rsidRPr="001D6D86">
        <w:rPr>
          <w:bCs/>
          <w:sz w:val="22"/>
          <w:szCs w:val="22"/>
          <w:lang w:val="sr-Latn-ME"/>
        </w:rPr>
        <w:t>j</w:t>
      </w:r>
      <w:r w:rsidRPr="001D6D86">
        <w:rPr>
          <w:bCs/>
          <w:sz w:val="22"/>
          <w:szCs w:val="22"/>
          <w:lang w:val="sr-Latn-ME"/>
        </w:rPr>
        <w:t xml:space="preserve">e, neproduktivnog kašlja i </w:t>
      </w:r>
      <w:r w:rsidRPr="001D6D86">
        <w:rPr>
          <w:bCs/>
          <w:sz w:val="22"/>
          <w:szCs w:val="22"/>
          <w:lang w:val="sr-Latn-ME"/>
        </w:rPr>
        <w:lastRenderedPageBreak/>
        <w:t>pogoršanjem opšteg zdravstvenog stanja (umor, gubitak t</w:t>
      </w:r>
      <w:r w:rsidR="00D41D02" w:rsidRPr="001D6D86">
        <w:rPr>
          <w:bCs/>
          <w:sz w:val="22"/>
          <w:szCs w:val="22"/>
          <w:lang w:val="sr-Latn-ME"/>
        </w:rPr>
        <w:t>j</w:t>
      </w:r>
      <w:r w:rsidRPr="001D6D86">
        <w:rPr>
          <w:bCs/>
          <w:sz w:val="22"/>
          <w:szCs w:val="22"/>
          <w:lang w:val="sr-Latn-ME"/>
        </w:rPr>
        <w:t>elesne mase i groznica). Ukoliko postoji sumnja da se kod pacijenta razvila intersticijalna bolest pluća, terapiju statinima treba prekinuti.</w:t>
      </w:r>
    </w:p>
    <w:p w14:paraId="3A105B1E" w14:textId="77777777" w:rsidR="00030415" w:rsidRPr="001D6D86" w:rsidRDefault="00030415" w:rsidP="0026307D">
      <w:pPr>
        <w:tabs>
          <w:tab w:val="left" w:pos="540"/>
          <w:tab w:val="left" w:pos="569"/>
        </w:tabs>
        <w:jc w:val="both"/>
        <w:rPr>
          <w:bCs/>
          <w:sz w:val="22"/>
          <w:szCs w:val="22"/>
          <w:lang w:val="sr-Latn-ME"/>
        </w:rPr>
      </w:pPr>
    </w:p>
    <w:p w14:paraId="208458AE"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Dijabetes melitus</w:t>
      </w:r>
    </w:p>
    <w:p w14:paraId="104AC954" w14:textId="60FFFA2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Neki dokazi ukazuju da statini kao klasa l</w:t>
      </w:r>
      <w:r w:rsidR="00D41D02" w:rsidRPr="001D6D86">
        <w:rPr>
          <w:bCs/>
          <w:sz w:val="22"/>
          <w:szCs w:val="22"/>
          <w:lang w:val="sr-Latn-ME"/>
        </w:rPr>
        <w:t>j</w:t>
      </w:r>
      <w:r w:rsidRPr="001D6D86">
        <w:rPr>
          <w:bCs/>
          <w:sz w:val="22"/>
          <w:szCs w:val="22"/>
          <w:lang w:val="sr-Latn-ME"/>
        </w:rPr>
        <w:t>ekova mogu povećati koncentraciju glukoze u krvi kod pacijenata sa rizikom za razvoj dijabetesa, a mogu dovesti i do hiperglikemije tamo gde je dijabetes odgovarajuće regulisan. Međutim, redukcija vaskularnog rizika prim</w:t>
      </w:r>
      <w:r w:rsidR="00D41D02" w:rsidRPr="001D6D86">
        <w:rPr>
          <w:bCs/>
          <w:sz w:val="22"/>
          <w:szCs w:val="22"/>
          <w:lang w:val="sr-Latn-ME"/>
        </w:rPr>
        <w:t>j</w:t>
      </w:r>
      <w:r w:rsidRPr="001D6D86">
        <w:rPr>
          <w:bCs/>
          <w:sz w:val="22"/>
          <w:szCs w:val="22"/>
          <w:lang w:val="sr-Latn-ME"/>
        </w:rPr>
        <w:t>enom statina prevazilazi rizik od pojave hiperglikemije i zato ne treba prekidati terapiju statinima. Pacijente sa povećanim rizikom (koncentracija glukoza natašte 5,6 mmol/</w:t>
      </w:r>
      <w:r w:rsidR="00693A6D" w:rsidRPr="001D6D86">
        <w:rPr>
          <w:bCs/>
          <w:sz w:val="22"/>
          <w:szCs w:val="22"/>
          <w:lang w:val="sr-Latn-ME"/>
        </w:rPr>
        <w:t>l</w:t>
      </w:r>
      <w:r w:rsidRPr="001D6D86">
        <w:rPr>
          <w:bCs/>
          <w:sz w:val="22"/>
          <w:szCs w:val="22"/>
          <w:lang w:val="sr-Latn-ME"/>
        </w:rPr>
        <w:t xml:space="preserve"> do 6,9 mmol/</w:t>
      </w:r>
      <w:r w:rsidR="00693A6D" w:rsidRPr="001D6D86">
        <w:rPr>
          <w:bCs/>
          <w:sz w:val="22"/>
          <w:szCs w:val="22"/>
          <w:lang w:val="sr-Latn-ME"/>
        </w:rPr>
        <w:t>l</w:t>
      </w:r>
      <w:r w:rsidRPr="001D6D86">
        <w:rPr>
          <w:bCs/>
          <w:sz w:val="22"/>
          <w:szCs w:val="22"/>
          <w:lang w:val="sr-Latn-ME"/>
        </w:rPr>
        <w:t>, BMI&gt;30 kg/m</w:t>
      </w:r>
      <w:r w:rsidRPr="001D6D86">
        <w:rPr>
          <w:bCs/>
          <w:sz w:val="22"/>
          <w:szCs w:val="22"/>
          <w:vertAlign w:val="superscript"/>
          <w:lang w:val="sr-Latn-ME"/>
        </w:rPr>
        <w:t>2</w:t>
      </w:r>
      <w:r w:rsidRPr="001D6D86">
        <w:rPr>
          <w:bCs/>
          <w:sz w:val="22"/>
          <w:szCs w:val="22"/>
          <w:lang w:val="sr-Latn-ME"/>
        </w:rPr>
        <w:t>, povećana koncentracija triglicerida, hipertenzija) treba pratiti klinički i biohemijski prema nacionalnim vodičima.</w:t>
      </w:r>
    </w:p>
    <w:p w14:paraId="5EA356D2" w14:textId="16F21258"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JUPITER studiji, zab</w:t>
      </w:r>
      <w:r w:rsidR="00693A6D" w:rsidRPr="001D6D86">
        <w:rPr>
          <w:bCs/>
          <w:sz w:val="22"/>
          <w:szCs w:val="22"/>
          <w:lang w:val="sr-Latn-ME"/>
        </w:rPr>
        <w:t>ilj</w:t>
      </w:r>
      <w:r w:rsidRPr="001D6D86">
        <w:rPr>
          <w:bCs/>
          <w:sz w:val="22"/>
          <w:szCs w:val="22"/>
          <w:lang w:val="sr-Latn-ME"/>
        </w:rPr>
        <w:t>ežena je ukupna učestalost dijabetes melitusa 2,8% u grupi pacijenata koja je primala rosuvastatin i 2,3% u placebo grupi, uglavnom kod pacijenata sa koncentracijom glukoze natašte 5,6 do 6,9 mmol/</w:t>
      </w:r>
      <w:r w:rsidR="00693A6D" w:rsidRPr="001D6D86">
        <w:rPr>
          <w:bCs/>
          <w:sz w:val="22"/>
          <w:szCs w:val="22"/>
          <w:lang w:val="sr-Latn-ME"/>
        </w:rPr>
        <w:t>l</w:t>
      </w:r>
      <w:r w:rsidRPr="001D6D86">
        <w:rPr>
          <w:bCs/>
          <w:sz w:val="22"/>
          <w:szCs w:val="22"/>
          <w:lang w:val="sr-Latn-ME"/>
        </w:rPr>
        <w:t>.</w:t>
      </w:r>
    </w:p>
    <w:p w14:paraId="57FA1C92" w14:textId="77777777" w:rsidR="007110D4" w:rsidRPr="001D6D86" w:rsidRDefault="007110D4" w:rsidP="0026307D">
      <w:pPr>
        <w:tabs>
          <w:tab w:val="left" w:pos="540"/>
          <w:tab w:val="left" w:pos="569"/>
        </w:tabs>
        <w:jc w:val="both"/>
        <w:rPr>
          <w:bCs/>
          <w:sz w:val="22"/>
          <w:szCs w:val="22"/>
          <w:lang w:val="sr-Latn-ME"/>
        </w:rPr>
      </w:pPr>
    </w:p>
    <w:p w14:paraId="045C4E40" w14:textId="77777777" w:rsidR="00057E35" w:rsidRPr="001D6D86" w:rsidRDefault="00057E35" w:rsidP="0026307D">
      <w:pPr>
        <w:tabs>
          <w:tab w:val="left" w:pos="540"/>
          <w:tab w:val="left" w:pos="569"/>
        </w:tabs>
        <w:jc w:val="both"/>
        <w:rPr>
          <w:sz w:val="22"/>
          <w:szCs w:val="22"/>
          <w:u w:val="single"/>
          <w:lang w:val="sr-Latn-ME"/>
        </w:rPr>
      </w:pPr>
      <w:r w:rsidRPr="001D6D86">
        <w:rPr>
          <w:sz w:val="22"/>
          <w:szCs w:val="22"/>
          <w:u w:val="single"/>
          <w:lang w:val="sr-Latn-ME"/>
        </w:rPr>
        <w:t>Pedijatrijska populacija</w:t>
      </w:r>
    </w:p>
    <w:p w14:paraId="73D643E8" w14:textId="0A34A28D"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Proc</w:t>
      </w:r>
      <w:r w:rsidR="00693A6D" w:rsidRPr="001D6D86">
        <w:rPr>
          <w:bCs/>
          <w:sz w:val="22"/>
          <w:szCs w:val="22"/>
          <w:lang w:val="sr-Latn-ME"/>
        </w:rPr>
        <w:t>j</w:t>
      </w:r>
      <w:r w:rsidRPr="001D6D86">
        <w:rPr>
          <w:bCs/>
          <w:sz w:val="22"/>
          <w:szCs w:val="22"/>
          <w:lang w:val="sr-Latn-ME"/>
        </w:rPr>
        <w:t>ena linearnog rasta (visine), t</w:t>
      </w:r>
      <w:r w:rsidR="00693A6D" w:rsidRPr="001D6D86">
        <w:rPr>
          <w:bCs/>
          <w:sz w:val="22"/>
          <w:szCs w:val="22"/>
          <w:lang w:val="sr-Latn-ME"/>
        </w:rPr>
        <w:t>j</w:t>
      </w:r>
      <w:r w:rsidRPr="001D6D86">
        <w:rPr>
          <w:bCs/>
          <w:sz w:val="22"/>
          <w:szCs w:val="22"/>
          <w:lang w:val="sr-Latn-ME"/>
        </w:rPr>
        <w:t>elesne mase, indeks t</w:t>
      </w:r>
      <w:r w:rsidR="00693A6D" w:rsidRPr="001D6D86">
        <w:rPr>
          <w:bCs/>
          <w:sz w:val="22"/>
          <w:szCs w:val="22"/>
          <w:lang w:val="sr-Latn-ME"/>
        </w:rPr>
        <w:t>j</w:t>
      </w:r>
      <w:r w:rsidRPr="001D6D86">
        <w:rPr>
          <w:bCs/>
          <w:sz w:val="22"/>
          <w:szCs w:val="22"/>
          <w:lang w:val="sr-Latn-ME"/>
        </w:rPr>
        <w:t xml:space="preserve">elesne mase (engl. </w:t>
      </w:r>
      <w:r w:rsidRPr="001D6D86">
        <w:rPr>
          <w:bCs/>
          <w:i/>
          <w:sz w:val="22"/>
          <w:szCs w:val="22"/>
          <w:lang w:val="sr-Latn-ME"/>
        </w:rPr>
        <w:t>body mass index</w:t>
      </w:r>
      <w:r w:rsidRPr="001D6D86">
        <w:rPr>
          <w:bCs/>
          <w:sz w:val="22"/>
          <w:szCs w:val="22"/>
          <w:lang w:val="sr-Latn-ME"/>
        </w:rPr>
        <w:t>, BMI) i sekundarnih karakteristika polne zrelosti po Tanner-u kod pedijatrijskih pacijenata uzrasta između 6 i 17 godina koji uzimaju rosuvastatin je ograničena na period od dv</w:t>
      </w:r>
      <w:r w:rsidR="00693A6D" w:rsidRPr="001D6D86">
        <w:rPr>
          <w:bCs/>
          <w:sz w:val="22"/>
          <w:szCs w:val="22"/>
          <w:lang w:val="sr-Latn-ME"/>
        </w:rPr>
        <w:t>ij</w:t>
      </w:r>
      <w:r w:rsidRPr="001D6D86">
        <w:rPr>
          <w:bCs/>
          <w:sz w:val="22"/>
          <w:szCs w:val="22"/>
          <w:lang w:val="sr-Latn-ME"/>
        </w:rPr>
        <w:t>e godine. Nakon 2 godine terapije tokom studije, nije prim</w:t>
      </w:r>
      <w:r w:rsidR="00693A6D" w:rsidRPr="001D6D86">
        <w:rPr>
          <w:bCs/>
          <w:sz w:val="22"/>
          <w:szCs w:val="22"/>
          <w:lang w:val="sr-Latn-ME"/>
        </w:rPr>
        <w:t>ij</w:t>
      </w:r>
      <w:r w:rsidRPr="001D6D86">
        <w:rPr>
          <w:bCs/>
          <w:sz w:val="22"/>
          <w:szCs w:val="22"/>
          <w:lang w:val="sr-Latn-ME"/>
        </w:rPr>
        <w:t>ećen uticaj na rast, t</w:t>
      </w:r>
      <w:r w:rsidR="00693A6D" w:rsidRPr="001D6D86">
        <w:rPr>
          <w:bCs/>
          <w:sz w:val="22"/>
          <w:szCs w:val="22"/>
          <w:lang w:val="sr-Latn-ME"/>
        </w:rPr>
        <w:t>j</w:t>
      </w:r>
      <w:r w:rsidRPr="001D6D86">
        <w:rPr>
          <w:bCs/>
          <w:sz w:val="22"/>
          <w:szCs w:val="22"/>
          <w:lang w:val="sr-Latn-ME"/>
        </w:rPr>
        <w:t>elesnu masu BMI ili polno sazr</w:t>
      </w:r>
      <w:r w:rsidR="00693A6D" w:rsidRPr="001D6D86">
        <w:rPr>
          <w:bCs/>
          <w:sz w:val="22"/>
          <w:szCs w:val="22"/>
          <w:lang w:val="sr-Latn-ME"/>
        </w:rPr>
        <w:t>ij</w:t>
      </w:r>
      <w:r w:rsidRPr="001D6D86">
        <w:rPr>
          <w:bCs/>
          <w:sz w:val="22"/>
          <w:szCs w:val="22"/>
          <w:lang w:val="sr-Latn-ME"/>
        </w:rPr>
        <w:t>evanje (vid</w:t>
      </w:r>
      <w:r w:rsidR="00693A6D" w:rsidRPr="001D6D86">
        <w:rPr>
          <w:bCs/>
          <w:sz w:val="22"/>
          <w:szCs w:val="22"/>
          <w:lang w:val="sr-Latn-ME"/>
        </w:rPr>
        <w:t>j</w:t>
      </w:r>
      <w:r w:rsidRPr="001D6D86">
        <w:rPr>
          <w:bCs/>
          <w:sz w:val="22"/>
          <w:szCs w:val="22"/>
          <w:lang w:val="sr-Latn-ME"/>
        </w:rPr>
        <w:t xml:space="preserve">eti </w:t>
      </w:r>
      <w:r w:rsidR="00693A6D" w:rsidRPr="001D6D86">
        <w:rPr>
          <w:bCs/>
          <w:sz w:val="22"/>
          <w:szCs w:val="22"/>
          <w:lang w:val="sr-Latn-ME"/>
        </w:rPr>
        <w:t>dio</w:t>
      </w:r>
      <w:r w:rsidRPr="001D6D86">
        <w:rPr>
          <w:bCs/>
          <w:sz w:val="22"/>
          <w:szCs w:val="22"/>
          <w:lang w:val="sr-Latn-ME"/>
        </w:rPr>
        <w:t xml:space="preserve"> 5.1).</w:t>
      </w:r>
    </w:p>
    <w:p w14:paraId="643291E3" w14:textId="779230D7" w:rsidR="00057E35" w:rsidRPr="001D6D86" w:rsidRDefault="00030415" w:rsidP="0026307D">
      <w:pPr>
        <w:tabs>
          <w:tab w:val="left" w:pos="540"/>
          <w:tab w:val="left" w:pos="569"/>
        </w:tabs>
        <w:jc w:val="both"/>
        <w:rPr>
          <w:bCs/>
          <w:sz w:val="22"/>
          <w:szCs w:val="22"/>
          <w:lang w:val="sr-Latn-ME"/>
        </w:rPr>
      </w:pPr>
      <w:r w:rsidRPr="001D6D86">
        <w:rPr>
          <w:bCs/>
          <w:sz w:val="22"/>
          <w:szCs w:val="22"/>
          <w:lang w:val="sr-Latn-ME"/>
        </w:rPr>
        <w:t>U kliničkoj studiji u kojoj su d</w:t>
      </w:r>
      <w:r w:rsidR="00693A6D" w:rsidRPr="001D6D86">
        <w:rPr>
          <w:bCs/>
          <w:sz w:val="22"/>
          <w:szCs w:val="22"/>
          <w:lang w:val="sr-Latn-ME"/>
        </w:rPr>
        <w:t>j</w:t>
      </w:r>
      <w:r w:rsidRPr="001D6D86">
        <w:rPr>
          <w:bCs/>
          <w:sz w:val="22"/>
          <w:szCs w:val="22"/>
          <w:lang w:val="sr-Latn-ME"/>
        </w:rPr>
        <w:t>eca i adolescenti primali rosuvastatin tokom 52 ned</w:t>
      </w:r>
      <w:r w:rsidR="00693A6D" w:rsidRPr="001D6D86">
        <w:rPr>
          <w:bCs/>
          <w:sz w:val="22"/>
          <w:szCs w:val="22"/>
          <w:lang w:val="sr-Latn-ME"/>
        </w:rPr>
        <w:t>j</w:t>
      </w:r>
      <w:r w:rsidRPr="001D6D86">
        <w:rPr>
          <w:bCs/>
          <w:sz w:val="22"/>
          <w:szCs w:val="22"/>
          <w:lang w:val="sr-Latn-ME"/>
        </w:rPr>
        <w:t>elje, prim</w:t>
      </w:r>
      <w:r w:rsidR="00693A6D" w:rsidRPr="001D6D86">
        <w:rPr>
          <w:bCs/>
          <w:sz w:val="22"/>
          <w:szCs w:val="22"/>
          <w:lang w:val="sr-Latn-ME"/>
        </w:rPr>
        <w:t>ij</w:t>
      </w:r>
      <w:r w:rsidRPr="001D6D86">
        <w:rPr>
          <w:bCs/>
          <w:sz w:val="22"/>
          <w:szCs w:val="22"/>
          <w:lang w:val="sr-Latn-ME"/>
        </w:rPr>
        <w:t>ećeno je da se češće javljaju povišene vr</w:t>
      </w:r>
      <w:r w:rsidR="00693A6D" w:rsidRPr="001D6D86">
        <w:rPr>
          <w:bCs/>
          <w:sz w:val="22"/>
          <w:szCs w:val="22"/>
          <w:lang w:val="sr-Latn-ME"/>
        </w:rPr>
        <w:t>ij</w:t>
      </w:r>
      <w:r w:rsidRPr="001D6D86">
        <w:rPr>
          <w:bCs/>
          <w:sz w:val="22"/>
          <w:szCs w:val="22"/>
          <w:lang w:val="sr-Latn-ME"/>
        </w:rPr>
        <w:t>ednosti CK (više od deset puta od gornje granice normalnih vr</w:t>
      </w:r>
      <w:r w:rsidR="00693A6D" w:rsidRPr="001D6D86">
        <w:rPr>
          <w:bCs/>
          <w:sz w:val="22"/>
          <w:szCs w:val="22"/>
          <w:lang w:val="sr-Latn-ME"/>
        </w:rPr>
        <w:t>ij</w:t>
      </w:r>
      <w:r w:rsidRPr="001D6D86">
        <w:rPr>
          <w:bCs/>
          <w:sz w:val="22"/>
          <w:szCs w:val="22"/>
          <w:lang w:val="sr-Latn-ME"/>
        </w:rPr>
        <w:t>ednosti) i simptomi u mišićima nakon v</w:t>
      </w:r>
      <w:r w:rsidR="00693A6D" w:rsidRPr="001D6D86">
        <w:rPr>
          <w:bCs/>
          <w:sz w:val="22"/>
          <w:szCs w:val="22"/>
          <w:lang w:val="sr-Latn-ME"/>
        </w:rPr>
        <w:t>j</w:t>
      </w:r>
      <w:r w:rsidRPr="001D6D86">
        <w:rPr>
          <w:bCs/>
          <w:sz w:val="22"/>
          <w:szCs w:val="22"/>
          <w:lang w:val="sr-Latn-ME"/>
        </w:rPr>
        <w:t>ežbanja ili pojačane fizičke aktivnosti u poređenju sa rezultatima kliničkih studija kod odraslih (vid</w:t>
      </w:r>
      <w:r w:rsidR="00693A6D" w:rsidRPr="001D6D86">
        <w:rPr>
          <w:bCs/>
          <w:sz w:val="22"/>
          <w:szCs w:val="22"/>
          <w:lang w:val="sr-Latn-ME"/>
        </w:rPr>
        <w:t>j</w:t>
      </w:r>
      <w:r w:rsidRPr="001D6D86">
        <w:rPr>
          <w:bCs/>
          <w:sz w:val="22"/>
          <w:szCs w:val="22"/>
          <w:lang w:val="sr-Latn-ME"/>
        </w:rPr>
        <w:t xml:space="preserve">eti </w:t>
      </w:r>
      <w:r w:rsidR="00693A6D" w:rsidRPr="001D6D86">
        <w:rPr>
          <w:bCs/>
          <w:sz w:val="22"/>
          <w:szCs w:val="22"/>
          <w:lang w:val="sr-Latn-ME"/>
        </w:rPr>
        <w:t>dio</w:t>
      </w:r>
      <w:r w:rsidRPr="001D6D86">
        <w:rPr>
          <w:bCs/>
          <w:sz w:val="22"/>
          <w:szCs w:val="22"/>
          <w:lang w:val="sr-Latn-ME"/>
        </w:rPr>
        <w:t xml:space="preserve"> 4.8).</w:t>
      </w:r>
    </w:p>
    <w:p w14:paraId="4DF70880" w14:textId="77777777" w:rsidR="00693A6D" w:rsidRPr="001D6D86" w:rsidRDefault="00693A6D" w:rsidP="0026307D">
      <w:pPr>
        <w:tabs>
          <w:tab w:val="left" w:pos="540"/>
          <w:tab w:val="left" w:pos="569"/>
        </w:tabs>
        <w:jc w:val="both"/>
        <w:rPr>
          <w:bCs/>
          <w:sz w:val="22"/>
          <w:szCs w:val="22"/>
          <w:lang w:val="sr-Latn-ME"/>
        </w:rPr>
      </w:pPr>
    </w:p>
    <w:p w14:paraId="5907E989" w14:textId="77777777" w:rsidR="00030415" w:rsidRPr="001D6D86" w:rsidRDefault="00030415" w:rsidP="0026307D">
      <w:pPr>
        <w:tabs>
          <w:tab w:val="left" w:pos="540"/>
          <w:tab w:val="left" w:pos="569"/>
        </w:tabs>
        <w:jc w:val="both"/>
        <w:rPr>
          <w:bCs/>
          <w:sz w:val="22"/>
          <w:szCs w:val="22"/>
          <w:u w:val="single"/>
          <w:lang w:val="sr-Latn-ME"/>
        </w:rPr>
      </w:pPr>
      <w:r w:rsidRPr="001D6D86">
        <w:rPr>
          <w:bCs/>
          <w:sz w:val="22"/>
          <w:szCs w:val="22"/>
          <w:u w:val="single"/>
          <w:lang w:val="sr-Latn-ME"/>
        </w:rPr>
        <w:t xml:space="preserve">Pomoćne supstance </w:t>
      </w:r>
    </w:p>
    <w:p w14:paraId="65D582A9" w14:textId="77777777" w:rsidR="00030415" w:rsidRPr="001D6D86" w:rsidRDefault="00030415" w:rsidP="0026307D">
      <w:pPr>
        <w:tabs>
          <w:tab w:val="left" w:pos="540"/>
          <w:tab w:val="left" w:pos="569"/>
        </w:tabs>
        <w:jc w:val="both"/>
        <w:rPr>
          <w:bCs/>
          <w:sz w:val="22"/>
          <w:szCs w:val="22"/>
          <w:lang w:val="sr-Latn-ME"/>
        </w:rPr>
      </w:pPr>
    </w:p>
    <w:p w14:paraId="2C278F4E" w14:textId="77777777" w:rsidR="00072E85" w:rsidRPr="001D6D86" w:rsidRDefault="00030415" w:rsidP="0026307D">
      <w:pPr>
        <w:tabs>
          <w:tab w:val="left" w:pos="540"/>
          <w:tab w:val="left" w:pos="569"/>
        </w:tabs>
        <w:jc w:val="both"/>
        <w:rPr>
          <w:bCs/>
          <w:sz w:val="22"/>
          <w:szCs w:val="22"/>
          <w:lang w:val="sr-Latn-ME"/>
        </w:rPr>
      </w:pPr>
      <w:r w:rsidRPr="001D6D86">
        <w:rPr>
          <w:bCs/>
          <w:sz w:val="22"/>
          <w:szCs w:val="22"/>
          <w:lang w:val="sr-Latn-ME"/>
        </w:rPr>
        <w:t>L</w:t>
      </w:r>
      <w:r w:rsidR="00693A6D" w:rsidRPr="001D6D86">
        <w:rPr>
          <w:bCs/>
          <w:sz w:val="22"/>
          <w:szCs w:val="22"/>
          <w:lang w:val="sr-Latn-ME"/>
        </w:rPr>
        <w:t>ij</w:t>
      </w:r>
      <w:r w:rsidRPr="001D6D86">
        <w:rPr>
          <w:bCs/>
          <w:sz w:val="22"/>
          <w:szCs w:val="22"/>
          <w:lang w:val="sr-Latn-ME"/>
        </w:rPr>
        <w:t>ek COUPET sadrži laktozu, monohidrat. Pacijenti sa r</w:t>
      </w:r>
      <w:r w:rsidR="00693A6D" w:rsidRPr="001D6D86">
        <w:rPr>
          <w:bCs/>
          <w:sz w:val="22"/>
          <w:szCs w:val="22"/>
          <w:lang w:val="sr-Latn-ME"/>
        </w:rPr>
        <w:t>ij</w:t>
      </w:r>
      <w:r w:rsidRPr="001D6D86">
        <w:rPr>
          <w:bCs/>
          <w:sz w:val="22"/>
          <w:szCs w:val="22"/>
          <w:lang w:val="sr-Latn-ME"/>
        </w:rPr>
        <w:t>etkim nasl</w:t>
      </w:r>
      <w:r w:rsidR="00693A6D" w:rsidRPr="001D6D86">
        <w:rPr>
          <w:bCs/>
          <w:sz w:val="22"/>
          <w:szCs w:val="22"/>
          <w:lang w:val="sr-Latn-ME"/>
        </w:rPr>
        <w:t>j</w:t>
      </w:r>
      <w:r w:rsidRPr="001D6D86">
        <w:rPr>
          <w:bCs/>
          <w:sz w:val="22"/>
          <w:szCs w:val="22"/>
          <w:lang w:val="sr-Latn-ME"/>
        </w:rPr>
        <w:t>ednim oboljenjem intolerancije na galaktozu, nedostatkom laktaze ili glukozno-galaktoznom malapsorpcijom, ne sm</w:t>
      </w:r>
      <w:r w:rsidR="00693A6D" w:rsidRPr="001D6D86">
        <w:rPr>
          <w:bCs/>
          <w:sz w:val="22"/>
          <w:szCs w:val="22"/>
          <w:lang w:val="sr-Latn-ME"/>
        </w:rPr>
        <w:t>i</w:t>
      </w:r>
      <w:r w:rsidRPr="001D6D86">
        <w:rPr>
          <w:bCs/>
          <w:sz w:val="22"/>
          <w:szCs w:val="22"/>
          <w:lang w:val="sr-Latn-ME"/>
        </w:rPr>
        <w:t>ju koristiti ovaj l</w:t>
      </w:r>
      <w:r w:rsidR="00693A6D" w:rsidRPr="001D6D86">
        <w:rPr>
          <w:bCs/>
          <w:sz w:val="22"/>
          <w:szCs w:val="22"/>
          <w:lang w:val="sr-Latn-ME"/>
        </w:rPr>
        <w:t>ij</w:t>
      </w:r>
      <w:r w:rsidRPr="001D6D86">
        <w:rPr>
          <w:bCs/>
          <w:sz w:val="22"/>
          <w:szCs w:val="22"/>
          <w:lang w:val="sr-Latn-ME"/>
        </w:rPr>
        <w:t>ek.</w:t>
      </w:r>
    </w:p>
    <w:p w14:paraId="266E2E66" w14:textId="77777777" w:rsidR="00072E85" w:rsidRPr="001D6D86" w:rsidRDefault="00072E85" w:rsidP="0026307D">
      <w:pPr>
        <w:tabs>
          <w:tab w:val="left" w:pos="540"/>
          <w:tab w:val="left" w:pos="569"/>
        </w:tabs>
        <w:jc w:val="both"/>
        <w:rPr>
          <w:bCs/>
          <w:sz w:val="22"/>
          <w:szCs w:val="22"/>
          <w:lang w:val="sr-Latn-ME"/>
        </w:rPr>
      </w:pPr>
    </w:p>
    <w:p w14:paraId="040CF07F" w14:textId="427E0E18" w:rsidR="00030415" w:rsidRPr="001D6D86" w:rsidRDefault="00072E85" w:rsidP="0026307D">
      <w:pPr>
        <w:tabs>
          <w:tab w:val="left" w:pos="540"/>
          <w:tab w:val="left" w:pos="569"/>
        </w:tabs>
        <w:jc w:val="both"/>
        <w:rPr>
          <w:bCs/>
          <w:sz w:val="22"/>
          <w:szCs w:val="22"/>
          <w:lang w:val="sr-Latn-ME"/>
        </w:rPr>
      </w:pPr>
      <w:r w:rsidRPr="001D6D86">
        <w:rPr>
          <w:bCs/>
          <w:sz w:val="22"/>
          <w:szCs w:val="22"/>
          <w:lang w:val="sr-Latn-ME"/>
        </w:rPr>
        <w:t>Lijek COUPET sadrži manje od 1 mmol (23 mg) natrijuma po tableti, tj. zanemarljive količine natrijuma.</w:t>
      </w:r>
      <w:r w:rsidR="00030415" w:rsidRPr="001D6D86">
        <w:rPr>
          <w:bCs/>
          <w:sz w:val="22"/>
          <w:szCs w:val="22"/>
          <w:lang w:val="sr-Latn-ME"/>
        </w:rPr>
        <w:t xml:space="preserve"> </w:t>
      </w:r>
    </w:p>
    <w:p w14:paraId="061FB9B8" w14:textId="77777777" w:rsidR="00030415" w:rsidRPr="001D6D86" w:rsidRDefault="00030415" w:rsidP="0026307D">
      <w:pPr>
        <w:tabs>
          <w:tab w:val="left" w:pos="540"/>
          <w:tab w:val="left" w:pos="569"/>
        </w:tabs>
        <w:jc w:val="both"/>
        <w:rPr>
          <w:bCs/>
          <w:sz w:val="22"/>
          <w:szCs w:val="22"/>
          <w:lang w:val="sr-Latn-ME"/>
        </w:rPr>
      </w:pPr>
    </w:p>
    <w:p w14:paraId="0313AADA" w14:textId="77777777" w:rsidR="00411B4B" w:rsidRPr="001D6D86" w:rsidRDefault="00411B4B" w:rsidP="0026307D">
      <w:pPr>
        <w:tabs>
          <w:tab w:val="left" w:pos="540"/>
          <w:tab w:val="left" w:pos="569"/>
        </w:tabs>
        <w:jc w:val="both"/>
        <w:rPr>
          <w:b/>
          <w:bCs/>
          <w:sz w:val="22"/>
          <w:szCs w:val="22"/>
          <w:lang w:val="sr-Latn-ME"/>
        </w:rPr>
      </w:pPr>
      <w:r w:rsidRPr="001D6D86">
        <w:rPr>
          <w:b/>
          <w:bCs/>
          <w:sz w:val="22"/>
          <w:szCs w:val="22"/>
          <w:lang w:val="sr-Latn-ME"/>
        </w:rPr>
        <w:t>4.5.</w:t>
      </w:r>
      <w:r w:rsidR="000D60CC" w:rsidRPr="001D6D86">
        <w:rPr>
          <w:b/>
          <w:bCs/>
          <w:sz w:val="22"/>
          <w:szCs w:val="22"/>
          <w:lang w:val="sr-Latn-ME"/>
        </w:rPr>
        <w:tab/>
      </w:r>
      <w:r w:rsidRPr="001D6D86">
        <w:rPr>
          <w:b/>
          <w:bCs/>
          <w:sz w:val="22"/>
          <w:szCs w:val="22"/>
          <w:lang w:val="sr-Latn-ME"/>
        </w:rPr>
        <w:t>Interakcije sa drugim ljekovima i druge vrste interakcija</w:t>
      </w:r>
    </w:p>
    <w:p w14:paraId="248E2A90" w14:textId="77777777" w:rsidR="0072020E" w:rsidRPr="001D6D86" w:rsidRDefault="0072020E" w:rsidP="0026307D">
      <w:pPr>
        <w:tabs>
          <w:tab w:val="left" w:pos="540"/>
          <w:tab w:val="left" w:pos="569"/>
        </w:tabs>
        <w:jc w:val="both"/>
        <w:rPr>
          <w:bCs/>
          <w:sz w:val="22"/>
          <w:szCs w:val="22"/>
          <w:lang w:val="sr-Latn-ME"/>
        </w:rPr>
      </w:pPr>
    </w:p>
    <w:p w14:paraId="3F30DE3C" w14:textId="1DAE6EC2"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Uticaj istovremeno prim</w:t>
      </w:r>
      <w:r w:rsidR="00693A6D" w:rsidRPr="001D6D86">
        <w:rPr>
          <w:bCs/>
          <w:sz w:val="22"/>
          <w:szCs w:val="22"/>
          <w:u w:val="single"/>
          <w:lang w:val="sr-Latn-ME"/>
        </w:rPr>
        <w:t>ij</w:t>
      </w:r>
      <w:r w:rsidRPr="001D6D86">
        <w:rPr>
          <w:bCs/>
          <w:sz w:val="22"/>
          <w:szCs w:val="22"/>
          <w:u w:val="single"/>
          <w:lang w:val="sr-Latn-ME"/>
        </w:rPr>
        <w:t>enjenih l</w:t>
      </w:r>
      <w:r w:rsidR="00693A6D" w:rsidRPr="001D6D86">
        <w:rPr>
          <w:bCs/>
          <w:sz w:val="22"/>
          <w:szCs w:val="22"/>
          <w:u w:val="single"/>
          <w:lang w:val="sr-Latn-ME"/>
        </w:rPr>
        <w:t>j</w:t>
      </w:r>
      <w:r w:rsidRPr="001D6D86">
        <w:rPr>
          <w:bCs/>
          <w:sz w:val="22"/>
          <w:szCs w:val="22"/>
          <w:u w:val="single"/>
          <w:lang w:val="sr-Latn-ME"/>
        </w:rPr>
        <w:t>ekova na rosuvastatin</w:t>
      </w:r>
    </w:p>
    <w:p w14:paraId="50CA8055" w14:textId="77777777" w:rsidR="00030415" w:rsidRPr="001D6D86" w:rsidRDefault="00030415" w:rsidP="0026307D">
      <w:pPr>
        <w:tabs>
          <w:tab w:val="left" w:pos="540"/>
          <w:tab w:val="left" w:pos="569"/>
        </w:tabs>
        <w:jc w:val="both"/>
        <w:rPr>
          <w:bCs/>
          <w:sz w:val="22"/>
          <w:szCs w:val="22"/>
          <w:lang w:val="sr-Latn-ME"/>
        </w:rPr>
      </w:pPr>
    </w:p>
    <w:p w14:paraId="31166CEB" w14:textId="401CBF32" w:rsidR="00030415" w:rsidRPr="001D6D86" w:rsidRDefault="007C1056" w:rsidP="0026307D">
      <w:pPr>
        <w:tabs>
          <w:tab w:val="left" w:pos="540"/>
          <w:tab w:val="left" w:pos="569"/>
        </w:tabs>
        <w:jc w:val="both"/>
        <w:rPr>
          <w:bCs/>
          <w:sz w:val="22"/>
          <w:szCs w:val="22"/>
          <w:lang w:val="sr-Latn-ME"/>
        </w:rPr>
      </w:pPr>
      <w:r w:rsidRPr="001D6D86">
        <w:rPr>
          <w:b/>
          <w:bCs/>
          <w:sz w:val="22"/>
          <w:szCs w:val="22"/>
          <w:lang w:val="sr-Latn-ME"/>
        </w:rPr>
        <w:t>Inhibitori</w:t>
      </w:r>
      <w:r w:rsidR="00030415" w:rsidRPr="001D6D86">
        <w:rPr>
          <w:b/>
          <w:bCs/>
          <w:sz w:val="22"/>
          <w:szCs w:val="22"/>
          <w:lang w:val="sr-Latn-ME"/>
        </w:rPr>
        <w:t xml:space="preserve"> transportnih proteina: </w:t>
      </w:r>
      <w:r w:rsidR="00030415" w:rsidRPr="001D6D86">
        <w:rPr>
          <w:bCs/>
          <w:sz w:val="22"/>
          <w:szCs w:val="22"/>
          <w:lang w:val="sr-Latn-ME"/>
        </w:rPr>
        <w:t>Rosuvastatin je supstrat određenih transportnih proteina uključujući i transportni protein za hepatičko preuzimanje OATP1B1 i efluksni transportni protein BCRP. Istovremena prim</w:t>
      </w:r>
      <w:r w:rsidR="00693A6D" w:rsidRPr="001D6D86">
        <w:rPr>
          <w:bCs/>
          <w:sz w:val="22"/>
          <w:szCs w:val="22"/>
          <w:lang w:val="sr-Latn-ME"/>
        </w:rPr>
        <w:t>j</w:t>
      </w:r>
      <w:r w:rsidR="00030415" w:rsidRPr="001D6D86">
        <w:rPr>
          <w:bCs/>
          <w:sz w:val="22"/>
          <w:szCs w:val="22"/>
          <w:lang w:val="sr-Latn-ME"/>
        </w:rPr>
        <w:t>ena l</w:t>
      </w:r>
      <w:r w:rsidR="00693A6D" w:rsidRPr="001D6D86">
        <w:rPr>
          <w:bCs/>
          <w:sz w:val="22"/>
          <w:szCs w:val="22"/>
          <w:lang w:val="sr-Latn-ME"/>
        </w:rPr>
        <w:t>ij</w:t>
      </w:r>
      <w:r w:rsidR="00030415" w:rsidRPr="001D6D86">
        <w:rPr>
          <w:bCs/>
          <w:sz w:val="22"/>
          <w:szCs w:val="22"/>
          <w:lang w:val="sr-Latn-ME"/>
        </w:rPr>
        <w:t>eka COUPET sa l</w:t>
      </w:r>
      <w:r w:rsidR="00693A6D" w:rsidRPr="001D6D86">
        <w:rPr>
          <w:bCs/>
          <w:sz w:val="22"/>
          <w:szCs w:val="22"/>
          <w:lang w:val="sr-Latn-ME"/>
        </w:rPr>
        <w:t>j</w:t>
      </w:r>
      <w:r w:rsidR="00030415" w:rsidRPr="001D6D86">
        <w:rPr>
          <w:bCs/>
          <w:sz w:val="22"/>
          <w:szCs w:val="22"/>
          <w:lang w:val="sr-Latn-ME"/>
        </w:rPr>
        <w:t>ekovima koji d</w:t>
      </w:r>
      <w:r w:rsidR="00693A6D" w:rsidRPr="001D6D86">
        <w:rPr>
          <w:bCs/>
          <w:sz w:val="22"/>
          <w:szCs w:val="22"/>
          <w:lang w:val="sr-Latn-ME"/>
        </w:rPr>
        <w:t>j</w:t>
      </w:r>
      <w:r w:rsidR="00030415" w:rsidRPr="001D6D86">
        <w:rPr>
          <w:bCs/>
          <w:sz w:val="22"/>
          <w:szCs w:val="22"/>
          <w:lang w:val="sr-Latn-ME"/>
        </w:rPr>
        <w:t>eluju kao inhibitori ovih transportnih proteina može dovesti do povećanja koncentracije rosuvastatina u plazmi i povećanja rizika od nastanka miopatije (vid</w:t>
      </w:r>
      <w:r w:rsidR="00693A6D" w:rsidRPr="001D6D86">
        <w:rPr>
          <w:bCs/>
          <w:sz w:val="22"/>
          <w:szCs w:val="22"/>
          <w:lang w:val="sr-Latn-ME"/>
        </w:rPr>
        <w:t>j</w:t>
      </w:r>
      <w:r w:rsidR="00030415" w:rsidRPr="001D6D86">
        <w:rPr>
          <w:bCs/>
          <w:sz w:val="22"/>
          <w:szCs w:val="22"/>
          <w:lang w:val="sr-Latn-ME"/>
        </w:rPr>
        <w:t xml:space="preserve">eti </w:t>
      </w:r>
      <w:r w:rsidR="00693A6D" w:rsidRPr="001D6D86">
        <w:rPr>
          <w:bCs/>
          <w:sz w:val="22"/>
          <w:szCs w:val="22"/>
          <w:lang w:val="sr-Latn-ME"/>
        </w:rPr>
        <w:t>djelove</w:t>
      </w:r>
      <w:r w:rsidR="00030415" w:rsidRPr="001D6D86">
        <w:rPr>
          <w:bCs/>
          <w:sz w:val="22"/>
          <w:szCs w:val="22"/>
          <w:lang w:val="sr-Latn-ME"/>
        </w:rPr>
        <w:t xml:space="preserve"> 4.2,</w:t>
      </w:r>
      <w:r w:rsidR="00693A6D" w:rsidRPr="001D6D86">
        <w:rPr>
          <w:bCs/>
          <w:sz w:val="22"/>
          <w:szCs w:val="22"/>
          <w:lang w:val="sr-Latn-ME"/>
        </w:rPr>
        <w:t xml:space="preserve"> </w:t>
      </w:r>
      <w:r w:rsidR="00030415" w:rsidRPr="001D6D86">
        <w:rPr>
          <w:bCs/>
          <w:sz w:val="22"/>
          <w:szCs w:val="22"/>
          <w:lang w:val="sr-Latn-ME"/>
        </w:rPr>
        <w:t>4.4 i 4.5- Tabelu 1).</w:t>
      </w:r>
    </w:p>
    <w:p w14:paraId="445D4F15" w14:textId="77777777" w:rsidR="00030415" w:rsidRPr="001D6D86" w:rsidRDefault="00030415" w:rsidP="0026307D">
      <w:pPr>
        <w:tabs>
          <w:tab w:val="left" w:pos="540"/>
          <w:tab w:val="left" w:pos="569"/>
        </w:tabs>
        <w:jc w:val="both"/>
        <w:rPr>
          <w:bCs/>
          <w:sz w:val="22"/>
          <w:szCs w:val="22"/>
          <w:lang w:val="sr-Latn-ME"/>
        </w:rPr>
      </w:pPr>
    </w:p>
    <w:p w14:paraId="4AAFBF0E" w14:textId="29DFBB01"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Ciklosporin: </w:t>
      </w:r>
      <w:r w:rsidRPr="001D6D86">
        <w:rPr>
          <w:bCs/>
          <w:sz w:val="22"/>
          <w:szCs w:val="22"/>
          <w:lang w:val="sr-Latn-ME"/>
        </w:rPr>
        <w:t>Tokom istovremene terapije sa rosuvastatinom i ciklosporinom PIK vr</w:t>
      </w:r>
      <w:r w:rsidR="00693A6D" w:rsidRPr="001D6D86">
        <w:rPr>
          <w:bCs/>
          <w:sz w:val="22"/>
          <w:szCs w:val="22"/>
          <w:lang w:val="sr-Latn-ME"/>
        </w:rPr>
        <w:t>ij</w:t>
      </w:r>
      <w:r w:rsidRPr="001D6D86">
        <w:rPr>
          <w:bCs/>
          <w:sz w:val="22"/>
          <w:szCs w:val="22"/>
          <w:lang w:val="sr-Latn-ME"/>
        </w:rPr>
        <w:t>ednosti rosuvastatina bile su u pros</w:t>
      </w:r>
      <w:r w:rsidR="00693A6D" w:rsidRPr="001D6D86">
        <w:rPr>
          <w:bCs/>
          <w:sz w:val="22"/>
          <w:szCs w:val="22"/>
          <w:lang w:val="sr-Latn-ME"/>
        </w:rPr>
        <w:t>j</w:t>
      </w:r>
      <w:r w:rsidRPr="001D6D86">
        <w:rPr>
          <w:bCs/>
          <w:sz w:val="22"/>
          <w:szCs w:val="22"/>
          <w:lang w:val="sr-Latn-ME"/>
        </w:rPr>
        <w:t>eku 7 puta veće nego kod vr</w:t>
      </w:r>
      <w:r w:rsidR="00693A6D" w:rsidRPr="001D6D86">
        <w:rPr>
          <w:bCs/>
          <w:sz w:val="22"/>
          <w:szCs w:val="22"/>
          <w:lang w:val="sr-Latn-ME"/>
        </w:rPr>
        <w:t>ij</w:t>
      </w:r>
      <w:r w:rsidRPr="001D6D86">
        <w:rPr>
          <w:bCs/>
          <w:sz w:val="22"/>
          <w:szCs w:val="22"/>
          <w:lang w:val="sr-Latn-ME"/>
        </w:rPr>
        <w:t>ednosti zab</w:t>
      </w:r>
      <w:r w:rsidR="00693A6D" w:rsidRPr="001D6D86">
        <w:rPr>
          <w:bCs/>
          <w:sz w:val="22"/>
          <w:szCs w:val="22"/>
          <w:lang w:val="sr-Latn-ME"/>
        </w:rPr>
        <w:t>ilj</w:t>
      </w:r>
      <w:r w:rsidRPr="001D6D86">
        <w:rPr>
          <w:bCs/>
          <w:sz w:val="22"/>
          <w:szCs w:val="22"/>
          <w:lang w:val="sr-Latn-ME"/>
        </w:rPr>
        <w:t>eženih kod zdravih ispitanika</w:t>
      </w:r>
      <w:r w:rsidR="00693A6D" w:rsidRPr="001D6D86">
        <w:rPr>
          <w:bCs/>
          <w:sz w:val="22"/>
          <w:szCs w:val="22"/>
          <w:lang w:val="sr-Latn-ME"/>
        </w:rPr>
        <w:t xml:space="preserve"> </w:t>
      </w:r>
      <w:r w:rsidRPr="001D6D86">
        <w:rPr>
          <w:bCs/>
          <w:sz w:val="22"/>
          <w:szCs w:val="22"/>
          <w:lang w:val="sr-Latn-ME"/>
        </w:rPr>
        <w:t>(vid</w:t>
      </w:r>
      <w:r w:rsidR="00693A6D" w:rsidRPr="001D6D86">
        <w:rPr>
          <w:bCs/>
          <w:sz w:val="22"/>
          <w:szCs w:val="22"/>
          <w:lang w:val="sr-Latn-ME"/>
        </w:rPr>
        <w:t>j</w:t>
      </w:r>
      <w:r w:rsidRPr="001D6D86">
        <w:rPr>
          <w:bCs/>
          <w:sz w:val="22"/>
          <w:szCs w:val="22"/>
          <w:lang w:val="sr-Latn-ME"/>
        </w:rPr>
        <w:t>eti Tabelu</w:t>
      </w:r>
      <w:r w:rsidR="007C1056" w:rsidRPr="001D6D86">
        <w:rPr>
          <w:bCs/>
          <w:sz w:val="22"/>
          <w:szCs w:val="22"/>
          <w:lang w:val="sr-Latn-ME"/>
        </w:rPr>
        <w:t xml:space="preserve"> </w:t>
      </w:r>
      <w:r w:rsidRPr="001D6D86">
        <w:rPr>
          <w:bCs/>
          <w:sz w:val="22"/>
          <w:szCs w:val="22"/>
          <w:lang w:val="sr-Latn-ME"/>
        </w:rPr>
        <w:t>1). Prim</w:t>
      </w:r>
      <w:r w:rsidR="00693A6D" w:rsidRPr="001D6D86">
        <w:rPr>
          <w:bCs/>
          <w:sz w:val="22"/>
          <w:szCs w:val="22"/>
          <w:lang w:val="sr-Latn-ME"/>
        </w:rPr>
        <w:t>j</w:t>
      </w:r>
      <w:r w:rsidRPr="001D6D86">
        <w:rPr>
          <w:bCs/>
          <w:sz w:val="22"/>
          <w:szCs w:val="22"/>
          <w:lang w:val="sr-Latn-ME"/>
        </w:rPr>
        <w:t>ena l</w:t>
      </w:r>
      <w:r w:rsidR="00693A6D" w:rsidRPr="001D6D86">
        <w:rPr>
          <w:bCs/>
          <w:sz w:val="22"/>
          <w:szCs w:val="22"/>
          <w:lang w:val="sr-Latn-ME"/>
        </w:rPr>
        <w:t>ij</w:t>
      </w:r>
      <w:r w:rsidRPr="001D6D86">
        <w:rPr>
          <w:bCs/>
          <w:sz w:val="22"/>
          <w:szCs w:val="22"/>
          <w:lang w:val="sr-Latn-ME"/>
        </w:rPr>
        <w:t>eka COUPET je kontraindikovana kod pacijenata na istovremenoj terapiji ciklosporinom (vid</w:t>
      </w:r>
      <w:r w:rsidR="00693A6D" w:rsidRPr="001D6D86">
        <w:rPr>
          <w:bCs/>
          <w:sz w:val="22"/>
          <w:szCs w:val="22"/>
          <w:lang w:val="sr-Latn-ME"/>
        </w:rPr>
        <w:t>j</w:t>
      </w:r>
      <w:r w:rsidRPr="001D6D86">
        <w:rPr>
          <w:bCs/>
          <w:sz w:val="22"/>
          <w:szCs w:val="22"/>
          <w:lang w:val="sr-Latn-ME"/>
        </w:rPr>
        <w:t xml:space="preserve">eti </w:t>
      </w:r>
      <w:r w:rsidR="00693A6D" w:rsidRPr="001D6D86">
        <w:rPr>
          <w:bCs/>
          <w:sz w:val="22"/>
          <w:szCs w:val="22"/>
          <w:lang w:val="sr-Latn-ME"/>
        </w:rPr>
        <w:t>dio</w:t>
      </w:r>
      <w:r w:rsidRPr="001D6D86">
        <w:rPr>
          <w:bCs/>
          <w:sz w:val="22"/>
          <w:szCs w:val="22"/>
          <w:lang w:val="sr-Latn-ME"/>
        </w:rPr>
        <w:t xml:space="preserve"> 4.3). Istovremena prim</w:t>
      </w:r>
      <w:r w:rsidR="00693A6D" w:rsidRPr="001D6D86">
        <w:rPr>
          <w:bCs/>
          <w:sz w:val="22"/>
          <w:szCs w:val="22"/>
          <w:lang w:val="sr-Latn-ME"/>
        </w:rPr>
        <w:t>j</w:t>
      </w:r>
      <w:r w:rsidRPr="001D6D86">
        <w:rPr>
          <w:bCs/>
          <w:sz w:val="22"/>
          <w:szCs w:val="22"/>
          <w:lang w:val="sr-Latn-ME"/>
        </w:rPr>
        <w:t>ena nije uticala na koncentracije ciklosporina u plazmi.</w:t>
      </w:r>
    </w:p>
    <w:p w14:paraId="5341618A" w14:textId="77777777" w:rsidR="00030415" w:rsidRPr="001D6D86" w:rsidRDefault="00030415" w:rsidP="0026307D">
      <w:pPr>
        <w:tabs>
          <w:tab w:val="left" w:pos="540"/>
          <w:tab w:val="left" w:pos="569"/>
        </w:tabs>
        <w:jc w:val="both"/>
        <w:rPr>
          <w:b/>
          <w:bCs/>
          <w:sz w:val="22"/>
          <w:szCs w:val="22"/>
          <w:lang w:val="sr-Latn-ME"/>
        </w:rPr>
      </w:pPr>
    </w:p>
    <w:p w14:paraId="0E47C2BA" w14:textId="2783D11F"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Inhibitori proteaze: </w:t>
      </w:r>
      <w:r w:rsidRPr="001D6D86">
        <w:rPr>
          <w:bCs/>
          <w:sz w:val="22"/>
          <w:szCs w:val="22"/>
          <w:lang w:val="sr-Latn-ME"/>
        </w:rPr>
        <w:t>Iako tačan mehanizam interakcije nije poznat, istovremeno prim</w:t>
      </w:r>
      <w:r w:rsidR="00693A6D" w:rsidRPr="001D6D86">
        <w:rPr>
          <w:bCs/>
          <w:sz w:val="22"/>
          <w:szCs w:val="22"/>
          <w:lang w:val="sr-Latn-ME"/>
        </w:rPr>
        <w:t>j</w:t>
      </w:r>
      <w:r w:rsidRPr="001D6D86">
        <w:rPr>
          <w:bCs/>
          <w:sz w:val="22"/>
          <w:szCs w:val="22"/>
          <w:lang w:val="sr-Latn-ME"/>
        </w:rPr>
        <w:t>ena inhibitora proteaze može snažno da poveća izloženost rosuvastatinu (</w:t>
      </w:r>
      <w:r w:rsidR="007C1056" w:rsidRPr="001D6D86">
        <w:rPr>
          <w:bCs/>
          <w:sz w:val="22"/>
          <w:szCs w:val="22"/>
          <w:lang w:val="sr-Latn-ME"/>
        </w:rPr>
        <w:t>vidjeti</w:t>
      </w:r>
      <w:r w:rsidRPr="001D6D86">
        <w:rPr>
          <w:bCs/>
          <w:sz w:val="22"/>
          <w:szCs w:val="22"/>
          <w:lang w:val="sr-Latn-ME"/>
        </w:rPr>
        <w:t xml:space="preserve"> Tabelu 1). Na prim</w:t>
      </w:r>
      <w:r w:rsidR="00693A6D" w:rsidRPr="001D6D86">
        <w:rPr>
          <w:bCs/>
          <w:sz w:val="22"/>
          <w:szCs w:val="22"/>
          <w:lang w:val="sr-Latn-ME"/>
        </w:rPr>
        <w:t>j</w:t>
      </w:r>
      <w:r w:rsidRPr="001D6D86">
        <w:rPr>
          <w:bCs/>
          <w:sz w:val="22"/>
          <w:szCs w:val="22"/>
          <w:lang w:val="sr-Latn-ME"/>
        </w:rPr>
        <w:t>er, u jednoj farmakokinetičkoj studiji, istovremena prim</w:t>
      </w:r>
      <w:r w:rsidR="00693A6D" w:rsidRPr="001D6D86">
        <w:rPr>
          <w:bCs/>
          <w:sz w:val="22"/>
          <w:szCs w:val="22"/>
          <w:lang w:val="sr-Latn-ME"/>
        </w:rPr>
        <w:t>j</w:t>
      </w:r>
      <w:r w:rsidRPr="001D6D86">
        <w:rPr>
          <w:bCs/>
          <w:sz w:val="22"/>
          <w:szCs w:val="22"/>
          <w:lang w:val="sr-Latn-ME"/>
        </w:rPr>
        <w:t>ena 10 mg rosuvastatina i fiksne kombinacije dva inhibitora proteaze (300 mg atazanavira/100 mg ritonavira) zdravim ispitanicima bila je povezana sa približno trostrukim povećanjem vr</w:t>
      </w:r>
      <w:r w:rsidR="00693A6D" w:rsidRPr="001D6D86">
        <w:rPr>
          <w:bCs/>
          <w:sz w:val="22"/>
          <w:szCs w:val="22"/>
          <w:lang w:val="sr-Latn-ME"/>
        </w:rPr>
        <w:t>ij</w:t>
      </w:r>
      <w:r w:rsidRPr="001D6D86">
        <w:rPr>
          <w:bCs/>
          <w:sz w:val="22"/>
          <w:szCs w:val="22"/>
          <w:lang w:val="sr-Latn-ME"/>
        </w:rPr>
        <w:t>ednosti PIK rosuvastatina odnosno, sedmostrukim povećanjem vr</w:t>
      </w:r>
      <w:r w:rsidR="00693A6D" w:rsidRPr="001D6D86">
        <w:rPr>
          <w:bCs/>
          <w:sz w:val="22"/>
          <w:szCs w:val="22"/>
          <w:lang w:val="sr-Latn-ME"/>
        </w:rPr>
        <w:t>ij</w:t>
      </w:r>
      <w:r w:rsidRPr="001D6D86">
        <w:rPr>
          <w:bCs/>
          <w:sz w:val="22"/>
          <w:szCs w:val="22"/>
          <w:lang w:val="sr-Latn-ME"/>
        </w:rPr>
        <w:t>ednosti C</w:t>
      </w:r>
      <w:r w:rsidRPr="001D6D86">
        <w:rPr>
          <w:bCs/>
          <w:sz w:val="22"/>
          <w:szCs w:val="22"/>
          <w:vertAlign w:val="subscript"/>
          <w:lang w:val="sr-Latn-ME"/>
        </w:rPr>
        <w:t>max</w:t>
      </w:r>
      <w:r w:rsidRPr="001D6D86">
        <w:rPr>
          <w:bCs/>
          <w:sz w:val="22"/>
          <w:szCs w:val="22"/>
          <w:lang w:val="sr-Latn-ME"/>
        </w:rPr>
        <w:t xml:space="preserve"> rosuvastatina. Prema tome, istovremena prim</w:t>
      </w:r>
      <w:r w:rsidR="00693A6D" w:rsidRPr="001D6D86">
        <w:rPr>
          <w:bCs/>
          <w:sz w:val="22"/>
          <w:szCs w:val="22"/>
          <w:lang w:val="sr-Latn-ME"/>
        </w:rPr>
        <w:t>j</w:t>
      </w:r>
      <w:r w:rsidRPr="001D6D86">
        <w:rPr>
          <w:bCs/>
          <w:sz w:val="22"/>
          <w:szCs w:val="22"/>
          <w:lang w:val="sr-Latn-ME"/>
        </w:rPr>
        <w:t>ena l</w:t>
      </w:r>
      <w:r w:rsidR="00693A6D" w:rsidRPr="001D6D86">
        <w:rPr>
          <w:bCs/>
          <w:sz w:val="22"/>
          <w:szCs w:val="22"/>
          <w:lang w:val="sr-Latn-ME"/>
        </w:rPr>
        <w:t>ij</w:t>
      </w:r>
      <w:r w:rsidRPr="001D6D86">
        <w:rPr>
          <w:bCs/>
          <w:sz w:val="22"/>
          <w:szCs w:val="22"/>
          <w:lang w:val="sr-Latn-ME"/>
        </w:rPr>
        <w:t>eka COUPET i određenih kombinacija inhibitora proteaze, može se razmotriti samo posl</w:t>
      </w:r>
      <w:r w:rsidR="00693A6D" w:rsidRPr="001D6D86">
        <w:rPr>
          <w:bCs/>
          <w:sz w:val="22"/>
          <w:szCs w:val="22"/>
          <w:lang w:val="sr-Latn-ME"/>
        </w:rPr>
        <w:t>ij</w:t>
      </w:r>
      <w:r w:rsidRPr="001D6D86">
        <w:rPr>
          <w:bCs/>
          <w:sz w:val="22"/>
          <w:szCs w:val="22"/>
          <w:lang w:val="sr-Latn-ME"/>
        </w:rPr>
        <w:t>e pažljivog prilagođavanja doze l</w:t>
      </w:r>
      <w:r w:rsidR="00693A6D" w:rsidRPr="001D6D86">
        <w:rPr>
          <w:bCs/>
          <w:sz w:val="22"/>
          <w:szCs w:val="22"/>
          <w:lang w:val="sr-Latn-ME"/>
        </w:rPr>
        <w:t>ij</w:t>
      </w:r>
      <w:r w:rsidRPr="001D6D86">
        <w:rPr>
          <w:bCs/>
          <w:sz w:val="22"/>
          <w:szCs w:val="22"/>
          <w:lang w:val="sr-Latn-ME"/>
        </w:rPr>
        <w:t>eka COUPET na osnovu očekivanog povećanja izloženosti rosuvastatinu (vid</w:t>
      </w:r>
      <w:r w:rsidR="00693A6D" w:rsidRPr="001D6D86">
        <w:rPr>
          <w:bCs/>
          <w:sz w:val="22"/>
          <w:szCs w:val="22"/>
          <w:lang w:val="sr-Latn-ME"/>
        </w:rPr>
        <w:t>j</w:t>
      </w:r>
      <w:r w:rsidRPr="001D6D86">
        <w:rPr>
          <w:bCs/>
          <w:sz w:val="22"/>
          <w:szCs w:val="22"/>
          <w:lang w:val="sr-Latn-ME"/>
        </w:rPr>
        <w:t xml:space="preserve">eti </w:t>
      </w:r>
      <w:r w:rsidR="00693A6D" w:rsidRPr="001D6D86">
        <w:rPr>
          <w:bCs/>
          <w:sz w:val="22"/>
          <w:szCs w:val="22"/>
          <w:lang w:val="sr-Latn-ME"/>
        </w:rPr>
        <w:t>djelove</w:t>
      </w:r>
      <w:r w:rsidRPr="001D6D86">
        <w:rPr>
          <w:bCs/>
          <w:sz w:val="22"/>
          <w:szCs w:val="22"/>
          <w:lang w:val="sr-Latn-ME"/>
        </w:rPr>
        <w:t xml:space="preserve"> 4.2, 4.4 i 4.5 - Tabelu 1).</w:t>
      </w:r>
    </w:p>
    <w:p w14:paraId="72061A02" w14:textId="77777777" w:rsidR="00030415" w:rsidRPr="001D6D86" w:rsidRDefault="00030415" w:rsidP="0026307D">
      <w:pPr>
        <w:tabs>
          <w:tab w:val="left" w:pos="540"/>
          <w:tab w:val="left" w:pos="569"/>
        </w:tabs>
        <w:jc w:val="both"/>
        <w:rPr>
          <w:bCs/>
          <w:sz w:val="22"/>
          <w:szCs w:val="22"/>
          <w:lang w:val="sr-Latn-ME"/>
        </w:rPr>
      </w:pPr>
    </w:p>
    <w:p w14:paraId="6F20A0A8" w14:textId="43145B7B"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lastRenderedPageBreak/>
        <w:t>Gemfibrozil i drugi l</w:t>
      </w:r>
      <w:r w:rsidR="00693A6D" w:rsidRPr="001D6D86">
        <w:rPr>
          <w:b/>
          <w:bCs/>
          <w:sz w:val="22"/>
          <w:szCs w:val="22"/>
          <w:lang w:val="sr-Latn-ME"/>
        </w:rPr>
        <w:t>j</w:t>
      </w:r>
      <w:r w:rsidRPr="001D6D86">
        <w:rPr>
          <w:b/>
          <w:bCs/>
          <w:sz w:val="22"/>
          <w:szCs w:val="22"/>
          <w:lang w:val="sr-Latn-ME"/>
        </w:rPr>
        <w:t xml:space="preserve">ekovi za smanjenje nivoa lipida: </w:t>
      </w:r>
      <w:r w:rsidRPr="001D6D86">
        <w:rPr>
          <w:bCs/>
          <w:sz w:val="22"/>
          <w:szCs w:val="22"/>
          <w:lang w:val="sr-Latn-ME"/>
        </w:rPr>
        <w:t>Istovremena upotreba rosuvastatina i gemfibrozila dovela je do dvostrukog povećanja vr</w:t>
      </w:r>
      <w:r w:rsidR="00693A6D" w:rsidRPr="001D6D86">
        <w:rPr>
          <w:bCs/>
          <w:sz w:val="22"/>
          <w:szCs w:val="22"/>
          <w:lang w:val="sr-Latn-ME"/>
        </w:rPr>
        <w:t>ij</w:t>
      </w:r>
      <w:r w:rsidRPr="001D6D86">
        <w:rPr>
          <w:bCs/>
          <w:sz w:val="22"/>
          <w:szCs w:val="22"/>
          <w:lang w:val="sr-Latn-ME"/>
        </w:rPr>
        <w:t>ednosti C</w:t>
      </w:r>
      <w:r w:rsidRPr="001D6D86">
        <w:rPr>
          <w:bCs/>
          <w:sz w:val="22"/>
          <w:szCs w:val="22"/>
          <w:vertAlign w:val="subscript"/>
          <w:lang w:val="sr-Latn-ME"/>
        </w:rPr>
        <w:t>max</w:t>
      </w:r>
      <w:r w:rsidRPr="001D6D86">
        <w:rPr>
          <w:bCs/>
          <w:sz w:val="22"/>
          <w:szCs w:val="22"/>
          <w:lang w:val="sr-Latn-ME"/>
        </w:rPr>
        <w:t xml:space="preserve"> i PIK rosuvastatina (vid</w:t>
      </w:r>
      <w:r w:rsidR="00693A6D" w:rsidRPr="001D6D86">
        <w:rPr>
          <w:bCs/>
          <w:sz w:val="22"/>
          <w:szCs w:val="22"/>
          <w:lang w:val="sr-Latn-ME"/>
        </w:rPr>
        <w:t>j</w:t>
      </w:r>
      <w:r w:rsidRPr="001D6D86">
        <w:rPr>
          <w:bCs/>
          <w:sz w:val="22"/>
          <w:szCs w:val="22"/>
          <w:lang w:val="sr-Latn-ME"/>
        </w:rPr>
        <w:t xml:space="preserve">eti </w:t>
      </w:r>
      <w:r w:rsidR="00693A6D" w:rsidRPr="001D6D86">
        <w:rPr>
          <w:bCs/>
          <w:sz w:val="22"/>
          <w:szCs w:val="22"/>
          <w:lang w:val="sr-Latn-ME"/>
        </w:rPr>
        <w:t>dio</w:t>
      </w:r>
      <w:r w:rsidRPr="001D6D86">
        <w:rPr>
          <w:bCs/>
          <w:sz w:val="22"/>
          <w:szCs w:val="22"/>
          <w:lang w:val="sr-Latn-ME"/>
        </w:rPr>
        <w:t xml:space="preserve"> 4.4).</w:t>
      </w:r>
    </w:p>
    <w:p w14:paraId="51C03674" w14:textId="77777777" w:rsidR="00030415" w:rsidRPr="001D6D86" w:rsidRDefault="00030415" w:rsidP="0026307D">
      <w:pPr>
        <w:tabs>
          <w:tab w:val="left" w:pos="540"/>
          <w:tab w:val="left" w:pos="569"/>
        </w:tabs>
        <w:jc w:val="both"/>
        <w:rPr>
          <w:bCs/>
          <w:sz w:val="22"/>
          <w:szCs w:val="22"/>
          <w:lang w:val="sr-Latn-ME"/>
        </w:rPr>
      </w:pPr>
    </w:p>
    <w:p w14:paraId="55F5EFDC" w14:textId="70B77450"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Na osnovu podataka iz specifičnih ispitivanja interakcija, ne očekuje se nikakva relevantna farmakokinetička interakcija sa fenofibratom, ali može doći do farmakodinamske interakcije. Gemfibrozil, fenofibrat, drugi fibrati i doze niacina (nikotinske kiseline) kojima se smanjuje nivo lipida (≥ 1g/dan) povećavaju rizik od miopatije kada se daju istovremeno sa inhibitorima HMG-CoA reduktaze, v</w:t>
      </w:r>
      <w:r w:rsidR="00693A6D" w:rsidRPr="001D6D86">
        <w:rPr>
          <w:bCs/>
          <w:sz w:val="22"/>
          <w:szCs w:val="22"/>
          <w:lang w:val="sr-Latn-ME"/>
        </w:rPr>
        <w:t>j</w:t>
      </w:r>
      <w:r w:rsidRPr="001D6D86">
        <w:rPr>
          <w:bCs/>
          <w:sz w:val="22"/>
          <w:szCs w:val="22"/>
          <w:lang w:val="sr-Latn-ME"/>
        </w:rPr>
        <w:t>erovatno jer mogu da prouzrokuju miopatiju i kada se daju sami. Kontraindikovana je prim</w:t>
      </w:r>
      <w:r w:rsidR="00693A6D" w:rsidRPr="001D6D86">
        <w:rPr>
          <w:bCs/>
          <w:sz w:val="22"/>
          <w:szCs w:val="22"/>
          <w:lang w:val="sr-Latn-ME"/>
        </w:rPr>
        <w:t>j</w:t>
      </w:r>
      <w:r w:rsidRPr="001D6D86">
        <w:rPr>
          <w:bCs/>
          <w:sz w:val="22"/>
          <w:szCs w:val="22"/>
          <w:lang w:val="sr-Latn-ME"/>
        </w:rPr>
        <w:t>ena doze od 40 mg zajedno sa fibratima (vid</w:t>
      </w:r>
      <w:r w:rsidR="00693A6D" w:rsidRPr="001D6D86">
        <w:rPr>
          <w:bCs/>
          <w:sz w:val="22"/>
          <w:szCs w:val="22"/>
          <w:lang w:val="sr-Latn-ME"/>
        </w:rPr>
        <w:t>j</w:t>
      </w:r>
      <w:r w:rsidRPr="001D6D86">
        <w:rPr>
          <w:bCs/>
          <w:sz w:val="22"/>
          <w:szCs w:val="22"/>
          <w:lang w:val="sr-Latn-ME"/>
        </w:rPr>
        <w:t xml:space="preserve">eti </w:t>
      </w:r>
      <w:r w:rsidR="00693A6D" w:rsidRPr="001D6D86">
        <w:rPr>
          <w:bCs/>
          <w:sz w:val="22"/>
          <w:szCs w:val="22"/>
          <w:lang w:val="sr-Latn-ME"/>
        </w:rPr>
        <w:t>djelov</w:t>
      </w:r>
      <w:r w:rsidRPr="001D6D86">
        <w:rPr>
          <w:bCs/>
          <w:sz w:val="22"/>
          <w:szCs w:val="22"/>
          <w:lang w:val="sr-Latn-ME"/>
        </w:rPr>
        <w:t>e 4.3 i 4.4). Kod ovih pacijenata terapiju treba započeti dozom od 5 mg.</w:t>
      </w:r>
    </w:p>
    <w:p w14:paraId="56FF9E17" w14:textId="77777777" w:rsidR="00030415" w:rsidRPr="001D6D86" w:rsidRDefault="00030415" w:rsidP="0026307D">
      <w:pPr>
        <w:tabs>
          <w:tab w:val="left" w:pos="540"/>
          <w:tab w:val="left" w:pos="569"/>
        </w:tabs>
        <w:jc w:val="both"/>
        <w:rPr>
          <w:bCs/>
          <w:sz w:val="22"/>
          <w:szCs w:val="22"/>
          <w:lang w:val="sr-Latn-ME"/>
        </w:rPr>
      </w:pPr>
    </w:p>
    <w:p w14:paraId="2760CA06" w14:textId="2497B5CA"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Ezetimib: </w:t>
      </w:r>
      <w:r w:rsidRPr="001D6D86">
        <w:rPr>
          <w:bCs/>
          <w:sz w:val="22"/>
          <w:szCs w:val="22"/>
          <w:lang w:val="sr-Latn-ME"/>
        </w:rPr>
        <w:t>Istovremena upotreba 10 mg rosuvastatina i 10 mg ezetimiba dovela je do povećanja vr</w:t>
      </w:r>
      <w:r w:rsidR="00693A6D" w:rsidRPr="001D6D86">
        <w:rPr>
          <w:bCs/>
          <w:sz w:val="22"/>
          <w:szCs w:val="22"/>
          <w:lang w:val="sr-Latn-ME"/>
        </w:rPr>
        <w:t>ij</w:t>
      </w:r>
      <w:r w:rsidRPr="001D6D86">
        <w:rPr>
          <w:bCs/>
          <w:sz w:val="22"/>
          <w:szCs w:val="22"/>
          <w:lang w:val="sr-Latn-ME"/>
        </w:rPr>
        <w:t>ednosti PIK rosuvastatina za 1,2 kod pacijenata koji su hiperholesterolemični (Tabela 1). Ne može se isključiti farmakodinamska interakcija, u smislu neželjenih dejstava, između rosuvastatina i ezetimiba (vid</w:t>
      </w:r>
      <w:r w:rsidR="00693A6D" w:rsidRPr="001D6D86">
        <w:rPr>
          <w:bCs/>
          <w:sz w:val="22"/>
          <w:szCs w:val="22"/>
          <w:lang w:val="sr-Latn-ME"/>
        </w:rPr>
        <w:t>j</w:t>
      </w:r>
      <w:r w:rsidRPr="001D6D86">
        <w:rPr>
          <w:bCs/>
          <w:sz w:val="22"/>
          <w:szCs w:val="22"/>
          <w:lang w:val="sr-Latn-ME"/>
        </w:rPr>
        <w:t xml:space="preserve">eti </w:t>
      </w:r>
      <w:r w:rsidR="00693A6D" w:rsidRPr="001D6D86">
        <w:rPr>
          <w:bCs/>
          <w:sz w:val="22"/>
          <w:szCs w:val="22"/>
          <w:lang w:val="sr-Latn-ME"/>
        </w:rPr>
        <w:t>dio</w:t>
      </w:r>
      <w:r w:rsidRPr="001D6D86">
        <w:rPr>
          <w:bCs/>
          <w:sz w:val="22"/>
          <w:szCs w:val="22"/>
          <w:lang w:val="sr-Latn-ME"/>
        </w:rPr>
        <w:t xml:space="preserve"> 4.4).</w:t>
      </w:r>
    </w:p>
    <w:p w14:paraId="473310B6" w14:textId="77777777" w:rsidR="00030415" w:rsidRPr="001D6D86" w:rsidRDefault="00030415" w:rsidP="0026307D">
      <w:pPr>
        <w:tabs>
          <w:tab w:val="left" w:pos="540"/>
          <w:tab w:val="left" w:pos="569"/>
        </w:tabs>
        <w:jc w:val="both"/>
        <w:rPr>
          <w:bCs/>
          <w:sz w:val="22"/>
          <w:szCs w:val="22"/>
          <w:lang w:val="sr-Latn-ME"/>
        </w:rPr>
      </w:pPr>
    </w:p>
    <w:p w14:paraId="0D14E95E" w14:textId="181EFF5F"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Antacidi: </w:t>
      </w:r>
      <w:r w:rsidRPr="001D6D86">
        <w:rPr>
          <w:bCs/>
          <w:sz w:val="22"/>
          <w:szCs w:val="22"/>
          <w:lang w:val="sr-Latn-ME"/>
        </w:rPr>
        <w:t>Istovremena prim</w:t>
      </w:r>
      <w:r w:rsidR="00693A6D" w:rsidRPr="001D6D86">
        <w:rPr>
          <w:bCs/>
          <w:sz w:val="22"/>
          <w:szCs w:val="22"/>
          <w:lang w:val="sr-Latn-ME"/>
        </w:rPr>
        <w:t>j</w:t>
      </w:r>
      <w:r w:rsidRPr="001D6D86">
        <w:rPr>
          <w:bCs/>
          <w:sz w:val="22"/>
          <w:szCs w:val="22"/>
          <w:lang w:val="sr-Latn-ME"/>
        </w:rPr>
        <w:t>ena rosuvastatina sa antacidnom suspenzijom koja sadrži aluminijum i magnezijum hidroksid dovodi do smanjenja koncentracije rosuvastatina u plazmi za oko 50%. Ovo dejstvo je ublaženo kada se antacid daje 2 sata posl</w:t>
      </w:r>
      <w:r w:rsidR="00693A6D" w:rsidRPr="001D6D86">
        <w:rPr>
          <w:bCs/>
          <w:sz w:val="22"/>
          <w:szCs w:val="22"/>
          <w:lang w:val="sr-Latn-ME"/>
        </w:rPr>
        <w:t>ij</w:t>
      </w:r>
      <w:r w:rsidRPr="001D6D86">
        <w:rPr>
          <w:bCs/>
          <w:sz w:val="22"/>
          <w:szCs w:val="22"/>
          <w:lang w:val="sr-Latn-ME"/>
        </w:rPr>
        <w:t>e prim</w:t>
      </w:r>
      <w:r w:rsidR="00693A6D" w:rsidRPr="001D6D86">
        <w:rPr>
          <w:bCs/>
          <w:sz w:val="22"/>
          <w:szCs w:val="22"/>
          <w:lang w:val="sr-Latn-ME"/>
        </w:rPr>
        <w:t>j</w:t>
      </w:r>
      <w:r w:rsidRPr="001D6D86">
        <w:rPr>
          <w:bCs/>
          <w:sz w:val="22"/>
          <w:szCs w:val="22"/>
          <w:lang w:val="sr-Latn-ME"/>
        </w:rPr>
        <w:t>ene rosuvastatina. Klinički značaj ove interakcije nije proučavan.</w:t>
      </w:r>
    </w:p>
    <w:p w14:paraId="7649670E" w14:textId="77777777" w:rsidR="00030415" w:rsidRPr="001D6D86" w:rsidRDefault="00030415" w:rsidP="0026307D">
      <w:pPr>
        <w:tabs>
          <w:tab w:val="left" w:pos="540"/>
          <w:tab w:val="left" w:pos="569"/>
        </w:tabs>
        <w:jc w:val="both"/>
        <w:rPr>
          <w:bCs/>
          <w:sz w:val="22"/>
          <w:szCs w:val="22"/>
          <w:lang w:val="sr-Latn-ME"/>
        </w:rPr>
      </w:pPr>
    </w:p>
    <w:p w14:paraId="79036EDB" w14:textId="097D1468"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Eritromicin: </w:t>
      </w:r>
      <w:r w:rsidRPr="001D6D86">
        <w:rPr>
          <w:bCs/>
          <w:sz w:val="22"/>
          <w:szCs w:val="22"/>
          <w:lang w:val="sr-Latn-ME"/>
        </w:rPr>
        <w:t>Istovremena upotreba rosuvastatina i eritromicina dovela je do smanjenja vr</w:t>
      </w:r>
      <w:r w:rsidR="00693A6D" w:rsidRPr="001D6D86">
        <w:rPr>
          <w:bCs/>
          <w:sz w:val="22"/>
          <w:szCs w:val="22"/>
          <w:lang w:val="sr-Latn-ME"/>
        </w:rPr>
        <w:t>ij</w:t>
      </w:r>
      <w:r w:rsidRPr="001D6D86">
        <w:rPr>
          <w:bCs/>
          <w:sz w:val="22"/>
          <w:szCs w:val="22"/>
          <w:lang w:val="sr-Latn-ME"/>
        </w:rPr>
        <w:t>ednosti PIK za 20% i smanjenja vr</w:t>
      </w:r>
      <w:r w:rsidR="00693A6D" w:rsidRPr="001D6D86">
        <w:rPr>
          <w:bCs/>
          <w:sz w:val="22"/>
          <w:szCs w:val="22"/>
          <w:lang w:val="sr-Latn-ME"/>
        </w:rPr>
        <w:t>ij</w:t>
      </w:r>
      <w:r w:rsidRPr="001D6D86">
        <w:rPr>
          <w:bCs/>
          <w:sz w:val="22"/>
          <w:szCs w:val="22"/>
          <w:lang w:val="sr-Latn-ME"/>
        </w:rPr>
        <w:t>ednosti C</w:t>
      </w:r>
      <w:r w:rsidRPr="001D6D86">
        <w:rPr>
          <w:bCs/>
          <w:sz w:val="22"/>
          <w:szCs w:val="22"/>
          <w:vertAlign w:val="subscript"/>
          <w:lang w:val="sr-Latn-ME"/>
        </w:rPr>
        <w:t>max</w:t>
      </w:r>
      <w:r w:rsidRPr="001D6D86">
        <w:rPr>
          <w:bCs/>
          <w:sz w:val="22"/>
          <w:szCs w:val="22"/>
          <w:lang w:val="sr-Latn-ME"/>
        </w:rPr>
        <w:t xml:space="preserve"> rosuvastatina za 30%. Ova interakcija može biti izazvana povećanim motilitetom cr</w:t>
      </w:r>
      <w:r w:rsidR="00693A6D" w:rsidRPr="001D6D86">
        <w:rPr>
          <w:bCs/>
          <w:sz w:val="22"/>
          <w:szCs w:val="22"/>
          <w:lang w:val="sr-Latn-ME"/>
        </w:rPr>
        <w:t>ij</w:t>
      </w:r>
      <w:r w:rsidRPr="001D6D86">
        <w:rPr>
          <w:bCs/>
          <w:sz w:val="22"/>
          <w:szCs w:val="22"/>
          <w:lang w:val="sr-Latn-ME"/>
        </w:rPr>
        <w:t>eva koje izaziva eritromicin.</w:t>
      </w:r>
    </w:p>
    <w:p w14:paraId="13C0C19F" w14:textId="77777777" w:rsidR="00030415" w:rsidRPr="001D6D86" w:rsidRDefault="00030415" w:rsidP="0026307D">
      <w:pPr>
        <w:tabs>
          <w:tab w:val="left" w:pos="540"/>
          <w:tab w:val="left" w:pos="569"/>
        </w:tabs>
        <w:jc w:val="both"/>
        <w:rPr>
          <w:bCs/>
          <w:sz w:val="22"/>
          <w:szCs w:val="22"/>
          <w:lang w:val="sr-Latn-ME"/>
        </w:rPr>
      </w:pPr>
    </w:p>
    <w:p w14:paraId="329E50D1" w14:textId="5D7F7668"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Tikagrelor:</w:t>
      </w:r>
      <w:r w:rsidRPr="001D6D86">
        <w:rPr>
          <w:bCs/>
          <w:sz w:val="22"/>
          <w:szCs w:val="22"/>
          <w:lang w:val="sr-Latn-ME"/>
        </w:rPr>
        <w:t xml:space="preserve"> Tikagrelor može uticati na izlučivanje rosuvastatina putem bubrega, povećavajući rizik od</w:t>
      </w:r>
      <w:r w:rsidR="00693A6D" w:rsidRPr="001D6D86">
        <w:rPr>
          <w:bCs/>
          <w:sz w:val="22"/>
          <w:szCs w:val="22"/>
          <w:lang w:val="sr-Latn-ME"/>
        </w:rPr>
        <w:t xml:space="preserve"> </w:t>
      </w:r>
      <w:r w:rsidRPr="001D6D86">
        <w:rPr>
          <w:bCs/>
          <w:sz w:val="22"/>
          <w:szCs w:val="22"/>
          <w:lang w:val="sr-Latn-ME"/>
        </w:rPr>
        <w:t>nakupljanja rosuvastatina. Iako tačan mehanizam nije poznat, u nekim je slučajevima istovremena</w:t>
      </w:r>
    </w:p>
    <w:p w14:paraId="7E8F33AB" w14:textId="4532B96A"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prim</w:t>
      </w:r>
      <w:r w:rsidR="00693A6D" w:rsidRPr="001D6D86">
        <w:rPr>
          <w:bCs/>
          <w:sz w:val="22"/>
          <w:szCs w:val="22"/>
          <w:lang w:val="sr-Latn-ME"/>
        </w:rPr>
        <w:t>j</w:t>
      </w:r>
      <w:r w:rsidRPr="001D6D86">
        <w:rPr>
          <w:bCs/>
          <w:sz w:val="22"/>
          <w:szCs w:val="22"/>
          <w:lang w:val="sr-Latn-ME"/>
        </w:rPr>
        <w:t>ena tikagrelora i rosuvastatina dovela je do smanjenja funkcije bubrega, povećane koncentracije kreatin fosfokinaze i rabdomiolize.</w:t>
      </w:r>
      <w:r w:rsidR="00072E85" w:rsidRPr="001D6D86">
        <w:rPr>
          <w:bCs/>
          <w:sz w:val="22"/>
          <w:szCs w:val="22"/>
          <w:lang w:val="sr-Latn-ME"/>
        </w:rPr>
        <w:t xml:space="preserve"> Preporučuje se kontrola funkcije bubrega i nivoa kreatin fosfokinaze tokom istovremene primjene tikagrelora i rosuvastatina. </w:t>
      </w:r>
    </w:p>
    <w:p w14:paraId="56BE2DD7" w14:textId="77777777" w:rsidR="00030415" w:rsidRPr="001D6D86" w:rsidRDefault="00030415" w:rsidP="0026307D">
      <w:pPr>
        <w:tabs>
          <w:tab w:val="left" w:pos="540"/>
          <w:tab w:val="left" w:pos="569"/>
        </w:tabs>
        <w:jc w:val="both"/>
        <w:rPr>
          <w:bCs/>
          <w:sz w:val="22"/>
          <w:szCs w:val="22"/>
          <w:lang w:val="sr-Latn-ME"/>
        </w:rPr>
      </w:pPr>
    </w:p>
    <w:p w14:paraId="58F181B9" w14:textId="572C75C5"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Enzimi citohroma P450: </w:t>
      </w:r>
      <w:r w:rsidRPr="001D6D86">
        <w:rPr>
          <w:bCs/>
          <w:sz w:val="22"/>
          <w:szCs w:val="22"/>
          <w:lang w:val="sr-Latn-ME"/>
        </w:rPr>
        <w:t xml:space="preserve">Rezultati iz </w:t>
      </w:r>
      <w:r w:rsidRPr="001D6D86">
        <w:rPr>
          <w:bCs/>
          <w:i/>
          <w:sz w:val="22"/>
          <w:szCs w:val="22"/>
          <w:lang w:val="sr-Latn-ME"/>
        </w:rPr>
        <w:t xml:space="preserve">in vitro </w:t>
      </w:r>
      <w:r w:rsidRPr="001D6D86">
        <w:rPr>
          <w:bCs/>
          <w:sz w:val="22"/>
          <w:szCs w:val="22"/>
          <w:lang w:val="sr-Latn-ME"/>
        </w:rPr>
        <w:t xml:space="preserve">i </w:t>
      </w:r>
      <w:r w:rsidRPr="001D6D86">
        <w:rPr>
          <w:bCs/>
          <w:i/>
          <w:sz w:val="22"/>
          <w:szCs w:val="22"/>
          <w:lang w:val="sr-Latn-ME"/>
        </w:rPr>
        <w:t xml:space="preserve">in vivo </w:t>
      </w:r>
      <w:r w:rsidRPr="001D6D86">
        <w:rPr>
          <w:bCs/>
          <w:sz w:val="22"/>
          <w:szCs w:val="22"/>
          <w:lang w:val="sr-Latn-ME"/>
        </w:rPr>
        <w:t>ispitivanja pokazuju da rosuvastatin nije ni inhibitor, niti induktor izoenzima citohroma P450. Uz to, rosuvastatin se sporo metaboliše putem ovih izoenzima. Zato se ne očekuju interakcije usl</w:t>
      </w:r>
      <w:r w:rsidR="00693A6D" w:rsidRPr="001D6D86">
        <w:rPr>
          <w:bCs/>
          <w:sz w:val="22"/>
          <w:szCs w:val="22"/>
          <w:lang w:val="sr-Latn-ME"/>
        </w:rPr>
        <w:t>j</w:t>
      </w:r>
      <w:r w:rsidRPr="001D6D86">
        <w:rPr>
          <w:bCs/>
          <w:sz w:val="22"/>
          <w:szCs w:val="22"/>
          <w:lang w:val="sr-Latn-ME"/>
        </w:rPr>
        <w:t>ed metabolizma posredovanog enzimima citohroma P450. Ni</w:t>
      </w:r>
      <w:r w:rsidR="00072E85" w:rsidRPr="001D6D86">
        <w:rPr>
          <w:bCs/>
          <w:sz w:val="22"/>
          <w:szCs w:val="22"/>
          <w:lang w:val="sr-Latn-ME"/>
        </w:rPr>
        <w:t>je</w:t>
      </w:r>
      <w:r w:rsidRPr="001D6D86">
        <w:rPr>
          <w:bCs/>
          <w:sz w:val="22"/>
          <w:szCs w:val="22"/>
          <w:lang w:val="sr-Latn-ME"/>
        </w:rPr>
        <w:t>su zab</w:t>
      </w:r>
      <w:r w:rsidR="00693A6D" w:rsidRPr="001D6D86">
        <w:rPr>
          <w:bCs/>
          <w:sz w:val="22"/>
          <w:szCs w:val="22"/>
          <w:lang w:val="sr-Latn-ME"/>
        </w:rPr>
        <w:t>ilj</w:t>
      </w:r>
      <w:r w:rsidRPr="001D6D86">
        <w:rPr>
          <w:bCs/>
          <w:sz w:val="22"/>
          <w:szCs w:val="22"/>
          <w:lang w:val="sr-Latn-ME"/>
        </w:rPr>
        <w:t>ežene klinički relevantne interakcije između rosuvastatina, flukonazola (inhibitor CYP2C9 i CYP3A4) ili ketokonazola (inhibitor CYP2A6 i CYP3A4).</w:t>
      </w:r>
    </w:p>
    <w:p w14:paraId="440A7045" w14:textId="77777777" w:rsidR="00030415" w:rsidRPr="001D6D86" w:rsidRDefault="00030415" w:rsidP="0026307D">
      <w:pPr>
        <w:tabs>
          <w:tab w:val="left" w:pos="540"/>
          <w:tab w:val="left" w:pos="569"/>
        </w:tabs>
        <w:jc w:val="both"/>
        <w:rPr>
          <w:bCs/>
          <w:sz w:val="22"/>
          <w:szCs w:val="22"/>
          <w:lang w:val="sr-Latn-ME"/>
        </w:rPr>
      </w:pPr>
    </w:p>
    <w:p w14:paraId="5F81EDA4" w14:textId="6E259344"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Interakcije koje zaht</w:t>
      </w:r>
      <w:r w:rsidR="00693A6D" w:rsidRPr="001D6D86">
        <w:rPr>
          <w:b/>
          <w:bCs/>
          <w:sz w:val="22"/>
          <w:szCs w:val="22"/>
          <w:lang w:val="sr-Latn-ME"/>
        </w:rPr>
        <w:t>ij</w:t>
      </w:r>
      <w:r w:rsidRPr="001D6D86">
        <w:rPr>
          <w:b/>
          <w:bCs/>
          <w:sz w:val="22"/>
          <w:szCs w:val="22"/>
          <w:lang w:val="sr-Latn-ME"/>
        </w:rPr>
        <w:t>evaju prilagođavanje doze rosuvastatina (vid</w:t>
      </w:r>
      <w:r w:rsidR="00693A6D" w:rsidRPr="001D6D86">
        <w:rPr>
          <w:b/>
          <w:bCs/>
          <w:sz w:val="22"/>
          <w:szCs w:val="22"/>
          <w:lang w:val="sr-Latn-ME"/>
        </w:rPr>
        <w:t>j</w:t>
      </w:r>
      <w:r w:rsidRPr="001D6D86">
        <w:rPr>
          <w:b/>
          <w:bCs/>
          <w:sz w:val="22"/>
          <w:szCs w:val="22"/>
          <w:lang w:val="sr-Latn-ME"/>
        </w:rPr>
        <w:t xml:space="preserve">eti takođe Tabelu 1): </w:t>
      </w:r>
      <w:r w:rsidRPr="001D6D86">
        <w:rPr>
          <w:bCs/>
          <w:sz w:val="22"/>
          <w:szCs w:val="22"/>
          <w:lang w:val="sr-Latn-ME"/>
        </w:rPr>
        <w:t>U situacijama kada je neophodno prim</w:t>
      </w:r>
      <w:r w:rsidR="00693A6D" w:rsidRPr="001D6D86">
        <w:rPr>
          <w:bCs/>
          <w:sz w:val="22"/>
          <w:szCs w:val="22"/>
          <w:lang w:val="sr-Latn-ME"/>
        </w:rPr>
        <w:t>ij</w:t>
      </w:r>
      <w:r w:rsidRPr="001D6D86">
        <w:rPr>
          <w:bCs/>
          <w:sz w:val="22"/>
          <w:szCs w:val="22"/>
          <w:lang w:val="sr-Latn-ME"/>
        </w:rPr>
        <w:t>eniti l</w:t>
      </w:r>
      <w:r w:rsidR="00693A6D" w:rsidRPr="001D6D86">
        <w:rPr>
          <w:bCs/>
          <w:sz w:val="22"/>
          <w:szCs w:val="22"/>
          <w:lang w:val="sr-Latn-ME"/>
        </w:rPr>
        <w:t>ij</w:t>
      </w:r>
      <w:r w:rsidRPr="001D6D86">
        <w:rPr>
          <w:bCs/>
          <w:sz w:val="22"/>
          <w:szCs w:val="22"/>
          <w:lang w:val="sr-Latn-ME"/>
        </w:rPr>
        <w:t>ek COUPET sa drugim l</w:t>
      </w:r>
      <w:r w:rsidR="00693A6D" w:rsidRPr="001D6D86">
        <w:rPr>
          <w:bCs/>
          <w:sz w:val="22"/>
          <w:szCs w:val="22"/>
          <w:lang w:val="sr-Latn-ME"/>
        </w:rPr>
        <w:t>j</w:t>
      </w:r>
      <w:r w:rsidRPr="001D6D86">
        <w:rPr>
          <w:bCs/>
          <w:sz w:val="22"/>
          <w:szCs w:val="22"/>
          <w:lang w:val="sr-Latn-ME"/>
        </w:rPr>
        <w:t>ekovima za koje je poznato da dovode do povećane izloženosti rosuvastatinu, treba prilagoditi dozu rosuvastatina. Ukoliko je očekivano povećanje izloženosti (vr</w:t>
      </w:r>
      <w:r w:rsidR="00693A6D" w:rsidRPr="001D6D86">
        <w:rPr>
          <w:bCs/>
          <w:sz w:val="22"/>
          <w:szCs w:val="22"/>
          <w:lang w:val="sr-Latn-ME"/>
        </w:rPr>
        <w:t>ij</w:t>
      </w:r>
      <w:r w:rsidRPr="001D6D86">
        <w:rPr>
          <w:bCs/>
          <w:sz w:val="22"/>
          <w:szCs w:val="22"/>
          <w:lang w:val="sr-Latn-ME"/>
        </w:rPr>
        <w:t>ednosti PIK) povećano dva i više puta treba započeti l</w:t>
      </w:r>
      <w:r w:rsidR="00693A6D" w:rsidRPr="001D6D86">
        <w:rPr>
          <w:bCs/>
          <w:sz w:val="22"/>
          <w:szCs w:val="22"/>
          <w:lang w:val="sr-Latn-ME"/>
        </w:rPr>
        <w:t>ij</w:t>
      </w:r>
      <w:r w:rsidRPr="001D6D86">
        <w:rPr>
          <w:bCs/>
          <w:sz w:val="22"/>
          <w:szCs w:val="22"/>
          <w:lang w:val="sr-Latn-ME"/>
        </w:rPr>
        <w:t>ečenje sa 5 mg rosuvastatina jednom dnevno. Maksimalnu dnevnu dozu rosuvastatina prilagoditi tako da očekivana izloženost rosuvastatinu ne pređe očekivanu izloženost prilikom prim</w:t>
      </w:r>
      <w:r w:rsidR="00693A6D" w:rsidRPr="001D6D86">
        <w:rPr>
          <w:bCs/>
          <w:sz w:val="22"/>
          <w:szCs w:val="22"/>
          <w:lang w:val="sr-Latn-ME"/>
        </w:rPr>
        <w:t>j</w:t>
      </w:r>
      <w:r w:rsidRPr="001D6D86">
        <w:rPr>
          <w:bCs/>
          <w:sz w:val="22"/>
          <w:szCs w:val="22"/>
          <w:lang w:val="sr-Latn-ME"/>
        </w:rPr>
        <w:t>ene 40 mg rosuvastatina bez l</w:t>
      </w:r>
      <w:r w:rsidR="00693A6D" w:rsidRPr="001D6D86">
        <w:rPr>
          <w:bCs/>
          <w:sz w:val="22"/>
          <w:szCs w:val="22"/>
          <w:lang w:val="sr-Latn-ME"/>
        </w:rPr>
        <w:t>j</w:t>
      </w:r>
      <w:r w:rsidRPr="001D6D86">
        <w:rPr>
          <w:bCs/>
          <w:sz w:val="22"/>
          <w:szCs w:val="22"/>
          <w:lang w:val="sr-Latn-ME"/>
        </w:rPr>
        <w:t>ekova sa kojima bi mogao da stupi u interakciju, na prim</w:t>
      </w:r>
      <w:r w:rsidR="00693A6D" w:rsidRPr="001D6D86">
        <w:rPr>
          <w:bCs/>
          <w:sz w:val="22"/>
          <w:szCs w:val="22"/>
          <w:lang w:val="sr-Latn-ME"/>
        </w:rPr>
        <w:t>j</w:t>
      </w:r>
      <w:r w:rsidRPr="001D6D86">
        <w:rPr>
          <w:bCs/>
          <w:sz w:val="22"/>
          <w:szCs w:val="22"/>
          <w:lang w:val="sr-Latn-ME"/>
        </w:rPr>
        <w:t>er doza od 20 mg rosuvastatina sa gemfibrozilom (povećanje 1,9 puta) i doza od 10 mg rosuvastatina u kombinaciji sa ritonavir/atazanavir (povećanje 3,1 puta).</w:t>
      </w:r>
    </w:p>
    <w:p w14:paraId="16869FF8" w14:textId="44928283"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Ako se prim</w:t>
      </w:r>
      <w:r w:rsidR="00693A6D" w:rsidRPr="001D6D86">
        <w:rPr>
          <w:bCs/>
          <w:sz w:val="22"/>
          <w:szCs w:val="22"/>
          <w:lang w:val="sr-Latn-ME"/>
        </w:rPr>
        <w:t>ij</w:t>
      </w:r>
      <w:r w:rsidRPr="001D6D86">
        <w:rPr>
          <w:bCs/>
          <w:sz w:val="22"/>
          <w:szCs w:val="22"/>
          <w:lang w:val="sr-Latn-ME"/>
        </w:rPr>
        <w:t>eti da l</w:t>
      </w:r>
      <w:r w:rsidR="00693A6D" w:rsidRPr="001D6D86">
        <w:rPr>
          <w:bCs/>
          <w:sz w:val="22"/>
          <w:szCs w:val="22"/>
          <w:lang w:val="sr-Latn-ME"/>
        </w:rPr>
        <w:t>ij</w:t>
      </w:r>
      <w:r w:rsidRPr="001D6D86">
        <w:rPr>
          <w:bCs/>
          <w:sz w:val="22"/>
          <w:szCs w:val="22"/>
          <w:lang w:val="sr-Latn-ME"/>
        </w:rPr>
        <w:t>ek povećava vr</w:t>
      </w:r>
      <w:r w:rsidR="00693A6D" w:rsidRPr="001D6D86">
        <w:rPr>
          <w:bCs/>
          <w:sz w:val="22"/>
          <w:szCs w:val="22"/>
          <w:lang w:val="sr-Latn-ME"/>
        </w:rPr>
        <w:t>ij</w:t>
      </w:r>
      <w:r w:rsidRPr="001D6D86">
        <w:rPr>
          <w:bCs/>
          <w:sz w:val="22"/>
          <w:szCs w:val="22"/>
          <w:lang w:val="sr-Latn-ME"/>
        </w:rPr>
        <w:t>ednosti PIK rosuvastatina manje od 2 puta, početnu dozu ne treba smanjivati, ali treba biti oprezan ako se doza l</w:t>
      </w:r>
      <w:r w:rsidR="00693A6D" w:rsidRPr="001D6D86">
        <w:rPr>
          <w:bCs/>
          <w:sz w:val="22"/>
          <w:szCs w:val="22"/>
          <w:lang w:val="sr-Latn-ME"/>
        </w:rPr>
        <w:t>ij</w:t>
      </w:r>
      <w:r w:rsidRPr="001D6D86">
        <w:rPr>
          <w:bCs/>
          <w:sz w:val="22"/>
          <w:szCs w:val="22"/>
          <w:lang w:val="sr-Latn-ME"/>
        </w:rPr>
        <w:t>eka COUPET povećava iznad 20 mg.</w:t>
      </w:r>
    </w:p>
    <w:p w14:paraId="6391EA08" w14:textId="77777777" w:rsidR="00030415" w:rsidRPr="001D6D86" w:rsidRDefault="00030415" w:rsidP="0026307D">
      <w:pPr>
        <w:tabs>
          <w:tab w:val="left" w:pos="540"/>
          <w:tab w:val="left" w:pos="569"/>
        </w:tabs>
        <w:jc w:val="both"/>
        <w:rPr>
          <w:bCs/>
          <w:sz w:val="22"/>
          <w:szCs w:val="22"/>
          <w:lang w:val="sr-Latn-ME"/>
        </w:rPr>
      </w:pPr>
    </w:p>
    <w:p w14:paraId="38445491" w14:textId="0DD862BA" w:rsidR="00030415" w:rsidRPr="001D6D86" w:rsidRDefault="00030415" w:rsidP="0026307D">
      <w:pPr>
        <w:widowControl w:val="0"/>
        <w:spacing w:line="250" w:lineRule="exact"/>
        <w:ind w:left="232" w:right="376"/>
        <w:jc w:val="both"/>
        <w:outlineLvl w:val="0"/>
        <w:rPr>
          <w:sz w:val="22"/>
          <w:szCs w:val="22"/>
          <w:lang w:val="sr-Latn-ME"/>
        </w:rPr>
      </w:pPr>
      <w:r w:rsidRPr="001D6D86">
        <w:rPr>
          <w:b/>
          <w:bCs/>
          <w:sz w:val="22"/>
          <w:szCs w:val="22"/>
          <w:lang w:val="sr-Latn-ME"/>
        </w:rPr>
        <w:t>Tabela</w:t>
      </w:r>
      <w:r w:rsidRPr="001D6D86">
        <w:rPr>
          <w:b/>
          <w:bCs/>
          <w:spacing w:val="-5"/>
          <w:sz w:val="22"/>
          <w:szCs w:val="22"/>
          <w:lang w:val="sr-Latn-ME"/>
        </w:rPr>
        <w:t xml:space="preserve"> </w:t>
      </w:r>
      <w:r w:rsidRPr="001D6D86">
        <w:rPr>
          <w:b/>
          <w:bCs/>
          <w:sz w:val="22"/>
          <w:szCs w:val="22"/>
          <w:lang w:val="sr-Latn-ME"/>
        </w:rPr>
        <w:t>1.</w:t>
      </w:r>
      <w:r w:rsidRPr="001D6D86">
        <w:rPr>
          <w:b/>
          <w:bCs/>
          <w:spacing w:val="-5"/>
          <w:sz w:val="22"/>
          <w:szCs w:val="22"/>
          <w:lang w:val="sr-Latn-ME"/>
        </w:rPr>
        <w:t xml:space="preserve"> </w:t>
      </w:r>
      <w:r w:rsidRPr="001D6D86">
        <w:rPr>
          <w:b/>
          <w:bCs/>
          <w:sz w:val="22"/>
          <w:szCs w:val="22"/>
          <w:lang w:val="sr-Latn-ME"/>
        </w:rPr>
        <w:t>Efekti</w:t>
      </w:r>
      <w:r w:rsidRPr="001D6D86">
        <w:rPr>
          <w:b/>
          <w:bCs/>
          <w:spacing w:val="-5"/>
          <w:sz w:val="22"/>
          <w:szCs w:val="22"/>
          <w:lang w:val="sr-Latn-ME"/>
        </w:rPr>
        <w:t xml:space="preserve"> </w:t>
      </w:r>
      <w:r w:rsidRPr="001D6D86">
        <w:rPr>
          <w:b/>
          <w:bCs/>
          <w:sz w:val="22"/>
          <w:szCs w:val="22"/>
          <w:lang w:val="sr-Latn-ME"/>
        </w:rPr>
        <w:t>istovremeno</w:t>
      </w:r>
      <w:r w:rsidRPr="001D6D86">
        <w:rPr>
          <w:b/>
          <w:bCs/>
          <w:spacing w:val="-5"/>
          <w:sz w:val="22"/>
          <w:szCs w:val="22"/>
          <w:lang w:val="sr-Latn-ME"/>
        </w:rPr>
        <w:t xml:space="preserve"> </w:t>
      </w:r>
      <w:r w:rsidRPr="001D6D86">
        <w:rPr>
          <w:b/>
          <w:bCs/>
          <w:sz w:val="22"/>
          <w:szCs w:val="22"/>
          <w:lang w:val="sr-Latn-ME"/>
        </w:rPr>
        <w:t>prim</w:t>
      </w:r>
      <w:r w:rsidR="00693A6D" w:rsidRPr="001D6D86">
        <w:rPr>
          <w:b/>
          <w:bCs/>
          <w:sz w:val="22"/>
          <w:szCs w:val="22"/>
          <w:lang w:val="sr-Latn-ME"/>
        </w:rPr>
        <w:t>ij</w:t>
      </w:r>
      <w:r w:rsidRPr="001D6D86">
        <w:rPr>
          <w:b/>
          <w:bCs/>
          <w:sz w:val="22"/>
          <w:szCs w:val="22"/>
          <w:lang w:val="sr-Latn-ME"/>
        </w:rPr>
        <w:t>enjenih</w:t>
      </w:r>
      <w:r w:rsidRPr="001D6D86">
        <w:rPr>
          <w:b/>
          <w:bCs/>
          <w:spacing w:val="-5"/>
          <w:sz w:val="22"/>
          <w:szCs w:val="22"/>
          <w:lang w:val="sr-Latn-ME"/>
        </w:rPr>
        <w:t xml:space="preserve"> </w:t>
      </w:r>
      <w:r w:rsidRPr="001D6D86">
        <w:rPr>
          <w:b/>
          <w:bCs/>
          <w:sz w:val="22"/>
          <w:szCs w:val="22"/>
          <w:lang w:val="sr-Latn-ME"/>
        </w:rPr>
        <w:t>l</w:t>
      </w:r>
      <w:r w:rsidR="00693A6D" w:rsidRPr="001D6D86">
        <w:rPr>
          <w:b/>
          <w:bCs/>
          <w:sz w:val="22"/>
          <w:szCs w:val="22"/>
          <w:lang w:val="sr-Latn-ME"/>
        </w:rPr>
        <w:t>j</w:t>
      </w:r>
      <w:r w:rsidRPr="001D6D86">
        <w:rPr>
          <w:b/>
          <w:bCs/>
          <w:sz w:val="22"/>
          <w:szCs w:val="22"/>
          <w:lang w:val="sr-Latn-ME"/>
        </w:rPr>
        <w:t>ekova</w:t>
      </w:r>
      <w:r w:rsidRPr="001D6D86">
        <w:rPr>
          <w:b/>
          <w:bCs/>
          <w:spacing w:val="-5"/>
          <w:sz w:val="22"/>
          <w:szCs w:val="22"/>
          <w:lang w:val="sr-Latn-ME"/>
        </w:rPr>
        <w:t xml:space="preserve"> </w:t>
      </w:r>
      <w:r w:rsidRPr="001D6D86">
        <w:rPr>
          <w:b/>
          <w:bCs/>
          <w:sz w:val="22"/>
          <w:szCs w:val="22"/>
          <w:lang w:val="sr-Latn-ME"/>
        </w:rPr>
        <w:t>na</w:t>
      </w:r>
      <w:r w:rsidRPr="001D6D86">
        <w:rPr>
          <w:b/>
          <w:bCs/>
          <w:spacing w:val="-5"/>
          <w:sz w:val="22"/>
          <w:szCs w:val="22"/>
          <w:lang w:val="sr-Latn-ME"/>
        </w:rPr>
        <w:t xml:space="preserve"> </w:t>
      </w:r>
      <w:r w:rsidRPr="001D6D86">
        <w:rPr>
          <w:b/>
          <w:bCs/>
          <w:sz w:val="22"/>
          <w:szCs w:val="22"/>
          <w:lang w:val="sr-Latn-ME"/>
        </w:rPr>
        <w:t>izloženost</w:t>
      </w:r>
      <w:r w:rsidRPr="001D6D86">
        <w:rPr>
          <w:b/>
          <w:bCs/>
          <w:spacing w:val="-5"/>
          <w:sz w:val="22"/>
          <w:szCs w:val="22"/>
          <w:lang w:val="sr-Latn-ME"/>
        </w:rPr>
        <w:t xml:space="preserve"> </w:t>
      </w:r>
      <w:r w:rsidRPr="001D6D86">
        <w:rPr>
          <w:b/>
          <w:bCs/>
          <w:sz w:val="22"/>
          <w:szCs w:val="22"/>
          <w:lang w:val="sr-Latn-ME"/>
        </w:rPr>
        <w:t>rosuvastatinu</w:t>
      </w:r>
      <w:r w:rsidRPr="001D6D86">
        <w:rPr>
          <w:b/>
          <w:bCs/>
          <w:spacing w:val="-3"/>
          <w:sz w:val="22"/>
          <w:szCs w:val="22"/>
          <w:lang w:val="sr-Latn-ME"/>
        </w:rPr>
        <w:t xml:space="preserve"> </w:t>
      </w:r>
      <w:r w:rsidRPr="001D6D86">
        <w:rPr>
          <w:b/>
          <w:bCs/>
          <w:sz w:val="22"/>
          <w:szCs w:val="22"/>
          <w:lang w:val="sr-Latn-ME"/>
        </w:rPr>
        <w:t>(PIK;</w:t>
      </w:r>
      <w:r w:rsidRPr="001D6D86">
        <w:rPr>
          <w:b/>
          <w:bCs/>
          <w:spacing w:val="-5"/>
          <w:sz w:val="22"/>
          <w:szCs w:val="22"/>
          <w:lang w:val="sr-Latn-ME"/>
        </w:rPr>
        <w:t xml:space="preserve"> </w:t>
      </w:r>
      <w:r w:rsidRPr="001D6D86">
        <w:rPr>
          <w:b/>
          <w:bCs/>
          <w:sz w:val="22"/>
          <w:szCs w:val="22"/>
          <w:lang w:val="sr-Latn-ME"/>
        </w:rPr>
        <w:t>po</w:t>
      </w:r>
      <w:r w:rsidRPr="001D6D86">
        <w:rPr>
          <w:b/>
          <w:bCs/>
          <w:spacing w:val="-5"/>
          <w:sz w:val="22"/>
          <w:szCs w:val="22"/>
          <w:lang w:val="sr-Latn-ME"/>
        </w:rPr>
        <w:t xml:space="preserve"> </w:t>
      </w:r>
      <w:r w:rsidRPr="001D6D86">
        <w:rPr>
          <w:b/>
          <w:bCs/>
          <w:sz w:val="22"/>
          <w:szCs w:val="22"/>
          <w:lang w:val="sr-Latn-ME"/>
        </w:rPr>
        <w:t>opadajućoj</w:t>
      </w:r>
      <w:r w:rsidRPr="001D6D86">
        <w:rPr>
          <w:b/>
          <w:bCs/>
          <w:spacing w:val="-1"/>
          <w:sz w:val="22"/>
          <w:szCs w:val="22"/>
          <w:lang w:val="sr-Latn-ME"/>
        </w:rPr>
        <w:t xml:space="preserve"> </w:t>
      </w:r>
      <w:r w:rsidRPr="001D6D86">
        <w:rPr>
          <w:b/>
          <w:bCs/>
          <w:sz w:val="22"/>
          <w:szCs w:val="22"/>
          <w:lang w:val="sr-Latn-ME"/>
        </w:rPr>
        <w:t>vr</w:t>
      </w:r>
      <w:r w:rsidR="00693A6D" w:rsidRPr="001D6D86">
        <w:rPr>
          <w:b/>
          <w:bCs/>
          <w:sz w:val="22"/>
          <w:szCs w:val="22"/>
          <w:lang w:val="sr-Latn-ME"/>
        </w:rPr>
        <w:t>ij</w:t>
      </w:r>
      <w:r w:rsidRPr="001D6D86">
        <w:rPr>
          <w:b/>
          <w:bCs/>
          <w:sz w:val="22"/>
          <w:szCs w:val="22"/>
          <w:lang w:val="sr-Latn-ME"/>
        </w:rPr>
        <w:t>ednosti) iz objavljenih kliničkih</w:t>
      </w:r>
      <w:r w:rsidRPr="001D6D86">
        <w:rPr>
          <w:b/>
          <w:bCs/>
          <w:spacing w:val="-24"/>
          <w:sz w:val="22"/>
          <w:szCs w:val="22"/>
          <w:lang w:val="sr-Latn-ME"/>
        </w:rPr>
        <w:t xml:space="preserve"> </w:t>
      </w:r>
      <w:r w:rsidRPr="001D6D86">
        <w:rPr>
          <w:b/>
          <w:bCs/>
          <w:sz w:val="22"/>
          <w:szCs w:val="22"/>
          <w:lang w:val="sr-Latn-ME"/>
        </w:rPr>
        <w:t>studija</w:t>
      </w:r>
    </w:p>
    <w:p w14:paraId="306D0675" w14:textId="77777777" w:rsidR="00030415" w:rsidRPr="001D6D86" w:rsidRDefault="00030415" w:rsidP="0026307D">
      <w:pPr>
        <w:widowControl w:val="0"/>
        <w:spacing w:before="4"/>
        <w:jc w:val="both"/>
        <w:rPr>
          <w:b/>
          <w:bCs/>
          <w:sz w:val="22"/>
          <w:szCs w:val="22"/>
          <w:lang w:val="sr-Latn-ME"/>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8"/>
        <w:gridCol w:w="3205"/>
        <w:gridCol w:w="3053"/>
      </w:tblGrid>
      <w:tr w:rsidR="00030415" w:rsidRPr="001D6D86" w14:paraId="74C890DD" w14:textId="77777777" w:rsidTr="00711079">
        <w:trPr>
          <w:trHeight w:val="195"/>
        </w:trPr>
        <w:tc>
          <w:tcPr>
            <w:tcW w:w="9961" w:type="dxa"/>
            <w:gridSpan w:val="3"/>
          </w:tcPr>
          <w:p w14:paraId="619D90CA" w14:textId="3C66F0D3" w:rsidR="00030415" w:rsidRPr="001D6D86" w:rsidRDefault="00030415" w:rsidP="0026307D">
            <w:pPr>
              <w:widowControl w:val="0"/>
              <w:spacing w:line="242" w:lineRule="auto"/>
              <w:ind w:right="103"/>
              <w:jc w:val="both"/>
              <w:rPr>
                <w:rFonts w:eastAsia="Calibri"/>
                <w:b/>
                <w:sz w:val="22"/>
                <w:szCs w:val="22"/>
                <w:lang w:val="sr-Latn-ME"/>
              </w:rPr>
            </w:pPr>
            <w:r w:rsidRPr="001D6D86">
              <w:rPr>
                <w:rFonts w:eastAsia="Calibri"/>
                <w:b/>
                <w:sz w:val="22"/>
                <w:szCs w:val="22"/>
                <w:lang w:val="sr-Latn-ME"/>
              </w:rPr>
              <w:t>Povećanje vr</w:t>
            </w:r>
            <w:r w:rsidR="00693A6D" w:rsidRPr="001D6D86">
              <w:rPr>
                <w:rFonts w:eastAsia="Calibri"/>
                <w:b/>
                <w:sz w:val="22"/>
                <w:szCs w:val="22"/>
                <w:lang w:val="sr-Latn-ME"/>
              </w:rPr>
              <w:t>ij</w:t>
            </w:r>
            <w:r w:rsidRPr="001D6D86">
              <w:rPr>
                <w:rFonts w:eastAsia="Calibri"/>
                <w:b/>
                <w:sz w:val="22"/>
                <w:szCs w:val="22"/>
                <w:lang w:val="sr-Latn-ME"/>
              </w:rPr>
              <w:t>ednosti PIK rosuvastatina 2 puta ili više od 2 puta</w:t>
            </w:r>
          </w:p>
        </w:tc>
      </w:tr>
      <w:tr w:rsidR="00030415" w:rsidRPr="001D6D86" w14:paraId="06B731CE" w14:textId="77777777" w:rsidTr="00711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68"/>
        </w:trPr>
        <w:tc>
          <w:tcPr>
            <w:tcW w:w="3322" w:type="dxa"/>
            <w:tcBorders>
              <w:top w:val="single" w:sz="4" w:space="0" w:color="000000"/>
              <w:left w:val="single" w:sz="4" w:space="0" w:color="000000"/>
              <w:bottom w:val="single" w:sz="4" w:space="0" w:color="000000"/>
              <w:right w:val="single" w:sz="4" w:space="0" w:color="000000"/>
            </w:tcBorders>
          </w:tcPr>
          <w:p w14:paraId="4D6A5550" w14:textId="0F228692" w:rsidR="00030415" w:rsidRPr="001D6D86" w:rsidRDefault="00030415" w:rsidP="0026307D">
            <w:pPr>
              <w:widowControl w:val="0"/>
              <w:spacing w:line="242" w:lineRule="auto"/>
              <w:ind w:left="105" w:right="103"/>
              <w:jc w:val="both"/>
              <w:rPr>
                <w:sz w:val="22"/>
                <w:szCs w:val="22"/>
                <w:lang w:val="sr-Latn-ME"/>
              </w:rPr>
            </w:pPr>
            <w:r w:rsidRPr="001D6D86">
              <w:rPr>
                <w:rFonts w:eastAsia="Calibri"/>
                <w:b/>
                <w:sz w:val="22"/>
                <w:szCs w:val="22"/>
                <w:lang w:val="sr-Latn-ME"/>
              </w:rPr>
              <w:t>Režim doziranja l</w:t>
            </w:r>
            <w:r w:rsidR="00693A6D" w:rsidRPr="001D6D86">
              <w:rPr>
                <w:rFonts w:eastAsia="Calibri"/>
                <w:b/>
                <w:sz w:val="22"/>
                <w:szCs w:val="22"/>
                <w:lang w:val="sr-Latn-ME"/>
              </w:rPr>
              <w:t>ij</w:t>
            </w:r>
            <w:r w:rsidRPr="001D6D86">
              <w:rPr>
                <w:rFonts w:eastAsia="Calibri"/>
                <w:b/>
                <w:sz w:val="22"/>
                <w:szCs w:val="22"/>
                <w:lang w:val="sr-Latn-ME"/>
              </w:rPr>
              <w:t>eka koji</w:t>
            </w:r>
            <w:r w:rsidRPr="001D6D86">
              <w:rPr>
                <w:rFonts w:eastAsia="Calibri"/>
                <w:b/>
                <w:spacing w:val="38"/>
                <w:sz w:val="22"/>
                <w:szCs w:val="22"/>
                <w:lang w:val="sr-Latn-ME"/>
              </w:rPr>
              <w:t xml:space="preserve"> </w:t>
            </w:r>
            <w:r w:rsidRPr="001D6D86">
              <w:rPr>
                <w:rFonts w:eastAsia="Calibri"/>
                <w:b/>
                <w:sz w:val="22"/>
                <w:szCs w:val="22"/>
                <w:lang w:val="sr-Latn-ME"/>
              </w:rPr>
              <w:t>stupa u interakciju sa</w:t>
            </w:r>
            <w:r w:rsidRPr="001D6D86">
              <w:rPr>
                <w:rFonts w:eastAsia="Calibri"/>
                <w:b/>
                <w:spacing w:val="-18"/>
                <w:sz w:val="22"/>
                <w:szCs w:val="22"/>
                <w:lang w:val="sr-Latn-ME"/>
              </w:rPr>
              <w:t xml:space="preserve"> </w:t>
            </w:r>
            <w:r w:rsidRPr="001D6D86">
              <w:rPr>
                <w:rFonts w:eastAsia="Calibri"/>
                <w:b/>
                <w:sz w:val="22"/>
                <w:szCs w:val="22"/>
                <w:lang w:val="sr-Latn-ME"/>
              </w:rPr>
              <w:t>rosuvastatinom</w:t>
            </w:r>
          </w:p>
        </w:tc>
        <w:tc>
          <w:tcPr>
            <w:tcW w:w="3317" w:type="dxa"/>
            <w:tcBorders>
              <w:top w:val="single" w:sz="4" w:space="0" w:color="000000"/>
              <w:left w:val="single" w:sz="4" w:space="0" w:color="000000"/>
              <w:bottom w:val="single" w:sz="4" w:space="0" w:color="000000"/>
              <w:right w:val="single" w:sz="4" w:space="0" w:color="000000"/>
            </w:tcBorders>
          </w:tcPr>
          <w:p w14:paraId="0357AE9D" w14:textId="77777777" w:rsidR="00030415" w:rsidRPr="001D6D86" w:rsidRDefault="00030415" w:rsidP="0026307D">
            <w:pPr>
              <w:widowControl w:val="0"/>
              <w:spacing w:line="242" w:lineRule="auto"/>
              <w:ind w:left="105" w:right="1639"/>
              <w:jc w:val="both"/>
              <w:rPr>
                <w:sz w:val="22"/>
                <w:szCs w:val="22"/>
                <w:lang w:val="sr-Latn-ME"/>
              </w:rPr>
            </w:pPr>
            <w:r w:rsidRPr="001D6D86">
              <w:rPr>
                <w:rFonts w:eastAsia="Calibri"/>
                <w:b/>
                <w:sz w:val="22"/>
                <w:szCs w:val="22"/>
                <w:lang w:val="sr-Latn-ME"/>
              </w:rPr>
              <w:t>Režim</w:t>
            </w:r>
            <w:r w:rsidRPr="001D6D86">
              <w:rPr>
                <w:rFonts w:eastAsia="Calibri"/>
                <w:b/>
                <w:spacing w:val="-3"/>
                <w:sz w:val="22"/>
                <w:szCs w:val="22"/>
                <w:lang w:val="sr-Latn-ME"/>
              </w:rPr>
              <w:t xml:space="preserve"> </w:t>
            </w:r>
            <w:r w:rsidRPr="001D6D86">
              <w:rPr>
                <w:rFonts w:eastAsia="Calibri"/>
                <w:b/>
                <w:sz w:val="22"/>
                <w:szCs w:val="22"/>
                <w:lang w:val="sr-Latn-ME"/>
              </w:rPr>
              <w:t>doziranja rosuvastatina</w:t>
            </w:r>
          </w:p>
        </w:tc>
        <w:tc>
          <w:tcPr>
            <w:tcW w:w="3322" w:type="dxa"/>
            <w:tcBorders>
              <w:top w:val="single" w:sz="4" w:space="0" w:color="000000"/>
              <w:left w:val="single" w:sz="4" w:space="0" w:color="000000"/>
              <w:bottom w:val="single" w:sz="4" w:space="0" w:color="000000"/>
              <w:right w:val="single" w:sz="4" w:space="0" w:color="000000"/>
            </w:tcBorders>
          </w:tcPr>
          <w:p w14:paraId="55D27AA0" w14:textId="42D54AFF" w:rsidR="00030415" w:rsidRPr="001D6D86" w:rsidRDefault="00746467" w:rsidP="0026307D">
            <w:pPr>
              <w:widowControl w:val="0"/>
              <w:spacing w:line="242" w:lineRule="auto"/>
              <w:ind w:left="105" w:right="1237"/>
              <w:jc w:val="both"/>
              <w:rPr>
                <w:sz w:val="22"/>
                <w:szCs w:val="22"/>
                <w:lang w:val="sr-Latn-ME"/>
              </w:rPr>
            </w:pPr>
            <w:r w:rsidRPr="001D6D86">
              <w:rPr>
                <w:rFonts w:eastAsia="Calibri"/>
                <w:b/>
                <w:sz w:val="22"/>
                <w:szCs w:val="22"/>
                <w:lang w:val="sr-Latn-ME"/>
              </w:rPr>
              <w:t>Promjena</w:t>
            </w:r>
            <w:r w:rsidR="00030415" w:rsidRPr="001D6D86">
              <w:rPr>
                <w:rFonts w:eastAsia="Calibri"/>
                <w:b/>
                <w:sz w:val="22"/>
                <w:szCs w:val="22"/>
                <w:lang w:val="sr-Latn-ME"/>
              </w:rPr>
              <w:t xml:space="preserve"> u</w:t>
            </w:r>
            <w:r w:rsidR="00030415" w:rsidRPr="001D6D86">
              <w:rPr>
                <w:rFonts w:eastAsia="Calibri"/>
                <w:b/>
                <w:spacing w:val="-9"/>
                <w:sz w:val="22"/>
                <w:szCs w:val="22"/>
                <w:lang w:val="sr-Latn-ME"/>
              </w:rPr>
              <w:t xml:space="preserve"> </w:t>
            </w:r>
            <w:r w:rsidR="00030415" w:rsidRPr="001D6D86">
              <w:rPr>
                <w:rFonts w:eastAsia="Calibri"/>
                <w:b/>
                <w:sz w:val="22"/>
                <w:szCs w:val="22"/>
                <w:lang w:val="sr-Latn-ME"/>
              </w:rPr>
              <w:t>vr</w:t>
            </w:r>
            <w:r w:rsidR="00693A6D" w:rsidRPr="001D6D86">
              <w:rPr>
                <w:rFonts w:eastAsia="Calibri"/>
                <w:b/>
                <w:sz w:val="22"/>
                <w:szCs w:val="22"/>
                <w:lang w:val="sr-Latn-ME"/>
              </w:rPr>
              <w:t>ij</w:t>
            </w:r>
            <w:r w:rsidR="00030415" w:rsidRPr="001D6D86">
              <w:rPr>
                <w:rFonts w:eastAsia="Calibri"/>
                <w:b/>
                <w:sz w:val="22"/>
                <w:szCs w:val="22"/>
                <w:lang w:val="sr-Latn-ME"/>
              </w:rPr>
              <w:t>ednosti</w:t>
            </w:r>
            <w:r w:rsidR="00030415" w:rsidRPr="001D6D86">
              <w:rPr>
                <w:rFonts w:eastAsia="Calibri"/>
                <w:b/>
                <w:spacing w:val="-1"/>
                <w:sz w:val="22"/>
                <w:szCs w:val="22"/>
                <w:lang w:val="sr-Latn-ME"/>
              </w:rPr>
              <w:t xml:space="preserve"> </w:t>
            </w:r>
            <w:r w:rsidR="00030415" w:rsidRPr="001D6D86">
              <w:rPr>
                <w:rFonts w:eastAsia="Calibri"/>
                <w:b/>
                <w:sz w:val="22"/>
                <w:szCs w:val="22"/>
                <w:lang w:val="sr-Latn-ME"/>
              </w:rPr>
              <w:t>PIK*</w:t>
            </w:r>
            <w:r w:rsidR="00030415" w:rsidRPr="001D6D86">
              <w:rPr>
                <w:rFonts w:eastAsia="Calibri"/>
                <w:b/>
                <w:spacing w:val="-11"/>
                <w:sz w:val="22"/>
                <w:szCs w:val="22"/>
                <w:lang w:val="sr-Latn-ME"/>
              </w:rPr>
              <w:t xml:space="preserve"> </w:t>
            </w:r>
            <w:r w:rsidR="00030415" w:rsidRPr="001D6D86">
              <w:rPr>
                <w:rFonts w:eastAsia="Calibri"/>
                <w:b/>
                <w:sz w:val="22"/>
                <w:szCs w:val="22"/>
                <w:lang w:val="sr-Latn-ME"/>
              </w:rPr>
              <w:t>rosuvastatina</w:t>
            </w:r>
          </w:p>
        </w:tc>
      </w:tr>
    </w:tbl>
    <w:p w14:paraId="3CFE71F8" w14:textId="77777777" w:rsidR="00030415" w:rsidRPr="001D6D86" w:rsidRDefault="00030415" w:rsidP="0026307D">
      <w:pPr>
        <w:widowControl w:val="0"/>
        <w:spacing w:before="5"/>
        <w:jc w:val="both"/>
        <w:rPr>
          <w:b/>
          <w:bCs/>
          <w:sz w:val="22"/>
          <w:szCs w:val="22"/>
          <w:lang w:val="sr-Latn-ME"/>
        </w:rPr>
      </w:pPr>
    </w:p>
    <w:tbl>
      <w:tblPr>
        <w:tblpPr w:leftFromText="141" w:rightFromText="141" w:vertAnchor="text" w:tblpY="1"/>
        <w:tblOverlap w:val="never"/>
        <w:tblW w:w="9776" w:type="dxa"/>
        <w:tblLayout w:type="fixed"/>
        <w:tblCellMar>
          <w:left w:w="0" w:type="dxa"/>
          <w:right w:w="0" w:type="dxa"/>
        </w:tblCellMar>
        <w:tblLook w:val="01E0" w:firstRow="1" w:lastRow="1" w:firstColumn="1" w:lastColumn="1" w:noHBand="0" w:noVBand="0"/>
      </w:tblPr>
      <w:tblGrid>
        <w:gridCol w:w="3256"/>
        <w:gridCol w:w="66"/>
        <w:gridCol w:w="3317"/>
        <w:gridCol w:w="19"/>
        <w:gridCol w:w="3118"/>
      </w:tblGrid>
      <w:tr w:rsidR="00030415" w:rsidRPr="001D6D86" w14:paraId="48CAC9F7" w14:textId="77777777" w:rsidTr="006B230D">
        <w:trPr>
          <w:trHeight w:hRule="exact" w:val="1065"/>
        </w:trPr>
        <w:tc>
          <w:tcPr>
            <w:tcW w:w="3322" w:type="dxa"/>
            <w:gridSpan w:val="2"/>
            <w:tcBorders>
              <w:top w:val="single" w:sz="4" w:space="0" w:color="000000"/>
              <w:left w:val="single" w:sz="4" w:space="0" w:color="000000"/>
              <w:bottom w:val="single" w:sz="4" w:space="0" w:color="auto"/>
              <w:right w:val="single" w:sz="4" w:space="0" w:color="000000"/>
            </w:tcBorders>
          </w:tcPr>
          <w:p w14:paraId="08671189" w14:textId="7AA90A38" w:rsidR="00030415" w:rsidRPr="001D6D86" w:rsidRDefault="00030415" w:rsidP="0026307D">
            <w:pPr>
              <w:widowControl w:val="0"/>
              <w:ind w:left="22"/>
              <w:jc w:val="both"/>
              <w:rPr>
                <w:rFonts w:eastAsia="Calibri"/>
                <w:sz w:val="22"/>
                <w:szCs w:val="22"/>
                <w:lang w:val="sr-Latn-ME"/>
              </w:rPr>
            </w:pPr>
            <w:r w:rsidRPr="001D6D86">
              <w:rPr>
                <w:rFonts w:eastAsia="Calibri"/>
                <w:sz w:val="22"/>
                <w:szCs w:val="22"/>
                <w:lang w:val="sr-Latn-ME"/>
              </w:rPr>
              <w:lastRenderedPageBreak/>
              <w:t>Sofosbuvir/velpatasvir/voksilaprevir (400mg-100mg-100mg) + voksilaprevir (100</w:t>
            </w:r>
            <w:r w:rsidR="00072E85" w:rsidRPr="001D6D86">
              <w:rPr>
                <w:rFonts w:eastAsia="Calibri"/>
                <w:sz w:val="22"/>
                <w:szCs w:val="22"/>
                <w:lang w:val="sr-Latn-ME"/>
              </w:rPr>
              <w:t xml:space="preserve"> </w:t>
            </w:r>
            <w:r w:rsidRPr="001D6D86">
              <w:rPr>
                <w:rFonts w:eastAsia="Calibri"/>
                <w:sz w:val="22"/>
                <w:szCs w:val="22"/>
                <w:lang w:val="sr-Latn-ME"/>
              </w:rPr>
              <w:t>mg) jednom dnevno, 15 dana</w:t>
            </w:r>
          </w:p>
        </w:tc>
        <w:tc>
          <w:tcPr>
            <w:tcW w:w="3317" w:type="dxa"/>
            <w:tcBorders>
              <w:top w:val="single" w:sz="4" w:space="0" w:color="000000"/>
              <w:left w:val="single" w:sz="4" w:space="0" w:color="000000"/>
              <w:bottom w:val="single" w:sz="4" w:space="0" w:color="auto"/>
              <w:right w:val="single" w:sz="4" w:space="0" w:color="000000"/>
            </w:tcBorders>
          </w:tcPr>
          <w:p w14:paraId="75187175" w14:textId="1510CBA1" w:rsidR="00030415" w:rsidRPr="001D6D86" w:rsidRDefault="00746467" w:rsidP="0026307D">
            <w:pPr>
              <w:widowControl w:val="0"/>
              <w:spacing w:line="244" w:lineRule="exact"/>
              <w:jc w:val="both"/>
              <w:rPr>
                <w:rFonts w:eastAsia="Calibri"/>
                <w:sz w:val="22"/>
                <w:szCs w:val="22"/>
                <w:lang w:val="sr-Latn-ME"/>
              </w:rPr>
            </w:pPr>
            <w:r w:rsidRPr="001D6D86">
              <w:rPr>
                <w:rFonts w:eastAsia="Calibri"/>
                <w:sz w:val="22"/>
                <w:szCs w:val="22"/>
                <w:lang w:val="sr-Latn-ME"/>
              </w:rPr>
              <w:t xml:space="preserve"> </w:t>
            </w:r>
            <w:r w:rsidR="00030415" w:rsidRPr="001D6D86">
              <w:rPr>
                <w:rFonts w:eastAsia="Calibri"/>
                <w:sz w:val="22"/>
                <w:szCs w:val="22"/>
                <w:lang w:val="sr-Latn-ME"/>
              </w:rPr>
              <w:t>10 mg, pojedinačna doza</w:t>
            </w:r>
          </w:p>
        </w:tc>
        <w:tc>
          <w:tcPr>
            <w:tcW w:w="3137" w:type="dxa"/>
            <w:gridSpan w:val="2"/>
            <w:tcBorders>
              <w:top w:val="single" w:sz="4" w:space="0" w:color="000000"/>
              <w:left w:val="single" w:sz="4" w:space="0" w:color="000000"/>
              <w:bottom w:val="single" w:sz="4" w:space="0" w:color="auto"/>
              <w:right w:val="single" w:sz="4" w:space="0" w:color="000000"/>
            </w:tcBorders>
          </w:tcPr>
          <w:p w14:paraId="45C59AA7" w14:textId="406096DC" w:rsidR="00030415" w:rsidRPr="001D6D86" w:rsidRDefault="00746467" w:rsidP="0026307D">
            <w:pPr>
              <w:widowControl w:val="0"/>
              <w:spacing w:line="244" w:lineRule="exact"/>
              <w:jc w:val="both"/>
              <w:rPr>
                <w:rFonts w:eastAsia="Calibri"/>
                <w:sz w:val="22"/>
                <w:szCs w:val="22"/>
                <w:lang w:val="sr-Latn-ME"/>
              </w:rPr>
            </w:pPr>
            <w:r w:rsidRPr="001D6D86">
              <w:rPr>
                <w:rFonts w:eastAsia="Calibri"/>
                <w:sz w:val="22"/>
                <w:szCs w:val="22"/>
                <w:lang w:val="sr-Latn-ME"/>
              </w:rPr>
              <w:t xml:space="preserve"> </w:t>
            </w:r>
            <w:r w:rsidR="00030415" w:rsidRPr="001D6D86">
              <w:rPr>
                <w:rFonts w:eastAsia="Calibri"/>
                <w:sz w:val="22"/>
                <w:szCs w:val="22"/>
                <w:lang w:val="sr-Latn-ME"/>
              </w:rPr>
              <w:t>7,4 puta ↑</w:t>
            </w:r>
          </w:p>
        </w:tc>
      </w:tr>
      <w:tr w:rsidR="00030415" w:rsidRPr="001D6D86" w14:paraId="763C90C3" w14:textId="77777777" w:rsidTr="006B230D">
        <w:trPr>
          <w:trHeight w:hRule="exact" w:val="570"/>
        </w:trPr>
        <w:tc>
          <w:tcPr>
            <w:tcW w:w="3322" w:type="dxa"/>
            <w:gridSpan w:val="2"/>
            <w:tcBorders>
              <w:top w:val="single" w:sz="4" w:space="0" w:color="auto"/>
              <w:left w:val="single" w:sz="4" w:space="0" w:color="000000"/>
              <w:bottom w:val="single" w:sz="4" w:space="0" w:color="auto"/>
              <w:right w:val="single" w:sz="4" w:space="0" w:color="000000"/>
            </w:tcBorders>
          </w:tcPr>
          <w:p w14:paraId="26B2E5A5" w14:textId="785AFFC5" w:rsidR="00030415" w:rsidRPr="001D6D86" w:rsidRDefault="00030415" w:rsidP="0026307D">
            <w:pPr>
              <w:widowControl w:val="0"/>
              <w:spacing w:line="242" w:lineRule="auto"/>
              <w:ind w:left="105" w:right="127"/>
              <w:jc w:val="both"/>
              <w:rPr>
                <w:sz w:val="22"/>
                <w:szCs w:val="22"/>
                <w:lang w:val="sr-Latn-ME"/>
              </w:rPr>
            </w:pPr>
            <w:r w:rsidRPr="001D6D86">
              <w:rPr>
                <w:rFonts w:eastAsia="Calibri"/>
                <w:sz w:val="22"/>
                <w:szCs w:val="22"/>
                <w:lang w:val="sr-Latn-ME"/>
              </w:rPr>
              <w:t>Ciklosporin 75 mg dva puta dnevno do 200</w:t>
            </w:r>
            <w:r w:rsidRPr="001D6D86">
              <w:rPr>
                <w:rFonts w:eastAsia="Calibri"/>
                <w:spacing w:val="-14"/>
                <w:sz w:val="22"/>
                <w:szCs w:val="22"/>
                <w:lang w:val="sr-Latn-ME"/>
              </w:rPr>
              <w:t xml:space="preserve"> </w:t>
            </w:r>
            <w:r w:rsidRPr="001D6D86">
              <w:rPr>
                <w:rFonts w:eastAsia="Calibri"/>
                <w:sz w:val="22"/>
                <w:szCs w:val="22"/>
                <w:lang w:val="sr-Latn-ME"/>
              </w:rPr>
              <w:t>mg</w:t>
            </w:r>
            <w:r w:rsidRPr="001D6D86">
              <w:rPr>
                <w:rFonts w:eastAsia="Calibri"/>
                <w:spacing w:val="-1"/>
                <w:sz w:val="22"/>
                <w:szCs w:val="22"/>
                <w:lang w:val="sr-Latn-ME"/>
              </w:rPr>
              <w:t xml:space="preserve"> </w:t>
            </w:r>
            <w:r w:rsidRPr="001D6D86">
              <w:rPr>
                <w:rFonts w:eastAsia="Calibri"/>
                <w:sz w:val="22"/>
                <w:szCs w:val="22"/>
                <w:lang w:val="sr-Latn-ME"/>
              </w:rPr>
              <w:t>BID, 6</w:t>
            </w:r>
            <w:r w:rsidRPr="001D6D86">
              <w:rPr>
                <w:rFonts w:eastAsia="Calibri"/>
                <w:spacing w:val="-9"/>
                <w:sz w:val="22"/>
                <w:szCs w:val="22"/>
                <w:lang w:val="sr-Latn-ME"/>
              </w:rPr>
              <w:t xml:space="preserve"> </w:t>
            </w:r>
            <w:r w:rsidRPr="001D6D86">
              <w:rPr>
                <w:rFonts w:eastAsia="Calibri"/>
                <w:sz w:val="22"/>
                <w:szCs w:val="22"/>
                <w:lang w:val="sr-Latn-ME"/>
              </w:rPr>
              <w:t>m</w:t>
            </w:r>
            <w:r w:rsidR="00693A6D" w:rsidRPr="001D6D86">
              <w:rPr>
                <w:rFonts w:eastAsia="Calibri"/>
                <w:sz w:val="22"/>
                <w:szCs w:val="22"/>
                <w:lang w:val="sr-Latn-ME"/>
              </w:rPr>
              <w:t>j</w:t>
            </w:r>
            <w:r w:rsidRPr="001D6D86">
              <w:rPr>
                <w:rFonts w:eastAsia="Calibri"/>
                <w:sz w:val="22"/>
                <w:szCs w:val="22"/>
                <w:lang w:val="sr-Latn-ME"/>
              </w:rPr>
              <w:t>eseci</w:t>
            </w:r>
          </w:p>
        </w:tc>
        <w:tc>
          <w:tcPr>
            <w:tcW w:w="3317" w:type="dxa"/>
            <w:tcBorders>
              <w:top w:val="single" w:sz="4" w:space="0" w:color="auto"/>
              <w:left w:val="single" w:sz="4" w:space="0" w:color="000000"/>
              <w:bottom w:val="single" w:sz="4" w:space="0" w:color="auto"/>
              <w:right w:val="single" w:sz="4" w:space="0" w:color="000000"/>
            </w:tcBorders>
          </w:tcPr>
          <w:p w14:paraId="3820A769" w14:textId="778A70A8" w:rsidR="00030415" w:rsidRPr="001D6D86" w:rsidRDefault="00746467" w:rsidP="0026307D">
            <w:pPr>
              <w:widowControl w:val="0"/>
              <w:spacing w:line="244" w:lineRule="exact"/>
              <w:jc w:val="both"/>
              <w:rPr>
                <w:sz w:val="22"/>
                <w:szCs w:val="22"/>
                <w:lang w:val="sr-Latn-ME"/>
              </w:rPr>
            </w:pPr>
            <w:r w:rsidRPr="001D6D86">
              <w:rPr>
                <w:rFonts w:eastAsia="Calibri"/>
                <w:sz w:val="22"/>
                <w:szCs w:val="22"/>
                <w:lang w:val="sr-Latn-ME"/>
              </w:rPr>
              <w:t xml:space="preserve"> </w:t>
            </w:r>
            <w:r w:rsidR="00030415" w:rsidRPr="001D6D86">
              <w:rPr>
                <w:rFonts w:eastAsia="Calibri"/>
                <w:sz w:val="22"/>
                <w:szCs w:val="22"/>
                <w:lang w:val="sr-Latn-ME"/>
              </w:rPr>
              <w:t>10 mg jednom dnevno, 10</w:t>
            </w:r>
            <w:r w:rsidR="00030415" w:rsidRPr="001D6D86">
              <w:rPr>
                <w:rFonts w:eastAsia="Calibri"/>
                <w:spacing w:val="2"/>
                <w:sz w:val="22"/>
                <w:szCs w:val="22"/>
                <w:lang w:val="sr-Latn-ME"/>
              </w:rPr>
              <w:t xml:space="preserve"> </w:t>
            </w:r>
            <w:r w:rsidR="00030415" w:rsidRPr="001D6D86">
              <w:rPr>
                <w:rFonts w:eastAsia="Calibri"/>
                <w:spacing w:val="-3"/>
                <w:sz w:val="22"/>
                <w:szCs w:val="22"/>
                <w:lang w:val="sr-Latn-ME"/>
              </w:rPr>
              <w:t>dana</w:t>
            </w:r>
          </w:p>
        </w:tc>
        <w:tc>
          <w:tcPr>
            <w:tcW w:w="3137" w:type="dxa"/>
            <w:gridSpan w:val="2"/>
            <w:tcBorders>
              <w:top w:val="single" w:sz="4" w:space="0" w:color="auto"/>
              <w:left w:val="single" w:sz="4" w:space="0" w:color="000000"/>
              <w:bottom w:val="single" w:sz="4" w:space="0" w:color="auto"/>
              <w:right w:val="single" w:sz="4" w:space="0" w:color="000000"/>
            </w:tcBorders>
          </w:tcPr>
          <w:p w14:paraId="57C33106"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7,1</w:t>
            </w:r>
            <w:r w:rsidRPr="001D6D86">
              <w:rPr>
                <w:rFonts w:eastAsia="Calibri"/>
                <w:spacing w:val="-1"/>
                <w:sz w:val="22"/>
                <w:szCs w:val="22"/>
                <w:lang w:val="sr-Latn-ME"/>
              </w:rPr>
              <w:t xml:space="preserve"> </w:t>
            </w:r>
            <w:r w:rsidRPr="001D6D86">
              <w:rPr>
                <w:rFonts w:eastAsia="Calibri"/>
                <w:sz w:val="22"/>
                <w:szCs w:val="22"/>
                <w:lang w:val="sr-Latn-ME"/>
              </w:rPr>
              <w:t>puta ↑</w:t>
            </w:r>
          </w:p>
        </w:tc>
      </w:tr>
      <w:tr w:rsidR="00030415" w:rsidRPr="001D6D86" w14:paraId="6B0A833A" w14:textId="77777777" w:rsidTr="006B230D">
        <w:trPr>
          <w:trHeight w:hRule="exact" w:val="784"/>
        </w:trPr>
        <w:tc>
          <w:tcPr>
            <w:tcW w:w="3322" w:type="dxa"/>
            <w:gridSpan w:val="2"/>
            <w:tcBorders>
              <w:top w:val="single" w:sz="4" w:space="0" w:color="auto"/>
              <w:left w:val="single" w:sz="4" w:space="0" w:color="000000"/>
              <w:bottom w:val="single" w:sz="4" w:space="0" w:color="auto"/>
              <w:right w:val="single" w:sz="4" w:space="0" w:color="000000"/>
            </w:tcBorders>
          </w:tcPr>
          <w:p w14:paraId="0C8A8407" w14:textId="77777777" w:rsidR="00030415" w:rsidRPr="001D6D86" w:rsidRDefault="00030415" w:rsidP="0026307D">
            <w:pPr>
              <w:widowControl w:val="0"/>
              <w:spacing w:line="242" w:lineRule="auto"/>
              <w:ind w:left="105" w:right="127"/>
              <w:jc w:val="both"/>
              <w:rPr>
                <w:rFonts w:eastAsia="Calibri"/>
                <w:sz w:val="22"/>
                <w:szCs w:val="22"/>
                <w:lang w:val="sr-Latn-ME"/>
              </w:rPr>
            </w:pPr>
            <w:r w:rsidRPr="001D6D86">
              <w:rPr>
                <w:rFonts w:eastAsia="Calibri"/>
                <w:sz w:val="22"/>
                <w:szCs w:val="22"/>
                <w:lang w:val="sr-Latn-ME"/>
              </w:rPr>
              <w:t>Darolutamid 600 mg dva puta dnevno,  5 dana</w:t>
            </w:r>
          </w:p>
        </w:tc>
        <w:tc>
          <w:tcPr>
            <w:tcW w:w="3317" w:type="dxa"/>
            <w:tcBorders>
              <w:top w:val="single" w:sz="4" w:space="0" w:color="auto"/>
              <w:left w:val="single" w:sz="4" w:space="0" w:color="000000"/>
              <w:bottom w:val="single" w:sz="4" w:space="0" w:color="auto"/>
              <w:right w:val="single" w:sz="4" w:space="0" w:color="000000"/>
            </w:tcBorders>
          </w:tcPr>
          <w:p w14:paraId="38F7A555"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5 mg, pojedinačna doza</w:t>
            </w:r>
          </w:p>
        </w:tc>
        <w:tc>
          <w:tcPr>
            <w:tcW w:w="3137" w:type="dxa"/>
            <w:gridSpan w:val="2"/>
            <w:tcBorders>
              <w:top w:val="single" w:sz="4" w:space="0" w:color="auto"/>
              <w:left w:val="single" w:sz="4" w:space="0" w:color="000000"/>
              <w:bottom w:val="single" w:sz="4" w:space="0" w:color="auto"/>
              <w:right w:val="single" w:sz="4" w:space="0" w:color="000000"/>
            </w:tcBorders>
          </w:tcPr>
          <w:p w14:paraId="0F8E8ED7"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5,2</w:t>
            </w:r>
            <w:r w:rsidRPr="001D6D86">
              <w:rPr>
                <w:rFonts w:eastAsia="Calibri"/>
                <w:spacing w:val="-1"/>
                <w:sz w:val="22"/>
                <w:szCs w:val="22"/>
                <w:lang w:val="sr-Latn-ME"/>
              </w:rPr>
              <w:t xml:space="preserve"> </w:t>
            </w:r>
            <w:r w:rsidRPr="001D6D86">
              <w:rPr>
                <w:rFonts w:eastAsia="Calibri"/>
                <w:sz w:val="22"/>
                <w:szCs w:val="22"/>
                <w:lang w:val="sr-Latn-ME"/>
              </w:rPr>
              <w:t>puta ↑</w:t>
            </w:r>
          </w:p>
        </w:tc>
      </w:tr>
      <w:tr w:rsidR="00030415" w:rsidRPr="001D6D86" w14:paraId="44FD8E76" w14:textId="77777777" w:rsidTr="006B230D">
        <w:trPr>
          <w:trHeight w:hRule="exact" w:val="711"/>
        </w:trPr>
        <w:tc>
          <w:tcPr>
            <w:tcW w:w="3322" w:type="dxa"/>
            <w:gridSpan w:val="2"/>
            <w:tcBorders>
              <w:top w:val="single" w:sz="4" w:space="0" w:color="auto"/>
              <w:left w:val="single" w:sz="4" w:space="0" w:color="000000"/>
              <w:bottom w:val="single" w:sz="4" w:space="0" w:color="auto"/>
              <w:right w:val="single" w:sz="4" w:space="0" w:color="000000"/>
            </w:tcBorders>
          </w:tcPr>
          <w:p w14:paraId="0D593FF6" w14:textId="77777777" w:rsidR="00030415" w:rsidRPr="001D6D86" w:rsidRDefault="00030415" w:rsidP="0026307D">
            <w:pPr>
              <w:widowControl w:val="0"/>
              <w:spacing w:line="242" w:lineRule="auto"/>
              <w:ind w:left="105" w:right="127"/>
              <w:jc w:val="both"/>
              <w:rPr>
                <w:rFonts w:eastAsia="Calibri"/>
                <w:sz w:val="22"/>
                <w:szCs w:val="22"/>
                <w:lang w:val="sr-Latn-ME"/>
              </w:rPr>
            </w:pPr>
            <w:r w:rsidRPr="001D6D86">
              <w:rPr>
                <w:rFonts w:eastAsia="Calibri"/>
                <w:sz w:val="22"/>
                <w:szCs w:val="22"/>
                <w:lang w:val="sr-Latn-ME"/>
              </w:rPr>
              <w:t>Regorafenib 160 mg, jednom dnevno, 14 dana</w:t>
            </w:r>
          </w:p>
        </w:tc>
        <w:tc>
          <w:tcPr>
            <w:tcW w:w="3317" w:type="dxa"/>
            <w:tcBorders>
              <w:top w:val="single" w:sz="4" w:space="0" w:color="auto"/>
              <w:left w:val="single" w:sz="4" w:space="0" w:color="000000"/>
              <w:bottom w:val="single" w:sz="4" w:space="0" w:color="auto"/>
              <w:right w:val="single" w:sz="4" w:space="0" w:color="000000"/>
            </w:tcBorders>
          </w:tcPr>
          <w:p w14:paraId="33F76575"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5 mg, pojedinačna doza</w:t>
            </w:r>
          </w:p>
        </w:tc>
        <w:tc>
          <w:tcPr>
            <w:tcW w:w="3137" w:type="dxa"/>
            <w:gridSpan w:val="2"/>
            <w:tcBorders>
              <w:top w:val="single" w:sz="4" w:space="0" w:color="auto"/>
              <w:left w:val="single" w:sz="4" w:space="0" w:color="000000"/>
              <w:bottom w:val="single" w:sz="4" w:space="0" w:color="auto"/>
              <w:right w:val="single" w:sz="4" w:space="0" w:color="000000"/>
            </w:tcBorders>
          </w:tcPr>
          <w:p w14:paraId="34FC0FF9"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3,8 puta ↑</w:t>
            </w:r>
          </w:p>
        </w:tc>
      </w:tr>
      <w:tr w:rsidR="00030415" w:rsidRPr="001D6D86" w14:paraId="4CC4BAAF" w14:textId="77777777" w:rsidTr="006B230D">
        <w:trPr>
          <w:trHeight w:hRule="exact" w:val="707"/>
        </w:trPr>
        <w:tc>
          <w:tcPr>
            <w:tcW w:w="3322" w:type="dxa"/>
            <w:gridSpan w:val="2"/>
            <w:tcBorders>
              <w:top w:val="single" w:sz="4" w:space="0" w:color="000000"/>
              <w:left w:val="single" w:sz="4" w:space="0" w:color="000000"/>
              <w:bottom w:val="single" w:sz="4" w:space="0" w:color="000000"/>
              <w:right w:val="single" w:sz="4" w:space="0" w:color="000000"/>
            </w:tcBorders>
          </w:tcPr>
          <w:p w14:paraId="4E4F17E3" w14:textId="77777777" w:rsidR="00030415" w:rsidRPr="001D6D86" w:rsidRDefault="00030415" w:rsidP="0026307D">
            <w:pPr>
              <w:widowControl w:val="0"/>
              <w:spacing w:line="242" w:lineRule="auto"/>
              <w:ind w:left="105" w:right="313"/>
              <w:jc w:val="both"/>
              <w:rPr>
                <w:sz w:val="22"/>
                <w:szCs w:val="22"/>
                <w:lang w:val="sr-Latn-ME"/>
              </w:rPr>
            </w:pPr>
            <w:r w:rsidRPr="001D6D86">
              <w:rPr>
                <w:rFonts w:eastAsia="Calibri"/>
                <w:sz w:val="22"/>
                <w:szCs w:val="22"/>
                <w:lang w:val="sr-Latn-ME"/>
              </w:rPr>
              <w:t>Atazanavir 300 mg/ritonavir</w:t>
            </w:r>
            <w:r w:rsidRPr="001D6D86">
              <w:rPr>
                <w:rFonts w:eastAsia="Calibri"/>
                <w:spacing w:val="-16"/>
                <w:sz w:val="22"/>
                <w:szCs w:val="22"/>
                <w:lang w:val="sr-Latn-ME"/>
              </w:rPr>
              <w:t xml:space="preserve"> </w:t>
            </w:r>
            <w:r w:rsidRPr="001D6D86">
              <w:rPr>
                <w:rFonts w:eastAsia="Calibri"/>
                <w:sz w:val="22"/>
                <w:szCs w:val="22"/>
                <w:lang w:val="sr-Latn-ME"/>
              </w:rPr>
              <w:t>100</w:t>
            </w:r>
            <w:r w:rsidRPr="001D6D86">
              <w:rPr>
                <w:rFonts w:eastAsia="Calibri"/>
                <w:spacing w:val="-1"/>
                <w:sz w:val="22"/>
                <w:szCs w:val="22"/>
                <w:lang w:val="sr-Latn-ME"/>
              </w:rPr>
              <w:t xml:space="preserve"> </w:t>
            </w:r>
            <w:r w:rsidRPr="001D6D86">
              <w:rPr>
                <w:rFonts w:eastAsia="Calibri"/>
                <w:sz w:val="22"/>
                <w:szCs w:val="22"/>
                <w:lang w:val="sr-Latn-ME"/>
              </w:rPr>
              <w:t>mg jednom dnevno, 8</w:t>
            </w:r>
            <w:r w:rsidRPr="001D6D86">
              <w:rPr>
                <w:rFonts w:eastAsia="Calibri"/>
                <w:spacing w:val="-9"/>
                <w:sz w:val="22"/>
                <w:szCs w:val="22"/>
                <w:lang w:val="sr-Latn-ME"/>
              </w:rPr>
              <w:t xml:space="preserve"> </w:t>
            </w:r>
            <w:r w:rsidRPr="001D6D86">
              <w:rPr>
                <w:rFonts w:eastAsia="Calibri"/>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4B544332"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10 mg, pojedinačna</w:t>
            </w:r>
            <w:r w:rsidRPr="001D6D86">
              <w:rPr>
                <w:rFonts w:eastAsia="Calibri"/>
                <w:spacing w:val="-13"/>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000000"/>
              <w:left w:val="single" w:sz="4" w:space="0" w:color="000000"/>
              <w:bottom w:val="single" w:sz="4" w:space="0" w:color="000000"/>
              <w:right w:val="single" w:sz="4" w:space="0" w:color="000000"/>
            </w:tcBorders>
          </w:tcPr>
          <w:p w14:paraId="7AA2A5EF"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3,1</w:t>
            </w:r>
            <w:r w:rsidRPr="001D6D86">
              <w:rPr>
                <w:rFonts w:eastAsia="Calibri"/>
                <w:spacing w:val="-1"/>
                <w:sz w:val="22"/>
                <w:szCs w:val="22"/>
                <w:lang w:val="sr-Latn-ME"/>
              </w:rPr>
              <w:t xml:space="preserve"> </w:t>
            </w:r>
            <w:r w:rsidRPr="001D6D86">
              <w:rPr>
                <w:rFonts w:eastAsia="Calibri"/>
                <w:sz w:val="22"/>
                <w:szCs w:val="22"/>
                <w:lang w:val="sr-Latn-ME"/>
              </w:rPr>
              <w:t>puta ↑</w:t>
            </w:r>
          </w:p>
        </w:tc>
      </w:tr>
      <w:tr w:rsidR="00030415" w:rsidRPr="001D6D86" w:rsidDel="00174734" w14:paraId="5D216574" w14:textId="77777777" w:rsidTr="006B230D">
        <w:trPr>
          <w:trHeight w:hRule="exact" w:val="575"/>
        </w:trPr>
        <w:tc>
          <w:tcPr>
            <w:tcW w:w="3322" w:type="dxa"/>
            <w:gridSpan w:val="2"/>
            <w:tcBorders>
              <w:top w:val="single" w:sz="4" w:space="0" w:color="000000"/>
              <w:left w:val="single" w:sz="4" w:space="0" w:color="000000"/>
              <w:bottom w:val="single" w:sz="4" w:space="0" w:color="auto"/>
              <w:right w:val="single" w:sz="4" w:space="0" w:color="000000"/>
            </w:tcBorders>
          </w:tcPr>
          <w:p w14:paraId="323AA4F7" w14:textId="77777777" w:rsidR="00030415" w:rsidRPr="001D6D86" w:rsidDel="00174734"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 xml:space="preserve">Velpatasvir 100 mg jednom dnevno </w:t>
            </w:r>
          </w:p>
        </w:tc>
        <w:tc>
          <w:tcPr>
            <w:tcW w:w="3317" w:type="dxa"/>
            <w:tcBorders>
              <w:top w:val="single" w:sz="4" w:space="0" w:color="000000"/>
              <w:left w:val="single" w:sz="4" w:space="0" w:color="000000"/>
              <w:bottom w:val="single" w:sz="4" w:space="0" w:color="auto"/>
              <w:right w:val="single" w:sz="4" w:space="0" w:color="000000"/>
            </w:tcBorders>
          </w:tcPr>
          <w:p w14:paraId="0ED765F5" w14:textId="77777777" w:rsidR="00030415" w:rsidRPr="001D6D86" w:rsidDel="00174734"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10 mg, pojedinačna doza</w:t>
            </w:r>
          </w:p>
        </w:tc>
        <w:tc>
          <w:tcPr>
            <w:tcW w:w="3137" w:type="dxa"/>
            <w:gridSpan w:val="2"/>
            <w:tcBorders>
              <w:top w:val="single" w:sz="4" w:space="0" w:color="000000"/>
              <w:left w:val="single" w:sz="4" w:space="0" w:color="000000"/>
              <w:bottom w:val="single" w:sz="4" w:space="0" w:color="auto"/>
              <w:right w:val="single" w:sz="4" w:space="0" w:color="000000"/>
            </w:tcBorders>
          </w:tcPr>
          <w:p w14:paraId="786F33C1" w14:textId="77777777" w:rsidR="00030415" w:rsidRPr="001D6D86" w:rsidDel="00174734" w:rsidRDefault="00030415" w:rsidP="0026307D">
            <w:pPr>
              <w:widowControl w:val="0"/>
              <w:ind w:left="105"/>
              <w:jc w:val="both"/>
              <w:rPr>
                <w:rFonts w:eastAsia="Calibri"/>
                <w:sz w:val="22"/>
                <w:szCs w:val="22"/>
                <w:lang w:val="sr-Latn-ME"/>
              </w:rPr>
            </w:pPr>
            <w:r w:rsidRPr="001D6D86">
              <w:rPr>
                <w:rFonts w:eastAsia="Calibri"/>
                <w:sz w:val="22"/>
                <w:szCs w:val="22"/>
                <w:lang w:val="sr-Latn-ME"/>
              </w:rPr>
              <w:t>2,7 puta ↑</w:t>
            </w:r>
          </w:p>
        </w:tc>
      </w:tr>
      <w:tr w:rsidR="00030415" w:rsidRPr="001D6D86" w:rsidDel="00174734" w14:paraId="050607F9" w14:textId="77777777" w:rsidTr="006B230D">
        <w:trPr>
          <w:trHeight w:hRule="exact" w:val="1278"/>
        </w:trPr>
        <w:tc>
          <w:tcPr>
            <w:tcW w:w="3322" w:type="dxa"/>
            <w:gridSpan w:val="2"/>
            <w:tcBorders>
              <w:top w:val="single" w:sz="4" w:space="0" w:color="auto"/>
              <w:left w:val="single" w:sz="4" w:space="0" w:color="000000"/>
              <w:bottom w:val="single" w:sz="4" w:space="0" w:color="auto"/>
              <w:right w:val="single" w:sz="4" w:space="0" w:color="000000"/>
            </w:tcBorders>
          </w:tcPr>
          <w:p w14:paraId="653DF42C"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Ombitasvir 25 mg/paritaprevir 150 mg/ritonavir 100 mg jednom dnevno /dasabuvir 400 mg dva puta dnevno, 14 dana</w:t>
            </w:r>
          </w:p>
        </w:tc>
        <w:tc>
          <w:tcPr>
            <w:tcW w:w="3317" w:type="dxa"/>
            <w:tcBorders>
              <w:top w:val="single" w:sz="4" w:space="0" w:color="auto"/>
              <w:left w:val="single" w:sz="4" w:space="0" w:color="000000"/>
              <w:bottom w:val="single" w:sz="4" w:space="0" w:color="auto"/>
              <w:right w:val="single" w:sz="4" w:space="0" w:color="000000"/>
            </w:tcBorders>
          </w:tcPr>
          <w:p w14:paraId="14CD1E71"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5 mg, pojedinačna doza</w:t>
            </w:r>
          </w:p>
        </w:tc>
        <w:tc>
          <w:tcPr>
            <w:tcW w:w="3137" w:type="dxa"/>
            <w:gridSpan w:val="2"/>
            <w:tcBorders>
              <w:top w:val="single" w:sz="4" w:space="0" w:color="auto"/>
              <w:left w:val="single" w:sz="4" w:space="0" w:color="000000"/>
              <w:bottom w:val="single" w:sz="4" w:space="0" w:color="auto"/>
              <w:right w:val="single" w:sz="4" w:space="0" w:color="000000"/>
            </w:tcBorders>
          </w:tcPr>
          <w:p w14:paraId="1C15A274" w14:textId="77777777" w:rsidR="00030415" w:rsidRPr="001D6D86" w:rsidRDefault="00030415" w:rsidP="0026307D">
            <w:pPr>
              <w:widowControl w:val="0"/>
              <w:ind w:left="105"/>
              <w:jc w:val="both"/>
              <w:rPr>
                <w:rFonts w:eastAsia="Calibri"/>
                <w:sz w:val="22"/>
                <w:szCs w:val="22"/>
                <w:lang w:val="sr-Latn-ME"/>
              </w:rPr>
            </w:pPr>
            <w:r w:rsidRPr="001D6D86">
              <w:rPr>
                <w:rFonts w:eastAsia="Calibri"/>
                <w:sz w:val="22"/>
                <w:szCs w:val="22"/>
                <w:lang w:val="sr-Latn-ME"/>
              </w:rPr>
              <w:t>2,6 puta ↑</w:t>
            </w:r>
          </w:p>
        </w:tc>
      </w:tr>
      <w:tr w:rsidR="00030415" w:rsidRPr="001D6D86" w:rsidDel="00174734" w14:paraId="1A86EB9E" w14:textId="77777777" w:rsidTr="006B230D">
        <w:trPr>
          <w:trHeight w:hRule="exact" w:val="717"/>
        </w:trPr>
        <w:tc>
          <w:tcPr>
            <w:tcW w:w="3322" w:type="dxa"/>
            <w:gridSpan w:val="2"/>
            <w:tcBorders>
              <w:top w:val="single" w:sz="4" w:space="0" w:color="auto"/>
              <w:left w:val="single" w:sz="4" w:space="0" w:color="000000"/>
              <w:bottom w:val="single" w:sz="4" w:space="0" w:color="auto"/>
              <w:right w:val="single" w:sz="4" w:space="0" w:color="000000"/>
            </w:tcBorders>
          </w:tcPr>
          <w:p w14:paraId="536C880A"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Teriflunomid</w:t>
            </w:r>
          </w:p>
        </w:tc>
        <w:tc>
          <w:tcPr>
            <w:tcW w:w="3317" w:type="dxa"/>
            <w:tcBorders>
              <w:top w:val="single" w:sz="4" w:space="0" w:color="auto"/>
              <w:left w:val="single" w:sz="4" w:space="0" w:color="000000"/>
              <w:bottom w:val="single" w:sz="4" w:space="0" w:color="auto"/>
              <w:right w:val="single" w:sz="4" w:space="0" w:color="000000"/>
            </w:tcBorders>
          </w:tcPr>
          <w:p w14:paraId="05ABC466"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Nije dostupno</w:t>
            </w:r>
          </w:p>
        </w:tc>
        <w:tc>
          <w:tcPr>
            <w:tcW w:w="3137" w:type="dxa"/>
            <w:gridSpan w:val="2"/>
            <w:tcBorders>
              <w:top w:val="single" w:sz="4" w:space="0" w:color="auto"/>
              <w:left w:val="single" w:sz="4" w:space="0" w:color="000000"/>
              <w:bottom w:val="single" w:sz="4" w:space="0" w:color="auto"/>
              <w:right w:val="single" w:sz="4" w:space="0" w:color="000000"/>
            </w:tcBorders>
          </w:tcPr>
          <w:p w14:paraId="299A2B96" w14:textId="77777777" w:rsidR="00030415" w:rsidRPr="001D6D86" w:rsidRDefault="00030415" w:rsidP="0026307D">
            <w:pPr>
              <w:widowControl w:val="0"/>
              <w:ind w:left="105"/>
              <w:jc w:val="both"/>
              <w:rPr>
                <w:rFonts w:eastAsia="Calibri"/>
                <w:sz w:val="22"/>
                <w:szCs w:val="22"/>
                <w:lang w:val="sr-Latn-ME"/>
              </w:rPr>
            </w:pPr>
            <w:r w:rsidRPr="001D6D86">
              <w:rPr>
                <w:rFonts w:eastAsia="Calibri"/>
                <w:sz w:val="22"/>
                <w:szCs w:val="22"/>
                <w:lang w:val="sr-Latn-ME"/>
              </w:rPr>
              <w:t>2,5 puta ↑</w:t>
            </w:r>
          </w:p>
        </w:tc>
      </w:tr>
      <w:tr w:rsidR="00030415" w:rsidRPr="001D6D86" w:rsidDel="00174734" w14:paraId="76D18315" w14:textId="77777777" w:rsidTr="006B230D">
        <w:trPr>
          <w:trHeight w:hRule="exact" w:val="557"/>
        </w:trPr>
        <w:tc>
          <w:tcPr>
            <w:tcW w:w="3322" w:type="dxa"/>
            <w:gridSpan w:val="2"/>
            <w:tcBorders>
              <w:top w:val="single" w:sz="4" w:space="0" w:color="auto"/>
              <w:left w:val="single" w:sz="4" w:space="0" w:color="000000"/>
              <w:bottom w:val="single" w:sz="4" w:space="0" w:color="auto"/>
              <w:right w:val="single" w:sz="4" w:space="0" w:color="000000"/>
            </w:tcBorders>
          </w:tcPr>
          <w:p w14:paraId="4509C2DF"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Grazoprevir 200 mg/elbasvir 50 mg jednom dnevno, 11 dana</w:t>
            </w:r>
          </w:p>
        </w:tc>
        <w:tc>
          <w:tcPr>
            <w:tcW w:w="3317" w:type="dxa"/>
            <w:tcBorders>
              <w:top w:val="single" w:sz="4" w:space="0" w:color="auto"/>
              <w:left w:val="single" w:sz="4" w:space="0" w:color="000000"/>
              <w:bottom w:val="single" w:sz="4" w:space="0" w:color="auto"/>
              <w:right w:val="single" w:sz="4" w:space="0" w:color="000000"/>
            </w:tcBorders>
          </w:tcPr>
          <w:p w14:paraId="2285C0E0"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10 mg, pojedinačna doza</w:t>
            </w:r>
          </w:p>
        </w:tc>
        <w:tc>
          <w:tcPr>
            <w:tcW w:w="3137" w:type="dxa"/>
            <w:gridSpan w:val="2"/>
            <w:tcBorders>
              <w:top w:val="single" w:sz="4" w:space="0" w:color="auto"/>
              <w:left w:val="single" w:sz="4" w:space="0" w:color="000000"/>
              <w:bottom w:val="single" w:sz="4" w:space="0" w:color="auto"/>
              <w:right w:val="single" w:sz="4" w:space="0" w:color="000000"/>
            </w:tcBorders>
          </w:tcPr>
          <w:p w14:paraId="00451F61" w14:textId="77777777" w:rsidR="00030415" w:rsidRPr="001D6D86" w:rsidRDefault="00030415" w:rsidP="0026307D">
            <w:pPr>
              <w:widowControl w:val="0"/>
              <w:ind w:left="105"/>
              <w:jc w:val="both"/>
              <w:rPr>
                <w:rFonts w:eastAsia="Calibri"/>
                <w:sz w:val="22"/>
                <w:szCs w:val="22"/>
                <w:lang w:val="sr-Latn-ME"/>
              </w:rPr>
            </w:pPr>
            <w:r w:rsidRPr="001D6D86">
              <w:rPr>
                <w:rFonts w:eastAsia="Calibri"/>
                <w:sz w:val="22"/>
                <w:szCs w:val="22"/>
                <w:lang w:val="sr-Latn-ME"/>
              </w:rPr>
              <w:t>2,3 puta ↑</w:t>
            </w:r>
          </w:p>
        </w:tc>
      </w:tr>
      <w:tr w:rsidR="00030415" w:rsidRPr="001D6D86" w:rsidDel="00174734" w14:paraId="337BE49B" w14:textId="77777777" w:rsidTr="006B230D">
        <w:trPr>
          <w:trHeight w:hRule="exact" w:val="579"/>
        </w:trPr>
        <w:tc>
          <w:tcPr>
            <w:tcW w:w="3322" w:type="dxa"/>
            <w:gridSpan w:val="2"/>
            <w:tcBorders>
              <w:top w:val="single" w:sz="4" w:space="0" w:color="auto"/>
              <w:left w:val="single" w:sz="4" w:space="0" w:color="000000"/>
              <w:bottom w:val="single" w:sz="4" w:space="0" w:color="auto"/>
              <w:right w:val="single" w:sz="4" w:space="0" w:color="000000"/>
            </w:tcBorders>
          </w:tcPr>
          <w:p w14:paraId="5E9EBB55"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Glekaprevir 400 mg/pibrentasvir 120 mg jednom dnevno, 7 dana</w:t>
            </w:r>
          </w:p>
        </w:tc>
        <w:tc>
          <w:tcPr>
            <w:tcW w:w="3317" w:type="dxa"/>
            <w:tcBorders>
              <w:top w:val="single" w:sz="4" w:space="0" w:color="auto"/>
              <w:left w:val="single" w:sz="4" w:space="0" w:color="000000"/>
              <w:bottom w:val="single" w:sz="4" w:space="0" w:color="auto"/>
              <w:right w:val="single" w:sz="4" w:space="0" w:color="000000"/>
            </w:tcBorders>
          </w:tcPr>
          <w:p w14:paraId="0A859A1A"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5 mg jednom dnevno, 7 dana</w:t>
            </w:r>
          </w:p>
        </w:tc>
        <w:tc>
          <w:tcPr>
            <w:tcW w:w="3137" w:type="dxa"/>
            <w:gridSpan w:val="2"/>
            <w:tcBorders>
              <w:top w:val="single" w:sz="4" w:space="0" w:color="auto"/>
              <w:left w:val="single" w:sz="4" w:space="0" w:color="000000"/>
              <w:bottom w:val="single" w:sz="4" w:space="0" w:color="auto"/>
              <w:right w:val="single" w:sz="4" w:space="0" w:color="000000"/>
            </w:tcBorders>
          </w:tcPr>
          <w:p w14:paraId="42759257" w14:textId="77777777" w:rsidR="00030415" w:rsidRPr="001D6D86" w:rsidRDefault="00030415" w:rsidP="0026307D">
            <w:pPr>
              <w:widowControl w:val="0"/>
              <w:ind w:left="105"/>
              <w:jc w:val="both"/>
              <w:rPr>
                <w:rFonts w:eastAsia="Calibri"/>
                <w:sz w:val="22"/>
                <w:szCs w:val="22"/>
                <w:lang w:val="sr-Latn-ME"/>
              </w:rPr>
            </w:pPr>
            <w:r w:rsidRPr="001D6D86">
              <w:rPr>
                <w:rFonts w:eastAsia="Calibri"/>
                <w:sz w:val="22"/>
                <w:szCs w:val="22"/>
                <w:lang w:val="sr-Latn-ME"/>
              </w:rPr>
              <w:t>2,2 puta ↑</w:t>
            </w:r>
          </w:p>
        </w:tc>
      </w:tr>
      <w:tr w:rsidR="00030415" w:rsidRPr="001D6D86" w14:paraId="0E26C13B" w14:textId="77777777" w:rsidTr="006B230D">
        <w:trPr>
          <w:trHeight w:hRule="exact" w:val="518"/>
        </w:trPr>
        <w:tc>
          <w:tcPr>
            <w:tcW w:w="3322" w:type="dxa"/>
            <w:gridSpan w:val="2"/>
            <w:tcBorders>
              <w:top w:val="single" w:sz="4" w:space="0" w:color="000000"/>
              <w:left w:val="single" w:sz="4" w:space="0" w:color="000000"/>
              <w:bottom w:val="single" w:sz="4" w:space="0" w:color="000000"/>
              <w:right w:val="single" w:sz="4" w:space="0" w:color="000000"/>
            </w:tcBorders>
          </w:tcPr>
          <w:p w14:paraId="32FDCF59" w14:textId="77777777" w:rsidR="00030415" w:rsidRPr="001D6D86" w:rsidRDefault="00030415" w:rsidP="0026307D">
            <w:pPr>
              <w:widowControl w:val="0"/>
              <w:spacing w:line="242" w:lineRule="auto"/>
              <w:ind w:left="105" w:right="410"/>
              <w:jc w:val="both"/>
              <w:rPr>
                <w:sz w:val="22"/>
                <w:szCs w:val="22"/>
                <w:lang w:val="sr-Latn-ME"/>
              </w:rPr>
            </w:pPr>
            <w:r w:rsidRPr="001D6D86">
              <w:rPr>
                <w:rFonts w:eastAsia="Calibri"/>
                <w:sz w:val="22"/>
                <w:szCs w:val="22"/>
                <w:lang w:val="sr-Latn-ME"/>
              </w:rPr>
              <w:t>Lopinavir 400 mg/ritonavir</w:t>
            </w:r>
            <w:r w:rsidRPr="001D6D86">
              <w:rPr>
                <w:rFonts w:eastAsia="Calibri"/>
                <w:spacing w:val="-15"/>
                <w:sz w:val="22"/>
                <w:szCs w:val="22"/>
                <w:lang w:val="sr-Latn-ME"/>
              </w:rPr>
              <w:t xml:space="preserve"> </w:t>
            </w:r>
            <w:r w:rsidRPr="001D6D86">
              <w:rPr>
                <w:rFonts w:eastAsia="Calibri"/>
                <w:sz w:val="22"/>
                <w:szCs w:val="22"/>
                <w:lang w:val="sr-Latn-ME"/>
              </w:rPr>
              <w:t>100</w:t>
            </w:r>
            <w:r w:rsidRPr="001D6D86">
              <w:rPr>
                <w:rFonts w:eastAsia="Calibri"/>
                <w:spacing w:val="-1"/>
                <w:sz w:val="22"/>
                <w:szCs w:val="22"/>
                <w:lang w:val="sr-Latn-ME"/>
              </w:rPr>
              <w:t xml:space="preserve"> </w:t>
            </w:r>
            <w:r w:rsidRPr="001D6D86">
              <w:rPr>
                <w:rFonts w:eastAsia="Calibri"/>
                <w:spacing w:val="-3"/>
                <w:sz w:val="22"/>
                <w:szCs w:val="22"/>
                <w:lang w:val="sr-Latn-ME"/>
              </w:rPr>
              <w:t xml:space="preserve">mg </w:t>
            </w:r>
            <w:r w:rsidRPr="001D6D86">
              <w:rPr>
                <w:rFonts w:eastAsia="Calibri"/>
                <w:sz w:val="22"/>
                <w:szCs w:val="22"/>
                <w:lang w:val="sr-Latn-ME"/>
              </w:rPr>
              <w:t>dva puta dnevno, 17</w:t>
            </w:r>
            <w:r w:rsidRPr="001D6D86">
              <w:rPr>
                <w:rFonts w:eastAsia="Calibri"/>
                <w:spacing w:val="2"/>
                <w:sz w:val="22"/>
                <w:szCs w:val="22"/>
                <w:lang w:val="sr-Latn-ME"/>
              </w:rPr>
              <w:t xml:space="preserve"> </w:t>
            </w:r>
            <w:r w:rsidRPr="001D6D86">
              <w:rPr>
                <w:rFonts w:eastAsia="Calibri"/>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4E085648"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20 mg jednom dnevno, 7</w:t>
            </w:r>
            <w:r w:rsidRPr="001D6D86">
              <w:rPr>
                <w:rFonts w:eastAsia="Calibri"/>
                <w:spacing w:val="-7"/>
                <w:sz w:val="22"/>
                <w:szCs w:val="22"/>
                <w:lang w:val="sr-Latn-ME"/>
              </w:rPr>
              <w:t xml:space="preserve"> </w:t>
            </w:r>
            <w:r w:rsidRPr="001D6D86">
              <w:rPr>
                <w:rFonts w:eastAsia="Calibri"/>
                <w:sz w:val="22"/>
                <w:szCs w:val="22"/>
                <w:lang w:val="sr-Latn-ME"/>
              </w:rPr>
              <w:t>dana</w:t>
            </w:r>
          </w:p>
        </w:tc>
        <w:tc>
          <w:tcPr>
            <w:tcW w:w="3137" w:type="dxa"/>
            <w:gridSpan w:val="2"/>
            <w:tcBorders>
              <w:top w:val="single" w:sz="4" w:space="0" w:color="000000"/>
              <w:left w:val="single" w:sz="4" w:space="0" w:color="000000"/>
              <w:bottom w:val="single" w:sz="4" w:space="0" w:color="000000"/>
              <w:right w:val="single" w:sz="4" w:space="0" w:color="000000"/>
            </w:tcBorders>
          </w:tcPr>
          <w:p w14:paraId="30E2F6E7"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2,1</w:t>
            </w:r>
            <w:r w:rsidRPr="001D6D86">
              <w:rPr>
                <w:rFonts w:eastAsia="Calibri"/>
                <w:spacing w:val="-1"/>
                <w:sz w:val="22"/>
                <w:szCs w:val="22"/>
                <w:lang w:val="sr-Latn-ME"/>
              </w:rPr>
              <w:t xml:space="preserve"> </w:t>
            </w:r>
            <w:r w:rsidRPr="001D6D86">
              <w:rPr>
                <w:rFonts w:eastAsia="Calibri"/>
                <w:sz w:val="22"/>
                <w:szCs w:val="22"/>
                <w:lang w:val="sr-Latn-ME"/>
              </w:rPr>
              <w:t>puta ↑</w:t>
            </w:r>
          </w:p>
        </w:tc>
      </w:tr>
      <w:tr w:rsidR="00030415" w:rsidRPr="001D6D86" w14:paraId="7F263CD8" w14:textId="77777777" w:rsidTr="006B230D">
        <w:trPr>
          <w:trHeight w:hRule="exact" w:val="518"/>
        </w:trPr>
        <w:tc>
          <w:tcPr>
            <w:tcW w:w="3322" w:type="dxa"/>
            <w:gridSpan w:val="2"/>
            <w:tcBorders>
              <w:top w:val="single" w:sz="4" w:space="0" w:color="000000"/>
              <w:left w:val="single" w:sz="4" w:space="0" w:color="000000"/>
              <w:bottom w:val="single" w:sz="4" w:space="0" w:color="000000"/>
              <w:right w:val="single" w:sz="4" w:space="0" w:color="000000"/>
            </w:tcBorders>
          </w:tcPr>
          <w:p w14:paraId="7FCFA895" w14:textId="77777777" w:rsidR="00030415" w:rsidRPr="001D6D86" w:rsidRDefault="00030415" w:rsidP="0026307D">
            <w:pPr>
              <w:widowControl w:val="0"/>
              <w:spacing w:line="242" w:lineRule="auto"/>
              <w:ind w:left="105" w:right="410"/>
              <w:jc w:val="center"/>
              <w:rPr>
                <w:rFonts w:eastAsia="Calibri"/>
                <w:sz w:val="22"/>
                <w:szCs w:val="22"/>
                <w:lang w:val="sr-Latn-ME"/>
              </w:rPr>
            </w:pPr>
            <w:r w:rsidRPr="001D6D86">
              <w:rPr>
                <w:rFonts w:eastAsia="Calibri"/>
                <w:sz w:val="22"/>
                <w:szCs w:val="22"/>
                <w:lang w:val="sr-Latn-ME"/>
              </w:rPr>
              <w:t>Kapmatinib 400 mg dva puta dnevno</w:t>
            </w:r>
          </w:p>
        </w:tc>
        <w:tc>
          <w:tcPr>
            <w:tcW w:w="3317" w:type="dxa"/>
            <w:tcBorders>
              <w:top w:val="single" w:sz="4" w:space="0" w:color="000000"/>
              <w:left w:val="single" w:sz="4" w:space="0" w:color="000000"/>
              <w:bottom w:val="single" w:sz="4" w:space="0" w:color="000000"/>
              <w:right w:val="single" w:sz="4" w:space="0" w:color="000000"/>
            </w:tcBorders>
          </w:tcPr>
          <w:p w14:paraId="5C834627" w14:textId="77777777" w:rsidR="00030415" w:rsidRPr="001D6D86" w:rsidRDefault="00030415" w:rsidP="0026307D">
            <w:pPr>
              <w:widowControl w:val="0"/>
              <w:spacing w:line="244" w:lineRule="exact"/>
              <w:ind w:left="105"/>
              <w:jc w:val="center"/>
              <w:rPr>
                <w:rFonts w:eastAsia="Calibri"/>
                <w:sz w:val="22"/>
                <w:szCs w:val="22"/>
                <w:lang w:val="sr-Latn-ME"/>
              </w:rPr>
            </w:pPr>
            <w:r w:rsidRPr="001D6D86">
              <w:rPr>
                <w:rFonts w:eastAsia="Calibri"/>
                <w:sz w:val="22"/>
                <w:szCs w:val="22"/>
                <w:lang w:val="sr-Latn-ME"/>
              </w:rPr>
              <w:t>10 mg, pojedinačna doza</w:t>
            </w:r>
          </w:p>
        </w:tc>
        <w:tc>
          <w:tcPr>
            <w:tcW w:w="3137" w:type="dxa"/>
            <w:gridSpan w:val="2"/>
            <w:tcBorders>
              <w:top w:val="single" w:sz="4" w:space="0" w:color="000000"/>
              <w:left w:val="single" w:sz="4" w:space="0" w:color="000000"/>
              <w:bottom w:val="single" w:sz="4" w:space="0" w:color="000000"/>
              <w:right w:val="single" w:sz="4" w:space="0" w:color="000000"/>
            </w:tcBorders>
          </w:tcPr>
          <w:p w14:paraId="332720E8" w14:textId="77777777" w:rsidR="00030415" w:rsidRPr="001D6D86" w:rsidRDefault="00030415" w:rsidP="008A1005">
            <w:pPr>
              <w:widowControl w:val="0"/>
              <w:spacing w:line="244" w:lineRule="exact"/>
              <w:ind w:left="105"/>
              <w:rPr>
                <w:rFonts w:eastAsia="Calibri"/>
                <w:sz w:val="22"/>
                <w:szCs w:val="22"/>
                <w:lang w:val="sr-Latn-ME"/>
              </w:rPr>
            </w:pPr>
            <w:r w:rsidRPr="001D6D86">
              <w:rPr>
                <w:rFonts w:eastAsia="Calibri"/>
                <w:sz w:val="22"/>
                <w:szCs w:val="22"/>
                <w:lang w:val="sr-Latn-ME"/>
              </w:rPr>
              <w:t>2,1</w:t>
            </w:r>
            <w:r w:rsidRPr="001D6D86">
              <w:rPr>
                <w:rFonts w:eastAsia="Calibri"/>
                <w:spacing w:val="-1"/>
                <w:sz w:val="22"/>
                <w:szCs w:val="22"/>
                <w:lang w:val="sr-Latn-ME"/>
              </w:rPr>
              <w:t xml:space="preserve"> </w:t>
            </w:r>
            <w:r w:rsidRPr="001D6D86">
              <w:rPr>
                <w:rFonts w:eastAsia="Calibri"/>
                <w:sz w:val="22"/>
                <w:szCs w:val="22"/>
                <w:lang w:val="sr-Latn-ME"/>
              </w:rPr>
              <w:t>puta ↑</w:t>
            </w:r>
          </w:p>
        </w:tc>
      </w:tr>
      <w:tr w:rsidR="00030415" w:rsidRPr="001D6D86" w14:paraId="0A867B80" w14:textId="77777777" w:rsidTr="006B230D">
        <w:trPr>
          <w:trHeight w:hRule="exact" w:val="940"/>
        </w:trPr>
        <w:tc>
          <w:tcPr>
            <w:tcW w:w="3322" w:type="dxa"/>
            <w:gridSpan w:val="2"/>
            <w:tcBorders>
              <w:top w:val="single" w:sz="4" w:space="0" w:color="000000"/>
              <w:left w:val="single" w:sz="4" w:space="0" w:color="000000"/>
              <w:bottom w:val="single" w:sz="4" w:space="0" w:color="auto"/>
              <w:right w:val="single" w:sz="4" w:space="0" w:color="000000"/>
            </w:tcBorders>
          </w:tcPr>
          <w:p w14:paraId="78F91F21" w14:textId="77777777" w:rsidR="00030415" w:rsidRPr="001D6D86" w:rsidRDefault="00030415" w:rsidP="0026307D">
            <w:pPr>
              <w:widowControl w:val="0"/>
              <w:spacing w:line="242" w:lineRule="auto"/>
              <w:ind w:left="105" w:right="154"/>
              <w:jc w:val="both"/>
              <w:rPr>
                <w:sz w:val="22"/>
                <w:szCs w:val="22"/>
                <w:lang w:val="sr-Latn-ME"/>
              </w:rPr>
            </w:pPr>
            <w:r w:rsidRPr="001D6D86">
              <w:rPr>
                <w:rFonts w:eastAsia="Calibri"/>
                <w:sz w:val="22"/>
                <w:szCs w:val="22"/>
                <w:lang w:val="sr-Latn-ME"/>
              </w:rPr>
              <w:t>Klopidogrel 300 mg u</w:t>
            </w:r>
            <w:r w:rsidRPr="001D6D86">
              <w:rPr>
                <w:rFonts w:eastAsia="Calibri"/>
                <w:spacing w:val="-8"/>
                <w:sz w:val="22"/>
                <w:szCs w:val="22"/>
                <w:lang w:val="sr-Latn-ME"/>
              </w:rPr>
              <w:t xml:space="preserve"> </w:t>
            </w:r>
            <w:r w:rsidRPr="001D6D86">
              <w:rPr>
                <w:rFonts w:eastAsia="Calibri"/>
                <w:sz w:val="22"/>
                <w:szCs w:val="22"/>
                <w:lang w:val="sr-Latn-ME"/>
              </w:rPr>
              <w:t>udarnoj</w:t>
            </w:r>
            <w:r w:rsidRPr="001D6D86">
              <w:rPr>
                <w:rFonts w:eastAsia="Calibri"/>
                <w:spacing w:val="-2"/>
                <w:sz w:val="22"/>
                <w:szCs w:val="22"/>
                <w:lang w:val="sr-Latn-ME"/>
              </w:rPr>
              <w:t xml:space="preserve"> </w:t>
            </w:r>
            <w:r w:rsidRPr="001D6D86">
              <w:rPr>
                <w:rFonts w:eastAsia="Calibri"/>
                <w:sz w:val="22"/>
                <w:szCs w:val="22"/>
                <w:lang w:val="sr-Latn-ME"/>
              </w:rPr>
              <w:t xml:space="preserve">dozi, praćeno kao 75mg nakon 24 </w:t>
            </w:r>
            <w:r w:rsidRPr="001D6D86">
              <w:rPr>
                <w:rFonts w:eastAsia="Calibri"/>
                <w:spacing w:val="-20"/>
                <w:sz w:val="22"/>
                <w:szCs w:val="22"/>
                <w:lang w:val="sr-Latn-ME"/>
              </w:rPr>
              <w:t xml:space="preserve"> </w:t>
            </w:r>
            <w:r w:rsidRPr="001D6D86">
              <w:rPr>
                <w:rFonts w:eastAsia="Calibri"/>
                <w:sz w:val="22"/>
                <w:szCs w:val="22"/>
                <w:lang w:val="sr-Latn-ME"/>
              </w:rPr>
              <w:t>sata</w:t>
            </w:r>
          </w:p>
        </w:tc>
        <w:tc>
          <w:tcPr>
            <w:tcW w:w="3317" w:type="dxa"/>
            <w:tcBorders>
              <w:top w:val="single" w:sz="4" w:space="0" w:color="000000"/>
              <w:left w:val="single" w:sz="4" w:space="0" w:color="000000"/>
              <w:bottom w:val="single" w:sz="4" w:space="0" w:color="auto"/>
              <w:right w:val="single" w:sz="4" w:space="0" w:color="000000"/>
            </w:tcBorders>
          </w:tcPr>
          <w:p w14:paraId="082C2E27"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20 mg,pojedinačna</w:t>
            </w:r>
            <w:r w:rsidRPr="001D6D86">
              <w:rPr>
                <w:rFonts w:eastAsia="Calibri"/>
                <w:spacing w:val="-15"/>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000000"/>
              <w:left w:val="single" w:sz="4" w:space="0" w:color="000000"/>
              <w:bottom w:val="single" w:sz="4" w:space="0" w:color="auto"/>
              <w:right w:val="single" w:sz="4" w:space="0" w:color="000000"/>
            </w:tcBorders>
          </w:tcPr>
          <w:p w14:paraId="21F336B5" w14:textId="77777777" w:rsidR="00030415" w:rsidRPr="001D6D86" w:rsidRDefault="00030415" w:rsidP="0026307D">
            <w:pPr>
              <w:widowControl w:val="0"/>
              <w:spacing w:before="159"/>
              <w:ind w:left="105"/>
              <w:jc w:val="both"/>
              <w:rPr>
                <w:sz w:val="22"/>
                <w:szCs w:val="22"/>
                <w:lang w:val="sr-Latn-ME"/>
              </w:rPr>
            </w:pPr>
            <w:r w:rsidRPr="001D6D86">
              <w:rPr>
                <w:rFonts w:eastAsia="Calibri"/>
                <w:sz w:val="22"/>
                <w:szCs w:val="22"/>
                <w:lang w:val="sr-Latn-ME"/>
              </w:rPr>
              <w:t>2</w:t>
            </w:r>
            <w:r w:rsidRPr="001D6D86">
              <w:rPr>
                <w:rFonts w:eastAsia="Calibri"/>
                <w:spacing w:val="-5"/>
                <w:sz w:val="22"/>
                <w:szCs w:val="22"/>
                <w:lang w:val="sr-Latn-ME"/>
              </w:rPr>
              <w:t xml:space="preserve"> </w:t>
            </w:r>
            <w:r w:rsidRPr="001D6D86">
              <w:rPr>
                <w:rFonts w:eastAsia="Calibri"/>
                <w:sz w:val="22"/>
                <w:szCs w:val="22"/>
                <w:lang w:val="sr-Latn-ME"/>
              </w:rPr>
              <w:t>puta ↑</w:t>
            </w:r>
          </w:p>
        </w:tc>
      </w:tr>
      <w:tr w:rsidR="00030415" w:rsidRPr="001D6D86" w14:paraId="2898BE6C" w14:textId="77777777" w:rsidTr="006B230D">
        <w:trPr>
          <w:trHeight w:hRule="exact" w:val="609"/>
        </w:trPr>
        <w:tc>
          <w:tcPr>
            <w:tcW w:w="3322" w:type="dxa"/>
            <w:gridSpan w:val="2"/>
            <w:tcBorders>
              <w:top w:val="single" w:sz="4" w:space="0" w:color="000000"/>
              <w:left w:val="single" w:sz="4" w:space="0" w:color="000000"/>
              <w:bottom w:val="single" w:sz="4" w:space="0" w:color="auto"/>
              <w:right w:val="single" w:sz="4" w:space="0" w:color="000000"/>
            </w:tcBorders>
          </w:tcPr>
          <w:p w14:paraId="643C8463" w14:textId="77777777" w:rsidR="00030415" w:rsidRPr="001D6D86" w:rsidRDefault="00030415" w:rsidP="0026307D">
            <w:pPr>
              <w:widowControl w:val="0"/>
              <w:spacing w:line="242" w:lineRule="auto"/>
              <w:ind w:left="105" w:right="154"/>
              <w:jc w:val="both"/>
              <w:rPr>
                <w:rFonts w:eastAsia="Calibri"/>
                <w:sz w:val="22"/>
                <w:szCs w:val="22"/>
                <w:lang w:val="sr-Latn-ME"/>
              </w:rPr>
            </w:pPr>
            <w:r w:rsidRPr="001D6D86">
              <w:rPr>
                <w:rFonts w:eastAsia="Calibri"/>
                <w:sz w:val="22"/>
                <w:szCs w:val="22"/>
                <w:lang w:val="sr-Latn-ME"/>
              </w:rPr>
              <w:t>Fostamatinib 100 mg, dva puta dnevno</w:t>
            </w:r>
          </w:p>
        </w:tc>
        <w:tc>
          <w:tcPr>
            <w:tcW w:w="3317" w:type="dxa"/>
            <w:tcBorders>
              <w:top w:val="single" w:sz="4" w:space="0" w:color="000000"/>
              <w:left w:val="single" w:sz="4" w:space="0" w:color="000000"/>
              <w:bottom w:val="single" w:sz="4" w:space="0" w:color="auto"/>
              <w:right w:val="single" w:sz="4" w:space="0" w:color="000000"/>
            </w:tcBorders>
          </w:tcPr>
          <w:p w14:paraId="00AFAE39"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20 mg, pojedinačna doza</w:t>
            </w:r>
          </w:p>
        </w:tc>
        <w:tc>
          <w:tcPr>
            <w:tcW w:w="3137" w:type="dxa"/>
            <w:gridSpan w:val="2"/>
            <w:tcBorders>
              <w:top w:val="single" w:sz="4" w:space="0" w:color="000000"/>
              <w:left w:val="single" w:sz="4" w:space="0" w:color="000000"/>
              <w:bottom w:val="single" w:sz="4" w:space="0" w:color="auto"/>
              <w:right w:val="single" w:sz="4" w:space="0" w:color="000000"/>
            </w:tcBorders>
          </w:tcPr>
          <w:p w14:paraId="6EBB7587" w14:textId="77777777" w:rsidR="00030415" w:rsidRPr="001D6D86" w:rsidRDefault="00030415" w:rsidP="0026307D">
            <w:pPr>
              <w:widowControl w:val="0"/>
              <w:spacing w:before="159"/>
              <w:ind w:left="105"/>
              <w:jc w:val="both"/>
              <w:rPr>
                <w:rFonts w:eastAsia="Calibri"/>
                <w:sz w:val="22"/>
                <w:szCs w:val="22"/>
                <w:lang w:val="sr-Latn-ME"/>
              </w:rPr>
            </w:pPr>
            <w:r w:rsidRPr="001D6D86">
              <w:rPr>
                <w:rFonts w:eastAsia="Calibri"/>
                <w:sz w:val="22"/>
                <w:szCs w:val="22"/>
                <w:lang w:val="sr-Latn-ME"/>
              </w:rPr>
              <w:t>2,0</w:t>
            </w:r>
            <w:r w:rsidRPr="001D6D86">
              <w:rPr>
                <w:rFonts w:eastAsia="Calibri"/>
                <w:spacing w:val="-5"/>
                <w:sz w:val="22"/>
                <w:szCs w:val="22"/>
                <w:lang w:val="sr-Latn-ME"/>
              </w:rPr>
              <w:t xml:space="preserve"> </w:t>
            </w:r>
            <w:r w:rsidRPr="001D6D86">
              <w:rPr>
                <w:rFonts w:eastAsia="Calibri"/>
                <w:sz w:val="22"/>
                <w:szCs w:val="22"/>
                <w:lang w:val="sr-Latn-ME"/>
              </w:rPr>
              <w:t>puta ↑</w:t>
            </w:r>
          </w:p>
        </w:tc>
      </w:tr>
      <w:tr w:rsidR="00030415" w:rsidRPr="001D6D86" w14:paraId="0443FC10" w14:textId="77777777" w:rsidTr="006B230D">
        <w:trPr>
          <w:trHeight w:hRule="exact" w:val="609"/>
        </w:trPr>
        <w:tc>
          <w:tcPr>
            <w:tcW w:w="3322" w:type="dxa"/>
            <w:gridSpan w:val="2"/>
            <w:tcBorders>
              <w:top w:val="single" w:sz="4" w:space="0" w:color="000000"/>
              <w:left w:val="single" w:sz="4" w:space="0" w:color="000000"/>
              <w:bottom w:val="single" w:sz="4" w:space="0" w:color="auto"/>
              <w:right w:val="single" w:sz="4" w:space="0" w:color="000000"/>
            </w:tcBorders>
          </w:tcPr>
          <w:p w14:paraId="06CDF65A" w14:textId="77777777" w:rsidR="00030415" w:rsidRPr="001D6D86" w:rsidRDefault="00030415" w:rsidP="0026307D">
            <w:pPr>
              <w:widowControl w:val="0"/>
              <w:spacing w:line="242" w:lineRule="auto"/>
              <w:ind w:left="105" w:right="154"/>
              <w:jc w:val="both"/>
              <w:rPr>
                <w:rFonts w:eastAsia="Calibri"/>
                <w:sz w:val="22"/>
                <w:szCs w:val="22"/>
                <w:lang w:val="sr-Latn-ME"/>
              </w:rPr>
            </w:pPr>
            <w:r w:rsidRPr="001D6D86">
              <w:rPr>
                <w:rFonts w:eastAsia="Calibri"/>
                <w:sz w:val="22"/>
                <w:szCs w:val="22"/>
                <w:lang w:val="sr-Latn-ME"/>
              </w:rPr>
              <w:t>Febuksostat 120 mg jednom dnevno</w:t>
            </w:r>
          </w:p>
        </w:tc>
        <w:tc>
          <w:tcPr>
            <w:tcW w:w="3317" w:type="dxa"/>
            <w:tcBorders>
              <w:top w:val="single" w:sz="4" w:space="0" w:color="000000"/>
              <w:left w:val="single" w:sz="4" w:space="0" w:color="000000"/>
              <w:bottom w:val="single" w:sz="4" w:space="0" w:color="auto"/>
              <w:right w:val="single" w:sz="4" w:space="0" w:color="000000"/>
            </w:tcBorders>
          </w:tcPr>
          <w:p w14:paraId="26708841"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10 mg,  pojedinačna doza</w:t>
            </w:r>
          </w:p>
        </w:tc>
        <w:tc>
          <w:tcPr>
            <w:tcW w:w="3137" w:type="dxa"/>
            <w:gridSpan w:val="2"/>
            <w:tcBorders>
              <w:top w:val="single" w:sz="4" w:space="0" w:color="000000"/>
              <w:left w:val="single" w:sz="4" w:space="0" w:color="000000"/>
              <w:bottom w:val="single" w:sz="4" w:space="0" w:color="auto"/>
              <w:right w:val="single" w:sz="4" w:space="0" w:color="000000"/>
            </w:tcBorders>
          </w:tcPr>
          <w:p w14:paraId="4627E9DF" w14:textId="77777777" w:rsidR="00030415" w:rsidRPr="001D6D86" w:rsidRDefault="00030415" w:rsidP="0026307D">
            <w:pPr>
              <w:widowControl w:val="0"/>
              <w:spacing w:before="159"/>
              <w:ind w:left="105"/>
              <w:jc w:val="both"/>
              <w:rPr>
                <w:rFonts w:eastAsia="Calibri"/>
                <w:sz w:val="22"/>
                <w:szCs w:val="22"/>
                <w:lang w:val="sr-Latn-ME"/>
              </w:rPr>
            </w:pPr>
            <w:r w:rsidRPr="001D6D86">
              <w:rPr>
                <w:rFonts w:eastAsia="Calibri"/>
                <w:sz w:val="22"/>
                <w:szCs w:val="22"/>
                <w:lang w:val="sr-Latn-ME"/>
              </w:rPr>
              <w:t>1,9</w:t>
            </w:r>
            <w:r w:rsidRPr="001D6D86">
              <w:rPr>
                <w:rFonts w:eastAsia="Calibri"/>
                <w:spacing w:val="-1"/>
                <w:sz w:val="22"/>
                <w:szCs w:val="22"/>
                <w:lang w:val="sr-Latn-ME"/>
              </w:rPr>
              <w:t xml:space="preserve"> </w:t>
            </w:r>
            <w:r w:rsidRPr="001D6D86">
              <w:rPr>
                <w:rFonts w:eastAsia="Calibri"/>
                <w:sz w:val="22"/>
                <w:szCs w:val="22"/>
                <w:lang w:val="sr-Latn-ME"/>
              </w:rPr>
              <w:t>puta ↑</w:t>
            </w:r>
          </w:p>
        </w:tc>
      </w:tr>
      <w:tr w:rsidR="00030415" w:rsidRPr="001D6D86" w14:paraId="51C95E57" w14:textId="77777777" w:rsidTr="006B230D">
        <w:trPr>
          <w:trHeight w:hRule="exact" w:val="631"/>
        </w:trPr>
        <w:tc>
          <w:tcPr>
            <w:tcW w:w="3322" w:type="dxa"/>
            <w:gridSpan w:val="2"/>
            <w:tcBorders>
              <w:top w:val="single" w:sz="4" w:space="0" w:color="auto"/>
              <w:left w:val="single" w:sz="4" w:space="0" w:color="000000"/>
              <w:bottom w:val="single" w:sz="4" w:space="0" w:color="auto"/>
              <w:right w:val="single" w:sz="4" w:space="0" w:color="000000"/>
            </w:tcBorders>
          </w:tcPr>
          <w:p w14:paraId="3F29A271" w14:textId="77777777" w:rsidR="00030415" w:rsidRPr="001D6D86" w:rsidRDefault="00030415" w:rsidP="0026307D">
            <w:pPr>
              <w:widowControl w:val="0"/>
              <w:spacing w:line="242" w:lineRule="auto"/>
              <w:ind w:left="105" w:right="154"/>
              <w:jc w:val="both"/>
              <w:rPr>
                <w:rFonts w:eastAsia="Calibri"/>
                <w:sz w:val="22"/>
                <w:szCs w:val="22"/>
                <w:lang w:val="sr-Latn-ME"/>
              </w:rPr>
            </w:pPr>
            <w:r w:rsidRPr="001D6D86">
              <w:rPr>
                <w:rFonts w:eastAsia="Calibri"/>
                <w:sz w:val="22"/>
                <w:szCs w:val="22"/>
                <w:lang w:val="sr-Latn-ME"/>
              </w:rPr>
              <w:t>Gemfibrozil 600 mg dva puta dnevno, 7</w:t>
            </w:r>
            <w:r w:rsidRPr="001D6D86">
              <w:rPr>
                <w:rFonts w:eastAsia="Calibri"/>
                <w:spacing w:val="-15"/>
                <w:sz w:val="22"/>
                <w:szCs w:val="22"/>
                <w:lang w:val="sr-Latn-ME"/>
              </w:rPr>
              <w:t xml:space="preserve"> </w:t>
            </w:r>
            <w:r w:rsidRPr="001D6D86">
              <w:rPr>
                <w:rFonts w:eastAsia="Calibri"/>
                <w:sz w:val="22"/>
                <w:szCs w:val="22"/>
                <w:lang w:val="sr-Latn-ME"/>
              </w:rPr>
              <w:t>dana</w:t>
            </w:r>
          </w:p>
        </w:tc>
        <w:tc>
          <w:tcPr>
            <w:tcW w:w="3317" w:type="dxa"/>
            <w:tcBorders>
              <w:top w:val="single" w:sz="4" w:space="0" w:color="auto"/>
              <w:left w:val="single" w:sz="4" w:space="0" w:color="000000"/>
              <w:bottom w:val="single" w:sz="4" w:space="0" w:color="auto"/>
              <w:right w:val="single" w:sz="4" w:space="0" w:color="000000"/>
            </w:tcBorders>
          </w:tcPr>
          <w:p w14:paraId="3B499E78" w14:textId="77777777" w:rsidR="00030415" w:rsidRPr="001D6D86" w:rsidRDefault="00030415" w:rsidP="0026307D">
            <w:pPr>
              <w:widowControl w:val="0"/>
              <w:spacing w:line="244" w:lineRule="exact"/>
              <w:ind w:left="105"/>
              <w:jc w:val="both"/>
              <w:rPr>
                <w:rFonts w:eastAsia="Calibri"/>
                <w:sz w:val="22"/>
                <w:szCs w:val="22"/>
                <w:lang w:val="sr-Latn-ME"/>
              </w:rPr>
            </w:pPr>
            <w:r w:rsidRPr="001D6D86">
              <w:rPr>
                <w:rFonts w:eastAsia="Calibri"/>
                <w:sz w:val="22"/>
                <w:szCs w:val="22"/>
                <w:lang w:val="sr-Latn-ME"/>
              </w:rPr>
              <w:t>80 mg, pojedinačna</w:t>
            </w:r>
            <w:r w:rsidRPr="001D6D86">
              <w:rPr>
                <w:rFonts w:eastAsia="Calibri"/>
                <w:spacing w:val="-13"/>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auto"/>
              <w:left w:val="single" w:sz="4" w:space="0" w:color="000000"/>
              <w:bottom w:val="single" w:sz="4" w:space="0" w:color="auto"/>
              <w:right w:val="single" w:sz="4" w:space="0" w:color="000000"/>
            </w:tcBorders>
          </w:tcPr>
          <w:p w14:paraId="12513E22" w14:textId="77777777" w:rsidR="00030415" w:rsidRPr="001D6D86" w:rsidRDefault="00030415" w:rsidP="0026307D">
            <w:pPr>
              <w:widowControl w:val="0"/>
              <w:ind w:left="105"/>
              <w:jc w:val="both"/>
              <w:rPr>
                <w:rFonts w:eastAsia="Calibri"/>
                <w:sz w:val="22"/>
                <w:szCs w:val="22"/>
                <w:lang w:val="sr-Latn-ME"/>
              </w:rPr>
            </w:pPr>
            <w:r w:rsidRPr="001D6D86">
              <w:rPr>
                <w:rFonts w:eastAsia="Calibri"/>
                <w:sz w:val="22"/>
                <w:szCs w:val="22"/>
                <w:lang w:val="sr-Latn-ME"/>
              </w:rPr>
              <w:t>1,9</w:t>
            </w:r>
            <w:r w:rsidRPr="001D6D86">
              <w:rPr>
                <w:rFonts w:eastAsia="Calibri"/>
                <w:spacing w:val="-1"/>
                <w:sz w:val="22"/>
                <w:szCs w:val="22"/>
                <w:lang w:val="sr-Latn-ME"/>
              </w:rPr>
              <w:t xml:space="preserve"> </w:t>
            </w:r>
            <w:r w:rsidRPr="001D6D86">
              <w:rPr>
                <w:rFonts w:eastAsia="Calibri"/>
                <w:sz w:val="22"/>
                <w:szCs w:val="22"/>
                <w:lang w:val="sr-Latn-ME"/>
              </w:rPr>
              <w:t>puta ↑</w:t>
            </w:r>
          </w:p>
        </w:tc>
      </w:tr>
      <w:tr w:rsidR="00030415" w:rsidRPr="001D6D86" w14:paraId="4F6A6411" w14:textId="77777777" w:rsidTr="006B230D">
        <w:trPr>
          <w:trHeight w:hRule="exact" w:val="255"/>
        </w:trPr>
        <w:tc>
          <w:tcPr>
            <w:tcW w:w="9776" w:type="dxa"/>
            <w:gridSpan w:val="5"/>
            <w:tcBorders>
              <w:top w:val="single" w:sz="4" w:space="0" w:color="auto"/>
              <w:bottom w:val="single" w:sz="4" w:space="0" w:color="auto"/>
            </w:tcBorders>
          </w:tcPr>
          <w:p w14:paraId="35350E17" w14:textId="77777777" w:rsidR="00030415" w:rsidRPr="001D6D86" w:rsidRDefault="00030415" w:rsidP="0026307D">
            <w:pPr>
              <w:widowControl w:val="0"/>
              <w:spacing w:before="159"/>
              <w:ind w:left="105"/>
              <w:jc w:val="both"/>
              <w:rPr>
                <w:rFonts w:eastAsia="Calibri"/>
                <w:sz w:val="22"/>
                <w:szCs w:val="22"/>
                <w:lang w:val="sr-Latn-ME"/>
              </w:rPr>
            </w:pPr>
          </w:p>
        </w:tc>
      </w:tr>
      <w:tr w:rsidR="00030415" w:rsidRPr="001D6D86" w14:paraId="3D08E766" w14:textId="77777777" w:rsidTr="006B230D">
        <w:trPr>
          <w:trHeight w:hRule="exact" w:val="280"/>
        </w:trPr>
        <w:tc>
          <w:tcPr>
            <w:tcW w:w="9776" w:type="dxa"/>
            <w:gridSpan w:val="5"/>
            <w:tcBorders>
              <w:top w:val="single" w:sz="4" w:space="0" w:color="auto"/>
              <w:left w:val="single" w:sz="4" w:space="0" w:color="000000"/>
              <w:bottom w:val="single" w:sz="4" w:space="0" w:color="000000"/>
              <w:right w:val="single" w:sz="4" w:space="0" w:color="000000"/>
            </w:tcBorders>
          </w:tcPr>
          <w:p w14:paraId="3F8DC69A" w14:textId="3904343F" w:rsidR="00030415" w:rsidRPr="001D6D86" w:rsidRDefault="00030415" w:rsidP="0026307D">
            <w:pPr>
              <w:widowControl w:val="0"/>
              <w:ind w:left="105"/>
              <w:jc w:val="both"/>
              <w:rPr>
                <w:rFonts w:eastAsia="Calibri"/>
                <w:b/>
                <w:bCs/>
                <w:sz w:val="22"/>
                <w:szCs w:val="22"/>
                <w:lang w:val="sr-Latn-ME"/>
              </w:rPr>
            </w:pPr>
            <w:r w:rsidRPr="001D6D86">
              <w:rPr>
                <w:rFonts w:eastAsia="Calibri"/>
                <w:b/>
                <w:bCs/>
                <w:sz w:val="22"/>
                <w:szCs w:val="22"/>
                <w:lang w:val="sr-Latn-ME"/>
              </w:rPr>
              <w:t>Povećanje vr</w:t>
            </w:r>
            <w:r w:rsidR="00693A6D" w:rsidRPr="001D6D86">
              <w:rPr>
                <w:rFonts w:eastAsia="Calibri"/>
                <w:b/>
                <w:bCs/>
                <w:sz w:val="22"/>
                <w:szCs w:val="22"/>
                <w:lang w:val="sr-Latn-ME"/>
              </w:rPr>
              <w:t>ij</w:t>
            </w:r>
            <w:r w:rsidRPr="001D6D86">
              <w:rPr>
                <w:rFonts w:eastAsia="Calibri"/>
                <w:b/>
                <w:bCs/>
                <w:sz w:val="22"/>
                <w:szCs w:val="22"/>
                <w:lang w:val="sr-Latn-ME"/>
              </w:rPr>
              <w:t>ednosti PIK rosuvastatina manje od 2 puta</w:t>
            </w:r>
          </w:p>
        </w:tc>
      </w:tr>
      <w:tr w:rsidR="006B230D" w:rsidRPr="001D6D86" w14:paraId="66F6FF37" w14:textId="77777777" w:rsidTr="0026307D">
        <w:trPr>
          <w:trHeight w:hRule="exact" w:val="720"/>
        </w:trPr>
        <w:tc>
          <w:tcPr>
            <w:tcW w:w="3256" w:type="dxa"/>
            <w:tcBorders>
              <w:top w:val="single" w:sz="4" w:space="0" w:color="000000"/>
              <w:left w:val="single" w:sz="4" w:space="0" w:color="000000"/>
              <w:bottom w:val="single" w:sz="4" w:space="0" w:color="000000"/>
              <w:right w:val="single" w:sz="4" w:space="0" w:color="000000"/>
            </w:tcBorders>
          </w:tcPr>
          <w:p w14:paraId="0B8E827E" w14:textId="1C00D9AB" w:rsidR="006B230D" w:rsidRPr="001D6D86" w:rsidRDefault="006B230D" w:rsidP="006B230D">
            <w:pPr>
              <w:widowControl w:val="0"/>
              <w:ind w:left="105"/>
              <w:jc w:val="both"/>
              <w:rPr>
                <w:rFonts w:eastAsia="Calibri"/>
                <w:b/>
                <w:bCs/>
                <w:sz w:val="22"/>
                <w:szCs w:val="22"/>
                <w:lang w:val="sr-Latn-ME"/>
              </w:rPr>
            </w:pPr>
            <w:r w:rsidRPr="001D6D86">
              <w:rPr>
                <w:rFonts w:eastAsia="Calibri"/>
                <w:b/>
                <w:sz w:val="22"/>
                <w:szCs w:val="22"/>
                <w:lang w:val="sr-Latn-ME"/>
              </w:rPr>
              <w:t>Režim doziranja lijeka koji</w:t>
            </w:r>
            <w:r w:rsidRPr="001D6D86">
              <w:rPr>
                <w:rFonts w:eastAsia="Calibri"/>
                <w:b/>
                <w:spacing w:val="38"/>
                <w:sz w:val="22"/>
                <w:szCs w:val="22"/>
                <w:lang w:val="sr-Latn-ME"/>
              </w:rPr>
              <w:t xml:space="preserve"> </w:t>
            </w:r>
            <w:r w:rsidRPr="001D6D86">
              <w:rPr>
                <w:rFonts w:eastAsia="Calibri"/>
                <w:b/>
                <w:sz w:val="22"/>
                <w:szCs w:val="22"/>
                <w:lang w:val="sr-Latn-ME"/>
              </w:rPr>
              <w:t>stupa u interakciju sa</w:t>
            </w:r>
            <w:r w:rsidRPr="001D6D86">
              <w:rPr>
                <w:rFonts w:eastAsia="Calibri"/>
                <w:b/>
                <w:spacing w:val="-18"/>
                <w:sz w:val="22"/>
                <w:szCs w:val="22"/>
                <w:lang w:val="sr-Latn-ME"/>
              </w:rPr>
              <w:t xml:space="preserve"> </w:t>
            </w:r>
            <w:r w:rsidRPr="001D6D86">
              <w:rPr>
                <w:rFonts w:eastAsia="Calibri"/>
                <w:b/>
                <w:sz w:val="22"/>
                <w:szCs w:val="22"/>
                <w:lang w:val="sr-Latn-ME"/>
              </w:rPr>
              <w:t>rosuvastatinom</w:t>
            </w:r>
          </w:p>
        </w:tc>
        <w:tc>
          <w:tcPr>
            <w:tcW w:w="3402" w:type="dxa"/>
            <w:gridSpan w:val="3"/>
            <w:tcBorders>
              <w:top w:val="single" w:sz="4" w:space="0" w:color="000000"/>
              <w:left w:val="single" w:sz="4" w:space="0" w:color="000000"/>
              <w:bottom w:val="single" w:sz="4" w:space="0" w:color="000000"/>
              <w:right w:val="single" w:sz="4" w:space="0" w:color="000000"/>
            </w:tcBorders>
          </w:tcPr>
          <w:p w14:paraId="7530E50D" w14:textId="67AB24B3" w:rsidR="006B230D" w:rsidRPr="001D6D86" w:rsidRDefault="006B230D" w:rsidP="006B230D">
            <w:pPr>
              <w:widowControl w:val="0"/>
              <w:ind w:left="105"/>
              <w:jc w:val="both"/>
              <w:rPr>
                <w:rFonts w:eastAsia="Calibri"/>
                <w:b/>
                <w:bCs/>
                <w:sz w:val="22"/>
                <w:szCs w:val="22"/>
                <w:lang w:val="sr-Latn-ME"/>
              </w:rPr>
            </w:pPr>
            <w:r w:rsidRPr="001D6D86">
              <w:rPr>
                <w:rFonts w:eastAsia="Calibri"/>
                <w:b/>
                <w:sz w:val="22"/>
                <w:szCs w:val="22"/>
                <w:lang w:val="sr-Latn-ME"/>
              </w:rPr>
              <w:t>Režim</w:t>
            </w:r>
            <w:r w:rsidRPr="001D6D86">
              <w:rPr>
                <w:rFonts w:eastAsia="Calibri"/>
                <w:b/>
                <w:spacing w:val="-3"/>
                <w:sz w:val="22"/>
                <w:szCs w:val="22"/>
                <w:lang w:val="sr-Latn-ME"/>
              </w:rPr>
              <w:t xml:space="preserve"> </w:t>
            </w:r>
            <w:r w:rsidRPr="001D6D86">
              <w:rPr>
                <w:rFonts w:eastAsia="Calibri"/>
                <w:b/>
                <w:sz w:val="22"/>
                <w:szCs w:val="22"/>
                <w:lang w:val="sr-Latn-ME"/>
              </w:rPr>
              <w:t>doziranja rosuvastatina</w:t>
            </w:r>
          </w:p>
        </w:tc>
        <w:tc>
          <w:tcPr>
            <w:tcW w:w="3118" w:type="dxa"/>
            <w:tcBorders>
              <w:top w:val="single" w:sz="4" w:space="0" w:color="000000"/>
              <w:left w:val="single" w:sz="4" w:space="0" w:color="000000"/>
              <w:bottom w:val="single" w:sz="4" w:space="0" w:color="000000"/>
              <w:right w:val="single" w:sz="4" w:space="0" w:color="000000"/>
            </w:tcBorders>
          </w:tcPr>
          <w:p w14:paraId="505EFC04" w14:textId="2BABCDFB" w:rsidR="006B230D" w:rsidRPr="001D6D86" w:rsidRDefault="006B230D" w:rsidP="006B230D">
            <w:pPr>
              <w:widowControl w:val="0"/>
              <w:ind w:left="105"/>
              <w:jc w:val="both"/>
              <w:rPr>
                <w:rFonts w:eastAsia="Calibri"/>
                <w:b/>
                <w:bCs/>
                <w:sz w:val="22"/>
                <w:szCs w:val="22"/>
                <w:lang w:val="sr-Latn-ME"/>
              </w:rPr>
            </w:pPr>
            <w:r w:rsidRPr="001D6D86">
              <w:rPr>
                <w:rFonts w:eastAsia="Calibri"/>
                <w:b/>
                <w:sz w:val="22"/>
                <w:szCs w:val="22"/>
                <w:lang w:val="sr-Latn-ME"/>
              </w:rPr>
              <w:t>Promjena u</w:t>
            </w:r>
            <w:r w:rsidRPr="001D6D86">
              <w:rPr>
                <w:rFonts w:eastAsia="Calibri"/>
                <w:b/>
                <w:spacing w:val="-9"/>
                <w:sz w:val="22"/>
                <w:szCs w:val="22"/>
                <w:lang w:val="sr-Latn-ME"/>
              </w:rPr>
              <w:t xml:space="preserve"> </w:t>
            </w:r>
            <w:r w:rsidRPr="001D6D86">
              <w:rPr>
                <w:rFonts w:eastAsia="Calibri"/>
                <w:b/>
                <w:sz w:val="22"/>
                <w:szCs w:val="22"/>
                <w:lang w:val="sr-Latn-ME"/>
              </w:rPr>
              <w:t>vrijednosti</w:t>
            </w:r>
            <w:r w:rsidRPr="001D6D86">
              <w:rPr>
                <w:rFonts w:eastAsia="Calibri"/>
                <w:b/>
                <w:spacing w:val="-1"/>
                <w:sz w:val="22"/>
                <w:szCs w:val="22"/>
                <w:lang w:val="sr-Latn-ME"/>
              </w:rPr>
              <w:t xml:space="preserve"> </w:t>
            </w:r>
            <w:r w:rsidRPr="001D6D86">
              <w:rPr>
                <w:rFonts w:eastAsia="Calibri"/>
                <w:b/>
                <w:sz w:val="22"/>
                <w:szCs w:val="22"/>
                <w:lang w:val="sr-Latn-ME"/>
              </w:rPr>
              <w:t>PIK*</w:t>
            </w:r>
            <w:r w:rsidRPr="001D6D86">
              <w:rPr>
                <w:rFonts w:eastAsia="Calibri"/>
                <w:b/>
                <w:spacing w:val="-11"/>
                <w:sz w:val="22"/>
                <w:szCs w:val="22"/>
                <w:lang w:val="sr-Latn-ME"/>
              </w:rPr>
              <w:t xml:space="preserve"> </w:t>
            </w:r>
            <w:r w:rsidRPr="001D6D86">
              <w:rPr>
                <w:rFonts w:eastAsia="Calibri"/>
                <w:b/>
                <w:sz w:val="22"/>
                <w:szCs w:val="22"/>
                <w:lang w:val="sr-Latn-ME"/>
              </w:rPr>
              <w:t>rosuvastatina</w:t>
            </w:r>
          </w:p>
        </w:tc>
      </w:tr>
      <w:tr w:rsidR="006B230D" w:rsidRPr="001D6D86" w14:paraId="3E000311" w14:textId="77777777" w:rsidTr="006B230D">
        <w:trPr>
          <w:trHeight w:hRule="exact" w:val="747"/>
        </w:trPr>
        <w:tc>
          <w:tcPr>
            <w:tcW w:w="3322" w:type="dxa"/>
            <w:gridSpan w:val="2"/>
            <w:tcBorders>
              <w:top w:val="single" w:sz="4" w:space="0" w:color="000000"/>
              <w:left w:val="single" w:sz="4" w:space="0" w:color="000000"/>
              <w:bottom w:val="single" w:sz="4" w:space="0" w:color="000000"/>
              <w:right w:val="single" w:sz="4" w:space="0" w:color="000000"/>
            </w:tcBorders>
          </w:tcPr>
          <w:p w14:paraId="19A20BA6"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Eltrombopag 75 mg jednom dnevno, 5</w:t>
            </w:r>
            <w:r w:rsidRPr="001D6D86">
              <w:rPr>
                <w:rFonts w:eastAsia="Calibri"/>
                <w:spacing w:val="-10"/>
                <w:sz w:val="22"/>
                <w:szCs w:val="22"/>
                <w:lang w:val="sr-Latn-ME"/>
              </w:rPr>
              <w:t xml:space="preserve"> </w:t>
            </w:r>
            <w:r w:rsidRPr="001D6D86">
              <w:rPr>
                <w:rFonts w:eastAsia="Calibri"/>
                <w:spacing w:val="-3"/>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78A59FBD"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10 mg, pojedinačna</w:t>
            </w:r>
            <w:r w:rsidRPr="001D6D86">
              <w:rPr>
                <w:rFonts w:eastAsia="Calibri"/>
                <w:spacing w:val="-13"/>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000000"/>
              <w:left w:val="single" w:sz="4" w:space="0" w:color="000000"/>
              <w:bottom w:val="single" w:sz="4" w:space="0" w:color="000000"/>
              <w:right w:val="single" w:sz="4" w:space="0" w:color="000000"/>
            </w:tcBorders>
          </w:tcPr>
          <w:p w14:paraId="04EE1DF5"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1,6</w:t>
            </w:r>
            <w:r w:rsidRPr="001D6D86">
              <w:rPr>
                <w:rFonts w:eastAsia="Calibri"/>
                <w:spacing w:val="-1"/>
                <w:sz w:val="22"/>
                <w:szCs w:val="22"/>
                <w:lang w:val="sr-Latn-ME"/>
              </w:rPr>
              <w:t xml:space="preserve"> </w:t>
            </w:r>
            <w:r w:rsidRPr="001D6D86">
              <w:rPr>
                <w:rFonts w:eastAsia="Calibri"/>
                <w:sz w:val="22"/>
                <w:szCs w:val="22"/>
                <w:lang w:val="sr-Latn-ME"/>
              </w:rPr>
              <w:t>puta ↑</w:t>
            </w:r>
          </w:p>
        </w:tc>
      </w:tr>
      <w:tr w:rsidR="006B230D" w:rsidRPr="001D6D86" w14:paraId="50CF8FDE" w14:textId="77777777" w:rsidTr="006B230D">
        <w:trPr>
          <w:trHeight w:hRule="exact" w:val="514"/>
        </w:trPr>
        <w:tc>
          <w:tcPr>
            <w:tcW w:w="3322" w:type="dxa"/>
            <w:gridSpan w:val="2"/>
            <w:tcBorders>
              <w:top w:val="single" w:sz="4" w:space="0" w:color="000000"/>
              <w:left w:val="single" w:sz="4" w:space="0" w:color="000000"/>
              <w:bottom w:val="single" w:sz="4" w:space="0" w:color="000000"/>
              <w:right w:val="single" w:sz="4" w:space="0" w:color="000000"/>
            </w:tcBorders>
          </w:tcPr>
          <w:p w14:paraId="21826C75" w14:textId="77777777" w:rsidR="006B230D" w:rsidRPr="001D6D86" w:rsidRDefault="006B230D" w:rsidP="0026307D">
            <w:pPr>
              <w:widowControl w:val="0"/>
              <w:spacing w:line="242" w:lineRule="auto"/>
              <w:ind w:left="105" w:right="386"/>
              <w:jc w:val="both"/>
              <w:rPr>
                <w:sz w:val="22"/>
                <w:szCs w:val="22"/>
                <w:lang w:val="sr-Latn-ME"/>
              </w:rPr>
            </w:pPr>
            <w:r w:rsidRPr="001D6D86">
              <w:rPr>
                <w:rFonts w:eastAsia="Calibri"/>
                <w:sz w:val="22"/>
                <w:szCs w:val="22"/>
                <w:lang w:val="sr-Latn-ME"/>
              </w:rPr>
              <w:t>Darunavir 600 mg/ritonavir</w:t>
            </w:r>
            <w:r w:rsidRPr="001D6D86">
              <w:rPr>
                <w:rFonts w:eastAsia="Calibri"/>
                <w:spacing w:val="-15"/>
                <w:sz w:val="22"/>
                <w:szCs w:val="22"/>
                <w:lang w:val="sr-Latn-ME"/>
              </w:rPr>
              <w:t xml:space="preserve"> </w:t>
            </w:r>
            <w:r w:rsidRPr="001D6D86">
              <w:rPr>
                <w:rFonts w:eastAsia="Calibri"/>
                <w:sz w:val="22"/>
                <w:szCs w:val="22"/>
                <w:lang w:val="sr-Latn-ME"/>
              </w:rPr>
              <w:t>100</w:t>
            </w:r>
            <w:r w:rsidRPr="001D6D86">
              <w:rPr>
                <w:rFonts w:eastAsia="Calibri"/>
                <w:spacing w:val="-1"/>
                <w:sz w:val="22"/>
                <w:szCs w:val="22"/>
                <w:lang w:val="sr-Latn-ME"/>
              </w:rPr>
              <w:t xml:space="preserve"> </w:t>
            </w:r>
            <w:r w:rsidRPr="001D6D86">
              <w:rPr>
                <w:rFonts w:eastAsia="Calibri"/>
                <w:spacing w:val="-3"/>
                <w:sz w:val="22"/>
                <w:szCs w:val="22"/>
                <w:lang w:val="sr-Latn-ME"/>
              </w:rPr>
              <w:t xml:space="preserve">mg </w:t>
            </w:r>
            <w:r w:rsidRPr="001D6D86">
              <w:rPr>
                <w:rFonts w:eastAsia="Calibri"/>
                <w:sz w:val="22"/>
                <w:szCs w:val="22"/>
                <w:lang w:val="sr-Latn-ME"/>
              </w:rPr>
              <w:t>dva puta dnevno, 7</w:t>
            </w:r>
            <w:r w:rsidRPr="001D6D86">
              <w:rPr>
                <w:rFonts w:eastAsia="Calibri"/>
                <w:spacing w:val="3"/>
                <w:sz w:val="22"/>
                <w:szCs w:val="22"/>
                <w:lang w:val="sr-Latn-ME"/>
              </w:rPr>
              <w:t xml:space="preserve"> </w:t>
            </w:r>
            <w:r w:rsidRPr="001D6D86">
              <w:rPr>
                <w:rFonts w:eastAsia="Calibri"/>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238790B5"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10 mg jednom dnevno, 7</w:t>
            </w:r>
            <w:r w:rsidRPr="001D6D86">
              <w:rPr>
                <w:rFonts w:eastAsia="Calibri"/>
                <w:spacing w:val="-7"/>
                <w:sz w:val="22"/>
                <w:szCs w:val="22"/>
                <w:lang w:val="sr-Latn-ME"/>
              </w:rPr>
              <w:t xml:space="preserve"> </w:t>
            </w:r>
            <w:r w:rsidRPr="001D6D86">
              <w:rPr>
                <w:rFonts w:eastAsia="Calibri"/>
                <w:sz w:val="22"/>
                <w:szCs w:val="22"/>
                <w:lang w:val="sr-Latn-ME"/>
              </w:rPr>
              <w:t>dana</w:t>
            </w:r>
          </w:p>
        </w:tc>
        <w:tc>
          <w:tcPr>
            <w:tcW w:w="3137" w:type="dxa"/>
            <w:gridSpan w:val="2"/>
            <w:tcBorders>
              <w:top w:val="single" w:sz="4" w:space="0" w:color="000000"/>
              <w:left w:val="single" w:sz="4" w:space="0" w:color="000000"/>
              <w:bottom w:val="single" w:sz="4" w:space="0" w:color="000000"/>
              <w:right w:val="single" w:sz="4" w:space="0" w:color="000000"/>
            </w:tcBorders>
          </w:tcPr>
          <w:p w14:paraId="22C73F2E"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1,5</w:t>
            </w:r>
            <w:r w:rsidRPr="001D6D86">
              <w:rPr>
                <w:rFonts w:eastAsia="Calibri"/>
                <w:spacing w:val="-1"/>
                <w:sz w:val="22"/>
                <w:szCs w:val="22"/>
                <w:lang w:val="sr-Latn-ME"/>
              </w:rPr>
              <w:t xml:space="preserve"> </w:t>
            </w:r>
            <w:r w:rsidRPr="001D6D86">
              <w:rPr>
                <w:rFonts w:eastAsia="Calibri"/>
                <w:sz w:val="22"/>
                <w:szCs w:val="22"/>
                <w:lang w:val="sr-Latn-ME"/>
              </w:rPr>
              <w:t>puta ↑</w:t>
            </w:r>
          </w:p>
        </w:tc>
      </w:tr>
      <w:tr w:rsidR="006B230D" w:rsidRPr="001D6D86" w14:paraId="37B062BB" w14:textId="77777777" w:rsidTr="006B230D">
        <w:trPr>
          <w:trHeight w:hRule="exact" w:val="764"/>
        </w:trPr>
        <w:tc>
          <w:tcPr>
            <w:tcW w:w="3322" w:type="dxa"/>
            <w:gridSpan w:val="2"/>
            <w:tcBorders>
              <w:top w:val="single" w:sz="4" w:space="0" w:color="000000"/>
              <w:left w:val="single" w:sz="4" w:space="0" w:color="000000"/>
              <w:bottom w:val="single" w:sz="4" w:space="0" w:color="000000"/>
              <w:right w:val="single" w:sz="4" w:space="0" w:color="000000"/>
            </w:tcBorders>
          </w:tcPr>
          <w:p w14:paraId="45CF0E6A" w14:textId="77777777" w:rsidR="006B230D" w:rsidRPr="001D6D86" w:rsidRDefault="006B230D" w:rsidP="0026307D">
            <w:pPr>
              <w:widowControl w:val="0"/>
              <w:spacing w:line="242" w:lineRule="auto"/>
              <w:ind w:left="105" w:right="347"/>
              <w:jc w:val="both"/>
              <w:rPr>
                <w:sz w:val="22"/>
                <w:szCs w:val="22"/>
                <w:lang w:val="sr-Latn-ME"/>
              </w:rPr>
            </w:pPr>
            <w:r w:rsidRPr="001D6D86">
              <w:rPr>
                <w:rFonts w:eastAsia="Calibri"/>
                <w:sz w:val="22"/>
                <w:szCs w:val="22"/>
                <w:lang w:val="sr-Latn-ME"/>
              </w:rPr>
              <w:lastRenderedPageBreak/>
              <w:t>Tipranavir 500 mg/ritonavir</w:t>
            </w:r>
            <w:r w:rsidRPr="001D6D86">
              <w:rPr>
                <w:rFonts w:eastAsia="Calibri"/>
                <w:spacing w:val="-16"/>
                <w:sz w:val="22"/>
                <w:szCs w:val="22"/>
                <w:lang w:val="sr-Latn-ME"/>
              </w:rPr>
              <w:t xml:space="preserve"> </w:t>
            </w:r>
            <w:r w:rsidRPr="001D6D86">
              <w:rPr>
                <w:rFonts w:eastAsia="Calibri"/>
                <w:sz w:val="22"/>
                <w:szCs w:val="22"/>
                <w:lang w:val="sr-Latn-ME"/>
              </w:rPr>
              <w:t>200</w:t>
            </w:r>
            <w:r w:rsidRPr="001D6D86">
              <w:rPr>
                <w:rFonts w:eastAsia="Calibri"/>
                <w:spacing w:val="-1"/>
                <w:sz w:val="22"/>
                <w:szCs w:val="22"/>
                <w:lang w:val="sr-Latn-ME"/>
              </w:rPr>
              <w:t xml:space="preserve"> </w:t>
            </w:r>
            <w:r w:rsidRPr="001D6D86">
              <w:rPr>
                <w:rFonts w:eastAsia="Calibri"/>
                <w:spacing w:val="-3"/>
                <w:sz w:val="22"/>
                <w:szCs w:val="22"/>
                <w:lang w:val="sr-Latn-ME"/>
              </w:rPr>
              <w:t>mg dva puta dnevno</w:t>
            </w:r>
            <w:r w:rsidRPr="001D6D86">
              <w:rPr>
                <w:rFonts w:eastAsia="Calibri"/>
                <w:sz w:val="22"/>
                <w:szCs w:val="22"/>
                <w:lang w:val="sr-Latn-ME"/>
              </w:rPr>
              <w:t>, 11</w:t>
            </w:r>
            <w:r w:rsidRPr="001D6D86">
              <w:rPr>
                <w:rFonts w:eastAsia="Calibri"/>
                <w:spacing w:val="2"/>
                <w:sz w:val="22"/>
                <w:szCs w:val="22"/>
                <w:lang w:val="sr-Latn-ME"/>
              </w:rPr>
              <w:t xml:space="preserve"> </w:t>
            </w:r>
            <w:r w:rsidRPr="001D6D86">
              <w:rPr>
                <w:rFonts w:eastAsia="Calibri"/>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3368DF63"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10 mg, pojedinačna</w:t>
            </w:r>
            <w:r w:rsidRPr="001D6D86">
              <w:rPr>
                <w:rFonts w:eastAsia="Calibri"/>
                <w:spacing w:val="-13"/>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000000"/>
              <w:left w:val="single" w:sz="4" w:space="0" w:color="000000"/>
              <w:bottom w:val="single" w:sz="4" w:space="0" w:color="000000"/>
              <w:right w:val="single" w:sz="4" w:space="0" w:color="000000"/>
            </w:tcBorders>
          </w:tcPr>
          <w:p w14:paraId="594E9B80"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1,4</w:t>
            </w:r>
            <w:r w:rsidRPr="001D6D86">
              <w:rPr>
                <w:rFonts w:eastAsia="Calibri"/>
                <w:spacing w:val="-1"/>
                <w:sz w:val="22"/>
                <w:szCs w:val="22"/>
                <w:lang w:val="sr-Latn-ME"/>
              </w:rPr>
              <w:t xml:space="preserve"> </w:t>
            </w:r>
            <w:r w:rsidRPr="001D6D86">
              <w:rPr>
                <w:rFonts w:eastAsia="Calibri"/>
                <w:sz w:val="22"/>
                <w:szCs w:val="22"/>
                <w:lang w:val="sr-Latn-ME"/>
              </w:rPr>
              <w:t>puta ↑</w:t>
            </w:r>
          </w:p>
        </w:tc>
      </w:tr>
      <w:tr w:rsidR="006B230D" w:rsidRPr="001D6D86" w14:paraId="384F7DD0" w14:textId="77777777" w:rsidTr="006B230D">
        <w:trPr>
          <w:trHeight w:hRule="exact" w:val="846"/>
        </w:trPr>
        <w:tc>
          <w:tcPr>
            <w:tcW w:w="3322" w:type="dxa"/>
            <w:gridSpan w:val="2"/>
            <w:tcBorders>
              <w:top w:val="single" w:sz="4" w:space="0" w:color="000000"/>
              <w:left w:val="single" w:sz="4" w:space="0" w:color="000000"/>
              <w:bottom w:val="single" w:sz="4" w:space="0" w:color="000000"/>
              <w:right w:val="single" w:sz="4" w:space="0" w:color="000000"/>
            </w:tcBorders>
          </w:tcPr>
          <w:p w14:paraId="04C862A0"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Dronedaron 400 mg</w:t>
            </w:r>
            <w:r w:rsidRPr="001D6D86">
              <w:rPr>
                <w:rFonts w:eastAsia="Calibri"/>
                <w:spacing w:val="-14"/>
                <w:sz w:val="22"/>
                <w:szCs w:val="22"/>
                <w:lang w:val="sr-Latn-ME"/>
              </w:rPr>
              <w:t xml:space="preserve"> dva puta dnevno</w:t>
            </w:r>
          </w:p>
        </w:tc>
        <w:tc>
          <w:tcPr>
            <w:tcW w:w="3317" w:type="dxa"/>
            <w:tcBorders>
              <w:top w:val="single" w:sz="4" w:space="0" w:color="000000"/>
              <w:left w:val="single" w:sz="4" w:space="0" w:color="000000"/>
              <w:bottom w:val="single" w:sz="4" w:space="0" w:color="000000"/>
              <w:right w:val="single" w:sz="4" w:space="0" w:color="000000"/>
            </w:tcBorders>
          </w:tcPr>
          <w:p w14:paraId="167C3A91" w14:textId="71552941"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Nije</w:t>
            </w:r>
            <w:r w:rsidRPr="001D6D86">
              <w:rPr>
                <w:rFonts w:eastAsia="Calibri"/>
                <w:spacing w:val="-8"/>
                <w:sz w:val="22"/>
                <w:szCs w:val="22"/>
                <w:lang w:val="sr-Latn-ME"/>
              </w:rPr>
              <w:t xml:space="preserve"> </w:t>
            </w:r>
            <w:r w:rsidRPr="001D6D86">
              <w:rPr>
                <w:rFonts w:eastAsia="Calibri"/>
                <w:sz w:val="22"/>
                <w:szCs w:val="22"/>
                <w:lang w:val="sr-Latn-ME"/>
              </w:rPr>
              <w:t xml:space="preserve">primjenljivo </w:t>
            </w:r>
          </w:p>
        </w:tc>
        <w:tc>
          <w:tcPr>
            <w:tcW w:w="3137" w:type="dxa"/>
            <w:gridSpan w:val="2"/>
            <w:tcBorders>
              <w:top w:val="single" w:sz="4" w:space="0" w:color="000000"/>
              <w:left w:val="single" w:sz="4" w:space="0" w:color="000000"/>
              <w:bottom w:val="single" w:sz="4" w:space="0" w:color="000000"/>
              <w:right w:val="single" w:sz="4" w:space="0" w:color="000000"/>
            </w:tcBorders>
          </w:tcPr>
          <w:p w14:paraId="36DF871F"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1,4</w:t>
            </w:r>
            <w:r w:rsidRPr="001D6D86">
              <w:rPr>
                <w:rFonts w:eastAsia="Calibri"/>
                <w:spacing w:val="-1"/>
                <w:sz w:val="22"/>
                <w:szCs w:val="22"/>
                <w:lang w:val="sr-Latn-ME"/>
              </w:rPr>
              <w:t xml:space="preserve"> </w:t>
            </w:r>
            <w:r w:rsidRPr="001D6D86">
              <w:rPr>
                <w:rFonts w:eastAsia="Calibri"/>
                <w:sz w:val="22"/>
                <w:szCs w:val="22"/>
                <w:lang w:val="sr-Latn-ME"/>
              </w:rPr>
              <w:t>puta ↑</w:t>
            </w:r>
          </w:p>
        </w:tc>
      </w:tr>
      <w:tr w:rsidR="006B230D" w:rsidRPr="001D6D86" w14:paraId="1B0A8B69" w14:textId="77777777" w:rsidTr="006B230D">
        <w:trPr>
          <w:trHeight w:hRule="exact" w:val="703"/>
        </w:trPr>
        <w:tc>
          <w:tcPr>
            <w:tcW w:w="3322" w:type="dxa"/>
            <w:gridSpan w:val="2"/>
            <w:tcBorders>
              <w:top w:val="single" w:sz="4" w:space="0" w:color="000000"/>
              <w:left w:val="single" w:sz="4" w:space="0" w:color="000000"/>
              <w:bottom w:val="single" w:sz="4" w:space="0" w:color="000000"/>
              <w:right w:val="single" w:sz="4" w:space="0" w:color="000000"/>
            </w:tcBorders>
          </w:tcPr>
          <w:p w14:paraId="5C9A6E53"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Itrakonazol 200 mg jednom dnevno, 5</w:t>
            </w:r>
            <w:r w:rsidRPr="001D6D86">
              <w:rPr>
                <w:rFonts w:eastAsia="Calibri"/>
                <w:spacing w:val="-15"/>
                <w:sz w:val="22"/>
                <w:szCs w:val="22"/>
                <w:lang w:val="sr-Latn-ME"/>
              </w:rPr>
              <w:t xml:space="preserve"> </w:t>
            </w:r>
            <w:r w:rsidRPr="001D6D86">
              <w:rPr>
                <w:rFonts w:eastAsia="Calibri"/>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2B875739"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10 mg, pojedinačna</w:t>
            </w:r>
            <w:r w:rsidRPr="001D6D86">
              <w:rPr>
                <w:rFonts w:eastAsia="Calibri"/>
                <w:spacing w:val="-13"/>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000000"/>
              <w:left w:val="single" w:sz="4" w:space="0" w:color="000000"/>
              <w:bottom w:val="single" w:sz="4" w:space="0" w:color="000000"/>
              <w:right w:val="single" w:sz="4" w:space="0" w:color="000000"/>
            </w:tcBorders>
          </w:tcPr>
          <w:p w14:paraId="0229DCDC" w14:textId="743122AE"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1,4</w:t>
            </w:r>
            <w:r w:rsidRPr="001D6D86">
              <w:rPr>
                <w:rFonts w:eastAsia="Calibri"/>
                <w:spacing w:val="-7"/>
                <w:sz w:val="22"/>
                <w:szCs w:val="22"/>
                <w:lang w:val="sr-Latn-ME"/>
              </w:rPr>
              <w:t xml:space="preserve"> </w:t>
            </w:r>
            <w:r w:rsidRPr="001D6D86">
              <w:rPr>
                <w:rFonts w:eastAsia="Calibri"/>
                <w:sz w:val="22"/>
                <w:szCs w:val="22"/>
                <w:lang w:val="sr-Latn-ME"/>
              </w:rPr>
              <w:t>puta ↑**</w:t>
            </w:r>
          </w:p>
        </w:tc>
      </w:tr>
      <w:tr w:rsidR="006B230D" w:rsidRPr="001D6D86" w14:paraId="408E545E" w14:textId="77777777" w:rsidTr="006B230D">
        <w:trPr>
          <w:trHeight w:hRule="exact" w:val="571"/>
        </w:trPr>
        <w:tc>
          <w:tcPr>
            <w:tcW w:w="3322" w:type="dxa"/>
            <w:gridSpan w:val="2"/>
            <w:tcBorders>
              <w:top w:val="single" w:sz="4" w:space="0" w:color="000000"/>
              <w:left w:val="single" w:sz="4" w:space="0" w:color="000000"/>
              <w:bottom w:val="single" w:sz="4" w:space="0" w:color="000000"/>
              <w:right w:val="single" w:sz="4" w:space="0" w:color="000000"/>
            </w:tcBorders>
          </w:tcPr>
          <w:p w14:paraId="7E930A6B"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Ezetimib 10 mg jednom dnevno, 14</w:t>
            </w:r>
            <w:r w:rsidRPr="001D6D86">
              <w:rPr>
                <w:rFonts w:eastAsia="Calibri"/>
                <w:spacing w:val="-6"/>
                <w:sz w:val="22"/>
                <w:szCs w:val="22"/>
                <w:lang w:val="sr-Latn-ME"/>
              </w:rPr>
              <w:t xml:space="preserve"> </w:t>
            </w:r>
            <w:r w:rsidRPr="001D6D86">
              <w:rPr>
                <w:rFonts w:eastAsia="Calibri"/>
                <w:spacing w:val="-3"/>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6A03A274"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10 mg jednom dnevno, 14</w:t>
            </w:r>
            <w:r w:rsidRPr="001D6D86">
              <w:rPr>
                <w:rFonts w:eastAsia="Calibri"/>
                <w:spacing w:val="-8"/>
                <w:sz w:val="22"/>
                <w:szCs w:val="22"/>
                <w:lang w:val="sr-Latn-ME"/>
              </w:rPr>
              <w:t xml:space="preserve"> </w:t>
            </w:r>
            <w:r w:rsidRPr="001D6D86">
              <w:rPr>
                <w:rFonts w:eastAsia="Calibri"/>
                <w:sz w:val="22"/>
                <w:szCs w:val="22"/>
                <w:lang w:val="sr-Latn-ME"/>
              </w:rPr>
              <w:t>dana</w:t>
            </w:r>
          </w:p>
        </w:tc>
        <w:tc>
          <w:tcPr>
            <w:tcW w:w="3137" w:type="dxa"/>
            <w:gridSpan w:val="2"/>
            <w:tcBorders>
              <w:top w:val="single" w:sz="4" w:space="0" w:color="000000"/>
              <w:left w:val="single" w:sz="4" w:space="0" w:color="000000"/>
              <w:bottom w:val="single" w:sz="4" w:space="0" w:color="000000"/>
              <w:right w:val="single" w:sz="4" w:space="0" w:color="000000"/>
            </w:tcBorders>
          </w:tcPr>
          <w:p w14:paraId="287C3873" w14:textId="1F6998BD"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1,2</w:t>
            </w:r>
            <w:r w:rsidRPr="001D6D86">
              <w:rPr>
                <w:rFonts w:eastAsia="Calibri"/>
                <w:spacing w:val="-7"/>
                <w:sz w:val="22"/>
                <w:szCs w:val="22"/>
                <w:lang w:val="sr-Latn-ME"/>
              </w:rPr>
              <w:t xml:space="preserve"> </w:t>
            </w:r>
            <w:r w:rsidRPr="001D6D86">
              <w:rPr>
                <w:rFonts w:eastAsia="Calibri"/>
                <w:sz w:val="22"/>
                <w:szCs w:val="22"/>
                <w:lang w:val="sr-Latn-ME"/>
              </w:rPr>
              <w:t>puta ↑**</w:t>
            </w:r>
          </w:p>
        </w:tc>
      </w:tr>
      <w:tr w:rsidR="006B230D" w:rsidRPr="001D6D86" w:rsidDel="00596762" w14:paraId="60C6DEC6" w14:textId="77777777" w:rsidTr="006B230D">
        <w:trPr>
          <w:trHeight w:hRule="exact" w:val="259"/>
        </w:trPr>
        <w:tc>
          <w:tcPr>
            <w:tcW w:w="9776" w:type="dxa"/>
            <w:gridSpan w:val="5"/>
            <w:tcBorders>
              <w:top w:val="single" w:sz="4" w:space="0" w:color="000000"/>
              <w:left w:val="single" w:sz="4" w:space="0" w:color="000000"/>
              <w:bottom w:val="single" w:sz="4" w:space="0" w:color="000000"/>
              <w:right w:val="single" w:sz="4" w:space="0" w:color="000000"/>
            </w:tcBorders>
          </w:tcPr>
          <w:p w14:paraId="2F4763A8" w14:textId="0C8EF765" w:rsidR="006B230D" w:rsidRPr="001D6D86" w:rsidDel="00596762" w:rsidRDefault="006B230D" w:rsidP="0026307D">
            <w:pPr>
              <w:widowControl w:val="0"/>
              <w:ind w:left="105"/>
              <w:jc w:val="both"/>
              <w:rPr>
                <w:b/>
                <w:bCs/>
                <w:sz w:val="22"/>
                <w:szCs w:val="22"/>
                <w:lang w:val="sr-Latn-ME"/>
              </w:rPr>
            </w:pPr>
            <w:r w:rsidRPr="001D6D86">
              <w:rPr>
                <w:rFonts w:eastAsia="Calibri"/>
                <w:b/>
                <w:bCs/>
                <w:sz w:val="22"/>
                <w:szCs w:val="22"/>
                <w:lang w:val="sr-Latn-ME"/>
              </w:rPr>
              <w:t>Smanjenje vrijednosti PIK rosuvastatina</w:t>
            </w:r>
          </w:p>
        </w:tc>
      </w:tr>
      <w:tr w:rsidR="006B230D" w:rsidRPr="001D6D86" w14:paraId="079128A1" w14:textId="77777777" w:rsidTr="006B230D">
        <w:trPr>
          <w:trHeight w:hRule="exact" w:val="596"/>
        </w:trPr>
        <w:tc>
          <w:tcPr>
            <w:tcW w:w="3322" w:type="dxa"/>
            <w:gridSpan w:val="2"/>
            <w:tcBorders>
              <w:top w:val="single" w:sz="4" w:space="0" w:color="000000"/>
              <w:left w:val="single" w:sz="4" w:space="0" w:color="000000"/>
              <w:bottom w:val="single" w:sz="4" w:space="0" w:color="000000"/>
              <w:right w:val="single" w:sz="4" w:space="0" w:color="000000"/>
            </w:tcBorders>
          </w:tcPr>
          <w:p w14:paraId="485D3B5B"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Eritromicin 500 mg četiri puta dnevno, 7</w:t>
            </w:r>
            <w:r w:rsidRPr="001D6D86">
              <w:rPr>
                <w:rFonts w:eastAsia="Calibri"/>
                <w:spacing w:val="-16"/>
                <w:sz w:val="22"/>
                <w:szCs w:val="22"/>
                <w:lang w:val="sr-Latn-ME"/>
              </w:rPr>
              <w:t xml:space="preserve"> </w:t>
            </w:r>
            <w:r w:rsidRPr="001D6D86">
              <w:rPr>
                <w:rFonts w:eastAsia="Calibri"/>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3BBADB57"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80 mg, pojedinačna</w:t>
            </w:r>
            <w:r w:rsidRPr="001D6D86">
              <w:rPr>
                <w:rFonts w:eastAsia="Calibri"/>
                <w:spacing w:val="-13"/>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000000"/>
              <w:left w:val="single" w:sz="4" w:space="0" w:color="000000"/>
              <w:bottom w:val="single" w:sz="4" w:space="0" w:color="000000"/>
              <w:right w:val="single" w:sz="4" w:space="0" w:color="000000"/>
            </w:tcBorders>
          </w:tcPr>
          <w:p w14:paraId="0A7D64D0"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20% ↓</w:t>
            </w:r>
          </w:p>
        </w:tc>
      </w:tr>
      <w:tr w:rsidR="006B230D" w:rsidRPr="001D6D86" w14:paraId="76530F92" w14:textId="77777777" w:rsidTr="006B230D">
        <w:trPr>
          <w:trHeight w:hRule="exact" w:val="705"/>
        </w:trPr>
        <w:tc>
          <w:tcPr>
            <w:tcW w:w="3322" w:type="dxa"/>
            <w:gridSpan w:val="2"/>
            <w:tcBorders>
              <w:top w:val="single" w:sz="4" w:space="0" w:color="000000"/>
              <w:left w:val="single" w:sz="4" w:space="0" w:color="000000"/>
              <w:bottom w:val="single" w:sz="4" w:space="0" w:color="000000"/>
              <w:right w:val="single" w:sz="4" w:space="0" w:color="000000"/>
            </w:tcBorders>
          </w:tcPr>
          <w:p w14:paraId="66D04A47"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Baikalin 50 mg tri puta dnevno, 14</w:t>
            </w:r>
            <w:r w:rsidRPr="001D6D86">
              <w:rPr>
                <w:rFonts w:eastAsia="Calibri"/>
                <w:spacing w:val="-7"/>
                <w:sz w:val="22"/>
                <w:szCs w:val="22"/>
                <w:lang w:val="sr-Latn-ME"/>
              </w:rPr>
              <w:t xml:space="preserve"> </w:t>
            </w:r>
            <w:r w:rsidRPr="001D6D86">
              <w:rPr>
                <w:rFonts w:eastAsia="Calibri"/>
                <w:spacing w:val="-3"/>
                <w:sz w:val="22"/>
                <w:szCs w:val="22"/>
                <w:lang w:val="sr-Latn-ME"/>
              </w:rPr>
              <w:t>dana</w:t>
            </w:r>
          </w:p>
        </w:tc>
        <w:tc>
          <w:tcPr>
            <w:tcW w:w="3317" w:type="dxa"/>
            <w:tcBorders>
              <w:top w:val="single" w:sz="4" w:space="0" w:color="000000"/>
              <w:left w:val="single" w:sz="4" w:space="0" w:color="000000"/>
              <w:bottom w:val="single" w:sz="4" w:space="0" w:color="000000"/>
              <w:right w:val="single" w:sz="4" w:space="0" w:color="000000"/>
            </w:tcBorders>
          </w:tcPr>
          <w:p w14:paraId="5FBE82EC"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20 mg, pojedinačna</w:t>
            </w:r>
            <w:r w:rsidRPr="001D6D86">
              <w:rPr>
                <w:rFonts w:eastAsia="Calibri"/>
                <w:spacing w:val="-13"/>
                <w:sz w:val="22"/>
                <w:szCs w:val="22"/>
                <w:lang w:val="sr-Latn-ME"/>
              </w:rPr>
              <w:t xml:space="preserve"> </w:t>
            </w:r>
            <w:r w:rsidRPr="001D6D86">
              <w:rPr>
                <w:rFonts w:eastAsia="Calibri"/>
                <w:sz w:val="22"/>
                <w:szCs w:val="22"/>
                <w:lang w:val="sr-Latn-ME"/>
              </w:rPr>
              <w:t>doza</w:t>
            </w:r>
          </w:p>
        </w:tc>
        <w:tc>
          <w:tcPr>
            <w:tcW w:w="3137" w:type="dxa"/>
            <w:gridSpan w:val="2"/>
            <w:tcBorders>
              <w:top w:val="single" w:sz="4" w:space="0" w:color="000000"/>
              <w:left w:val="single" w:sz="4" w:space="0" w:color="000000"/>
              <w:bottom w:val="single" w:sz="4" w:space="0" w:color="000000"/>
              <w:right w:val="single" w:sz="4" w:space="0" w:color="000000"/>
            </w:tcBorders>
          </w:tcPr>
          <w:p w14:paraId="2AB17E9D"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47% ↓</w:t>
            </w:r>
          </w:p>
        </w:tc>
      </w:tr>
    </w:tbl>
    <w:p w14:paraId="6B893944" w14:textId="437888CE" w:rsidR="00030415" w:rsidRPr="001D6D86" w:rsidRDefault="00030415" w:rsidP="00711079">
      <w:pPr>
        <w:widowControl w:val="0"/>
        <w:ind w:left="232" w:right="332"/>
        <w:jc w:val="both"/>
        <w:rPr>
          <w:sz w:val="22"/>
          <w:szCs w:val="22"/>
          <w:lang w:val="sr-Latn-ME"/>
        </w:rPr>
      </w:pPr>
      <w:r w:rsidRPr="001D6D86">
        <w:rPr>
          <w:noProof/>
          <w:sz w:val="22"/>
          <w:szCs w:val="22"/>
          <w:lang w:val="sr-Latn-ME"/>
        </w:rPr>
        <w:br w:type="textWrapping" w:clear="all"/>
      </w:r>
      <w:r w:rsidRPr="001D6D86">
        <w:rPr>
          <w:sz w:val="22"/>
          <w:szCs w:val="22"/>
          <w:lang w:val="sr-Latn-ME"/>
        </w:rPr>
        <w:t>*</w:t>
      </w:r>
      <w:r w:rsidRPr="001D6D86">
        <w:rPr>
          <w:spacing w:val="15"/>
          <w:sz w:val="22"/>
          <w:szCs w:val="22"/>
          <w:lang w:val="sr-Latn-ME"/>
        </w:rPr>
        <w:t xml:space="preserve"> </w:t>
      </w:r>
      <w:r w:rsidRPr="001D6D86">
        <w:rPr>
          <w:sz w:val="22"/>
          <w:szCs w:val="22"/>
          <w:lang w:val="sr-Latn-ME"/>
        </w:rPr>
        <w:t>Podaci</w:t>
      </w:r>
      <w:r w:rsidRPr="001D6D86">
        <w:rPr>
          <w:spacing w:val="23"/>
          <w:sz w:val="22"/>
          <w:szCs w:val="22"/>
          <w:lang w:val="sr-Latn-ME"/>
        </w:rPr>
        <w:t xml:space="preserve"> </w:t>
      </w:r>
      <w:r w:rsidRPr="001D6D86">
        <w:rPr>
          <w:sz w:val="22"/>
          <w:szCs w:val="22"/>
          <w:lang w:val="sr-Latn-ME"/>
        </w:rPr>
        <w:t>dati</w:t>
      </w:r>
      <w:r w:rsidRPr="001D6D86">
        <w:rPr>
          <w:spacing w:val="19"/>
          <w:sz w:val="22"/>
          <w:szCs w:val="22"/>
          <w:lang w:val="sr-Latn-ME"/>
        </w:rPr>
        <w:t xml:space="preserve"> </w:t>
      </w:r>
      <w:r w:rsidRPr="001D6D86">
        <w:rPr>
          <w:sz w:val="22"/>
          <w:szCs w:val="22"/>
          <w:lang w:val="sr-Latn-ME"/>
        </w:rPr>
        <w:t>u</w:t>
      </w:r>
      <w:r w:rsidRPr="001D6D86">
        <w:rPr>
          <w:spacing w:val="19"/>
          <w:sz w:val="22"/>
          <w:szCs w:val="22"/>
          <w:lang w:val="sr-Latn-ME"/>
        </w:rPr>
        <w:t xml:space="preserve"> </w:t>
      </w:r>
      <w:r w:rsidRPr="001D6D86">
        <w:rPr>
          <w:sz w:val="22"/>
          <w:szCs w:val="22"/>
          <w:lang w:val="sr-Latn-ME"/>
        </w:rPr>
        <w:t>formatu</w:t>
      </w:r>
      <w:r w:rsidRPr="001D6D86">
        <w:rPr>
          <w:spacing w:val="21"/>
          <w:sz w:val="22"/>
          <w:szCs w:val="22"/>
          <w:lang w:val="sr-Latn-ME"/>
        </w:rPr>
        <w:t xml:space="preserve"> </w:t>
      </w:r>
      <w:r w:rsidRPr="001D6D86">
        <w:rPr>
          <w:sz w:val="22"/>
          <w:szCs w:val="22"/>
          <w:lang w:val="sr-Latn-ME"/>
        </w:rPr>
        <w:t>x-puta</w:t>
      </w:r>
      <w:r w:rsidRPr="001D6D86">
        <w:rPr>
          <w:spacing w:val="20"/>
          <w:sz w:val="22"/>
          <w:szCs w:val="22"/>
          <w:lang w:val="sr-Latn-ME"/>
        </w:rPr>
        <w:t xml:space="preserve"> </w:t>
      </w:r>
      <w:r w:rsidRPr="001D6D86">
        <w:rPr>
          <w:sz w:val="22"/>
          <w:szCs w:val="22"/>
          <w:lang w:val="sr-Latn-ME"/>
        </w:rPr>
        <w:t>prom</w:t>
      </w:r>
      <w:r w:rsidR="00253AB4" w:rsidRPr="001D6D86">
        <w:rPr>
          <w:sz w:val="22"/>
          <w:szCs w:val="22"/>
          <w:lang w:val="sr-Latn-ME"/>
        </w:rPr>
        <w:t>j</w:t>
      </w:r>
      <w:r w:rsidRPr="001D6D86">
        <w:rPr>
          <w:sz w:val="22"/>
          <w:szCs w:val="22"/>
          <w:lang w:val="sr-Latn-ME"/>
        </w:rPr>
        <w:t>ena</w:t>
      </w:r>
      <w:r w:rsidRPr="001D6D86">
        <w:rPr>
          <w:spacing w:val="19"/>
          <w:sz w:val="22"/>
          <w:szCs w:val="22"/>
          <w:lang w:val="sr-Latn-ME"/>
        </w:rPr>
        <w:t xml:space="preserve"> </w:t>
      </w:r>
      <w:r w:rsidRPr="001D6D86">
        <w:rPr>
          <w:sz w:val="22"/>
          <w:szCs w:val="22"/>
          <w:lang w:val="sr-Latn-ME"/>
        </w:rPr>
        <w:t>predstavlja</w:t>
      </w:r>
      <w:r w:rsidRPr="001D6D86">
        <w:rPr>
          <w:spacing w:val="23"/>
          <w:sz w:val="22"/>
          <w:szCs w:val="22"/>
          <w:lang w:val="sr-Latn-ME"/>
        </w:rPr>
        <w:t xml:space="preserve"> </w:t>
      </w:r>
      <w:r w:rsidRPr="001D6D86">
        <w:rPr>
          <w:sz w:val="22"/>
          <w:szCs w:val="22"/>
          <w:lang w:val="sr-Latn-ME"/>
        </w:rPr>
        <w:t>jednostavan</w:t>
      </w:r>
      <w:r w:rsidRPr="001D6D86">
        <w:rPr>
          <w:spacing w:val="19"/>
          <w:sz w:val="22"/>
          <w:szCs w:val="22"/>
          <w:lang w:val="sr-Latn-ME"/>
        </w:rPr>
        <w:t xml:space="preserve"> </w:t>
      </w:r>
      <w:r w:rsidRPr="001D6D86">
        <w:rPr>
          <w:sz w:val="22"/>
          <w:szCs w:val="22"/>
          <w:lang w:val="sr-Latn-ME"/>
        </w:rPr>
        <w:t>odnos</w:t>
      </w:r>
      <w:r w:rsidRPr="001D6D86">
        <w:rPr>
          <w:spacing w:val="23"/>
          <w:sz w:val="22"/>
          <w:szCs w:val="22"/>
          <w:lang w:val="sr-Latn-ME"/>
        </w:rPr>
        <w:t xml:space="preserve"> </w:t>
      </w:r>
      <w:r w:rsidRPr="001D6D86">
        <w:rPr>
          <w:sz w:val="22"/>
          <w:szCs w:val="22"/>
          <w:lang w:val="sr-Latn-ME"/>
        </w:rPr>
        <w:t>između</w:t>
      </w:r>
      <w:r w:rsidRPr="001D6D86">
        <w:rPr>
          <w:spacing w:val="23"/>
          <w:sz w:val="22"/>
          <w:szCs w:val="22"/>
          <w:lang w:val="sr-Latn-ME"/>
        </w:rPr>
        <w:t xml:space="preserve"> </w:t>
      </w:r>
      <w:r w:rsidRPr="001D6D86">
        <w:rPr>
          <w:sz w:val="22"/>
          <w:szCs w:val="22"/>
          <w:lang w:val="sr-Latn-ME"/>
        </w:rPr>
        <w:t>koadministracije</w:t>
      </w:r>
      <w:r w:rsidRPr="001D6D86">
        <w:rPr>
          <w:spacing w:val="18"/>
          <w:sz w:val="22"/>
          <w:szCs w:val="22"/>
          <w:lang w:val="sr-Latn-ME"/>
        </w:rPr>
        <w:t xml:space="preserve"> </w:t>
      </w:r>
      <w:r w:rsidRPr="001D6D86">
        <w:rPr>
          <w:sz w:val="22"/>
          <w:szCs w:val="22"/>
          <w:lang w:val="sr-Latn-ME"/>
        </w:rPr>
        <w:t>i</w:t>
      </w:r>
      <w:r w:rsidRPr="001D6D86">
        <w:rPr>
          <w:spacing w:val="20"/>
          <w:sz w:val="22"/>
          <w:szCs w:val="22"/>
          <w:lang w:val="sr-Latn-ME"/>
        </w:rPr>
        <w:t xml:space="preserve"> </w:t>
      </w:r>
      <w:r w:rsidR="00746467" w:rsidRPr="001D6D86">
        <w:rPr>
          <w:sz w:val="22"/>
          <w:szCs w:val="22"/>
          <w:lang w:val="sr-Latn-ME"/>
        </w:rPr>
        <w:t>primjene</w:t>
      </w:r>
      <w:r w:rsidRPr="001D6D86">
        <w:rPr>
          <w:sz w:val="22"/>
          <w:szCs w:val="22"/>
          <w:lang w:val="sr-Latn-ME"/>
        </w:rPr>
        <w:t xml:space="preserve"> samo rosuvastatina. Podaci prikazani kao % prom</w:t>
      </w:r>
      <w:r w:rsidR="00253AB4" w:rsidRPr="001D6D86">
        <w:rPr>
          <w:sz w:val="22"/>
          <w:szCs w:val="22"/>
          <w:lang w:val="sr-Latn-ME"/>
        </w:rPr>
        <w:t>j</w:t>
      </w:r>
      <w:r w:rsidRPr="001D6D86">
        <w:rPr>
          <w:sz w:val="22"/>
          <w:szCs w:val="22"/>
          <w:lang w:val="sr-Latn-ME"/>
        </w:rPr>
        <w:t xml:space="preserve">ena predstavljaju % relativne razlike u odnosu </w:t>
      </w:r>
      <w:r w:rsidRPr="001D6D86">
        <w:rPr>
          <w:spacing w:val="-3"/>
          <w:sz w:val="22"/>
          <w:szCs w:val="22"/>
          <w:lang w:val="sr-Latn-ME"/>
        </w:rPr>
        <w:t>na</w:t>
      </w:r>
      <w:r w:rsidRPr="001D6D86">
        <w:rPr>
          <w:spacing w:val="31"/>
          <w:sz w:val="22"/>
          <w:szCs w:val="22"/>
          <w:lang w:val="sr-Latn-ME"/>
        </w:rPr>
        <w:t xml:space="preserve"> </w:t>
      </w:r>
      <w:r w:rsidRPr="001D6D86">
        <w:rPr>
          <w:sz w:val="22"/>
          <w:szCs w:val="22"/>
          <w:lang w:val="sr-Latn-ME"/>
        </w:rPr>
        <w:t>prim</w:t>
      </w:r>
      <w:r w:rsidR="00253AB4" w:rsidRPr="001D6D86">
        <w:rPr>
          <w:sz w:val="22"/>
          <w:szCs w:val="22"/>
          <w:lang w:val="sr-Latn-ME"/>
        </w:rPr>
        <w:t>j</w:t>
      </w:r>
      <w:r w:rsidRPr="001D6D86">
        <w:rPr>
          <w:sz w:val="22"/>
          <w:szCs w:val="22"/>
          <w:lang w:val="sr-Latn-ME"/>
        </w:rPr>
        <w:t>enu samo rosuvastatina. Povećanje je označeno kao „↑”, smanjenje</w:t>
      </w:r>
      <w:r w:rsidRPr="001D6D86">
        <w:rPr>
          <w:spacing w:val="-38"/>
          <w:sz w:val="22"/>
          <w:szCs w:val="22"/>
          <w:lang w:val="sr-Latn-ME"/>
        </w:rPr>
        <w:t xml:space="preserve"> </w:t>
      </w:r>
      <w:r w:rsidR="00746467" w:rsidRPr="001D6D86">
        <w:rPr>
          <w:spacing w:val="-38"/>
          <w:sz w:val="22"/>
          <w:szCs w:val="22"/>
          <w:lang w:val="sr-Latn-ME"/>
        </w:rPr>
        <w:t xml:space="preserve"> </w:t>
      </w:r>
      <w:r w:rsidRPr="001D6D86">
        <w:rPr>
          <w:sz w:val="22"/>
          <w:szCs w:val="22"/>
          <w:lang w:val="sr-Latn-ME"/>
        </w:rPr>
        <w:t>„↓”</w:t>
      </w:r>
      <w:r w:rsidR="00746467" w:rsidRPr="001D6D86">
        <w:rPr>
          <w:sz w:val="22"/>
          <w:szCs w:val="22"/>
          <w:lang w:val="sr-Latn-ME"/>
        </w:rPr>
        <w:t>.</w:t>
      </w:r>
    </w:p>
    <w:p w14:paraId="0A66CED5" w14:textId="77777777" w:rsidR="00030415" w:rsidRPr="001D6D86" w:rsidRDefault="00030415" w:rsidP="00711079">
      <w:pPr>
        <w:widowControl w:val="0"/>
        <w:spacing w:before="1"/>
        <w:ind w:left="232" w:right="331"/>
        <w:jc w:val="both"/>
        <w:rPr>
          <w:sz w:val="22"/>
          <w:szCs w:val="22"/>
          <w:lang w:val="sr-Latn-ME"/>
        </w:rPr>
      </w:pPr>
      <w:r w:rsidRPr="001D6D86">
        <w:rPr>
          <w:sz w:val="22"/>
          <w:szCs w:val="22"/>
          <w:lang w:val="sr-Latn-ME"/>
        </w:rPr>
        <w:t>** Nekoliko studija interakcija izvedeno je sa različitim dozama rosuvastatina, tabela prikazuje</w:t>
      </w:r>
      <w:r w:rsidRPr="001D6D86">
        <w:rPr>
          <w:spacing w:val="47"/>
          <w:sz w:val="22"/>
          <w:szCs w:val="22"/>
          <w:lang w:val="sr-Latn-ME"/>
        </w:rPr>
        <w:t xml:space="preserve"> </w:t>
      </w:r>
      <w:r w:rsidRPr="001D6D86">
        <w:rPr>
          <w:sz w:val="22"/>
          <w:szCs w:val="22"/>
          <w:lang w:val="sr-Latn-ME"/>
        </w:rPr>
        <w:t>najznačajniji odnos.</w:t>
      </w:r>
    </w:p>
    <w:p w14:paraId="1BB5D467" w14:textId="41F9FAA2" w:rsidR="00030415" w:rsidRPr="001D6D86" w:rsidRDefault="006B230D" w:rsidP="0026307D">
      <w:pPr>
        <w:tabs>
          <w:tab w:val="left" w:pos="540"/>
          <w:tab w:val="left" w:pos="569"/>
        </w:tabs>
        <w:jc w:val="both"/>
        <w:rPr>
          <w:bCs/>
          <w:sz w:val="22"/>
          <w:szCs w:val="22"/>
          <w:lang w:val="sr-Latn-ME"/>
        </w:rPr>
      </w:pPr>
      <w:r w:rsidRPr="001D6D86">
        <w:rPr>
          <w:bCs/>
          <w:sz w:val="22"/>
          <w:szCs w:val="22"/>
          <w:lang w:val="sr-Latn-ME"/>
        </w:rPr>
        <w:t xml:space="preserve">    </w:t>
      </w:r>
      <w:r w:rsidR="00030415" w:rsidRPr="001D6D86">
        <w:rPr>
          <w:bCs/>
          <w:sz w:val="22"/>
          <w:szCs w:val="22"/>
          <w:lang w:val="sr-Latn-ME"/>
        </w:rPr>
        <w:t>Vr</w:t>
      </w:r>
      <w:r w:rsidR="00253AB4" w:rsidRPr="001D6D86">
        <w:rPr>
          <w:bCs/>
          <w:sz w:val="22"/>
          <w:szCs w:val="22"/>
          <w:lang w:val="sr-Latn-ME"/>
        </w:rPr>
        <w:t>ij</w:t>
      </w:r>
      <w:r w:rsidR="00030415" w:rsidRPr="001D6D86">
        <w:rPr>
          <w:bCs/>
          <w:sz w:val="22"/>
          <w:szCs w:val="22"/>
          <w:lang w:val="sr-Latn-ME"/>
        </w:rPr>
        <w:t>ednost PIK</w:t>
      </w:r>
      <w:r w:rsidR="00746467" w:rsidRPr="001D6D86">
        <w:rPr>
          <w:bCs/>
          <w:sz w:val="22"/>
          <w:szCs w:val="22"/>
          <w:lang w:val="sr-Latn-ME"/>
        </w:rPr>
        <w:t xml:space="preserve"> </w:t>
      </w:r>
      <w:r w:rsidR="00030415" w:rsidRPr="001D6D86">
        <w:rPr>
          <w:bCs/>
          <w:sz w:val="22"/>
          <w:szCs w:val="22"/>
          <w:lang w:val="sr-Latn-ME"/>
        </w:rPr>
        <w:t>=</w:t>
      </w:r>
      <w:r w:rsidR="00746467" w:rsidRPr="001D6D86">
        <w:rPr>
          <w:bCs/>
          <w:sz w:val="22"/>
          <w:szCs w:val="22"/>
          <w:lang w:val="sr-Latn-ME"/>
        </w:rPr>
        <w:t xml:space="preserve"> </w:t>
      </w:r>
      <w:r w:rsidR="00030415" w:rsidRPr="001D6D86">
        <w:rPr>
          <w:bCs/>
          <w:sz w:val="22"/>
          <w:szCs w:val="22"/>
          <w:lang w:val="sr-Latn-ME"/>
        </w:rPr>
        <w:t xml:space="preserve">površina ispod krive </w:t>
      </w:r>
    </w:p>
    <w:p w14:paraId="7D79654D" w14:textId="77777777" w:rsidR="007110D4" w:rsidRPr="001D6D86" w:rsidRDefault="007110D4" w:rsidP="0026307D">
      <w:pPr>
        <w:tabs>
          <w:tab w:val="left" w:pos="540"/>
          <w:tab w:val="left" w:pos="569"/>
        </w:tabs>
        <w:jc w:val="both"/>
        <w:rPr>
          <w:bCs/>
          <w:sz w:val="22"/>
          <w:szCs w:val="22"/>
          <w:u w:val="single"/>
          <w:lang w:val="sr-Latn-ME"/>
        </w:rPr>
      </w:pPr>
    </w:p>
    <w:p w14:paraId="29A22745" w14:textId="295120FF" w:rsidR="00030415" w:rsidRPr="001D6D86" w:rsidRDefault="00030415" w:rsidP="0026307D">
      <w:pPr>
        <w:tabs>
          <w:tab w:val="left" w:pos="540"/>
          <w:tab w:val="left" w:pos="569"/>
        </w:tabs>
        <w:jc w:val="both"/>
        <w:rPr>
          <w:bCs/>
          <w:sz w:val="22"/>
          <w:szCs w:val="22"/>
          <w:u w:val="single"/>
          <w:lang w:val="sr-Latn-ME"/>
        </w:rPr>
      </w:pPr>
      <w:r w:rsidRPr="001D6D86">
        <w:rPr>
          <w:bCs/>
          <w:sz w:val="22"/>
          <w:szCs w:val="22"/>
          <w:u w:val="single"/>
          <w:lang w:val="sr-Latn-ME"/>
        </w:rPr>
        <w:t>Sl</w:t>
      </w:r>
      <w:r w:rsidR="00253AB4" w:rsidRPr="001D6D86">
        <w:rPr>
          <w:bCs/>
          <w:sz w:val="22"/>
          <w:szCs w:val="22"/>
          <w:u w:val="single"/>
          <w:lang w:val="sr-Latn-ME"/>
        </w:rPr>
        <w:t>j</w:t>
      </w:r>
      <w:r w:rsidRPr="001D6D86">
        <w:rPr>
          <w:bCs/>
          <w:sz w:val="22"/>
          <w:szCs w:val="22"/>
          <w:u w:val="single"/>
          <w:lang w:val="sr-Latn-ME"/>
        </w:rPr>
        <w:t>edeći l</w:t>
      </w:r>
      <w:r w:rsidR="00253AB4" w:rsidRPr="001D6D86">
        <w:rPr>
          <w:bCs/>
          <w:sz w:val="22"/>
          <w:szCs w:val="22"/>
          <w:u w:val="single"/>
          <w:lang w:val="sr-Latn-ME"/>
        </w:rPr>
        <w:t>j</w:t>
      </w:r>
      <w:r w:rsidRPr="001D6D86">
        <w:rPr>
          <w:bCs/>
          <w:sz w:val="22"/>
          <w:szCs w:val="22"/>
          <w:u w:val="single"/>
          <w:lang w:val="sr-Latn-ME"/>
        </w:rPr>
        <w:t>ekovi/kombinacije ni</w:t>
      </w:r>
      <w:r w:rsidR="006B230D" w:rsidRPr="001D6D86">
        <w:rPr>
          <w:bCs/>
          <w:sz w:val="22"/>
          <w:szCs w:val="22"/>
          <w:u w:val="single"/>
          <w:lang w:val="sr-Latn-ME"/>
        </w:rPr>
        <w:t>je</w:t>
      </w:r>
      <w:r w:rsidRPr="001D6D86">
        <w:rPr>
          <w:bCs/>
          <w:sz w:val="22"/>
          <w:szCs w:val="22"/>
          <w:u w:val="single"/>
          <w:lang w:val="sr-Latn-ME"/>
        </w:rPr>
        <w:t>su imali klinički značajan efekat na odnos vr</w:t>
      </w:r>
      <w:r w:rsidR="00253AB4" w:rsidRPr="001D6D86">
        <w:rPr>
          <w:bCs/>
          <w:sz w:val="22"/>
          <w:szCs w:val="22"/>
          <w:u w:val="single"/>
          <w:lang w:val="sr-Latn-ME"/>
        </w:rPr>
        <w:t>ij</w:t>
      </w:r>
      <w:r w:rsidRPr="001D6D86">
        <w:rPr>
          <w:bCs/>
          <w:sz w:val="22"/>
          <w:szCs w:val="22"/>
          <w:u w:val="single"/>
          <w:lang w:val="sr-Latn-ME"/>
        </w:rPr>
        <w:t>ednosti PIK rosuvastatina pri istovremenoj prim</w:t>
      </w:r>
      <w:r w:rsidR="00253AB4" w:rsidRPr="001D6D86">
        <w:rPr>
          <w:bCs/>
          <w:sz w:val="22"/>
          <w:szCs w:val="22"/>
          <w:u w:val="single"/>
          <w:lang w:val="sr-Latn-ME"/>
        </w:rPr>
        <w:t>j</w:t>
      </w:r>
      <w:r w:rsidRPr="001D6D86">
        <w:rPr>
          <w:bCs/>
          <w:sz w:val="22"/>
          <w:szCs w:val="22"/>
          <w:u w:val="single"/>
          <w:lang w:val="sr-Latn-ME"/>
        </w:rPr>
        <w:t>eni:</w:t>
      </w:r>
    </w:p>
    <w:p w14:paraId="4CC95037" w14:textId="2E10EF18"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Aleglitazar 0,3 mg 7 dana doziranja; Fenofibrat 67 mg 7 dana tri puta dnevno; Flukonazol 200 mg 11 dana jednom dnevno; Fosamprenavir 700 mg/ritonavir 100 mg 8 dana dva puta dnevno; Ketokonazol 200 mg 7 dana dva puta dnevno; Rifampin 450 mg 7 dana jednom dnevno; Silimarin 140 mg tri puta dnevno, 5 dana.</w:t>
      </w:r>
    </w:p>
    <w:p w14:paraId="3E62982B" w14:textId="77777777" w:rsidR="007110D4" w:rsidRPr="001D6D86" w:rsidRDefault="00030415" w:rsidP="0026307D">
      <w:pPr>
        <w:tabs>
          <w:tab w:val="left" w:pos="540"/>
          <w:tab w:val="left" w:pos="569"/>
        </w:tabs>
        <w:jc w:val="both"/>
        <w:rPr>
          <w:bCs/>
          <w:sz w:val="22"/>
          <w:szCs w:val="22"/>
          <w:u w:val="single"/>
          <w:lang w:val="sr-Latn-ME"/>
        </w:rPr>
      </w:pPr>
      <w:r w:rsidRPr="001D6D86">
        <w:rPr>
          <w:bCs/>
          <w:sz w:val="22"/>
          <w:szCs w:val="22"/>
          <w:u w:val="single"/>
          <w:lang w:val="sr-Latn-ME"/>
        </w:rPr>
        <w:t xml:space="preserve"> </w:t>
      </w:r>
    </w:p>
    <w:p w14:paraId="62173920" w14:textId="3126F3C5"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Uticaj rosuvastatina na istovremeno prim</w:t>
      </w:r>
      <w:r w:rsidR="00253AB4" w:rsidRPr="001D6D86">
        <w:rPr>
          <w:bCs/>
          <w:sz w:val="22"/>
          <w:szCs w:val="22"/>
          <w:u w:val="single"/>
          <w:lang w:val="sr-Latn-ME"/>
        </w:rPr>
        <w:t>ij</w:t>
      </w:r>
      <w:r w:rsidRPr="001D6D86">
        <w:rPr>
          <w:bCs/>
          <w:sz w:val="22"/>
          <w:szCs w:val="22"/>
          <w:u w:val="single"/>
          <w:lang w:val="sr-Latn-ME"/>
        </w:rPr>
        <w:t>enjene l</w:t>
      </w:r>
      <w:r w:rsidR="00253AB4" w:rsidRPr="001D6D86">
        <w:rPr>
          <w:bCs/>
          <w:sz w:val="22"/>
          <w:szCs w:val="22"/>
          <w:u w:val="single"/>
          <w:lang w:val="sr-Latn-ME"/>
        </w:rPr>
        <w:t>j</w:t>
      </w:r>
      <w:r w:rsidRPr="001D6D86">
        <w:rPr>
          <w:bCs/>
          <w:sz w:val="22"/>
          <w:szCs w:val="22"/>
          <w:u w:val="single"/>
          <w:lang w:val="sr-Latn-ME"/>
        </w:rPr>
        <w:t>ekove</w:t>
      </w:r>
    </w:p>
    <w:p w14:paraId="2FF77717" w14:textId="26D0CA00"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Antagonisti vitamina K</w:t>
      </w:r>
      <w:r w:rsidRPr="001D6D86">
        <w:rPr>
          <w:bCs/>
          <w:sz w:val="22"/>
          <w:szCs w:val="22"/>
          <w:lang w:val="sr-Latn-ME"/>
        </w:rPr>
        <w:t xml:space="preserve">: Kao i sa drugim inhibitorima HMG-CoA reduktaze, započinjanje terapije ili titriranje doze rosuvastatina kod pacijenata koji istovremeno primaju i antagoniste vitamina K (npr. varfarin ili drugi kumarinski antikoagulans) može da dovede do povećanja internacionalnog normalizovanog koeficijenta (engl. </w:t>
      </w:r>
      <w:r w:rsidRPr="001D6D86">
        <w:rPr>
          <w:bCs/>
          <w:i/>
          <w:sz w:val="22"/>
          <w:szCs w:val="22"/>
          <w:lang w:val="sr-Latn-ME"/>
        </w:rPr>
        <w:t>International Normalised Ratio</w:t>
      </w:r>
      <w:r w:rsidRPr="001D6D86">
        <w:rPr>
          <w:bCs/>
          <w:sz w:val="22"/>
          <w:szCs w:val="22"/>
          <w:lang w:val="sr-Latn-ME"/>
        </w:rPr>
        <w:t>, INR). Obustava ili smanjivanje doze rosuvastatina može da dovede do smanjenja INR. U takvim situacijama poželjno je praćenje vr</w:t>
      </w:r>
      <w:r w:rsidR="00253AB4" w:rsidRPr="001D6D86">
        <w:rPr>
          <w:bCs/>
          <w:sz w:val="22"/>
          <w:szCs w:val="22"/>
          <w:lang w:val="sr-Latn-ME"/>
        </w:rPr>
        <w:t>ij</w:t>
      </w:r>
      <w:r w:rsidRPr="001D6D86">
        <w:rPr>
          <w:bCs/>
          <w:sz w:val="22"/>
          <w:szCs w:val="22"/>
          <w:lang w:val="sr-Latn-ME"/>
        </w:rPr>
        <w:t>ednosti INR.</w:t>
      </w:r>
    </w:p>
    <w:p w14:paraId="43A06780" w14:textId="77777777" w:rsidR="00030415" w:rsidRPr="001D6D86" w:rsidRDefault="00030415" w:rsidP="0026307D">
      <w:pPr>
        <w:tabs>
          <w:tab w:val="left" w:pos="540"/>
          <w:tab w:val="left" w:pos="569"/>
        </w:tabs>
        <w:jc w:val="both"/>
        <w:rPr>
          <w:bCs/>
          <w:sz w:val="22"/>
          <w:szCs w:val="22"/>
          <w:lang w:val="sr-Latn-ME"/>
        </w:rPr>
      </w:pPr>
    </w:p>
    <w:p w14:paraId="2B9E9676" w14:textId="77777777" w:rsidR="00746467" w:rsidRPr="001D6D86" w:rsidRDefault="00030415" w:rsidP="0026307D">
      <w:pPr>
        <w:tabs>
          <w:tab w:val="left" w:pos="540"/>
          <w:tab w:val="left" w:pos="569"/>
        </w:tabs>
        <w:jc w:val="both"/>
        <w:rPr>
          <w:bCs/>
          <w:sz w:val="22"/>
          <w:szCs w:val="22"/>
          <w:lang w:val="sr-Latn-ME"/>
        </w:rPr>
      </w:pPr>
      <w:r w:rsidRPr="001D6D86">
        <w:rPr>
          <w:bCs/>
          <w:i/>
          <w:sz w:val="22"/>
          <w:szCs w:val="22"/>
          <w:lang w:val="sr-Latn-ME"/>
        </w:rPr>
        <w:t xml:space="preserve">Oralni kontraceptivi/hormonska supstituciona terapija (HST): </w:t>
      </w:r>
      <w:r w:rsidRPr="001D6D86">
        <w:rPr>
          <w:bCs/>
          <w:sz w:val="22"/>
          <w:szCs w:val="22"/>
          <w:lang w:val="sr-Latn-ME"/>
        </w:rPr>
        <w:t>Istovremena upotreba rosuvastatina i oralnih kontraceptiva dovodila je do povećanja vr</w:t>
      </w:r>
      <w:r w:rsidR="00253AB4" w:rsidRPr="001D6D86">
        <w:rPr>
          <w:bCs/>
          <w:sz w:val="22"/>
          <w:szCs w:val="22"/>
          <w:lang w:val="sr-Latn-ME"/>
        </w:rPr>
        <w:t>ij</w:t>
      </w:r>
      <w:r w:rsidRPr="001D6D86">
        <w:rPr>
          <w:bCs/>
          <w:sz w:val="22"/>
          <w:szCs w:val="22"/>
          <w:lang w:val="sr-Latn-ME"/>
        </w:rPr>
        <w:t>ednosti PIK etinilestradiola od 26% i norgestrela od 34%. Ove povećane koncentracije l</w:t>
      </w:r>
      <w:r w:rsidR="00253AB4" w:rsidRPr="001D6D86">
        <w:rPr>
          <w:bCs/>
          <w:sz w:val="22"/>
          <w:szCs w:val="22"/>
          <w:lang w:val="sr-Latn-ME"/>
        </w:rPr>
        <w:t>j</w:t>
      </w:r>
      <w:r w:rsidRPr="001D6D86">
        <w:rPr>
          <w:bCs/>
          <w:sz w:val="22"/>
          <w:szCs w:val="22"/>
          <w:lang w:val="sr-Latn-ME"/>
        </w:rPr>
        <w:t>ekova u plazmi treba uzeti u obzir kada se određuje doza oralnog kontraceptiva.</w:t>
      </w:r>
    </w:p>
    <w:p w14:paraId="14A3A562" w14:textId="1C88151C"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Nema raspoloživih farmakokinetičkih podataka o istovremenoj prom</w:t>
      </w:r>
      <w:r w:rsidR="00253AB4" w:rsidRPr="001D6D86">
        <w:rPr>
          <w:bCs/>
          <w:sz w:val="22"/>
          <w:szCs w:val="22"/>
          <w:lang w:val="sr-Latn-ME"/>
        </w:rPr>
        <w:t>j</w:t>
      </w:r>
      <w:r w:rsidRPr="001D6D86">
        <w:rPr>
          <w:bCs/>
          <w:sz w:val="22"/>
          <w:szCs w:val="22"/>
          <w:lang w:val="sr-Latn-ME"/>
        </w:rPr>
        <w:t>eni rosuvastatina i HST pa se ne mogu isključiti slična dejstva. Međutim, ova kombinacija je bila intenzivno korišćena u kliničkim ispitivanjima, i podnošljivost je bila dobra.</w:t>
      </w:r>
    </w:p>
    <w:p w14:paraId="650C69F4" w14:textId="77777777" w:rsidR="00030415" w:rsidRPr="001D6D86" w:rsidRDefault="00030415" w:rsidP="0026307D">
      <w:pPr>
        <w:tabs>
          <w:tab w:val="left" w:pos="540"/>
          <w:tab w:val="left" w:pos="569"/>
        </w:tabs>
        <w:jc w:val="both"/>
        <w:rPr>
          <w:bCs/>
          <w:sz w:val="22"/>
          <w:szCs w:val="22"/>
          <w:lang w:val="sr-Latn-ME"/>
        </w:rPr>
      </w:pPr>
    </w:p>
    <w:p w14:paraId="2849AF2D" w14:textId="12900A37"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Drugi l</w:t>
      </w:r>
      <w:r w:rsidR="00253AB4" w:rsidRPr="001D6D86">
        <w:rPr>
          <w:bCs/>
          <w:i/>
          <w:sz w:val="22"/>
          <w:szCs w:val="22"/>
          <w:lang w:val="sr-Latn-ME"/>
        </w:rPr>
        <w:t>j</w:t>
      </w:r>
      <w:r w:rsidRPr="001D6D86">
        <w:rPr>
          <w:bCs/>
          <w:i/>
          <w:sz w:val="22"/>
          <w:szCs w:val="22"/>
          <w:lang w:val="sr-Latn-ME"/>
        </w:rPr>
        <w:t>ekovi:</w:t>
      </w:r>
    </w:p>
    <w:p w14:paraId="2DD21CA7" w14:textId="77777777"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 xml:space="preserve">Digoksin: </w:t>
      </w:r>
      <w:r w:rsidRPr="001D6D86">
        <w:rPr>
          <w:bCs/>
          <w:sz w:val="22"/>
          <w:szCs w:val="22"/>
          <w:lang w:val="sr-Latn-ME"/>
        </w:rPr>
        <w:t>Na osnovu podataka iz specifičnih studija interakcije ne očekuje se klinički relevantna interakcija sa digoksinom.</w:t>
      </w:r>
    </w:p>
    <w:p w14:paraId="70A1FB32" w14:textId="77777777" w:rsidR="00030415" w:rsidRPr="001D6D86" w:rsidRDefault="00030415" w:rsidP="0026307D">
      <w:pPr>
        <w:tabs>
          <w:tab w:val="left" w:pos="540"/>
          <w:tab w:val="left" w:pos="569"/>
        </w:tabs>
        <w:jc w:val="both"/>
        <w:rPr>
          <w:bCs/>
          <w:sz w:val="22"/>
          <w:szCs w:val="22"/>
          <w:lang w:val="sr-Latn-ME"/>
        </w:rPr>
      </w:pPr>
    </w:p>
    <w:p w14:paraId="112EA6C7" w14:textId="0B0972E2"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 xml:space="preserve">Fusidinska kiselina: </w:t>
      </w:r>
      <w:r w:rsidRPr="001D6D86">
        <w:rPr>
          <w:bCs/>
          <w:iCs/>
          <w:sz w:val="22"/>
          <w:szCs w:val="22"/>
          <w:lang w:val="sr-Latn-ME"/>
        </w:rPr>
        <w:t>Studije interakcije rosuvastatina i fusidinske kiseline ni</w:t>
      </w:r>
      <w:r w:rsidR="006B230D" w:rsidRPr="001D6D86">
        <w:rPr>
          <w:bCs/>
          <w:iCs/>
          <w:sz w:val="22"/>
          <w:szCs w:val="22"/>
          <w:lang w:val="sr-Latn-ME"/>
        </w:rPr>
        <w:t>je</w:t>
      </w:r>
      <w:r w:rsidRPr="001D6D86">
        <w:rPr>
          <w:bCs/>
          <w:iCs/>
          <w:sz w:val="22"/>
          <w:szCs w:val="22"/>
          <w:lang w:val="sr-Latn-ME"/>
        </w:rPr>
        <w:t xml:space="preserve">su sprovedene. </w:t>
      </w:r>
      <w:r w:rsidRPr="001D6D86">
        <w:rPr>
          <w:bCs/>
          <w:sz w:val="22"/>
          <w:szCs w:val="22"/>
          <w:lang w:val="sr-Latn-ME"/>
        </w:rPr>
        <w:t>Istovremena upotreba statina i fusidinske kiseline u formulaciji za sistemsku prim</w:t>
      </w:r>
      <w:r w:rsidR="00253AB4" w:rsidRPr="001D6D86">
        <w:rPr>
          <w:bCs/>
          <w:sz w:val="22"/>
          <w:szCs w:val="22"/>
          <w:lang w:val="sr-Latn-ME"/>
        </w:rPr>
        <w:t>j</w:t>
      </w:r>
      <w:r w:rsidRPr="001D6D86">
        <w:rPr>
          <w:bCs/>
          <w:sz w:val="22"/>
          <w:szCs w:val="22"/>
          <w:lang w:val="sr-Latn-ME"/>
        </w:rPr>
        <w:t>enu može povećati rizik od miopatije uključujući rabdomiolizu. Mehanizam ove interakcije još uv</w:t>
      </w:r>
      <w:r w:rsidR="00253AB4" w:rsidRPr="001D6D86">
        <w:rPr>
          <w:bCs/>
          <w:sz w:val="22"/>
          <w:szCs w:val="22"/>
          <w:lang w:val="sr-Latn-ME"/>
        </w:rPr>
        <w:t>ij</w:t>
      </w:r>
      <w:r w:rsidRPr="001D6D86">
        <w:rPr>
          <w:bCs/>
          <w:sz w:val="22"/>
          <w:szCs w:val="22"/>
          <w:lang w:val="sr-Latn-ME"/>
        </w:rPr>
        <w:t xml:space="preserve">ek nije poznat (bilo da </w:t>
      </w:r>
      <w:r w:rsidRPr="001D6D86">
        <w:rPr>
          <w:bCs/>
          <w:sz w:val="22"/>
          <w:szCs w:val="22"/>
          <w:lang w:val="sr-Latn-ME"/>
        </w:rPr>
        <w:lastRenderedPageBreak/>
        <w:t>je farmakodinamska ili farmakokinetska, ili obuhvata oba). Prijavljeni su slučajevi rabdomiolize (uključujući i smrtne slučajeve) kod pacijenata koji su primali ovu kombinaciju.</w:t>
      </w:r>
    </w:p>
    <w:p w14:paraId="45C0CC47" w14:textId="77777777" w:rsidR="00030415" w:rsidRPr="001D6D86" w:rsidRDefault="00030415" w:rsidP="0026307D">
      <w:pPr>
        <w:tabs>
          <w:tab w:val="left" w:pos="540"/>
          <w:tab w:val="left" w:pos="569"/>
        </w:tabs>
        <w:jc w:val="both"/>
        <w:rPr>
          <w:bCs/>
          <w:sz w:val="22"/>
          <w:szCs w:val="22"/>
          <w:lang w:val="sr-Latn-ME"/>
        </w:rPr>
      </w:pPr>
    </w:p>
    <w:p w14:paraId="10698B2D" w14:textId="3CBF5173"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Ukoliko je sistemska terapija fusidinskom kiselinom neophodna, mora se prekinuti terapija statinima za vr</w:t>
      </w:r>
      <w:r w:rsidR="00253AB4" w:rsidRPr="001D6D86">
        <w:rPr>
          <w:bCs/>
          <w:sz w:val="22"/>
          <w:szCs w:val="22"/>
          <w:lang w:val="sr-Latn-ME"/>
        </w:rPr>
        <w:t>ij</w:t>
      </w:r>
      <w:r w:rsidRPr="001D6D86">
        <w:rPr>
          <w:bCs/>
          <w:sz w:val="22"/>
          <w:szCs w:val="22"/>
          <w:lang w:val="sr-Latn-ME"/>
        </w:rPr>
        <w:t>eme trajanja terapije fusidinskom kiselinom (vid</w:t>
      </w:r>
      <w:r w:rsidR="00253AB4" w:rsidRPr="001D6D86">
        <w:rPr>
          <w:bCs/>
          <w:sz w:val="22"/>
          <w:szCs w:val="22"/>
          <w:lang w:val="sr-Latn-ME"/>
        </w:rPr>
        <w:t>j</w:t>
      </w:r>
      <w:r w:rsidRPr="001D6D86">
        <w:rPr>
          <w:bCs/>
          <w:sz w:val="22"/>
          <w:szCs w:val="22"/>
          <w:lang w:val="sr-Latn-ME"/>
        </w:rPr>
        <w:t xml:space="preserve">eti </w:t>
      </w:r>
      <w:r w:rsidR="00253AB4" w:rsidRPr="001D6D86">
        <w:rPr>
          <w:bCs/>
          <w:sz w:val="22"/>
          <w:szCs w:val="22"/>
          <w:lang w:val="sr-Latn-ME"/>
        </w:rPr>
        <w:t>dio</w:t>
      </w:r>
      <w:r w:rsidRPr="001D6D86">
        <w:rPr>
          <w:bCs/>
          <w:sz w:val="22"/>
          <w:szCs w:val="22"/>
          <w:lang w:val="sr-Latn-ME"/>
        </w:rPr>
        <w:t xml:space="preserve"> 4.4).</w:t>
      </w:r>
    </w:p>
    <w:p w14:paraId="3C0CE67C" w14:textId="77777777" w:rsidR="00030415" w:rsidRPr="001D6D86" w:rsidRDefault="00030415" w:rsidP="0026307D">
      <w:pPr>
        <w:tabs>
          <w:tab w:val="left" w:pos="540"/>
          <w:tab w:val="left" w:pos="569"/>
        </w:tabs>
        <w:jc w:val="both"/>
        <w:rPr>
          <w:bCs/>
          <w:sz w:val="22"/>
          <w:szCs w:val="22"/>
          <w:lang w:val="sr-Latn-ME"/>
        </w:rPr>
      </w:pPr>
    </w:p>
    <w:p w14:paraId="55F2F22C" w14:textId="77777777"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Pedijatrijska populacija:</w:t>
      </w:r>
    </w:p>
    <w:p w14:paraId="3173E6E2" w14:textId="02DA3DFE"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Studije interakcija sprovedene su samo kod odraslih. Stepen interakcija kod pedijatrijske populacije nije poznat.</w:t>
      </w:r>
    </w:p>
    <w:p w14:paraId="36C1AFF5" w14:textId="77777777" w:rsidR="00030415" w:rsidRPr="001D6D86" w:rsidRDefault="00030415" w:rsidP="0026307D">
      <w:pPr>
        <w:tabs>
          <w:tab w:val="left" w:pos="540"/>
          <w:tab w:val="left" w:pos="569"/>
        </w:tabs>
        <w:jc w:val="both"/>
        <w:rPr>
          <w:bCs/>
          <w:sz w:val="22"/>
          <w:szCs w:val="22"/>
          <w:lang w:val="sr-Latn-ME"/>
        </w:rPr>
      </w:pPr>
    </w:p>
    <w:p w14:paraId="7D03A716" w14:textId="77777777" w:rsidR="0072020E" w:rsidRPr="001D6D86" w:rsidRDefault="0072020E" w:rsidP="0026307D">
      <w:pPr>
        <w:tabs>
          <w:tab w:val="left" w:pos="540"/>
          <w:tab w:val="left" w:pos="569"/>
        </w:tabs>
        <w:jc w:val="both"/>
        <w:rPr>
          <w:b/>
          <w:sz w:val="22"/>
          <w:szCs w:val="22"/>
          <w:lang w:val="sr-Latn-ME"/>
        </w:rPr>
      </w:pPr>
      <w:r w:rsidRPr="001D6D86">
        <w:rPr>
          <w:b/>
          <w:bCs/>
          <w:sz w:val="22"/>
          <w:szCs w:val="22"/>
          <w:lang w:val="sr-Latn-ME"/>
        </w:rPr>
        <w:t xml:space="preserve">4.6. </w:t>
      </w:r>
      <w:r w:rsidR="00480FB1" w:rsidRPr="001D6D86">
        <w:rPr>
          <w:b/>
          <w:bCs/>
          <w:sz w:val="22"/>
          <w:szCs w:val="22"/>
          <w:lang w:val="sr-Latn-ME"/>
        </w:rPr>
        <w:tab/>
      </w:r>
      <w:r w:rsidR="006D20A5" w:rsidRPr="001D6D86">
        <w:rPr>
          <w:b/>
          <w:sz w:val="22"/>
          <w:szCs w:val="22"/>
          <w:lang w:val="sr-Latn-ME"/>
        </w:rPr>
        <w:t>Plodnost, trudnoća i dojenje</w:t>
      </w:r>
    </w:p>
    <w:p w14:paraId="102DE07F" w14:textId="77777777" w:rsidR="002031B3" w:rsidRPr="001D6D86" w:rsidRDefault="002031B3" w:rsidP="0026307D">
      <w:pPr>
        <w:tabs>
          <w:tab w:val="left" w:pos="540"/>
          <w:tab w:val="left" w:pos="569"/>
        </w:tabs>
        <w:jc w:val="both"/>
        <w:rPr>
          <w:sz w:val="22"/>
          <w:szCs w:val="22"/>
          <w:u w:val="single"/>
          <w:lang w:val="sr-Latn-ME"/>
        </w:rPr>
      </w:pPr>
    </w:p>
    <w:p w14:paraId="2C2C5F7A" w14:textId="12A47BA7" w:rsidR="00030415" w:rsidRPr="001D6D86" w:rsidRDefault="00030415" w:rsidP="0026307D">
      <w:pPr>
        <w:tabs>
          <w:tab w:val="left" w:pos="540"/>
          <w:tab w:val="left" w:pos="569"/>
        </w:tabs>
        <w:ind w:left="540" w:hanging="540"/>
        <w:jc w:val="both"/>
        <w:rPr>
          <w:sz w:val="22"/>
          <w:szCs w:val="22"/>
          <w:lang w:val="sr-Latn-ME"/>
        </w:rPr>
      </w:pPr>
      <w:r w:rsidRPr="001D6D86">
        <w:rPr>
          <w:sz w:val="22"/>
          <w:szCs w:val="22"/>
          <w:lang w:val="sr-Latn-ME"/>
        </w:rPr>
        <w:t>Prim</w:t>
      </w:r>
      <w:r w:rsidR="00253AB4" w:rsidRPr="001D6D86">
        <w:rPr>
          <w:sz w:val="22"/>
          <w:szCs w:val="22"/>
          <w:lang w:val="sr-Latn-ME"/>
        </w:rPr>
        <w:t>j</w:t>
      </w:r>
      <w:r w:rsidRPr="001D6D86">
        <w:rPr>
          <w:sz w:val="22"/>
          <w:szCs w:val="22"/>
          <w:lang w:val="sr-Latn-ME"/>
        </w:rPr>
        <w:t>ena rosuvastatina je kontraindikovana u trudnoći i tokom perioda dojenja.</w:t>
      </w:r>
    </w:p>
    <w:p w14:paraId="3D578517" w14:textId="4B286519" w:rsidR="00030415" w:rsidRPr="001D6D86" w:rsidRDefault="00030415" w:rsidP="0026307D">
      <w:pPr>
        <w:tabs>
          <w:tab w:val="left" w:pos="540"/>
          <w:tab w:val="left" w:pos="569"/>
        </w:tabs>
        <w:ind w:left="540" w:hanging="540"/>
        <w:jc w:val="both"/>
        <w:rPr>
          <w:sz w:val="22"/>
          <w:szCs w:val="22"/>
          <w:lang w:val="sr-Latn-ME"/>
        </w:rPr>
      </w:pPr>
      <w:r w:rsidRPr="001D6D86">
        <w:rPr>
          <w:sz w:val="22"/>
          <w:szCs w:val="22"/>
          <w:lang w:val="sr-Latn-ME"/>
        </w:rPr>
        <w:t>Žene u reproduktivnom periodu treba da koriste odgovarajuće kontraceptivne m</w:t>
      </w:r>
      <w:r w:rsidR="00253AB4" w:rsidRPr="001D6D86">
        <w:rPr>
          <w:sz w:val="22"/>
          <w:szCs w:val="22"/>
          <w:lang w:val="sr-Latn-ME"/>
        </w:rPr>
        <w:t>j</w:t>
      </w:r>
      <w:r w:rsidRPr="001D6D86">
        <w:rPr>
          <w:sz w:val="22"/>
          <w:szCs w:val="22"/>
          <w:lang w:val="sr-Latn-ME"/>
        </w:rPr>
        <w:t xml:space="preserve">ere. </w:t>
      </w:r>
    </w:p>
    <w:p w14:paraId="3B2ECBB5" w14:textId="6178D349" w:rsidR="007110D4" w:rsidRPr="001D6D86" w:rsidRDefault="007110D4" w:rsidP="0026307D">
      <w:pPr>
        <w:tabs>
          <w:tab w:val="left" w:pos="540"/>
          <w:tab w:val="left" w:pos="569"/>
        </w:tabs>
        <w:jc w:val="both"/>
        <w:rPr>
          <w:sz w:val="22"/>
          <w:szCs w:val="22"/>
          <w:lang w:val="sr-Latn-ME"/>
        </w:rPr>
      </w:pPr>
    </w:p>
    <w:p w14:paraId="734E70AE" w14:textId="6D59C132" w:rsidR="006B230D" w:rsidRPr="001D6D86" w:rsidRDefault="006B230D" w:rsidP="0026307D">
      <w:pPr>
        <w:tabs>
          <w:tab w:val="left" w:pos="540"/>
          <w:tab w:val="left" w:pos="569"/>
        </w:tabs>
        <w:jc w:val="both"/>
        <w:rPr>
          <w:sz w:val="22"/>
          <w:szCs w:val="22"/>
          <w:u w:val="single"/>
          <w:lang w:val="sr-Latn-ME"/>
        </w:rPr>
      </w:pPr>
      <w:r w:rsidRPr="001D6D86">
        <w:rPr>
          <w:sz w:val="22"/>
          <w:szCs w:val="22"/>
          <w:u w:val="single"/>
          <w:lang w:val="sr-Latn-ME"/>
        </w:rPr>
        <w:t>Trudnoća</w:t>
      </w:r>
    </w:p>
    <w:p w14:paraId="08FEFEB8" w14:textId="65FBF841" w:rsidR="007110D4" w:rsidRPr="001D6D86" w:rsidRDefault="00030415" w:rsidP="0026307D">
      <w:pPr>
        <w:tabs>
          <w:tab w:val="left" w:pos="540"/>
          <w:tab w:val="left" w:pos="569"/>
        </w:tabs>
        <w:jc w:val="both"/>
        <w:rPr>
          <w:sz w:val="22"/>
          <w:szCs w:val="22"/>
          <w:lang w:val="sr-Latn-ME"/>
        </w:rPr>
      </w:pPr>
      <w:r w:rsidRPr="001D6D86">
        <w:rPr>
          <w:sz w:val="22"/>
          <w:szCs w:val="22"/>
          <w:lang w:val="sr-Latn-ME"/>
        </w:rPr>
        <w:t xml:space="preserve">Pošto su holesterol i ostali proizvodi biosinteze holesterola esencijalni za razvoj fetusa, potencijalni rizik od inhibitora HMG-CoA reduktaze je veći od koristi terapije tokom trudnoće. Studije na životinjama pružaju ograničene </w:t>
      </w:r>
      <w:r w:rsidR="00746467" w:rsidRPr="001D6D86">
        <w:rPr>
          <w:sz w:val="22"/>
          <w:szCs w:val="22"/>
          <w:lang w:val="sr-Latn-ME"/>
        </w:rPr>
        <w:t>dokaze</w:t>
      </w:r>
      <w:r w:rsidRPr="001D6D86">
        <w:rPr>
          <w:sz w:val="22"/>
          <w:szCs w:val="22"/>
          <w:lang w:val="sr-Latn-ME"/>
        </w:rPr>
        <w:t xml:space="preserve"> o reproduktivnoj toksičnosti (vid</w:t>
      </w:r>
      <w:r w:rsidR="00253AB4" w:rsidRPr="001D6D86">
        <w:rPr>
          <w:sz w:val="22"/>
          <w:szCs w:val="22"/>
          <w:lang w:val="sr-Latn-ME"/>
        </w:rPr>
        <w:t>j</w:t>
      </w:r>
      <w:r w:rsidRPr="001D6D86">
        <w:rPr>
          <w:sz w:val="22"/>
          <w:szCs w:val="22"/>
          <w:lang w:val="sr-Latn-ME"/>
        </w:rPr>
        <w:t xml:space="preserve">eti </w:t>
      </w:r>
      <w:r w:rsidR="00253AB4" w:rsidRPr="001D6D86">
        <w:rPr>
          <w:sz w:val="22"/>
          <w:szCs w:val="22"/>
          <w:lang w:val="sr-Latn-ME"/>
        </w:rPr>
        <w:t>dio</w:t>
      </w:r>
      <w:r w:rsidRPr="001D6D86">
        <w:rPr>
          <w:sz w:val="22"/>
          <w:szCs w:val="22"/>
          <w:lang w:val="sr-Latn-ME"/>
        </w:rPr>
        <w:t xml:space="preserve"> 5.3). Ako pacijentkinja zatrudni tokom prim</w:t>
      </w:r>
      <w:r w:rsidR="00253AB4" w:rsidRPr="001D6D86">
        <w:rPr>
          <w:sz w:val="22"/>
          <w:szCs w:val="22"/>
          <w:lang w:val="sr-Latn-ME"/>
        </w:rPr>
        <w:t>j</w:t>
      </w:r>
      <w:r w:rsidRPr="001D6D86">
        <w:rPr>
          <w:sz w:val="22"/>
          <w:szCs w:val="22"/>
          <w:lang w:val="sr-Latn-ME"/>
        </w:rPr>
        <w:t>ene ovog l</w:t>
      </w:r>
      <w:r w:rsidR="00253AB4" w:rsidRPr="001D6D86">
        <w:rPr>
          <w:sz w:val="22"/>
          <w:szCs w:val="22"/>
          <w:lang w:val="sr-Latn-ME"/>
        </w:rPr>
        <w:t>ij</w:t>
      </w:r>
      <w:r w:rsidRPr="001D6D86">
        <w:rPr>
          <w:sz w:val="22"/>
          <w:szCs w:val="22"/>
          <w:lang w:val="sr-Latn-ME"/>
        </w:rPr>
        <w:t>eka, terapiju treba odmah prekinuti.</w:t>
      </w:r>
    </w:p>
    <w:p w14:paraId="0B20669F" w14:textId="5F277D4E" w:rsidR="00030415" w:rsidRPr="001D6D86" w:rsidRDefault="00030415" w:rsidP="0026307D">
      <w:pPr>
        <w:tabs>
          <w:tab w:val="left" w:pos="540"/>
          <w:tab w:val="left" w:pos="569"/>
        </w:tabs>
        <w:jc w:val="both"/>
        <w:rPr>
          <w:sz w:val="22"/>
          <w:szCs w:val="22"/>
          <w:lang w:val="sr-Latn-ME"/>
        </w:rPr>
      </w:pPr>
      <w:r w:rsidRPr="001D6D86">
        <w:rPr>
          <w:sz w:val="22"/>
          <w:szCs w:val="22"/>
          <w:lang w:val="sr-Latn-ME"/>
        </w:rPr>
        <w:t>Rosuvastatin se izlučuje u ml</w:t>
      </w:r>
      <w:r w:rsidR="00253AB4" w:rsidRPr="001D6D86">
        <w:rPr>
          <w:sz w:val="22"/>
          <w:szCs w:val="22"/>
          <w:lang w:val="sr-Latn-ME"/>
        </w:rPr>
        <w:t>ij</w:t>
      </w:r>
      <w:r w:rsidRPr="001D6D86">
        <w:rPr>
          <w:sz w:val="22"/>
          <w:szCs w:val="22"/>
          <w:lang w:val="sr-Latn-ME"/>
        </w:rPr>
        <w:t>eku ženki pacova. Nema podataka o izlučivanju u majčino ml</w:t>
      </w:r>
      <w:r w:rsidR="00253AB4" w:rsidRPr="001D6D86">
        <w:rPr>
          <w:sz w:val="22"/>
          <w:szCs w:val="22"/>
          <w:lang w:val="sr-Latn-ME"/>
        </w:rPr>
        <w:t>ij</w:t>
      </w:r>
      <w:r w:rsidRPr="001D6D86">
        <w:rPr>
          <w:sz w:val="22"/>
          <w:szCs w:val="22"/>
          <w:lang w:val="sr-Latn-ME"/>
        </w:rPr>
        <w:t>eko kod ljudi (vid</w:t>
      </w:r>
      <w:r w:rsidR="00253AB4" w:rsidRPr="001D6D86">
        <w:rPr>
          <w:sz w:val="22"/>
          <w:szCs w:val="22"/>
          <w:lang w:val="sr-Latn-ME"/>
        </w:rPr>
        <w:t>j</w:t>
      </w:r>
      <w:r w:rsidRPr="001D6D86">
        <w:rPr>
          <w:sz w:val="22"/>
          <w:szCs w:val="22"/>
          <w:lang w:val="sr-Latn-ME"/>
        </w:rPr>
        <w:t xml:space="preserve">eti </w:t>
      </w:r>
      <w:r w:rsidR="00253AB4" w:rsidRPr="001D6D86">
        <w:rPr>
          <w:sz w:val="22"/>
          <w:szCs w:val="22"/>
          <w:lang w:val="sr-Latn-ME"/>
        </w:rPr>
        <w:t>dio</w:t>
      </w:r>
      <w:r w:rsidRPr="001D6D86">
        <w:rPr>
          <w:sz w:val="22"/>
          <w:szCs w:val="22"/>
          <w:lang w:val="sr-Latn-ME"/>
        </w:rPr>
        <w:t xml:space="preserve"> 4.3).</w:t>
      </w:r>
    </w:p>
    <w:p w14:paraId="32F05217" w14:textId="77777777" w:rsidR="00030415" w:rsidRPr="001D6D86" w:rsidRDefault="00030415" w:rsidP="0026307D">
      <w:pPr>
        <w:tabs>
          <w:tab w:val="left" w:pos="540"/>
          <w:tab w:val="left" w:pos="569"/>
        </w:tabs>
        <w:jc w:val="both"/>
        <w:rPr>
          <w:b/>
          <w:bCs/>
          <w:sz w:val="22"/>
          <w:szCs w:val="22"/>
          <w:lang w:val="sr-Latn-ME"/>
        </w:rPr>
      </w:pPr>
    </w:p>
    <w:p w14:paraId="207036CF" w14:textId="77777777" w:rsidR="0072020E" w:rsidRPr="001D6D86" w:rsidRDefault="0072020E" w:rsidP="0026307D">
      <w:pPr>
        <w:tabs>
          <w:tab w:val="left" w:pos="540"/>
          <w:tab w:val="left" w:pos="569"/>
        </w:tabs>
        <w:ind w:left="540" w:hanging="540"/>
        <w:jc w:val="both"/>
        <w:rPr>
          <w:b/>
          <w:bCs/>
          <w:sz w:val="22"/>
          <w:szCs w:val="22"/>
          <w:lang w:val="sr-Latn-ME"/>
        </w:rPr>
      </w:pPr>
      <w:r w:rsidRPr="001D6D86">
        <w:rPr>
          <w:b/>
          <w:bCs/>
          <w:sz w:val="22"/>
          <w:szCs w:val="22"/>
          <w:lang w:val="sr-Latn-ME"/>
        </w:rPr>
        <w:t xml:space="preserve">4.7. </w:t>
      </w:r>
      <w:r w:rsidR="00480FB1" w:rsidRPr="001D6D86">
        <w:rPr>
          <w:b/>
          <w:bCs/>
          <w:sz w:val="22"/>
          <w:szCs w:val="22"/>
          <w:lang w:val="sr-Latn-ME"/>
        </w:rPr>
        <w:tab/>
      </w:r>
      <w:r w:rsidRPr="001D6D86">
        <w:rPr>
          <w:b/>
          <w:bCs/>
          <w:sz w:val="22"/>
          <w:szCs w:val="22"/>
          <w:lang w:val="sr-Latn-ME"/>
        </w:rPr>
        <w:t xml:space="preserve">Uticaj na </w:t>
      </w:r>
      <w:r w:rsidR="002031B3" w:rsidRPr="001D6D86">
        <w:rPr>
          <w:b/>
          <w:bCs/>
          <w:sz w:val="22"/>
          <w:szCs w:val="22"/>
          <w:lang w:val="sr-Latn-ME"/>
        </w:rPr>
        <w:t xml:space="preserve">sposobnost </w:t>
      </w:r>
      <w:r w:rsidR="00F34554" w:rsidRPr="001D6D86">
        <w:rPr>
          <w:b/>
          <w:bCs/>
          <w:sz w:val="22"/>
          <w:szCs w:val="22"/>
          <w:lang w:val="sr-Latn-ME"/>
        </w:rPr>
        <w:t>upravljanja vozili</w:t>
      </w:r>
      <w:r w:rsidRPr="001D6D86">
        <w:rPr>
          <w:b/>
          <w:bCs/>
          <w:sz w:val="22"/>
          <w:szCs w:val="22"/>
          <w:lang w:val="sr-Latn-ME"/>
        </w:rPr>
        <w:t>m</w:t>
      </w:r>
      <w:r w:rsidR="00F34554" w:rsidRPr="001D6D86">
        <w:rPr>
          <w:b/>
          <w:bCs/>
          <w:sz w:val="22"/>
          <w:szCs w:val="22"/>
          <w:lang w:val="sr-Latn-ME"/>
        </w:rPr>
        <w:t>a</w:t>
      </w:r>
      <w:r w:rsidRPr="001D6D86">
        <w:rPr>
          <w:b/>
          <w:bCs/>
          <w:sz w:val="22"/>
          <w:szCs w:val="22"/>
          <w:lang w:val="sr-Latn-ME"/>
        </w:rPr>
        <w:t xml:space="preserve"> i </w:t>
      </w:r>
      <w:r w:rsidR="000D3449" w:rsidRPr="001D6D86">
        <w:rPr>
          <w:b/>
          <w:bCs/>
          <w:sz w:val="22"/>
          <w:szCs w:val="22"/>
          <w:lang w:val="sr-Latn-ME"/>
        </w:rPr>
        <w:t xml:space="preserve">rukovanje </w:t>
      </w:r>
      <w:r w:rsidRPr="001D6D86">
        <w:rPr>
          <w:b/>
          <w:bCs/>
          <w:sz w:val="22"/>
          <w:szCs w:val="22"/>
          <w:lang w:val="sr-Latn-ME"/>
        </w:rPr>
        <w:t>mašinama</w:t>
      </w:r>
    </w:p>
    <w:p w14:paraId="0BF36E22" w14:textId="77777777" w:rsidR="0072020E" w:rsidRPr="001D6D86" w:rsidRDefault="0072020E" w:rsidP="0026307D">
      <w:pPr>
        <w:tabs>
          <w:tab w:val="left" w:pos="540"/>
          <w:tab w:val="left" w:pos="569"/>
        </w:tabs>
        <w:jc w:val="both"/>
        <w:rPr>
          <w:b/>
          <w:bCs/>
          <w:sz w:val="22"/>
          <w:szCs w:val="22"/>
          <w:lang w:val="sr-Latn-ME"/>
        </w:rPr>
      </w:pPr>
    </w:p>
    <w:p w14:paraId="0DE3E637" w14:textId="05D5FCF3" w:rsidR="00030415" w:rsidRPr="001D6D86" w:rsidRDefault="00030415" w:rsidP="0026307D">
      <w:pPr>
        <w:tabs>
          <w:tab w:val="left" w:pos="540"/>
          <w:tab w:val="left" w:pos="569"/>
        </w:tabs>
        <w:jc w:val="both"/>
        <w:rPr>
          <w:sz w:val="22"/>
          <w:szCs w:val="22"/>
          <w:lang w:val="sr-Latn-ME"/>
        </w:rPr>
      </w:pPr>
      <w:r w:rsidRPr="001D6D86">
        <w:rPr>
          <w:sz w:val="22"/>
          <w:szCs w:val="22"/>
          <w:lang w:val="sr-Latn-ME"/>
        </w:rPr>
        <w:t>Nije sprovedeno ispitivanje uticaja rosuvastatina na sposobnost upravljanja vozilima i rukovanja mašinama. Ipak, na osnovu farmakodinamskih svojstava, može se smatrati da rosuvastatin ne utiče na ovu sposobnost. Tokom upravljanja vozilima i rukovanja mašinama, treba uzeti u obzir moguću pojavu vrtoglavice tokom terapije.</w:t>
      </w:r>
    </w:p>
    <w:p w14:paraId="50997909" w14:textId="77777777" w:rsidR="00030415" w:rsidRPr="001D6D86" w:rsidRDefault="00030415" w:rsidP="0026307D">
      <w:pPr>
        <w:tabs>
          <w:tab w:val="left" w:pos="540"/>
          <w:tab w:val="left" w:pos="569"/>
        </w:tabs>
        <w:jc w:val="both"/>
        <w:rPr>
          <w:b/>
          <w:bCs/>
          <w:sz w:val="22"/>
          <w:szCs w:val="22"/>
          <w:lang w:val="sr-Latn-ME"/>
        </w:rPr>
      </w:pPr>
    </w:p>
    <w:p w14:paraId="14D4B40B" w14:textId="77777777" w:rsidR="0072020E" w:rsidRPr="001D6D86" w:rsidRDefault="0072020E" w:rsidP="0026307D">
      <w:pPr>
        <w:tabs>
          <w:tab w:val="left" w:pos="540"/>
          <w:tab w:val="left" w:pos="569"/>
        </w:tabs>
        <w:jc w:val="both"/>
        <w:rPr>
          <w:b/>
          <w:bCs/>
          <w:sz w:val="22"/>
          <w:szCs w:val="22"/>
          <w:lang w:val="sr-Latn-ME"/>
        </w:rPr>
      </w:pPr>
      <w:r w:rsidRPr="001D6D86">
        <w:rPr>
          <w:b/>
          <w:bCs/>
          <w:sz w:val="22"/>
          <w:szCs w:val="22"/>
          <w:lang w:val="sr-Latn-ME"/>
        </w:rPr>
        <w:t xml:space="preserve">4.8. </w:t>
      </w:r>
      <w:r w:rsidR="00480FB1" w:rsidRPr="001D6D86">
        <w:rPr>
          <w:b/>
          <w:bCs/>
          <w:sz w:val="22"/>
          <w:szCs w:val="22"/>
          <w:lang w:val="sr-Latn-ME"/>
        </w:rPr>
        <w:tab/>
      </w:r>
      <w:r w:rsidRPr="001D6D86">
        <w:rPr>
          <w:b/>
          <w:bCs/>
          <w:sz w:val="22"/>
          <w:szCs w:val="22"/>
          <w:lang w:val="sr-Latn-ME"/>
        </w:rPr>
        <w:t>Neželjena dejstva</w:t>
      </w:r>
    </w:p>
    <w:p w14:paraId="3F0BCB7C" w14:textId="77777777" w:rsidR="004E70AD" w:rsidRPr="001D6D86" w:rsidRDefault="004E70AD" w:rsidP="0026307D">
      <w:pPr>
        <w:tabs>
          <w:tab w:val="left" w:pos="540"/>
          <w:tab w:val="left" w:pos="569"/>
        </w:tabs>
        <w:jc w:val="both"/>
        <w:rPr>
          <w:b/>
          <w:bCs/>
          <w:sz w:val="22"/>
          <w:szCs w:val="22"/>
          <w:lang w:val="sr-Latn-ME"/>
        </w:rPr>
      </w:pPr>
    </w:p>
    <w:p w14:paraId="5E82A147" w14:textId="71AE88A9" w:rsidR="00030415" w:rsidRPr="001D6D86" w:rsidRDefault="00030415" w:rsidP="0026307D">
      <w:pPr>
        <w:tabs>
          <w:tab w:val="left" w:pos="540"/>
          <w:tab w:val="left" w:pos="569"/>
        </w:tabs>
        <w:jc w:val="both"/>
        <w:rPr>
          <w:sz w:val="22"/>
          <w:szCs w:val="22"/>
          <w:lang w:val="sr-Latn-ME"/>
        </w:rPr>
      </w:pPr>
      <w:r w:rsidRPr="001D6D86">
        <w:rPr>
          <w:sz w:val="22"/>
          <w:szCs w:val="22"/>
          <w:lang w:val="sr-Latn-ME"/>
        </w:rPr>
        <w:t>Neželjeni događaji koji se javljaju usl</w:t>
      </w:r>
      <w:r w:rsidR="00253AB4" w:rsidRPr="001D6D86">
        <w:rPr>
          <w:sz w:val="22"/>
          <w:szCs w:val="22"/>
          <w:lang w:val="sr-Latn-ME"/>
        </w:rPr>
        <w:t>j</w:t>
      </w:r>
      <w:r w:rsidRPr="001D6D86">
        <w:rPr>
          <w:sz w:val="22"/>
          <w:szCs w:val="22"/>
          <w:lang w:val="sr-Latn-ME"/>
        </w:rPr>
        <w:t>ed prim</w:t>
      </w:r>
      <w:r w:rsidR="00253AB4" w:rsidRPr="001D6D86">
        <w:rPr>
          <w:sz w:val="22"/>
          <w:szCs w:val="22"/>
          <w:lang w:val="sr-Latn-ME"/>
        </w:rPr>
        <w:t>j</w:t>
      </w:r>
      <w:r w:rsidRPr="001D6D86">
        <w:rPr>
          <w:sz w:val="22"/>
          <w:szCs w:val="22"/>
          <w:lang w:val="sr-Latn-ME"/>
        </w:rPr>
        <w:t>ene rosuvastatina su uglavnom blagi i kratkotrajni. U kontrolisanim kliničkim ispitivanjima, kod manje od 4% pacijenata kod kojih je prim</w:t>
      </w:r>
      <w:r w:rsidR="00253AB4" w:rsidRPr="001D6D86">
        <w:rPr>
          <w:sz w:val="22"/>
          <w:szCs w:val="22"/>
          <w:lang w:val="sr-Latn-ME"/>
        </w:rPr>
        <w:t>j</w:t>
      </w:r>
      <w:r w:rsidRPr="001D6D86">
        <w:rPr>
          <w:sz w:val="22"/>
          <w:szCs w:val="22"/>
          <w:lang w:val="sr-Latn-ME"/>
        </w:rPr>
        <w:t>enjivan rosuvastatin je prekinuta terapija zbog neželjenih događaja.</w:t>
      </w:r>
    </w:p>
    <w:p w14:paraId="5471F922" w14:textId="77777777" w:rsidR="00030415" w:rsidRPr="001D6D86" w:rsidRDefault="00030415" w:rsidP="0026307D">
      <w:pPr>
        <w:tabs>
          <w:tab w:val="left" w:pos="540"/>
          <w:tab w:val="left" w:pos="569"/>
        </w:tabs>
        <w:jc w:val="both"/>
        <w:rPr>
          <w:sz w:val="22"/>
          <w:szCs w:val="22"/>
          <w:lang w:val="sr-Latn-ME"/>
        </w:rPr>
      </w:pPr>
    </w:p>
    <w:p w14:paraId="336F6D1C" w14:textId="77777777" w:rsidR="00030415" w:rsidRPr="001D6D86" w:rsidRDefault="00030415" w:rsidP="0026307D">
      <w:pPr>
        <w:tabs>
          <w:tab w:val="left" w:pos="540"/>
          <w:tab w:val="left" w:pos="569"/>
        </w:tabs>
        <w:jc w:val="both"/>
        <w:rPr>
          <w:sz w:val="22"/>
          <w:szCs w:val="22"/>
          <w:lang w:val="sr-Latn-ME"/>
        </w:rPr>
      </w:pPr>
      <w:r w:rsidRPr="001D6D86">
        <w:rPr>
          <w:sz w:val="22"/>
          <w:szCs w:val="22"/>
          <w:u w:val="single"/>
          <w:lang w:val="sr-Latn-ME"/>
        </w:rPr>
        <w:t>Tabelarni prikaz neželjenih reakcija</w:t>
      </w:r>
    </w:p>
    <w:p w14:paraId="54B9AA41" w14:textId="219E1840" w:rsidR="00030415" w:rsidRPr="001D6D86" w:rsidRDefault="00030415" w:rsidP="0026307D">
      <w:pPr>
        <w:tabs>
          <w:tab w:val="left" w:pos="540"/>
          <w:tab w:val="left" w:pos="569"/>
        </w:tabs>
        <w:jc w:val="both"/>
        <w:rPr>
          <w:sz w:val="22"/>
          <w:szCs w:val="22"/>
          <w:lang w:val="sr-Latn-ME"/>
        </w:rPr>
      </w:pPr>
      <w:r w:rsidRPr="001D6D86">
        <w:rPr>
          <w:sz w:val="22"/>
          <w:szCs w:val="22"/>
          <w:lang w:val="sr-Latn-ME"/>
        </w:rPr>
        <w:t>Neželjeni događaji zasnovani na podacima iz kliničkih studija i postmarketinškog iskustva su prikazani u tabeli i predstavljaju bez</w:t>
      </w:r>
      <w:r w:rsidR="00253AB4" w:rsidRPr="001D6D86">
        <w:rPr>
          <w:sz w:val="22"/>
          <w:szCs w:val="22"/>
          <w:lang w:val="sr-Latn-ME"/>
        </w:rPr>
        <w:t>bj</w:t>
      </w:r>
      <w:r w:rsidRPr="001D6D86">
        <w:rPr>
          <w:sz w:val="22"/>
          <w:szCs w:val="22"/>
          <w:lang w:val="sr-Latn-ME"/>
        </w:rPr>
        <w:t>edonosni profil rosuvastatina. Rangiranje neželjenih dejstava je prema učestalosti i prema klasifikaciji sistema organa.</w:t>
      </w:r>
    </w:p>
    <w:p w14:paraId="71C56CB5" w14:textId="721A3691" w:rsidR="00030415" w:rsidRPr="001D6D86" w:rsidRDefault="00030415" w:rsidP="0026307D">
      <w:pPr>
        <w:tabs>
          <w:tab w:val="left" w:pos="540"/>
          <w:tab w:val="left" w:pos="569"/>
        </w:tabs>
        <w:jc w:val="both"/>
        <w:rPr>
          <w:sz w:val="22"/>
          <w:szCs w:val="22"/>
          <w:lang w:val="sr-Latn-ME"/>
        </w:rPr>
      </w:pPr>
      <w:r w:rsidRPr="001D6D86">
        <w:rPr>
          <w:sz w:val="22"/>
          <w:szCs w:val="22"/>
          <w:lang w:val="sr-Latn-ME"/>
        </w:rPr>
        <w:t>Učestalost neželjenih događaja je klasifikovana na sl</w:t>
      </w:r>
      <w:r w:rsidR="00253AB4" w:rsidRPr="001D6D86">
        <w:rPr>
          <w:sz w:val="22"/>
          <w:szCs w:val="22"/>
          <w:lang w:val="sr-Latn-ME"/>
        </w:rPr>
        <w:t>j</w:t>
      </w:r>
      <w:r w:rsidRPr="001D6D86">
        <w:rPr>
          <w:sz w:val="22"/>
          <w:szCs w:val="22"/>
          <w:lang w:val="sr-Latn-ME"/>
        </w:rPr>
        <w:t>edeći način:</w:t>
      </w:r>
    </w:p>
    <w:p w14:paraId="130EBAEE" w14:textId="5AB1482E" w:rsidR="00030415" w:rsidRPr="001D6D86" w:rsidRDefault="00030415" w:rsidP="0026307D">
      <w:pPr>
        <w:tabs>
          <w:tab w:val="left" w:pos="540"/>
          <w:tab w:val="left" w:pos="569"/>
        </w:tabs>
        <w:jc w:val="both"/>
        <w:rPr>
          <w:sz w:val="22"/>
          <w:szCs w:val="22"/>
          <w:lang w:val="sr-Latn-ME"/>
        </w:rPr>
      </w:pPr>
      <w:r w:rsidRPr="001D6D86">
        <w:rPr>
          <w:sz w:val="22"/>
          <w:szCs w:val="22"/>
          <w:lang w:val="sr-Latn-ME"/>
        </w:rPr>
        <w:t xml:space="preserve">Često  (≥1/100  do &lt;1/10),  </w:t>
      </w:r>
      <w:r w:rsidR="00746467" w:rsidRPr="001D6D86">
        <w:rPr>
          <w:sz w:val="22"/>
          <w:szCs w:val="22"/>
          <w:lang w:val="sr-Latn-ME"/>
        </w:rPr>
        <w:t>P</w:t>
      </w:r>
      <w:r w:rsidRPr="001D6D86">
        <w:rPr>
          <w:sz w:val="22"/>
          <w:szCs w:val="22"/>
          <w:lang w:val="sr-Latn-ME"/>
        </w:rPr>
        <w:t xml:space="preserve">ovremeno  (≥1/1000  do &lt;  1/100),  </w:t>
      </w:r>
      <w:r w:rsidR="00746467" w:rsidRPr="001D6D86">
        <w:rPr>
          <w:sz w:val="22"/>
          <w:szCs w:val="22"/>
          <w:lang w:val="sr-Latn-ME"/>
        </w:rPr>
        <w:t>R</w:t>
      </w:r>
      <w:r w:rsidR="00253AB4" w:rsidRPr="001D6D86">
        <w:rPr>
          <w:sz w:val="22"/>
          <w:szCs w:val="22"/>
          <w:lang w:val="sr-Latn-ME"/>
        </w:rPr>
        <w:t>ij</w:t>
      </w:r>
      <w:r w:rsidRPr="001D6D86">
        <w:rPr>
          <w:sz w:val="22"/>
          <w:szCs w:val="22"/>
          <w:lang w:val="sr-Latn-ME"/>
        </w:rPr>
        <w:t>etko  (≥1/10000 do</w:t>
      </w:r>
      <w:r w:rsidR="006B230D" w:rsidRPr="001D6D86">
        <w:rPr>
          <w:sz w:val="22"/>
          <w:szCs w:val="22"/>
          <w:lang w:val="sr-Latn-ME"/>
        </w:rPr>
        <w:t xml:space="preserve"> </w:t>
      </w:r>
      <w:r w:rsidRPr="001D6D86">
        <w:rPr>
          <w:sz w:val="22"/>
          <w:szCs w:val="22"/>
          <w:lang w:val="sr-Latn-ME"/>
        </w:rPr>
        <w:t xml:space="preserve">&lt;1/1000), </w:t>
      </w:r>
      <w:r w:rsidR="00746467" w:rsidRPr="001D6D86">
        <w:rPr>
          <w:sz w:val="22"/>
          <w:szCs w:val="22"/>
          <w:lang w:val="sr-Latn-ME"/>
        </w:rPr>
        <w:t>V</w:t>
      </w:r>
      <w:r w:rsidRPr="001D6D86">
        <w:rPr>
          <w:sz w:val="22"/>
          <w:szCs w:val="22"/>
          <w:lang w:val="sr-Latn-ME"/>
        </w:rPr>
        <w:t>eoma r</w:t>
      </w:r>
      <w:r w:rsidR="00253AB4" w:rsidRPr="001D6D86">
        <w:rPr>
          <w:sz w:val="22"/>
          <w:szCs w:val="22"/>
          <w:lang w:val="sr-Latn-ME"/>
        </w:rPr>
        <w:t>ij</w:t>
      </w:r>
      <w:r w:rsidRPr="001D6D86">
        <w:rPr>
          <w:sz w:val="22"/>
          <w:szCs w:val="22"/>
          <w:lang w:val="sr-Latn-ME"/>
        </w:rPr>
        <w:t xml:space="preserve">etko (&lt;1/10000), </w:t>
      </w:r>
      <w:r w:rsidR="00746467" w:rsidRPr="001D6D86">
        <w:rPr>
          <w:sz w:val="22"/>
          <w:szCs w:val="22"/>
          <w:lang w:val="sr-Latn-ME"/>
        </w:rPr>
        <w:t>N</w:t>
      </w:r>
      <w:r w:rsidRPr="001D6D86">
        <w:rPr>
          <w:sz w:val="22"/>
          <w:szCs w:val="22"/>
          <w:lang w:val="sr-Latn-ME"/>
        </w:rPr>
        <w:t>epoznata učestalost (ne može se proc</w:t>
      </w:r>
      <w:r w:rsidR="00253AB4" w:rsidRPr="001D6D86">
        <w:rPr>
          <w:sz w:val="22"/>
          <w:szCs w:val="22"/>
          <w:lang w:val="sr-Latn-ME"/>
        </w:rPr>
        <w:t>ij</w:t>
      </w:r>
      <w:r w:rsidRPr="001D6D86">
        <w:rPr>
          <w:sz w:val="22"/>
          <w:szCs w:val="22"/>
          <w:lang w:val="sr-Latn-ME"/>
        </w:rPr>
        <w:t>eniti na osnovu postojećih podataka)</w:t>
      </w:r>
    </w:p>
    <w:p w14:paraId="6C00AB4B" w14:textId="77777777" w:rsidR="00030415" w:rsidRPr="001D6D86" w:rsidRDefault="00030415" w:rsidP="0026307D">
      <w:pPr>
        <w:tabs>
          <w:tab w:val="left" w:pos="540"/>
          <w:tab w:val="left" w:pos="569"/>
        </w:tabs>
        <w:jc w:val="both"/>
        <w:rPr>
          <w:sz w:val="22"/>
          <w:szCs w:val="22"/>
          <w:lang w:val="sr-Latn-ME"/>
        </w:rPr>
      </w:pPr>
    </w:p>
    <w:p w14:paraId="357CE367" w14:textId="5E2AEC18" w:rsidR="006B230D" w:rsidRPr="001D6D86" w:rsidRDefault="00030415" w:rsidP="00711079">
      <w:pPr>
        <w:widowControl w:val="0"/>
        <w:ind w:left="112"/>
        <w:jc w:val="both"/>
        <w:outlineLvl w:val="0"/>
        <w:rPr>
          <w:sz w:val="22"/>
          <w:szCs w:val="22"/>
          <w:lang w:val="sr-Latn-ME"/>
        </w:rPr>
      </w:pPr>
      <w:r w:rsidRPr="001D6D86">
        <w:rPr>
          <w:b/>
          <w:bCs/>
          <w:sz w:val="22"/>
          <w:szCs w:val="22"/>
          <w:lang w:val="sr-Latn-ME"/>
        </w:rPr>
        <w:t>Tabela</w:t>
      </w:r>
      <w:r w:rsidRPr="001D6D86">
        <w:rPr>
          <w:b/>
          <w:bCs/>
          <w:spacing w:val="-5"/>
          <w:sz w:val="22"/>
          <w:szCs w:val="22"/>
          <w:lang w:val="sr-Latn-ME"/>
        </w:rPr>
        <w:t xml:space="preserve"> </w:t>
      </w:r>
      <w:r w:rsidRPr="001D6D86">
        <w:rPr>
          <w:b/>
          <w:bCs/>
          <w:sz w:val="22"/>
          <w:szCs w:val="22"/>
          <w:lang w:val="sr-Latn-ME"/>
        </w:rPr>
        <w:t>2.</w:t>
      </w:r>
      <w:r w:rsidRPr="001D6D86">
        <w:rPr>
          <w:b/>
          <w:bCs/>
          <w:spacing w:val="-2"/>
          <w:sz w:val="22"/>
          <w:szCs w:val="22"/>
          <w:lang w:val="sr-Latn-ME"/>
        </w:rPr>
        <w:t xml:space="preserve"> </w:t>
      </w:r>
      <w:r w:rsidRPr="001D6D86">
        <w:rPr>
          <w:b/>
          <w:bCs/>
          <w:sz w:val="22"/>
          <w:szCs w:val="22"/>
          <w:lang w:val="sr-Latn-ME"/>
        </w:rPr>
        <w:t>Neželjene</w:t>
      </w:r>
      <w:r w:rsidRPr="001D6D86">
        <w:rPr>
          <w:b/>
          <w:bCs/>
          <w:spacing w:val="-5"/>
          <w:sz w:val="22"/>
          <w:szCs w:val="22"/>
          <w:lang w:val="sr-Latn-ME"/>
        </w:rPr>
        <w:t xml:space="preserve"> </w:t>
      </w:r>
      <w:r w:rsidRPr="001D6D86">
        <w:rPr>
          <w:b/>
          <w:bCs/>
          <w:sz w:val="22"/>
          <w:szCs w:val="22"/>
          <w:lang w:val="sr-Latn-ME"/>
        </w:rPr>
        <w:t>reakcije</w:t>
      </w:r>
      <w:r w:rsidRPr="001D6D86">
        <w:rPr>
          <w:b/>
          <w:bCs/>
          <w:spacing w:val="-5"/>
          <w:sz w:val="22"/>
          <w:szCs w:val="22"/>
          <w:lang w:val="sr-Latn-ME"/>
        </w:rPr>
        <w:t xml:space="preserve"> </w:t>
      </w:r>
      <w:r w:rsidRPr="001D6D86">
        <w:rPr>
          <w:b/>
          <w:bCs/>
          <w:sz w:val="22"/>
          <w:szCs w:val="22"/>
          <w:lang w:val="sr-Latn-ME"/>
        </w:rPr>
        <w:t>na</w:t>
      </w:r>
      <w:r w:rsidRPr="001D6D86">
        <w:rPr>
          <w:b/>
          <w:bCs/>
          <w:spacing w:val="-5"/>
          <w:sz w:val="22"/>
          <w:szCs w:val="22"/>
          <w:lang w:val="sr-Latn-ME"/>
        </w:rPr>
        <w:t xml:space="preserve"> </w:t>
      </w:r>
      <w:r w:rsidRPr="001D6D86">
        <w:rPr>
          <w:b/>
          <w:bCs/>
          <w:sz w:val="22"/>
          <w:szCs w:val="22"/>
          <w:lang w:val="sr-Latn-ME"/>
        </w:rPr>
        <w:t>osnovu</w:t>
      </w:r>
      <w:r w:rsidRPr="001D6D86">
        <w:rPr>
          <w:b/>
          <w:bCs/>
          <w:spacing w:val="-5"/>
          <w:sz w:val="22"/>
          <w:szCs w:val="22"/>
          <w:lang w:val="sr-Latn-ME"/>
        </w:rPr>
        <w:t xml:space="preserve"> </w:t>
      </w:r>
      <w:r w:rsidRPr="001D6D86">
        <w:rPr>
          <w:b/>
          <w:bCs/>
          <w:sz w:val="22"/>
          <w:szCs w:val="22"/>
          <w:lang w:val="sr-Latn-ME"/>
        </w:rPr>
        <w:t>podataka</w:t>
      </w:r>
      <w:r w:rsidRPr="001D6D86">
        <w:rPr>
          <w:b/>
          <w:bCs/>
          <w:spacing w:val="-5"/>
          <w:sz w:val="22"/>
          <w:szCs w:val="22"/>
          <w:lang w:val="sr-Latn-ME"/>
        </w:rPr>
        <w:t xml:space="preserve"> </w:t>
      </w:r>
      <w:r w:rsidRPr="001D6D86">
        <w:rPr>
          <w:b/>
          <w:bCs/>
          <w:sz w:val="22"/>
          <w:szCs w:val="22"/>
          <w:lang w:val="sr-Latn-ME"/>
        </w:rPr>
        <w:t>iz</w:t>
      </w:r>
      <w:r w:rsidRPr="001D6D86">
        <w:rPr>
          <w:b/>
          <w:bCs/>
          <w:spacing w:val="-5"/>
          <w:sz w:val="22"/>
          <w:szCs w:val="22"/>
          <w:lang w:val="sr-Latn-ME"/>
        </w:rPr>
        <w:t xml:space="preserve"> </w:t>
      </w:r>
      <w:r w:rsidRPr="001D6D86">
        <w:rPr>
          <w:b/>
          <w:bCs/>
          <w:sz w:val="22"/>
          <w:szCs w:val="22"/>
          <w:lang w:val="sr-Latn-ME"/>
        </w:rPr>
        <w:t>kliničkih</w:t>
      </w:r>
      <w:r w:rsidRPr="001D6D86">
        <w:rPr>
          <w:b/>
          <w:bCs/>
          <w:spacing w:val="-10"/>
          <w:sz w:val="22"/>
          <w:szCs w:val="22"/>
          <w:lang w:val="sr-Latn-ME"/>
        </w:rPr>
        <w:t xml:space="preserve"> </w:t>
      </w:r>
      <w:r w:rsidRPr="001D6D86">
        <w:rPr>
          <w:b/>
          <w:bCs/>
          <w:sz w:val="22"/>
          <w:szCs w:val="22"/>
          <w:lang w:val="sr-Latn-ME"/>
        </w:rPr>
        <w:t>studija</w:t>
      </w:r>
      <w:r w:rsidRPr="001D6D86">
        <w:rPr>
          <w:b/>
          <w:bCs/>
          <w:spacing w:val="-5"/>
          <w:sz w:val="22"/>
          <w:szCs w:val="22"/>
          <w:lang w:val="sr-Latn-ME"/>
        </w:rPr>
        <w:t xml:space="preserve"> </w:t>
      </w:r>
      <w:r w:rsidRPr="001D6D86">
        <w:rPr>
          <w:b/>
          <w:bCs/>
          <w:sz w:val="22"/>
          <w:szCs w:val="22"/>
          <w:lang w:val="sr-Latn-ME"/>
        </w:rPr>
        <w:t>i</w:t>
      </w:r>
      <w:r w:rsidRPr="001D6D86">
        <w:rPr>
          <w:b/>
          <w:bCs/>
          <w:spacing w:val="-5"/>
          <w:sz w:val="22"/>
          <w:szCs w:val="22"/>
          <w:lang w:val="sr-Latn-ME"/>
        </w:rPr>
        <w:t xml:space="preserve"> </w:t>
      </w:r>
      <w:r w:rsidRPr="001D6D86">
        <w:rPr>
          <w:b/>
          <w:bCs/>
          <w:sz w:val="22"/>
          <w:szCs w:val="22"/>
          <w:lang w:val="sr-Latn-ME"/>
        </w:rPr>
        <w:t>postmarketinškog</w:t>
      </w:r>
      <w:r w:rsidRPr="001D6D86">
        <w:rPr>
          <w:b/>
          <w:bCs/>
          <w:spacing w:val="-5"/>
          <w:sz w:val="22"/>
          <w:szCs w:val="22"/>
          <w:lang w:val="sr-Latn-ME"/>
        </w:rPr>
        <w:t xml:space="preserve"> </w:t>
      </w:r>
      <w:r w:rsidRPr="001D6D86">
        <w:rPr>
          <w:b/>
          <w:bCs/>
          <w:sz w:val="22"/>
          <w:szCs w:val="22"/>
          <w:lang w:val="sr-Latn-ME"/>
        </w:rPr>
        <w:t>iskustva</w:t>
      </w:r>
    </w:p>
    <w:p w14:paraId="5C9C5F54" w14:textId="77777777" w:rsidR="00030415" w:rsidRPr="001D6D86" w:rsidRDefault="00030415" w:rsidP="0026307D">
      <w:pPr>
        <w:widowControl w:val="0"/>
        <w:ind w:left="112"/>
        <w:jc w:val="both"/>
        <w:outlineLvl w:val="0"/>
        <w:rPr>
          <w:b/>
          <w:bCs/>
          <w:sz w:val="22"/>
          <w:szCs w:val="22"/>
          <w:lang w:val="sr-Latn-ME"/>
        </w:rPr>
      </w:pPr>
    </w:p>
    <w:tbl>
      <w:tblPr>
        <w:tblW w:w="9860" w:type="dxa"/>
        <w:tblInd w:w="199" w:type="dxa"/>
        <w:tblLayout w:type="fixed"/>
        <w:tblCellMar>
          <w:left w:w="0" w:type="dxa"/>
          <w:right w:w="0" w:type="dxa"/>
        </w:tblCellMar>
        <w:tblLook w:val="01E0" w:firstRow="1" w:lastRow="1" w:firstColumn="1" w:lastColumn="1" w:noHBand="0" w:noVBand="0"/>
      </w:tblPr>
      <w:tblGrid>
        <w:gridCol w:w="1795"/>
        <w:gridCol w:w="1714"/>
        <w:gridCol w:w="1402"/>
        <w:gridCol w:w="1795"/>
        <w:gridCol w:w="1618"/>
        <w:gridCol w:w="1536"/>
      </w:tblGrid>
      <w:tr w:rsidR="00030415" w:rsidRPr="001D6D86" w14:paraId="01AAF9A8" w14:textId="77777777" w:rsidTr="006B230D">
        <w:trPr>
          <w:trHeight w:hRule="exact" w:val="514"/>
        </w:trPr>
        <w:tc>
          <w:tcPr>
            <w:tcW w:w="1795" w:type="dxa"/>
            <w:tcBorders>
              <w:top w:val="single" w:sz="4" w:space="0" w:color="000000"/>
              <w:left w:val="single" w:sz="4" w:space="0" w:color="000000"/>
              <w:bottom w:val="single" w:sz="4" w:space="0" w:color="000000"/>
              <w:right w:val="single" w:sz="4" w:space="0" w:color="000000"/>
            </w:tcBorders>
          </w:tcPr>
          <w:p w14:paraId="760205DC" w14:textId="77777777" w:rsidR="00030415" w:rsidRPr="001D6D86" w:rsidRDefault="00030415" w:rsidP="0026307D">
            <w:pPr>
              <w:widowControl w:val="0"/>
              <w:spacing w:before="6" w:line="250" w:lineRule="exact"/>
              <w:ind w:left="561" w:right="258" w:hanging="312"/>
              <w:jc w:val="both"/>
              <w:rPr>
                <w:sz w:val="22"/>
                <w:szCs w:val="22"/>
                <w:lang w:val="sr-Latn-ME"/>
              </w:rPr>
            </w:pPr>
            <w:r w:rsidRPr="001D6D86">
              <w:rPr>
                <w:rFonts w:eastAsia="Calibri"/>
                <w:b/>
                <w:sz w:val="22"/>
                <w:szCs w:val="22"/>
                <w:lang w:val="sr-Latn-ME"/>
              </w:rPr>
              <w:t>Klasa</w:t>
            </w:r>
            <w:r w:rsidRPr="001D6D86">
              <w:rPr>
                <w:rFonts w:eastAsia="Calibri"/>
                <w:b/>
                <w:spacing w:val="-16"/>
                <w:sz w:val="22"/>
                <w:szCs w:val="22"/>
                <w:lang w:val="sr-Latn-ME"/>
              </w:rPr>
              <w:t xml:space="preserve"> </w:t>
            </w:r>
            <w:r w:rsidRPr="001D6D86">
              <w:rPr>
                <w:rFonts w:eastAsia="Calibri"/>
                <w:b/>
                <w:sz w:val="22"/>
                <w:szCs w:val="22"/>
                <w:lang w:val="sr-Latn-ME"/>
              </w:rPr>
              <w:t>sistema</w:t>
            </w:r>
            <w:r w:rsidRPr="001D6D86">
              <w:rPr>
                <w:rFonts w:eastAsia="Calibri"/>
                <w:b/>
                <w:spacing w:val="-2"/>
                <w:sz w:val="22"/>
                <w:szCs w:val="22"/>
                <w:lang w:val="sr-Latn-ME"/>
              </w:rPr>
              <w:t xml:space="preserve"> organa</w:t>
            </w:r>
          </w:p>
        </w:tc>
        <w:tc>
          <w:tcPr>
            <w:tcW w:w="1714" w:type="dxa"/>
            <w:tcBorders>
              <w:top w:val="single" w:sz="4" w:space="0" w:color="000000"/>
              <w:left w:val="single" w:sz="4" w:space="0" w:color="000000"/>
              <w:bottom w:val="single" w:sz="4" w:space="0" w:color="000000"/>
              <w:right w:val="single" w:sz="4" w:space="0" w:color="000000"/>
            </w:tcBorders>
          </w:tcPr>
          <w:p w14:paraId="46A7BBC9" w14:textId="77777777" w:rsidR="00030415" w:rsidRPr="001D6D86" w:rsidRDefault="00030415" w:rsidP="0026307D">
            <w:pPr>
              <w:widowControl w:val="0"/>
              <w:spacing w:before="121"/>
              <w:ind w:left="9"/>
              <w:jc w:val="both"/>
              <w:rPr>
                <w:sz w:val="22"/>
                <w:szCs w:val="22"/>
                <w:lang w:val="sr-Latn-ME"/>
              </w:rPr>
            </w:pPr>
            <w:r w:rsidRPr="001D6D86">
              <w:rPr>
                <w:rFonts w:eastAsia="Calibri"/>
                <w:b/>
                <w:sz w:val="22"/>
                <w:szCs w:val="22"/>
                <w:lang w:val="sr-Latn-ME"/>
              </w:rPr>
              <w:t>Često</w:t>
            </w:r>
          </w:p>
        </w:tc>
        <w:tc>
          <w:tcPr>
            <w:tcW w:w="1402" w:type="dxa"/>
            <w:tcBorders>
              <w:top w:val="single" w:sz="4" w:space="0" w:color="000000"/>
              <w:left w:val="single" w:sz="4" w:space="0" w:color="000000"/>
              <w:bottom w:val="single" w:sz="4" w:space="0" w:color="000000"/>
              <w:right w:val="single" w:sz="4" w:space="0" w:color="000000"/>
            </w:tcBorders>
          </w:tcPr>
          <w:p w14:paraId="2BDBF965" w14:textId="77777777" w:rsidR="00030415" w:rsidRPr="001D6D86" w:rsidRDefault="00030415" w:rsidP="0026307D">
            <w:pPr>
              <w:widowControl w:val="0"/>
              <w:spacing w:before="121"/>
              <w:ind w:left="168"/>
              <w:jc w:val="both"/>
              <w:rPr>
                <w:sz w:val="22"/>
                <w:szCs w:val="22"/>
                <w:lang w:val="sr-Latn-ME"/>
              </w:rPr>
            </w:pPr>
            <w:r w:rsidRPr="001D6D86">
              <w:rPr>
                <w:rFonts w:eastAsia="Calibri"/>
                <w:b/>
                <w:spacing w:val="-4"/>
                <w:sz w:val="22"/>
                <w:szCs w:val="22"/>
                <w:lang w:val="sr-Latn-ME"/>
              </w:rPr>
              <w:t>Povremeno</w:t>
            </w:r>
          </w:p>
        </w:tc>
        <w:tc>
          <w:tcPr>
            <w:tcW w:w="1795" w:type="dxa"/>
            <w:tcBorders>
              <w:top w:val="single" w:sz="4" w:space="0" w:color="000000"/>
              <w:left w:val="single" w:sz="4" w:space="0" w:color="000000"/>
              <w:bottom w:val="single" w:sz="4" w:space="0" w:color="000000"/>
              <w:right w:val="single" w:sz="4" w:space="0" w:color="000000"/>
            </w:tcBorders>
          </w:tcPr>
          <w:p w14:paraId="30FB5655" w14:textId="1E412D24" w:rsidR="00030415" w:rsidRPr="001D6D86" w:rsidRDefault="00030415" w:rsidP="0026307D">
            <w:pPr>
              <w:widowControl w:val="0"/>
              <w:spacing w:before="121"/>
              <w:ind w:right="2"/>
              <w:jc w:val="both"/>
              <w:rPr>
                <w:sz w:val="22"/>
                <w:szCs w:val="22"/>
                <w:lang w:val="sr-Latn-ME"/>
              </w:rPr>
            </w:pPr>
            <w:r w:rsidRPr="001D6D86">
              <w:rPr>
                <w:rFonts w:eastAsia="Calibri"/>
                <w:b/>
                <w:spacing w:val="-3"/>
                <w:sz w:val="22"/>
                <w:szCs w:val="22"/>
                <w:lang w:val="sr-Latn-ME"/>
              </w:rPr>
              <w:t>R</w:t>
            </w:r>
            <w:r w:rsidR="00746467" w:rsidRPr="001D6D86">
              <w:rPr>
                <w:rFonts w:eastAsia="Calibri"/>
                <w:b/>
                <w:spacing w:val="-3"/>
                <w:sz w:val="22"/>
                <w:szCs w:val="22"/>
                <w:lang w:val="sr-Latn-ME"/>
              </w:rPr>
              <w:t>ij</w:t>
            </w:r>
            <w:r w:rsidRPr="001D6D86">
              <w:rPr>
                <w:rFonts w:eastAsia="Calibri"/>
                <w:b/>
                <w:spacing w:val="-3"/>
                <w:sz w:val="22"/>
                <w:szCs w:val="22"/>
                <w:lang w:val="sr-Latn-ME"/>
              </w:rPr>
              <w:t>etko</w:t>
            </w:r>
          </w:p>
        </w:tc>
        <w:tc>
          <w:tcPr>
            <w:tcW w:w="1618" w:type="dxa"/>
            <w:tcBorders>
              <w:top w:val="single" w:sz="4" w:space="0" w:color="000000"/>
              <w:left w:val="single" w:sz="4" w:space="0" w:color="000000"/>
              <w:bottom w:val="single" w:sz="4" w:space="0" w:color="000000"/>
              <w:right w:val="single" w:sz="4" w:space="0" w:color="000000"/>
            </w:tcBorders>
          </w:tcPr>
          <w:p w14:paraId="352BCF06" w14:textId="13B57A3C" w:rsidR="00030415" w:rsidRPr="001D6D86" w:rsidRDefault="00030415" w:rsidP="0026307D">
            <w:pPr>
              <w:widowControl w:val="0"/>
              <w:spacing w:before="121"/>
              <w:ind w:left="196"/>
              <w:jc w:val="both"/>
              <w:rPr>
                <w:sz w:val="22"/>
                <w:szCs w:val="22"/>
                <w:lang w:val="sr-Latn-ME"/>
              </w:rPr>
            </w:pPr>
            <w:r w:rsidRPr="001D6D86">
              <w:rPr>
                <w:rFonts w:eastAsia="Calibri"/>
                <w:b/>
                <w:spacing w:val="-3"/>
                <w:sz w:val="22"/>
                <w:szCs w:val="22"/>
                <w:lang w:val="sr-Latn-ME"/>
              </w:rPr>
              <w:t>Veoma</w:t>
            </w:r>
            <w:r w:rsidRPr="001D6D86">
              <w:rPr>
                <w:rFonts w:eastAsia="Calibri"/>
                <w:b/>
                <w:spacing w:val="8"/>
                <w:sz w:val="22"/>
                <w:szCs w:val="22"/>
                <w:lang w:val="sr-Latn-ME"/>
              </w:rPr>
              <w:t xml:space="preserve"> </w:t>
            </w:r>
            <w:r w:rsidRPr="001D6D86">
              <w:rPr>
                <w:rFonts w:eastAsia="Calibri"/>
                <w:b/>
                <w:spacing w:val="-3"/>
                <w:sz w:val="22"/>
                <w:szCs w:val="22"/>
                <w:lang w:val="sr-Latn-ME"/>
              </w:rPr>
              <w:t>r</w:t>
            </w:r>
            <w:r w:rsidR="00746467" w:rsidRPr="001D6D86">
              <w:rPr>
                <w:rFonts w:eastAsia="Calibri"/>
                <w:b/>
                <w:spacing w:val="-3"/>
                <w:sz w:val="22"/>
                <w:szCs w:val="22"/>
                <w:lang w:val="sr-Latn-ME"/>
              </w:rPr>
              <w:t>ij</w:t>
            </w:r>
            <w:r w:rsidRPr="001D6D86">
              <w:rPr>
                <w:rFonts w:eastAsia="Calibri"/>
                <w:b/>
                <w:spacing w:val="-3"/>
                <w:sz w:val="22"/>
                <w:szCs w:val="22"/>
                <w:lang w:val="sr-Latn-ME"/>
              </w:rPr>
              <w:t>etko</w:t>
            </w:r>
          </w:p>
        </w:tc>
        <w:tc>
          <w:tcPr>
            <w:tcW w:w="1536" w:type="dxa"/>
            <w:tcBorders>
              <w:top w:val="single" w:sz="4" w:space="0" w:color="000000"/>
              <w:left w:val="single" w:sz="4" w:space="0" w:color="000000"/>
              <w:bottom w:val="single" w:sz="4" w:space="0" w:color="000000"/>
              <w:right w:val="single" w:sz="4" w:space="0" w:color="000000"/>
            </w:tcBorders>
          </w:tcPr>
          <w:p w14:paraId="6CB1F258" w14:textId="77777777" w:rsidR="00030415" w:rsidRPr="001D6D86" w:rsidRDefault="00030415" w:rsidP="0026307D">
            <w:pPr>
              <w:widowControl w:val="0"/>
              <w:spacing w:before="1"/>
              <w:ind w:left="259"/>
              <w:jc w:val="both"/>
              <w:rPr>
                <w:sz w:val="22"/>
                <w:szCs w:val="22"/>
                <w:lang w:val="sr-Latn-ME"/>
              </w:rPr>
            </w:pPr>
            <w:r w:rsidRPr="001D6D86">
              <w:rPr>
                <w:rFonts w:eastAsia="Calibri"/>
                <w:b/>
                <w:spacing w:val="-3"/>
                <w:sz w:val="22"/>
                <w:szCs w:val="22"/>
                <w:lang w:val="sr-Latn-ME"/>
              </w:rPr>
              <w:t>Nepoznata učestalost</w:t>
            </w:r>
          </w:p>
        </w:tc>
      </w:tr>
      <w:tr w:rsidR="00030415" w:rsidRPr="001D6D86" w14:paraId="1970C4D4" w14:textId="77777777" w:rsidTr="006B230D">
        <w:trPr>
          <w:trHeight w:hRule="exact" w:val="523"/>
        </w:trPr>
        <w:tc>
          <w:tcPr>
            <w:tcW w:w="1795" w:type="dxa"/>
            <w:tcBorders>
              <w:top w:val="single" w:sz="4" w:space="0" w:color="000000"/>
              <w:left w:val="single" w:sz="4" w:space="0" w:color="000000"/>
              <w:bottom w:val="single" w:sz="4" w:space="0" w:color="000000"/>
              <w:right w:val="single" w:sz="4" w:space="0" w:color="000000"/>
            </w:tcBorders>
          </w:tcPr>
          <w:p w14:paraId="173853DD" w14:textId="77777777" w:rsidR="00030415" w:rsidRPr="001D6D86" w:rsidRDefault="00030415" w:rsidP="0026307D">
            <w:pPr>
              <w:widowControl w:val="0"/>
              <w:spacing w:line="242" w:lineRule="auto"/>
              <w:ind w:left="105" w:right="181"/>
              <w:jc w:val="both"/>
              <w:rPr>
                <w:sz w:val="22"/>
                <w:szCs w:val="22"/>
                <w:lang w:val="sr-Latn-ME"/>
              </w:rPr>
            </w:pPr>
            <w:r w:rsidRPr="001D6D86">
              <w:rPr>
                <w:rFonts w:eastAsia="Calibri"/>
                <w:sz w:val="22"/>
                <w:szCs w:val="22"/>
                <w:lang w:val="sr-Latn-ME"/>
              </w:rPr>
              <w:t>Poremećaji krvi</w:t>
            </w:r>
            <w:r w:rsidRPr="001D6D86">
              <w:rPr>
                <w:rFonts w:eastAsia="Calibri"/>
                <w:spacing w:val="-21"/>
                <w:sz w:val="22"/>
                <w:szCs w:val="22"/>
                <w:lang w:val="sr-Latn-ME"/>
              </w:rPr>
              <w:t xml:space="preserve"> </w:t>
            </w:r>
            <w:r w:rsidRPr="001D6D86">
              <w:rPr>
                <w:rFonts w:eastAsia="Calibri"/>
                <w:sz w:val="22"/>
                <w:szCs w:val="22"/>
                <w:lang w:val="sr-Latn-ME"/>
              </w:rPr>
              <w:t>i limfnog</w:t>
            </w:r>
            <w:r w:rsidRPr="001D6D86">
              <w:rPr>
                <w:rFonts w:eastAsia="Calibri"/>
                <w:spacing w:val="-10"/>
                <w:sz w:val="22"/>
                <w:szCs w:val="22"/>
                <w:lang w:val="sr-Latn-ME"/>
              </w:rPr>
              <w:t xml:space="preserve"> </w:t>
            </w:r>
            <w:r w:rsidRPr="001D6D86">
              <w:rPr>
                <w:rFonts w:eastAsia="Calibri"/>
                <w:spacing w:val="-3"/>
                <w:sz w:val="22"/>
                <w:szCs w:val="22"/>
                <w:lang w:val="sr-Latn-ME"/>
              </w:rPr>
              <w:t>sistema</w:t>
            </w:r>
          </w:p>
        </w:tc>
        <w:tc>
          <w:tcPr>
            <w:tcW w:w="1714" w:type="dxa"/>
            <w:tcBorders>
              <w:top w:val="single" w:sz="4" w:space="0" w:color="000000"/>
              <w:left w:val="single" w:sz="4" w:space="0" w:color="000000"/>
              <w:bottom w:val="single" w:sz="4" w:space="0" w:color="000000"/>
              <w:right w:val="single" w:sz="4" w:space="0" w:color="000000"/>
            </w:tcBorders>
          </w:tcPr>
          <w:p w14:paraId="66F5F0BE" w14:textId="77777777" w:rsidR="00030415" w:rsidRPr="001D6D86" w:rsidRDefault="00030415" w:rsidP="0026307D">
            <w:pPr>
              <w:widowControl w:val="0"/>
              <w:jc w:val="both"/>
              <w:rPr>
                <w:rFonts w:eastAsia="Calibri"/>
                <w:sz w:val="22"/>
                <w:szCs w:val="22"/>
                <w:lang w:val="sr-Latn-ME"/>
              </w:rPr>
            </w:pPr>
          </w:p>
        </w:tc>
        <w:tc>
          <w:tcPr>
            <w:tcW w:w="1402" w:type="dxa"/>
            <w:tcBorders>
              <w:top w:val="single" w:sz="4" w:space="0" w:color="000000"/>
              <w:left w:val="single" w:sz="4" w:space="0" w:color="000000"/>
              <w:bottom w:val="single" w:sz="4" w:space="0" w:color="000000"/>
              <w:right w:val="single" w:sz="4" w:space="0" w:color="000000"/>
            </w:tcBorders>
          </w:tcPr>
          <w:p w14:paraId="0421A75B"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1A1E0AFA"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Trombocitopenija</w:t>
            </w:r>
          </w:p>
        </w:tc>
        <w:tc>
          <w:tcPr>
            <w:tcW w:w="1618" w:type="dxa"/>
            <w:tcBorders>
              <w:top w:val="single" w:sz="4" w:space="0" w:color="000000"/>
              <w:left w:val="single" w:sz="4" w:space="0" w:color="000000"/>
              <w:bottom w:val="single" w:sz="4" w:space="0" w:color="000000"/>
              <w:right w:val="single" w:sz="4" w:space="0" w:color="000000"/>
            </w:tcBorders>
          </w:tcPr>
          <w:p w14:paraId="0D97E626" w14:textId="77777777" w:rsidR="00030415" w:rsidRPr="001D6D86" w:rsidRDefault="00030415" w:rsidP="0026307D">
            <w:pPr>
              <w:widowControl w:val="0"/>
              <w:jc w:val="both"/>
              <w:rPr>
                <w:rFonts w:eastAsia="Calibri"/>
                <w:sz w:val="22"/>
                <w:szCs w:val="22"/>
                <w:lang w:val="sr-Latn-ME"/>
              </w:rPr>
            </w:pPr>
          </w:p>
        </w:tc>
        <w:tc>
          <w:tcPr>
            <w:tcW w:w="1536" w:type="dxa"/>
            <w:tcBorders>
              <w:top w:val="single" w:sz="4" w:space="0" w:color="000000"/>
              <w:left w:val="single" w:sz="4" w:space="0" w:color="000000"/>
              <w:bottom w:val="single" w:sz="4" w:space="0" w:color="000000"/>
              <w:right w:val="single" w:sz="4" w:space="0" w:color="000000"/>
            </w:tcBorders>
          </w:tcPr>
          <w:p w14:paraId="176504AB" w14:textId="77777777" w:rsidR="00030415" w:rsidRPr="001D6D86" w:rsidRDefault="00030415" w:rsidP="0026307D">
            <w:pPr>
              <w:widowControl w:val="0"/>
              <w:jc w:val="both"/>
              <w:rPr>
                <w:rFonts w:eastAsia="Calibri"/>
                <w:sz w:val="22"/>
                <w:szCs w:val="22"/>
                <w:lang w:val="sr-Latn-ME"/>
              </w:rPr>
            </w:pPr>
          </w:p>
        </w:tc>
      </w:tr>
      <w:tr w:rsidR="00030415" w:rsidRPr="001D6D86" w14:paraId="3204C5CE" w14:textId="77777777" w:rsidTr="006B230D">
        <w:trPr>
          <w:trHeight w:hRule="exact" w:val="262"/>
        </w:trPr>
        <w:tc>
          <w:tcPr>
            <w:tcW w:w="1795" w:type="dxa"/>
            <w:tcBorders>
              <w:top w:val="single" w:sz="4" w:space="0" w:color="000000"/>
              <w:left w:val="single" w:sz="4" w:space="0" w:color="000000"/>
              <w:bottom w:val="nil"/>
              <w:right w:val="single" w:sz="4" w:space="0" w:color="000000"/>
            </w:tcBorders>
          </w:tcPr>
          <w:p w14:paraId="163BAF0B"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Poremećaji</w:t>
            </w:r>
          </w:p>
        </w:tc>
        <w:tc>
          <w:tcPr>
            <w:tcW w:w="1714" w:type="dxa"/>
            <w:vMerge w:val="restart"/>
            <w:tcBorders>
              <w:top w:val="single" w:sz="4" w:space="0" w:color="000000"/>
              <w:left w:val="single" w:sz="4" w:space="0" w:color="000000"/>
              <w:right w:val="single" w:sz="4" w:space="0" w:color="000000"/>
            </w:tcBorders>
          </w:tcPr>
          <w:p w14:paraId="0AB6EB0D" w14:textId="77777777" w:rsidR="00030415" w:rsidRPr="001D6D86" w:rsidRDefault="00030415" w:rsidP="0026307D">
            <w:pPr>
              <w:widowControl w:val="0"/>
              <w:jc w:val="both"/>
              <w:rPr>
                <w:rFonts w:eastAsia="Calibri"/>
                <w:sz w:val="22"/>
                <w:szCs w:val="22"/>
                <w:lang w:val="sr-Latn-ME"/>
              </w:rPr>
            </w:pPr>
          </w:p>
        </w:tc>
        <w:tc>
          <w:tcPr>
            <w:tcW w:w="1402" w:type="dxa"/>
            <w:vMerge w:val="restart"/>
            <w:tcBorders>
              <w:top w:val="single" w:sz="4" w:space="0" w:color="000000"/>
              <w:left w:val="single" w:sz="4" w:space="0" w:color="000000"/>
              <w:right w:val="single" w:sz="4" w:space="0" w:color="000000"/>
            </w:tcBorders>
          </w:tcPr>
          <w:p w14:paraId="26641217"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nil"/>
              <w:right w:val="single" w:sz="4" w:space="0" w:color="000000"/>
            </w:tcBorders>
          </w:tcPr>
          <w:p w14:paraId="6816B0F4"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Reakcije</w:t>
            </w:r>
          </w:p>
        </w:tc>
        <w:tc>
          <w:tcPr>
            <w:tcW w:w="1618" w:type="dxa"/>
            <w:vMerge w:val="restart"/>
            <w:tcBorders>
              <w:top w:val="single" w:sz="4" w:space="0" w:color="000000"/>
              <w:left w:val="single" w:sz="4" w:space="0" w:color="000000"/>
              <w:right w:val="single" w:sz="4" w:space="0" w:color="000000"/>
            </w:tcBorders>
          </w:tcPr>
          <w:p w14:paraId="498F6E1C" w14:textId="77777777" w:rsidR="00030415" w:rsidRPr="001D6D86" w:rsidRDefault="00030415" w:rsidP="0026307D">
            <w:pPr>
              <w:widowControl w:val="0"/>
              <w:jc w:val="both"/>
              <w:rPr>
                <w:rFonts w:eastAsia="Calibri"/>
                <w:sz w:val="22"/>
                <w:szCs w:val="22"/>
                <w:lang w:val="sr-Latn-ME"/>
              </w:rPr>
            </w:pPr>
          </w:p>
        </w:tc>
        <w:tc>
          <w:tcPr>
            <w:tcW w:w="1536" w:type="dxa"/>
            <w:vMerge w:val="restart"/>
            <w:tcBorders>
              <w:top w:val="single" w:sz="4" w:space="0" w:color="000000"/>
              <w:left w:val="single" w:sz="4" w:space="0" w:color="000000"/>
              <w:right w:val="single" w:sz="4" w:space="0" w:color="000000"/>
            </w:tcBorders>
          </w:tcPr>
          <w:p w14:paraId="1E801079" w14:textId="77777777" w:rsidR="00030415" w:rsidRPr="001D6D86" w:rsidRDefault="00030415" w:rsidP="0026307D">
            <w:pPr>
              <w:widowControl w:val="0"/>
              <w:jc w:val="both"/>
              <w:rPr>
                <w:rFonts w:eastAsia="Calibri"/>
                <w:sz w:val="22"/>
                <w:szCs w:val="22"/>
                <w:lang w:val="sr-Latn-ME"/>
              </w:rPr>
            </w:pPr>
          </w:p>
        </w:tc>
      </w:tr>
      <w:tr w:rsidR="00030415" w:rsidRPr="001D6D86" w14:paraId="12F3A6AA" w14:textId="77777777" w:rsidTr="006B230D">
        <w:trPr>
          <w:trHeight w:hRule="exact" w:val="252"/>
        </w:trPr>
        <w:tc>
          <w:tcPr>
            <w:tcW w:w="1795" w:type="dxa"/>
            <w:tcBorders>
              <w:top w:val="nil"/>
              <w:left w:val="single" w:sz="4" w:space="0" w:color="000000"/>
              <w:bottom w:val="nil"/>
              <w:right w:val="single" w:sz="4" w:space="0" w:color="000000"/>
            </w:tcBorders>
          </w:tcPr>
          <w:p w14:paraId="7C252D20" w14:textId="2FB03753" w:rsidR="00030415" w:rsidRPr="001D6D86" w:rsidRDefault="00030415" w:rsidP="0026307D">
            <w:pPr>
              <w:widowControl w:val="0"/>
              <w:spacing w:line="242" w:lineRule="exact"/>
              <w:ind w:left="105"/>
              <w:jc w:val="both"/>
              <w:rPr>
                <w:sz w:val="22"/>
                <w:szCs w:val="22"/>
                <w:lang w:val="sr-Latn-ME"/>
              </w:rPr>
            </w:pPr>
            <w:r w:rsidRPr="001D6D86">
              <w:rPr>
                <w:rFonts w:eastAsia="Calibri"/>
                <w:sz w:val="22"/>
                <w:szCs w:val="22"/>
                <w:lang w:val="sr-Latn-ME"/>
              </w:rPr>
              <w:t>imunog</w:t>
            </w:r>
          </w:p>
        </w:tc>
        <w:tc>
          <w:tcPr>
            <w:tcW w:w="1714" w:type="dxa"/>
            <w:vMerge/>
            <w:tcBorders>
              <w:left w:val="single" w:sz="4" w:space="0" w:color="000000"/>
              <w:right w:val="single" w:sz="4" w:space="0" w:color="000000"/>
            </w:tcBorders>
          </w:tcPr>
          <w:p w14:paraId="394114CB"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10C78671" w14:textId="77777777" w:rsidR="00030415" w:rsidRPr="001D6D86" w:rsidRDefault="00030415" w:rsidP="0026307D">
            <w:pPr>
              <w:widowControl w:val="0"/>
              <w:jc w:val="both"/>
              <w:rPr>
                <w:rFonts w:eastAsia="Calibri"/>
                <w:sz w:val="22"/>
                <w:szCs w:val="22"/>
                <w:lang w:val="sr-Latn-ME"/>
              </w:rPr>
            </w:pPr>
          </w:p>
        </w:tc>
        <w:tc>
          <w:tcPr>
            <w:tcW w:w="1795" w:type="dxa"/>
            <w:tcBorders>
              <w:top w:val="nil"/>
              <w:left w:val="single" w:sz="4" w:space="0" w:color="000000"/>
              <w:bottom w:val="nil"/>
              <w:right w:val="single" w:sz="4" w:space="0" w:color="000000"/>
            </w:tcBorders>
          </w:tcPr>
          <w:p w14:paraId="517D5698" w14:textId="6A08FB6F" w:rsidR="00030415" w:rsidRPr="001D6D86" w:rsidRDefault="00030415" w:rsidP="0026307D">
            <w:pPr>
              <w:widowControl w:val="0"/>
              <w:spacing w:line="242" w:lineRule="exact"/>
              <w:ind w:left="105"/>
              <w:jc w:val="both"/>
              <w:rPr>
                <w:sz w:val="22"/>
                <w:szCs w:val="22"/>
                <w:lang w:val="sr-Latn-ME"/>
              </w:rPr>
            </w:pPr>
            <w:r w:rsidRPr="001D6D86">
              <w:rPr>
                <w:rFonts w:eastAsia="Calibri"/>
                <w:sz w:val="22"/>
                <w:szCs w:val="22"/>
                <w:lang w:val="sr-Latn-ME"/>
              </w:rPr>
              <w:t>preos</w:t>
            </w:r>
            <w:r w:rsidR="00253AB4" w:rsidRPr="001D6D86">
              <w:rPr>
                <w:rFonts w:eastAsia="Calibri"/>
                <w:sz w:val="22"/>
                <w:szCs w:val="22"/>
                <w:lang w:val="sr-Latn-ME"/>
              </w:rPr>
              <w:t>j</w:t>
            </w:r>
            <w:r w:rsidRPr="001D6D86">
              <w:rPr>
                <w:rFonts w:eastAsia="Calibri"/>
                <w:sz w:val="22"/>
                <w:szCs w:val="22"/>
                <w:lang w:val="sr-Latn-ME"/>
              </w:rPr>
              <w:t>etljivosti</w:t>
            </w:r>
          </w:p>
        </w:tc>
        <w:tc>
          <w:tcPr>
            <w:tcW w:w="1618" w:type="dxa"/>
            <w:vMerge/>
            <w:tcBorders>
              <w:left w:val="single" w:sz="4" w:space="0" w:color="000000"/>
              <w:right w:val="single" w:sz="4" w:space="0" w:color="000000"/>
            </w:tcBorders>
          </w:tcPr>
          <w:p w14:paraId="506FF23D" w14:textId="77777777" w:rsidR="00030415" w:rsidRPr="001D6D86" w:rsidRDefault="00030415" w:rsidP="0026307D">
            <w:pPr>
              <w:widowControl w:val="0"/>
              <w:jc w:val="both"/>
              <w:rPr>
                <w:rFonts w:eastAsia="Calibri"/>
                <w:sz w:val="22"/>
                <w:szCs w:val="22"/>
                <w:lang w:val="sr-Latn-ME"/>
              </w:rPr>
            </w:pPr>
          </w:p>
        </w:tc>
        <w:tc>
          <w:tcPr>
            <w:tcW w:w="1536" w:type="dxa"/>
            <w:vMerge/>
            <w:tcBorders>
              <w:left w:val="single" w:sz="4" w:space="0" w:color="000000"/>
              <w:right w:val="single" w:sz="4" w:space="0" w:color="000000"/>
            </w:tcBorders>
          </w:tcPr>
          <w:p w14:paraId="71ACF303" w14:textId="77777777" w:rsidR="00030415" w:rsidRPr="001D6D86" w:rsidRDefault="00030415" w:rsidP="0026307D">
            <w:pPr>
              <w:widowControl w:val="0"/>
              <w:jc w:val="both"/>
              <w:rPr>
                <w:rFonts w:eastAsia="Calibri"/>
                <w:sz w:val="22"/>
                <w:szCs w:val="22"/>
                <w:lang w:val="sr-Latn-ME"/>
              </w:rPr>
            </w:pPr>
          </w:p>
        </w:tc>
      </w:tr>
      <w:tr w:rsidR="00030415" w:rsidRPr="001D6D86" w14:paraId="6FF560DB" w14:textId="77777777" w:rsidTr="006B230D">
        <w:trPr>
          <w:trHeight w:hRule="exact" w:val="250"/>
        </w:trPr>
        <w:tc>
          <w:tcPr>
            <w:tcW w:w="1795" w:type="dxa"/>
            <w:vMerge w:val="restart"/>
            <w:tcBorders>
              <w:top w:val="nil"/>
              <w:left w:val="single" w:sz="4" w:space="0" w:color="000000"/>
              <w:right w:val="single" w:sz="4" w:space="0" w:color="000000"/>
            </w:tcBorders>
          </w:tcPr>
          <w:p w14:paraId="284D82E1" w14:textId="77777777" w:rsidR="00030415" w:rsidRPr="001D6D86" w:rsidRDefault="00030415" w:rsidP="0026307D">
            <w:pPr>
              <w:widowControl w:val="0"/>
              <w:spacing w:line="240" w:lineRule="exact"/>
              <w:ind w:left="105"/>
              <w:jc w:val="both"/>
              <w:rPr>
                <w:sz w:val="22"/>
                <w:szCs w:val="22"/>
                <w:lang w:val="sr-Latn-ME"/>
              </w:rPr>
            </w:pPr>
            <w:r w:rsidRPr="001D6D86">
              <w:rPr>
                <w:rFonts w:eastAsia="Calibri"/>
                <w:spacing w:val="-5"/>
                <w:sz w:val="22"/>
                <w:szCs w:val="22"/>
                <w:lang w:val="sr-Latn-ME"/>
              </w:rPr>
              <w:t>sistema</w:t>
            </w:r>
          </w:p>
        </w:tc>
        <w:tc>
          <w:tcPr>
            <w:tcW w:w="1714" w:type="dxa"/>
            <w:vMerge/>
            <w:tcBorders>
              <w:left w:val="single" w:sz="4" w:space="0" w:color="000000"/>
              <w:right w:val="single" w:sz="4" w:space="0" w:color="000000"/>
            </w:tcBorders>
          </w:tcPr>
          <w:p w14:paraId="40A2B147"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3C77CBD5" w14:textId="77777777" w:rsidR="00030415" w:rsidRPr="001D6D86" w:rsidRDefault="00030415" w:rsidP="0026307D">
            <w:pPr>
              <w:widowControl w:val="0"/>
              <w:jc w:val="both"/>
              <w:rPr>
                <w:rFonts w:eastAsia="Calibri"/>
                <w:sz w:val="22"/>
                <w:szCs w:val="22"/>
                <w:lang w:val="sr-Latn-ME"/>
              </w:rPr>
            </w:pPr>
          </w:p>
        </w:tc>
        <w:tc>
          <w:tcPr>
            <w:tcW w:w="1795" w:type="dxa"/>
            <w:tcBorders>
              <w:top w:val="nil"/>
              <w:left w:val="single" w:sz="4" w:space="0" w:color="000000"/>
              <w:bottom w:val="nil"/>
              <w:right w:val="single" w:sz="4" w:space="0" w:color="000000"/>
            </w:tcBorders>
          </w:tcPr>
          <w:p w14:paraId="5AD37874" w14:textId="77777777" w:rsidR="00030415" w:rsidRPr="001D6D86" w:rsidRDefault="00030415" w:rsidP="0026307D">
            <w:pPr>
              <w:widowControl w:val="0"/>
              <w:spacing w:line="240" w:lineRule="exact"/>
              <w:ind w:left="105"/>
              <w:jc w:val="both"/>
              <w:rPr>
                <w:sz w:val="22"/>
                <w:szCs w:val="22"/>
                <w:lang w:val="sr-Latn-ME"/>
              </w:rPr>
            </w:pPr>
            <w:r w:rsidRPr="001D6D86">
              <w:rPr>
                <w:rFonts w:eastAsia="Calibri"/>
                <w:sz w:val="22"/>
                <w:szCs w:val="22"/>
                <w:lang w:val="sr-Latn-ME"/>
              </w:rPr>
              <w:t>uključujući</w:t>
            </w:r>
          </w:p>
        </w:tc>
        <w:tc>
          <w:tcPr>
            <w:tcW w:w="1618" w:type="dxa"/>
            <w:vMerge/>
            <w:tcBorders>
              <w:left w:val="single" w:sz="4" w:space="0" w:color="000000"/>
              <w:right w:val="single" w:sz="4" w:space="0" w:color="000000"/>
            </w:tcBorders>
          </w:tcPr>
          <w:p w14:paraId="7DC0DE51" w14:textId="77777777" w:rsidR="00030415" w:rsidRPr="001D6D86" w:rsidRDefault="00030415" w:rsidP="0026307D">
            <w:pPr>
              <w:widowControl w:val="0"/>
              <w:jc w:val="both"/>
              <w:rPr>
                <w:rFonts w:eastAsia="Calibri"/>
                <w:sz w:val="22"/>
                <w:szCs w:val="22"/>
                <w:lang w:val="sr-Latn-ME"/>
              </w:rPr>
            </w:pPr>
          </w:p>
        </w:tc>
        <w:tc>
          <w:tcPr>
            <w:tcW w:w="1536" w:type="dxa"/>
            <w:vMerge/>
            <w:tcBorders>
              <w:left w:val="single" w:sz="4" w:space="0" w:color="000000"/>
              <w:right w:val="single" w:sz="4" w:space="0" w:color="000000"/>
            </w:tcBorders>
          </w:tcPr>
          <w:p w14:paraId="6B1DC402" w14:textId="77777777" w:rsidR="00030415" w:rsidRPr="001D6D86" w:rsidRDefault="00030415" w:rsidP="0026307D">
            <w:pPr>
              <w:widowControl w:val="0"/>
              <w:jc w:val="both"/>
              <w:rPr>
                <w:rFonts w:eastAsia="Calibri"/>
                <w:sz w:val="22"/>
                <w:szCs w:val="22"/>
                <w:lang w:val="sr-Latn-ME"/>
              </w:rPr>
            </w:pPr>
          </w:p>
        </w:tc>
      </w:tr>
      <w:tr w:rsidR="00030415" w:rsidRPr="001D6D86" w14:paraId="2CBBBB4F" w14:textId="77777777" w:rsidTr="006B230D">
        <w:trPr>
          <w:trHeight w:hRule="exact" w:val="254"/>
        </w:trPr>
        <w:tc>
          <w:tcPr>
            <w:tcW w:w="1795" w:type="dxa"/>
            <w:vMerge/>
            <w:tcBorders>
              <w:left w:val="single" w:sz="4" w:space="0" w:color="000000"/>
              <w:bottom w:val="single" w:sz="4" w:space="0" w:color="000000"/>
              <w:right w:val="single" w:sz="4" w:space="0" w:color="000000"/>
            </w:tcBorders>
          </w:tcPr>
          <w:p w14:paraId="3391B38F" w14:textId="77777777" w:rsidR="00030415" w:rsidRPr="001D6D86" w:rsidRDefault="00030415" w:rsidP="0026307D">
            <w:pPr>
              <w:widowControl w:val="0"/>
              <w:jc w:val="both"/>
              <w:rPr>
                <w:rFonts w:eastAsia="Calibri"/>
                <w:sz w:val="22"/>
                <w:szCs w:val="22"/>
                <w:lang w:val="sr-Latn-ME"/>
              </w:rPr>
            </w:pPr>
          </w:p>
        </w:tc>
        <w:tc>
          <w:tcPr>
            <w:tcW w:w="1714" w:type="dxa"/>
            <w:vMerge/>
            <w:tcBorders>
              <w:left w:val="single" w:sz="4" w:space="0" w:color="000000"/>
              <w:bottom w:val="single" w:sz="4" w:space="0" w:color="000000"/>
              <w:right w:val="single" w:sz="4" w:space="0" w:color="000000"/>
            </w:tcBorders>
          </w:tcPr>
          <w:p w14:paraId="77A2547B"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bottom w:val="single" w:sz="4" w:space="0" w:color="000000"/>
              <w:right w:val="single" w:sz="4" w:space="0" w:color="000000"/>
            </w:tcBorders>
          </w:tcPr>
          <w:p w14:paraId="298FE33A" w14:textId="77777777" w:rsidR="00030415" w:rsidRPr="001D6D86" w:rsidRDefault="00030415" w:rsidP="0026307D">
            <w:pPr>
              <w:widowControl w:val="0"/>
              <w:jc w:val="both"/>
              <w:rPr>
                <w:rFonts w:eastAsia="Calibri"/>
                <w:sz w:val="22"/>
                <w:szCs w:val="22"/>
                <w:lang w:val="sr-Latn-ME"/>
              </w:rPr>
            </w:pPr>
          </w:p>
        </w:tc>
        <w:tc>
          <w:tcPr>
            <w:tcW w:w="1795" w:type="dxa"/>
            <w:tcBorders>
              <w:top w:val="nil"/>
              <w:left w:val="single" w:sz="4" w:space="0" w:color="000000"/>
              <w:bottom w:val="single" w:sz="4" w:space="0" w:color="000000"/>
              <w:right w:val="single" w:sz="4" w:space="0" w:color="000000"/>
            </w:tcBorders>
          </w:tcPr>
          <w:p w14:paraId="100CFB52" w14:textId="77777777" w:rsidR="00030415" w:rsidRPr="001D6D86" w:rsidRDefault="00030415" w:rsidP="0026307D">
            <w:pPr>
              <w:widowControl w:val="0"/>
              <w:spacing w:line="240" w:lineRule="exact"/>
              <w:ind w:left="105"/>
              <w:jc w:val="both"/>
              <w:rPr>
                <w:sz w:val="22"/>
                <w:szCs w:val="22"/>
                <w:lang w:val="sr-Latn-ME"/>
              </w:rPr>
            </w:pPr>
            <w:r w:rsidRPr="001D6D86">
              <w:rPr>
                <w:rFonts w:eastAsia="Calibri"/>
                <w:sz w:val="22"/>
                <w:szCs w:val="22"/>
                <w:lang w:val="sr-Latn-ME"/>
              </w:rPr>
              <w:t>angioedem</w:t>
            </w:r>
          </w:p>
        </w:tc>
        <w:tc>
          <w:tcPr>
            <w:tcW w:w="1618" w:type="dxa"/>
            <w:vMerge/>
            <w:tcBorders>
              <w:left w:val="single" w:sz="4" w:space="0" w:color="000000"/>
              <w:bottom w:val="single" w:sz="4" w:space="0" w:color="000000"/>
              <w:right w:val="single" w:sz="4" w:space="0" w:color="000000"/>
            </w:tcBorders>
          </w:tcPr>
          <w:p w14:paraId="5D1224B2" w14:textId="77777777" w:rsidR="00030415" w:rsidRPr="001D6D86" w:rsidRDefault="00030415" w:rsidP="0026307D">
            <w:pPr>
              <w:widowControl w:val="0"/>
              <w:jc w:val="both"/>
              <w:rPr>
                <w:rFonts w:eastAsia="Calibri"/>
                <w:sz w:val="22"/>
                <w:szCs w:val="22"/>
                <w:lang w:val="sr-Latn-ME"/>
              </w:rPr>
            </w:pPr>
          </w:p>
        </w:tc>
        <w:tc>
          <w:tcPr>
            <w:tcW w:w="1536" w:type="dxa"/>
            <w:vMerge/>
            <w:tcBorders>
              <w:left w:val="single" w:sz="4" w:space="0" w:color="000000"/>
              <w:bottom w:val="single" w:sz="4" w:space="0" w:color="000000"/>
              <w:right w:val="single" w:sz="4" w:space="0" w:color="000000"/>
            </w:tcBorders>
          </w:tcPr>
          <w:p w14:paraId="1C16AB70" w14:textId="77777777" w:rsidR="00030415" w:rsidRPr="001D6D86" w:rsidRDefault="00030415" w:rsidP="0026307D">
            <w:pPr>
              <w:widowControl w:val="0"/>
              <w:jc w:val="both"/>
              <w:rPr>
                <w:rFonts w:eastAsia="Calibri"/>
                <w:sz w:val="22"/>
                <w:szCs w:val="22"/>
                <w:lang w:val="sr-Latn-ME"/>
              </w:rPr>
            </w:pPr>
          </w:p>
        </w:tc>
      </w:tr>
      <w:tr w:rsidR="00030415" w:rsidRPr="001D6D86" w14:paraId="027AA5DE" w14:textId="77777777" w:rsidTr="006B230D">
        <w:trPr>
          <w:trHeight w:hRule="exact" w:val="518"/>
        </w:trPr>
        <w:tc>
          <w:tcPr>
            <w:tcW w:w="1795" w:type="dxa"/>
            <w:tcBorders>
              <w:top w:val="single" w:sz="4" w:space="0" w:color="000000"/>
              <w:left w:val="single" w:sz="4" w:space="0" w:color="000000"/>
              <w:bottom w:val="single" w:sz="4" w:space="0" w:color="000000"/>
              <w:right w:val="single" w:sz="4" w:space="0" w:color="000000"/>
            </w:tcBorders>
          </w:tcPr>
          <w:p w14:paraId="390D9473" w14:textId="77777777" w:rsidR="00030415" w:rsidRPr="001D6D86" w:rsidRDefault="00030415" w:rsidP="0026307D">
            <w:pPr>
              <w:widowControl w:val="0"/>
              <w:spacing w:line="237" w:lineRule="auto"/>
              <w:ind w:left="105" w:right="715"/>
              <w:jc w:val="both"/>
              <w:rPr>
                <w:sz w:val="22"/>
                <w:szCs w:val="22"/>
                <w:lang w:val="sr-Latn-ME"/>
              </w:rPr>
            </w:pPr>
            <w:r w:rsidRPr="001D6D86">
              <w:rPr>
                <w:rFonts w:eastAsia="Calibri"/>
                <w:spacing w:val="-3"/>
                <w:sz w:val="22"/>
                <w:szCs w:val="22"/>
                <w:lang w:val="sr-Latn-ME"/>
              </w:rPr>
              <w:t>Endokrini</w:t>
            </w:r>
            <w:r w:rsidRPr="001D6D86">
              <w:rPr>
                <w:rFonts w:eastAsia="Calibri"/>
                <w:spacing w:val="-52"/>
                <w:sz w:val="22"/>
                <w:szCs w:val="22"/>
                <w:lang w:val="sr-Latn-ME"/>
              </w:rPr>
              <w:t xml:space="preserve"> </w:t>
            </w:r>
            <w:r w:rsidRPr="001D6D86">
              <w:rPr>
                <w:rFonts w:eastAsia="Calibri"/>
                <w:spacing w:val="-2"/>
                <w:sz w:val="22"/>
                <w:szCs w:val="22"/>
                <w:lang w:val="sr-Latn-ME"/>
              </w:rPr>
              <w:t>poremećaji</w:t>
            </w:r>
          </w:p>
        </w:tc>
        <w:tc>
          <w:tcPr>
            <w:tcW w:w="1714" w:type="dxa"/>
            <w:tcBorders>
              <w:top w:val="single" w:sz="4" w:space="0" w:color="000000"/>
              <w:left w:val="single" w:sz="4" w:space="0" w:color="000000"/>
              <w:bottom w:val="single" w:sz="4" w:space="0" w:color="000000"/>
              <w:right w:val="single" w:sz="4" w:space="0" w:color="000000"/>
            </w:tcBorders>
          </w:tcPr>
          <w:p w14:paraId="5904D5F2" w14:textId="77777777" w:rsidR="00030415" w:rsidRPr="001D6D86" w:rsidRDefault="00030415" w:rsidP="0026307D">
            <w:pPr>
              <w:widowControl w:val="0"/>
              <w:spacing w:before="13" w:line="208" w:lineRule="auto"/>
              <w:ind w:left="105" w:right="777"/>
              <w:jc w:val="both"/>
              <w:rPr>
                <w:sz w:val="22"/>
                <w:szCs w:val="22"/>
                <w:lang w:val="sr-Latn-ME"/>
              </w:rPr>
            </w:pPr>
            <w:r w:rsidRPr="001D6D86">
              <w:rPr>
                <w:rFonts w:eastAsia="Calibri"/>
                <w:spacing w:val="-2"/>
                <w:sz w:val="22"/>
                <w:szCs w:val="22"/>
                <w:lang w:val="sr-Latn-ME"/>
              </w:rPr>
              <w:t>Dijabetes</w:t>
            </w:r>
            <w:r w:rsidRPr="001D6D86">
              <w:rPr>
                <w:rFonts w:eastAsia="Calibri"/>
                <w:spacing w:val="-52"/>
                <w:sz w:val="22"/>
                <w:szCs w:val="22"/>
                <w:lang w:val="sr-Latn-ME"/>
              </w:rPr>
              <w:t xml:space="preserve"> </w:t>
            </w:r>
            <w:r w:rsidRPr="001D6D86">
              <w:rPr>
                <w:rFonts w:eastAsia="Calibri"/>
                <w:sz w:val="22"/>
                <w:szCs w:val="22"/>
                <w:lang w:val="sr-Latn-ME"/>
              </w:rPr>
              <w:t>melitus</w:t>
            </w:r>
            <w:r w:rsidRPr="001D6D86">
              <w:rPr>
                <w:rFonts w:eastAsia="Calibri"/>
                <w:position w:val="10"/>
                <w:sz w:val="22"/>
                <w:szCs w:val="22"/>
                <w:lang w:val="sr-Latn-ME"/>
              </w:rPr>
              <w:t>1</w:t>
            </w:r>
          </w:p>
        </w:tc>
        <w:tc>
          <w:tcPr>
            <w:tcW w:w="1402" w:type="dxa"/>
            <w:tcBorders>
              <w:top w:val="single" w:sz="4" w:space="0" w:color="000000"/>
              <w:left w:val="single" w:sz="4" w:space="0" w:color="000000"/>
              <w:bottom w:val="single" w:sz="4" w:space="0" w:color="000000"/>
              <w:right w:val="single" w:sz="4" w:space="0" w:color="000000"/>
            </w:tcBorders>
          </w:tcPr>
          <w:p w14:paraId="29907A69"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26B4CB4A" w14:textId="77777777" w:rsidR="00030415" w:rsidRPr="001D6D86" w:rsidRDefault="00030415" w:rsidP="0026307D">
            <w:pPr>
              <w:widowControl w:val="0"/>
              <w:jc w:val="both"/>
              <w:rPr>
                <w:rFonts w:eastAsia="Calibri"/>
                <w:sz w:val="22"/>
                <w:szCs w:val="22"/>
                <w:lang w:val="sr-Latn-ME"/>
              </w:rPr>
            </w:pPr>
          </w:p>
        </w:tc>
        <w:tc>
          <w:tcPr>
            <w:tcW w:w="1618" w:type="dxa"/>
            <w:tcBorders>
              <w:top w:val="single" w:sz="4" w:space="0" w:color="000000"/>
              <w:left w:val="single" w:sz="4" w:space="0" w:color="000000"/>
              <w:bottom w:val="single" w:sz="4" w:space="0" w:color="000000"/>
              <w:right w:val="single" w:sz="4" w:space="0" w:color="000000"/>
            </w:tcBorders>
          </w:tcPr>
          <w:p w14:paraId="00E791C1" w14:textId="77777777" w:rsidR="00030415" w:rsidRPr="001D6D86" w:rsidRDefault="00030415" w:rsidP="0026307D">
            <w:pPr>
              <w:widowControl w:val="0"/>
              <w:jc w:val="both"/>
              <w:rPr>
                <w:rFonts w:eastAsia="Calibri"/>
                <w:sz w:val="22"/>
                <w:szCs w:val="22"/>
                <w:lang w:val="sr-Latn-ME"/>
              </w:rPr>
            </w:pPr>
          </w:p>
        </w:tc>
        <w:tc>
          <w:tcPr>
            <w:tcW w:w="1536" w:type="dxa"/>
            <w:tcBorders>
              <w:top w:val="single" w:sz="4" w:space="0" w:color="000000"/>
              <w:left w:val="single" w:sz="4" w:space="0" w:color="000000"/>
              <w:bottom w:val="single" w:sz="4" w:space="0" w:color="000000"/>
              <w:right w:val="single" w:sz="4" w:space="0" w:color="000000"/>
            </w:tcBorders>
          </w:tcPr>
          <w:p w14:paraId="4ECF519C" w14:textId="77777777" w:rsidR="00030415" w:rsidRPr="001D6D86" w:rsidRDefault="00030415" w:rsidP="0026307D">
            <w:pPr>
              <w:widowControl w:val="0"/>
              <w:jc w:val="both"/>
              <w:rPr>
                <w:rFonts w:eastAsia="Calibri"/>
                <w:sz w:val="22"/>
                <w:szCs w:val="22"/>
                <w:lang w:val="sr-Latn-ME"/>
              </w:rPr>
            </w:pPr>
          </w:p>
        </w:tc>
      </w:tr>
      <w:tr w:rsidR="00030415" w:rsidRPr="001D6D86" w14:paraId="332199C2" w14:textId="77777777" w:rsidTr="006B230D">
        <w:trPr>
          <w:trHeight w:hRule="exact" w:val="514"/>
        </w:trPr>
        <w:tc>
          <w:tcPr>
            <w:tcW w:w="1795" w:type="dxa"/>
            <w:tcBorders>
              <w:top w:val="single" w:sz="4" w:space="0" w:color="000000"/>
              <w:left w:val="single" w:sz="4" w:space="0" w:color="000000"/>
              <w:bottom w:val="single" w:sz="4" w:space="0" w:color="000000"/>
              <w:right w:val="single" w:sz="4" w:space="0" w:color="000000"/>
            </w:tcBorders>
          </w:tcPr>
          <w:p w14:paraId="3639EC92" w14:textId="77777777" w:rsidR="00030415" w:rsidRPr="001D6D86" w:rsidRDefault="00030415" w:rsidP="0026307D">
            <w:pPr>
              <w:widowControl w:val="0"/>
              <w:spacing w:line="242" w:lineRule="auto"/>
              <w:ind w:left="105" w:right="638"/>
              <w:jc w:val="both"/>
              <w:rPr>
                <w:sz w:val="22"/>
                <w:szCs w:val="22"/>
                <w:lang w:val="sr-Latn-ME"/>
              </w:rPr>
            </w:pPr>
            <w:r w:rsidRPr="001D6D86">
              <w:rPr>
                <w:rFonts w:eastAsia="Calibri"/>
                <w:spacing w:val="-2"/>
                <w:sz w:val="22"/>
                <w:szCs w:val="22"/>
                <w:lang w:val="sr-Latn-ME"/>
              </w:rPr>
              <w:lastRenderedPageBreak/>
              <w:t>Psihijatriski</w:t>
            </w:r>
            <w:r w:rsidRPr="001D6D86">
              <w:rPr>
                <w:rFonts w:eastAsia="Calibri"/>
                <w:spacing w:val="-52"/>
                <w:sz w:val="22"/>
                <w:szCs w:val="22"/>
                <w:lang w:val="sr-Latn-ME"/>
              </w:rPr>
              <w:t xml:space="preserve"> </w:t>
            </w:r>
            <w:r w:rsidRPr="001D6D86">
              <w:rPr>
                <w:rFonts w:eastAsia="Calibri"/>
                <w:sz w:val="22"/>
                <w:szCs w:val="22"/>
                <w:lang w:val="sr-Latn-ME"/>
              </w:rPr>
              <w:t>poremećaji</w:t>
            </w:r>
          </w:p>
        </w:tc>
        <w:tc>
          <w:tcPr>
            <w:tcW w:w="1714" w:type="dxa"/>
            <w:tcBorders>
              <w:top w:val="single" w:sz="4" w:space="0" w:color="000000"/>
              <w:left w:val="single" w:sz="4" w:space="0" w:color="000000"/>
              <w:bottom w:val="single" w:sz="4" w:space="0" w:color="000000"/>
              <w:right w:val="single" w:sz="4" w:space="0" w:color="000000"/>
            </w:tcBorders>
          </w:tcPr>
          <w:p w14:paraId="67357C59" w14:textId="77777777" w:rsidR="00030415" w:rsidRPr="001D6D86" w:rsidRDefault="00030415" w:rsidP="0026307D">
            <w:pPr>
              <w:widowControl w:val="0"/>
              <w:jc w:val="both"/>
              <w:rPr>
                <w:rFonts w:eastAsia="Calibri"/>
                <w:sz w:val="22"/>
                <w:szCs w:val="22"/>
                <w:lang w:val="sr-Latn-ME"/>
              </w:rPr>
            </w:pPr>
          </w:p>
        </w:tc>
        <w:tc>
          <w:tcPr>
            <w:tcW w:w="1402" w:type="dxa"/>
            <w:tcBorders>
              <w:top w:val="single" w:sz="4" w:space="0" w:color="000000"/>
              <w:left w:val="single" w:sz="4" w:space="0" w:color="000000"/>
              <w:bottom w:val="single" w:sz="4" w:space="0" w:color="000000"/>
              <w:right w:val="single" w:sz="4" w:space="0" w:color="000000"/>
            </w:tcBorders>
          </w:tcPr>
          <w:p w14:paraId="09F054FA"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63F8AAD9" w14:textId="77777777" w:rsidR="00030415" w:rsidRPr="001D6D86" w:rsidRDefault="00030415" w:rsidP="0026307D">
            <w:pPr>
              <w:widowControl w:val="0"/>
              <w:jc w:val="both"/>
              <w:rPr>
                <w:rFonts w:eastAsia="Calibri"/>
                <w:sz w:val="22"/>
                <w:szCs w:val="22"/>
                <w:lang w:val="sr-Latn-ME"/>
              </w:rPr>
            </w:pPr>
          </w:p>
        </w:tc>
        <w:tc>
          <w:tcPr>
            <w:tcW w:w="1618" w:type="dxa"/>
            <w:tcBorders>
              <w:top w:val="single" w:sz="4" w:space="0" w:color="000000"/>
              <w:left w:val="single" w:sz="4" w:space="0" w:color="000000"/>
              <w:bottom w:val="single" w:sz="4" w:space="0" w:color="000000"/>
              <w:right w:val="single" w:sz="4" w:space="0" w:color="000000"/>
            </w:tcBorders>
          </w:tcPr>
          <w:p w14:paraId="55BF313B" w14:textId="77777777" w:rsidR="00030415" w:rsidRPr="001D6D86" w:rsidRDefault="00030415" w:rsidP="0026307D">
            <w:pPr>
              <w:widowControl w:val="0"/>
              <w:jc w:val="both"/>
              <w:rPr>
                <w:rFonts w:eastAsia="Calibri"/>
                <w:sz w:val="22"/>
                <w:szCs w:val="22"/>
                <w:lang w:val="sr-Latn-ME"/>
              </w:rPr>
            </w:pPr>
          </w:p>
        </w:tc>
        <w:tc>
          <w:tcPr>
            <w:tcW w:w="1536" w:type="dxa"/>
            <w:tcBorders>
              <w:top w:val="single" w:sz="4" w:space="0" w:color="000000"/>
              <w:left w:val="single" w:sz="4" w:space="0" w:color="000000"/>
              <w:bottom w:val="single" w:sz="4" w:space="0" w:color="000000"/>
              <w:right w:val="single" w:sz="4" w:space="0" w:color="000000"/>
            </w:tcBorders>
          </w:tcPr>
          <w:p w14:paraId="22D07B94" w14:textId="77777777" w:rsidR="00030415" w:rsidRPr="001D6D86" w:rsidRDefault="00030415" w:rsidP="0026307D">
            <w:pPr>
              <w:widowControl w:val="0"/>
              <w:spacing w:line="240" w:lineRule="exact"/>
              <w:ind w:left="100"/>
              <w:jc w:val="both"/>
              <w:rPr>
                <w:sz w:val="22"/>
                <w:szCs w:val="22"/>
                <w:lang w:val="sr-Latn-ME"/>
              </w:rPr>
            </w:pPr>
            <w:r w:rsidRPr="001D6D86">
              <w:rPr>
                <w:rFonts w:eastAsia="Calibri"/>
                <w:spacing w:val="-3"/>
                <w:sz w:val="22"/>
                <w:szCs w:val="22"/>
                <w:lang w:val="sr-Latn-ME"/>
              </w:rPr>
              <w:t>Depresija</w:t>
            </w:r>
          </w:p>
        </w:tc>
      </w:tr>
      <w:tr w:rsidR="00030415" w:rsidRPr="001D6D86" w14:paraId="0D87C183" w14:textId="77777777" w:rsidTr="006B230D">
        <w:trPr>
          <w:trHeight w:hRule="exact" w:val="264"/>
        </w:trPr>
        <w:tc>
          <w:tcPr>
            <w:tcW w:w="1795" w:type="dxa"/>
            <w:tcBorders>
              <w:top w:val="single" w:sz="4" w:space="0" w:color="000000"/>
              <w:left w:val="single" w:sz="4" w:space="0" w:color="000000"/>
              <w:bottom w:val="nil"/>
              <w:right w:val="single" w:sz="4" w:space="0" w:color="000000"/>
            </w:tcBorders>
          </w:tcPr>
          <w:p w14:paraId="2B147BC6" w14:textId="77777777" w:rsidR="00030415" w:rsidRPr="001D6D86" w:rsidRDefault="00030415" w:rsidP="0026307D">
            <w:pPr>
              <w:widowControl w:val="0"/>
              <w:spacing w:line="249" w:lineRule="exact"/>
              <w:ind w:left="105"/>
              <w:jc w:val="both"/>
              <w:rPr>
                <w:sz w:val="22"/>
                <w:szCs w:val="22"/>
                <w:lang w:val="sr-Latn-ME"/>
              </w:rPr>
            </w:pPr>
            <w:r w:rsidRPr="001D6D86">
              <w:rPr>
                <w:rFonts w:eastAsia="Calibri"/>
                <w:sz w:val="22"/>
                <w:szCs w:val="22"/>
                <w:lang w:val="sr-Latn-ME"/>
              </w:rPr>
              <w:t>Poremećaji</w:t>
            </w:r>
          </w:p>
        </w:tc>
        <w:tc>
          <w:tcPr>
            <w:tcW w:w="1714" w:type="dxa"/>
            <w:tcBorders>
              <w:top w:val="single" w:sz="4" w:space="0" w:color="000000"/>
              <w:left w:val="single" w:sz="4" w:space="0" w:color="000000"/>
              <w:bottom w:val="nil"/>
              <w:right w:val="single" w:sz="4" w:space="0" w:color="000000"/>
            </w:tcBorders>
          </w:tcPr>
          <w:p w14:paraId="4BDD1BAB" w14:textId="77777777" w:rsidR="00030415" w:rsidRPr="001D6D86" w:rsidRDefault="00030415" w:rsidP="0026307D">
            <w:pPr>
              <w:widowControl w:val="0"/>
              <w:spacing w:line="249" w:lineRule="exact"/>
              <w:ind w:left="105"/>
              <w:jc w:val="both"/>
              <w:rPr>
                <w:sz w:val="22"/>
                <w:szCs w:val="22"/>
                <w:lang w:val="sr-Latn-ME"/>
              </w:rPr>
            </w:pPr>
            <w:r w:rsidRPr="001D6D86">
              <w:rPr>
                <w:rFonts w:eastAsia="Calibri"/>
                <w:spacing w:val="-3"/>
                <w:sz w:val="22"/>
                <w:szCs w:val="22"/>
                <w:lang w:val="sr-Latn-ME"/>
              </w:rPr>
              <w:t>Glavobolja,</w:t>
            </w:r>
          </w:p>
        </w:tc>
        <w:tc>
          <w:tcPr>
            <w:tcW w:w="1402" w:type="dxa"/>
            <w:vMerge w:val="restart"/>
            <w:tcBorders>
              <w:top w:val="single" w:sz="4" w:space="0" w:color="000000"/>
              <w:left w:val="single" w:sz="4" w:space="0" w:color="000000"/>
              <w:right w:val="single" w:sz="4" w:space="0" w:color="000000"/>
            </w:tcBorders>
          </w:tcPr>
          <w:p w14:paraId="7C7B468F" w14:textId="77777777" w:rsidR="00030415" w:rsidRPr="001D6D86" w:rsidRDefault="00030415" w:rsidP="0026307D">
            <w:pPr>
              <w:widowControl w:val="0"/>
              <w:jc w:val="both"/>
              <w:rPr>
                <w:rFonts w:eastAsia="Calibri"/>
                <w:sz w:val="22"/>
                <w:szCs w:val="22"/>
                <w:lang w:val="sr-Latn-ME"/>
              </w:rPr>
            </w:pPr>
          </w:p>
        </w:tc>
        <w:tc>
          <w:tcPr>
            <w:tcW w:w="1795" w:type="dxa"/>
            <w:vMerge w:val="restart"/>
            <w:tcBorders>
              <w:top w:val="single" w:sz="4" w:space="0" w:color="000000"/>
              <w:left w:val="single" w:sz="4" w:space="0" w:color="000000"/>
              <w:right w:val="single" w:sz="4" w:space="0" w:color="000000"/>
            </w:tcBorders>
          </w:tcPr>
          <w:p w14:paraId="204EDB2E" w14:textId="77777777" w:rsidR="00030415" w:rsidRPr="001D6D86" w:rsidRDefault="00030415" w:rsidP="0026307D">
            <w:pPr>
              <w:widowControl w:val="0"/>
              <w:jc w:val="both"/>
              <w:rPr>
                <w:rFonts w:eastAsia="Calibri"/>
                <w:sz w:val="22"/>
                <w:szCs w:val="22"/>
                <w:lang w:val="sr-Latn-ME"/>
              </w:rPr>
            </w:pPr>
          </w:p>
        </w:tc>
        <w:tc>
          <w:tcPr>
            <w:tcW w:w="1618" w:type="dxa"/>
            <w:tcBorders>
              <w:top w:val="single" w:sz="4" w:space="0" w:color="000000"/>
              <w:left w:val="single" w:sz="4" w:space="0" w:color="000000"/>
              <w:bottom w:val="nil"/>
              <w:right w:val="single" w:sz="4" w:space="0" w:color="000000"/>
            </w:tcBorders>
          </w:tcPr>
          <w:p w14:paraId="0C3B37AD"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Polineuropatija,</w:t>
            </w:r>
          </w:p>
        </w:tc>
        <w:tc>
          <w:tcPr>
            <w:tcW w:w="1536" w:type="dxa"/>
            <w:tcBorders>
              <w:top w:val="single" w:sz="4" w:space="0" w:color="000000"/>
              <w:left w:val="single" w:sz="4" w:space="0" w:color="000000"/>
              <w:bottom w:val="nil"/>
              <w:right w:val="single" w:sz="4" w:space="0" w:color="000000"/>
            </w:tcBorders>
          </w:tcPr>
          <w:p w14:paraId="56D391A8" w14:textId="77777777" w:rsidR="00030415" w:rsidRPr="001D6D86" w:rsidRDefault="00030415" w:rsidP="0026307D">
            <w:pPr>
              <w:widowControl w:val="0"/>
              <w:spacing w:line="244" w:lineRule="exact"/>
              <w:ind w:left="100"/>
              <w:jc w:val="both"/>
              <w:rPr>
                <w:sz w:val="22"/>
                <w:szCs w:val="22"/>
                <w:lang w:val="sr-Latn-ME"/>
              </w:rPr>
            </w:pPr>
            <w:r w:rsidRPr="001D6D86">
              <w:rPr>
                <w:rFonts w:eastAsia="Calibri"/>
                <w:sz w:val="22"/>
                <w:szCs w:val="22"/>
                <w:lang w:val="sr-Latn-ME"/>
              </w:rPr>
              <w:t>Periferna</w:t>
            </w:r>
          </w:p>
        </w:tc>
      </w:tr>
      <w:tr w:rsidR="00030415" w:rsidRPr="001D6D86" w14:paraId="5A38AFB4" w14:textId="77777777" w:rsidTr="006B230D">
        <w:trPr>
          <w:trHeight w:hRule="exact" w:val="250"/>
        </w:trPr>
        <w:tc>
          <w:tcPr>
            <w:tcW w:w="1795" w:type="dxa"/>
            <w:vMerge w:val="restart"/>
            <w:tcBorders>
              <w:top w:val="nil"/>
              <w:left w:val="single" w:sz="4" w:space="0" w:color="000000"/>
              <w:right w:val="single" w:sz="4" w:space="0" w:color="000000"/>
            </w:tcBorders>
          </w:tcPr>
          <w:p w14:paraId="2C176C26" w14:textId="77777777" w:rsidR="00030415" w:rsidRPr="001D6D86" w:rsidRDefault="00030415" w:rsidP="0026307D">
            <w:pPr>
              <w:widowControl w:val="0"/>
              <w:spacing w:line="240" w:lineRule="exact"/>
              <w:ind w:left="105"/>
              <w:jc w:val="both"/>
              <w:rPr>
                <w:sz w:val="22"/>
                <w:szCs w:val="22"/>
                <w:lang w:val="sr-Latn-ME"/>
              </w:rPr>
            </w:pPr>
            <w:r w:rsidRPr="001D6D86">
              <w:rPr>
                <w:rFonts w:eastAsia="Calibri"/>
                <w:sz w:val="22"/>
                <w:szCs w:val="22"/>
                <w:lang w:val="sr-Latn-ME"/>
              </w:rPr>
              <w:t>nervnog</w:t>
            </w:r>
            <w:r w:rsidRPr="001D6D86">
              <w:rPr>
                <w:rFonts w:eastAsia="Calibri"/>
                <w:spacing w:val="-10"/>
                <w:sz w:val="22"/>
                <w:szCs w:val="22"/>
                <w:lang w:val="sr-Latn-ME"/>
              </w:rPr>
              <w:t xml:space="preserve"> </w:t>
            </w:r>
            <w:r w:rsidRPr="001D6D86">
              <w:rPr>
                <w:rFonts w:eastAsia="Calibri"/>
                <w:spacing w:val="-3"/>
                <w:sz w:val="22"/>
                <w:szCs w:val="22"/>
                <w:lang w:val="sr-Latn-ME"/>
              </w:rPr>
              <w:t>sistema</w:t>
            </w:r>
          </w:p>
        </w:tc>
        <w:tc>
          <w:tcPr>
            <w:tcW w:w="1714" w:type="dxa"/>
            <w:vMerge w:val="restart"/>
            <w:tcBorders>
              <w:top w:val="nil"/>
              <w:left w:val="single" w:sz="4" w:space="0" w:color="000000"/>
              <w:right w:val="single" w:sz="4" w:space="0" w:color="000000"/>
            </w:tcBorders>
          </w:tcPr>
          <w:p w14:paraId="199CB211" w14:textId="77777777" w:rsidR="00030415" w:rsidRPr="001D6D86" w:rsidRDefault="00030415" w:rsidP="0026307D">
            <w:pPr>
              <w:widowControl w:val="0"/>
              <w:spacing w:line="240" w:lineRule="exact"/>
              <w:ind w:left="105"/>
              <w:jc w:val="both"/>
              <w:rPr>
                <w:sz w:val="22"/>
                <w:szCs w:val="22"/>
                <w:lang w:val="sr-Latn-ME"/>
              </w:rPr>
            </w:pPr>
            <w:r w:rsidRPr="001D6D86">
              <w:rPr>
                <w:rFonts w:eastAsia="Calibri"/>
                <w:sz w:val="22"/>
                <w:szCs w:val="22"/>
                <w:lang w:val="sr-Latn-ME"/>
              </w:rPr>
              <w:t>vrtoglavica</w:t>
            </w:r>
          </w:p>
        </w:tc>
        <w:tc>
          <w:tcPr>
            <w:tcW w:w="1402" w:type="dxa"/>
            <w:vMerge/>
            <w:tcBorders>
              <w:left w:val="single" w:sz="4" w:space="0" w:color="000000"/>
              <w:right w:val="single" w:sz="4" w:space="0" w:color="000000"/>
            </w:tcBorders>
          </w:tcPr>
          <w:p w14:paraId="2B67FBDC"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right w:val="single" w:sz="4" w:space="0" w:color="000000"/>
            </w:tcBorders>
          </w:tcPr>
          <w:p w14:paraId="4F35FDEA" w14:textId="77777777" w:rsidR="00030415" w:rsidRPr="001D6D86" w:rsidRDefault="00030415" w:rsidP="0026307D">
            <w:pPr>
              <w:widowControl w:val="0"/>
              <w:jc w:val="both"/>
              <w:rPr>
                <w:rFonts w:eastAsia="Calibri"/>
                <w:sz w:val="22"/>
                <w:szCs w:val="22"/>
                <w:lang w:val="sr-Latn-ME"/>
              </w:rPr>
            </w:pPr>
          </w:p>
        </w:tc>
        <w:tc>
          <w:tcPr>
            <w:tcW w:w="1618" w:type="dxa"/>
            <w:tcBorders>
              <w:top w:val="nil"/>
              <w:left w:val="single" w:sz="4" w:space="0" w:color="000000"/>
              <w:bottom w:val="nil"/>
              <w:right w:val="single" w:sz="4" w:space="0" w:color="000000"/>
            </w:tcBorders>
          </w:tcPr>
          <w:p w14:paraId="655ACF6D" w14:textId="77777777" w:rsidR="00030415" w:rsidRPr="001D6D86" w:rsidRDefault="00030415" w:rsidP="0026307D">
            <w:pPr>
              <w:widowControl w:val="0"/>
              <w:spacing w:line="240" w:lineRule="exact"/>
              <w:ind w:left="105"/>
              <w:jc w:val="both"/>
              <w:rPr>
                <w:sz w:val="22"/>
                <w:szCs w:val="22"/>
                <w:lang w:val="sr-Latn-ME"/>
              </w:rPr>
            </w:pPr>
            <w:r w:rsidRPr="001D6D86">
              <w:rPr>
                <w:rFonts w:eastAsia="Calibri"/>
                <w:sz w:val="22"/>
                <w:szCs w:val="22"/>
                <w:lang w:val="sr-Latn-ME"/>
              </w:rPr>
              <w:t>gubitak</w:t>
            </w:r>
          </w:p>
        </w:tc>
        <w:tc>
          <w:tcPr>
            <w:tcW w:w="1536" w:type="dxa"/>
            <w:tcBorders>
              <w:top w:val="nil"/>
              <w:left w:val="single" w:sz="4" w:space="0" w:color="000000"/>
              <w:bottom w:val="nil"/>
              <w:right w:val="single" w:sz="4" w:space="0" w:color="000000"/>
            </w:tcBorders>
          </w:tcPr>
          <w:p w14:paraId="67D46522" w14:textId="77777777" w:rsidR="00030415" w:rsidRPr="001D6D86" w:rsidRDefault="00030415" w:rsidP="0026307D">
            <w:pPr>
              <w:widowControl w:val="0"/>
              <w:spacing w:line="240" w:lineRule="exact"/>
              <w:ind w:left="100"/>
              <w:jc w:val="both"/>
              <w:rPr>
                <w:sz w:val="22"/>
                <w:szCs w:val="22"/>
                <w:lang w:val="sr-Latn-ME"/>
              </w:rPr>
            </w:pPr>
            <w:r w:rsidRPr="001D6D86">
              <w:rPr>
                <w:rFonts w:eastAsia="Calibri"/>
                <w:spacing w:val="-2"/>
                <w:sz w:val="22"/>
                <w:szCs w:val="22"/>
                <w:lang w:val="sr-Latn-ME"/>
              </w:rPr>
              <w:t>neuropatija,</w:t>
            </w:r>
          </w:p>
        </w:tc>
      </w:tr>
      <w:tr w:rsidR="00030415" w:rsidRPr="001D6D86" w14:paraId="23AE5D75" w14:textId="77777777" w:rsidTr="006B230D">
        <w:trPr>
          <w:trHeight w:hRule="exact" w:val="252"/>
        </w:trPr>
        <w:tc>
          <w:tcPr>
            <w:tcW w:w="1795" w:type="dxa"/>
            <w:vMerge/>
            <w:tcBorders>
              <w:left w:val="single" w:sz="4" w:space="0" w:color="000000"/>
              <w:right w:val="single" w:sz="4" w:space="0" w:color="000000"/>
            </w:tcBorders>
          </w:tcPr>
          <w:p w14:paraId="4BB96AE0" w14:textId="77777777" w:rsidR="00030415" w:rsidRPr="001D6D86" w:rsidRDefault="00030415" w:rsidP="0026307D">
            <w:pPr>
              <w:widowControl w:val="0"/>
              <w:jc w:val="both"/>
              <w:rPr>
                <w:rFonts w:eastAsia="Calibri"/>
                <w:sz w:val="22"/>
                <w:szCs w:val="22"/>
                <w:lang w:val="sr-Latn-ME"/>
              </w:rPr>
            </w:pPr>
          </w:p>
        </w:tc>
        <w:tc>
          <w:tcPr>
            <w:tcW w:w="1714" w:type="dxa"/>
            <w:vMerge/>
            <w:tcBorders>
              <w:left w:val="single" w:sz="4" w:space="0" w:color="000000"/>
              <w:right w:val="single" w:sz="4" w:space="0" w:color="000000"/>
            </w:tcBorders>
          </w:tcPr>
          <w:p w14:paraId="2345EF17"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4CF2056B"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right w:val="single" w:sz="4" w:space="0" w:color="000000"/>
            </w:tcBorders>
          </w:tcPr>
          <w:p w14:paraId="7BC6BF52" w14:textId="77777777" w:rsidR="00030415" w:rsidRPr="001D6D86" w:rsidRDefault="00030415" w:rsidP="0026307D">
            <w:pPr>
              <w:widowControl w:val="0"/>
              <w:jc w:val="both"/>
              <w:rPr>
                <w:rFonts w:eastAsia="Calibri"/>
                <w:sz w:val="22"/>
                <w:szCs w:val="22"/>
                <w:lang w:val="sr-Latn-ME"/>
              </w:rPr>
            </w:pPr>
          </w:p>
        </w:tc>
        <w:tc>
          <w:tcPr>
            <w:tcW w:w="1618" w:type="dxa"/>
            <w:vMerge w:val="restart"/>
            <w:tcBorders>
              <w:top w:val="nil"/>
              <w:left w:val="single" w:sz="4" w:space="0" w:color="000000"/>
              <w:right w:val="single" w:sz="4" w:space="0" w:color="000000"/>
            </w:tcBorders>
          </w:tcPr>
          <w:p w14:paraId="12A6AABF" w14:textId="77777777" w:rsidR="00030415" w:rsidRPr="001D6D86" w:rsidRDefault="00030415" w:rsidP="0026307D">
            <w:pPr>
              <w:widowControl w:val="0"/>
              <w:spacing w:line="240" w:lineRule="exact"/>
              <w:ind w:left="105"/>
              <w:jc w:val="both"/>
              <w:rPr>
                <w:sz w:val="22"/>
                <w:szCs w:val="22"/>
                <w:lang w:val="sr-Latn-ME"/>
              </w:rPr>
            </w:pPr>
            <w:r w:rsidRPr="001D6D86">
              <w:rPr>
                <w:rFonts w:eastAsia="Calibri"/>
                <w:spacing w:val="-4"/>
                <w:sz w:val="22"/>
                <w:szCs w:val="22"/>
                <w:lang w:val="sr-Latn-ME"/>
              </w:rPr>
              <w:t>pamćenja</w:t>
            </w:r>
          </w:p>
        </w:tc>
        <w:tc>
          <w:tcPr>
            <w:tcW w:w="1536" w:type="dxa"/>
            <w:tcBorders>
              <w:top w:val="nil"/>
              <w:left w:val="single" w:sz="4" w:space="0" w:color="000000"/>
              <w:bottom w:val="nil"/>
              <w:right w:val="single" w:sz="4" w:space="0" w:color="000000"/>
            </w:tcBorders>
          </w:tcPr>
          <w:p w14:paraId="1EF121E7" w14:textId="77777777" w:rsidR="00030415" w:rsidRPr="001D6D86" w:rsidRDefault="00030415" w:rsidP="0026307D">
            <w:pPr>
              <w:widowControl w:val="0"/>
              <w:spacing w:line="240" w:lineRule="exact"/>
              <w:ind w:left="100"/>
              <w:jc w:val="both"/>
              <w:rPr>
                <w:sz w:val="22"/>
                <w:szCs w:val="22"/>
                <w:lang w:val="sr-Latn-ME"/>
              </w:rPr>
            </w:pPr>
            <w:r w:rsidRPr="001D6D86">
              <w:rPr>
                <w:rFonts w:eastAsia="Calibri"/>
                <w:sz w:val="22"/>
                <w:szCs w:val="22"/>
                <w:lang w:val="sr-Latn-ME"/>
              </w:rPr>
              <w:t>poremećaji</w:t>
            </w:r>
          </w:p>
        </w:tc>
      </w:tr>
      <w:tr w:rsidR="00030415" w:rsidRPr="001D6D86" w14:paraId="6D7E3AF8" w14:textId="77777777" w:rsidTr="006B230D">
        <w:trPr>
          <w:trHeight w:hRule="exact" w:val="252"/>
        </w:trPr>
        <w:tc>
          <w:tcPr>
            <w:tcW w:w="1795" w:type="dxa"/>
            <w:vMerge/>
            <w:tcBorders>
              <w:left w:val="single" w:sz="4" w:space="0" w:color="000000"/>
              <w:right w:val="single" w:sz="4" w:space="0" w:color="000000"/>
            </w:tcBorders>
          </w:tcPr>
          <w:p w14:paraId="7344105E" w14:textId="77777777" w:rsidR="00030415" w:rsidRPr="001D6D86" w:rsidRDefault="00030415" w:rsidP="0026307D">
            <w:pPr>
              <w:widowControl w:val="0"/>
              <w:jc w:val="both"/>
              <w:rPr>
                <w:rFonts w:eastAsia="Calibri"/>
                <w:sz w:val="22"/>
                <w:szCs w:val="22"/>
                <w:lang w:val="sr-Latn-ME"/>
              </w:rPr>
            </w:pPr>
          </w:p>
        </w:tc>
        <w:tc>
          <w:tcPr>
            <w:tcW w:w="1714" w:type="dxa"/>
            <w:vMerge/>
            <w:tcBorders>
              <w:left w:val="single" w:sz="4" w:space="0" w:color="000000"/>
              <w:right w:val="single" w:sz="4" w:space="0" w:color="000000"/>
            </w:tcBorders>
          </w:tcPr>
          <w:p w14:paraId="1534CF33"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25FDA47B"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right w:val="single" w:sz="4" w:space="0" w:color="000000"/>
            </w:tcBorders>
          </w:tcPr>
          <w:p w14:paraId="0E9BCB11" w14:textId="77777777" w:rsidR="00030415" w:rsidRPr="001D6D86" w:rsidRDefault="00030415" w:rsidP="0026307D">
            <w:pPr>
              <w:widowControl w:val="0"/>
              <w:jc w:val="both"/>
              <w:rPr>
                <w:rFonts w:eastAsia="Calibri"/>
                <w:sz w:val="22"/>
                <w:szCs w:val="22"/>
                <w:lang w:val="sr-Latn-ME"/>
              </w:rPr>
            </w:pPr>
          </w:p>
        </w:tc>
        <w:tc>
          <w:tcPr>
            <w:tcW w:w="1618" w:type="dxa"/>
            <w:vMerge/>
            <w:tcBorders>
              <w:left w:val="single" w:sz="4" w:space="0" w:color="000000"/>
              <w:right w:val="single" w:sz="4" w:space="0" w:color="000000"/>
            </w:tcBorders>
          </w:tcPr>
          <w:p w14:paraId="09CA107D" w14:textId="77777777" w:rsidR="00030415" w:rsidRPr="001D6D86" w:rsidRDefault="00030415" w:rsidP="0026307D">
            <w:pPr>
              <w:widowControl w:val="0"/>
              <w:jc w:val="both"/>
              <w:rPr>
                <w:rFonts w:eastAsia="Calibri"/>
                <w:sz w:val="22"/>
                <w:szCs w:val="22"/>
                <w:lang w:val="sr-Latn-ME"/>
              </w:rPr>
            </w:pPr>
          </w:p>
        </w:tc>
        <w:tc>
          <w:tcPr>
            <w:tcW w:w="1536" w:type="dxa"/>
            <w:tcBorders>
              <w:top w:val="nil"/>
              <w:left w:val="single" w:sz="4" w:space="0" w:color="000000"/>
              <w:bottom w:val="nil"/>
              <w:right w:val="single" w:sz="4" w:space="0" w:color="000000"/>
            </w:tcBorders>
          </w:tcPr>
          <w:p w14:paraId="27E73F90" w14:textId="77777777" w:rsidR="00030415" w:rsidRPr="001D6D86" w:rsidRDefault="00030415" w:rsidP="0026307D">
            <w:pPr>
              <w:widowControl w:val="0"/>
              <w:spacing w:line="242" w:lineRule="exact"/>
              <w:ind w:left="100"/>
              <w:jc w:val="both"/>
              <w:rPr>
                <w:sz w:val="22"/>
                <w:szCs w:val="22"/>
                <w:lang w:val="sr-Latn-ME"/>
              </w:rPr>
            </w:pPr>
            <w:r w:rsidRPr="001D6D86">
              <w:rPr>
                <w:rFonts w:eastAsia="Calibri"/>
                <w:sz w:val="22"/>
                <w:szCs w:val="22"/>
                <w:lang w:val="sr-Latn-ME"/>
              </w:rPr>
              <w:t>spavanja</w:t>
            </w:r>
          </w:p>
        </w:tc>
      </w:tr>
      <w:tr w:rsidR="00030415" w:rsidRPr="001D6D86" w14:paraId="6984732D" w14:textId="77777777" w:rsidTr="006B230D">
        <w:trPr>
          <w:trHeight w:hRule="exact" w:val="252"/>
        </w:trPr>
        <w:tc>
          <w:tcPr>
            <w:tcW w:w="1795" w:type="dxa"/>
            <w:vMerge/>
            <w:tcBorders>
              <w:left w:val="single" w:sz="4" w:space="0" w:color="000000"/>
              <w:right w:val="single" w:sz="4" w:space="0" w:color="000000"/>
            </w:tcBorders>
          </w:tcPr>
          <w:p w14:paraId="1EA93D1F" w14:textId="77777777" w:rsidR="00030415" w:rsidRPr="001D6D86" w:rsidRDefault="00030415" w:rsidP="0026307D">
            <w:pPr>
              <w:widowControl w:val="0"/>
              <w:jc w:val="both"/>
              <w:rPr>
                <w:rFonts w:eastAsia="Calibri"/>
                <w:sz w:val="22"/>
                <w:szCs w:val="22"/>
                <w:lang w:val="sr-Latn-ME"/>
              </w:rPr>
            </w:pPr>
          </w:p>
        </w:tc>
        <w:tc>
          <w:tcPr>
            <w:tcW w:w="1714" w:type="dxa"/>
            <w:vMerge/>
            <w:tcBorders>
              <w:left w:val="single" w:sz="4" w:space="0" w:color="000000"/>
              <w:right w:val="single" w:sz="4" w:space="0" w:color="000000"/>
            </w:tcBorders>
          </w:tcPr>
          <w:p w14:paraId="5D9AA002"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0FF94D16"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right w:val="single" w:sz="4" w:space="0" w:color="000000"/>
            </w:tcBorders>
          </w:tcPr>
          <w:p w14:paraId="6A0F0F18" w14:textId="77777777" w:rsidR="00030415" w:rsidRPr="001D6D86" w:rsidRDefault="00030415" w:rsidP="0026307D">
            <w:pPr>
              <w:widowControl w:val="0"/>
              <w:jc w:val="both"/>
              <w:rPr>
                <w:rFonts w:eastAsia="Calibri"/>
                <w:sz w:val="22"/>
                <w:szCs w:val="22"/>
                <w:lang w:val="sr-Latn-ME"/>
              </w:rPr>
            </w:pPr>
          </w:p>
        </w:tc>
        <w:tc>
          <w:tcPr>
            <w:tcW w:w="1618" w:type="dxa"/>
            <w:vMerge/>
            <w:tcBorders>
              <w:left w:val="single" w:sz="4" w:space="0" w:color="000000"/>
              <w:right w:val="single" w:sz="4" w:space="0" w:color="000000"/>
            </w:tcBorders>
          </w:tcPr>
          <w:p w14:paraId="5EC2FE35" w14:textId="77777777" w:rsidR="00030415" w:rsidRPr="001D6D86" w:rsidRDefault="00030415" w:rsidP="0026307D">
            <w:pPr>
              <w:widowControl w:val="0"/>
              <w:jc w:val="both"/>
              <w:rPr>
                <w:rFonts w:eastAsia="Calibri"/>
                <w:sz w:val="22"/>
                <w:szCs w:val="22"/>
                <w:lang w:val="sr-Latn-ME"/>
              </w:rPr>
            </w:pPr>
          </w:p>
        </w:tc>
        <w:tc>
          <w:tcPr>
            <w:tcW w:w="1536" w:type="dxa"/>
            <w:tcBorders>
              <w:top w:val="nil"/>
              <w:left w:val="single" w:sz="4" w:space="0" w:color="000000"/>
              <w:bottom w:val="nil"/>
              <w:right w:val="single" w:sz="4" w:space="0" w:color="000000"/>
            </w:tcBorders>
          </w:tcPr>
          <w:p w14:paraId="799F2612" w14:textId="77777777" w:rsidR="00030415" w:rsidRPr="001D6D86" w:rsidRDefault="00030415" w:rsidP="0026307D">
            <w:pPr>
              <w:widowControl w:val="0"/>
              <w:spacing w:line="240" w:lineRule="exact"/>
              <w:ind w:left="100"/>
              <w:jc w:val="both"/>
              <w:rPr>
                <w:sz w:val="22"/>
                <w:szCs w:val="22"/>
                <w:lang w:val="sr-Latn-ME"/>
              </w:rPr>
            </w:pPr>
            <w:r w:rsidRPr="001D6D86">
              <w:rPr>
                <w:rFonts w:eastAsia="Calibri"/>
                <w:spacing w:val="-2"/>
                <w:sz w:val="22"/>
                <w:szCs w:val="22"/>
                <w:lang w:val="sr-Latn-ME"/>
              </w:rPr>
              <w:t>(uključujući</w:t>
            </w:r>
          </w:p>
        </w:tc>
      </w:tr>
      <w:tr w:rsidR="00030415" w:rsidRPr="001D6D86" w14:paraId="169D9C5F" w14:textId="77777777" w:rsidTr="006B230D">
        <w:trPr>
          <w:trHeight w:hRule="exact" w:val="252"/>
        </w:trPr>
        <w:tc>
          <w:tcPr>
            <w:tcW w:w="1795" w:type="dxa"/>
            <w:vMerge/>
            <w:tcBorders>
              <w:left w:val="single" w:sz="4" w:space="0" w:color="000000"/>
              <w:right w:val="single" w:sz="4" w:space="0" w:color="000000"/>
            </w:tcBorders>
          </w:tcPr>
          <w:p w14:paraId="19438241" w14:textId="77777777" w:rsidR="00030415" w:rsidRPr="001D6D86" w:rsidRDefault="00030415" w:rsidP="0026307D">
            <w:pPr>
              <w:widowControl w:val="0"/>
              <w:jc w:val="both"/>
              <w:rPr>
                <w:rFonts w:eastAsia="Calibri"/>
                <w:sz w:val="22"/>
                <w:szCs w:val="22"/>
                <w:lang w:val="sr-Latn-ME"/>
              </w:rPr>
            </w:pPr>
          </w:p>
        </w:tc>
        <w:tc>
          <w:tcPr>
            <w:tcW w:w="1714" w:type="dxa"/>
            <w:vMerge/>
            <w:tcBorders>
              <w:left w:val="single" w:sz="4" w:space="0" w:color="000000"/>
              <w:right w:val="single" w:sz="4" w:space="0" w:color="000000"/>
            </w:tcBorders>
          </w:tcPr>
          <w:p w14:paraId="4DE8C996"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768A4E64"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right w:val="single" w:sz="4" w:space="0" w:color="000000"/>
            </w:tcBorders>
          </w:tcPr>
          <w:p w14:paraId="32EE366F" w14:textId="77777777" w:rsidR="00030415" w:rsidRPr="001D6D86" w:rsidRDefault="00030415" w:rsidP="0026307D">
            <w:pPr>
              <w:widowControl w:val="0"/>
              <w:jc w:val="both"/>
              <w:rPr>
                <w:rFonts w:eastAsia="Calibri"/>
                <w:sz w:val="22"/>
                <w:szCs w:val="22"/>
                <w:lang w:val="sr-Latn-ME"/>
              </w:rPr>
            </w:pPr>
          </w:p>
        </w:tc>
        <w:tc>
          <w:tcPr>
            <w:tcW w:w="1618" w:type="dxa"/>
            <w:vMerge/>
            <w:tcBorders>
              <w:left w:val="single" w:sz="4" w:space="0" w:color="000000"/>
              <w:right w:val="single" w:sz="4" w:space="0" w:color="000000"/>
            </w:tcBorders>
          </w:tcPr>
          <w:p w14:paraId="77AB0D92" w14:textId="77777777" w:rsidR="00030415" w:rsidRPr="001D6D86" w:rsidRDefault="00030415" w:rsidP="0026307D">
            <w:pPr>
              <w:widowControl w:val="0"/>
              <w:jc w:val="both"/>
              <w:rPr>
                <w:rFonts w:eastAsia="Calibri"/>
                <w:sz w:val="22"/>
                <w:szCs w:val="22"/>
                <w:lang w:val="sr-Latn-ME"/>
              </w:rPr>
            </w:pPr>
          </w:p>
        </w:tc>
        <w:tc>
          <w:tcPr>
            <w:tcW w:w="1536" w:type="dxa"/>
            <w:tcBorders>
              <w:top w:val="nil"/>
              <w:left w:val="single" w:sz="4" w:space="0" w:color="000000"/>
              <w:bottom w:val="nil"/>
              <w:right w:val="single" w:sz="4" w:space="0" w:color="000000"/>
            </w:tcBorders>
          </w:tcPr>
          <w:p w14:paraId="7834A4A7" w14:textId="77777777" w:rsidR="00030415" w:rsidRPr="001D6D86" w:rsidRDefault="00030415" w:rsidP="0026307D">
            <w:pPr>
              <w:widowControl w:val="0"/>
              <w:spacing w:line="242" w:lineRule="exact"/>
              <w:ind w:left="100"/>
              <w:jc w:val="both"/>
              <w:rPr>
                <w:sz w:val="22"/>
                <w:szCs w:val="22"/>
                <w:lang w:val="sr-Latn-ME"/>
              </w:rPr>
            </w:pPr>
            <w:r w:rsidRPr="001D6D86">
              <w:rPr>
                <w:rFonts w:eastAsia="Calibri"/>
                <w:sz w:val="22"/>
                <w:szCs w:val="22"/>
                <w:lang w:val="sr-Latn-ME"/>
              </w:rPr>
              <w:t>insomniju</w:t>
            </w:r>
            <w:r w:rsidRPr="001D6D86">
              <w:rPr>
                <w:rFonts w:eastAsia="Calibri"/>
                <w:spacing w:val="-7"/>
                <w:sz w:val="22"/>
                <w:szCs w:val="22"/>
                <w:lang w:val="sr-Latn-ME"/>
              </w:rPr>
              <w:t xml:space="preserve"> </w:t>
            </w:r>
            <w:r w:rsidRPr="001D6D86">
              <w:rPr>
                <w:rFonts w:eastAsia="Calibri"/>
                <w:sz w:val="22"/>
                <w:szCs w:val="22"/>
                <w:lang w:val="sr-Latn-ME"/>
              </w:rPr>
              <w:t>i</w:t>
            </w:r>
          </w:p>
        </w:tc>
      </w:tr>
      <w:tr w:rsidR="00030415" w:rsidRPr="001D6D86" w14:paraId="334ECB12" w14:textId="77777777" w:rsidTr="006B230D">
        <w:trPr>
          <w:trHeight w:hRule="exact" w:val="807"/>
        </w:trPr>
        <w:tc>
          <w:tcPr>
            <w:tcW w:w="1795" w:type="dxa"/>
            <w:vMerge/>
            <w:tcBorders>
              <w:left w:val="single" w:sz="4" w:space="0" w:color="000000"/>
              <w:bottom w:val="single" w:sz="4" w:space="0" w:color="000000"/>
              <w:right w:val="single" w:sz="4" w:space="0" w:color="000000"/>
            </w:tcBorders>
          </w:tcPr>
          <w:p w14:paraId="3784AC2C" w14:textId="77777777" w:rsidR="00030415" w:rsidRPr="001D6D86" w:rsidRDefault="00030415" w:rsidP="0026307D">
            <w:pPr>
              <w:widowControl w:val="0"/>
              <w:jc w:val="both"/>
              <w:rPr>
                <w:rFonts w:eastAsia="Calibri"/>
                <w:sz w:val="22"/>
                <w:szCs w:val="22"/>
                <w:lang w:val="sr-Latn-ME"/>
              </w:rPr>
            </w:pPr>
          </w:p>
        </w:tc>
        <w:tc>
          <w:tcPr>
            <w:tcW w:w="1714" w:type="dxa"/>
            <w:vMerge/>
            <w:tcBorders>
              <w:left w:val="single" w:sz="4" w:space="0" w:color="000000"/>
              <w:bottom w:val="single" w:sz="4" w:space="0" w:color="000000"/>
              <w:right w:val="single" w:sz="4" w:space="0" w:color="000000"/>
            </w:tcBorders>
          </w:tcPr>
          <w:p w14:paraId="77CDEEA5"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bottom w:val="single" w:sz="4" w:space="0" w:color="000000"/>
              <w:right w:val="single" w:sz="4" w:space="0" w:color="000000"/>
            </w:tcBorders>
          </w:tcPr>
          <w:p w14:paraId="324927E7"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bottom w:val="single" w:sz="4" w:space="0" w:color="000000"/>
              <w:right w:val="single" w:sz="4" w:space="0" w:color="000000"/>
            </w:tcBorders>
          </w:tcPr>
          <w:p w14:paraId="3B8C9B6A" w14:textId="77777777" w:rsidR="00030415" w:rsidRPr="001D6D86" w:rsidRDefault="00030415" w:rsidP="0026307D">
            <w:pPr>
              <w:widowControl w:val="0"/>
              <w:jc w:val="both"/>
              <w:rPr>
                <w:rFonts w:eastAsia="Calibri"/>
                <w:sz w:val="22"/>
                <w:szCs w:val="22"/>
                <w:lang w:val="sr-Latn-ME"/>
              </w:rPr>
            </w:pPr>
          </w:p>
        </w:tc>
        <w:tc>
          <w:tcPr>
            <w:tcW w:w="1618" w:type="dxa"/>
            <w:vMerge/>
            <w:tcBorders>
              <w:left w:val="single" w:sz="4" w:space="0" w:color="000000"/>
              <w:bottom w:val="single" w:sz="4" w:space="0" w:color="000000"/>
              <w:right w:val="single" w:sz="4" w:space="0" w:color="000000"/>
            </w:tcBorders>
          </w:tcPr>
          <w:p w14:paraId="1C330AD3" w14:textId="77777777" w:rsidR="00030415" w:rsidRPr="001D6D86" w:rsidRDefault="00030415" w:rsidP="0026307D">
            <w:pPr>
              <w:widowControl w:val="0"/>
              <w:jc w:val="both"/>
              <w:rPr>
                <w:rFonts w:eastAsia="Calibri"/>
                <w:sz w:val="22"/>
                <w:szCs w:val="22"/>
                <w:lang w:val="sr-Latn-ME"/>
              </w:rPr>
            </w:pPr>
          </w:p>
        </w:tc>
        <w:tc>
          <w:tcPr>
            <w:tcW w:w="1536" w:type="dxa"/>
            <w:tcBorders>
              <w:top w:val="nil"/>
              <w:left w:val="single" w:sz="4" w:space="0" w:color="000000"/>
              <w:bottom w:val="single" w:sz="4" w:space="0" w:color="000000"/>
              <w:right w:val="single" w:sz="4" w:space="0" w:color="000000"/>
            </w:tcBorders>
          </w:tcPr>
          <w:p w14:paraId="6D3307E8" w14:textId="77777777" w:rsidR="00030415" w:rsidRPr="001D6D86" w:rsidRDefault="00030415" w:rsidP="0026307D">
            <w:pPr>
              <w:widowControl w:val="0"/>
              <w:spacing w:line="240" w:lineRule="exact"/>
              <w:ind w:left="100"/>
              <w:jc w:val="both"/>
              <w:rPr>
                <w:rFonts w:eastAsia="Calibri"/>
                <w:spacing w:val="-3"/>
                <w:sz w:val="22"/>
                <w:szCs w:val="22"/>
                <w:lang w:val="sr-Latn-ME"/>
              </w:rPr>
            </w:pPr>
            <w:r w:rsidRPr="001D6D86">
              <w:rPr>
                <w:rFonts w:eastAsia="Calibri"/>
                <w:sz w:val="22"/>
                <w:szCs w:val="22"/>
                <w:lang w:val="sr-Latn-ME"/>
              </w:rPr>
              <w:t>noćne</w:t>
            </w:r>
            <w:r w:rsidRPr="001D6D86">
              <w:rPr>
                <w:rFonts w:eastAsia="Calibri"/>
                <w:spacing w:val="-5"/>
                <w:sz w:val="22"/>
                <w:szCs w:val="22"/>
                <w:lang w:val="sr-Latn-ME"/>
              </w:rPr>
              <w:t xml:space="preserve"> </w:t>
            </w:r>
            <w:r w:rsidRPr="001D6D86">
              <w:rPr>
                <w:rFonts w:eastAsia="Calibri"/>
                <w:spacing w:val="-3"/>
                <w:sz w:val="22"/>
                <w:szCs w:val="22"/>
                <w:lang w:val="sr-Latn-ME"/>
              </w:rPr>
              <w:t>more),</w:t>
            </w:r>
          </w:p>
          <w:p w14:paraId="59C34584" w14:textId="77777777" w:rsidR="00030415" w:rsidRPr="001D6D86" w:rsidRDefault="00030415" w:rsidP="0026307D">
            <w:pPr>
              <w:widowControl w:val="0"/>
              <w:spacing w:line="240" w:lineRule="exact"/>
              <w:ind w:left="100"/>
              <w:jc w:val="both"/>
              <w:rPr>
                <w:sz w:val="22"/>
                <w:szCs w:val="22"/>
                <w:lang w:val="sr-Latn-ME"/>
              </w:rPr>
            </w:pPr>
            <w:r w:rsidRPr="001D6D86">
              <w:rPr>
                <w:sz w:val="22"/>
                <w:szCs w:val="22"/>
                <w:lang w:val="sr-Latn-ME"/>
              </w:rPr>
              <w:t>mijastenija gravis</w:t>
            </w:r>
          </w:p>
        </w:tc>
      </w:tr>
      <w:tr w:rsidR="00030415" w:rsidRPr="001D6D86" w14:paraId="47892F83" w14:textId="77777777" w:rsidTr="006B230D">
        <w:trPr>
          <w:trHeight w:hRule="exact" w:val="807"/>
        </w:trPr>
        <w:tc>
          <w:tcPr>
            <w:tcW w:w="1795" w:type="dxa"/>
            <w:tcBorders>
              <w:left w:val="single" w:sz="4" w:space="0" w:color="000000"/>
              <w:bottom w:val="single" w:sz="4" w:space="0" w:color="000000"/>
              <w:right w:val="single" w:sz="4" w:space="0" w:color="000000"/>
            </w:tcBorders>
          </w:tcPr>
          <w:p w14:paraId="70D13D84" w14:textId="77777777" w:rsidR="00030415" w:rsidRPr="001D6D86" w:rsidRDefault="00030415" w:rsidP="0026307D">
            <w:pPr>
              <w:widowControl w:val="0"/>
              <w:jc w:val="both"/>
              <w:rPr>
                <w:rFonts w:eastAsia="Calibri"/>
                <w:sz w:val="22"/>
                <w:szCs w:val="22"/>
                <w:lang w:val="sr-Latn-ME"/>
              </w:rPr>
            </w:pPr>
            <w:r w:rsidRPr="001D6D86">
              <w:rPr>
                <w:rFonts w:eastAsia="Calibri"/>
                <w:sz w:val="22"/>
                <w:szCs w:val="22"/>
                <w:lang w:val="sr-Latn-ME"/>
              </w:rPr>
              <w:t>Poremećaji oka</w:t>
            </w:r>
          </w:p>
        </w:tc>
        <w:tc>
          <w:tcPr>
            <w:tcW w:w="1714" w:type="dxa"/>
            <w:tcBorders>
              <w:left w:val="single" w:sz="4" w:space="0" w:color="000000"/>
              <w:bottom w:val="single" w:sz="4" w:space="0" w:color="000000"/>
              <w:right w:val="single" w:sz="4" w:space="0" w:color="000000"/>
            </w:tcBorders>
          </w:tcPr>
          <w:p w14:paraId="2631D1D6" w14:textId="77777777" w:rsidR="00030415" w:rsidRPr="001D6D86" w:rsidRDefault="00030415" w:rsidP="0026307D">
            <w:pPr>
              <w:widowControl w:val="0"/>
              <w:jc w:val="both"/>
              <w:rPr>
                <w:rFonts w:eastAsia="Calibri"/>
                <w:sz w:val="22"/>
                <w:szCs w:val="22"/>
                <w:lang w:val="sr-Latn-ME"/>
              </w:rPr>
            </w:pPr>
          </w:p>
        </w:tc>
        <w:tc>
          <w:tcPr>
            <w:tcW w:w="1402" w:type="dxa"/>
            <w:tcBorders>
              <w:left w:val="single" w:sz="4" w:space="0" w:color="000000"/>
              <w:bottom w:val="single" w:sz="4" w:space="0" w:color="000000"/>
              <w:right w:val="single" w:sz="4" w:space="0" w:color="000000"/>
            </w:tcBorders>
          </w:tcPr>
          <w:p w14:paraId="604BD356" w14:textId="77777777" w:rsidR="00030415" w:rsidRPr="001D6D86" w:rsidRDefault="00030415" w:rsidP="0026307D">
            <w:pPr>
              <w:widowControl w:val="0"/>
              <w:jc w:val="both"/>
              <w:rPr>
                <w:rFonts w:eastAsia="Calibri"/>
                <w:sz w:val="22"/>
                <w:szCs w:val="22"/>
                <w:lang w:val="sr-Latn-ME"/>
              </w:rPr>
            </w:pPr>
          </w:p>
        </w:tc>
        <w:tc>
          <w:tcPr>
            <w:tcW w:w="1795" w:type="dxa"/>
            <w:tcBorders>
              <w:left w:val="single" w:sz="4" w:space="0" w:color="000000"/>
              <w:bottom w:val="single" w:sz="4" w:space="0" w:color="000000"/>
              <w:right w:val="single" w:sz="4" w:space="0" w:color="000000"/>
            </w:tcBorders>
          </w:tcPr>
          <w:p w14:paraId="57F766DA" w14:textId="77777777" w:rsidR="00030415" w:rsidRPr="001D6D86" w:rsidRDefault="00030415" w:rsidP="0026307D">
            <w:pPr>
              <w:widowControl w:val="0"/>
              <w:jc w:val="both"/>
              <w:rPr>
                <w:rFonts w:eastAsia="Calibri"/>
                <w:sz w:val="22"/>
                <w:szCs w:val="22"/>
                <w:lang w:val="sr-Latn-ME"/>
              </w:rPr>
            </w:pPr>
          </w:p>
        </w:tc>
        <w:tc>
          <w:tcPr>
            <w:tcW w:w="1618" w:type="dxa"/>
            <w:tcBorders>
              <w:left w:val="single" w:sz="4" w:space="0" w:color="000000"/>
              <w:bottom w:val="single" w:sz="4" w:space="0" w:color="000000"/>
              <w:right w:val="single" w:sz="4" w:space="0" w:color="000000"/>
            </w:tcBorders>
          </w:tcPr>
          <w:p w14:paraId="4931A684" w14:textId="77777777" w:rsidR="00030415" w:rsidRPr="001D6D86" w:rsidRDefault="00030415" w:rsidP="0026307D">
            <w:pPr>
              <w:widowControl w:val="0"/>
              <w:jc w:val="both"/>
              <w:rPr>
                <w:rFonts w:eastAsia="Calibri"/>
                <w:sz w:val="22"/>
                <w:szCs w:val="22"/>
                <w:lang w:val="sr-Latn-ME"/>
              </w:rPr>
            </w:pPr>
          </w:p>
        </w:tc>
        <w:tc>
          <w:tcPr>
            <w:tcW w:w="1536" w:type="dxa"/>
            <w:tcBorders>
              <w:top w:val="nil"/>
              <w:left w:val="single" w:sz="4" w:space="0" w:color="000000"/>
              <w:bottom w:val="single" w:sz="4" w:space="0" w:color="000000"/>
              <w:right w:val="single" w:sz="4" w:space="0" w:color="000000"/>
            </w:tcBorders>
          </w:tcPr>
          <w:p w14:paraId="10CDF052" w14:textId="77777777" w:rsidR="00030415" w:rsidRPr="001D6D86" w:rsidRDefault="00030415" w:rsidP="0026307D">
            <w:pPr>
              <w:widowControl w:val="0"/>
              <w:spacing w:line="240" w:lineRule="exact"/>
              <w:ind w:left="100"/>
              <w:jc w:val="both"/>
              <w:rPr>
                <w:rFonts w:eastAsia="Calibri"/>
                <w:sz w:val="22"/>
                <w:szCs w:val="22"/>
                <w:lang w:val="sr-Latn-ME"/>
              </w:rPr>
            </w:pPr>
            <w:r w:rsidRPr="001D6D86">
              <w:rPr>
                <w:rFonts w:eastAsia="Calibri"/>
                <w:sz w:val="22"/>
                <w:szCs w:val="22"/>
                <w:lang w:val="sr-Latn-ME"/>
              </w:rPr>
              <w:t>Mijastenija oka</w:t>
            </w:r>
          </w:p>
        </w:tc>
      </w:tr>
      <w:tr w:rsidR="00030415" w:rsidRPr="001D6D86" w14:paraId="659FFB0B" w14:textId="77777777" w:rsidTr="006B230D">
        <w:trPr>
          <w:trHeight w:hRule="exact" w:val="254"/>
        </w:trPr>
        <w:tc>
          <w:tcPr>
            <w:tcW w:w="1795" w:type="dxa"/>
            <w:tcBorders>
              <w:top w:val="single" w:sz="4" w:space="0" w:color="000000"/>
              <w:left w:val="single" w:sz="4" w:space="0" w:color="000000"/>
              <w:bottom w:val="nil"/>
              <w:right w:val="single" w:sz="4" w:space="0" w:color="000000"/>
            </w:tcBorders>
          </w:tcPr>
          <w:p w14:paraId="74F0977E"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Respiratorni,</w:t>
            </w:r>
          </w:p>
        </w:tc>
        <w:tc>
          <w:tcPr>
            <w:tcW w:w="1714" w:type="dxa"/>
            <w:vMerge w:val="restart"/>
            <w:tcBorders>
              <w:top w:val="single" w:sz="4" w:space="0" w:color="000000"/>
              <w:left w:val="single" w:sz="4" w:space="0" w:color="000000"/>
              <w:right w:val="single" w:sz="4" w:space="0" w:color="000000"/>
            </w:tcBorders>
          </w:tcPr>
          <w:p w14:paraId="4CF0B3FC" w14:textId="77777777" w:rsidR="00030415" w:rsidRPr="001D6D86" w:rsidRDefault="00030415" w:rsidP="0026307D">
            <w:pPr>
              <w:widowControl w:val="0"/>
              <w:jc w:val="both"/>
              <w:rPr>
                <w:rFonts w:eastAsia="Calibri"/>
                <w:sz w:val="22"/>
                <w:szCs w:val="22"/>
                <w:lang w:val="sr-Latn-ME"/>
              </w:rPr>
            </w:pPr>
          </w:p>
        </w:tc>
        <w:tc>
          <w:tcPr>
            <w:tcW w:w="1402" w:type="dxa"/>
            <w:vMerge w:val="restart"/>
            <w:tcBorders>
              <w:top w:val="single" w:sz="4" w:space="0" w:color="000000"/>
              <w:left w:val="single" w:sz="4" w:space="0" w:color="000000"/>
              <w:right w:val="single" w:sz="4" w:space="0" w:color="000000"/>
            </w:tcBorders>
          </w:tcPr>
          <w:p w14:paraId="4935A416" w14:textId="77777777" w:rsidR="00030415" w:rsidRPr="001D6D86" w:rsidRDefault="00030415" w:rsidP="0026307D">
            <w:pPr>
              <w:widowControl w:val="0"/>
              <w:jc w:val="both"/>
              <w:rPr>
                <w:rFonts w:eastAsia="Calibri"/>
                <w:sz w:val="22"/>
                <w:szCs w:val="22"/>
                <w:lang w:val="sr-Latn-ME"/>
              </w:rPr>
            </w:pPr>
          </w:p>
        </w:tc>
        <w:tc>
          <w:tcPr>
            <w:tcW w:w="1795" w:type="dxa"/>
            <w:vMerge w:val="restart"/>
            <w:tcBorders>
              <w:top w:val="single" w:sz="4" w:space="0" w:color="000000"/>
              <w:left w:val="single" w:sz="4" w:space="0" w:color="000000"/>
              <w:right w:val="single" w:sz="4" w:space="0" w:color="000000"/>
            </w:tcBorders>
          </w:tcPr>
          <w:p w14:paraId="29E4BC28" w14:textId="77777777" w:rsidR="00030415" w:rsidRPr="001D6D86" w:rsidRDefault="00030415" w:rsidP="0026307D">
            <w:pPr>
              <w:widowControl w:val="0"/>
              <w:jc w:val="both"/>
              <w:rPr>
                <w:rFonts w:eastAsia="Calibri"/>
                <w:sz w:val="22"/>
                <w:szCs w:val="22"/>
                <w:lang w:val="sr-Latn-ME"/>
              </w:rPr>
            </w:pPr>
          </w:p>
        </w:tc>
        <w:tc>
          <w:tcPr>
            <w:tcW w:w="1618" w:type="dxa"/>
            <w:vMerge w:val="restart"/>
            <w:tcBorders>
              <w:top w:val="single" w:sz="4" w:space="0" w:color="000000"/>
              <w:left w:val="single" w:sz="4" w:space="0" w:color="000000"/>
              <w:right w:val="single" w:sz="4" w:space="0" w:color="000000"/>
            </w:tcBorders>
          </w:tcPr>
          <w:p w14:paraId="47130E0B" w14:textId="77777777" w:rsidR="00030415" w:rsidRPr="001D6D86" w:rsidRDefault="00030415" w:rsidP="0026307D">
            <w:pPr>
              <w:widowControl w:val="0"/>
              <w:jc w:val="both"/>
              <w:rPr>
                <w:rFonts w:eastAsia="Calibri"/>
                <w:sz w:val="22"/>
                <w:szCs w:val="22"/>
                <w:lang w:val="sr-Latn-ME"/>
              </w:rPr>
            </w:pPr>
          </w:p>
        </w:tc>
        <w:tc>
          <w:tcPr>
            <w:tcW w:w="1536" w:type="dxa"/>
            <w:tcBorders>
              <w:top w:val="single" w:sz="4" w:space="0" w:color="000000"/>
              <w:left w:val="single" w:sz="4" w:space="0" w:color="000000"/>
              <w:bottom w:val="nil"/>
              <w:right w:val="single" w:sz="4" w:space="0" w:color="000000"/>
            </w:tcBorders>
          </w:tcPr>
          <w:p w14:paraId="410E88B9" w14:textId="77777777" w:rsidR="00030415" w:rsidRPr="001D6D86" w:rsidRDefault="00030415" w:rsidP="0026307D">
            <w:pPr>
              <w:widowControl w:val="0"/>
              <w:spacing w:line="240" w:lineRule="exact"/>
              <w:ind w:left="100"/>
              <w:jc w:val="both"/>
              <w:rPr>
                <w:sz w:val="22"/>
                <w:szCs w:val="22"/>
                <w:lang w:val="sr-Latn-ME"/>
              </w:rPr>
            </w:pPr>
            <w:r w:rsidRPr="001D6D86">
              <w:rPr>
                <w:rFonts w:eastAsia="Calibri"/>
                <w:sz w:val="22"/>
                <w:szCs w:val="22"/>
                <w:lang w:val="sr-Latn-ME"/>
              </w:rPr>
              <w:t>Kašalj,</w:t>
            </w:r>
          </w:p>
        </w:tc>
      </w:tr>
      <w:tr w:rsidR="00030415" w:rsidRPr="001D6D86" w14:paraId="008E3923" w14:textId="77777777" w:rsidTr="006B230D">
        <w:trPr>
          <w:trHeight w:hRule="exact" w:val="262"/>
        </w:trPr>
        <w:tc>
          <w:tcPr>
            <w:tcW w:w="1795" w:type="dxa"/>
            <w:tcBorders>
              <w:top w:val="nil"/>
              <w:left w:val="single" w:sz="4" w:space="0" w:color="000000"/>
              <w:bottom w:val="nil"/>
              <w:right w:val="single" w:sz="4" w:space="0" w:color="000000"/>
            </w:tcBorders>
          </w:tcPr>
          <w:p w14:paraId="456ECD08" w14:textId="77777777" w:rsidR="00030415" w:rsidRPr="001D6D86" w:rsidRDefault="00030415" w:rsidP="0026307D">
            <w:pPr>
              <w:widowControl w:val="0"/>
              <w:spacing w:line="249" w:lineRule="exact"/>
              <w:ind w:left="105"/>
              <w:jc w:val="both"/>
              <w:rPr>
                <w:sz w:val="22"/>
                <w:szCs w:val="22"/>
                <w:lang w:val="sr-Latn-ME"/>
              </w:rPr>
            </w:pPr>
            <w:r w:rsidRPr="001D6D86">
              <w:rPr>
                <w:rFonts w:eastAsia="Calibri"/>
                <w:sz w:val="22"/>
                <w:szCs w:val="22"/>
                <w:lang w:val="sr-Latn-ME"/>
              </w:rPr>
              <w:t>torakalni</w:t>
            </w:r>
            <w:r w:rsidRPr="001D6D86">
              <w:rPr>
                <w:rFonts w:eastAsia="Calibri"/>
                <w:spacing w:val="-15"/>
                <w:sz w:val="22"/>
                <w:szCs w:val="22"/>
                <w:lang w:val="sr-Latn-ME"/>
              </w:rPr>
              <w:t xml:space="preserve"> </w:t>
            </w:r>
            <w:r w:rsidRPr="001D6D86">
              <w:rPr>
                <w:rFonts w:eastAsia="Calibri"/>
                <w:sz w:val="22"/>
                <w:szCs w:val="22"/>
                <w:lang w:val="sr-Latn-ME"/>
              </w:rPr>
              <w:t>i</w:t>
            </w:r>
          </w:p>
        </w:tc>
        <w:tc>
          <w:tcPr>
            <w:tcW w:w="1714" w:type="dxa"/>
            <w:vMerge/>
            <w:tcBorders>
              <w:left w:val="single" w:sz="4" w:space="0" w:color="000000"/>
              <w:right w:val="single" w:sz="4" w:space="0" w:color="000000"/>
            </w:tcBorders>
          </w:tcPr>
          <w:p w14:paraId="46BC854C"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495282D6"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right w:val="single" w:sz="4" w:space="0" w:color="000000"/>
            </w:tcBorders>
          </w:tcPr>
          <w:p w14:paraId="7D72177E" w14:textId="77777777" w:rsidR="00030415" w:rsidRPr="001D6D86" w:rsidRDefault="00030415" w:rsidP="0026307D">
            <w:pPr>
              <w:widowControl w:val="0"/>
              <w:jc w:val="both"/>
              <w:rPr>
                <w:rFonts w:eastAsia="Calibri"/>
                <w:sz w:val="22"/>
                <w:szCs w:val="22"/>
                <w:lang w:val="sr-Latn-ME"/>
              </w:rPr>
            </w:pPr>
          </w:p>
        </w:tc>
        <w:tc>
          <w:tcPr>
            <w:tcW w:w="1618" w:type="dxa"/>
            <w:vMerge/>
            <w:tcBorders>
              <w:left w:val="single" w:sz="4" w:space="0" w:color="000000"/>
              <w:right w:val="single" w:sz="4" w:space="0" w:color="000000"/>
            </w:tcBorders>
          </w:tcPr>
          <w:p w14:paraId="1CFC2F1E" w14:textId="77777777" w:rsidR="00030415" w:rsidRPr="001D6D86" w:rsidRDefault="00030415" w:rsidP="0026307D">
            <w:pPr>
              <w:widowControl w:val="0"/>
              <w:jc w:val="both"/>
              <w:rPr>
                <w:rFonts w:eastAsia="Calibri"/>
                <w:sz w:val="22"/>
                <w:szCs w:val="22"/>
                <w:lang w:val="sr-Latn-ME"/>
              </w:rPr>
            </w:pPr>
          </w:p>
        </w:tc>
        <w:tc>
          <w:tcPr>
            <w:tcW w:w="1536" w:type="dxa"/>
            <w:vMerge w:val="restart"/>
            <w:tcBorders>
              <w:top w:val="nil"/>
              <w:left w:val="single" w:sz="4" w:space="0" w:color="000000"/>
              <w:right w:val="single" w:sz="4" w:space="0" w:color="000000"/>
            </w:tcBorders>
          </w:tcPr>
          <w:p w14:paraId="11A84C92" w14:textId="341F0333" w:rsidR="00030415" w:rsidRPr="001D6D86" w:rsidRDefault="00030415" w:rsidP="0026307D">
            <w:pPr>
              <w:widowControl w:val="0"/>
              <w:spacing w:line="235" w:lineRule="exact"/>
              <w:ind w:left="100"/>
              <w:jc w:val="both"/>
              <w:rPr>
                <w:sz w:val="22"/>
                <w:szCs w:val="22"/>
                <w:lang w:val="sr-Latn-ME"/>
              </w:rPr>
            </w:pPr>
            <w:r w:rsidRPr="001D6D86">
              <w:rPr>
                <w:rFonts w:eastAsia="Calibri"/>
                <w:spacing w:val="-3"/>
                <w:sz w:val="22"/>
                <w:szCs w:val="22"/>
                <w:lang w:val="sr-Latn-ME"/>
              </w:rPr>
              <w:t>Dispne</w:t>
            </w:r>
            <w:r w:rsidR="00746467" w:rsidRPr="001D6D86">
              <w:rPr>
                <w:rFonts w:eastAsia="Calibri"/>
                <w:spacing w:val="-3"/>
                <w:sz w:val="22"/>
                <w:szCs w:val="22"/>
                <w:lang w:val="sr-Latn-ME"/>
              </w:rPr>
              <w:t>j</w:t>
            </w:r>
            <w:r w:rsidRPr="001D6D86">
              <w:rPr>
                <w:rFonts w:eastAsia="Calibri"/>
                <w:spacing w:val="-3"/>
                <w:sz w:val="22"/>
                <w:szCs w:val="22"/>
                <w:lang w:val="sr-Latn-ME"/>
              </w:rPr>
              <w:t>a</w:t>
            </w:r>
          </w:p>
        </w:tc>
      </w:tr>
      <w:tr w:rsidR="00030415" w:rsidRPr="001D6D86" w14:paraId="61620116" w14:textId="77777777" w:rsidTr="006B230D">
        <w:trPr>
          <w:trHeight w:hRule="exact" w:val="254"/>
        </w:trPr>
        <w:tc>
          <w:tcPr>
            <w:tcW w:w="1795" w:type="dxa"/>
            <w:tcBorders>
              <w:top w:val="nil"/>
              <w:left w:val="single" w:sz="4" w:space="0" w:color="000000"/>
              <w:bottom w:val="nil"/>
              <w:right w:val="single" w:sz="4" w:space="0" w:color="000000"/>
            </w:tcBorders>
          </w:tcPr>
          <w:p w14:paraId="6B329AC0" w14:textId="77777777" w:rsidR="00030415" w:rsidRPr="001D6D86" w:rsidRDefault="00030415" w:rsidP="0026307D">
            <w:pPr>
              <w:widowControl w:val="0"/>
              <w:spacing w:line="242" w:lineRule="exact"/>
              <w:ind w:left="105"/>
              <w:jc w:val="both"/>
              <w:rPr>
                <w:sz w:val="22"/>
                <w:szCs w:val="22"/>
                <w:lang w:val="sr-Latn-ME"/>
              </w:rPr>
            </w:pPr>
            <w:r w:rsidRPr="001D6D86">
              <w:rPr>
                <w:rFonts w:eastAsia="Calibri"/>
                <w:sz w:val="22"/>
                <w:szCs w:val="22"/>
                <w:lang w:val="sr-Latn-ME"/>
              </w:rPr>
              <w:t>medijastinalni</w:t>
            </w:r>
          </w:p>
        </w:tc>
        <w:tc>
          <w:tcPr>
            <w:tcW w:w="1714" w:type="dxa"/>
            <w:vMerge/>
            <w:tcBorders>
              <w:left w:val="single" w:sz="4" w:space="0" w:color="000000"/>
              <w:right w:val="single" w:sz="4" w:space="0" w:color="000000"/>
            </w:tcBorders>
          </w:tcPr>
          <w:p w14:paraId="0F67A9F2"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16EF610A"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right w:val="single" w:sz="4" w:space="0" w:color="000000"/>
            </w:tcBorders>
          </w:tcPr>
          <w:p w14:paraId="786A71FB" w14:textId="77777777" w:rsidR="00030415" w:rsidRPr="001D6D86" w:rsidRDefault="00030415" w:rsidP="0026307D">
            <w:pPr>
              <w:widowControl w:val="0"/>
              <w:jc w:val="both"/>
              <w:rPr>
                <w:rFonts w:eastAsia="Calibri"/>
                <w:sz w:val="22"/>
                <w:szCs w:val="22"/>
                <w:lang w:val="sr-Latn-ME"/>
              </w:rPr>
            </w:pPr>
          </w:p>
        </w:tc>
        <w:tc>
          <w:tcPr>
            <w:tcW w:w="1618" w:type="dxa"/>
            <w:vMerge/>
            <w:tcBorders>
              <w:left w:val="single" w:sz="4" w:space="0" w:color="000000"/>
              <w:right w:val="single" w:sz="4" w:space="0" w:color="000000"/>
            </w:tcBorders>
          </w:tcPr>
          <w:p w14:paraId="26A3909D" w14:textId="77777777" w:rsidR="00030415" w:rsidRPr="001D6D86" w:rsidRDefault="00030415" w:rsidP="0026307D">
            <w:pPr>
              <w:widowControl w:val="0"/>
              <w:jc w:val="both"/>
              <w:rPr>
                <w:rFonts w:eastAsia="Calibri"/>
                <w:sz w:val="22"/>
                <w:szCs w:val="22"/>
                <w:lang w:val="sr-Latn-ME"/>
              </w:rPr>
            </w:pPr>
          </w:p>
        </w:tc>
        <w:tc>
          <w:tcPr>
            <w:tcW w:w="1536" w:type="dxa"/>
            <w:vMerge/>
            <w:tcBorders>
              <w:left w:val="single" w:sz="4" w:space="0" w:color="000000"/>
              <w:right w:val="single" w:sz="4" w:space="0" w:color="000000"/>
            </w:tcBorders>
          </w:tcPr>
          <w:p w14:paraId="6BEF9633" w14:textId="77777777" w:rsidR="00030415" w:rsidRPr="001D6D86" w:rsidRDefault="00030415" w:rsidP="0026307D">
            <w:pPr>
              <w:widowControl w:val="0"/>
              <w:jc w:val="both"/>
              <w:rPr>
                <w:rFonts w:eastAsia="Calibri"/>
                <w:sz w:val="22"/>
                <w:szCs w:val="22"/>
                <w:lang w:val="sr-Latn-ME"/>
              </w:rPr>
            </w:pPr>
          </w:p>
        </w:tc>
      </w:tr>
      <w:tr w:rsidR="00030415" w:rsidRPr="001D6D86" w14:paraId="3FDFF195" w14:textId="77777777" w:rsidTr="006B230D">
        <w:trPr>
          <w:trHeight w:hRule="exact" w:val="415"/>
        </w:trPr>
        <w:tc>
          <w:tcPr>
            <w:tcW w:w="1795" w:type="dxa"/>
            <w:tcBorders>
              <w:top w:val="nil"/>
              <w:left w:val="single" w:sz="4" w:space="0" w:color="000000"/>
              <w:bottom w:val="single" w:sz="4" w:space="0" w:color="000000"/>
              <w:right w:val="single" w:sz="4" w:space="0" w:color="000000"/>
            </w:tcBorders>
          </w:tcPr>
          <w:p w14:paraId="07D08BD4" w14:textId="77777777" w:rsidR="00030415" w:rsidRPr="001D6D86" w:rsidRDefault="00030415" w:rsidP="0026307D">
            <w:pPr>
              <w:widowControl w:val="0"/>
              <w:spacing w:line="242" w:lineRule="exact"/>
              <w:ind w:left="105"/>
              <w:jc w:val="both"/>
              <w:rPr>
                <w:sz w:val="22"/>
                <w:szCs w:val="22"/>
                <w:lang w:val="sr-Latn-ME"/>
              </w:rPr>
            </w:pPr>
            <w:r w:rsidRPr="001D6D86">
              <w:rPr>
                <w:rFonts w:eastAsia="Calibri"/>
                <w:sz w:val="22"/>
                <w:szCs w:val="22"/>
                <w:lang w:val="sr-Latn-ME"/>
              </w:rPr>
              <w:t>poremećaji</w:t>
            </w:r>
          </w:p>
        </w:tc>
        <w:tc>
          <w:tcPr>
            <w:tcW w:w="1714" w:type="dxa"/>
            <w:vMerge/>
            <w:tcBorders>
              <w:left w:val="single" w:sz="4" w:space="0" w:color="000000"/>
              <w:bottom w:val="single" w:sz="4" w:space="0" w:color="000000"/>
              <w:right w:val="single" w:sz="4" w:space="0" w:color="000000"/>
            </w:tcBorders>
          </w:tcPr>
          <w:p w14:paraId="6690E788" w14:textId="77777777" w:rsidR="00030415" w:rsidRPr="001D6D86" w:rsidRDefault="00030415" w:rsidP="0026307D">
            <w:pPr>
              <w:widowControl w:val="0"/>
              <w:jc w:val="both"/>
              <w:rPr>
                <w:rFonts w:eastAsia="Calibri"/>
                <w:sz w:val="22"/>
                <w:szCs w:val="22"/>
                <w:lang w:val="sr-Latn-ME"/>
              </w:rPr>
            </w:pPr>
          </w:p>
        </w:tc>
        <w:tc>
          <w:tcPr>
            <w:tcW w:w="1402" w:type="dxa"/>
            <w:vMerge/>
            <w:tcBorders>
              <w:left w:val="single" w:sz="4" w:space="0" w:color="000000"/>
              <w:bottom w:val="single" w:sz="4" w:space="0" w:color="000000"/>
              <w:right w:val="single" w:sz="4" w:space="0" w:color="000000"/>
            </w:tcBorders>
          </w:tcPr>
          <w:p w14:paraId="600F29FD" w14:textId="77777777" w:rsidR="00030415" w:rsidRPr="001D6D86" w:rsidRDefault="00030415" w:rsidP="0026307D">
            <w:pPr>
              <w:widowControl w:val="0"/>
              <w:jc w:val="both"/>
              <w:rPr>
                <w:rFonts w:eastAsia="Calibri"/>
                <w:sz w:val="22"/>
                <w:szCs w:val="22"/>
                <w:lang w:val="sr-Latn-ME"/>
              </w:rPr>
            </w:pPr>
          </w:p>
        </w:tc>
        <w:tc>
          <w:tcPr>
            <w:tcW w:w="1795" w:type="dxa"/>
            <w:vMerge/>
            <w:tcBorders>
              <w:left w:val="single" w:sz="4" w:space="0" w:color="000000"/>
              <w:bottom w:val="single" w:sz="4" w:space="0" w:color="000000"/>
              <w:right w:val="single" w:sz="4" w:space="0" w:color="000000"/>
            </w:tcBorders>
          </w:tcPr>
          <w:p w14:paraId="40CACA18" w14:textId="77777777" w:rsidR="00030415" w:rsidRPr="001D6D86" w:rsidRDefault="00030415" w:rsidP="0026307D">
            <w:pPr>
              <w:widowControl w:val="0"/>
              <w:jc w:val="both"/>
              <w:rPr>
                <w:rFonts w:eastAsia="Calibri"/>
                <w:sz w:val="22"/>
                <w:szCs w:val="22"/>
                <w:lang w:val="sr-Latn-ME"/>
              </w:rPr>
            </w:pPr>
          </w:p>
        </w:tc>
        <w:tc>
          <w:tcPr>
            <w:tcW w:w="1618" w:type="dxa"/>
            <w:vMerge/>
            <w:tcBorders>
              <w:left w:val="single" w:sz="4" w:space="0" w:color="000000"/>
              <w:bottom w:val="single" w:sz="4" w:space="0" w:color="000000"/>
              <w:right w:val="single" w:sz="4" w:space="0" w:color="000000"/>
            </w:tcBorders>
          </w:tcPr>
          <w:p w14:paraId="3EB7C5DF" w14:textId="77777777" w:rsidR="00030415" w:rsidRPr="001D6D86" w:rsidRDefault="00030415" w:rsidP="0026307D">
            <w:pPr>
              <w:widowControl w:val="0"/>
              <w:jc w:val="both"/>
              <w:rPr>
                <w:rFonts w:eastAsia="Calibri"/>
                <w:sz w:val="22"/>
                <w:szCs w:val="22"/>
                <w:lang w:val="sr-Latn-ME"/>
              </w:rPr>
            </w:pPr>
          </w:p>
        </w:tc>
        <w:tc>
          <w:tcPr>
            <w:tcW w:w="1536" w:type="dxa"/>
            <w:vMerge/>
            <w:tcBorders>
              <w:left w:val="single" w:sz="4" w:space="0" w:color="000000"/>
              <w:bottom w:val="single" w:sz="4" w:space="0" w:color="000000"/>
              <w:right w:val="single" w:sz="4" w:space="0" w:color="000000"/>
            </w:tcBorders>
          </w:tcPr>
          <w:p w14:paraId="2B2EDCF8" w14:textId="77777777" w:rsidR="00030415" w:rsidRPr="001D6D86" w:rsidRDefault="00030415" w:rsidP="0026307D">
            <w:pPr>
              <w:widowControl w:val="0"/>
              <w:jc w:val="both"/>
              <w:rPr>
                <w:rFonts w:eastAsia="Calibri"/>
                <w:sz w:val="22"/>
                <w:szCs w:val="22"/>
                <w:lang w:val="sr-Latn-ME"/>
              </w:rPr>
            </w:pPr>
          </w:p>
        </w:tc>
      </w:tr>
      <w:tr w:rsidR="00030415" w:rsidRPr="001D6D86" w14:paraId="6ACB19CC" w14:textId="77777777" w:rsidTr="006B230D">
        <w:trPr>
          <w:trHeight w:hRule="exact" w:val="773"/>
        </w:trPr>
        <w:tc>
          <w:tcPr>
            <w:tcW w:w="1795" w:type="dxa"/>
            <w:tcBorders>
              <w:top w:val="single" w:sz="4" w:space="0" w:color="000000"/>
              <w:left w:val="single" w:sz="4" w:space="0" w:color="000000"/>
              <w:bottom w:val="single" w:sz="4" w:space="0" w:color="000000"/>
              <w:right w:val="single" w:sz="4" w:space="0" w:color="000000"/>
            </w:tcBorders>
          </w:tcPr>
          <w:p w14:paraId="0D43B2A8" w14:textId="77777777" w:rsidR="00030415" w:rsidRPr="001D6D86" w:rsidRDefault="00030415" w:rsidP="0026307D">
            <w:pPr>
              <w:widowControl w:val="0"/>
              <w:spacing w:before="6" w:line="250" w:lineRule="exact"/>
              <w:ind w:left="105" w:right="134"/>
              <w:jc w:val="both"/>
              <w:rPr>
                <w:sz w:val="22"/>
                <w:szCs w:val="22"/>
                <w:lang w:val="sr-Latn-ME"/>
              </w:rPr>
            </w:pPr>
            <w:r w:rsidRPr="001D6D86">
              <w:rPr>
                <w:rFonts w:eastAsia="Calibri"/>
                <w:spacing w:val="-2"/>
                <w:sz w:val="22"/>
                <w:szCs w:val="22"/>
                <w:lang w:val="sr-Latn-ME"/>
              </w:rPr>
              <w:t>Gastrointestinalni</w:t>
            </w:r>
            <w:r w:rsidRPr="001D6D86">
              <w:rPr>
                <w:rFonts w:eastAsia="Calibri"/>
                <w:spacing w:val="-50"/>
                <w:sz w:val="22"/>
                <w:szCs w:val="22"/>
                <w:lang w:val="sr-Latn-ME"/>
              </w:rPr>
              <w:t xml:space="preserve"> </w:t>
            </w:r>
            <w:r w:rsidRPr="001D6D86">
              <w:rPr>
                <w:rFonts w:eastAsia="Calibri"/>
                <w:sz w:val="22"/>
                <w:szCs w:val="22"/>
                <w:lang w:val="sr-Latn-ME"/>
              </w:rPr>
              <w:t>poremećaji</w:t>
            </w:r>
          </w:p>
        </w:tc>
        <w:tc>
          <w:tcPr>
            <w:tcW w:w="1714" w:type="dxa"/>
            <w:tcBorders>
              <w:top w:val="single" w:sz="4" w:space="0" w:color="000000"/>
              <w:left w:val="single" w:sz="4" w:space="0" w:color="000000"/>
              <w:bottom w:val="single" w:sz="4" w:space="0" w:color="000000"/>
              <w:right w:val="single" w:sz="4" w:space="0" w:color="000000"/>
            </w:tcBorders>
          </w:tcPr>
          <w:p w14:paraId="79297C1E" w14:textId="77777777" w:rsidR="00030415" w:rsidRPr="001D6D86" w:rsidRDefault="00030415" w:rsidP="0026307D">
            <w:pPr>
              <w:widowControl w:val="0"/>
              <w:ind w:left="105" w:right="179"/>
              <w:jc w:val="both"/>
              <w:rPr>
                <w:sz w:val="22"/>
                <w:szCs w:val="22"/>
                <w:lang w:val="sr-Latn-ME"/>
              </w:rPr>
            </w:pPr>
            <w:r w:rsidRPr="001D6D86">
              <w:rPr>
                <w:rFonts w:eastAsia="Calibri"/>
                <w:sz w:val="22"/>
                <w:szCs w:val="22"/>
                <w:lang w:val="sr-Latn-ME"/>
              </w:rPr>
              <w:t>Konstipacija,</w:t>
            </w:r>
            <w:r w:rsidRPr="001D6D86">
              <w:rPr>
                <w:rFonts w:eastAsia="Calibri"/>
                <w:spacing w:val="-2"/>
                <w:sz w:val="22"/>
                <w:szCs w:val="22"/>
                <w:lang w:val="sr-Latn-ME"/>
              </w:rPr>
              <w:t xml:space="preserve"> </w:t>
            </w:r>
            <w:r w:rsidRPr="001D6D86">
              <w:rPr>
                <w:rFonts w:eastAsia="Calibri"/>
                <w:sz w:val="22"/>
                <w:szCs w:val="22"/>
                <w:lang w:val="sr-Latn-ME"/>
              </w:rPr>
              <w:t>nauzeja,</w:t>
            </w:r>
            <w:r w:rsidRPr="001D6D86">
              <w:rPr>
                <w:rFonts w:eastAsia="Calibri"/>
                <w:spacing w:val="-2"/>
                <w:sz w:val="22"/>
                <w:szCs w:val="22"/>
                <w:lang w:val="sr-Latn-ME"/>
              </w:rPr>
              <w:t xml:space="preserve"> </w:t>
            </w:r>
            <w:r w:rsidRPr="001D6D86">
              <w:rPr>
                <w:rFonts w:eastAsia="Calibri"/>
                <w:sz w:val="22"/>
                <w:szCs w:val="22"/>
                <w:lang w:val="sr-Latn-ME"/>
              </w:rPr>
              <w:t>abdominalni</w:t>
            </w:r>
            <w:r w:rsidRPr="001D6D86">
              <w:rPr>
                <w:rFonts w:eastAsia="Calibri"/>
                <w:spacing w:val="-17"/>
                <w:sz w:val="22"/>
                <w:szCs w:val="22"/>
                <w:lang w:val="sr-Latn-ME"/>
              </w:rPr>
              <w:t xml:space="preserve"> </w:t>
            </w:r>
            <w:r w:rsidRPr="001D6D86">
              <w:rPr>
                <w:rFonts w:eastAsia="Calibri"/>
                <w:spacing w:val="-3"/>
                <w:sz w:val="22"/>
                <w:szCs w:val="22"/>
                <w:lang w:val="sr-Latn-ME"/>
              </w:rPr>
              <w:t>bol</w:t>
            </w:r>
          </w:p>
        </w:tc>
        <w:tc>
          <w:tcPr>
            <w:tcW w:w="1402" w:type="dxa"/>
            <w:tcBorders>
              <w:top w:val="single" w:sz="4" w:space="0" w:color="000000"/>
              <w:left w:val="single" w:sz="4" w:space="0" w:color="000000"/>
              <w:bottom w:val="single" w:sz="4" w:space="0" w:color="000000"/>
              <w:right w:val="single" w:sz="4" w:space="0" w:color="000000"/>
            </w:tcBorders>
          </w:tcPr>
          <w:p w14:paraId="478B87BB"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4EE2DC16" w14:textId="77777777" w:rsidR="00030415" w:rsidRPr="001D6D86" w:rsidRDefault="00030415" w:rsidP="0026307D">
            <w:pPr>
              <w:widowControl w:val="0"/>
              <w:spacing w:line="249" w:lineRule="exact"/>
              <w:ind w:left="105"/>
              <w:jc w:val="both"/>
              <w:rPr>
                <w:sz w:val="22"/>
                <w:szCs w:val="22"/>
                <w:lang w:val="sr-Latn-ME"/>
              </w:rPr>
            </w:pPr>
            <w:r w:rsidRPr="001D6D86">
              <w:rPr>
                <w:rFonts w:eastAsia="Calibri"/>
                <w:spacing w:val="-2"/>
                <w:sz w:val="22"/>
                <w:szCs w:val="22"/>
                <w:lang w:val="sr-Latn-ME"/>
              </w:rPr>
              <w:t>Pankreatitis</w:t>
            </w:r>
          </w:p>
        </w:tc>
        <w:tc>
          <w:tcPr>
            <w:tcW w:w="1618" w:type="dxa"/>
            <w:tcBorders>
              <w:top w:val="single" w:sz="4" w:space="0" w:color="000000"/>
              <w:left w:val="single" w:sz="4" w:space="0" w:color="000000"/>
              <w:bottom w:val="single" w:sz="4" w:space="0" w:color="000000"/>
              <w:right w:val="single" w:sz="4" w:space="0" w:color="000000"/>
            </w:tcBorders>
          </w:tcPr>
          <w:p w14:paraId="702218F2" w14:textId="77777777" w:rsidR="00030415" w:rsidRPr="001D6D86" w:rsidRDefault="00030415" w:rsidP="0026307D">
            <w:pPr>
              <w:widowControl w:val="0"/>
              <w:jc w:val="both"/>
              <w:rPr>
                <w:rFonts w:eastAsia="Calibri"/>
                <w:sz w:val="22"/>
                <w:szCs w:val="22"/>
                <w:lang w:val="sr-Latn-ME"/>
              </w:rPr>
            </w:pPr>
          </w:p>
        </w:tc>
        <w:tc>
          <w:tcPr>
            <w:tcW w:w="1536" w:type="dxa"/>
            <w:tcBorders>
              <w:top w:val="single" w:sz="4" w:space="0" w:color="000000"/>
              <w:left w:val="single" w:sz="4" w:space="0" w:color="000000"/>
              <w:bottom w:val="single" w:sz="4" w:space="0" w:color="000000"/>
              <w:right w:val="single" w:sz="4" w:space="0" w:color="000000"/>
            </w:tcBorders>
          </w:tcPr>
          <w:p w14:paraId="6723FDC3" w14:textId="77777777" w:rsidR="00030415" w:rsidRPr="001D6D86" w:rsidRDefault="00030415" w:rsidP="0026307D">
            <w:pPr>
              <w:widowControl w:val="0"/>
              <w:spacing w:line="249" w:lineRule="exact"/>
              <w:ind w:left="100"/>
              <w:jc w:val="both"/>
              <w:rPr>
                <w:sz w:val="22"/>
                <w:szCs w:val="22"/>
                <w:lang w:val="sr-Latn-ME"/>
              </w:rPr>
            </w:pPr>
            <w:r w:rsidRPr="001D6D86">
              <w:rPr>
                <w:rFonts w:eastAsia="Calibri"/>
                <w:spacing w:val="-3"/>
                <w:sz w:val="22"/>
                <w:szCs w:val="22"/>
                <w:lang w:val="sr-Latn-ME"/>
              </w:rPr>
              <w:t>Dijareja</w:t>
            </w:r>
          </w:p>
        </w:tc>
      </w:tr>
      <w:tr w:rsidR="00030415" w:rsidRPr="001D6D86" w14:paraId="53DF1B3B" w14:textId="77777777" w:rsidTr="006B230D">
        <w:trPr>
          <w:trHeight w:hRule="exact" w:val="768"/>
        </w:trPr>
        <w:tc>
          <w:tcPr>
            <w:tcW w:w="1795" w:type="dxa"/>
            <w:tcBorders>
              <w:top w:val="single" w:sz="4" w:space="0" w:color="000000"/>
              <w:left w:val="single" w:sz="4" w:space="0" w:color="000000"/>
              <w:bottom w:val="single" w:sz="4" w:space="0" w:color="000000"/>
              <w:right w:val="single" w:sz="4" w:space="0" w:color="000000"/>
            </w:tcBorders>
          </w:tcPr>
          <w:p w14:paraId="0CA99FE6" w14:textId="77777777" w:rsidR="00030415" w:rsidRPr="001D6D86" w:rsidRDefault="00030415" w:rsidP="0026307D">
            <w:pPr>
              <w:widowControl w:val="0"/>
              <w:spacing w:line="237" w:lineRule="auto"/>
              <w:ind w:left="105" w:right="359"/>
              <w:jc w:val="both"/>
              <w:rPr>
                <w:sz w:val="22"/>
                <w:szCs w:val="22"/>
                <w:lang w:val="sr-Latn-ME"/>
              </w:rPr>
            </w:pPr>
            <w:r w:rsidRPr="001D6D86">
              <w:rPr>
                <w:rFonts w:eastAsia="Calibri"/>
                <w:spacing w:val="-2"/>
                <w:sz w:val="22"/>
                <w:szCs w:val="22"/>
                <w:lang w:val="sr-Latn-ME"/>
              </w:rPr>
              <w:t>Hepatobilijarni</w:t>
            </w:r>
            <w:r w:rsidRPr="001D6D86">
              <w:rPr>
                <w:rFonts w:eastAsia="Calibri"/>
                <w:spacing w:val="-51"/>
                <w:sz w:val="22"/>
                <w:szCs w:val="22"/>
                <w:lang w:val="sr-Latn-ME"/>
              </w:rPr>
              <w:t xml:space="preserve"> </w:t>
            </w:r>
            <w:r w:rsidRPr="001D6D86">
              <w:rPr>
                <w:rFonts w:eastAsia="Calibri"/>
                <w:sz w:val="22"/>
                <w:szCs w:val="22"/>
                <w:lang w:val="sr-Latn-ME"/>
              </w:rPr>
              <w:t>poremećaji</w:t>
            </w:r>
          </w:p>
        </w:tc>
        <w:tc>
          <w:tcPr>
            <w:tcW w:w="1714" w:type="dxa"/>
            <w:tcBorders>
              <w:top w:val="single" w:sz="4" w:space="0" w:color="000000"/>
              <w:left w:val="single" w:sz="4" w:space="0" w:color="000000"/>
              <w:bottom w:val="single" w:sz="4" w:space="0" w:color="000000"/>
              <w:right w:val="single" w:sz="4" w:space="0" w:color="000000"/>
            </w:tcBorders>
          </w:tcPr>
          <w:p w14:paraId="6267E689" w14:textId="77777777" w:rsidR="00030415" w:rsidRPr="001D6D86" w:rsidRDefault="00030415" w:rsidP="0026307D">
            <w:pPr>
              <w:widowControl w:val="0"/>
              <w:jc w:val="both"/>
              <w:rPr>
                <w:rFonts w:eastAsia="Calibri"/>
                <w:sz w:val="22"/>
                <w:szCs w:val="22"/>
                <w:lang w:val="sr-Latn-ME"/>
              </w:rPr>
            </w:pPr>
          </w:p>
        </w:tc>
        <w:tc>
          <w:tcPr>
            <w:tcW w:w="1402" w:type="dxa"/>
            <w:tcBorders>
              <w:top w:val="single" w:sz="4" w:space="0" w:color="000000"/>
              <w:left w:val="single" w:sz="4" w:space="0" w:color="000000"/>
              <w:bottom w:val="single" w:sz="4" w:space="0" w:color="000000"/>
              <w:right w:val="single" w:sz="4" w:space="0" w:color="000000"/>
            </w:tcBorders>
          </w:tcPr>
          <w:p w14:paraId="47040783"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00A0FC18" w14:textId="34C3C88C" w:rsidR="00030415" w:rsidRPr="001D6D86" w:rsidRDefault="00030415" w:rsidP="0026307D">
            <w:pPr>
              <w:widowControl w:val="0"/>
              <w:ind w:left="105" w:right="529"/>
              <w:jc w:val="both"/>
              <w:rPr>
                <w:sz w:val="22"/>
                <w:szCs w:val="22"/>
                <w:lang w:val="sr-Latn-ME"/>
              </w:rPr>
            </w:pPr>
            <w:r w:rsidRPr="001D6D86">
              <w:rPr>
                <w:rFonts w:eastAsia="Calibri"/>
                <w:spacing w:val="-3"/>
                <w:sz w:val="22"/>
                <w:szCs w:val="22"/>
                <w:lang w:val="sr-Latn-ME"/>
              </w:rPr>
              <w:t>Povišene</w:t>
            </w:r>
            <w:r w:rsidRPr="001D6D86">
              <w:rPr>
                <w:rFonts w:eastAsia="Calibri"/>
                <w:spacing w:val="-53"/>
                <w:sz w:val="22"/>
                <w:szCs w:val="22"/>
                <w:lang w:val="sr-Latn-ME"/>
              </w:rPr>
              <w:t xml:space="preserve"> </w:t>
            </w:r>
            <w:r w:rsidRPr="001D6D86">
              <w:rPr>
                <w:rFonts w:eastAsia="Calibri"/>
                <w:spacing w:val="-3"/>
                <w:sz w:val="22"/>
                <w:szCs w:val="22"/>
                <w:lang w:val="sr-Latn-ME"/>
              </w:rPr>
              <w:t>vr</w:t>
            </w:r>
            <w:r w:rsidR="00253AB4" w:rsidRPr="001D6D86">
              <w:rPr>
                <w:rFonts w:eastAsia="Calibri"/>
                <w:spacing w:val="-3"/>
                <w:sz w:val="22"/>
                <w:szCs w:val="22"/>
                <w:lang w:val="sr-Latn-ME"/>
              </w:rPr>
              <w:t>ij</w:t>
            </w:r>
            <w:r w:rsidRPr="001D6D86">
              <w:rPr>
                <w:rFonts w:eastAsia="Calibri"/>
                <w:spacing w:val="-3"/>
                <w:sz w:val="22"/>
                <w:szCs w:val="22"/>
                <w:lang w:val="sr-Latn-ME"/>
              </w:rPr>
              <w:t>ednosti</w:t>
            </w:r>
            <w:r w:rsidRPr="001D6D86">
              <w:rPr>
                <w:rFonts w:eastAsia="Calibri"/>
                <w:spacing w:val="-52"/>
                <w:sz w:val="22"/>
                <w:szCs w:val="22"/>
                <w:lang w:val="sr-Latn-ME"/>
              </w:rPr>
              <w:t xml:space="preserve"> </w:t>
            </w:r>
            <w:r w:rsidRPr="001D6D86">
              <w:rPr>
                <w:rFonts w:eastAsia="Calibri"/>
                <w:spacing w:val="-2"/>
                <w:sz w:val="22"/>
                <w:szCs w:val="22"/>
                <w:lang w:val="sr-Latn-ME"/>
              </w:rPr>
              <w:t>transaminaza</w:t>
            </w:r>
          </w:p>
        </w:tc>
        <w:tc>
          <w:tcPr>
            <w:tcW w:w="1618" w:type="dxa"/>
            <w:tcBorders>
              <w:top w:val="single" w:sz="4" w:space="0" w:color="000000"/>
              <w:left w:val="single" w:sz="4" w:space="0" w:color="000000"/>
              <w:bottom w:val="single" w:sz="4" w:space="0" w:color="000000"/>
              <w:right w:val="single" w:sz="4" w:space="0" w:color="000000"/>
            </w:tcBorders>
          </w:tcPr>
          <w:p w14:paraId="3AF3CD7B" w14:textId="77777777" w:rsidR="00030415" w:rsidRPr="001D6D86" w:rsidRDefault="00030415" w:rsidP="0026307D">
            <w:pPr>
              <w:widowControl w:val="0"/>
              <w:spacing w:line="237" w:lineRule="auto"/>
              <w:ind w:left="105" w:right="767"/>
              <w:jc w:val="both"/>
              <w:rPr>
                <w:sz w:val="22"/>
                <w:szCs w:val="22"/>
                <w:lang w:val="sr-Latn-ME"/>
              </w:rPr>
            </w:pPr>
            <w:r w:rsidRPr="001D6D86">
              <w:rPr>
                <w:rFonts w:eastAsia="Calibri"/>
                <w:sz w:val="22"/>
                <w:szCs w:val="22"/>
                <w:lang w:val="sr-Latn-ME"/>
              </w:rPr>
              <w:t>Žutica,</w:t>
            </w:r>
            <w:r w:rsidRPr="001D6D86">
              <w:rPr>
                <w:rFonts w:eastAsia="Calibri"/>
                <w:spacing w:val="-2"/>
                <w:sz w:val="22"/>
                <w:szCs w:val="22"/>
                <w:lang w:val="sr-Latn-ME"/>
              </w:rPr>
              <w:t xml:space="preserve"> hepatitis</w:t>
            </w:r>
          </w:p>
        </w:tc>
        <w:tc>
          <w:tcPr>
            <w:tcW w:w="1536" w:type="dxa"/>
            <w:tcBorders>
              <w:top w:val="single" w:sz="4" w:space="0" w:color="000000"/>
              <w:left w:val="single" w:sz="4" w:space="0" w:color="000000"/>
              <w:bottom w:val="single" w:sz="4" w:space="0" w:color="000000"/>
              <w:right w:val="single" w:sz="4" w:space="0" w:color="000000"/>
            </w:tcBorders>
          </w:tcPr>
          <w:p w14:paraId="361EBA55" w14:textId="77777777" w:rsidR="00030415" w:rsidRPr="001D6D86" w:rsidRDefault="00030415" w:rsidP="0026307D">
            <w:pPr>
              <w:widowControl w:val="0"/>
              <w:jc w:val="both"/>
              <w:rPr>
                <w:rFonts w:eastAsia="Calibri"/>
                <w:sz w:val="22"/>
                <w:szCs w:val="22"/>
                <w:lang w:val="sr-Latn-ME"/>
              </w:rPr>
            </w:pPr>
          </w:p>
        </w:tc>
      </w:tr>
      <w:tr w:rsidR="00030415" w:rsidRPr="001D6D86" w14:paraId="22F1E051" w14:textId="77777777" w:rsidTr="006B230D">
        <w:trPr>
          <w:trHeight w:hRule="exact" w:val="2729"/>
        </w:trPr>
        <w:tc>
          <w:tcPr>
            <w:tcW w:w="1795" w:type="dxa"/>
            <w:tcBorders>
              <w:top w:val="single" w:sz="4" w:space="0" w:color="000000"/>
              <w:left w:val="single" w:sz="4" w:space="0" w:color="000000"/>
              <w:bottom w:val="single" w:sz="4" w:space="0" w:color="000000"/>
              <w:right w:val="single" w:sz="4" w:space="0" w:color="000000"/>
            </w:tcBorders>
          </w:tcPr>
          <w:p w14:paraId="312483CC" w14:textId="77777777" w:rsidR="00030415" w:rsidRPr="001D6D86" w:rsidRDefault="00030415" w:rsidP="0026307D">
            <w:pPr>
              <w:widowControl w:val="0"/>
              <w:spacing w:line="242" w:lineRule="auto"/>
              <w:ind w:left="105" w:right="119"/>
              <w:jc w:val="both"/>
              <w:rPr>
                <w:sz w:val="22"/>
                <w:szCs w:val="22"/>
                <w:lang w:val="sr-Latn-ME"/>
              </w:rPr>
            </w:pPr>
            <w:r w:rsidRPr="001D6D86">
              <w:rPr>
                <w:rFonts w:eastAsia="Calibri"/>
                <w:sz w:val="22"/>
                <w:szCs w:val="22"/>
                <w:lang w:val="sr-Latn-ME"/>
              </w:rPr>
              <w:t>Poremećaji kože</w:t>
            </w:r>
            <w:r w:rsidRPr="001D6D86">
              <w:rPr>
                <w:rFonts w:eastAsia="Calibri"/>
                <w:spacing w:val="-21"/>
                <w:sz w:val="22"/>
                <w:szCs w:val="22"/>
                <w:lang w:val="sr-Latn-ME"/>
              </w:rPr>
              <w:t xml:space="preserve"> </w:t>
            </w:r>
            <w:r w:rsidRPr="001D6D86">
              <w:rPr>
                <w:rFonts w:eastAsia="Calibri"/>
                <w:sz w:val="22"/>
                <w:szCs w:val="22"/>
                <w:lang w:val="sr-Latn-ME"/>
              </w:rPr>
              <w:t>i potkožnog</w:t>
            </w:r>
            <w:r w:rsidRPr="001D6D86">
              <w:rPr>
                <w:rFonts w:eastAsia="Calibri"/>
                <w:spacing w:val="-14"/>
                <w:sz w:val="22"/>
                <w:szCs w:val="22"/>
                <w:lang w:val="sr-Latn-ME"/>
              </w:rPr>
              <w:t xml:space="preserve"> </w:t>
            </w:r>
            <w:r w:rsidRPr="001D6D86">
              <w:rPr>
                <w:rFonts w:eastAsia="Calibri"/>
                <w:spacing w:val="-4"/>
                <w:sz w:val="22"/>
                <w:szCs w:val="22"/>
                <w:lang w:val="sr-Latn-ME"/>
              </w:rPr>
              <w:t>tkiva</w:t>
            </w:r>
          </w:p>
        </w:tc>
        <w:tc>
          <w:tcPr>
            <w:tcW w:w="1714" w:type="dxa"/>
            <w:tcBorders>
              <w:top w:val="single" w:sz="4" w:space="0" w:color="000000"/>
              <w:left w:val="single" w:sz="4" w:space="0" w:color="000000"/>
              <w:bottom w:val="single" w:sz="4" w:space="0" w:color="000000"/>
              <w:right w:val="single" w:sz="4" w:space="0" w:color="000000"/>
            </w:tcBorders>
          </w:tcPr>
          <w:p w14:paraId="60E0E906" w14:textId="77777777" w:rsidR="00030415" w:rsidRPr="001D6D86" w:rsidRDefault="00030415" w:rsidP="0026307D">
            <w:pPr>
              <w:widowControl w:val="0"/>
              <w:jc w:val="both"/>
              <w:rPr>
                <w:rFonts w:eastAsia="Calibri"/>
                <w:sz w:val="22"/>
                <w:szCs w:val="22"/>
                <w:lang w:val="sr-Latn-ME"/>
              </w:rPr>
            </w:pPr>
          </w:p>
        </w:tc>
        <w:tc>
          <w:tcPr>
            <w:tcW w:w="1402" w:type="dxa"/>
            <w:tcBorders>
              <w:top w:val="single" w:sz="4" w:space="0" w:color="000000"/>
              <w:left w:val="single" w:sz="4" w:space="0" w:color="000000"/>
              <w:bottom w:val="single" w:sz="4" w:space="0" w:color="000000"/>
              <w:right w:val="single" w:sz="4" w:space="0" w:color="000000"/>
            </w:tcBorders>
          </w:tcPr>
          <w:p w14:paraId="2F5862B3" w14:textId="77777777" w:rsidR="00030415" w:rsidRPr="001D6D86" w:rsidRDefault="00030415" w:rsidP="0026307D">
            <w:pPr>
              <w:widowControl w:val="0"/>
              <w:ind w:left="105" w:right="486"/>
              <w:jc w:val="both"/>
              <w:rPr>
                <w:sz w:val="22"/>
                <w:szCs w:val="22"/>
                <w:lang w:val="sr-Latn-ME"/>
              </w:rPr>
            </w:pPr>
            <w:r w:rsidRPr="001D6D86">
              <w:rPr>
                <w:rFonts w:eastAsia="Calibri"/>
                <w:sz w:val="22"/>
                <w:szCs w:val="22"/>
                <w:lang w:val="sr-Latn-ME"/>
              </w:rPr>
              <w:t>Pruritus,</w:t>
            </w:r>
            <w:r w:rsidRPr="001D6D86">
              <w:rPr>
                <w:rFonts w:eastAsia="Calibri"/>
                <w:spacing w:val="-1"/>
                <w:sz w:val="22"/>
                <w:szCs w:val="22"/>
                <w:lang w:val="sr-Latn-ME"/>
              </w:rPr>
              <w:t xml:space="preserve"> </w:t>
            </w:r>
            <w:r w:rsidRPr="001D6D86">
              <w:rPr>
                <w:rFonts w:eastAsia="Calibri"/>
                <w:sz w:val="22"/>
                <w:szCs w:val="22"/>
                <w:lang w:val="sr-Latn-ME"/>
              </w:rPr>
              <w:t>osip,</w:t>
            </w:r>
            <w:r w:rsidRPr="001D6D86">
              <w:rPr>
                <w:rFonts w:eastAsia="Calibri"/>
                <w:spacing w:val="-2"/>
                <w:sz w:val="22"/>
                <w:szCs w:val="22"/>
                <w:lang w:val="sr-Latn-ME"/>
              </w:rPr>
              <w:t xml:space="preserve"> urtikarija</w:t>
            </w:r>
          </w:p>
        </w:tc>
        <w:tc>
          <w:tcPr>
            <w:tcW w:w="1795" w:type="dxa"/>
            <w:tcBorders>
              <w:top w:val="single" w:sz="4" w:space="0" w:color="000000"/>
              <w:left w:val="single" w:sz="4" w:space="0" w:color="000000"/>
              <w:bottom w:val="single" w:sz="4" w:space="0" w:color="000000"/>
              <w:right w:val="single" w:sz="4" w:space="0" w:color="000000"/>
            </w:tcBorders>
          </w:tcPr>
          <w:p w14:paraId="6CCF267F" w14:textId="77777777" w:rsidR="00030415" w:rsidRPr="001D6D86" w:rsidRDefault="00030415" w:rsidP="0026307D">
            <w:pPr>
              <w:widowControl w:val="0"/>
              <w:jc w:val="both"/>
              <w:rPr>
                <w:rFonts w:eastAsia="Calibri"/>
                <w:sz w:val="22"/>
                <w:szCs w:val="22"/>
                <w:lang w:val="sr-Latn-ME"/>
              </w:rPr>
            </w:pPr>
          </w:p>
        </w:tc>
        <w:tc>
          <w:tcPr>
            <w:tcW w:w="1618" w:type="dxa"/>
            <w:tcBorders>
              <w:top w:val="single" w:sz="4" w:space="0" w:color="000000"/>
              <w:left w:val="single" w:sz="4" w:space="0" w:color="000000"/>
              <w:bottom w:val="single" w:sz="4" w:space="0" w:color="000000"/>
              <w:right w:val="single" w:sz="4" w:space="0" w:color="000000"/>
            </w:tcBorders>
          </w:tcPr>
          <w:p w14:paraId="6204BC30" w14:textId="77777777" w:rsidR="00030415" w:rsidRPr="001D6D86" w:rsidRDefault="00030415" w:rsidP="0026307D">
            <w:pPr>
              <w:widowControl w:val="0"/>
              <w:jc w:val="both"/>
              <w:rPr>
                <w:rFonts w:eastAsia="Calibri"/>
                <w:sz w:val="22"/>
                <w:szCs w:val="22"/>
                <w:lang w:val="sr-Latn-ME"/>
              </w:rPr>
            </w:pPr>
          </w:p>
        </w:tc>
        <w:tc>
          <w:tcPr>
            <w:tcW w:w="1536" w:type="dxa"/>
            <w:tcBorders>
              <w:top w:val="single" w:sz="4" w:space="0" w:color="000000"/>
              <w:left w:val="single" w:sz="4" w:space="0" w:color="000000"/>
              <w:bottom w:val="single" w:sz="4" w:space="0" w:color="000000"/>
              <w:right w:val="single" w:sz="4" w:space="0" w:color="000000"/>
            </w:tcBorders>
          </w:tcPr>
          <w:p w14:paraId="6AB4668F" w14:textId="77777777" w:rsidR="00030415" w:rsidRPr="001D6D86" w:rsidRDefault="00030415" w:rsidP="0026307D">
            <w:pPr>
              <w:widowControl w:val="0"/>
              <w:ind w:left="100" w:right="311"/>
              <w:jc w:val="both"/>
              <w:rPr>
                <w:rFonts w:eastAsia="Calibri"/>
                <w:sz w:val="22"/>
                <w:szCs w:val="22"/>
                <w:lang w:val="sr-Latn-ME"/>
              </w:rPr>
            </w:pPr>
            <w:r w:rsidRPr="001D6D86">
              <w:rPr>
                <w:rFonts w:eastAsia="Calibri"/>
                <w:i/>
                <w:sz w:val="22"/>
                <w:szCs w:val="22"/>
                <w:lang w:val="sr-Latn-ME"/>
              </w:rPr>
              <w:t xml:space="preserve">Stevens- </w:t>
            </w:r>
            <w:r w:rsidRPr="001D6D86">
              <w:rPr>
                <w:rFonts w:eastAsia="Calibri"/>
                <w:i/>
                <w:spacing w:val="-4"/>
                <w:sz w:val="22"/>
                <w:szCs w:val="22"/>
                <w:lang w:val="sr-Latn-ME"/>
              </w:rPr>
              <w:t>Johnoson</w:t>
            </w:r>
            <w:r w:rsidRPr="001D6D86">
              <w:rPr>
                <w:rFonts w:eastAsia="Calibri"/>
                <w:spacing w:val="-4"/>
                <w:sz w:val="22"/>
                <w:szCs w:val="22"/>
                <w:lang w:val="sr-Latn-ME"/>
              </w:rPr>
              <w:t>-ov</w:t>
            </w:r>
            <w:r w:rsidRPr="001D6D86">
              <w:rPr>
                <w:rFonts w:eastAsia="Calibri"/>
                <w:spacing w:val="-41"/>
                <w:sz w:val="22"/>
                <w:szCs w:val="22"/>
                <w:lang w:val="sr-Latn-ME"/>
              </w:rPr>
              <w:t xml:space="preserve"> </w:t>
            </w:r>
            <w:r w:rsidRPr="001D6D86">
              <w:rPr>
                <w:rFonts w:eastAsia="Calibri"/>
                <w:sz w:val="22"/>
                <w:szCs w:val="22"/>
                <w:lang w:val="sr-Latn-ME"/>
              </w:rPr>
              <w:t>sindrom,</w:t>
            </w:r>
          </w:p>
          <w:p w14:paraId="25CF7616" w14:textId="3FAAB138" w:rsidR="00030415" w:rsidRPr="001D6D86" w:rsidRDefault="00030415" w:rsidP="0026307D">
            <w:pPr>
              <w:widowControl w:val="0"/>
              <w:ind w:left="100" w:right="311"/>
              <w:jc w:val="both"/>
              <w:rPr>
                <w:iCs/>
                <w:sz w:val="22"/>
                <w:szCs w:val="22"/>
                <w:lang w:val="sr-Latn-ME"/>
              </w:rPr>
            </w:pPr>
            <w:r w:rsidRPr="001D6D86">
              <w:rPr>
                <w:rFonts w:eastAsia="Calibri"/>
                <w:iCs/>
                <w:sz w:val="22"/>
                <w:szCs w:val="22"/>
                <w:lang w:val="sr-Latn-ME"/>
              </w:rPr>
              <w:t>Reakcija l</w:t>
            </w:r>
            <w:r w:rsidR="00746467" w:rsidRPr="001D6D86">
              <w:rPr>
                <w:rFonts w:eastAsia="Calibri"/>
                <w:iCs/>
                <w:sz w:val="22"/>
                <w:szCs w:val="22"/>
                <w:lang w:val="sr-Latn-ME"/>
              </w:rPr>
              <w:t>ijeka</w:t>
            </w:r>
            <w:r w:rsidRPr="001D6D86">
              <w:rPr>
                <w:rFonts w:eastAsia="Calibri"/>
                <w:iCs/>
                <w:sz w:val="22"/>
                <w:szCs w:val="22"/>
                <w:lang w:val="sr-Latn-ME"/>
              </w:rPr>
              <w:t xml:space="preserve"> sa eozinofilij</w:t>
            </w:r>
            <w:r w:rsidR="00253AB4" w:rsidRPr="001D6D86">
              <w:rPr>
                <w:rFonts w:eastAsia="Calibri"/>
                <w:iCs/>
                <w:sz w:val="22"/>
                <w:szCs w:val="22"/>
                <w:lang w:val="sr-Latn-ME"/>
              </w:rPr>
              <w:t>o</w:t>
            </w:r>
            <w:r w:rsidRPr="001D6D86">
              <w:rPr>
                <w:rFonts w:eastAsia="Calibri"/>
                <w:iCs/>
                <w:sz w:val="22"/>
                <w:szCs w:val="22"/>
                <w:lang w:val="sr-Latn-ME"/>
              </w:rPr>
              <w:t>m i sistemskim simptomima (DRESS)</w:t>
            </w:r>
          </w:p>
        </w:tc>
      </w:tr>
      <w:tr w:rsidR="006B230D" w:rsidRPr="001D6D86" w14:paraId="73730B53" w14:textId="77777777" w:rsidTr="006B230D">
        <w:trPr>
          <w:trHeight w:hRule="exact" w:val="264"/>
        </w:trPr>
        <w:tc>
          <w:tcPr>
            <w:tcW w:w="1795" w:type="dxa"/>
            <w:tcBorders>
              <w:top w:val="single" w:sz="4" w:space="0" w:color="000000"/>
              <w:left w:val="single" w:sz="4" w:space="0" w:color="000000"/>
              <w:bottom w:val="nil"/>
              <w:right w:val="single" w:sz="4" w:space="0" w:color="000000"/>
            </w:tcBorders>
          </w:tcPr>
          <w:p w14:paraId="3437515A" w14:textId="77777777" w:rsidR="006B230D" w:rsidRPr="001D6D86" w:rsidRDefault="006B230D" w:rsidP="0026307D">
            <w:pPr>
              <w:widowControl w:val="0"/>
              <w:spacing w:line="249" w:lineRule="exact"/>
              <w:ind w:left="105"/>
              <w:jc w:val="both"/>
              <w:rPr>
                <w:sz w:val="22"/>
                <w:szCs w:val="22"/>
                <w:lang w:val="sr-Latn-ME"/>
              </w:rPr>
            </w:pPr>
            <w:r w:rsidRPr="001D6D86">
              <w:rPr>
                <w:rFonts w:eastAsia="Calibri"/>
                <w:sz w:val="22"/>
                <w:szCs w:val="22"/>
                <w:lang w:val="sr-Latn-ME"/>
              </w:rPr>
              <w:t>Poremećaji</w:t>
            </w:r>
          </w:p>
        </w:tc>
        <w:tc>
          <w:tcPr>
            <w:tcW w:w="1714" w:type="dxa"/>
            <w:vMerge w:val="restart"/>
            <w:tcBorders>
              <w:top w:val="single" w:sz="4" w:space="0" w:color="000000"/>
              <w:left w:val="single" w:sz="4" w:space="0" w:color="000000"/>
              <w:right w:val="single" w:sz="4" w:space="0" w:color="000000"/>
            </w:tcBorders>
          </w:tcPr>
          <w:p w14:paraId="4938BFF0"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pacing w:val="-3"/>
                <w:sz w:val="22"/>
                <w:szCs w:val="22"/>
                <w:lang w:val="sr-Latn-ME"/>
              </w:rPr>
              <w:t>Mialgija</w:t>
            </w:r>
          </w:p>
        </w:tc>
        <w:tc>
          <w:tcPr>
            <w:tcW w:w="1402" w:type="dxa"/>
            <w:vMerge w:val="restart"/>
            <w:tcBorders>
              <w:top w:val="single" w:sz="4" w:space="0" w:color="000000"/>
              <w:left w:val="single" w:sz="4" w:space="0" w:color="000000"/>
              <w:right w:val="single" w:sz="4" w:space="0" w:color="000000"/>
            </w:tcBorders>
          </w:tcPr>
          <w:p w14:paraId="212836A7" w14:textId="77777777" w:rsidR="006B230D" w:rsidRPr="001D6D86" w:rsidRDefault="006B230D"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nil"/>
              <w:right w:val="single" w:sz="4" w:space="0" w:color="000000"/>
            </w:tcBorders>
          </w:tcPr>
          <w:p w14:paraId="1EC55DB1" w14:textId="77777777" w:rsidR="006B230D" w:rsidRPr="001D6D86" w:rsidRDefault="006B230D" w:rsidP="0026307D">
            <w:pPr>
              <w:widowControl w:val="0"/>
              <w:spacing w:line="249" w:lineRule="exact"/>
              <w:ind w:left="105"/>
              <w:jc w:val="both"/>
              <w:rPr>
                <w:sz w:val="22"/>
                <w:szCs w:val="22"/>
                <w:lang w:val="sr-Latn-ME"/>
              </w:rPr>
            </w:pPr>
            <w:r w:rsidRPr="001D6D86">
              <w:rPr>
                <w:rFonts w:eastAsia="Calibri"/>
                <w:sz w:val="22"/>
                <w:szCs w:val="22"/>
                <w:lang w:val="sr-Latn-ME"/>
              </w:rPr>
              <w:t>Miopatija</w:t>
            </w:r>
          </w:p>
        </w:tc>
        <w:tc>
          <w:tcPr>
            <w:tcW w:w="1618" w:type="dxa"/>
            <w:vMerge w:val="restart"/>
            <w:tcBorders>
              <w:top w:val="single" w:sz="4" w:space="0" w:color="000000"/>
              <w:left w:val="single" w:sz="4" w:space="0" w:color="000000"/>
              <w:right w:val="single" w:sz="4" w:space="0" w:color="000000"/>
            </w:tcBorders>
          </w:tcPr>
          <w:p w14:paraId="14A80B8C" w14:textId="77777777" w:rsidR="006B230D" w:rsidRPr="001D6D86" w:rsidRDefault="006B230D" w:rsidP="0026307D">
            <w:pPr>
              <w:widowControl w:val="0"/>
              <w:spacing w:line="244" w:lineRule="exact"/>
              <w:ind w:left="105"/>
              <w:jc w:val="both"/>
              <w:rPr>
                <w:sz w:val="22"/>
                <w:szCs w:val="22"/>
                <w:lang w:val="sr-Latn-ME"/>
              </w:rPr>
            </w:pPr>
            <w:r w:rsidRPr="001D6D86">
              <w:rPr>
                <w:rFonts w:eastAsia="Calibri"/>
                <w:sz w:val="22"/>
                <w:szCs w:val="22"/>
                <w:lang w:val="sr-Latn-ME"/>
              </w:rPr>
              <w:t>Artralgija</w:t>
            </w:r>
          </w:p>
        </w:tc>
        <w:tc>
          <w:tcPr>
            <w:tcW w:w="1536" w:type="dxa"/>
            <w:vMerge w:val="restart"/>
            <w:tcBorders>
              <w:top w:val="single" w:sz="4" w:space="0" w:color="000000"/>
              <w:left w:val="single" w:sz="4" w:space="0" w:color="000000"/>
              <w:right w:val="single" w:sz="4" w:space="0" w:color="000000"/>
            </w:tcBorders>
          </w:tcPr>
          <w:p w14:paraId="784A818F" w14:textId="77777777" w:rsidR="006B230D" w:rsidRPr="001D6D86" w:rsidRDefault="006B230D" w:rsidP="006B230D">
            <w:pPr>
              <w:widowControl w:val="0"/>
              <w:spacing w:before="114"/>
              <w:ind w:left="100"/>
              <w:jc w:val="both"/>
              <w:rPr>
                <w:sz w:val="22"/>
                <w:szCs w:val="22"/>
                <w:lang w:val="sr-Latn-ME"/>
              </w:rPr>
            </w:pPr>
            <w:r w:rsidRPr="001D6D86">
              <w:rPr>
                <w:rFonts w:eastAsia="Calibri"/>
                <w:spacing w:val="-4"/>
                <w:sz w:val="22"/>
                <w:szCs w:val="22"/>
                <w:lang w:val="sr-Latn-ME"/>
              </w:rPr>
              <w:t>Imunski</w:t>
            </w:r>
          </w:p>
          <w:p w14:paraId="5D595185" w14:textId="77777777" w:rsidR="006B230D" w:rsidRPr="001D6D86" w:rsidRDefault="006B230D" w:rsidP="006B230D">
            <w:pPr>
              <w:widowControl w:val="0"/>
              <w:spacing w:line="240" w:lineRule="exact"/>
              <w:ind w:left="100"/>
              <w:jc w:val="both"/>
              <w:rPr>
                <w:sz w:val="22"/>
                <w:szCs w:val="22"/>
                <w:lang w:val="sr-Latn-ME"/>
              </w:rPr>
            </w:pPr>
            <w:r w:rsidRPr="001D6D86">
              <w:rPr>
                <w:rFonts w:eastAsia="Calibri"/>
                <w:sz w:val="22"/>
                <w:szCs w:val="22"/>
                <w:lang w:val="sr-Latn-ME"/>
              </w:rPr>
              <w:t>posredovana</w:t>
            </w:r>
          </w:p>
          <w:p w14:paraId="46994C3C" w14:textId="77777777" w:rsidR="006B230D" w:rsidRPr="001D6D86" w:rsidRDefault="006B230D" w:rsidP="006B230D">
            <w:pPr>
              <w:widowControl w:val="0"/>
              <w:spacing w:line="242" w:lineRule="exact"/>
              <w:ind w:left="100"/>
              <w:jc w:val="both"/>
              <w:rPr>
                <w:sz w:val="22"/>
                <w:szCs w:val="22"/>
                <w:lang w:val="sr-Latn-ME"/>
              </w:rPr>
            </w:pPr>
            <w:r w:rsidRPr="001D6D86">
              <w:rPr>
                <w:rFonts w:eastAsia="Calibri"/>
                <w:sz w:val="22"/>
                <w:szCs w:val="22"/>
                <w:lang w:val="sr-Latn-ME"/>
              </w:rPr>
              <w:t>nekrotizirajuća</w:t>
            </w:r>
          </w:p>
          <w:p w14:paraId="3B93A3DB" w14:textId="2ECC286B" w:rsidR="006B230D" w:rsidRPr="001D6D86" w:rsidRDefault="006B230D" w:rsidP="006B230D">
            <w:pPr>
              <w:widowControl w:val="0"/>
              <w:spacing w:line="249" w:lineRule="exact"/>
              <w:ind w:left="100"/>
              <w:jc w:val="both"/>
              <w:rPr>
                <w:rFonts w:eastAsia="Calibri"/>
                <w:sz w:val="22"/>
                <w:szCs w:val="22"/>
                <w:lang w:val="sr-Latn-ME"/>
              </w:rPr>
            </w:pPr>
            <w:r w:rsidRPr="001D6D86">
              <w:rPr>
                <w:rFonts w:eastAsia="Calibri"/>
                <w:sz w:val="22"/>
                <w:szCs w:val="22"/>
                <w:lang w:val="sr-Latn-ME"/>
              </w:rPr>
              <w:t xml:space="preserve">miopatija </w:t>
            </w:r>
            <w:r w:rsidR="00AD4C7A" w:rsidRPr="001D6D86">
              <w:rPr>
                <w:rFonts w:eastAsia="Calibri"/>
                <w:sz w:val="22"/>
                <w:szCs w:val="22"/>
                <w:lang w:val="sr-Latn-ME"/>
              </w:rPr>
              <w:t>(vidjeti dio 4.4.)</w:t>
            </w:r>
          </w:p>
          <w:p w14:paraId="1F2E902D" w14:textId="77777777" w:rsidR="006B230D" w:rsidRPr="001D6D86" w:rsidRDefault="006B230D" w:rsidP="006B230D">
            <w:pPr>
              <w:widowControl w:val="0"/>
              <w:spacing w:line="249" w:lineRule="exact"/>
              <w:ind w:left="100"/>
              <w:jc w:val="both"/>
              <w:rPr>
                <w:rFonts w:eastAsia="Calibri"/>
                <w:sz w:val="22"/>
                <w:szCs w:val="22"/>
                <w:lang w:val="sr-Latn-ME"/>
              </w:rPr>
            </w:pPr>
          </w:p>
          <w:p w14:paraId="7C4A8295" w14:textId="5E312A3F" w:rsidR="006B230D" w:rsidRPr="001D6D86" w:rsidRDefault="006B230D" w:rsidP="006B230D">
            <w:pPr>
              <w:widowControl w:val="0"/>
              <w:spacing w:line="249" w:lineRule="exact"/>
              <w:ind w:left="100"/>
              <w:jc w:val="both"/>
              <w:rPr>
                <w:sz w:val="22"/>
                <w:szCs w:val="22"/>
                <w:lang w:val="sr-Latn-ME"/>
              </w:rPr>
            </w:pPr>
            <w:r w:rsidRPr="001D6D86">
              <w:rPr>
                <w:rFonts w:eastAsia="Calibri"/>
                <w:sz w:val="22"/>
                <w:szCs w:val="22"/>
                <w:lang w:val="sr-Latn-ME"/>
              </w:rPr>
              <w:t>Poremećaji</w:t>
            </w:r>
            <w:r w:rsidRPr="001D6D86">
              <w:rPr>
                <w:rFonts w:eastAsia="Calibri"/>
                <w:spacing w:val="-16"/>
                <w:sz w:val="22"/>
                <w:szCs w:val="22"/>
                <w:lang w:val="sr-Latn-ME"/>
              </w:rPr>
              <w:t xml:space="preserve"> </w:t>
            </w:r>
            <w:r w:rsidRPr="001D6D86">
              <w:rPr>
                <w:rFonts w:eastAsia="Calibri"/>
                <w:spacing w:val="-5"/>
                <w:sz w:val="22"/>
                <w:szCs w:val="22"/>
                <w:lang w:val="sr-Latn-ME"/>
              </w:rPr>
              <w:t>na</w:t>
            </w:r>
          </w:p>
          <w:p w14:paraId="518080B2" w14:textId="77777777" w:rsidR="006B230D" w:rsidRPr="001D6D86" w:rsidRDefault="006B230D" w:rsidP="00711079">
            <w:pPr>
              <w:widowControl w:val="0"/>
              <w:spacing w:line="244" w:lineRule="exact"/>
              <w:ind w:left="100"/>
              <w:jc w:val="both"/>
              <w:rPr>
                <w:sz w:val="22"/>
                <w:szCs w:val="22"/>
                <w:lang w:val="sr-Latn-ME"/>
              </w:rPr>
            </w:pPr>
            <w:r w:rsidRPr="001D6D86">
              <w:rPr>
                <w:rFonts w:eastAsia="Calibri"/>
                <w:sz w:val="22"/>
                <w:szCs w:val="22"/>
                <w:lang w:val="sr-Latn-ME"/>
              </w:rPr>
              <w:t>nivou</w:t>
            </w:r>
            <w:r w:rsidRPr="001D6D86">
              <w:rPr>
                <w:rFonts w:eastAsia="Calibri"/>
                <w:spacing w:val="-22"/>
                <w:sz w:val="22"/>
                <w:szCs w:val="22"/>
                <w:lang w:val="sr-Latn-ME"/>
              </w:rPr>
              <w:t xml:space="preserve"> </w:t>
            </w:r>
            <w:r w:rsidRPr="001D6D86">
              <w:rPr>
                <w:rFonts w:eastAsia="Calibri"/>
                <w:sz w:val="22"/>
                <w:szCs w:val="22"/>
                <w:lang w:val="sr-Latn-ME"/>
              </w:rPr>
              <w:t>tetiva,</w:t>
            </w:r>
          </w:p>
          <w:p w14:paraId="49D607B4" w14:textId="77777777" w:rsidR="006B230D" w:rsidRPr="001D6D86" w:rsidRDefault="006B230D" w:rsidP="00711079">
            <w:pPr>
              <w:widowControl w:val="0"/>
              <w:spacing w:line="240" w:lineRule="exact"/>
              <w:ind w:left="100"/>
              <w:jc w:val="both"/>
              <w:rPr>
                <w:sz w:val="22"/>
                <w:szCs w:val="22"/>
                <w:lang w:val="sr-Latn-ME"/>
              </w:rPr>
            </w:pPr>
            <w:r w:rsidRPr="001D6D86">
              <w:rPr>
                <w:rFonts w:eastAsia="Calibri"/>
                <w:sz w:val="22"/>
                <w:szCs w:val="22"/>
                <w:lang w:val="sr-Latn-ME"/>
              </w:rPr>
              <w:t>ponekad</w:t>
            </w:r>
          </w:p>
          <w:p w14:paraId="32F25278" w14:textId="77777777" w:rsidR="006B230D" w:rsidRPr="001D6D86" w:rsidRDefault="006B230D" w:rsidP="00711079">
            <w:pPr>
              <w:widowControl w:val="0"/>
              <w:spacing w:line="244" w:lineRule="exact"/>
              <w:ind w:left="100"/>
              <w:jc w:val="both"/>
              <w:rPr>
                <w:sz w:val="22"/>
                <w:szCs w:val="22"/>
                <w:lang w:val="sr-Latn-ME"/>
              </w:rPr>
            </w:pPr>
            <w:r w:rsidRPr="001D6D86">
              <w:rPr>
                <w:rFonts w:eastAsia="Calibri"/>
                <w:spacing w:val="-2"/>
                <w:sz w:val="22"/>
                <w:szCs w:val="22"/>
                <w:lang w:val="sr-Latn-ME"/>
              </w:rPr>
              <w:t>komplikovani</w:t>
            </w:r>
          </w:p>
          <w:p w14:paraId="1552836A" w14:textId="77777777" w:rsidR="006B230D" w:rsidRPr="001D6D86" w:rsidRDefault="006B230D" w:rsidP="00711079">
            <w:pPr>
              <w:widowControl w:val="0"/>
              <w:spacing w:line="242" w:lineRule="exact"/>
              <w:ind w:left="100"/>
              <w:jc w:val="both"/>
              <w:rPr>
                <w:sz w:val="22"/>
                <w:szCs w:val="22"/>
                <w:lang w:val="sr-Latn-ME"/>
              </w:rPr>
            </w:pPr>
            <w:r w:rsidRPr="001D6D86">
              <w:rPr>
                <w:rFonts w:eastAsia="Calibri"/>
                <w:sz w:val="22"/>
                <w:szCs w:val="22"/>
                <w:lang w:val="sr-Latn-ME"/>
              </w:rPr>
              <w:t>rupturama</w:t>
            </w:r>
          </w:p>
          <w:p w14:paraId="0DCFAED6" w14:textId="7AC8489D" w:rsidR="006B230D" w:rsidRPr="001D6D86" w:rsidRDefault="006B230D" w:rsidP="0026307D">
            <w:pPr>
              <w:widowControl w:val="0"/>
              <w:spacing w:line="240" w:lineRule="exact"/>
              <w:ind w:left="100"/>
              <w:jc w:val="both"/>
              <w:rPr>
                <w:sz w:val="22"/>
                <w:szCs w:val="22"/>
                <w:lang w:val="sr-Latn-ME"/>
              </w:rPr>
            </w:pPr>
          </w:p>
        </w:tc>
      </w:tr>
      <w:tr w:rsidR="006B230D" w:rsidRPr="001D6D86" w14:paraId="72E68ACE" w14:textId="77777777" w:rsidTr="006B230D">
        <w:trPr>
          <w:trHeight w:hRule="exact" w:val="254"/>
        </w:trPr>
        <w:tc>
          <w:tcPr>
            <w:tcW w:w="1795" w:type="dxa"/>
            <w:tcBorders>
              <w:top w:val="nil"/>
              <w:left w:val="single" w:sz="4" w:space="0" w:color="000000"/>
              <w:bottom w:val="nil"/>
              <w:right w:val="single" w:sz="4" w:space="0" w:color="000000"/>
            </w:tcBorders>
          </w:tcPr>
          <w:p w14:paraId="1F866936" w14:textId="77777777" w:rsidR="006B230D" w:rsidRPr="001D6D86" w:rsidRDefault="006B230D" w:rsidP="0026307D">
            <w:pPr>
              <w:widowControl w:val="0"/>
              <w:spacing w:line="240" w:lineRule="exact"/>
              <w:ind w:left="105"/>
              <w:jc w:val="both"/>
              <w:rPr>
                <w:sz w:val="22"/>
                <w:szCs w:val="22"/>
                <w:lang w:val="sr-Latn-ME"/>
              </w:rPr>
            </w:pPr>
            <w:r w:rsidRPr="001D6D86">
              <w:rPr>
                <w:rFonts w:eastAsia="Calibri"/>
                <w:sz w:val="22"/>
                <w:szCs w:val="22"/>
                <w:lang w:val="sr-Latn-ME"/>
              </w:rPr>
              <w:t>mišićno-koštanog</w:t>
            </w:r>
          </w:p>
        </w:tc>
        <w:tc>
          <w:tcPr>
            <w:tcW w:w="1714" w:type="dxa"/>
            <w:vMerge/>
            <w:tcBorders>
              <w:left w:val="single" w:sz="4" w:space="0" w:color="000000"/>
              <w:right w:val="single" w:sz="4" w:space="0" w:color="000000"/>
            </w:tcBorders>
          </w:tcPr>
          <w:p w14:paraId="027F126A" w14:textId="77777777" w:rsidR="006B230D" w:rsidRPr="001D6D86" w:rsidRDefault="006B230D"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5FF21F28" w14:textId="77777777" w:rsidR="006B230D" w:rsidRPr="001D6D86" w:rsidRDefault="006B230D" w:rsidP="0026307D">
            <w:pPr>
              <w:widowControl w:val="0"/>
              <w:jc w:val="both"/>
              <w:rPr>
                <w:rFonts w:eastAsia="Calibri"/>
                <w:sz w:val="22"/>
                <w:szCs w:val="22"/>
                <w:lang w:val="sr-Latn-ME"/>
              </w:rPr>
            </w:pPr>
          </w:p>
        </w:tc>
        <w:tc>
          <w:tcPr>
            <w:tcW w:w="1795" w:type="dxa"/>
            <w:tcBorders>
              <w:top w:val="nil"/>
              <w:left w:val="single" w:sz="4" w:space="0" w:color="000000"/>
              <w:bottom w:val="nil"/>
              <w:right w:val="single" w:sz="4" w:space="0" w:color="000000"/>
            </w:tcBorders>
          </w:tcPr>
          <w:p w14:paraId="66A239A4" w14:textId="77777777" w:rsidR="006B230D" w:rsidRPr="001D6D86" w:rsidRDefault="006B230D" w:rsidP="0026307D">
            <w:pPr>
              <w:widowControl w:val="0"/>
              <w:spacing w:line="240" w:lineRule="exact"/>
              <w:ind w:left="105"/>
              <w:jc w:val="both"/>
              <w:rPr>
                <w:sz w:val="22"/>
                <w:szCs w:val="22"/>
                <w:lang w:val="sr-Latn-ME"/>
              </w:rPr>
            </w:pPr>
            <w:r w:rsidRPr="001D6D86">
              <w:rPr>
                <w:rFonts w:eastAsia="Calibri"/>
                <w:sz w:val="22"/>
                <w:szCs w:val="22"/>
                <w:lang w:val="sr-Latn-ME"/>
              </w:rPr>
              <w:t>(uljučujući</w:t>
            </w:r>
          </w:p>
        </w:tc>
        <w:tc>
          <w:tcPr>
            <w:tcW w:w="1618" w:type="dxa"/>
            <w:vMerge/>
            <w:tcBorders>
              <w:left w:val="single" w:sz="4" w:space="0" w:color="000000"/>
              <w:right w:val="single" w:sz="4" w:space="0" w:color="000000"/>
            </w:tcBorders>
          </w:tcPr>
          <w:p w14:paraId="788A3FF0" w14:textId="77777777" w:rsidR="006B230D" w:rsidRPr="001D6D86" w:rsidRDefault="006B230D" w:rsidP="0026307D">
            <w:pPr>
              <w:widowControl w:val="0"/>
              <w:jc w:val="both"/>
              <w:rPr>
                <w:rFonts w:eastAsia="Calibri"/>
                <w:sz w:val="22"/>
                <w:szCs w:val="22"/>
                <w:lang w:val="sr-Latn-ME"/>
              </w:rPr>
            </w:pPr>
          </w:p>
        </w:tc>
        <w:tc>
          <w:tcPr>
            <w:tcW w:w="1536" w:type="dxa"/>
            <w:vMerge/>
            <w:tcBorders>
              <w:left w:val="single" w:sz="4" w:space="0" w:color="000000"/>
              <w:right w:val="single" w:sz="4" w:space="0" w:color="000000"/>
            </w:tcBorders>
          </w:tcPr>
          <w:p w14:paraId="6AC3C196" w14:textId="0098ADA7" w:rsidR="006B230D" w:rsidRPr="001D6D86" w:rsidRDefault="006B230D" w:rsidP="0026307D">
            <w:pPr>
              <w:widowControl w:val="0"/>
              <w:spacing w:line="240" w:lineRule="exact"/>
              <w:ind w:left="100"/>
              <w:jc w:val="both"/>
              <w:rPr>
                <w:sz w:val="22"/>
                <w:szCs w:val="22"/>
                <w:lang w:val="sr-Latn-ME"/>
              </w:rPr>
            </w:pPr>
          </w:p>
        </w:tc>
      </w:tr>
      <w:tr w:rsidR="006B230D" w:rsidRPr="001D6D86" w14:paraId="6CEEE40B" w14:textId="77777777" w:rsidTr="006B230D">
        <w:trPr>
          <w:trHeight w:hRule="exact" w:val="250"/>
        </w:trPr>
        <w:tc>
          <w:tcPr>
            <w:tcW w:w="1795" w:type="dxa"/>
            <w:tcBorders>
              <w:top w:val="nil"/>
              <w:left w:val="single" w:sz="4" w:space="0" w:color="000000"/>
              <w:bottom w:val="nil"/>
              <w:right w:val="single" w:sz="4" w:space="0" w:color="000000"/>
            </w:tcBorders>
          </w:tcPr>
          <w:p w14:paraId="1167EF95" w14:textId="77777777" w:rsidR="006B230D" w:rsidRPr="001D6D86" w:rsidRDefault="006B230D" w:rsidP="0026307D">
            <w:pPr>
              <w:widowControl w:val="0"/>
              <w:spacing w:line="240" w:lineRule="exact"/>
              <w:ind w:left="105"/>
              <w:jc w:val="both"/>
              <w:rPr>
                <w:sz w:val="22"/>
                <w:szCs w:val="22"/>
                <w:lang w:val="sr-Latn-ME"/>
              </w:rPr>
            </w:pPr>
            <w:r w:rsidRPr="001D6D86">
              <w:rPr>
                <w:rFonts w:eastAsia="Calibri"/>
                <w:sz w:val="22"/>
                <w:szCs w:val="22"/>
                <w:lang w:val="sr-Latn-ME"/>
              </w:rPr>
              <w:t>sistema</w:t>
            </w:r>
            <w:r w:rsidRPr="001D6D86">
              <w:rPr>
                <w:rFonts w:eastAsia="Calibri"/>
                <w:spacing w:val="-9"/>
                <w:sz w:val="22"/>
                <w:szCs w:val="22"/>
                <w:lang w:val="sr-Latn-ME"/>
              </w:rPr>
              <w:t xml:space="preserve"> </w:t>
            </w:r>
            <w:r w:rsidRPr="001D6D86">
              <w:rPr>
                <w:rFonts w:eastAsia="Calibri"/>
                <w:sz w:val="22"/>
                <w:szCs w:val="22"/>
                <w:lang w:val="sr-Latn-ME"/>
              </w:rPr>
              <w:t>i</w:t>
            </w:r>
          </w:p>
        </w:tc>
        <w:tc>
          <w:tcPr>
            <w:tcW w:w="1714" w:type="dxa"/>
            <w:vMerge/>
            <w:tcBorders>
              <w:left w:val="single" w:sz="4" w:space="0" w:color="000000"/>
              <w:right w:val="single" w:sz="4" w:space="0" w:color="000000"/>
            </w:tcBorders>
          </w:tcPr>
          <w:p w14:paraId="5B5EEC96" w14:textId="77777777" w:rsidR="006B230D" w:rsidRPr="001D6D86" w:rsidRDefault="006B230D" w:rsidP="0026307D">
            <w:pPr>
              <w:widowControl w:val="0"/>
              <w:jc w:val="both"/>
              <w:rPr>
                <w:rFonts w:eastAsia="Calibri"/>
                <w:sz w:val="22"/>
                <w:szCs w:val="22"/>
                <w:lang w:val="sr-Latn-ME"/>
              </w:rPr>
            </w:pPr>
          </w:p>
        </w:tc>
        <w:tc>
          <w:tcPr>
            <w:tcW w:w="1402" w:type="dxa"/>
            <w:vMerge/>
            <w:tcBorders>
              <w:left w:val="single" w:sz="4" w:space="0" w:color="000000"/>
              <w:right w:val="single" w:sz="4" w:space="0" w:color="000000"/>
            </w:tcBorders>
          </w:tcPr>
          <w:p w14:paraId="63A71EF1" w14:textId="77777777" w:rsidR="006B230D" w:rsidRPr="001D6D86" w:rsidRDefault="006B230D" w:rsidP="0026307D">
            <w:pPr>
              <w:widowControl w:val="0"/>
              <w:jc w:val="both"/>
              <w:rPr>
                <w:rFonts w:eastAsia="Calibri"/>
                <w:sz w:val="22"/>
                <w:szCs w:val="22"/>
                <w:lang w:val="sr-Latn-ME"/>
              </w:rPr>
            </w:pPr>
          </w:p>
        </w:tc>
        <w:tc>
          <w:tcPr>
            <w:tcW w:w="1795" w:type="dxa"/>
            <w:tcBorders>
              <w:top w:val="nil"/>
              <w:left w:val="single" w:sz="4" w:space="0" w:color="000000"/>
              <w:bottom w:val="nil"/>
              <w:right w:val="single" w:sz="4" w:space="0" w:color="000000"/>
            </w:tcBorders>
          </w:tcPr>
          <w:p w14:paraId="1D5AE556" w14:textId="77777777" w:rsidR="006B230D" w:rsidRPr="001D6D86" w:rsidRDefault="006B230D" w:rsidP="0026307D">
            <w:pPr>
              <w:widowControl w:val="0"/>
              <w:spacing w:line="240" w:lineRule="exact"/>
              <w:ind w:left="105"/>
              <w:jc w:val="both"/>
              <w:rPr>
                <w:sz w:val="22"/>
                <w:szCs w:val="22"/>
                <w:lang w:val="sr-Latn-ME"/>
              </w:rPr>
            </w:pPr>
            <w:r w:rsidRPr="001D6D86">
              <w:rPr>
                <w:rFonts w:eastAsia="Calibri"/>
                <w:sz w:val="22"/>
                <w:szCs w:val="22"/>
                <w:lang w:val="sr-Latn-ME"/>
              </w:rPr>
              <w:t>miozitis),</w:t>
            </w:r>
          </w:p>
        </w:tc>
        <w:tc>
          <w:tcPr>
            <w:tcW w:w="1618" w:type="dxa"/>
            <w:vMerge/>
            <w:tcBorders>
              <w:left w:val="single" w:sz="4" w:space="0" w:color="000000"/>
              <w:right w:val="single" w:sz="4" w:space="0" w:color="000000"/>
            </w:tcBorders>
          </w:tcPr>
          <w:p w14:paraId="431CC94B" w14:textId="77777777" w:rsidR="006B230D" w:rsidRPr="001D6D86" w:rsidRDefault="006B230D" w:rsidP="0026307D">
            <w:pPr>
              <w:widowControl w:val="0"/>
              <w:jc w:val="both"/>
              <w:rPr>
                <w:rFonts w:eastAsia="Calibri"/>
                <w:sz w:val="22"/>
                <w:szCs w:val="22"/>
                <w:lang w:val="sr-Latn-ME"/>
              </w:rPr>
            </w:pPr>
          </w:p>
        </w:tc>
        <w:tc>
          <w:tcPr>
            <w:tcW w:w="1536" w:type="dxa"/>
            <w:vMerge/>
            <w:tcBorders>
              <w:left w:val="single" w:sz="4" w:space="0" w:color="000000"/>
              <w:right w:val="single" w:sz="4" w:space="0" w:color="000000"/>
            </w:tcBorders>
          </w:tcPr>
          <w:p w14:paraId="42630CCD" w14:textId="0B955EB6" w:rsidR="006B230D" w:rsidRPr="001D6D86" w:rsidRDefault="006B230D" w:rsidP="0026307D">
            <w:pPr>
              <w:widowControl w:val="0"/>
              <w:spacing w:line="240" w:lineRule="exact"/>
              <w:ind w:left="100"/>
              <w:jc w:val="both"/>
              <w:rPr>
                <w:sz w:val="22"/>
                <w:szCs w:val="22"/>
                <w:lang w:val="sr-Latn-ME"/>
              </w:rPr>
            </w:pPr>
          </w:p>
        </w:tc>
      </w:tr>
      <w:tr w:rsidR="006B230D" w:rsidRPr="001D6D86" w14:paraId="048FEA98" w14:textId="77777777" w:rsidTr="006B230D">
        <w:trPr>
          <w:trHeight w:val="1771"/>
        </w:trPr>
        <w:tc>
          <w:tcPr>
            <w:tcW w:w="1795" w:type="dxa"/>
            <w:tcBorders>
              <w:top w:val="nil"/>
              <w:left w:val="single" w:sz="4" w:space="0" w:color="000000"/>
              <w:bottom w:val="nil"/>
              <w:right w:val="single" w:sz="4" w:space="0" w:color="000000"/>
            </w:tcBorders>
          </w:tcPr>
          <w:p w14:paraId="23AF7674" w14:textId="77777777" w:rsidR="006B230D" w:rsidRPr="001D6D86" w:rsidRDefault="006B230D" w:rsidP="0026307D">
            <w:pPr>
              <w:widowControl w:val="0"/>
              <w:spacing w:line="240" w:lineRule="exact"/>
              <w:ind w:left="105"/>
              <w:jc w:val="both"/>
              <w:rPr>
                <w:sz w:val="22"/>
                <w:szCs w:val="22"/>
                <w:lang w:val="sr-Latn-ME"/>
              </w:rPr>
            </w:pPr>
            <w:r w:rsidRPr="001D6D86">
              <w:rPr>
                <w:rFonts w:eastAsia="Calibri"/>
                <w:sz w:val="22"/>
                <w:szCs w:val="22"/>
                <w:lang w:val="sr-Latn-ME"/>
              </w:rPr>
              <w:t>vezivnog</w:t>
            </w:r>
            <w:r w:rsidRPr="001D6D86">
              <w:rPr>
                <w:rFonts w:eastAsia="Calibri"/>
                <w:spacing w:val="-23"/>
                <w:sz w:val="22"/>
                <w:szCs w:val="22"/>
                <w:lang w:val="sr-Latn-ME"/>
              </w:rPr>
              <w:t xml:space="preserve"> </w:t>
            </w:r>
            <w:r w:rsidRPr="001D6D86">
              <w:rPr>
                <w:rFonts w:eastAsia="Calibri"/>
                <w:sz w:val="22"/>
                <w:szCs w:val="22"/>
                <w:lang w:val="sr-Latn-ME"/>
              </w:rPr>
              <w:t>tkiva</w:t>
            </w:r>
          </w:p>
        </w:tc>
        <w:tc>
          <w:tcPr>
            <w:tcW w:w="1714" w:type="dxa"/>
            <w:vMerge/>
            <w:tcBorders>
              <w:left w:val="single" w:sz="4" w:space="0" w:color="000000"/>
              <w:bottom w:val="nil"/>
              <w:right w:val="single" w:sz="4" w:space="0" w:color="000000"/>
            </w:tcBorders>
          </w:tcPr>
          <w:p w14:paraId="1D600EBE" w14:textId="77777777" w:rsidR="006B230D" w:rsidRPr="001D6D86" w:rsidRDefault="006B230D" w:rsidP="0026307D">
            <w:pPr>
              <w:widowControl w:val="0"/>
              <w:jc w:val="both"/>
              <w:rPr>
                <w:rFonts w:eastAsia="Calibri"/>
                <w:sz w:val="22"/>
                <w:szCs w:val="22"/>
                <w:lang w:val="sr-Latn-ME"/>
              </w:rPr>
            </w:pPr>
          </w:p>
        </w:tc>
        <w:tc>
          <w:tcPr>
            <w:tcW w:w="1402" w:type="dxa"/>
            <w:vMerge/>
            <w:tcBorders>
              <w:left w:val="single" w:sz="4" w:space="0" w:color="000000"/>
              <w:bottom w:val="nil"/>
              <w:right w:val="single" w:sz="4" w:space="0" w:color="000000"/>
            </w:tcBorders>
          </w:tcPr>
          <w:p w14:paraId="09225742" w14:textId="77777777" w:rsidR="006B230D" w:rsidRPr="001D6D86" w:rsidRDefault="006B230D" w:rsidP="0026307D">
            <w:pPr>
              <w:widowControl w:val="0"/>
              <w:jc w:val="both"/>
              <w:rPr>
                <w:rFonts w:eastAsia="Calibri"/>
                <w:sz w:val="22"/>
                <w:szCs w:val="22"/>
                <w:lang w:val="sr-Latn-ME"/>
              </w:rPr>
            </w:pPr>
          </w:p>
        </w:tc>
        <w:tc>
          <w:tcPr>
            <w:tcW w:w="1795" w:type="dxa"/>
            <w:tcBorders>
              <w:top w:val="nil"/>
              <w:left w:val="single" w:sz="4" w:space="0" w:color="000000"/>
              <w:bottom w:val="nil"/>
              <w:right w:val="single" w:sz="4" w:space="0" w:color="000000"/>
            </w:tcBorders>
          </w:tcPr>
          <w:p w14:paraId="057A365A" w14:textId="0A6A1114" w:rsidR="006B230D" w:rsidRPr="001D6D86" w:rsidRDefault="006B230D" w:rsidP="0026307D">
            <w:pPr>
              <w:widowControl w:val="0"/>
              <w:spacing w:line="240" w:lineRule="exact"/>
              <w:ind w:left="105"/>
              <w:jc w:val="both"/>
              <w:rPr>
                <w:rFonts w:eastAsia="Calibri"/>
                <w:spacing w:val="-3"/>
                <w:sz w:val="22"/>
                <w:szCs w:val="22"/>
                <w:lang w:val="sr-Latn-ME"/>
              </w:rPr>
            </w:pPr>
            <w:r w:rsidRPr="001D6D86">
              <w:rPr>
                <w:rFonts w:eastAsia="Calibri"/>
                <w:spacing w:val="-3"/>
                <w:sz w:val="22"/>
                <w:szCs w:val="22"/>
                <w:lang w:val="sr-Latn-ME"/>
              </w:rPr>
              <w:t>Rabdomioliza,</w:t>
            </w:r>
          </w:p>
          <w:p w14:paraId="3C83D717" w14:textId="77777777" w:rsidR="006B230D" w:rsidRPr="001D6D86" w:rsidRDefault="006B230D" w:rsidP="0026307D">
            <w:pPr>
              <w:widowControl w:val="0"/>
              <w:spacing w:line="240" w:lineRule="exact"/>
              <w:ind w:left="105"/>
              <w:jc w:val="both"/>
              <w:rPr>
                <w:sz w:val="22"/>
                <w:szCs w:val="22"/>
                <w:lang w:val="sr-Latn-ME"/>
              </w:rPr>
            </w:pPr>
            <w:r w:rsidRPr="001D6D86">
              <w:rPr>
                <w:rFonts w:eastAsia="Calibri"/>
                <w:spacing w:val="-3"/>
                <w:sz w:val="22"/>
                <w:szCs w:val="22"/>
                <w:lang w:val="sr-Latn-ME"/>
              </w:rPr>
              <w:t>Sindrom sličan lupusu, ruptura mišića</w:t>
            </w:r>
          </w:p>
        </w:tc>
        <w:tc>
          <w:tcPr>
            <w:tcW w:w="1618" w:type="dxa"/>
            <w:vMerge/>
            <w:tcBorders>
              <w:left w:val="single" w:sz="4" w:space="0" w:color="000000"/>
              <w:bottom w:val="nil"/>
              <w:right w:val="single" w:sz="4" w:space="0" w:color="000000"/>
            </w:tcBorders>
          </w:tcPr>
          <w:p w14:paraId="28DF5045" w14:textId="77777777" w:rsidR="006B230D" w:rsidRPr="001D6D86" w:rsidRDefault="006B230D" w:rsidP="0026307D">
            <w:pPr>
              <w:widowControl w:val="0"/>
              <w:jc w:val="both"/>
              <w:rPr>
                <w:rFonts w:eastAsia="Calibri"/>
                <w:sz w:val="22"/>
                <w:szCs w:val="22"/>
                <w:lang w:val="sr-Latn-ME"/>
              </w:rPr>
            </w:pPr>
          </w:p>
        </w:tc>
        <w:tc>
          <w:tcPr>
            <w:tcW w:w="1536" w:type="dxa"/>
            <w:vMerge/>
            <w:tcBorders>
              <w:left w:val="single" w:sz="4" w:space="0" w:color="000000"/>
              <w:bottom w:val="nil"/>
              <w:right w:val="single" w:sz="4" w:space="0" w:color="000000"/>
            </w:tcBorders>
          </w:tcPr>
          <w:p w14:paraId="1A17226A" w14:textId="46561F57" w:rsidR="006B230D" w:rsidRPr="001D6D86" w:rsidRDefault="006B230D" w:rsidP="0026307D">
            <w:pPr>
              <w:widowControl w:val="0"/>
              <w:spacing w:line="240" w:lineRule="exact"/>
              <w:ind w:left="100"/>
              <w:jc w:val="both"/>
              <w:rPr>
                <w:sz w:val="22"/>
                <w:szCs w:val="22"/>
                <w:lang w:val="sr-Latn-ME"/>
              </w:rPr>
            </w:pPr>
          </w:p>
        </w:tc>
      </w:tr>
      <w:tr w:rsidR="00030415" w:rsidRPr="001D6D86" w14:paraId="6C39FE01" w14:textId="77777777" w:rsidTr="006B230D">
        <w:trPr>
          <w:trHeight w:hRule="exact" w:val="768"/>
        </w:trPr>
        <w:tc>
          <w:tcPr>
            <w:tcW w:w="1795" w:type="dxa"/>
            <w:tcBorders>
              <w:top w:val="single" w:sz="4" w:space="0" w:color="000000"/>
              <w:left w:val="single" w:sz="4" w:space="0" w:color="000000"/>
              <w:bottom w:val="single" w:sz="4" w:space="0" w:color="000000"/>
              <w:right w:val="single" w:sz="4" w:space="0" w:color="000000"/>
            </w:tcBorders>
          </w:tcPr>
          <w:p w14:paraId="692247C0" w14:textId="77777777" w:rsidR="00030415" w:rsidRPr="001D6D86" w:rsidRDefault="00030415" w:rsidP="0026307D">
            <w:pPr>
              <w:widowControl w:val="0"/>
              <w:spacing w:line="242" w:lineRule="auto"/>
              <w:ind w:left="105" w:right="132"/>
              <w:jc w:val="both"/>
              <w:rPr>
                <w:sz w:val="22"/>
                <w:szCs w:val="22"/>
                <w:lang w:val="sr-Latn-ME"/>
              </w:rPr>
            </w:pPr>
            <w:r w:rsidRPr="001D6D86">
              <w:rPr>
                <w:rFonts w:eastAsia="Calibri"/>
                <w:sz w:val="22"/>
                <w:szCs w:val="22"/>
                <w:lang w:val="sr-Latn-ME"/>
              </w:rPr>
              <w:t>Poremećaji</w:t>
            </w:r>
            <w:r w:rsidRPr="001D6D86">
              <w:rPr>
                <w:rFonts w:eastAsia="Calibri"/>
                <w:spacing w:val="-2"/>
                <w:sz w:val="22"/>
                <w:szCs w:val="22"/>
                <w:lang w:val="sr-Latn-ME"/>
              </w:rPr>
              <w:t xml:space="preserve"> </w:t>
            </w:r>
            <w:r w:rsidRPr="001D6D86">
              <w:rPr>
                <w:rFonts w:eastAsia="Calibri"/>
                <w:spacing w:val="-3"/>
                <w:sz w:val="22"/>
                <w:szCs w:val="22"/>
                <w:lang w:val="sr-Latn-ME"/>
              </w:rPr>
              <w:t xml:space="preserve">bubrega </w:t>
            </w:r>
            <w:r w:rsidRPr="001D6D86">
              <w:rPr>
                <w:rFonts w:eastAsia="Calibri"/>
                <w:sz w:val="22"/>
                <w:szCs w:val="22"/>
                <w:lang w:val="sr-Latn-ME"/>
              </w:rPr>
              <w:t>i</w:t>
            </w:r>
            <w:r w:rsidRPr="001D6D86">
              <w:rPr>
                <w:rFonts w:eastAsia="Calibri"/>
                <w:spacing w:val="-42"/>
                <w:sz w:val="22"/>
                <w:szCs w:val="22"/>
                <w:lang w:val="sr-Latn-ME"/>
              </w:rPr>
              <w:t xml:space="preserve"> </w:t>
            </w:r>
            <w:r w:rsidRPr="001D6D86">
              <w:rPr>
                <w:rFonts w:eastAsia="Calibri"/>
                <w:sz w:val="22"/>
                <w:szCs w:val="22"/>
                <w:lang w:val="sr-Latn-ME"/>
              </w:rPr>
              <w:t>urinarnog</w:t>
            </w:r>
            <w:r w:rsidRPr="001D6D86">
              <w:rPr>
                <w:rFonts w:eastAsia="Calibri"/>
                <w:spacing w:val="-14"/>
                <w:sz w:val="22"/>
                <w:szCs w:val="22"/>
                <w:lang w:val="sr-Latn-ME"/>
              </w:rPr>
              <w:t xml:space="preserve"> </w:t>
            </w:r>
            <w:r w:rsidRPr="001D6D86">
              <w:rPr>
                <w:rFonts w:eastAsia="Calibri"/>
                <w:spacing w:val="-3"/>
                <w:sz w:val="22"/>
                <w:szCs w:val="22"/>
                <w:lang w:val="sr-Latn-ME"/>
              </w:rPr>
              <w:t>sistema</w:t>
            </w:r>
          </w:p>
        </w:tc>
        <w:tc>
          <w:tcPr>
            <w:tcW w:w="1714" w:type="dxa"/>
            <w:tcBorders>
              <w:top w:val="single" w:sz="4" w:space="0" w:color="000000"/>
              <w:left w:val="single" w:sz="4" w:space="0" w:color="000000"/>
              <w:bottom w:val="single" w:sz="4" w:space="0" w:color="000000"/>
              <w:right w:val="single" w:sz="4" w:space="0" w:color="000000"/>
            </w:tcBorders>
          </w:tcPr>
          <w:p w14:paraId="63279299" w14:textId="77777777" w:rsidR="00030415" w:rsidRPr="001D6D86" w:rsidRDefault="00030415" w:rsidP="0026307D">
            <w:pPr>
              <w:widowControl w:val="0"/>
              <w:jc w:val="both"/>
              <w:rPr>
                <w:rFonts w:eastAsia="Calibri"/>
                <w:sz w:val="22"/>
                <w:szCs w:val="22"/>
                <w:lang w:val="sr-Latn-ME"/>
              </w:rPr>
            </w:pPr>
          </w:p>
        </w:tc>
        <w:tc>
          <w:tcPr>
            <w:tcW w:w="1402" w:type="dxa"/>
            <w:tcBorders>
              <w:top w:val="single" w:sz="4" w:space="0" w:color="000000"/>
              <w:left w:val="single" w:sz="4" w:space="0" w:color="000000"/>
              <w:bottom w:val="single" w:sz="4" w:space="0" w:color="000000"/>
              <w:right w:val="single" w:sz="4" w:space="0" w:color="000000"/>
            </w:tcBorders>
          </w:tcPr>
          <w:p w14:paraId="002FEF79"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4A029A0C" w14:textId="77777777" w:rsidR="00030415" w:rsidRPr="001D6D86" w:rsidRDefault="00030415" w:rsidP="0026307D">
            <w:pPr>
              <w:widowControl w:val="0"/>
              <w:jc w:val="both"/>
              <w:rPr>
                <w:rFonts w:eastAsia="Calibri"/>
                <w:sz w:val="22"/>
                <w:szCs w:val="22"/>
                <w:lang w:val="sr-Latn-ME"/>
              </w:rPr>
            </w:pPr>
          </w:p>
        </w:tc>
        <w:tc>
          <w:tcPr>
            <w:tcW w:w="1618" w:type="dxa"/>
            <w:tcBorders>
              <w:top w:val="single" w:sz="4" w:space="0" w:color="000000"/>
              <w:left w:val="single" w:sz="4" w:space="0" w:color="000000"/>
              <w:bottom w:val="single" w:sz="4" w:space="0" w:color="000000"/>
              <w:right w:val="single" w:sz="4" w:space="0" w:color="000000"/>
            </w:tcBorders>
          </w:tcPr>
          <w:p w14:paraId="60DC94D4"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Hematurija</w:t>
            </w:r>
          </w:p>
        </w:tc>
        <w:tc>
          <w:tcPr>
            <w:tcW w:w="1536" w:type="dxa"/>
            <w:tcBorders>
              <w:top w:val="single" w:sz="4" w:space="0" w:color="000000"/>
              <w:left w:val="single" w:sz="4" w:space="0" w:color="000000"/>
              <w:bottom w:val="single" w:sz="4" w:space="0" w:color="000000"/>
              <w:right w:val="single" w:sz="4" w:space="0" w:color="000000"/>
            </w:tcBorders>
          </w:tcPr>
          <w:p w14:paraId="09466269" w14:textId="77777777" w:rsidR="00030415" w:rsidRPr="001D6D86" w:rsidRDefault="00030415" w:rsidP="0026307D">
            <w:pPr>
              <w:widowControl w:val="0"/>
              <w:jc w:val="both"/>
              <w:rPr>
                <w:rFonts w:eastAsia="Calibri"/>
                <w:sz w:val="22"/>
                <w:szCs w:val="22"/>
                <w:lang w:val="sr-Latn-ME"/>
              </w:rPr>
            </w:pPr>
          </w:p>
        </w:tc>
      </w:tr>
      <w:tr w:rsidR="00030415" w:rsidRPr="001D6D86" w14:paraId="40139846" w14:textId="77777777" w:rsidTr="006B230D">
        <w:trPr>
          <w:trHeight w:hRule="exact" w:val="773"/>
        </w:trPr>
        <w:tc>
          <w:tcPr>
            <w:tcW w:w="1795" w:type="dxa"/>
            <w:tcBorders>
              <w:top w:val="single" w:sz="4" w:space="0" w:color="000000"/>
              <w:left w:val="single" w:sz="4" w:space="0" w:color="000000"/>
              <w:bottom w:val="single" w:sz="4" w:space="0" w:color="000000"/>
              <w:right w:val="single" w:sz="4" w:space="0" w:color="000000"/>
            </w:tcBorders>
          </w:tcPr>
          <w:p w14:paraId="07D25E7C" w14:textId="77777777" w:rsidR="00030415" w:rsidRPr="001D6D86" w:rsidRDefault="00030415" w:rsidP="0026307D">
            <w:pPr>
              <w:widowControl w:val="0"/>
              <w:spacing w:line="242" w:lineRule="auto"/>
              <w:ind w:left="105" w:right="350"/>
              <w:jc w:val="both"/>
              <w:rPr>
                <w:sz w:val="22"/>
                <w:szCs w:val="22"/>
                <w:lang w:val="sr-Latn-ME"/>
              </w:rPr>
            </w:pPr>
            <w:r w:rsidRPr="001D6D86">
              <w:rPr>
                <w:rFonts w:eastAsia="Calibri"/>
                <w:sz w:val="22"/>
                <w:szCs w:val="22"/>
                <w:lang w:val="sr-Latn-ME"/>
              </w:rPr>
              <w:t>Poremećaji</w:t>
            </w:r>
            <w:r w:rsidRPr="001D6D86">
              <w:rPr>
                <w:rFonts w:eastAsia="Calibri"/>
                <w:spacing w:val="-2"/>
                <w:sz w:val="22"/>
                <w:szCs w:val="22"/>
                <w:lang w:val="sr-Latn-ME"/>
              </w:rPr>
              <w:t xml:space="preserve"> </w:t>
            </w:r>
            <w:r w:rsidRPr="001D6D86">
              <w:rPr>
                <w:rFonts w:eastAsia="Calibri"/>
                <w:spacing w:val="-3"/>
                <w:sz w:val="22"/>
                <w:szCs w:val="22"/>
                <w:lang w:val="sr-Latn-ME"/>
              </w:rPr>
              <w:t>reproduktivnog</w:t>
            </w:r>
            <w:r w:rsidRPr="001D6D86">
              <w:rPr>
                <w:rFonts w:eastAsia="Calibri"/>
                <w:spacing w:val="-48"/>
                <w:sz w:val="22"/>
                <w:szCs w:val="22"/>
                <w:lang w:val="sr-Latn-ME"/>
              </w:rPr>
              <w:t xml:space="preserve"> </w:t>
            </w:r>
            <w:r w:rsidRPr="001D6D86">
              <w:rPr>
                <w:rFonts w:eastAsia="Calibri"/>
                <w:sz w:val="22"/>
                <w:szCs w:val="22"/>
                <w:lang w:val="sr-Latn-ME"/>
              </w:rPr>
              <w:t>sistema i</w:t>
            </w:r>
            <w:r w:rsidRPr="001D6D86">
              <w:rPr>
                <w:rFonts w:eastAsia="Calibri"/>
                <w:spacing w:val="-9"/>
                <w:sz w:val="22"/>
                <w:szCs w:val="22"/>
                <w:lang w:val="sr-Latn-ME"/>
              </w:rPr>
              <w:t xml:space="preserve"> </w:t>
            </w:r>
            <w:r w:rsidRPr="001D6D86">
              <w:rPr>
                <w:rFonts w:eastAsia="Calibri"/>
                <w:spacing w:val="-4"/>
                <w:sz w:val="22"/>
                <w:szCs w:val="22"/>
                <w:lang w:val="sr-Latn-ME"/>
              </w:rPr>
              <w:t>dojki</w:t>
            </w:r>
          </w:p>
        </w:tc>
        <w:tc>
          <w:tcPr>
            <w:tcW w:w="1714" w:type="dxa"/>
            <w:tcBorders>
              <w:top w:val="single" w:sz="4" w:space="0" w:color="000000"/>
              <w:left w:val="single" w:sz="4" w:space="0" w:color="000000"/>
              <w:bottom w:val="single" w:sz="4" w:space="0" w:color="000000"/>
              <w:right w:val="single" w:sz="4" w:space="0" w:color="000000"/>
            </w:tcBorders>
          </w:tcPr>
          <w:p w14:paraId="2C7F60BD" w14:textId="77777777" w:rsidR="00030415" w:rsidRPr="001D6D86" w:rsidRDefault="00030415" w:rsidP="0026307D">
            <w:pPr>
              <w:widowControl w:val="0"/>
              <w:jc w:val="both"/>
              <w:rPr>
                <w:rFonts w:eastAsia="Calibri"/>
                <w:sz w:val="22"/>
                <w:szCs w:val="22"/>
                <w:lang w:val="sr-Latn-ME"/>
              </w:rPr>
            </w:pPr>
          </w:p>
        </w:tc>
        <w:tc>
          <w:tcPr>
            <w:tcW w:w="1402" w:type="dxa"/>
            <w:tcBorders>
              <w:top w:val="single" w:sz="4" w:space="0" w:color="000000"/>
              <w:left w:val="single" w:sz="4" w:space="0" w:color="000000"/>
              <w:bottom w:val="single" w:sz="4" w:space="0" w:color="000000"/>
              <w:right w:val="single" w:sz="4" w:space="0" w:color="000000"/>
            </w:tcBorders>
          </w:tcPr>
          <w:p w14:paraId="2DAEF426"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2BD92634" w14:textId="77777777" w:rsidR="00030415" w:rsidRPr="001D6D86" w:rsidRDefault="00030415" w:rsidP="0026307D">
            <w:pPr>
              <w:widowControl w:val="0"/>
              <w:jc w:val="both"/>
              <w:rPr>
                <w:rFonts w:eastAsia="Calibri"/>
                <w:sz w:val="22"/>
                <w:szCs w:val="22"/>
                <w:lang w:val="sr-Latn-ME"/>
              </w:rPr>
            </w:pPr>
          </w:p>
        </w:tc>
        <w:tc>
          <w:tcPr>
            <w:tcW w:w="1618" w:type="dxa"/>
            <w:tcBorders>
              <w:top w:val="single" w:sz="4" w:space="0" w:color="000000"/>
              <w:left w:val="single" w:sz="4" w:space="0" w:color="000000"/>
              <w:bottom w:val="single" w:sz="4" w:space="0" w:color="000000"/>
              <w:right w:val="single" w:sz="4" w:space="0" w:color="000000"/>
            </w:tcBorders>
          </w:tcPr>
          <w:p w14:paraId="449B6EE9"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z w:val="22"/>
                <w:szCs w:val="22"/>
                <w:lang w:val="sr-Latn-ME"/>
              </w:rPr>
              <w:t>Ginekomastija</w:t>
            </w:r>
          </w:p>
        </w:tc>
        <w:tc>
          <w:tcPr>
            <w:tcW w:w="1536" w:type="dxa"/>
            <w:tcBorders>
              <w:top w:val="single" w:sz="4" w:space="0" w:color="000000"/>
              <w:left w:val="single" w:sz="4" w:space="0" w:color="000000"/>
              <w:bottom w:val="single" w:sz="4" w:space="0" w:color="000000"/>
              <w:right w:val="single" w:sz="4" w:space="0" w:color="000000"/>
            </w:tcBorders>
          </w:tcPr>
          <w:p w14:paraId="19FAA834" w14:textId="77777777" w:rsidR="00030415" w:rsidRPr="001D6D86" w:rsidRDefault="00030415" w:rsidP="0026307D">
            <w:pPr>
              <w:widowControl w:val="0"/>
              <w:jc w:val="both"/>
              <w:rPr>
                <w:rFonts w:eastAsia="Calibri"/>
                <w:sz w:val="22"/>
                <w:szCs w:val="22"/>
                <w:lang w:val="sr-Latn-ME"/>
              </w:rPr>
            </w:pPr>
          </w:p>
        </w:tc>
      </w:tr>
      <w:tr w:rsidR="00030415" w:rsidRPr="001D6D86" w14:paraId="72A3A5BC" w14:textId="77777777" w:rsidTr="006B230D">
        <w:trPr>
          <w:trHeight w:hRule="exact" w:val="1022"/>
        </w:trPr>
        <w:tc>
          <w:tcPr>
            <w:tcW w:w="1795" w:type="dxa"/>
            <w:tcBorders>
              <w:top w:val="single" w:sz="4" w:space="0" w:color="000000"/>
              <w:left w:val="single" w:sz="4" w:space="0" w:color="000000"/>
              <w:bottom w:val="single" w:sz="4" w:space="0" w:color="000000"/>
              <w:right w:val="single" w:sz="4" w:space="0" w:color="000000"/>
            </w:tcBorders>
          </w:tcPr>
          <w:p w14:paraId="4AC596E9" w14:textId="5376D966" w:rsidR="00030415" w:rsidRPr="001D6D86" w:rsidRDefault="00030415" w:rsidP="0026307D">
            <w:pPr>
              <w:widowControl w:val="0"/>
              <w:spacing w:line="237" w:lineRule="auto"/>
              <w:ind w:left="105" w:right="187"/>
              <w:jc w:val="both"/>
              <w:rPr>
                <w:sz w:val="22"/>
                <w:szCs w:val="22"/>
                <w:lang w:val="sr-Latn-ME"/>
              </w:rPr>
            </w:pPr>
            <w:r w:rsidRPr="001D6D86">
              <w:rPr>
                <w:rFonts w:eastAsia="Calibri"/>
                <w:sz w:val="22"/>
                <w:szCs w:val="22"/>
                <w:lang w:val="sr-Latn-ME"/>
              </w:rPr>
              <w:lastRenderedPageBreak/>
              <w:t>Opšti</w:t>
            </w:r>
            <w:r w:rsidRPr="001D6D86">
              <w:rPr>
                <w:rFonts w:eastAsia="Calibri"/>
                <w:spacing w:val="-18"/>
                <w:sz w:val="22"/>
                <w:szCs w:val="22"/>
                <w:lang w:val="sr-Latn-ME"/>
              </w:rPr>
              <w:t xml:space="preserve"> </w:t>
            </w:r>
            <w:r w:rsidRPr="001D6D86">
              <w:rPr>
                <w:rFonts w:eastAsia="Calibri"/>
                <w:sz w:val="22"/>
                <w:szCs w:val="22"/>
                <w:lang w:val="sr-Latn-ME"/>
              </w:rPr>
              <w:t>poremećaji</w:t>
            </w:r>
            <w:r w:rsidRPr="001D6D86">
              <w:rPr>
                <w:rFonts w:eastAsia="Calibri"/>
                <w:spacing w:val="-2"/>
                <w:sz w:val="22"/>
                <w:szCs w:val="22"/>
                <w:lang w:val="sr-Latn-ME"/>
              </w:rPr>
              <w:t xml:space="preserve"> </w:t>
            </w:r>
            <w:r w:rsidRPr="001D6D86">
              <w:rPr>
                <w:rFonts w:eastAsia="Calibri"/>
                <w:sz w:val="22"/>
                <w:szCs w:val="22"/>
                <w:lang w:val="sr-Latn-ME"/>
              </w:rPr>
              <w:t>i reakcije</w:t>
            </w:r>
            <w:r w:rsidRPr="001D6D86">
              <w:rPr>
                <w:rFonts w:eastAsia="Calibri"/>
                <w:spacing w:val="-9"/>
                <w:sz w:val="22"/>
                <w:szCs w:val="22"/>
                <w:lang w:val="sr-Latn-ME"/>
              </w:rPr>
              <w:t xml:space="preserve"> </w:t>
            </w:r>
            <w:r w:rsidRPr="001D6D86">
              <w:rPr>
                <w:rFonts w:eastAsia="Calibri"/>
                <w:sz w:val="22"/>
                <w:szCs w:val="22"/>
                <w:lang w:val="sr-Latn-ME"/>
              </w:rPr>
              <w:t>na</w:t>
            </w:r>
            <w:r w:rsidRPr="001D6D86">
              <w:rPr>
                <w:rFonts w:eastAsia="Calibri"/>
                <w:spacing w:val="-2"/>
                <w:sz w:val="22"/>
                <w:szCs w:val="22"/>
                <w:lang w:val="sr-Latn-ME"/>
              </w:rPr>
              <w:t xml:space="preserve"> </w:t>
            </w:r>
            <w:r w:rsidRPr="001D6D86">
              <w:rPr>
                <w:rFonts w:eastAsia="Calibri"/>
                <w:spacing w:val="-3"/>
                <w:sz w:val="22"/>
                <w:szCs w:val="22"/>
                <w:lang w:val="sr-Latn-ME"/>
              </w:rPr>
              <w:t>m</w:t>
            </w:r>
            <w:r w:rsidR="00253AB4" w:rsidRPr="001D6D86">
              <w:rPr>
                <w:rFonts w:eastAsia="Calibri"/>
                <w:spacing w:val="-3"/>
                <w:sz w:val="22"/>
                <w:szCs w:val="22"/>
                <w:lang w:val="sr-Latn-ME"/>
              </w:rPr>
              <w:t>j</w:t>
            </w:r>
            <w:r w:rsidRPr="001D6D86">
              <w:rPr>
                <w:rFonts w:eastAsia="Calibri"/>
                <w:spacing w:val="-3"/>
                <w:sz w:val="22"/>
                <w:szCs w:val="22"/>
                <w:lang w:val="sr-Latn-ME"/>
              </w:rPr>
              <w:t>estu</w:t>
            </w:r>
            <w:r w:rsidRPr="001D6D86">
              <w:rPr>
                <w:rFonts w:eastAsia="Calibri"/>
                <w:sz w:val="22"/>
                <w:szCs w:val="22"/>
                <w:lang w:val="sr-Latn-ME"/>
              </w:rPr>
              <w:t xml:space="preserve"> prim</w:t>
            </w:r>
            <w:r w:rsidR="00253AB4" w:rsidRPr="001D6D86">
              <w:rPr>
                <w:rFonts w:eastAsia="Calibri"/>
                <w:sz w:val="22"/>
                <w:szCs w:val="22"/>
                <w:lang w:val="sr-Latn-ME"/>
              </w:rPr>
              <w:t>j</w:t>
            </w:r>
            <w:r w:rsidRPr="001D6D86">
              <w:rPr>
                <w:rFonts w:eastAsia="Calibri"/>
                <w:sz w:val="22"/>
                <w:szCs w:val="22"/>
                <w:lang w:val="sr-Latn-ME"/>
              </w:rPr>
              <w:t>ene</w:t>
            </w:r>
            <w:r w:rsidRPr="001D6D86">
              <w:rPr>
                <w:rFonts w:eastAsia="Calibri"/>
                <w:spacing w:val="-2"/>
                <w:sz w:val="22"/>
                <w:szCs w:val="22"/>
                <w:lang w:val="sr-Latn-ME"/>
              </w:rPr>
              <w:t xml:space="preserve"> </w:t>
            </w:r>
            <w:r w:rsidRPr="001D6D86">
              <w:rPr>
                <w:rFonts w:eastAsia="Calibri"/>
                <w:spacing w:val="-4"/>
                <w:sz w:val="22"/>
                <w:szCs w:val="22"/>
                <w:lang w:val="sr-Latn-ME"/>
              </w:rPr>
              <w:t>l</w:t>
            </w:r>
            <w:r w:rsidR="00253AB4" w:rsidRPr="001D6D86">
              <w:rPr>
                <w:rFonts w:eastAsia="Calibri"/>
                <w:spacing w:val="-4"/>
                <w:sz w:val="22"/>
                <w:szCs w:val="22"/>
                <w:lang w:val="sr-Latn-ME"/>
              </w:rPr>
              <w:t>ij</w:t>
            </w:r>
            <w:r w:rsidRPr="001D6D86">
              <w:rPr>
                <w:rFonts w:eastAsia="Calibri"/>
                <w:spacing w:val="-4"/>
                <w:sz w:val="22"/>
                <w:szCs w:val="22"/>
                <w:lang w:val="sr-Latn-ME"/>
              </w:rPr>
              <w:t>eka</w:t>
            </w:r>
          </w:p>
        </w:tc>
        <w:tc>
          <w:tcPr>
            <w:tcW w:w="1714" w:type="dxa"/>
            <w:tcBorders>
              <w:top w:val="single" w:sz="4" w:space="0" w:color="000000"/>
              <w:left w:val="single" w:sz="4" w:space="0" w:color="000000"/>
              <w:bottom w:val="single" w:sz="4" w:space="0" w:color="000000"/>
              <w:right w:val="single" w:sz="4" w:space="0" w:color="000000"/>
            </w:tcBorders>
          </w:tcPr>
          <w:p w14:paraId="193B4E8D" w14:textId="77777777" w:rsidR="00030415" w:rsidRPr="001D6D86" w:rsidRDefault="00030415" w:rsidP="0026307D">
            <w:pPr>
              <w:widowControl w:val="0"/>
              <w:spacing w:line="244" w:lineRule="exact"/>
              <w:ind w:left="105"/>
              <w:jc w:val="both"/>
              <w:rPr>
                <w:sz w:val="22"/>
                <w:szCs w:val="22"/>
                <w:lang w:val="sr-Latn-ME"/>
              </w:rPr>
            </w:pPr>
            <w:r w:rsidRPr="001D6D86">
              <w:rPr>
                <w:rFonts w:eastAsia="Calibri"/>
                <w:spacing w:val="-4"/>
                <w:sz w:val="22"/>
                <w:szCs w:val="22"/>
                <w:lang w:val="sr-Latn-ME"/>
              </w:rPr>
              <w:t>Astenija</w:t>
            </w:r>
          </w:p>
        </w:tc>
        <w:tc>
          <w:tcPr>
            <w:tcW w:w="1402" w:type="dxa"/>
            <w:tcBorders>
              <w:top w:val="single" w:sz="4" w:space="0" w:color="000000"/>
              <w:left w:val="single" w:sz="4" w:space="0" w:color="000000"/>
              <w:bottom w:val="single" w:sz="4" w:space="0" w:color="000000"/>
              <w:right w:val="single" w:sz="4" w:space="0" w:color="000000"/>
            </w:tcBorders>
          </w:tcPr>
          <w:p w14:paraId="13412BE6" w14:textId="77777777" w:rsidR="00030415" w:rsidRPr="001D6D86" w:rsidRDefault="00030415" w:rsidP="0026307D">
            <w:pPr>
              <w:widowControl w:val="0"/>
              <w:jc w:val="both"/>
              <w:rPr>
                <w:rFonts w:eastAsia="Calibri"/>
                <w:sz w:val="22"/>
                <w:szCs w:val="22"/>
                <w:lang w:val="sr-Latn-ME"/>
              </w:rPr>
            </w:pPr>
          </w:p>
        </w:tc>
        <w:tc>
          <w:tcPr>
            <w:tcW w:w="1795" w:type="dxa"/>
            <w:tcBorders>
              <w:top w:val="single" w:sz="4" w:space="0" w:color="000000"/>
              <w:left w:val="single" w:sz="4" w:space="0" w:color="000000"/>
              <w:bottom w:val="single" w:sz="4" w:space="0" w:color="000000"/>
              <w:right w:val="single" w:sz="4" w:space="0" w:color="000000"/>
            </w:tcBorders>
          </w:tcPr>
          <w:p w14:paraId="463DE4A1" w14:textId="77777777" w:rsidR="00030415" w:rsidRPr="001D6D86" w:rsidRDefault="00030415" w:rsidP="0026307D">
            <w:pPr>
              <w:widowControl w:val="0"/>
              <w:jc w:val="both"/>
              <w:rPr>
                <w:rFonts w:eastAsia="Calibri"/>
                <w:sz w:val="22"/>
                <w:szCs w:val="22"/>
                <w:lang w:val="sr-Latn-ME"/>
              </w:rPr>
            </w:pPr>
          </w:p>
        </w:tc>
        <w:tc>
          <w:tcPr>
            <w:tcW w:w="1618" w:type="dxa"/>
            <w:tcBorders>
              <w:top w:val="single" w:sz="4" w:space="0" w:color="000000"/>
              <w:left w:val="single" w:sz="4" w:space="0" w:color="000000"/>
              <w:bottom w:val="single" w:sz="4" w:space="0" w:color="000000"/>
              <w:right w:val="single" w:sz="4" w:space="0" w:color="000000"/>
            </w:tcBorders>
          </w:tcPr>
          <w:p w14:paraId="4F78D8AB" w14:textId="77777777" w:rsidR="00030415" w:rsidRPr="001D6D86" w:rsidRDefault="00030415" w:rsidP="0026307D">
            <w:pPr>
              <w:widowControl w:val="0"/>
              <w:jc w:val="both"/>
              <w:rPr>
                <w:rFonts w:eastAsia="Calibri"/>
                <w:sz w:val="22"/>
                <w:szCs w:val="22"/>
                <w:lang w:val="sr-Latn-ME"/>
              </w:rPr>
            </w:pPr>
          </w:p>
        </w:tc>
        <w:tc>
          <w:tcPr>
            <w:tcW w:w="1536" w:type="dxa"/>
            <w:tcBorders>
              <w:top w:val="single" w:sz="4" w:space="0" w:color="000000"/>
              <w:left w:val="single" w:sz="4" w:space="0" w:color="000000"/>
              <w:bottom w:val="single" w:sz="4" w:space="0" w:color="000000"/>
              <w:right w:val="single" w:sz="4" w:space="0" w:color="000000"/>
            </w:tcBorders>
          </w:tcPr>
          <w:p w14:paraId="6A1CEC57" w14:textId="77777777" w:rsidR="00030415" w:rsidRPr="001D6D86" w:rsidRDefault="00030415" w:rsidP="0026307D">
            <w:pPr>
              <w:widowControl w:val="0"/>
              <w:spacing w:line="244" w:lineRule="exact"/>
              <w:ind w:left="100"/>
              <w:jc w:val="both"/>
              <w:rPr>
                <w:sz w:val="22"/>
                <w:szCs w:val="22"/>
                <w:lang w:val="sr-Latn-ME"/>
              </w:rPr>
            </w:pPr>
            <w:r w:rsidRPr="001D6D86">
              <w:rPr>
                <w:rFonts w:eastAsia="Calibri"/>
                <w:sz w:val="22"/>
                <w:szCs w:val="22"/>
                <w:lang w:val="sr-Latn-ME"/>
              </w:rPr>
              <w:t>Edem</w:t>
            </w:r>
          </w:p>
        </w:tc>
      </w:tr>
      <w:tr w:rsidR="00030415" w:rsidRPr="001D6D86" w14:paraId="042CA65A" w14:textId="77777777" w:rsidTr="006B230D">
        <w:trPr>
          <w:trHeight w:hRule="exact" w:val="773"/>
        </w:trPr>
        <w:tc>
          <w:tcPr>
            <w:tcW w:w="9860" w:type="dxa"/>
            <w:gridSpan w:val="6"/>
            <w:tcBorders>
              <w:top w:val="single" w:sz="4" w:space="0" w:color="000000"/>
              <w:left w:val="single" w:sz="4" w:space="0" w:color="000000"/>
              <w:bottom w:val="single" w:sz="4" w:space="0" w:color="000000"/>
              <w:right w:val="single" w:sz="4" w:space="0" w:color="000000"/>
            </w:tcBorders>
          </w:tcPr>
          <w:p w14:paraId="0B1A1F3A" w14:textId="67199293" w:rsidR="00030415" w:rsidRPr="001D6D86" w:rsidRDefault="00030415" w:rsidP="0026307D">
            <w:pPr>
              <w:widowControl w:val="0"/>
              <w:spacing w:before="1" w:line="250" w:lineRule="exact"/>
              <w:ind w:left="105" w:right="357"/>
              <w:jc w:val="both"/>
              <w:rPr>
                <w:sz w:val="22"/>
                <w:szCs w:val="22"/>
                <w:lang w:val="sr-Latn-ME"/>
              </w:rPr>
            </w:pPr>
            <w:r w:rsidRPr="001D6D86">
              <w:rPr>
                <w:position w:val="10"/>
                <w:sz w:val="22"/>
                <w:szCs w:val="22"/>
                <w:lang w:val="sr-Latn-ME"/>
              </w:rPr>
              <w:t>1</w:t>
            </w:r>
            <w:r w:rsidRPr="001D6D86">
              <w:rPr>
                <w:spacing w:val="15"/>
                <w:position w:val="10"/>
                <w:sz w:val="22"/>
                <w:szCs w:val="22"/>
                <w:lang w:val="sr-Latn-ME"/>
              </w:rPr>
              <w:t xml:space="preserve"> </w:t>
            </w:r>
            <w:r w:rsidRPr="001D6D86">
              <w:rPr>
                <w:sz w:val="22"/>
                <w:szCs w:val="22"/>
                <w:lang w:val="sr-Latn-ME"/>
              </w:rPr>
              <w:t>Učestalost</w:t>
            </w:r>
            <w:r w:rsidRPr="001D6D86">
              <w:rPr>
                <w:spacing w:val="-2"/>
                <w:sz w:val="22"/>
                <w:szCs w:val="22"/>
                <w:lang w:val="sr-Latn-ME"/>
              </w:rPr>
              <w:t xml:space="preserve"> </w:t>
            </w:r>
            <w:r w:rsidRPr="001D6D86">
              <w:rPr>
                <w:sz w:val="22"/>
                <w:szCs w:val="22"/>
                <w:lang w:val="sr-Latn-ME"/>
              </w:rPr>
              <w:t>će</w:t>
            </w:r>
            <w:r w:rsidRPr="001D6D86">
              <w:rPr>
                <w:spacing w:val="-7"/>
                <w:sz w:val="22"/>
                <w:szCs w:val="22"/>
                <w:lang w:val="sr-Latn-ME"/>
              </w:rPr>
              <w:t xml:space="preserve"> </w:t>
            </w:r>
            <w:r w:rsidRPr="001D6D86">
              <w:rPr>
                <w:sz w:val="22"/>
                <w:szCs w:val="22"/>
                <w:lang w:val="sr-Latn-ME"/>
              </w:rPr>
              <w:t>zavisiti</w:t>
            </w:r>
            <w:r w:rsidRPr="001D6D86">
              <w:rPr>
                <w:spacing w:val="-7"/>
                <w:sz w:val="22"/>
                <w:szCs w:val="22"/>
                <w:lang w:val="sr-Latn-ME"/>
              </w:rPr>
              <w:t xml:space="preserve"> </w:t>
            </w:r>
            <w:r w:rsidRPr="001D6D86">
              <w:rPr>
                <w:sz w:val="22"/>
                <w:szCs w:val="22"/>
                <w:lang w:val="sr-Latn-ME"/>
              </w:rPr>
              <w:t>od</w:t>
            </w:r>
            <w:r w:rsidRPr="001D6D86">
              <w:rPr>
                <w:spacing w:val="-7"/>
                <w:sz w:val="22"/>
                <w:szCs w:val="22"/>
                <w:lang w:val="sr-Latn-ME"/>
              </w:rPr>
              <w:t xml:space="preserve"> </w:t>
            </w:r>
            <w:r w:rsidRPr="001D6D86">
              <w:rPr>
                <w:sz w:val="22"/>
                <w:szCs w:val="22"/>
                <w:lang w:val="sr-Latn-ME"/>
              </w:rPr>
              <w:t>prisustva</w:t>
            </w:r>
            <w:r w:rsidRPr="001D6D86">
              <w:rPr>
                <w:spacing w:val="-7"/>
                <w:sz w:val="22"/>
                <w:szCs w:val="22"/>
                <w:lang w:val="sr-Latn-ME"/>
              </w:rPr>
              <w:t xml:space="preserve"> </w:t>
            </w:r>
            <w:r w:rsidRPr="001D6D86">
              <w:rPr>
                <w:sz w:val="22"/>
                <w:szCs w:val="22"/>
                <w:lang w:val="sr-Latn-ME"/>
              </w:rPr>
              <w:t>ili</w:t>
            </w:r>
            <w:r w:rsidRPr="001D6D86">
              <w:rPr>
                <w:spacing w:val="-7"/>
                <w:sz w:val="22"/>
                <w:szCs w:val="22"/>
                <w:lang w:val="sr-Latn-ME"/>
              </w:rPr>
              <w:t xml:space="preserve"> </w:t>
            </w:r>
            <w:r w:rsidRPr="001D6D86">
              <w:rPr>
                <w:sz w:val="22"/>
                <w:szCs w:val="22"/>
                <w:lang w:val="sr-Latn-ME"/>
              </w:rPr>
              <w:t>odsustva</w:t>
            </w:r>
            <w:r w:rsidRPr="001D6D86">
              <w:rPr>
                <w:spacing w:val="-7"/>
                <w:sz w:val="22"/>
                <w:szCs w:val="22"/>
                <w:lang w:val="sr-Latn-ME"/>
              </w:rPr>
              <w:t xml:space="preserve"> </w:t>
            </w:r>
            <w:r w:rsidRPr="001D6D86">
              <w:rPr>
                <w:sz w:val="22"/>
                <w:szCs w:val="22"/>
                <w:lang w:val="sr-Latn-ME"/>
              </w:rPr>
              <w:t>faktora</w:t>
            </w:r>
            <w:r w:rsidRPr="001D6D86">
              <w:rPr>
                <w:spacing w:val="-7"/>
                <w:sz w:val="22"/>
                <w:szCs w:val="22"/>
                <w:lang w:val="sr-Latn-ME"/>
              </w:rPr>
              <w:t xml:space="preserve"> </w:t>
            </w:r>
            <w:r w:rsidRPr="001D6D86">
              <w:rPr>
                <w:sz w:val="22"/>
                <w:szCs w:val="22"/>
                <w:lang w:val="sr-Latn-ME"/>
              </w:rPr>
              <w:t>rizika</w:t>
            </w:r>
            <w:r w:rsidRPr="001D6D86">
              <w:rPr>
                <w:spacing w:val="-5"/>
                <w:sz w:val="22"/>
                <w:szCs w:val="22"/>
                <w:lang w:val="sr-Latn-ME"/>
              </w:rPr>
              <w:t xml:space="preserve"> </w:t>
            </w:r>
            <w:r w:rsidRPr="001D6D86">
              <w:rPr>
                <w:spacing w:val="-3"/>
                <w:sz w:val="22"/>
                <w:szCs w:val="22"/>
                <w:lang w:val="sr-Latn-ME"/>
              </w:rPr>
              <w:t>(koncentracija</w:t>
            </w:r>
            <w:r w:rsidRPr="001D6D86">
              <w:rPr>
                <w:spacing w:val="-1"/>
                <w:sz w:val="22"/>
                <w:szCs w:val="22"/>
                <w:lang w:val="sr-Latn-ME"/>
              </w:rPr>
              <w:t xml:space="preserve"> </w:t>
            </w:r>
            <w:r w:rsidRPr="001D6D86">
              <w:rPr>
                <w:spacing w:val="-4"/>
                <w:sz w:val="22"/>
                <w:szCs w:val="22"/>
                <w:lang w:val="sr-Latn-ME"/>
              </w:rPr>
              <w:t>glukoze</w:t>
            </w:r>
            <w:r w:rsidRPr="001D6D86">
              <w:rPr>
                <w:spacing w:val="-14"/>
                <w:sz w:val="22"/>
                <w:szCs w:val="22"/>
                <w:lang w:val="sr-Latn-ME"/>
              </w:rPr>
              <w:t xml:space="preserve"> </w:t>
            </w:r>
            <w:r w:rsidRPr="001D6D86">
              <w:rPr>
                <w:sz w:val="22"/>
                <w:szCs w:val="22"/>
                <w:lang w:val="sr-Latn-ME"/>
              </w:rPr>
              <w:t>u</w:t>
            </w:r>
            <w:r w:rsidRPr="001D6D86">
              <w:rPr>
                <w:spacing w:val="-3"/>
                <w:sz w:val="22"/>
                <w:szCs w:val="22"/>
                <w:lang w:val="sr-Latn-ME"/>
              </w:rPr>
              <w:t xml:space="preserve"> </w:t>
            </w:r>
            <w:r w:rsidRPr="001D6D86">
              <w:rPr>
                <w:sz w:val="22"/>
                <w:szCs w:val="22"/>
                <w:lang w:val="sr-Latn-ME"/>
              </w:rPr>
              <w:t>krvi</w:t>
            </w:r>
            <w:r w:rsidRPr="001D6D86">
              <w:rPr>
                <w:spacing w:val="-7"/>
                <w:sz w:val="22"/>
                <w:szCs w:val="22"/>
                <w:lang w:val="sr-Latn-ME"/>
              </w:rPr>
              <w:t xml:space="preserve"> </w:t>
            </w:r>
            <w:r w:rsidRPr="001D6D86">
              <w:rPr>
                <w:sz w:val="22"/>
                <w:szCs w:val="22"/>
                <w:lang w:val="sr-Latn-ME"/>
              </w:rPr>
              <w:t>pr</w:t>
            </w:r>
            <w:r w:rsidR="00253AB4" w:rsidRPr="001D6D86">
              <w:rPr>
                <w:sz w:val="22"/>
                <w:szCs w:val="22"/>
                <w:lang w:val="sr-Latn-ME"/>
              </w:rPr>
              <w:t>ij</w:t>
            </w:r>
            <w:r w:rsidRPr="001D6D86">
              <w:rPr>
                <w:sz w:val="22"/>
                <w:szCs w:val="22"/>
                <w:lang w:val="sr-Latn-ME"/>
              </w:rPr>
              <w:t>e</w:t>
            </w:r>
            <w:r w:rsidRPr="001D6D86">
              <w:rPr>
                <w:spacing w:val="-8"/>
                <w:sz w:val="22"/>
                <w:szCs w:val="22"/>
                <w:lang w:val="sr-Latn-ME"/>
              </w:rPr>
              <w:t xml:space="preserve"> </w:t>
            </w:r>
            <w:r w:rsidRPr="001D6D86">
              <w:rPr>
                <w:sz w:val="22"/>
                <w:szCs w:val="22"/>
                <w:lang w:val="sr-Latn-ME"/>
              </w:rPr>
              <w:t>obroka ≥5,6 mmol/</w:t>
            </w:r>
            <w:r w:rsidR="00253AB4" w:rsidRPr="001D6D86">
              <w:rPr>
                <w:sz w:val="22"/>
                <w:szCs w:val="22"/>
                <w:lang w:val="sr-Latn-ME"/>
              </w:rPr>
              <w:t>l</w:t>
            </w:r>
            <w:r w:rsidRPr="001D6D86">
              <w:rPr>
                <w:sz w:val="22"/>
                <w:szCs w:val="22"/>
                <w:lang w:val="sr-Latn-ME"/>
              </w:rPr>
              <w:t xml:space="preserve">, </w:t>
            </w:r>
            <w:r w:rsidRPr="001D6D86">
              <w:rPr>
                <w:spacing w:val="-3"/>
                <w:sz w:val="22"/>
                <w:szCs w:val="22"/>
                <w:lang w:val="sr-Latn-ME"/>
              </w:rPr>
              <w:t xml:space="preserve">BMI&gt;30 </w:t>
            </w:r>
            <w:r w:rsidRPr="001D6D86">
              <w:rPr>
                <w:spacing w:val="-4"/>
                <w:sz w:val="22"/>
                <w:szCs w:val="22"/>
                <w:lang w:val="sr-Latn-ME"/>
              </w:rPr>
              <w:t>kg/m</w:t>
            </w:r>
            <w:r w:rsidRPr="001D6D86">
              <w:rPr>
                <w:spacing w:val="-4"/>
                <w:position w:val="10"/>
                <w:sz w:val="22"/>
                <w:szCs w:val="22"/>
                <w:lang w:val="sr-Latn-ME"/>
              </w:rPr>
              <w:t>2</w:t>
            </w:r>
            <w:r w:rsidRPr="001D6D86">
              <w:rPr>
                <w:spacing w:val="-4"/>
                <w:sz w:val="22"/>
                <w:szCs w:val="22"/>
                <w:lang w:val="sr-Latn-ME"/>
              </w:rPr>
              <w:t xml:space="preserve">, </w:t>
            </w:r>
            <w:r w:rsidRPr="001D6D86">
              <w:rPr>
                <w:sz w:val="22"/>
                <w:szCs w:val="22"/>
                <w:lang w:val="sr-Latn-ME"/>
              </w:rPr>
              <w:t xml:space="preserve">povećana koncentracija triglicerida, </w:t>
            </w:r>
            <w:r w:rsidRPr="001D6D86">
              <w:rPr>
                <w:spacing w:val="-3"/>
                <w:sz w:val="22"/>
                <w:szCs w:val="22"/>
                <w:lang w:val="sr-Latn-ME"/>
              </w:rPr>
              <w:t xml:space="preserve">hipertenzija </w:t>
            </w:r>
            <w:r w:rsidRPr="001D6D86">
              <w:rPr>
                <w:sz w:val="22"/>
                <w:szCs w:val="22"/>
                <w:lang w:val="sr-Latn-ME"/>
              </w:rPr>
              <w:t>u</w:t>
            </w:r>
            <w:r w:rsidRPr="001D6D86">
              <w:rPr>
                <w:spacing w:val="-26"/>
                <w:sz w:val="22"/>
                <w:szCs w:val="22"/>
                <w:lang w:val="sr-Latn-ME"/>
              </w:rPr>
              <w:t xml:space="preserve"> </w:t>
            </w:r>
            <w:r w:rsidRPr="001D6D86">
              <w:rPr>
                <w:sz w:val="22"/>
                <w:szCs w:val="22"/>
                <w:lang w:val="sr-Latn-ME"/>
              </w:rPr>
              <w:t>anamnezi).</w:t>
            </w:r>
          </w:p>
        </w:tc>
      </w:tr>
    </w:tbl>
    <w:p w14:paraId="3FF6799A" w14:textId="77777777" w:rsidR="00030415" w:rsidRPr="001D6D86" w:rsidRDefault="00030415" w:rsidP="0026307D">
      <w:pPr>
        <w:widowControl w:val="0"/>
        <w:spacing w:before="1"/>
        <w:jc w:val="both"/>
        <w:rPr>
          <w:b/>
          <w:bCs/>
          <w:sz w:val="22"/>
          <w:szCs w:val="22"/>
          <w:lang w:val="sr-Latn-ME"/>
        </w:rPr>
      </w:pPr>
    </w:p>
    <w:p w14:paraId="79253171" w14:textId="67614B8B" w:rsidR="00030415" w:rsidRPr="001D6D86" w:rsidRDefault="00030415" w:rsidP="0026307D">
      <w:pPr>
        <w:tabs>
          <w:tab w:val="left" w:pos="540"/>
          <w:tab w:val="left" w:pos="569"/>
        </w:tabs>
        <w:jc w:val="both"/>
        <w:rPr>
          <w:sz w:val="22"/>
          <w:szCs w:val="22"/>
          <w:lang w:val="sr-Latn-ME"/>
        </w:rPr>
      </w:pPr>
      <w:r w:rsidRPr="001D6D86">
        <w:rPr>
          <w:sz w:val="22"/>
          <w:szCs w:val="22"/>
          <w:lang w:val="sr-Latn-ME"/>
        </w:rPr>
        <w:t>Kao i kod ostalih inhibitora HMG-CoA reduktaze, incidenca neželjenih reakcija na l</w:t>
      </w:r>
      <w:r w:rsidR="00253AB4" w:rsidRPr="001D6D86">
        <w:rPr>
          <w:sz w:val="22"/>
          <w:szCs w:val="22"/>
          <w:lang w:val="sr-Latn-ME"/>
        </w:rPr>
        <w:t>ij</w:t>
      </w:r>
      <w:r w:rsidRPr="001D6D86">
        <w:rPr>
          <w:sz w:val="22"/>
          <w:szCs w:val="22"/>
          <w:lang w:val="sr-Latn-ME"/>
        </w:rPr>
        <w:t>ek ima tendenciju da zavisi od doze.</w:t>
      </w:r>
    </w:p>
    <w:p w14:paraId="22E6BC8E" w14:textId="77777777" w:rsidR="00030415" w:rsidRPr="001D6D86" w:rsidRDefault="00030415" w:rsidP="0026307D">
      <w:pPr>
        <w:tabs>
          <w:tab w:val="left" w:pos="540"/>
          <w:tab w:val="left" w:pos="569"/>
        </w:tabs>
        <w:jc w:val="both"/>
        <w:rPr>
          <w:sz w:val="22"/>
          <w:szCs w:val="22"/>
          <w:u w:val="single"/>
          <w:lang w:val="sr-Latn-ME"/>
        </w:rPr>
      </w:pPr>
    </w:p>
    <w:p w14:paraId="0895E059" w14:textId="0B84C423" w:rsidR="00030415" w:rsidRPr="001D6D86" w:rsidRDefault="00030415" w:rsidP="0026307D">
      <w:pPr>
        <w:tabs>
          <w:tab w:val="left" w:pos="540"/>
          <w:tab w:val="left" w:pos="569"/>
        </w:tabs>
        <w:jc w:val="both"/>
        <w:rPr>
          <w:sz w:val="22"/>
          <w:szCs w:val="22"/>
          <w:lang w:val="sr-Latn-ME"/>
        </w:rPr>
      </w:pPr>
      <w:r w:rsidRPr="001D6D86">
        <w:rPr>
          <w:i/>
          <w:iCs/>
          <w:sz w:val="22"/>
          <w:szCs w:val="22"/>
          <w:lang w:val="sr-Latn-ME"/>
        </w:rPr>
        <w:t>Uticaj na funkciju bubrega</w:t>
      </w:r>
      <w:r w:rsidRPr="001D6D86">
        <w:rPr>
          <w:sz w:val="22"/>
          <w:szCs w:val="22"/>
          <w:lang w:val="sr-Latn-ME"/>
        </w:rPr>
        <w:t>: Kod pacijenata kod kojih je prim</w:t>
      </w:r>
      <w:r w:rsidR="00253AB4" w:rsidRPr="001D6D86">
        <w:rPr>
          <w:sz w:val="22"/>
          <w:szCs w:val="22"/>
          <w:lang w:val="sr-Latn-ME"/>
        </w:rPr>
        <w:t>j</w:t>
      </w:r>
      <w:r w:rsidRPr="001D6D86">
        <w:rPr>
          <w:sz w:val="22"/>
          <w:szCs w:val="22"/>
          <w:lang w:val="sr-Latn-ME"/>
        </w:rPr>
        <w:t>enjivan rosuvasatin, zab</w:t>
      </w:r>
      <w:r w:rsidR="00253AB4" w:rsidRPr="001D6D86">
        <w:rPr>
          <w:sz w:val="22"/>
          <w:szCs w:val="22"/>
          <w:lang w:val="sr-Latn-ME"/>
        </w:rPr>
        <w:t>ilj</w:t>
      </w:r>
      <w:r w:rsidRPr="001D6D86">
        <w:rPr>
          <w:sz w:val="22"/>
          <w:szCs w:val="22"/>
          <w:lang w:val="sr-Latn-ME"/>
        </w:rPr>
        <w:t>ežena je proteinurija, detektovana test trakom, pretežno tubularnog por</w:t>
      </w:r>
      <w:r w:rsidR="00253AB4" w:rsidRPr="001D6D86">
        <w:rPr>
          <w:sz w:val="22"/>
          <w:szCs w:val="22"/>
          <w:lang w:val="sr-Latn-ME"/>
        </w:rPr>
        <w:t>ij</w:t>
      </w:r>
      <w:r w:rsidRPr="001D6D86">
        <w:rPr>
          <w:sz w:val="22"/>
          <w:szCs w:val="22"/>
          <w:lang w:val="sr-Latn-ME"/>
        </w:rPr>
        <w:t>ekla. Prom</w:t>
      </w:r>
      <w:r w:rsidR="00253AB4" w:rsidRPr="001D6D86">
        <w:rPr>
          <w:sz w:val="22"/>
          <w:szCs w:val="22"/>
          <w:lang w:val="sr-Latn-ME"/>
        </w:rPr>
        <w:t>j</w:t>
      </w:r>
      <w:r w:rsidRPr="001D6D86">
        <w:rPr>
          <w:sz w:val="22"/>
          <w:szCs w:val="22"/>
          <w:lang w:val="sr-Latn-ME"/>
        </w:rPr>
        <w:t>ene vr</w:t>
      </w:r>
      <w:r w:rsidR="00253AB4" w:rsidRPr="001D6D86">
        <w:rPr>
          <w:sz w:val="22"/>
          <w:szCs w:val="22"/>
          <w:lang w:val="sr-Latn-ME"/>
        </w:rPr>
        <w:t>ij</w:t>
      </w:r>
      <w:r w:rsidRPr="001D6D86">
        <w:rPr>
          <w:sz w:val="22"/>
          <w:szCs w:val="22"/>
          <w:lang w:val="sr-Latn-ME"/>
        </w:rPr>
        <w:t>ednosti proteina u urinu „nema“ ili „u tragovima“ do „++“ ili više, zab</w:t>
      </w:r>
      <w:r w:rsidR="00253AB4" w:rsidRPr="001D6D86">
        <w:rPr>
          <w:sz w:val="22"/>
          <w:szCs w:val="22"/>
          <w:lang w:val="sr-Latn-ME"/>
        </w:rPr>
        <w:t>ilj</w:t>
      </w:r>
      <w:r w:rsidRPr="001D6D86">
        <w:rPr>
          <w:sz w:val="22"/>
          <w:szCs w:val="22"/>
          <w:lang w:val="sr-Latn-ME"/>
        </w:rPr>
        <w:t>ežene su kod &lt; 1% pacijenata tokom terapije dozama od 10 mg i 20 mg, i kod 3% pacijenata koji su primali dozu od 40 mg. Manji porast vr</w:t>
      </w:r>
      <w:r w:rsidR="00253AB4" w:rsidRPr="001D6D86">
        <w:rPr>
          <w:sz w:val="22"/>
          <w:szCs w:val="22"/>
          <w:lang w:val="sr-Latn-ME"/>
        </w:rPr>
        <w:t>ij</w:t>
      </w:r>
      <w:r w:rsidRPr="001D6D86">
        <w:rPr>
          <w:sz w:val="22"/>
          <w:szCs w:val="22"/>
          <w:lang w:val="sr-Latn-ME"/>
        </w:rPr>
        <w:t>ednosti od „nema“ ili „u tragovima“ do</w:t>
      </w:r>
      <w:r w:rsidR="00253AB4" w:rsidRPr="001D6D86">
        <w:rPr>
          <w:sz w:val="22"/>
          <w:szCs w:val="22"/>
          <w:lang w:val="sr-Latn-ME"/>
        </w:rPr>
        <w:t xml:space="preserve"> </w:t>
      </w:r>
      <w:r w:rsidRPr="001D6D86">
        <w:rPr>
          <w:sz w:val="22"/>
          <w:szCs w:val="22"/>
          <w:lang w:val="sr-Latn-ME"/>
        </w:rPr>
        <w:t>„+“,</w:t>
      </w:r>
      <w:r w:rsidR="00253AB4" w:rsidRPr="001D6D86">
        <w:rPr>
          <w:sz w:val="22"/>
          <w:szCs w:val="22"/>
          <w:lang w:val="sr-Latn-ME"/>
        </w:rPr>
        <w:t xml:space="preserve"> </w:t>
      </w:r>
      <w:r w:rsidRPr="001D6D86">
        <w:rPr>
          <w:sz w:val="22"/>
          <w:szCs w:val="22"/>
          <w:lang w:val="sr-Latn-ME"/>
        </w:rPr>
        <w:t>zab</w:t>
      </w:r>
      <w:r w:rsidR="00253AB4" w:rsidRPr="001D6D86">
        <w:rPr>
          <w:sz w:val="22"/>
          <w:szCs w:val="22"/>
          <w:lang w:val="sr-Latn-ME"/>
        </w:rPr>
        <w:t>ilj</w:t>
      </w:r>
      <w:r w:rsidRPr="001D6D86">
        <w:rPr>
          <w:sz w:val="22"/>
          <w:szCs w:val="22"/>
          <w:lang w:val="sr-Latn-ME"/>
        </w:rPr>
        <w:t>ežen je pri dozi od 20 mg. U većini slučajeva, proteinurija se smanjuje ili nestaje spontano tokom nastavka terapije. Podaci iz kliničkih studija i postmarketinškog iskustva ne ukazuju na povezanost između proteinurije i akutnog ili progresivnog oboljenja bubrega.</w:t>
      </w:r>
    </w:p>
    <w:p w14:paraId="78CC5B91" w14:textId="6D192C24" w:rsidR="00030415" w:rsidRPr="001D6D86" w:rsidRDefault="00030415" w:rsidP="0026307D">
      <w:pPr>
        <w:tabs>
          <w:tab w:val="left" w:pos="540"/>
          <w:tab w:val="left" w:pos="569"/>
        </w:tabs>
        <w:jc w:val="both"/>
        <w:rPr>
          <w:sz w:val="22"/>
          <w:szCs w:val="22"/>
          <w:lang w:val="sr-Latn-ME"/>
        </w:rPr>
      </w:pPr>
      <w:r w:rsidRPr="001D6D86">
        <w:rPr>
          <w:sz w:val="22"/>
          <w:szCs w:val="22"/>
          <w:lang w:val="sr-Latn-ME"/>
        </w:rPr>
        <w:t>Kod pacijenata kod kojih je prim</w:t>
      </w:r>
      <w:r w:rsidR="00253AB4" w:rsidRPr="001D6D86">
        <w:rPr>
          <w:sz w:val="22"/>
          <w:szCs w:val="22"/>
          <w:lang w:val="sr-Latn-ME"/>
        </w:rPr>
        <w:t>j</w:t>
      </w:r>
      <w:r w:rsidRPr="001D6D86">
        <w:rPr>
          <w:sz w:val="22"/>
          <w:szCs w:val="22"/>
          <w:lang w:val="sr-Latn-ME"/>
        </w:rPr>
        <w:t>enjivan rosuvastatin, zab</w:t>
      </w:r>
      <w:r w:rsidR="00253AB4" w:rsidRPr="001D6D86">
        <w:rPr>
          <w:sz w:val="22"/>
          <w:szCs w:val="22"/>
          <w:lang w:val="sr-Latn-ME"/>
        </w:rPr>
        <w:t>ilj</w:t>
      </w:r>
      <w:r w:rsidRPr="001D6D86">
        <w:rPr>
          <w:sz w:val="22"/>
          <w:szCs w:val="22"/>
          <w:lang w:val="sr-Latn-ME"/>
        </w:rPr>
        <w:t>ežena je pojava hematurije, a podaci iz kliničkih studija pokazuju da je stopa pojavljivanja mala.</w:t>
      </w:r>
    </w:p>
    <w:p w14:paraId="52E1D471" w14:textId="77777777" w:rsidR="00030415" w:rsidRPr="001D6D86" w:rsidRDefault="00030415" w:rsidP="0026307D">
      <w:pPr>
        <w:tabs>
          <w:tab w:val="left" w:pos="540"/>
          <w:tab w:val="left" w:pos="569"/>
        </w:tabs>
        <w:jc w:val="both"/>
        <w:rPr>
          <w:sz w:val="22"/>
          <w:szCs w:val="22"/>
          <w:lang w:val="sr-Latn-ME"/>
        </w:rPr>
      </w:pPr>
    </w:p>
    <w:p w14:paraId="3C9FDC2D" w14:textId="0B3EE3BB" w:rsidR="00030415" w:rsidRPr="001D6D86" w:rsidRDefault="00030415" w:rsidP="0026307D">
      <w:pPr>
        <w:tabs>
          <w:tab w:val="left" w:pos="540"/>
          <w:tab w:val="left" w:pos="569"/>
        </w:tabs>
        <w:jc w:val="both"/>
        <w:rPr>
          <w:sz w:val="22"/>
          <w:szCs w:val="22"/>
          <w:lang w:val="sr-Latn-ME"/>
        </w:rPr>
      </w:pPr>
      <w:r w:rsidRPr="001D6D86">
        <w:rPr>
          <w:i/>
          <w:iCs/>
          <w:sz w:val="22"/>
          <w:szCs w:val="22"/>
          <w:u w:val="single"/>
          <w:lang w:val="sr-Latn-ME"/>
        </w:rPr>
        <w:t>Uticaj na skeletne mišiće</w:t>
      </w:r>
      <w:r w:rsidRPr="001D6D86">
        <w:rPr>
          <w:sz w:val="22"/>
          <w:szCs w:val="22"/>
          <w:u w:val="single"/>
          <w:lang w:val="sr-Latn-ME"/>
        </w:rPr>
        <w:t xml:space="preserve">: </w:t>
      </w:r>
      <w:r w:rsidRPr="001D6D86">
        <w:rPr>
          <w:sz w:val="22"/>
          <w:szCs w:val="22"/>
          <w:lang w:val="sr-Latn-ME"/>
        </w:rPr>
        <w:t>Uticaj na skeletne mišiće, npr. mijalgija, miopatija (uključujući miozitis) i r</w:t>
      </w:r>
      <w:r w:rsidR="00253AB4" w:rsidRPr="001D6D86">
        <w:rPr>
          <w:sz w:val="22"/>
          <w:szCs w:val="22"/>
          <w:lang w:val="sr-Latn-ME"/>
        </w:rPr>
        <w:t>ij</w:t>
      </w:r>
      <w:r w:rsidRPr="001D6D86">
        <w:rPr>
          <w:sz w:val="22"/>
          <w:szCs w:val="22"/>
          <w:lang w:val="sr-Latn-ME"/>
        </w:rPr>
        <w:t>etko, rabdomioliza, sa ili bez akutne bubrežne insuficijencije, prijavljeni su kod pacijenata pri prim</w:t>
      </w:r>
      <w:r w:rsidR="00253AB4" w:rsidRPr="001D6D86">
        <w:rPr>
          <w:sz w:val="22"/>
          <w:szCs w:val="22"/>
          <w:lang w:val="sr-Latn-ME"/>
        </w:rPr>
        <w:t>j</w:t>
      </w:r>
      <w:r w:rsidRPr="001D6D86">
        <w:rPr>
          <w:sz w:val="22"/>
          <w:szCs w:val="22"/>
          <w:lang w:val="sr-Latn-ME"/>
        </w:rPr>
        <w:t>eni svih doza rosuvastatina, ali posebno dozama koje su veće od 20 mg.</w:t>
      </w:r>
    </w:p>
    <w:p w14:paraId="5BCE7E1E" w14:textId="77777777" w:rsidR="00030415" w:rsidRPr="001D6D86" w:rsidRDefault="00030415" w:rsidP="0026307D">
      <w:pPr>
        <w:tabs>
          <w:tab w:val="left" w:pos="540"/>
          <w:tab w:val="left" w:pos="569"/>
        </w:tabs>
        <w:jc w:val="both"/>
        <w:rPr>
          <w:sz w:val="22"/>
          <w:szCs w:val="22"/>
          <w:lang w:val="sr-Latn-ME"/>
        </w:rPr>
      </w:pPr>
    </w:p>
    <w:p w14:paraId="1BC92196" w14:textId="1D82DC57" w:rsidR="00030415" w:rsidRPr="001D6D86" w:rsidRDefault="00030415" w:rsidP="0026307D">
      <w:pPr>
        <w:tabs>
          <w:tab w:val="left" w:pos="540"/>
          <w:tab w:val="left" w:pos="569"/>
        </w:tabs>
        <w:jc w:val="both"/>
        <w:rPr>
          <w:sz w:val="22"/>
          <w:szCs w:val="22"/>
          <w:lang w:val="sr-Latn-ME"/>
        </w:rPr>
      </w:pPr>
      <w:r w:rsidRPr="001D6D86">
        <w:rPr>
          <w:sz w:val="22"/>
          <w:szCs w:val="22"/>
          <w:lang w:val="sr-Latn-ME"/>
        </w:rPr>
        <w:t>Dozno zavisno povećanje vr</w:t>
      </w:r>
      <w:r w:rsidR="00253AB4" w:rsidRPr="001D6D86">
        <w:rPr>
          <w:sz w:val="22"/>
          <w:szCs w:val="22"/>
          <w:lang w:val="sr-Latn-ME"/>
        </w:rPr>
        <w:t>ij</w:t>
      </w:r>
      <w:r w:rsidRPr="001D6D86">
        <w:rPr>
          <w:sz w:val="22"/>
          <w:szCs w:val="22"/>
          <w:lang w:val="sr-Latn-ME"/>
        </w:rPr>
        <w:t>ednosti CK, za</w:t>
      </w:r>
      <w:r w:rsidR="00253AB4" w:rsidRPr="001D6D86">
        <w:rPr>
          <w:sz w:val="22"/>
          <w:szCs w:val="22"/>
          <w:lang w:val="sr-Latn-ME"/>
        </w:rPr>
        <w:t>bilj</w:t>
      </w:r>
      <w:r w:rsidRPr="001D6D86">
        <w:rPr>
          <w:sz w:val="22"/>
          <w:szCs w:val="22"/>
          <w:lang w:val="sr-Latn-ME"/>
        </w:rPr>
        <w:t>ežen je kod pacijenata koji uzimaju rosuvastatin; većina ovih slučajeva bili su blagi, bez simptoma i prolazni. Ukoliko su vr</w:t>
      </w:r>
      <w:r w:rsidR="00253AB4" w:rsidRPr="001D6D86">
        <w:rPr>
          <w:sz w:val="22"/>
          <w:szCs w:val="22"/>
          <w:lang w:val="sr-Latn-ME"/>
        </w:rPr>
        <w:t>ij</w:t>
      </w:r>
      <w:r w:rsidRPr="001D6D86">
        <w:rPr>
          <w:sz w:val="22"/>
          <w:szCs w:val="22"/>
          <w:lang w:val="sr-Latn-ME"/>
        </w:rPr>
        <w:t>ednosti CK povećane u početku (više od pet puta od gornje granice normalnih vr</w:t>
      </w:r>
      <w:r w:rsidR="00253AB4" w:rsidRPr="001D6D86">
        <w:rPr>
          <w:sz w:val="22"/>
          <w:szCs w:val="22"/>
          <w:lang w:val="sr-Latn-ME"/>
        </w:rPr>
        <w:t>ij</w:t>
      </w:r>
      <w:r w:rsidRPr="001D6D86">
        <w:rPr>
          <w:sz w:val="22"/>
          <w:szCs w:val="22"/>
          <w:lang w:val="sr-Latn-ME"/>
        </w:rPr>
        <w:t>ednosti), terapiju treba prekinuti (vid</w:t>
      </w:r>
      <w:r w:rsidR="00253AB4" w:rsidRPr="001D6D86">
        <w:rPr>
          <w:sz w:val="22"/>
          <w:szCs w:val="22"/>
          <w:lang w:val="sr-Latn-ME"/>
        </w:rPr>
        <w:t>j</w:t>
      </w:r>
      <w:r w:rsidRPr="001D6D86">
        <w:rPr>
          <w:sz w:val="22"/>
          <w:szCs w:val="22"/>
          <w:lang w:val="sr-Latn-ME"/>
        </w:rPr>
        <w:t xml:space="preserve">eti </w:t>
      </w:r>
      <w:r w:rsidR="00253AB4" w:rsidRPr="001D6D86">
        <w:rPr>
          <w:sz w:val="22"/>
          <w:szCs w:val="22"/>
          <w:lang w:val="sr-Latn-ME"/>
        </w:rPr>
        <w:t>dio</w:t>
      </w:r>
      <w:r w:rsidRPr="001D6D86">
        <w:rPr>
          <w:sz w:val="22"/>
          <w:szCs w:val="22"/>
          <w:lang w:val="sr-Latn-ME"/>
        </w:rPr>
        <w:t xml:space="preserve"> 4.4).</w:t>
      </w:r>
    </w:p>
    <w:p w14:paraId="0E1A456C" w14:textId="77777777" w:rsidR="00030415" w:rsidRPr="001D6D86" w:rsidRDefault="00030415" w:rsidP="0026307D">
      <w:pPr>
        <w:tabs>
          <w:tab w:val="left" w:pos="540"/>
          <w:tab w:val="left" w:pos="569"/>
        </w:tabs>
        <w:jc w:val="both"/>
        <w:rPr>
          <w:sz w:val="22"/>
          <w:szCs w:val="22"/>
          <w:lang w:val="sr-Latn-ME"/>
        </w:rPr>
      </w:pPr>
    </w:p>
    <w:p w14:paraId="20E5F01E" w14:textId="688AED69" w:rsidR="00030415" w:rsidRPr="001D6D86" w:rsidRDefault="00030415" w:rsidP="0026307D">
      <w:pPr>
        <w:tabs>
          <w:tab w:val="left" w:pos="540"/>
          <w:tab w:val="left" w:pos="569"/>
        </w:tabs>
        <w:jc w:val="both"/>
        <w:rPr>
          <w:sz w:val="22"/>
          <w:szCs w:val="22"/>
          <w:lang w:val="sr-Latn-ME"/>
        </w:rPr>
      </w:pPr>
      <w:r w:rsidRPr="001D6D86">
        <w:rPr>
          <w:i/>
          <w:iCs/>
          <w:sz w:val="22"/>
          <w:szCs w:val="22"/>
          <w:u w:val="single"/>
          <w:lang w:val="sr-Latn-ME"/>
        </w:rPr>
        <w:t>Uticaj na funkciju jetre</w:t>
      </w:r>
      <w:r w:rsidRPr="001D6D86">
        <w:rPr>
          <w:sz w:val="22"/>
          <w:szCs w:val="22"/>
          <w:u w:val="single"/>
          <w:lang w:val="sr-Latn-ME"/>
        </w:rPr>
        <w:t xml:space="preserve">: </w:t>
      </w:r>
      <w:r w:rsidRPr="001D6D86">
        <w:rPr>
          <w:sz w:val="22"/>
          <w:szCs w:val="22"/>
          <w:lang w:val="sr-Latn-ME"/>
        </w:rPr>
        <w:t>Kao i sa drugim inhibitorima HMG-CoA reduktaze b</w:t>
      </w:r>
      <w:r w:rsidR="00253AB4" w:rsidRPr="001D6D86">
        <w:rPr>
          <w:sz w:val="22"/>
          <w:szCs w:val="22"/>
          <w:lang w:val="sr-Latn-ME"/>
        </w:rPr>
        <w:t>i</w:t>
      </w:r>
      <w:r w:rsidRPr="001D6D86">
        <w:rPr>
          <w:sz w:val="22"/>
          <w:szCs w:val="22"/>
          <w:lang w:val="sr-Latn-ME"/>
        </w:rPr>
        <w:t>l</w:t>
      </w:r>
      <w:r w:rsidR="00253AB4" w:rsidRPr="001D6D86">
        <w:rPr>
          <w:sz w:val="22"/>
          <w:szCs w:val="22"/>
          <w:lang w:val="sr-Latn-ME"/>
        </w:rPr>
        <w:t>j</w:t>
      </w:r>
      <w:r w:rsidRPr="001D6D86">
        <w:rPr>
          <w:sz w:val="22"/>
          <w:szCs w:val="22"/>
          <w:lang w:val="sr-Latn-ME"/>
        </w:rPr>
        <w:t>eži se dozno-zavisno povećanje vr</w:t>
      </w:r>
      <w:r w:rsidR="00253AB4" w:rsidRPr="001D6D86">
        <w:rPr>
          <w:sz w:val="22"/>
          <w:szCs w:val="22"/>
          <w:lang w:val="sr-Latn-ME"/>
        </w:rPr>
        <w:t>ij</w:t>
      </w:r>
      <w:r w:rsidRPr="001D6D86">
        <w:rPr>
          <w:sz w:val="22"/>
          <w:szCs w:val="22"/>
          <w:lang w:val="sr-Latn-ME"/>
        </w:rPr>
        <w:t>ednosti transaminaza kod malog broja pacijenata koji uzimaju rosuvastatin; većina ovih slučajeva bili su blagi, asimptomatski i prolazni.</w:t>
      </w:r>
    </w:p>
    <w:p w14:paraId="303964FF" w14:textId="77777777" w:rsidR="00030415" w:rsidRPr="001D6D86" w:rsidRDefault="00030415" w:rsidP="0026307D">
      <w:pPr>
        <w:tabs>
          <w:tab w:val="left" w:pos="540"/>
          <w:tab w:val="left" w:pos="569"/>
        </w:tabs>
        <w:jc w:val="both"/>
        <w:rPr>
          <w:sz w:val="22"/>
          <w:szCs w:val="22"/>
          <w:lang w:val="sr-Latn-ME"/>
        </w:rPr>
      </w:pPr>
    </w:p>
    <w:p w14:paraId="24E46A06" w14:textId="123482D8" w:rsidR="00030415" w:rsidRPr="001D6D86" w:rsidRDefault="00030415" w:rsidP="0026307D">
      <w:pPr>
        <w:tabs>
          <w:tab w:val="left" w:pos="540"/>
          <w:tab w:val="left" w:pos="569"/>
        </w:tabs>
        <w:jc w:val="both"/>
        <w:rPr>
          <w:sz w:val="22"/>
          <w:szCs w:val="22"/>
          <w:lang w:val="sr-Latn-ME"/>
        </w:rPr>
      </w:pPr>
      <w:r w:rsidRPr="001D6D86">
        <w:rPr>
          <w:sz w:val="22"/>
          <w:szCs w:val="22"/>
          <w:lang w:val="sr-Latn-ME"/>
        </w:rPr>
        <w:t>Sl</w:t>
      </w:r>
      <w:r w:rsidR="00840ADE" w:rsidRPr="001D6D86">
        <w:rPr>
          <w:sz w:val="22"/>
          <w:szCs w:val="22"/>
          <w:lang w:val="sr-Latn-ME"/>
        </w:rPr>
        <w:t>j</w:t>
      </w:r>
      <w:r w:rsidRPr="001D6D86">
        <w:rPr>
          <w:sz w:val="22"/>
          <w:szCs w:val="22"/>
          <w:lang w:val="sr-Latn-ME"/>
        </w:rPr>
        <w:t>edeće neželjene reakcije su prijavljene pri upotrebi nekih statina:</w:t>
      </w:r>
    </w:p>
    <w:p w14:paraId="69C4246B" w14:textId="77777777" w:rsidR="00030415" w:rsidRPr="001D6D86" w:rsidRDefault="00030415" w:rsidP="0026307D">
      <w:pPr>
        <w:numPr>
          <w:ilvl w:val="0"/>
          <w:numId w:val="15"/>
        </w:numPr>
        <w:tabs>
          <w:tab w:val="left" w:pos="540"/>
          <w:tab w:val="left" w:pos="569"/>
        </w:tabs>
        <w:jc w:val="both"/>
        <w:rPr>
          <w:sz w:val="22"/>
          <w:szCs w:val="22"/>
          <w:lang w:val="sr-Latn-ME"/>
        </w:rPr>
      </w:pPr>
      <w:r w:rsidRPr="001D6D86">
        <w:rPr>
          <w:sz w:val="22"/>
          <w:szCs w:val="22"/>
          <w:lang w:val="sr-Latn-ME"/>
        </w:rPr>
        <w:t>seksualna disfunkcija,</w:t>
      </w:r>
    </w:p>
    <w:p w14:paraId="24B61E93" w14:textId="50B75543" w:rsidR="00030415" w:rsidRPr="001D6D86" w:rsidRDefault="00030415" w:rsidP="0026307D">
      <w:pPr>
        <w:numPr>
          <w:ilvl w:val="0"/>
          <w:numId w:val="15"/>
        </w:numPr>
        <w:tabs>
          <w:tab w:val="left" w:pos="540"/>
          <w:tab w:val="left" w:pos="569"/>
        </w:tabs>
        <w:jc w:val="both"/>
        <w:rPr>
          <w:sz w:val="22"/>
          <w:szCs w:val="22"/>
          <w:lang w:val="sr-Latn-ME"/>
        </w:rPr>
      </w:pPr>
      <w:r w:rsidRPr="001D6D86">
        <w:rPr>
          <w:sz w:val="22"/>
          <w:szCs w:val="22"/>
          <w:lang w:val="sr-Latn-ME"/>
        </w:rPr>
        <w:t>u izuzetnim slučajevima javlja se intersticijalna bolest pluća, posebno kod dugoročne terapije (vid</w:t>
      </w:r>
      <w:r w:rsidR="00840ADE" w:rsidRPr="001D6D86">
        <w:rPr>
          <w:sz w:val="22"/>
          <w:szCs w:val="22"/>
          <w:lang w:val="sr-Latn-ME"/>
        </w:rPr>
        <w:t>j</w:t>
      </w:r>
      <w:r w:rsidRPr="001D6D86">
        <w:rPr>
          <w:sz w:val="22"/>
          <w:szCs w:val="22"/>
          <w:lang w:val="sr-Latn-ME"/>
        </w:rPr>
        <w:t xml:space="preserve">eti </w:t>
      </w:r>
      <w:r w:rsidR="00840ADE" w:rsidRPr="001D6D86">
        <w:rPr>
          <w:sz w:val="22"/>
          <w:szCs w:val="22"/>
          <w:lang w:val="sr-Latn-ME"/>
        </w:rPr>
        <w:t>dio</w:t>
      </w:r>
      <w:r w:rsidRPr="001D6D86">
        <w:rPr>
          <w:sz w:val="22"/>
          <w:szCs w:val="22"/>
          <w:lang w:val="sr-Latn-ME"/>
        </w:rPr>
        <w:t xml:space="preserve"> 4.4).</w:t>
      </w:r>
    </w:p>
    <w:p w14:paraId="79BFB0FC" w14:textId="404BBB5D" w:rsidR="00030415" w:rsidRPr="001D6D86" w:rsidRDefault="00030415" w:rsidP="0026307D">
      <w:pPr>
        <w:tabs>
          <w:tab w:val="left" w:pos="540"/>
          <w:tab w:val="left" w:pos="569"/>
        </w:tabs>
        <w:jc w:val="both"/>
        <w:rPr>
          <w:sz w:val="22"/>
          <w:szCs w:val="22"/>
          <w:lang w:val="sr-Latn-ME"/>
        </w:rPr>
      </w:pPr>
      <w:r w:rsidRPr="001D6D86">
        <w:rPr>
          <w:sz w:val="22"/>
          <w:szCs w:val="22"/>
          <w:lang w:val="sr-Latn-ME"/>
        </w:rPr>
        <w:t>Prijavljene stope rabdomiolize, teških bubrežnih događaja i teških hepatičkih događaja (koji se uglavnom ispoljavaju povećanjem vr</w:t>
      </w:r>
      <w:r w:rsidR="00840ADE" w:rsidRPr="001D6D86">
        <w:rPr>
          <w:sz w:val="22"/>
          <w:szCs w:val="22"/>
          <w:lang w:val="sr-Latn-ME"/>
        </w:rPr>
        <w:t>ij</w:t>
      </w:r>
      <w:r w:rsidRPr="001D6D86">
        <w:rPr>
          <w:sz w:val="22"/>
          <w:szCs w:val="22"/>
          <w:lang w:val="sr-Latn-ME"/>
        </w:rPr>
        <w:t>ednosti transaminaza jetre) veća je pri prim</w:t>
      </w:r>
      <w:r w:rsidR="003561C9" w:rsidRPr="001D6D86">
        <w:rPr>
          <w:sz w:val="22"/>
          <w:szCs w:val="22"/>
          <w:lang w:val="sr-Latn-ME"/>
        </w:rPr>
        <w:t>j</w:t>
      </w:r>
      <w:r w:rsidRPr="001D6D86">
        <w:rPr>
          <w:sz w:val="22"/>
          <w:szCs w:val="22"/>
          <w:lang w:val="sr-Latn-ME"/>
        </w:rPr>
        <w:t>eni doze od 40 mg.</w:t>
      </w:r>
    </w:p>
    <w:p w14:paraId="49F5AD9B" w14:textId="77777777" w:rsidR="00030415" w:rsidRPr="001D6D86" w:rsidRDefault="00030415" w:rsidP="0026307D">
      <w:pPr>
        <w:tabs>
          <w:tab w:val="left" w:pos="540"/>
          <w:tab w:val="left" w:pos="569"/>
        </w:tabs>
        <w:jc w:val="both"/>
        <w:rPr>
          <w:sz w:val="22"/>
          <w:szCs w:val="22"/>
          <w:lang w:val="sr-Latn-ME"/>
        </w:rPr>
      </w:pPr>
    </w:p>
    <w:p w14:paraId="7111E919" w14:textId="3DF6DD7A" w:rsidR="00030415" w:rsidRPr="001D6D86" w:rsidRDefault="00030415" w:rsidP="0026307D">
      <w:pPr>
        <w:tabs>
          <w:tab w:val="left" w:pos="540"/>
          <w:tab w:val="left" w:pos="569"/>
        </w:tabs>
        <w:jc w:val="both"/>
        <w:rPr>
          <w:sz w:val="22"/>
          <w:szCs w:val="22"/>
          <w:lang w:val="sr-Latn-ME"/>
        </w:rPr>
      </w:pPr>
      <w:r w:rsidRPr="001D6D86">
        <w:rPr>
          <w:i/>
          <w:iCs/>
          <w:sz w:val="22"/>
          <w:szCs w:val="22"/>
          <w:u w:val="single"/>
          <w:lang w:val="sr-Latn-ME"/>
        </w:rPr>
        <w:t>Pedijatrijska populacija</w:t>
      </w:r>
      <w:r w:rsidRPr="001D6D86">
        <w:rPr>
          <w:sz w:val="22"/>
          <w:szCs w:val="22"/>
          <w:lang w:val="sr-Latn-ME"/>
        </w:rPr>
        <w:t>: U jednom kliničkom ispitivanju koje je trajalo 52 ned</w:t>
      </w:r>
      <w:r w:rsidR="00840ADE" w:rsidRPr="001D6D86">
        <w:rPr>
          <w:sz w:val="22"/>
          <w:szCs w:val="22"/>
          <w:lang w:val="sr-Latn-ME"/>
        </w:rPr>
        <w:t>j</w:t>
      </w:r>
      <w:r w:rsidRPr="001D6D86">
        <w:rPr>
          <w:sz w:val="22"/>
          <w:szCs w:val="22"/>
          <w:lang w:val="sr-Latn-ME"/>
        </w:rPr>
        <w:t>elje, zab</w:t>
      </w:r>
      <w:r w:rsidR="00840ADE" w:rsidRPr="001D6D86">
        <w:rPr>
          <w:sz w:val="22"/>
          <w:szCs w:val="22"/>
          <w:lang w:val="sr-Latn-ME"/>
        </w:rPr>
        <w:t>ilj</w:t>
      </w:r>
      <w:r w:rsidRPr="001D6D86">
        <w:rPr>
          <w:sz w:val="22"/>
          <w:szCs w:val="22"/>
          <w:lang w:val="sr-Latn-ME"/>
        </w:rPr>
        <w:t>eženo je da se porast vr</w:t>
      </w:r>
      <w:r w:rsidR="00840ADE" w:rsidRPr="001D6D86">
        <w:rPr>
          <w:sz w:val="22"/>
          <w:szCs w:val="22"/>
          <w:lang w:val="sr-Latn-ME"/>
        </w:rPr>
        <w:t>ij</w:t>
      </w:r>
      <w:r w:rsidRPr="001D6D86">
        <w:rPr>
          <w:sz w:val="22"/>
          <w:szCs w:val="22"/>
          <w:lang w:val="sr-Latn-ME"/>
        </w:rPr>
        <w:t>ednosti kreatin kinaze (više od deset puta od gornje granice normalnih vr</w:t>
      </w:r>
      <w:r w:rsidR="00840ADE" w:rsidRPr="001D6D86">
        <w:rPr>
          <w:sz w:val="22"/>
          <w:szCs w:val="22"/>
          <w:lang w:val="sr-Latn-ME"/>
        </w:rPr>
        <w:t>ij</w:t>
      </w:r>
      <w:r w:rsidRPr="001D6D86">
        <w:rPr>
          <w:sz w:val="22"/>
          <w:szCs w:val="22"/>
          <w:lang w:val="sr-Latn-ME"/>
        </w:rPr>
        <w:t>ednosti) i simptomi u mišićima nakon v</w:t>
      </w:r>
      <w:r w:rsidR="00840ADE" w:rsidRPr="001D6D86">
        <w:rPr>
          <w:sz w:val="22"/>
          <w:szCs w:val="22"/>
          <w:lang w:val="sr-Latn-ME"/>
        </w:rPr>
        <w:t>j</w:t>
      </w:r>
      <w:r w:rsidRPr="001D6D86">
        <w:rPr>
          <w:sz w:val="22"/>
          <w:szCs w:val="22"/>
          <w:lang w:val="sr-Latn-ME"/>
        </w:rPr>
        <w:t>ežbanja i povećane fizičke aktivnosti češće javljaju kod d</w:t>
      </w:r>
      <w:r w:rsidR="00840ADE" w:rsidRPr="001D6D86">
        <w:rPr>
          <w:sz w:val="22"/>
          <w:szCs w:val="22"/>
          <w:lang w:val="sr-Latn-ME"/>
        </w:rPr>
        <w:t>j</w:t>
      </w:r>
      <w:r w:rsidRPr="001D6D86">
        <w:rPr>
          <w:sz w:val="22"/>
          <w:szCs w:val="22"/>
          <w:lang w:val="sr-Latn-ME"/>
        </w:rPr>
        <w:t>ece i adolescenata nego kod odraslih (vid</w:t>
      </w:r>
      <w:r w:rsidR="00840ADE" w:rsidRPr="001D6D86">
        <w:rPr>
          <w:sz w:val="22"/>
          <w:szCs w:val="22"/>
          <w:lang w:val="sr-Latn-ME"/>
        </w:rPr>
        <w:t>j</w:t>
      </w:r>
      <w:r w:rsidRPr="001D6D86">
        <w:rPr>
          <w:sz w:val="22"/>
          <w:szCs w:val="22"/>
          <w:lang w:val="sr-Latn-ME"/>
        </w:rPr>
        <w:t xml:space="preserve">eti </w:t>
      </w:r>
      <w:r w:rsidR="00840ADE" w:rsidRPr="001D6D86">
        <w:rPr>
          <w:sz w:val="22"/>
          <w:szCs w:val="22"/>
          <w:lang w:val="sr-Latn-ME"/>
        </w:rPr>
        <w:t>dio</w:t>
      </w:r>
      <w:r w:rsidRPr="001D6D86">
        <w:rPr>
          <w:sz w:val="22"/>
          <w:szCs w:val="22"/>
          <w:lang w:val="sr-Latn-ME"/>
        </w:rPr>
        <w:t xml:space="preserve"> 4.4). U svakom drugom pogledu, bezb</w:t>
      </w:r>
      <w:r w:rsidR="00840ADE" w:rsidRPr="001D6D86">
        <w:rPr>
          <w:sz w:val="22"/>
          <w:szCs w:val="22"/>
          <w:lang w:val="sr-Latn-ME"/>
        </w:rPr>
        <w:t>j</w:t>
      </w:r>
      <w:r w:rsidRPr="001D6D86">
        <w:rPr>
          <w:sz w:val="22"/>
          <w:szCs w:val="22"/>
          <w:lang w:val="sr-Latn-ME"/>
        </w:rPr>
        <w:t>ednosni profil rosuvastatina kod d</w:t>
      </w:r>
      <w:r w:rsidR="00840ADE" w:rsidRPr="001D6D86">
        <w:rPr>
          <w:sz w:val="22"/>
          <w:szCs w:val="22"/>
          <w:lang w:val="sr-Latn-ME"/>
        </w:rPr>
        <w:t>j</w:t>
      </w:r>
      <w:r w:rsidRPr="001D6D86">
        <w:rPr>
          <w:sz w:val="22"/>
          <w:szCs w:val="22"/>
          <w:lang w:val="sr-Latn-ME"/>
        </w:rPr>
        <w:t>ece i adolescenata je bio sličan bezb</w:t>
      </w:r>
      <w:r w:rsidR="00840ADE" w:rsidRPr="001D6D86">
        <w:rPr>
          <w:sz w:val="22"/>
          <w:szCs w:val="22"/>
          <w:lang w:val="sr-Latn-ME"/>
        </w:rPr>
        <w:t>j</w:t>
      </w:r>
      <w:r w:rsidRPr="001D6D86">
        <w:rPr>
          <w:sz w:val="22"/>
          <w:szCs w:val="22"/>
          <w:lang w:val="sr-Latn-ME"/>
        </w:rPr>
        <w:t>ednosnom profilu kod odraslih.</w:t>
      </w:r>
    </w:p>
    <w:p w14:paraId="681383BD" w14:textId="77777777" w:rsidR="00030415" w:rsidRPr="001D6D86" w:rsidRDefault="00030415" w:rsidP="0026307D">
      <w:pPr>
        <w:tabs>
          <w:tab w:val="left" w:pos="540"/>
          <w:tab w:val="left" w:pos="569"/>
        </w:tabs>
        <w:jc w:val="both"/>
        <w:rPr>
          <w:b/>
          <w:bCs/>
          <w:sz w:val="22"/>
          <w:szCs w:val="22"/>
          <w:lang w:val="sr-Latn-ME"/>
        </w:rPr>
      </w:pPr>
    </w:p>
    <w:p w14:paraId="428A2472" w14:textId="77777777" w:rsidR="005A23D2" w:rsidRPr="001D6D86" w:rsidRDefault="005A23D2" w:rsidP="0026307D">
      <w:pPr>
        <w:spacing w:after="200" w:line="276" w:lineRule="auto"/>
        <w:jc w:val="both"/>
        <w:rPr>
          <w:rFonts w:eastAsia="Calibri"/>
          <w:sz w:val="22"/>
          <w:szCs w:val="22"/>
          <w:u w:val="single"/>
          <w:lang w:val="sr-Latn-ME"/>
        </w:rPr>
      </w:pPr>
      <w:r w:rsidRPr="001D6D86">
        <w:rPr>
          <w:rFonts w:eastAsia="Calibri"/>
          <w:sz w:val="22"/>
          <w:szCs w:val="22"/>
          <w:u w:val="single"/>
          <w:lang w:val="sr-Latn-ME"/>
        </w:rPr>
        <w:t>Prijavljivanje sumnji na neželjena dejstva</w:t>
      </w:r>
    </w:p>
    <w:p w14:paraId="48A4FF6E" w14:textId="77777777" w:rsidR="005A23D2" w:rsidRPr="001D6D86" w:rsidRDefault="005A23D2" w:rsidP="00711079">
      <w:pPr>
        <w:spacing w:after="200"/>
        <w:jc w:val="both"/>
        <w:rPr>
          <w:rFonts w:eastAsia="Calibri"/>
          <w:sz w:val="22"/>
          <w:szCs w:val="22"/>
          <w:lang w:val="sr-Latn-ME"/>
        </w:rPr>
      </w:pPr>
      <w:r w:rsidRPr="001D6D86">
        <w:rPr>
          <w:rFonts w:eastAsia="Calibri"/>
          <w:sz w:val="22"/>
          <w:szCs w:val="22"/>
          <w:lang w:val="sr-Latn-ME"/>
        </w:rPr>
        <w:t>Prijavljivanje neželjenih dejstava nakon dobijanja dozvole je od velikog značaja jer obezbjeđuje kont</w:t>
      </w:r>
      <w:r w:rsidR="00EA5765" w:rsidRPr="001D6D86">
        <w:rPr>
          <w:rFonts w:eastAsia="Calibri"/>
          <w:sz w:val="22"/>
          <w:szCs w:val="22"/>
          <w:lang w:val="sr-Latn-ME"/>
        </w:rPr>
        <w:t>inuirano praćenje odnosa korist</w:t>
      </w:r>
      <w:r w:rsidRPr="001D6D86">
        <w:rPr>
          <w:rFonts w:eastAsia="Calibri"/>
          <w:sz w:val="22"/>
          <w:szCs w:val="22"/>
          <w:lang w:val="sr-Latn-ME"/>
        </w:rPr>
        <w:t>/rizik primjene lijeka. Zdravstveni radnici treba da prijave svaku sumnju na neželjeno</w:t>
      </w:r>
      <w:r w:rsidR="009B062A" w:rsidRPr="001D6D86">
        <w:rPr>
          <w:rFonts w:eastAsia="Calibri"/>
          <w:sz w:val="22"/>
          <w:szCs w:val="22"/>
          <w:lang w:val="sr-Latn-ME"/>
        </w:rPr>
        <w:t xml:space="preserve"> </w:t>
      </w:r>
      <w:r w:rsidRPr="001D6D86">
        <w:rPr>
          <w:rFonts w:eastAsia="Calibri"/>
          <w:sz w:val="22"/>
          <w:szCs w:val="22"/>
          <w:lang w:val="sr-Latn-ME"/>
        </w:rPr>
        <w:t xml:space="preserve">dejstvo ovog lijeka </w:t>
      </w:r>
      <w:r w:rsidR="004E70AD" w:rsidRPr="001D6D86">
        <w:rPr>
          <w:rFonts w:eastAsia="Calibri"/>
          <w:sz w:val="22"/>
          <w:szCs w:val="22"/>
          <w:lang w:val="sr-Latn-ME"/>
        </w:rPr>
        <w:t>Institutu</w:t>
      </w:r>
      <w:r w:rsidRPr="001D6D86">
        <w:rPr>
          <w:rFonts w:eastAsia="Calibri"/>
          <w:sz w:val="22"/>
          <w:szCs w:val="22"/>
          <w:lang w:val="sr-Latn-ME"/>
        </w:rPr>
        <w:t xml:space="preserve"> za ljekove i medicinska sredstva</w:t>
      </w:r>
      <w:r w:rsidR="004E70AD" w:rsidRPr="001D6D86">
        <w:rPr>
          <w:rFonts w:eastAsia="Calibri"/>
          <w:sz w:val="22"/>
          <w:szCs w:val="22"/>
          <w:lang w:val="sr-Latn-ME"/>
        </w:rPr>
        <w:t xml:space="preserve"> </w:t>
      </w:r>
      <w:r w:rsidRPr="001D6D86">
        <w:rPr>
          <w:rFonts w:eastAsia="Calibri"/>
          <w:sz w:val="22"/>
          <w:szCs w:val="22"/>
          <w:lang w:val="sr-Latn-ME"/>
        </w:rPr>
        <w:t>(</w:t>
      </w:r>
      <w:r w:rsidR="004E70AD" w:rsidRPr="001D6D86">
        <w:rPr>
          <w:rFonts w:eastAsia="Calibri"/>
          <w:sz w:val="22"/>
          <w:szCs w:val="22"/>
          <w:lang w:val="sr-Latn-ME"/>
        </w:rPr>
        <w:t>CInMED</w:t>
      </w:r>
      <w:r w:rsidRPr="001D6D86">
        <w:rPr>
          <w:rFonts w:eastAsia="Calibri"/>
          <w:sz w:val="22"/>
          <w:szCs w:val="22"/>
          <w:lang w:val="sr-Latn-ME"/>
        </w:rPr>
        <w:t>):</w:t>
      </w:r>
    </w:p>
    <w:p w14:paraId="7CE80CE1" w14:textId="77777777" w:rsidR="005A23D2" w:rsidRPr="001D6D86" w:rsidRDefault="004E70AD" w:rsidP="00711079">
      <w:pPr>
        <w:pStyle w:val="NoSpacing"/>
        <w:jc w:val="both"/>
        <w:rPr>
          <w:rFonts w:eastAsia="Calibri"/>
          <w:sz w:val="22"/>
          <w:szCs w:val="22"/>
          <w:lang w:val="sr-Latn-ME"/>
        </w:rPr>
      </w:pPr>
      <w:r w:rsidRPr="001D6D86">
        <w:rPr>
          <w:rFonts w:eastAsia="Calibri"/>
          <w:sz w:val="22"/>
          <w:szCs w:val="22"/>
          <w:lang w:val="sr-Latn-ME"/>
        </w:rPr>
        <w:t xml:space="preserve">Institut </w:t>
      </w:r>
      <w:r w:rsidR="005A23D2" w:rsidRPr="001D6D86">
        <w:rPr>
          <w:rFonts w:eastAsia="Calibri"/>
          <w:sz w:val="22"/>
          <w:szCs w:val="22"/>
          <w:lang w:val="sr-Latn-ME"/>
        </w:rPr>
        <w:t xml:space="preserve">za ljekove i medicinska sredstva </w:t>
      </w:r>
    </w:p>
    <w:p w14:paraId="6D42FF7C" w14:textId="77777777" w:rsidR="005A23D2" w:rsidRPr="001D6D86" w:rsidRDefault="005A23D2" w:rsidP="00711079">
      <w:pPr>
        <w:pStyle w:val="NoSpacing"/>
        <w:jc w:val="both"/>
        <w:rPr>
          <w:rFonts w:eastAsia="Calibri"/>
          <w:sz w:val="22"/>
          <w:szCs w:val="22"/>
          <w:lang w:val="sr-Latn-ME"/>
        </w:rPr>
      </w:pPr>
      <w:r w:rsidRPr="001D6D86">
        <w:rPr>
          <w:rFonts w:eastAsia="Calibri"/>
          <w:sz w:val="22"/>
          <w:szCs w:val="22"/>
          <w:lang w:val="sr-Latn-ME"/>
        </w:rPr>
        <w:t>Odjeljenje za farmakovigilancu</w:t>
      </w:r>
    </w:p>
    <w:p w14:paraId="3E5019AE" w14:textId="77777777" w:rsidR="00EA5765" w:rsidRPr="001D6D86" w:rsidRDefault="005A23D2" w:rsidP="00711079">
      <w:pPr>
        <w:pStyle w:val="NoSpacing"/>
        <w:jc w:val="both"/>
        <w:rPr>
          <w:rFonts w:eastAsia="Calibri"/>
          <w:sz w:val="22"/>
          <w:szCs w:val="22"/>
          <w:lang w:val="sr-Latn-ME"/>
        </w:rPr>
      </w:pPr>
      <w:r w:rsidRPr="001D6D86">
        <w:rPr>
          <w:rFonts w:eastAsia="Calibri"/>
          <w:sz w:val="22"/>
          <w:szCs w:val="22"/>
          <w:lang w:val="sr-Latn-ME"/>
        </w:rPr>
        <w:t>Bulevar Ivana Crnojevića 64a, 81000 Podgorica</w:t>
      </w:r>
    </w:p>
    <w:p w14:paraId="73E2139A" w14:textId="77777777" w:rsidR="005A23D2" w:rsidRPr="001D6D86" w:rsidRDefault="005A23D2" w:rsidP="00711079">
      <w:pPr>
        <w:pStyle w:val="NoSpacing"/>
        <w:jc w:val="both"/>
        <w:rPr>
          <w:rFonts w:eastAsia="Calibri"/>
          <w:sz w:val="22"/>
          <w:szCs w:val="22"/>
          <w:lang w:val="sr-Latn-ME"/>
        </w:rPr>
      </w:pPr>
      <w:r w:rsidRPr="001D6D86">
        <w:rPr>
          <w:rFonts w:eastAsia="Calibri"/>
          <w:sz w:val="22"/>
          <w:szCs w:val="22"/>
          <w:lang w:val="sr-Latn-ME"/>
        </w:rPr>
        <w:t>tel: +382 (0) 20 310 280</w:t>
      </w:r>
    </w:p>
    <w:p w14:paraId="4316EC03" w14:textId="77777777" w:rsidR="00EA5765" w:rsidRPr="001D6D86" w:rsidRDefault="005A23D2" w:rsidP="00711079">
      <w:pPr>
        <w:pStyle w:val="NoSpacing"/>
        <w:tabs>
          <w:tab w:val="left" w:pos="6720"/>
        </w:tabs>
        <w:jc w:val="both"/>
        <w:rPr>
          <w:rFonts w:eastAsia="Calibri"/>
          <w:sz w:val="22"/>
          <w:szCs w:val="22"/>
          <w:lang w:val="sr-Latn-ME"/>
        </w:rPr>
      </w:pPr>
      <w:r w:rsidRPr="001D6D86">
        <w:rPr>
          <w:rFonts w:eastAsia="Calibri"/>
          <w:sz w:val="22"/>
          <w:szCs w:val="22"/>
          <w:lang w:val="sr-Latn-ME"/>
        </w:rPr>
        <w:t>fax:</w:t>
      </w:r>
      <w:r w:rsidR="00EA5765" w:rsidRPr="001D6D86">
        <w:rPr>
          <w:rFonts w:eastAsia="Calibri"/>
          <w:sz w:val="22"/>
          <w:szCs w:val="22"/>
          <w:lang w:val="sr-Latn-ME"/>
        </w:rPr>
        <w:t xml:space="preserve"> </w:t>
      </w:r>
      <w:r w:rsidRPr="001D6D86">
        <w:rPr>
          <w:rFonts w:eastAsia="Calibri"/>
          <w:sz w:val="22"/>
          <w:szCs w:val="22"/>
          <w:lang w:val="sr-Latn-ME"/>
        </w:rPr>
        <w:t>+382 (0) 20 310 581</w:t>
      </w:r>
      <w:r w:rsidR="00FF3EDF" w:rsidRPr="001D6D86">
        <w:rPr>
          <w:rFonts w:eastAsia="Calibri"/>
          <w:sz w:val="22"/>
          <w:szCs w:val="22"/>
          <w:lang w:val="sr-Latn-ME"/>
        </w:rPr>
        <w:tab/>
      </w:r>
    </w:p>
    <w:p w14:paraId="61690CAC" w14:textId="77777777" w:rsidR="005A23D2" w:rsidRPr="001D6D86" w:rsidRDefault="00CB5230" w:rsidP="00711079">
      <w:pPr>
        <w:pStyle w:val="NoSpacing"/>
        <w:jc w:val="both"/>
        <w:rPr>
          <w:rFonts w:eastAsia="Calibri"/>
          <w:sz w:val="22"/>
          <w:szCs w:val="22"/>
          <w:lang w:val="sr-Latn-ME"/>
        </w:rPr>
      </w:pPr>
      <w:hyperlink r:id="rId8" w:history="1">
        <w:r w:rsidR="004E70AD" w:rsidRPr="001D6D86">
          <w:rPr>
            <w:rStyle w:val="Hyperlink"/>
            <w:rFonts w:eastAsia="Calibri"/>
            <w:sz w:val="22"/>
            <w:szCs w:val="22"/>
            <w:lang w:val="sr-Latn-ME"/>
          </w:rPr>
          <w:t>www.cinmed.me</w:t>
        </w:r>
      </w:hyperlink>
    </w:p>
    <w:p w14:paraId="16181DAB" w14:textId="77777777" w:rsidR="00EA5765" w:rsidRPr="001D6D86" w:rsidRDefault="00CB5230" w:rsidP="00711079">
      <w:pPr>
        <w:pStyle w:val="NoSpacing"/>
        <w:jc w:val="both"/>
        <w:rPr>
          <w:rFonts w:eastAsia="Calibri"/>
          <w:color w:val="0000FF"/>
          <w:sz w:val="22"/>
          <w:szCs w:val="22"/>
          <w:u w:val="single"/>
          <w:lang w:val="sr-Latn-ME"/>
        </w:rPr>
      </w:pPr>
      <w:hyperlink r:id="rId9" w:history="1">
        <w:r w:rsidR="004E70AD" w:rsidRPr="001D6D86">
          <w:rPr>
            <w:rStyle w:val="Hyperlink"/>
            <w:rFonts w:eastAsia="Calibri"/>
            <w:sz w:val="22"/>
            <w:szCs w:val="22"/>
            <w:lang w:val="sr-Latn-ME"/>
          </w:rPr>
          <w:t>nezeljenadejstva@cinmed.me</w:t>
        </w:r>
      </w:hyperlink>
    </w:p>
    <w:p w14:paraId="3636F446" w14:textId="77777777" w:rsidR="005A23D2" w:rsidRPr="001D6D86" w:rsidRDefault="005A23D2" w:rsidP="00711079">
      <w:pPr>
        <w:pStyle w:val="NoSpacing"/>
        <w:jc w:val="both"/>
        <w:rPr>
          <w:rFonts w:eastAsia="Calibri"/>
          <w:sz w:val="22"/>
          <w:szCs w:val="22"/>
          <w:lang w:val="sr-Latn-ME"/>
        </w:rPr>
      </w:pPr>
      <w:r w:rsidRPr="001D6D86">
        <w:rPr>
          <w:rFonts w:eastAsia="Calibri"/>
          <w:sz w:val="22"/>
          <w:szCs w:val="22"/>
          <w:lang w:val="sr-Latn-ME"/>
        </w:rPr>
        <w:t>putem IS zdravstvene zaštite</w:t>
      </w:r>
    </w:p>
    <w:p w14:paraId="75460262" w14:textId="77777777" w:rsidR="007E31E9" w:rsidRPr="001D6D86" w:rsidRDefault="007E31E9" w:rsidP="008A1005">
      <w:pPr>
        <w:pStyle w:val="NoSpacing"/>
        <w:jc w:val="both"/>
        <w:rPr>
          <w:rFonts w:eastAsia="Calibri"/>
          <w:sz w:val="22"/>
          <w:szCs w:val="22"/>
          <w:lang w:val="sr-Latn-ME"/>
        </w:rPr>
      </w:pPr>
      <w:r w:rsidRPr="001D6D86">
        <w:rPr>
          <w:rFonts w:eastAsia="Calibri"/>
          <w:sz w:val="22"/>
          <w:szCs w:val="22"/>
          <w:lang w:val="sr-Latn-ME"/>
        </w:rPr>
        <w:t>QR kod za online prijavu</w:t>
      </w:r>
      <w:r w:rsidR="00D74CD2" w:rsidRPr="001D6D86">
        <w:rPr>
          <w:rFonts w:eastAsia="Calibri"/>
          <w:sz w:val="22"/>
          <w:szCs w:val="22"/>
          <w:lang w:val="sr-Latn-ME"/>
        </w:rPr>
        <w:t xml:space="preserve"> sumnje na neželjeno dejstvo lijeka</w:t>
      </w:r>
      <w:r w:rsidRPr="001D6D86">
        <w:rPr>
          <w:rFonts w:eastAsia="Calibri"/>
          <w:sz w:val="22"/>
          <w:szCs w:val="22"/>
          <w:lang w:val="sr-Latn-ME"/>
        </w:rPr>
        <w:t>:</w:t>
      </w:r>
    </w:p>
    <w:p w14:paraId="19D66B74" w14:textId="77777777" w:rsidR="007E31E9" w:rsidRPr="001D6D86" w:rsidRDefault="007E31E9">
      <w:pPr>
        <w:pStyle w:val="NoSpacing"/>
        <w:jc w:val="both"/>
        <w:rPr>
          <w:rFonts w:eastAsia="Calibri"/>
          <w:sz w:val="22"/>
          <w:szCs w:val="22"/>
          <w:lang w:val="sr-Latn-ME"/>
        </w:rPr>
      </w:pPr>
    </w:p>
    <w:p w14:paraId="51E512BD" w14:textId="77777777" w:rsidR="004F17E2" w:rsidRPr="001D6D86" w:rsidRDefault="007E31E9" w:rsidP="0026307D">
      <w:pPr>
        <w:pStyle w:val="NoSpacing"/>
        <w:jc w:val="both"/>
        <w:rPr>
          <w:rFonts w:eastAsia="Calibri"/>
          <w:sz w:val="22"/>
          <w:szCs w:val="22"/>
          <w:lang w:val="sr-Latn-ME"/>
        </w:rPr>
      </w:pPr>
      <w:r w:rsidRPr="001D6D86">
        <w:rPr>
          <w:noProof/>
          <w:sz w:val="22"/>
          <w:szCs w:val="22"/>
        </w:rPr>
        <w:drawing>
          <wp:inline distT="0" distB="0" distL="0" distR="0" wp14:anchorId="4599B01D" wp14:editId="34062A8B">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C0CAF14" w14:textId="77777777" w:rsidR="00836B35" w:rsidRPr="001D6D86" w:rsidRDefault="00836B35" w:rsidP="0026307D">
      <w:pPr>
        <w:tabs>
          <w:tab w:val="left" w:pos="540"/>
          <w:tab w:val="left" w:pos="569"/>
        </w:tabs>
        <w:jc w:val="both"/>
        <w:rPr>
          <w:b/>
          <w:bCs/>
          <w:sz w:val="22"/>
          <w:szCs w:val="22"/>
          <w:lang w:val="sr-Latn-ME"/>
        </w:rPr>
      </w:pPr>
    </w:p>
    <w:p w14:paraId="6DA58AF9" w14:textId="77777777" w:rsidR="00CD6F02" w:rsidRPr="001D6D86" w:rsidRDefault="0072020E" w:rsidP="0026307D">
      <w:pPr>
        <w:tabs>
          <w:tab w:val="left" w:pos="540"/>
          <w:tab w:val="left" w:pos="569"/>
        </w:tabs>
        <w:jc w:val="both"/>
        <w:rPr>
          <w:b/>
          <w:bCs/>
          <w:sz w:val="22"/>
          <w:szCs w:val="22"/>
          <w:lang w:val="sr-Latn-ME"/>
        </w:rPr>
      </w:pPr>
      <w:r w:rsidRPr="001D6D86">
        <w:rPr>
          <w:b/>
          <w:bCs/>
          <w:sz w:val="22"/>
          <w:szCs w:val="22"/>
          <w:lang w:val="sr-Latn-ME"/>
        </w:rPr>
        <w:t xml:space="preserve">4.9. </w:t>
      </w:r>
      <w:r w:rsidR="00480FB1" w:rsidRPr="001D6D86">
        <w:rPr>
          <w:b/>
          <w:bCs/>
          <w:sz w:val="22"/>
          <w:szCs w:val="22"/>
          <w:lang w:val="sr-Latn-ME"/>
        </w:rPr>
        <w:tab/>
      </w:r>
      <w:r w:rsidRPr="001D6D86">
        <w:rPr>
          <w:b/>
          <w:bCs/>
          <w:sz w:val="22"/>
          <w:szCs w:val="22"/>
          <w:lang w:val="sr-Latn-ME"/>
        </w:rPr>
        <w:t>Predoziranje</w:t>
      </w:r>
      <w:r w:rsidR="002846DB" w:rsidRPr="001D6D86">
        <w:rPr>
          <w:b/>
          <w:bCs/>
          <w:sz w:val="22"/>
          <w:szCs w:val="22"/>
          <w:lang w:val="sr-Latn-ME"/>
        </w:rPr>
        <w:t xml:space="preserve"> </w:t>
      </w:r>
    </w:p>
    <w:p w14:paraId="02D16434" w14:textId="77777777" w:rsidR="00CD6F02" w:rsidRPr="001D6D86" w:rsidRDefault="00CD6F02" w:rsidP="0026307D">
      <w:pPr>
        <w:tabs>
          <w:tab w:val="left" w:pos="540"/>
          <w:tab w:val="left" w:pos="569"/>
        </w:tabs>
        <w:jc w:val="both"/>
        <w:rPr>
          <w:b/>
          <w:bCs/>
          <w:sz w:val="22"/>
          <w:szCs w:val="22"/>
          <w:lang w:val="sr-Latn-ME"/>
        </w:rPr>
      </w:pPr>
    </w:p>
    <w:p w14:paraId="6D712A69" w14:textId="14D8AEE3" w:rsidR="00030415" w:rsidRPr="001D6D86" w:rsidRDefault="00030415" w:rsidP="0026307D">
      <w:pPr>
        <w:tabs>
          <w:tab w:val="left" w:pos="540"/>
          <w:tab w:val="left" w:pos="569"/>
        </w:tabs>
        <w:jc w:val="both"/>
        <w:rPr>
          <w:sz w:val="22"/>
          <w:szCs w:val="22"/>
          <w:lang w:val="sr-Latn-ME"/>
        </w:rPr>
      </w:pPr>
      <w:r w:rsidRPr="001D6D86">
        <w:rPr>
          <w:sz w:val="22"/>
          <w:szCs w:val="22"/>
          <w:lang w:val="sr-Latn-ME"/>
        </w:rPr>
        <w:t>Ne postoji posebna terapija u slučaju predoziranja. U slučaju predoziranja, pacijente treba l</w:t>
      </w:r>
      <w:r w:rsidR="00840ADE" w:rsidRPr="001D6D86">
        <w:rPr>
          <w:sz w:val="22"/>
          <w:szCs w:val="22"/>
          <w:lang w:val="sr-Latn-ME"/>
        </w:rPr>
        <w:t>ij</w:t>
      </w:r>
      <w:r w:rsidRPr="001D6D86">
        <w:rPr>
          <w:sz w:val="22"/>
          <w:szCs w:val="22"/>
          <w:lang w:val="sr-Latn-ME"/>
        </w:rPr>
        <w:t>ečiti simtomatski i ako je potrebno uvesti i druge suportivne m</w:t>
      </w:r>
      <w:r w:rsidR="00840ADE" w:rsidRPr="001D6D86">
        <w:rPr>
          <w:sz w:val="22"/>
          <w:szCs w:val="22"/>
          <w:lang w:val="sr-Latn-ME"/>
        </w:rPr>
        <w:t>j</w:t>
      </w:r>
      <w:r w:rsidRPr="001D6D86">
        <w:rPr>
          <w:sz w:val="22"/>
          <w:szCs w:val="22"/>
          <w:lang w:val="sr-Latn-ME"/>
        </w:rPr>
        <w:t>ere. Potrebno je pratiti funkciju jetre i vr</w:t>
      </w:r>
      <w:r w:rsidR="00840ADE" w:rsidRPr="001D6D86">
        <w:rPr>
          <w:sz w:val="22"/>
          <w:szCs w:val="22"/>
          <w:lang w:val="sr-Latn-ME"/>
        </w:rPr>
        <w:t>ij</w:t>
      </w:r>
      <w:r w:rsidRPr="001D6D86">
        <w:rPr>
          <w:sz w:val="22"/>
          <w:szCs w:val="22"/>
          <w:lang w:val="sr-Latn-ME"/>
        </w:rPr>
        <w:t>ednosti CK. Hemodijaliza nije od koristi u ovom slučaju.</w:t>
      </w:r>
    </w:p>
    <w:p w14:paraId="35FDC82D" w14:textId="0B4FC266" w:rsidR="00227BDB" w:rsidRPr="001D6D86" w:rsidRDefault="00227BDB" w:rsidP="0026307D">
      <w:pPr>
        <w:tabs>
          <w:tab w:val="left" w:pos="540"/>
          <w:tab w:val="left" w:pos="569"/>
        </w:tabs>
        <w:jc w:val="both"/>
        <w:rPr>
          <w:b/>
          <w:bCs/>
          <w:sz w:val="22"/>
          <w:szCs w:val="22"/>
          <w:lang w:val="sr-Latn-ME"/>
        </w:rPr>
      </w:pPr>
    </w:p>
    <w:p w14:paraId="0DE18C6A" w14:textId="77777777" w:rsidR="00661FC8" w:rsidRPr="001D6D86" w:rsidRDefault="00661FC8" w:rsidP="0026307D">
      <w:pPr>
        <w:tabs>
          <w:tab w:val="left" w:pos="540"/>
          <w:tab w:val="left" w:pos="569"/>
        </w:tabs>
        <w:jc w:val="both"/>
        <w:rPr>
          <w:b/>
          <w:bCs/>
          <w:sz w:val="22"/>
          <w:szCs w:val="22"/>
          <w:lang w:val="sr-Latn-ME"/>
        </w:rPr>
      </w:pPr>
    </w:p>
    <w:p w14:paraId="63F54369" w14:textId="77777777" w:rsidR="0072020E" w:rsidRPr="001D6D86" w:rsidRDefault="0072020E" w:rsidP="0026307D">
      <w:pPr>
        <w:tabs>
          <w:tab w:val="left" w:pos="540"/>
          <w:tab w:val="left" w:pos="569"/>
        </w:tabs>
        <w:jc w:val="both"/>
        <w:rPr>
          <w:b/>
          <w:bCs/>
          <w:sz w:val="22"/>
          <w:szCs w:val="22"/>
          <w:lang w:val="sr-Latn-ME"/>
        </w:rPr>
      </w:pPr>
      <w:r w:rsidRPr="001D6D86">
        <w:rPr>
          <w:b/>
          <w:bCs/>
          <w:sz w:val="22"/>
          <w:szCs w:val="22"/>
          <w:lang w:val="sr-Latn-ME"/>
        </w:rPr>
        <w:t xml:space="preserve">5. </w:t>
      </w:r>
      <w:r w:rsidR="00480FB1" w:rsidRPr="001D6D86">
        <w:rPr>
          <w:b/>
          <w:bCs/>
          <w:sz w:val="22"/>
          <w:szCs w:val="22"/>
          <w:lang w:val="sr-Latn-ME"/>
        </w:rPr>
        <w:tab/>
      </w:r>
      <w:r w:rsidRPr="001D6D86">
        <w:rPr>
          <w:b/>
          <w:bCs/>
          <w:sz w:val="22"/>
          <w:szCs w:val="22"/>
          <w:lang w:val="sr-Latn-ME"/>
        </w:rPr>
        <w:t>FARMAKOLOŠK</w:t>
      </w:r>
      <w:r w:rsidR="000D425A" w:rsidRPr="001D6D86">
        <w:rPr>
          <w:b/>
          <w:bCs/>
          <w:sz w:val="22"/>
          <w:szCs w:val="22"/>
          <w:lang w:val="sr-Latn-ME"/>
        </w:rPr>
        <w:t>I</w:t>
      </w:r>
      <w:r w:rsidRPr="001D6D86">
        <w:rPr>
          <w:b/>
          <w:bCs/>
          <w:sz w:val="22"/>
          <w:szCs w:val="22"/>
          <w:lang w:val="sr-Latn-ME"/>
        </w:rPr>
        <w:t xml:space="preserve"> PODACI</w:t>
      </w:r>
    </w:p>
    <w:p w14:paraId="5327F48D" w14:textId="77777777" w:rsidR="0072020E" w:rsidRPr="001D6D86" w:rsidRDefault="0072020E" w:rsidP="0026307D">
      <w:pPr>
        <w:tabs>
          <w:tab w:val="left" w:pos="540"/>
          <w:tab w:val="left" w:pos="569"/>
        </w:tabs>
        <w:jc w:val="both"/>
        <w:rPr>
          <w:b/>
          <w:bCs/>
          <w:sz w:val="22"/>
          <w:szCs w:val="22"/>
          <w:lang w:val="sr-Latn-ME"/>
        </w:rPr>
      </w:pPr>
    </w:p>
    <w:p w14:paraId="3EDDA428" w14:textId="77777777" w:rsidR="0072020E" w:rsidRPr="001D6D86" w:rsidRDefault="0072020E" w:rsidP="0026307D">
      <w:pPr>
        <w:tabs>
          <w:tab w:val="left" w:pos="540"/>
          <w:tab w:val="left" w:pos="569"/>
        </w:tabs>
        <w:jc w:val="both"/>
        <w:rPr>
          <w:b/>
          <w:bCs/>
          <w:sz w:val="22"/>
          <w:szCs w:val="22"/>
          <w:lang w:val="sr-Latn-ME"/>
        </w:rPr>
      </w:pPr>
      <w:r w:rsidRPr="001D6D86">
        <w:rPr>
          <w:b/>
          <w:bCs/>
          <w:sz w:val="22"/>
          <w:szCs w:val="22"/>
          <w:lang w:val="sr-Latn-ME"/>
        </w:rPr>
        <w:t xml:space="preserve">5.1. </w:t>
      </w:r>
      <w:r w:rsidR="00480FB1" w:rsidRPr="001D6D86">
        <w:rPr>
          <w:b/>
          <w:bCs/>
          <w:sz w:val="22"/>
          <w:szCs w:val="22"/>
          <w:lang w:val="sr-Latn-ME"/>
        </w:rPr>
        <w:tab/>
      </w:r>
      <w:r w:rsidRPr="001D6D86">
        <w:rPr>
          <w:b/>
          <w:bCs/>
          <w:sz w:val="22"/>
          <w:szCs w:val="22"/>
          <w:lang w:val="sr-Latn-ME"/>
        </w:rPr>
        <w:t>Farmakodinamski podaci</w:t>
      </w:r>
      <w:r w:rsidR="003A7059" w:rsidRPr="001D6D86">
        <w:rPr>
          <w:b/>
          <w:bCs/>
          <w:sz w:val="22"/>
          <w:szCs w:val="22"/>
          <w:lang w:val="sr-Latn-ME"/>
        </w:rPr>
        <w:t xml:space="preserve"> </w:t>
      </w:r>
    </w:p>
    <w:p w14:paraId="57EF71B0" w14:textId="77777777" w:rsidR="00F45F77" w:rsidRPr="001D6D86" w:rsidRDefault="00F45F77" w:rsidP="0026307D">
      <w:pPr>
        <w:tabs>
          <w:tab w:val="left" w:pos="540"/>
          <w:tab w:val="left" w:pos="569"/>
        </w:tabs>
        <w:jc w:val="both"/>
        <w:rPr>
          <w:b/>
          <w:bCs/>
          <w:sz w:val="22"/>
          <w:szCs w:val="22"/>
          <w:lang w:val="sr-Latn-ME"/>
        </w:rPr>
      </w:pPr>
    </w:p>
    <w:p w14:paraId="17E96101" w14:textId="75CDC86B" w:rsidR="0072020E" w:rsidRPr="001D6D86" w:rsidRDefault="0072020E" w:rsidP="0026307D">
      <w:pPr>
        <w:tabs>
          <w:tab w:val="left" w:pos="540"/>
          <w:tab w:val="left" w:pos="569"/>
        </w:tabs>
        <w:jc w:val="both"/>
        <w:rPr>
          <w:bCs/>
          <w:sz w:val="22"/>
          <w:szCs w:val="22"/>
          <w:lang w:val="sr-Latn-ME"/>
        </w:rPr>
      </w:pPr>
      <w:r w:rsidRPr="001D6D86">
        <w:rPr>
          <w:bCs/>
          <w:sz w:val="22"/>
          <w:szCs w:val="22"/>
          <w:lang w:val="sr-Latn-ME"/>
        </w:rPr>
        <w:t>Farmakoterapijska grupa:</w:t>
      </w:r>
      <w:r w:rsidR="00030415" w:rsidRPr="001D6D86">
        <w:rPr>
          <w:rFonts w:eastAsiaTheme="minorHAnsi"/>
          <w:bCs/>
          <w:sz w:val="22"/>
          <w:szCs w:val="22"/>
          <w:lang w:val="sr-Latn-ME"/>
        </w:rPr>
        <w:t xml:space="preserve"> </w:t>
      </w:r>
      <w:r w:rsidR="00030415" w:rsidRPr="001D6D86">
        <w:rPr>
          <w:bCs/>
          <w:sz w:val="22"/>
          <w:szCs w:val="22"/>
          <w:lang w:val="sr-Latn-ME"/>
        </w:rPr>
        <w:t>sredstva koja smanjuju nivoe lipida u serumu (hipolipemici),</w:t>
      </w:r>
      <w:r w:rsidR="00030415" w:rsidRPr="001D6D86">
        <w:rPr>
          <w:b/>
          <w:bCs/>
          <w:sz w:val="22"/>
          <w:szCs w:val="22"/>
          <w:lang w:val="sr-Latn-ME"/>
        </w:rPr>
        <w:t xml:space="preserve"> </w:t>
      </w:r>
      <w:r w:rsidR="00030415" w:rsidRPr="001D6D86">
        <w:rPr>
          <w:bCs/>
          <w:sz w:val="22"/>
          <w:szCs w:val="22"/>
          <w:lang w:val="sr-Latn-ME"/>
        </w:rPr>
        <w:t>inhibitori HMG CoA reduktaze</w:t>
      </w:r>
    </w:p>
    <w:p w14:paraId="6F3B24B3" w14:textId="77777777" w:rsidR="0072020E" w:rsidRPr="001D6D86" w:rsidRDefault="0072020E" w:rsidP="0026307D">
      <w:pPr>
        <w:tabs>
          <w:tab w:val="left" w:pos="540"/>
          <w:tab w:val="left" w:pos="569"/>
        </w:tabs>
        <w:jc w:val="both"/>
        <w:rPr>
          <w:bCs/>
          <w:sz w:val="22"/>
          <w:szCs w:val="22"/>
          <w:lang w:val="sr-Latn-ME"/>
        </w:rPr>
      </w:pPr>
    </w:p>
    <w:p w14:paraId="4AFBCFDA" w14:textId="36F76DDA" w:rsidR="0072020E" w:rsidRPr="001D6D86" w:rsidRDefault="0072020E" w:rsidP="0026307D">
      <w:pPr>
        <w:tabs>
          <w:tab w:val="left" w:pos="540"/>
          <w:tab w:val="left" w:pos="569"/>
        </w:tabs>
        <w:jc w:val="both"/>
        <w:rPr>
          <w:bCs/>
          <w:sz w:val="22"/>
          <w:szCs w:val="22"/>
          <w:lang w:val="sr-Latn-ME"/>
        </w:rPr>
      </w:pPr>
      <w:r w:rsidRPr="001D6D86">
        <w:rPr>
          <w:bCs/>
          <w:sz w:val="22"/>
          <w:szCs w:val="22"/>
          <w:lang w:val="sr-Latn-ME"/>
        </w:rPr>
        <w:t>ATC kod:</w:t>
      </w:r>
      <w:r w:rsidR="00030415" w:rsidRPr="001D6D86">
        <w:rPr>
          <w:rFonts w:eastAsiaTheme="minorHAnsi"/>
          <w:sz w:val="22"/>
          <w:szCs w:val="22"/>
          <w:lang w:val="sr-Latn-ME"/>
        </w:rPr>
        <w:t xml:space="preserve"> </w:t>
      </w:r>
      <w:r w:rsidR="00030415" w:rsidRPr="001D6D86">
        <w:rPr>
          <w:bCs/>
          <w:sz w:val="22"/>
          <w:szCs w:val="22"/>
          <w:lang w:val="sr-Latn-ME"/>
        </w:rPr>
        <w:t>C10AA07</w:t>
      </w:r>
    </w:p>
    <w:p w14:paraId="20CDA915" w14:textId="77777777" w:rsidR="00030415" w:rsidRPr="001D6D86" w:rsidRDefault="00030415" w:rsidP="0026307D">
      <w:pPr>
        <w:tabs>
          <w:tab w:val="left" w:pos="540"/>
          <w:tab w:val="left" w:pos="569"/>
        </w:tabs>
        <w:jc w:val="both"/>
        <w:rPr>
          <w:bCs/>
          <w:sz w:val="22"/>
          <w:szCs w:val="22"/>
          <w:lang w:val="sr-Latn-ME"/>
        </w:rPr>
      </w:pPr>
    </w:p>
    <w:p w14:paraId="16E0FF10"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Mehanizam dejstva</w:t>
      </w:r>
    </w:p>
    <w:p w14:paraId="50A5C547"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Rosuvastatin je selektivni i kompetitivni inhibitor HMG-CoA reduktaze, enzima kojim se ograničava brzina kojom se konvertuje 3-hidroksi-3-metilglutaril koenzim A u mevalonat, koji je prekursor holesterola.</w:t>
      </w:r>
    </w:p>
    <w:p w14:paraId="6BC3585D" w14:textId="77777777" w:rsidR="003561C9" w:rsidRPr="001D6D86" w:rsidRDefault="00030415" w:rsidP="0026307D">
      <w:pPr>
        <w:tabs>
          <w:tab w:val="left" w:pos="540"/>
          <w:tab w:val="left" w:pos="569"/>
        </w:tabs>
        <w:jc w:val="both"/>
        <w:rPr>
          <w:bCs/>
          <w:sz w:val="22"/>
          <w:szCs w:val="22"/>
          <w:lang w:val="sr-Latn-ME"/>
        </w:rPr>
      </w:pPr>
      <w:r w:rsidRPr="001D6D86">
        <w:rPr>
          <w:bCs/>
          <w:sz w:val="22"/>
          <w:szCs w:val="22"/>
          <w:lang w:val="sr-Latn-ME"/>
        </w:rPr>
        <w:t>Primarno m</w:t>
      </w:r>
      <w:r w:rsidR="00840ADE" w:rsidRPr="001D6D86">
        <w:rPr>
          <w:bCs/>
          <w:sz w:val="22"/>
          <w:szCs w:val="22"/>
          <w:lang w:val="sr-Latn-ME"/>
        </w:rPr>
        <w:t>j</w:t>
      </w:r>
      <w:r w:rsidRPr="001D6D86">
        <w:rPr>
          <w:bCs/>
          <w:sz w:val="22"/>
          <w:szCs w:val="22"/>
          <w:lang w:val="sr-Latn-ME"/>
        </w:rPr>
        <w:t>esto d</w:t>
      </w:r>
      <w:r w:rsidR="00840ADE" w:rsidRPr="001D6D86">
        <w:rPr>
          <w:bCs/>
          <w:sz w:val="22"/>
          <w:szCs w:val="22"/>
          <w:lang w:val="sr-Latn-ME"/>
        </w:rPr>
        <w:t>j</w:t>
      </w:r>
      <w:r w:rsidRPr="001D6D86">
        <w:rPr>
          <w:bCs/>
          <w:sz w:val="22"/>
          <w:szCs w:val="22"/>
          <w:lang w:val="sr-Latn-ME"/>
        </w:rPr>
        <w:t>elovanja rosuvastatina je jetra, ciljni organ za smanjenje vr</w:t>
      </w:r>
      <w:r w:rsidR="00840ADE" w:rsidRPr="001D6D86">
        <w:rPr>
          <w:bCs/>
          <w:sz w:val="22"/>
          <w:szCs w:val="22"/>
          <w:lang w:val="sr-Latn-ME"/>
        </w:rPr>
        <w:t>ij</w:t>
      </w:r>
      <w:r w:rsidRPr="001D6D86">
        <w:rPr>
          <w:bCs/>
          <w:sz w:val="22"/>
          <w:szCs w:val="22"/>
          <w:lang w:val="sr-Latn-ME"/>
        </w:rPr>
        <w:t>ednosti holesterola.</w:t>
      </w:r>
    </w:p>
    <w:p w14:paraId="222FA7DB" w14:textId="5047C0FC"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Rosuvastatin dovodi do povećanja broja hepatičkih LDL receptora na površini ćelije, pojačava preuzimanje i katabolizam LDL čestica i inhibira hepatičku sintezu VLDL čestica, smanjujući na taj način ukupni broj čestica VLDL i LDL.</w:t>
      </w:r>
    </w:p>
    <w:p w14:paraId="19475162"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 </w:t>
      </w:r>
    </w:p>
    <w:p w14:paraId="6009D865"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Farmakodinamsko dejstvo</w:t>
      </w:r>
    </w:p>
    <w:p w14:paraId="74BF7294" w14:textId="2EF3E8C0"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Rosuvastatin smanjuje vr</w:t>
      </w:r>
      <w:r w:rsidR="00840ADE" w:rsidRPr="001D6D86">
        <w:rPr>
          <w:bCs/>
          <w:sz w:val="22"/>
          <w:szCs w:val="22"/>
          <w:lang w:val="sr-Latn-ME"/>
        </w:rPr>
        <w:t>ij</w:t>
      </w:r>
      <w:r w:rsidRPr="001D6D86">
        <w:rPr>
          <w:bCs/>
          <w:sz w:val="22"/>
          <w:szCs w:val="22"/>
          <w:lang w:val="sr-Latn-ME"/>
        </w:rPr>
        <w:t xml:space="preserve">ednosti povećanog LDL holesterola (engl. </w:t>
      </w:r>
      <w:r w:rsidRPr="001D6D86">
        <w:rPr>
          <w:bCs/>
          <w:i/>
          <w:sz w:val="22"/>
          <w:szCs w:val="22"/>
          <w:lang w:val="sr-Latn-ME"/>
        </w:rPr>
        <w:t>Low Density Lipoprotein-Cholesterol</w:t>
      </w:r>
      <w:r w:rsidRPr="001D6D86">
        <w:rPr>
          <w:bCs/>
          <w:sz w:val="22"/>
          <w:szCs w:val="22"/>
          <w:lang w:val="sr-Latn-ME"/>
        </w:rPr>
        <w:t>, LDL-C), ukupnog holesterola i triglicerida i povećava vr</w:t>
      </w:r>
      <w:r w:rsidR="00840ADE" w:rsidRPr="001D6D86">
        <w:rPr>
          <w:bCs/>
          <w:sz w:val="22"/>
          <w:szCs w:val="22"/>
          <w:lang w:val="sr-Latn-ME"/>
        </w:rPr>
        <w:t>ij</w:t>
      </w:r>
      <w:r w:rsidRPr="001D6D86">
        <w:rPr>
          <w:bCs/>
          <w:sz w:val="22"/>
          <w:szCs w:val="22"/>
          <w:lang w:val="sr-Latn-ME"/>
        </w:rPr>
        <w:t xml:space="preserve">ednosti HDL holesterola (engl. </w:t>
      </w:r>
      <w:r w:rsidRPr="001D6D86">
        <w:rPr>
          <w:bCs/>
          <w:i/>
          <w:sz w:val="22"/>
          <w:szCs w:val="22"/>
          <w:lang w:val="sr-Latn-ME"/>
        </w:rPr>
        <w:t>High Density Lipoprotein-Cholesterol</w:t>
      </w:r>
      <w:r w:rsidRPr="001D6D86">
        <w:rPr>
          <w:bCs/>
          <w:sz w:val="22"/>
          <w:szCs w:val="22"/>
          <w:lang w:val="sr-Latn-ME"/>
        </w:rPr>
        <w:t>, HDL-C). Rosuvastatin takođe smanjuje vr</w:t>
      </w:r>
      <w:r w:rsidR="00840ADE" w:rsidRPr="001D6D86">
        <w:rPr>
          <w:bCs/>
          <w:sz w:val="22"/>
          <w:szCs w:val="22"/>
          <w:lang w:val="sr-Latn-ME"/>
        </w:rPr>
        <w:t>ij</w:t>
      </w:r>
      <w:r w:rsidRPr="001D6D86">
        <w:rPr>
          <w:bCs/>
          <w:sz w:val="22"/>
          <w:szCs w:val="22"/>
          <w:lang w:val="sr-Latn-ME"/>
        </w:rPr>
        <w:t xml:space="preserve">ednosti apolipoproteina B (ApoB), </w:t>
      </w:r>
      <w:r w:rsidRPr="001D6D86">
        <w:rPr>
          <w:bCs/>
          <w:i/>
          <w:iCs/>
          <w:sz w:val="22"/>
          <w:szCs w:val="22"/>
          <w:lang w:val="sr-Latn-ME"/>
        </w:rPr>
        <w:t>non</w:t>
      </w:r>
      <w:r w:rsidRPr="001D6D86">
        <w:rPr>
          <w:bCs/>
          <w:sz w:val="22"/>
          <w:szCs w:val="22"/>
          <w:lang w:val="sr-Latn-ME"/>
        </w:rPr>
        <w:t xml:space="preserve">-HDL holesterola (engl. </w:t>
      </w:r>
      <w:r w:rsidRPr="001D6D86">
        <w:rPr>
          <w:bCs/>
          <w:i/>
          <w:sz w:val="22"/>
          <w:szCs w:val="22"/>
          <w:lang w:val="sr-Latn-ME"/>
        </w:rPr>
        <w:t>Non</w:t>
      </w:r>
      <w:r w:rsidRPr="001D6D86">
        <w:rPr>
          <w:bCs/>
          <w:sz w:val="22"/>
          <w:szCs w:val="22"/>
          <w:lang w:val="sr-Latn-ME"/>
        </w:rPr>
        <w:t>-</w:t>
      </w:r>
      <w:r w:rsidRPr="001D6D86">
        <w:rPr>
          <w:bCs/>
          <w:i/>
          <w:sz w:val="22"/>
          <w:szCs w:val="22"/>
          <w:lang w:val="sr-Latn-ME"/>
        </w:rPr>
        <w:t>high</w:t>
      </w:r>
      <w:r w:rsidRPr="001D6D86">
        <w:rPr>
          <w:bCs/>
          <w:sz w:val="22"/>
          <w:szCs w:val="22"/>
          <w:lang w:val="sr-Latn-ME"/>
        </w:rPr>
        <w:t>-</w:t>
      </w:r>
      <w:r w:rsidRPr="001D6D86">
        <w:rPr>
          <w:bCs/>
          <w:i/>
          <w:sz w:val="22"/>
          <w:szCs w:val="22"/>
          <w:lang w:val="sr-Latn-ME"/>
        </w:rPr>
        <w:t>density lipoprotein cholesterol,</w:t>
      </w:r>
      <w:r w:rsidR="00AD4C7A" w:rsidRPr="001D6D86">
        <w:rPr>
          <w:bCs/>
          <w:i/>
          <w:sz w:val="22"/>
          <w:szCs w:val="22"/>
          <w:lang w:val="sr-Latn-ME"/>
        </w:rPr>
        <w:t xml:space="preserve"> </w:t>
      </w:r>
      <w:r w:rsidRPr="001D6D86">
        <w:rPr>
          <w:bCs/>
          <w:i/>
          <w:sz w:val="22"/>
          <w:szCs w:val="22"/>
          <w:lang w:val="sr-Latn-ME"/>
        </w:rPr>
        <w:t>non</w:t>
      </w:r>
      <w:r w:rsidRPr="001D6D86">
        <w:rPr>
          <w:bCs/>
          <w:sz w:val="22"/>
          <w:szCs w:val="22"/>
          <w:lang w:val="sr-Latn-ME"/>
        </w:rPr>
        <w:t>-HDL-C), VLDL-holesterola, VLDL-C VLDL-triglicerida, i podiže vr</w:t>
      </w:r>
      <w:r w:rsidR="00840ADE" w:rsidRPr="001D6D86">
        <w:rPr>
          <w:bCs/>
          <w:sz w:val="22"/>
          <w:szCs w:val="22"/>
          <w:lang w:val="sr-Latn-ME"/>
        </w:rPr>
        <w:t>ij</w:t>
      </w:r>
      <w:r w:rsidRPr="001D6D86">
        <w:rPr>
          <w:bCs/>
          <w:sz w:val="22"/>
          <w:szCs w:val="22"/>
          <w:lang w:val="sr-Latn-ME"/>
        </w:rPr>
        <w:t>ednosti apolipoproteina ApoA-I (vid</w:t>
      </w:r>
      <w:r w:rsidR="003561C9" w:rsidRPr="001D6D86">
        <w:rPr>
          <w:bCs/>
          <w:sz w:val="22"/>
          <w:szCs w:val="22"/>
          <w:lang w:val="sr-Latn-ME"/>
        </w:rPr>
        <w:t>j</w:t>
      </w:r>
      <w:r w:rsidRPr="001D6D86">
        <w:rPr>
          <w:bCs/>
          <w:sz w:val="22"/>
          <w:szCs w:val="22"/>
          <w:lang w:val="sr-Latn-ME"/>
        </w:rPr>
        <w:t xml:space="preserve">eti Tabelu  3.). Rosuvastatin takođe smanjuje koeficijente LDL holesterol/HDL holesterol, ukupni holesterol/HDL holesterol i </w:t>
      </w:r>
      <w:r w:rsidRPr="001D6D86">
        <w:rPr>
          <w:bCs/>
          <w:i/>
          <w:iCs/>
          <w:sz w:val="22"/>
          <w:szCs w:val="22"/>
          <w:lang w:val="sr-Latn-ME"/>
        </w:rPr>
        <w:t>non</w:t>
      </w:r>
      <w:r w:rsidRPr="001D6D86">
        <w:rPr>
          <w:bCs/>
          <w:sz w:val="22"/>
          <w:szCs w:val="22"/>
          <w:lang w:val="sr-Latn-ME"/>
        </w:rPr>
        <w:t>- HDL holesterol/HDL holesterol i ApoB/ApoA-I.</w:t>
      </w:r>
    </w:p>
    <w:p w14:paraId="78E57C5D" w14:textId="77777777" w:rsidR="00030415" w:rsidRPr="001D6D86" w:rsidRDefault="00030415" w:rsidP="0026307D">
      <w:pPr>
        <w:tabs>
          <w:tab w:val="left" w:pos="540"/>
          <w:tab w:val="left" w:pos="569"/>
        </w:tabs>
        <w:jc w:val="both"/>
        <w:rPr>
          <w:bCs/>
          <w:sz w:val="22"/>
          <w:szCs w:val="22"/>
          <w:lang w:val="sr-Latn-ME"/>
        </w:rPr>
      </w:pPr>
    </w:p>
    <w:p w14:paraId="771D300E" w14:textId="15604E61"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Tabela 3. Terapijski odgovor kod pacijenata sa primarnom hiperholesterolemijom (tip IIa i IIb) u zavisnosti od doze (prilagođena srednja vr</w:t>
      </w:r>
      <w:r w:rsidR="00840ADE" w:rsidRPr="001D6D86">
        <w:rPr>
          <w:bCs/>
          <w:sz w:val="22"/>
          <w:szCs w:val="22"/>
          <w:lang w:val="sr-Latn-ME"/>
        </w:rPr>
        <w:t>ij</w:t>
      </w:r>
      <w:r w:rsidRPr="001D6D86">
        <w:rPr>
          <w:bCs/>
          <w:sz w:val="22"/>
          <w:szCs w:val="22"/>
          <w:lang w:val="sr-Latn-ME"/>
        </w:rPr>
        <w:t>ednost prom</w:t>
      </w:r>
      <w:r w:rsidR="00840ADE" w:rsidRPr="001D6D86">
        <w:rPr>
          <w:bCs/>
          <w:sz w:val="22"/>
          <w:szCs w:val="22"/>
          <w:lang w:val="sr-Latn-ME"/>
        </w:rPr>
        <w:t>j</w:t>
      </w:r>
      <w:r w:rsidRPr="001D6D86">
        <w:rPr>
          <w:bCs/>
          <w:sz w:val="22"/>
          <w:szCs w:val="22"/>
          <w:lang w:val="sr-Latn-ME"/>
        </w:rPr>
        <w:t>ene u procentima u odnosu na početne vr</w:t>
      </w:r>
      <w:r w:rsidR="00840ADE" w:rsidRPr="001D6D86">
        <w:rPr>
          <w:bCs/>
          <w:sz w:val="22"/>
          <w:szCs w:val="22"/>
          <w:lang w:val="sr-Latn-ME"/>
        </w:rPr>
        <w:t>ij</w:t>
      </w:r>
      <w:r w:rsidRPr="001D6D86">
        <w:rPr>
          <w:bCs/>
          <w:sz w:val="22"/>
          <w:szCs w:val="22"/>
          <w:lang w:val="sr-Latn-ME"/>
        </w:rPr>
        <w:t>ednosti)</w:t>
      </w:r>
    </w:p>
    <w:p w14:paraId="35C97223" w14:textId="77777777" w:rsidR="00030415" w:rsidRPr="001D6D86" w:rsidRDefault="00030415" w:rsidP="0026307D">
      <w:pPr>
        <w:tabs>
          <w:tab w:val="left" w:pos="540"/>
          <w:tab w:val="left" w:pos="569"/>
        </w:tabs>
        <w:jc w:val="both"/>
        <w:rPr>
          <w:bCs/>
          <w:sz w:val="22"/>
          <w:szCs w:val="22"/>
          <w:lang w:val="sr-Latn-ME"/>
        </w:rPr>
      </w:pPr>
    </w:p>
    <w:tbl>
      <w:tblPr>
        <w:tblW w:w="0" w:type="auto"/>
        <w:tblInd w:w="117" w:type="dxa"/>
        <w:tblLayout w:type="fixed"/>
        <w:tblCellMar>
          <w:left w:w="0" w:type="dxa"/>
          <w:right w:w="0" w:type="dxa"/>
        </w:tblCellMar>
        <w:tblLook w:val="01E0" w:firstRow="1" w:lastRow="1" w:firstColumn="1" w:lastColumn="1" w:noHBand="0" w:noVBand="0"/>
      </w:tblPr>
      <w:tblGrid>
        <w:gridCol w:w="989"/>
        <w:gridCol w:w="710"/>
        <w:gridCol w:w="994"/>
        <w:gridCol w:w="1421"/>
        <w:gridCol w:w="1421"/>
        <w:gridCol w:w="1104"/>
        <w:gridCol w:w="1109"/>
        <w:gridCol w:w="1104"/>
        <w:gridCol w:w="1109"/>
      </w:tblGrid>
      <w:tr w:rsidR="00030415" w:rsidRPr="001D6D86" w14:paraId="54BD167C" w14:textId="77777777" w:rsidTr="00711079">
        <w:trPr>
          <w:trHeight w:hRule="exact" w:val="518"/>
        </w:trPr>
        <w:tc>
          <w:tcPr>
            <w:tcW w:w="989" w:type="dxa"/>
            <w:tcBorders>
              <w:top w:val="single" w:sz="4" w:space="0" w:color="000000"/>
              <w:left w:val="single" w:sz="4" w:space="0" w:color="000000"/>
              <w:bottom w:val="single" w:sz="4" w:space="0" w:color="000000"/>
              <w:right w:val="single" w:sz="4" w:space="0" w:color="000000"/>
            </w:tcBorders>
          </w:tcPr>
          <w:p w14:paraId="0C2C75AB"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Doza</w:t>
            </w:r>
          </w:p>
        </w:tc>
        <w:tc>
          <w:tcPr>
            <w:tcW w:w="710" w:type="dxa"/>
            <w:tcBorders>
              <w:top w:val="single" w:sz="4" w:space="0" w:color="000000"/>
              <w:left w:val="single" w:sz="4" w:space="0" w:color="000000"/>
              <w:bottom w:val="single" w:sz="4" w:space="0" w:color="000000"/>
              <w:right w:val="single" w:sz="4" w:space="0" w:color="000000"/>
            </w:tcBorders>
          </w:tcPr>
          <w:p w14:paraId="20AAE981"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N</w:t>
            </w:r>
          </w:p>
        </w:tc>
        <w:tc>
          <w:tcPr>
            <w:tcW w:w="994" w:type="dxa"/>
            <w:tcBorders>
              <w:top w:val="single" w:sz="4" w:space="0" w:color="000000"/>
              <w:left w:val="single" w:sz="4" w:space="0" w:color="000000"/>
              <w:bottom w:val="single" w:sz="4" w:space="0" w:color="000000"/>
              <w:right w:val="single" w:sz="4" w:space="0" w:color="000000"/>
            </w:tcBorders>
          </w:tcPr>
          <w:p w14:paraId="57CCBF2C"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LDL-C</w:t>
            </w:r>
          </w:p>
        </w:tc>
        <w:tc>
          <w:tcPr>
            <w:tcW w:w="1421" w:type="dxa"/>
            <w:tcBorders>
              <w:top w:val="single" w:sz="4" w:space="0" w:color="000000"/>
              <w:left w:val="single" w:sz="4" w:space="0" w:color="000000"/>
              <w:bottom w:val="single" w:sz="4" w:space="0" w:color="000000"/>
              <w:right w:val="single" w:sz="4" w:space="0" w:color="000000"/>
            </w:tcBorders>
          </w:tcPr>
          <w:p w14:paraId="64CED57F"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Ukupan holesterol</w:t>
            </w:r>
          </w:p>
        </w:tc>
        <w:tc>
          <w:tcPr>
            <w:tcW w:w="1421" w:type="dxa"/>
            <w:tcBorders>
              <w:top w:val="single" w:sz="4" w:space="0" w:color="000000"/>
              <w:left w:val="single" w:sz="4" w:space="0" w:color="000000"/>
              <w:bottom w:val="single" w:sz="4" w:space="0" w:color="000000"/>
              <w:right w:val="single" w:sz="4" w:space="0" w:color="000000"/>
            </w:tcBorders>
          </w:tcPr>
          <w:p w14:paraId="6DE15328"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HDL-</w:t>
            </w:r>
          </w:p>
          <w:p w14:paraId="7840268E"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holesterol</w:t>
            </w:r>
          </w:p>
        </w:tc>
        <w:tc>
          <w:tcPr>
            <w:tcW w:w="1104" w:type="dxa"/>
            <w:tcBorders>
              <w:top w:val="single" w:sz="4" w:space="0" w:color="000000"/>
              <w:left w:val="single" w:sz="4" w:space="0" w:color="000000"/>
              <w:bottom w:val="single" w:sz="4" w:space="0" w:color="000000"/>
              <w:right w:val="single" w:sz="4" w:space="0" w:color="000000"/>
            </w:tcBorders>
          </w:tcPr>
          <w:p w14:paraId="50140DB2"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TG</w:t>
            </w:r>
          </w:p>
        </w:tc>
        <w:tc>
          <w:tcPr>
            <w:tcW w:w="1109" w:type="dxa"/>
            <w:tcBorders>
              <w:top w:val="single" w:sz="4" w:space="0" w:color="000000"/>
              <w:left w:val="single" w:sz="4" w:space="0" w:color="000000"/>
              <w:bottom w:val="single" w:sz="4" w:space="0" w:color="000000"/>
              <w:right w:val="single" w:sz="4" w:space="0" w:color="000000"/>
            </w:tcBorders>
          </w:tcPr>
          <w:p w14:paraId="2C5E4619" w14:textId="77777777" w:rsidR="00030415" w:rsidRPr="001D6D86" w:rsidRDefault="00030415" w:rsidP="0026307D">
            <w:pPr>
              <w:tabs>
                <w:tab w:val="left" w:pos="540"/>
                <w:tab w:val="left" w:pos="569"/>
              </w:tabs>
              <w:jc w:val="both"/>
              <w:rPr>
                <w:bCs/>
                <w:sz w:val="22"/>
                <w:szCs w:val="22"/>
                <w:lang w:val="sr-Latn-ME"/>
              </w:rPr>
            </w:pPr>
            <w:r w:rsidRPr="001D6D86">
              <w:rPr>
                <w:b/>
                <w:bCs/>
                <w:i/>
                <w:iCs/>
                <w:sz w:val="22"/>
                <w:szCs w:val="22"/>
                <w:lang w:val="sr-Latn-ME"/>
              </w:rPr>
              <w:t>non</w:t>
            </w:r>
            <w:r w:rsidRPr="001D6D86">
              <w:rPr>
                <w:b/>
                <w:bCs/>
                <w:sz w:val="22"/>
                <w:szCs w:val="22"/>
                <w:lang w:val="sr-Latn-ME"/>
              </w:rPr>
              <w:t>HDL</w:t>
            </w:r>
          </w:p>
          <w:p w14:paraId="37B3FE28"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-C</w:t>
            </w:r>
          </w:p>
        </w:tc>
        <w:tc>
          <w:tcPr>
            <w:tcW w:w="1104" w:type="dxa"/>
            <w:tcBorders>
              <w:top w:val="single" w:sz="4" w:space="0" w:color="000000"/>
              <w:left w:val="single" w:sz="4" w:space="0" w:color="000000"/>
              <w:bottom w:val="single" w:sz="4" w:space="0" w:color="000000"/>
              <w:right w:val="single" w:sz="4" w:space="0" w:color="000000"/>
            </w:tcBorders>
          </w:tcPr>
          <w:p w14:paraId="0F2A0C8A"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ApoB</w:t>
            </w:r>
          </w:p>
        </w:tc>
        <w:tc>
          <w:tcPr>
            <w:tcW w:w="1109" w:type="dxa"/>
            <w:tcBorders>
              <w:top w:val="single" w:sz="4" w:space="0" w:color="000000"/>
              <w:left w:val="single" w:sz="4" w:space="0" w:color="000000"/>
              <w:bottom w:val="single" w:sz="4" w:space="0" w:color="000000"/>
              <w:right w:val="single" w:sz="4" w:space="0" w:color="000000"/>
            </w:tcBorders>
          </w:tcPr>
          <w:p w14:paraId="5B2FD2F6"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ApoA-I</w:t>
            </w:r>
          </w:p>
        </w:tc>
      </w:tr>
      <w:tr w:rsidR="00030415" w:rsidRPr="001D6D86" w14:paraId="4BFA2E64" w14:textId="77777777" w:rsidTr="00711079">
        <w:trPr>
          <w:trHeight w:hRule="exact" w:val="259"/>
        </w:trPr>
        <w:tc>
          <w:tcPr>
            <w:tcW w:w="989" w:type="dxa"/>
            <w:tcBorders>
              <w:top w:val="single" w:sz="4" w:space="0" w:color="000000"/>
              <w:left w:val="single" w:sz="4" w:space="0" w:color="000000"/>
              <w:bottom w:val="single" w:sz="4" w:space="0" w:color="000000"/>
              <w:right w:val="single" w:sz="4" w:space="0" w:color="000000"/>
            </w:tcBorders>
          </w:tcPr>
          <w:p w14:paraId="75147B32"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Placebo</w:t>
            </w:r>
          </w:p>
        </w:tc>
        <w:tc>
          <w:tcPr>
            <w:tcW w:w="710" w:type="dxa"/>
            <w:tcBorders>
              <w:top w:val="single" w:sz="4" w:space="0" w:color="000000"/>
              <w:left w:val="single" w:sz="4" w:space="0" w:color="000000"/>
              <w:bottom w:val="single" w:sz="4" w:space="0" w:color="000000"/>
              <w:right w:val="single" w:sz="4" w:space="0" w:color="000000"/>
            </w:tcBorders>
          </w:tcPr>
          <w:p w14:paraId="2DC71970"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13</w:t>
            </w:r>
          </w:p>
        </w:tc>
        <w:tc>
          <w:tcPr>
            <w:tcW w:w="994" w:type="dxa"/>
            <w:tcBorders>
              <w:top w:val="single" w:sz="4" w:space="0" w:color="000000"/>
              <w:left w:val="single" w:sz="4" w:space="0" w:color="000000"/>
              <w:bottom w:val="single" w:sz="4" w:space="0" w:color="000000"/>
              <w:right w:val="single" w:sz="4" w:space="0" w:color="000000"/>
            </w:tcBorders>
          </w:tcPr>
          <w:p w14:paraId="4A27A34C"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-7</w:t>
            </w:r>
          </w:p>
        </w:tc>
        <w:tc>
          <w:tcPr>
            <w:tcW w:w="1421" w:type="dxa"/>
            <w:tcBorders>
              <w:top w:val="single" w:sz="4" w:space="0" w:color="000000"/>
              <w:left w:val="single" w:sz="4" w:space="0" w:color="000000"/>
              <w:bottom w:val="single" w:sz="4" w:space="0" w:color="000000"/>
              <w:right w:val="single" w:sz="4" w:space="0" w:color="000000"/>
            </w:tcBorders>
          </w:tcPr>
          <w:p w14:paraId="6DB06AA1"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-5</w:t>
            </w:r>
          </w:p>
        </w:tc>
        <w:tc>
          <w:tcPr>
            <w:tcW w:w="1421" w:type="dxa"/>
            <w:tcBorders>
              <w:top w:val="single" w:sz="4" w:space="0" w:color="000000"/>
              <w:left w:val="single" w:sz="4" w:space="0" w:color="000000"/>
              <w:bottom w:val="single" w:sz="4" w:space="0" w:color="000000"/>
              <w:right w:val="single" w:sz="4" w:space="0" w:color="000000"/>
            </w:tcBorders>
          </w:tcPr>
          <w:p w14:paraId="23F7A265"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3</w:t>
            </w:r>
          </w:p>
        </w:tc>
        <w:tc>
          <w:tcPr>
            <w:tcW w:w="1104" w:type="dxa"/>
            <w:tcBorders>
              <w:top w:val="single" w:sz="4" w:space="0" w:color="000000"/>
              <w:left w:val="single" w:sz="4" w:space="0" w:color="000000"/>
              <w:bottom w:val="single" w:sz="4" w:space="0" w:color="000000"/>
              <w:right w:val="single" w:sz="4" w:space="0" w:color="000000"/>
            </w:tcBorders>
          </w:tcPr>
          <w:p w14:paraId="6E1DB290"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-3</w:t>
            </w:r>
          </w:p>
        </w:tc>
        <w:tc>
          <w:tcPr>
            <w:tcW w:w="1109" w:type="dxa"/>
            <w:tcBorders>
              <w:top w:val="single" w:sz="4" w:space="0" w:color="000000"/>
              <w:left w:val="single" w:sz="4" w:space="0" w:color="000000"/>
              <w:bottom w:val="single" w:sz="4" w:space="0" w:color="000000"/>
              <w:right w:val="single" w:sz="4" w:space="0" w:color="000000"/>
            </w:tcBorders>
          </w:tcPr>
          <w:p w14:paraId="04582F2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-7</w:t>
            </w:r>
          </w:p>
        </w:tc>
        <w:tc>
          <w:tcPr>
            <w:tcW w:w="1104" w:type="dxa"/>
            <w:tcBorders>
              <w:top w:val="single" w:sz="4" w:space="0" w:color="000000"/>
              <w:left w:val="single" w:sz="4" w:space="0" w:color="000000"/>
              <w:bottom w:val="single" w:sz="4" w:space="0" w:color="000000"/>
              <w:right w:val="single" w:sz="4" w:space="0" w:color="000000"/>
            </w:tcBorders>
          </w:tcPr>
          <w:p w14:paraId="4615DA4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-3</w:t>
            </w:r>
          </w:p>
        </w:tc>
        <w:tc>
          <w:tcPr>
            <w:tcW w:w="1109" w:type="dxa"/>
            <w:tcBorders>
              <w:top w:val="single" w:sz="4" w:space="0" w:color="000000"/>
              <w:left w:val="single" w:sz="4" w:space="0" w:color="000000"/>
              <w:bottom w:val="single" w:sz="4" w:space="0" w:color="000000"/>
              <w:right w:val="single" w:sz="4" w:space="0" w:color="000000"/>
            </w:tcBorders>
          </w:tcPr>
          <w:p w14:paraId="4F640AAB"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0</w:t>
            </w:r>
          </w:p>
        </w:tc>
      </w:tr>
      <w:tr w:rsidR="00030415" w:rsidRPr="001D6D86" w14:paraId="56910F27" w14:textId="77777777" w:rsidTr="00711079">
        <w:trPr>
          <w:trHeight w:hRule="exact" w:val="264"/>
        </w:trPr>
        <w:tc>
          <w:tcPr>
            <w:tcW w:w="989" w:type="dxa"/>
            <w:tcBorders>
              <w:top w:val="single" w:sz="4" w:space="0" w:color="000000"/>
              <w:left w:val="single" w:sz="4" w:space="0" w:color="000000"/>
              <w:bottom w:val="single" w:sz="4" w:space="0" w:color="000000"/>
              <w:right w:val="single" w:sz="4" w:space="0" w:color="000000"/>
            </w:tcBorders>
          </w:tcPr>
          <w:p w14:paraId="57D29E3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5</w:t>
            </w:r>
          </w:p>
        </w:tc>
        <w:tc>
          <w:tcPr>
            <w:tcW w:w="710" w:type="dxa"/>
            <w:tcBorders>
              <w:top w:val="single" w:sz="4" w:space="0" w:color="000000"/>
              <w:left w:val="single" w:sz="4" w:space="0" w:color="000000"/>
              <w:bottom w:val="single" w:sz="4" w:space="0" w:color="000000"/>
              <w:right w:val="single" w:sz="4" w:space="0" w:color="000000"/>
            </w:tcBorders>
          </w:tcPr>
          <w:p w14:paraId="460CE020"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17</w:t>
            </w:r>
          </w:p>
        </w:tc>
        <w:tc>
          <w:tcPr>
            <w:tcW w:w="994" w:type="dxa"/>
            <w:tcBorders>
              <w:top w:val="single" w:sz="4" w:space="0" w:color="000000"/>
              <w:left w:val="single" w:sz="4" w:space="0" w:color="000000"/>
              <w:bottom w:val="single" w:sz="4" w:space="0" w:color="000000"/>
              <w:right w:val="single" w:sz="4" w:space="0" w:color="000000"/>
            </w:tcBorders>
          </w:tcPr>
          <w:p w14:paraId="76FF0948"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-45</w:t>
            </w:r>
          </w:p>
        </w:tc>
        <w:tc>
          <w:tcPr>
            <w:tcW w:w="1421" w:type="dxa"/>
            <w:tcBorders>
              <w:top w:val="single" w:sz="4" w:space="0" w:color="000000"/>
              <w:left w:val="single" w:sz="4" w:space="0" w:color="000000"/>
              <w:bottom w:val="single" w:sz="4" w:space="0" w:color="000000"/>
              <w:right w:val="single" w:sz="4" w:space="0" w:color="000000"/>
            </w:tcBorders>
          </w:tcPr>
          <w:p w14:paraId="3114114F"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-33</w:t>
            </w:r>
          </w:p>
        </w:tc>
        <w:tc>
          <w:tcPr>
            <w:tcW w:w="1421" w:type="dxa"/>
            <w:tcBorders>
              <w:top w:val="single" w:sz="4" w:space="0" w:color="000000"/>
              <w:left w:val="single" w:sz="4" w:space="0" w:color="000000"/>
              <w:bottom w:val="single" w:sz="4" w:space="0" w:color="000000"/>
              <w:right w:val="single" w:sz="4" w:space="0" w:color="000000"/>
            </w:tcBorders>
          </w:tcPr>
          <w:p w14:paraId="69E8CACE"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13</w:t>
            </w:r>
          </w:p>
        </w:tc>
        <w:tc>
          <w:tcPr>
            <w:tcW w:w="1104" w:type="dxa"/>
            <w:tcBorders>
              <w:top w:val="single" w:sz="4" w:space="0" w:color="000000"/>
              <w:left w:val="single" w:sz="4" w:space="0" w:color="000000"/>
              <w:bottom w:val="single" w:sz="4" w:space="0" w:color="000000"/>
              <w:right w:val="single" w:sz="4" w:space="0" w:color="000000"/>
            </w:tcBorders>
          </w:tcPr>
          <w:p w14:paraId="22B92923"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-35</w:t>
            </w:r>
          </w:p>
        </w:tc>
        <w:tc>
          <w:tcPr>
            <w:tcW w:w="1109" w:type="dxa"/>
            <w:tcBorders>
              <w:top w:val="single" w:sz="4" w:space="0" w:color="000000"/>
              <w:left w:val="single" w:sz="4" w:space="0" w:color="000000"/>
              <w:bottom w:val="single" w:sz="4" w:space="0" w:color="000000"/>
              <w:right w:val="single" w:sz="4" w:space="0" w:color="000000"/>
            </w:tcBorders>
          </w:tcPr>
          <w:p w14:paraId="346BF790"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-44</w:t>
            </w:r>
          </w:p>
        </w:tc>
        <w:tc>
          <w:tcPr>
            <w:tcW w:w="1104" w:type="dxa"/>
            <w:tcBorders>
              <w:top w:val="single" w:sz="4" w:space="0" w:color="000000"/>
              <w:left w:val="single" w:sz="4" w:space="0" w:color="000000"/>
              <w:bottom w:val="single" w:sz="4" w:space="0" w:color="000000"/>
              <w:right w:val="single" w:sz="4" w:space="0" w:color="000000"/>
            </w:tcBorders>
          </w:tcPr>
          <w:p w14:paraId="2D050C9B"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-38</w:t>
            </w:r>
          </w:p>
        </w:tc>
        <w:tc>
          <w:tcPr>
            <w:tcW w:w="1109" w:type="dxa"/>
            <w:tcBorders>
              <w:top w:val="single" w:sz="4" w:space="0" w:color="000000"/>
              <w:left w:val="single" w:sz="4" w:space="0" w:color="000000"/>
              <w:bottom w:val="single" w:sz="4" w:space="0" w:color="000000"/>
              <w:right w:val="single" w:sz="4" w:space="0" w:color="000000"/>
            </w:tcBorders>
          </w:tcPr>
          <w:p w14:paraId="35C1601D"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w:t>
            </w:r>
          </w:p>
        </w:tc>
      </w:tr>
      <w:tr w:rsidR="00030415" w:rsidRPr="001D6D86" w14:paraId="49700402" w14:textId="77777777" w:rsidTr="00711079">
        <w:trPr>
          <w:trHeight w:hRule="exact" w:val="264"/>
        </w:trPr>
        <w:tc>
          <w:tcPr>
            <w:tcW w:w="989" w:type="dxa"/>
            <w:tcBorders>
              <w:top w:val="single" w:sz="4" w:space="0" w:color="000000"/>
              <w:left w:val="single" w:sz="4" w:space="0" w:color="000000"/>
              <w:bottom w:val="single" w:sz="4" w:space="0" w:color="000000"/>
              <w:right w:val="single" w:sz="4" w:space="0" w:color="000000"/>
            </w:tcBorders>
          </w:tcPr>
          <w:p w14:paraId="15FF241C"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10</w:t>
            </w:r>
          </w:p>
        </w:tc>
        <w:tc>
          <w:tcPr>
            <w:tcW w:w="710" w:type="dxa"/>
            <w:tcBorders>
              <w:top w:val="single" w:sz="4" w:space="0" w:color="000000"/>
              <w:left w:val="single" w:sz="4" w:space="0" w:color="000000"/>
              <w:bottom w:val="single" w:sz="4" w:space="0" w:color="000000"/>
              <w:right w:val="single" w:sz="4" w:space="0" w:color="000000"/>
            </w:tcBorders>
          </w:tcPr>
          <w:p w14:paraId="781910F2"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17</w:t>
            </w:r>
          </w:p>
        </w:tc>
        <w:tc>
          <w:tcPr>
            <w:tcW w:w="994" w:type="dxa"/>
            <w:tcBorders>
              <w:top w:val="single" w:sz="4" w:space="0" w:color="000000"/>
              <w:left w:val="single" w:sz="4" w:space="0" w:color="000000"/>
              <w:bottom w:val="single" w:sz="4" w:space="0" w:color="000000"/>
              <w:right w:val="single" w:sz="4" w:space="0" w:color="000000"/>
            </w:tcBorders>
          </w:tcPr>
          <w:p w14:paraId="74AC1EC1"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-52</w:t>
            </w:r>
          </w:p>
        </w:tc>
        <w:tc>
          <w:tcPr>
            <w:tcW w:w="1421" w:type="dxa"/>
            <w:tcBorders>
              <w:top w:val="single" w:sz="4" w:space="0" w:color="000000"/>
              <w:left w:val="single" w:sz="4" w:space="0" w:color="000000"/>
              <w:bottom w:val="single" w:sz="4" w:space="0" w:color="000000"/>
              <w:right w:val="single" w:sz="4" w:space="0" w:color="000000"/>
            </w:tcBorders>
          </w:tcPr>
          <w:p w14:paraId="0A24C24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-36</w:t>
            </w:r>
          </w:p>
        </w:tc>
        <w:tc>
          <w:tcPr>
            <w:tcW w:w="1421" w:type="dxa"/>
            <w:tcBorders>
              <w:top w:val="single" w:sz="4" w:space="0" w:color="000000"/>
              <w:left w:val="single" w:sz="4" w:space="0" w:color="000000"/>
              <w:bottom w:val="single" w:sz="4" w:space="0" w:color="000000"/>
              <w:right w:val="single" w:sz="4" w:space="0" w:color="000000"/>
            </w:tcBorders>
          </w:tcPr>
          <w:p w14:paraId="3F3E1AD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14</w:t>
            </w:r>
          </w:p>
        </w:tc>
        <w:tc>
          <w:tcPr>
            <w:tcW w:w="1104" w:type="dxa"/>
            <w:tcBorders>
              <w:top w:val="single" w:sz="4" w:space="0" w:color="000000"/>
              <w:left w:val="single" w:sz="4" w:space="0" w:color="000000"/>
              <w:bottom w:val="single" w:sz="4" w:space="0" w:color="000000"/>
              <w:right w:val="single" w:sz="4" w:space="0" w:color="000000"/>
            </w:tcBorders>
          </w:tcPr>
          <w:p w14:paraId="4C98D6BD"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-10</w:t>
            </w:r>
          </w:p>
        </w:tc>
        <w:tc>
          <w:tcPr>
            <w:tcW w:w="1109" w:type="dxa"/>
            <w:tcBorders>
              <w:top w:val="single" w:sz="4" w:space="0" w:color="000000"/>
              <w:left w:val="single" w:sz="4" w:space="0" w:color="000000"/>
              <w:bottom w:val="single" w:sz="4" w:space="0" w:color="000000"/>
              <w:right w:val="single" w:sz="4" w:space="0" w:color="000000"/>
            </w:tcBorders>
          </w:tcPr>
          <w:p w14:paraId="1E72FDAF"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-48</w:t>
            </w:r>
          </w:p>
        </w:tc>
        <w:tc>
          <w:tcPr>
            <w:tcW w:w="1104" w:type="dxa"/>
            <w:tcBorders>
              <w:top w:val="single" w:sz="4" w:space="0" w:color="000000"/>
              <w:left w:val="single" w:sz="4" w:space="0" w:color="000000"/>
              <w:bottom w:val="single" w:sz="4" w:space="0" w:color="000000"/>
              <w:right w:val="single" w:sz="4" w:space="0" w:color="000000"/>
            </w:tcBorders>
          </w:tcPr>
          <w:p w14:paraId="3C7AE111"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-42</w:t>
            </w:r>
          </w:p>
        </w:tc>
        <w:tc>
          <w:tcPr>
            <w:tcW w:w="1109" w:type="dxa"/>
            <w:tcBorders>
              <w:top w:val="single" w:sz="4" w:space="0" w:color="000000"/>
              <w:left w:val="single" w:sz="4" w:space="0" w:color="000000"/>
              <w:bottom w:val="single" w:sz="4" w:space="0" w:color="000000"/>
              <w:right w:val="single" w:sz="4" w:space="0" w:color="000000"/>
            </w:tcBorders>
          </w:tcPr>
          <w:p w14:paraId="51190F62"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w:t>
            </w:r>
          </w:p>
        </w:tc>
      </w:tr>
      <w:tr w:rsidR="00030415" w:rsidRPr="001D6D86" w14:paraId="7023D635" w14:textId="77777777" w:rsidTr="00711079">
        <w:trPr>
          <w:trHeight w:hRule="exact" w:val="264"/>
        </w:trPr>
        <w:tc>
          <w:tcPr>
            <w:tcW w:w="989" w:type="dxa"/>
            <w:tcBorders>
              <w:top w:val="single" w:sz="4" w:space="0" w:color="000000"/>
              <w:left w:val="single" w:sz="4" w:space="0" w:color="000000"/>
              <w:bottom w:val="single" w:sz="4" w:space="0" w:color="000000"/>
              <w:right w:val="single" w:sz="4" w:space="0" w:color="000000"/>
            </w:tcBorders>
          </w:tcPr>
          <w:p w14:paraId="69569FA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20</w:t>
            </w:r>
          </w:p>
        </w:tc>
        <w:tc>
          <w:tcPr>
            <w:tcW w:w="710" w:type="dxa"/>
            <w:tcBorders>
              <w:top w:val="single" w:sz="4" w:space="0" w:color="000000"/>
              <w:left w:val="single" w:sz="4" w:space="0" w:color="000000"/>
              <w:bottom w:val="single" w:sz="4" w:space="0" w:color="000000"/>
              <w:right w:val="single" w:sz="4" w:space="0" w:color="000000"/>
            </w:tcBorders>
          </w:tcPr>
          <w:p w14:paraId="3B37F58E"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17</w:t>
            </w:r>
          </w:p>
        </w:tc>
        <w:tc>
          <w:tcPr>
            <w:tcW w:w="994" w:type="dxa"/>
            <w:tcBorders>
              <w:top w:val="single" w:sz="4" w:space="0" w:color="000000"/>
              <w:left w:val="single" w:sz="4" w:space="0" w:color="000000"/>
              <w:bottom w:val="single" w:sz="4" w:space="0" w:color="000000"/>
              <w:right w:val="single" w:sz="4" w:space="0" w:color="000000"/>
            </w:tcBorders>
          </w:tcPr>
          <w:p w14:paraId="6CD4164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-55</w:t>
            </w:r>
          </w:p>
        </w:tc>
        <w:tc>
          <w:tcPr>
            <w:tcW w:w="1421" w:type="dxa"/>
            <w:tcBorders>
              <w:top w:val="single" w:sz="4" w:space="0" w:color="000000"/>
              <w:left w:val="single" w:sz="4" w:space="0" w:color="000000"/>
              <w:bottom w:val="single" w:sz="4" w:space="0" w:color="000000"/>
              <w:right w:val="single" w:sz="4" w:space="0" w:color="000000"/>
            </w:tcBorders>
          </w:tcPr>
          <w:p w14:paraId="1F67D639"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-40</w:t>
            </w:r>
          </w:p>
        </w:tc>
        <w:tc>
          <w:tcPr>
            <w:tcW w:w="1421" w:type="dxa"/>
            <w:tcBorders>
              <w:top w:val="single" w:sz="4" w:space="0" w:color="000000"/>
              <w:left w:val="single" w:sz="4" w:space="0" w:color="000000"/>
              <w:bottom w:val="single" w:sz="4" w:space="0" w:color="000000"/>
              <w:right w:val="single" w:sz="4" w:space="0" w:color="000000"/>
            </w:tcBorders>
          </w:tcPr>
          <w:p w14:paraId="6D920B2A"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8</w:t>
            </w:r>
          </w:p>
        </w:tc>
        <w:tc>
          <w:tcPr>
            <w:tcW w:w="1104" w:type="dxa"/>
            <w:tcBorders>
              <w:top w:val="single" w:sz="4" w:space="0" w:color="000000"/>
              <w:left w:val="single" w:sz="4" w:space="0" w:color="000000"/>
              <w:bottom w:val="single" w:sz="4" w:space="0" w:color="000000"/>
              <w:right w:val="single" w:sz="4" w:space="0" w:color="000000"/>
            </w:tcBorders>
          </w:tcPr>
          <w:p w14:paraId="16C34EE2"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-23</w:t>
            </w:r>
          </w:p>
        </w:tc>
        <w:tc>
          <w:tcPr>
            <w:tcW w:w="1109" w:type="dxa"/>
            <w:tcBorders>
              <w:top w:val="single" w:sz="4" w:space="0" w:color="000000"/>
              <w:left w:val="single" w:sz="4" w:space="0" w:color="000000"/>
              <w:bottom w:val="single" w:sz="4" w:space="0" w:color="000000"/>
              <w:right w:val="single" w:sz="4" w:space="0" w:color="000000"/>
            </w:tcBorders>
          </w:tcPr>
          <w:p w14:paraId="5DB5FB0F"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-51</w:t>
            </w:r>
          </w:p>
        </w:tc>
        <w:tc>
          <w:tcPr>
            <w:tcW w:w="1104" w:type="dxa"/>
            <w:tcBorders>
              <w:top w:val="single" w:sz="4" w:space="0" w:color="000000"/>
              <w:left w:val="single" w:sz="4" w:space="0" w:color="000000"/>
              <w:bottom w:val="single" w:sz="4" w:space="0" w:color="000000"/>
              <w:right w:val="single" w:sz="4" w:space="0" w:color="000000"/>
            </w:tcBorders>
          </w:tcPr>
          <w:p w14:paraId="296D48D0"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-46</w:t>
            </w:r>
          </w:p>
        </w:tc>
        <w:tc>
          <w:tcPr>
            <w:tcW w:w="1109" w:type="dxa"/>
            <w:tcBorders>
              <w:top w:val="single" w:sz="4" w:space="0" w:color="000000"/>
              <w:left w:val="single" w:sz="4" w:space="0" w:color="000000"/>
              <w:bottom w:val="single" w:sz="4" w:space="0" w:color="000000"/>
              <w:right w:val="single" w:sz="4" w:space="0" w:color="000000"/>
            </w:tcBorders>
          </w:tcPr>
          <w:p w14:paraId="608F2FA6"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5</w:t>
            </w:r>
          </w:p>
        </w:tc>
      </w:tr>
      <w:tr w:rsidR="00030415" w:rsidRPr="001D6D86" w14:paraId="1433597D" w14:textId="77777777" w:rsidTr="00711079">
        <w:trPr>
          <w:trHeight w:hRule="exact" w:val="264"/>
        </w:trPr>
        <w:tc>
          <w:tcPr>
            <w:tcW w:w="989" w:type="dxa"/>
            <w:tcBorders>
              <w:top w:val="single" w:sz="4" w:space="0" w:color="000000"/>
              <w:left w:val="single" w:sz="4" w:space="0" w:color="000000"/>
              <w:bottom w:val="single" w:sz="4" w:space="0" w:color="000000"/>
              <w:right w:val="single" w:sz="4" w:space="0" w:color="000000"/>
            </w:tcBorders>
          </w:tcPr>
          <w:p w14:paraId="29DDA677"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40</w:t>
            </w:r>
          </w:p>
        </w:tc>
        <w:tc>
          <w:tcPr>
            <w:tcW w:w="710" w:type="dxa"/>
            <w:tcBorders>
              <w:top w:val="single" w:sz="4" w:space="0" w:color="000000"/>
              <w:left w:val="single" w:sz="4" w:space="0" w:color="000000"/>
              <w:bottom w:val="single" w:sz="4" w:space="0" w:color="000000"/>
              <w:right w:val="single" w:sz="4" w:space="0" w:color="000000"/>
            </w:tcBorders>
          </w:tcPr>
          <w:p w14:paraId="3747FCC5"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18</w:t>
            </w:r>
          </w:p>
        </w:tc>
        <w:tc>
          <w:tcPr>
            <w:tcW w:w="994" w:type="dxa"/>
            <w:tcBorders>
              <w:top w:val="single" w:sz="4" w:space="0" w:color="000000"/>
              <w:left w:val="single" w:sz="4" w:space="0" w:color="000000"/>
              <w:bottom w:val="single" w:sz="4" w:space="0" w:color="000000"/>
              <w:right w:val="single" w:sz="4" w:space="0" w:color="000000"/>
            </w:tcBorders>
          </w:tcPr>
          <w:p w14:paraId="5FB8EDBA"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-63</w:t>
            </w:r>
          </w:p>
        </w:tc>
        <w:tc>
          <w:tcPr>
            <w:tcW w:w="1421" w:type="dxa"/>
            <w:tcBorders>
              <w:top w:val="single" w:sz="4" w:space="0" w:color="000000"/>
              <w:left w:val="single" w:sz="4" w:space="0" w:color="000000"/>
              <w:bottom w:val="single" w:sz="4" w:space="0" w:color="000000"/>
              <w:right w:val="single" w:sz="4" w:space="0" w:color="000000"/>
            </w:tcBorders>
          </w:tcPr>
          <w:p w14:paraId="5484E271"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-46</w:t>
            </w:r>
          </w:p>
        </w:tc>
        <w:tc>
          <w:tcPr>
            <w:tcW w:w="1421" w:type="dxa"/>
            <w:tcBorders>
              <w:top w:val="single" w:sz="4" w:space="0" w:color="000000"/>
              <w:left w:val="single" w:sz="4" w:space="0" w:color="000000"/>
              <w:bottom w:val="single" w:sz="4" w:space="0" w:color="000000"/>
              <w:right w:val="single" w:sz="4" w:space="0" w:color="000000"/>
            </w:tcBorders>
          </w:tcPr>
          <w:p w14:paraId="08EFFC25"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10</w:t>
            </w:r>
          </w:p>
        </w:tc>
        <w:tc>
          <w:tcPr>
            <w:tcW w:w="1104" w:type="dxa"/>
            <w:tcBorders>
              <w:top w:val="single" w:sz="4" w:space="0" w:color="000000"/>
              <w:left w:val="single" w:sz="4" w:space="0" w:color="000000"/>
              <w:bottom w:val="single" w:sz="4" w:space="0" w:color="000000"/>
              <w:right w:val="single" w:sz="4" w:space="0" w:color="000000"/>
            </w:tcBorders>
          </w:tcPr>
          <w:p w14:paraId="79A8CAEA"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-28</w:t>
            </w:r>
          </w:p>
        </w:tc>
        <w:tc>
          <w:tcPr>
            <w:tcW w:w="1109" w:type="dxa"/>
            <w:tcBorders>
              <w:top w:val="single" w:sz="4" w:space="0" w:color="000000"/>
              <w:left w:val="single" w:sz="4" w:space="0" w:color="000000"/>
              <w:bottom w:val="single" w:sz="4" w:space="0" w:color="000000"/>
              <w:right w:val="single" w:sz="4" w:space="0" w:color="000000"/>
            </w:tcBorders>
          </w:tcPr>
          <w:p w14:paraId="5B7D6B0B"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-60</w:t>
            </w:r>
          </w:p>
        </w:tc>
        <w:tc>
          <w:tcPr>
            <w:tcW w:w="1104" w:type="dxa"/>
            <w:tcBorders>
              <w:top w:val="single" w:sz="4" w:space="0" w:color="000000"/>
              <w:left w:val="single" w:sz="4" w:space="0" w:color="000000"/>
              <w:bottom w:val="single" w:sz="4" w:space="0" w:color="000000"/>
              <w:right w:val="single" w:sz="4" w:space="0" w:color="000000"/>
            </w:tcBorders>
          </w:tcPr>
          <w:p w14:paraId="75805E88"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-54</w:t>
            </w:r>
          </w:p>
        </w:tc>
        <w:tc>
          <w:tcPr>
            <w:tcW w:w="1109" w:type="dxa"/>
            <w:tcBorders>
              <w:top w:val="single" w:sz="4" w:space="0" w:color="000000"/>
              <w:left w:val="single" w:sz="4" w:space="0" w:color="000000"/>
              <w:bottom w:val="single" w:sz="4" w:space="0" w:color="000000"/>
              <w:right w:val="single" w:sz="4" w:space="0" w:color="000000"/>
            </w:tcBorders>
          </w:tcPr>
          <w:p w14:paraId="58B789EE"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0</w:t>
            </w:r>
          </w:p>
        </w:tc>
      </w:tr>
    </w:tbl>
    <w:p w14:paraId="10FCC4B7" w14:textId="77777777" w:rsidR="00030415" w:rsidRPr="001D6D86" w:rsidRDefault="00030415" w:rsidP="0026307D">
      <w:pPr>
        <w:tabs>
          <w:tab w:val="left" w:pos="540"/>
          <w:tab w:val="left" w:pos="569"/>
        </w:tabs>
        <w:jc w:val="both"/>
        <w:rPr>
          <w:bCs/>
          <w:sz w:val="22"/>
          <w:szCs w:val="22"/>
          <w:lang w:val="sr-Latn-ME"/>
        </w:rPr>
      </w:pPr>
    </w:p>
    <w:p w14:paraId="4C134BB7" w14:textId="695C1CF9"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Terapijski efekat je postignut tokom prve ned</w:t>
      </w:r>
      <w:r w:rsidR="00840ADE" w:rsidRPr="001D6D86">
        <w:rPr>
          <w:bCs/>
          <w:sz w:val="22"/>
          <w:szCs w:val="22"/>
          <w:lang w:val="sr-Latn-ME"/>
        </w:rPr>
        <w:t>j</w:t>
      </w:r>
      <w:r w:rsidRPr="001D6D86">
        <w:rPr>
          <w:bCs/>
          <w:sz w:val="22"/>
          <w:szCs w:val="22"/>
          <w:lang w:val="sr-Latn-ME"/>
        </w:rPr>
        <w:t>elje od započinjanja terapije, a 90% maksimalnog odgovora je postignuto za 2 ned</w:t>
      </w:r>
      <w:r w:rsidR="00840ADE" w:rsidRPr="001D6D86">
        <w:rPr>
          <w:bCs/>
          <w:sz w:val="22"/>
          <w:szCs w:val="22"/>
          <w:lang w:val="sr-Latn-ME"/>
        </w:rPr>
        <w:t>j</w:t>
      </w:r>
      <w:r w:rsidRPr="001D6D86">
        <w:rPr>
          <w:bCs/>
          <w:sz w:val="22"/>
          <w:szCs w:val="22"/>
          <w:lang w:val="sr-Latn-ME"/>
        </w:rPr>
        <w:t>elje. Maksimalan odgovor se obično postiže u roku od 4 ned</w:t>
      </w:r>
      <w:r w:rsidR="00840ADE" w:rsidRPr="001D6D86">
        <w:rPr>
          <w:bCs/>
          <w:sz w:val="22"/>
          <w:szCs w:val="22"/>
          <w:lang w:val="sr-Latn-ME"/>
        </w:rPr>
        <w:t>j</w:t>
      </w:r>
      <w:r w:rsidRPr="001D6D86">
        <w:rPr>
          <w:bCs/>
          <w:sz w:val="22"/>
          <w:szCs w:val="22"/>
          <w:lang w:val="sr-Latn-ME"/>
        </w:rPr>
        <w:t>elje i nakon toga se održava.</w:t>
      </w:r>
    </w:p>
    <w:p w14:paraId="26FB2AC3" w14:textId="77777777" w:rsidR="00030415" w:rsidRPr="001D6D86" w:rsidRDefault="00030415" w:rsidP="0026307D">
      <w:pPr>
        <w:tabs>
          <w:tab w:val="left" w:pos="540"/>
          <w:tab w:val="left" w:pos="569"/>
        </w:tabs>
        <w:jc w:val="both"/>
        <w:rPr>
          <w:bCs/>
          <w:sz w:val="22"/>
          <w:szCs w:val="22"/>
          <w:lang w:val="sr-Latn-ME"/>
        </w:rPr>
      </w:pPr>
    </w:p>
    <w:p w14:paraId="3C2D2314" w14:textId="0F4EB470" w:rsidR="00030415" w:rsidRPr="001D6D86" w:rsidRDefault="00030415" w:rsidP="0026307D">
      <w:pPr>
        <w:tabs>
          <w:tab w:val="left" w:pos="540"/>
          <w:tab w:val="left" w:pos="569"/>
        </w:tabs>
        <w:jc w:val="both"/>
        <w:rPr>
          <w:bCs/>
          <w:sz w:val="22"/>
          <w:szCs w:val="22"/>
          <w:lang w:val="sr-Latn-ME"/>
        </w:rPr>
      </w:pPr>
      <w:r w:rsidRPr="001D6D86">
        <w:rPr>
          <w:bCs/>
          <w:sz w:val="22"/>
          <w:szCs w:val="22"/>
          <w:u w:val="single"/>
          <w:lang w:val="sr-Latn-ME"/>
        </w:rPr>
        <w:t>Klinička efikasnost i bezb</w:t>
      </w:r>
      <w:r w:rsidR="00AD4C7A" w:rsidRPr="001D6D86">
        <w:rPr>
          <w:bCs/>
          <w:sz w:val="22"/>
          <w:szCs w:val="22"/>
          <w:u w:val="single"/>
          <w:lang w:val="sr-Latn-ME"/>
        </w:rPr>
        <w:t>j</w:t>
      </w:r>
      <w:r w:rsidRPr="001D6D86">
        <w:rPr>
          <w:bCs/>
          <w:sz w:val="22"/>
          <w:szCs w:val="22"/>
          <w:u w:val="single"/>
          <w:lang w:val="sr-Latn-ME"/>
        </w:rPr>
        <w:t>ednost</w:t>
      </w:r>
    </w:p>
    <w:p w14:paraId="2AA78757" w14:textId="77777777" w:rsidR="00030415" w:rsidRPr="001D6D86" w:rsidRDefault="00030415" w:rsidP="0026307D">
      <w:pPr>
        <w:tabs>
          <w:tab w:val="left" w:pos="540"/>
          <w:tab w:val="left" w:pos="569"/>
        </w:tabs>
        <w:jc w:val="both"/>
        <w:rPr>
          <w:bCs/>
          <w:sz w:val="22"/>
          <w:szCs w:val="22"/>
          <w:lang w:val="sr-Latn-ME"/>
        </w:rPr>
      </w:pPr>
    </w:p>
    <w:p w14:paraId="77FFDC9C"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Rosuvastatin je efikasan kod odraslih pacijenata sa hiperholesterolemijom, sa hipertrigliceridemijom ili bez nje, nezavisno od rase, pola ili uzrasta u posebnim grupama pacijenata kao što su pacijenti sa dijabetesom ili pacijenti sa porodičnom hiperholesterolemijom.</w:t>
      </w:r>
    </w:p>
    <w:p w14:paraId="2DBF3BDE" w14:textId="77777777" w:rsidR="00030415" w:rsidRPr="001D6D86" w:rsidRDefault="00030415" w:rsidP="0026307D">
      <w:pPr>
        <w:tabs>
          <w:tab w:val="left" w:pos="540"/>
          <w:tab w:val="left" w:pos="569"/>
        </w:tabs>
        <w:jc w:val="both"/>
        <w:rPr>
          <w:bCs/>
          <w:sz w:val="22"/>
          <w:szCs w:val="22"/>
          <w:lang w:val="sr-Latn-ME"/>
        </w:rPr>
      </w:pPr>
    </w:p>
    <w:p w14:paraId="1C687C68" w14:textId="2A362638"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Podaci koji su dobijeni na osnovu faze III kliničkog ispitivanja, pokazuju da je rosuvastatin efikasan u postizanju ciljnih vr</w:t>
      </w:r>
      <w:r w:rsidR="00840ADE" w:rsidRPr="001D6D86">
        <w:rPr>
          <w:bCs/>
          <w:sz w:val="22"/>
          <w:szCs w:val="22"/>
          <w:lang w:val="sr-Latn-ME"/>
        </w:rPr>
        <w:t>ij</w:t>
      </w:r>
      <w:r w:rsidRPr="001D6D86">
        <w:rPr>
          <w:bCs/>
          <w:sz w:val="22"/>
          <w:szCs w:val="22"/>
          <w:lang w:val="sr-Latn-ME"/>
        </w:rPr>
        <w:t>ednosti definisanih od strane Evropskog udruženja za aterosklerozu (EAS; 1998) u l</w:t>
      </w:r>
      <w:r w:rsidR="00840ADE" w:rsidRPr="001D6D86">
        <w:rPr>
          <w:bCs/>
          <w:sz w:val="22"/>
          <w:szCs w:val="22"/>
          <w:lang w:val="sr-Latn-ME"/>
        </w:rPr>
        <w:t>ij</w:t>
      </w:r>
      <w:r w:rsidRPr="001D6D86">
        <w:rPr>
          <w:bCs/>
          <w:sz w:val="22"/>
          <w:szCs w:val="22"/>
          <w:lang w:val="sr-Latn-ME"/>
        </w:rPr>
        <w:t>ečenju većine pacijenata sa hiperholesterolemijom tipa IIa i IIb (sa srednjom početnom vr</w:t>
      </w:r>
      <w:r w:rsidR="00840ADE" w:rsidRPr="001D6D86">
        <w:rPr>
          <w:bCs/>
          <w:sz w:val="22"/>
          <w:szCs w:val="22"/>
          <w:lang w:val="sr-Latn-ME"/>
        </w:rPr>
        <w:t>ij</w:t>
      </w:r>
      <w:r w:rsidRPr="001D6D86">
        <w:rPr>
          <w:bCs/>
          <w:sz w:val="22"/>
          <w:szCs w:val="22"/>
          <w:lang w:val="sr-Latn-ME"/>
        </w:rPr>
        <w:t>ednošću LDL- holesterola odprilike 4,8 mmol/</w:t>
      </w:r>
      <w:r w:rsidR="00840ADE" w:rsidRPr="001D6D86">
        <w:rPr>
          <w:bCs/>
          <w:sz w:val="22"/>
          <w:szCs w:val="22"/>
          <w:lang w:val="sr-Latn-ME"/>
        </w:rPr>
        <w:t>l</w:t>
      </w:r>
      <w:r w:rsidRPr="001D6D86">
        <w:rPr>
          <w:bCs/>
          <w:sz w:val="22"/>
          <w:szCs w:val="22"/>
          <w:lang w:val="sr-Latn-ME"/>
        </w:rPr>
        <w:t>); oko 80% pacijenata koji su uzimali dozu od 10 mg je postiglo EAS ciljne vr</w:t>
      </w:r>
      <w:r w:rsidR="00840ADE" w:rsidRPr="001D6D86">
        <w:rPr>
          <w:bCs/>
          <w:sz w:val="22"/>
          <w:szCs w:val="22"/>
          <w:lang w:val="sr-Latn-ME"/>
        </w:rPr>
        <w:t>ij</w:t>
      </w:r>
      <w:r w:rsidRPr="001D6D86">
        <w:rPr>
          <w:bCs/>
          <w:sz w:val="22"/>
          <w:szCs w:val="22"/>
          <w:lang w:val="sr-Latn-ME"/>
        </w:rPr>
        <w:t>ednosti za LDL-holesterol (&lt; 3 mmol/</w:t>
      </w:r>
      <w:r w:rsidR="00AD4C7A" w:rsidRPr="001D6D86">
        <w:rPr>
          <w:bCs/>
          <w:sz w:val="22"/>
          <w:szCs w:val="22"/>
          <w:lang w:val="sr-Latn-ME"/>
        </w:rPr>
        <w:t>l</w:t>
      </w:r>
      <w:r w:rsidRPr="001D6D86">
        <w:rPr>
          <w:bCs/>
          <w:sz w:val="22"/>
          <w:szCs w:val="22"/>
          <w:lang w:val="sr-Latn-ME"/>
        </w:rPr>
        <w:t>).</w:t>
      </w:r>
    </w:p>
    <w:p w14:paraId="6F796391" w14:textId="77777777" w:rsidR="00030415" w:rsidRPr="001D6D86" w:rsidRDefault="00030415" w:rsidP="0026307D">
      <w:pPr>
        <w:tabs>
          <w:tab w:val="left" w:pos="540"/>
          <w:tab w:val="left" w:pos="569"/>
        </w:tabs>
        <w:jc w:val="both"/>
        <w:rPr>
          <w:bCs/>
          <w:sz w:val="22"/>
          <w:szCs w:val="22"/>
          <w:lang w:val="sr-Latn-ME"/>
        </w:rPr>
      </w:pPr>
    </w:p>
    <w:p w14:paraId="1EED9DF3" w14:textId="388AE3E5"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jednoj obimnoj studiji sa dizajnom ubrzanog titriranja doze, kod 435 pacijenata sa heterozigotnom porodičnom hiperholesterolemijom su prim</w:t>
      </w:r>
      <w:r w:rsidR="00840ADE" w:rsidRPr="001D6D86">
        <w:rPr>
          <w:bCs/>
          <w:sz w:val="22"/>
          <w:szCs w:val="22"/>
          <w:lang w:val="sr-Latn-ME"/>
        </w:rPr>
        <w:t>j</w:t>
      </w:r>
      <w:r w:rsidRPr="001D6D86">
        <w:rPr>
          <w:bCs/>
          <w:sz w:val="22"/>
          <w:szCs w:val="22"/>
          <w:lang w:val="sr-Latn-ME"/>
        </w:rPr>
        <w:t>enjivane doze rosuvastatina od 20 mg do 80 mg. Sve doze su imale povoljan efekat na lipidne parametre i ostvareni su terapijski ciljevi. Nakon titriranja do dnevne doze od 40 mg (12 ned</w:t>
      </w:r>
      <w:r w:rsidR="00840ADE" w:rsidRPr="001D6D86">
        <w:rPr>
          <w:bCs/>
          <w:sz w:val="22"/>
          <w:szCs w:val="22"/>
          <w:lang w:val="sr-Latn-ME"/>
        </w:rPr>
        <w:t>j</w:t>
      </w:r>
      <w:r w:rsidRPr="001D6D86">
        <w:rPr>
          <w:bCs/>
          <w:sz w:val="22"/>
          <w:szCs w:val="22"/>
          <w:lang w:val="sr-Latn-ME"/>
        </w:rPr>
        <w:t>elja terapije), koncentracija LDL-C holesterola je smanjena za 53%. Trideset tri procenata pacijenata je dostiglo EAS ciljne vr</w:t>
      </w:r>
      <w:r w:rsidR="00840ADE" w:rsidRPr="001D6D86">
        <w:rPr>
          <w:bCs/>
          <w:sz w:val="22"/>
          <w:szCs w:val="22"/>
          <w:lang w:val="sr-Latn-ME"/>
        </w:rPr>
        <w:t>ij</w:t>
      </w:r>
      <w:r w:rsidRPr="001D6D86">
        <w:rPr>
          <w:bCs/>
          <w:sz w:val="22"/>
          <w:szCs w:val="22"/>
          <w:lang w:val="sr-Latn-ME"/>
        </w:rPr>
        <w:t>ednosti za LDL-C holesterol (&lt;3 mmol/</w:t>
      </w:r>
      <w:r w:rsidR="00840ADE" w:rsidRPr="001D6D86">
        <w:rPr>
          <w:bCs/>
          <w:sz w:val="22"/>
          <w:szCs w:val="22"/>
          <w:lang w:val="sr-Latn-ME"/>
        </w:rPr>
        <w:t>l</w:t>
      </w:r>
      <w:r w:rsidRPr="001D6D86">
        <w:rPr>
          <w:bCs/>
          <w:sz w:val="22"/>
          <w:szCs w:val="22"/>
          <w:lang w:val="sr-Latn-ME"/>
        </w:rPr>
        <w:t>).</w:t>
      </w:r>
    </w:p>
    <w:p w14:paraId="1CD138E3" w14:textId="77777777" w:rsidR="00030415" w:rsidRPr="001D6D86" w:rsidRDefault="00030415" w:rsidP="0026307D">
      <w:pPr>
        <w:tabs>
          <w:tab w:val="left" w:pos="540"/>
          <w:tab w:val="left" w:pos="569"/>
        </w:tabs>
        <w:jc w:val="both"/>
        <w:rPr>
          <w:bCs/>
          <w:sz w:val="22"/>
          <w:szCs w:val="22"/>
          <w:lang w:val="sr-Latn-ME"/>
        </w:rPr>
      </w:pPr>
    </w:p>
    <w:p w14:paraId="21802C7E" w14:textId="6804F9EE"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U otvorenom ispitivanju sa dizajnom ubrzanog titriranja doze, kod 42 pacijenta sa homozigotnom porodičnom hiperholesterolemijom </w:t>
      </w:r>
      <w:r w:rsidR="00AD4C7A" w:rsidRPr="001D6D86">
        <w:rPr>
          <w:bCs/>
          <w:sz w:val="22"/>
          <w:szCs w:val="22"/>
          <w:lang w:val="sr-Latn-ME"/>
        </w:rPr>
        <w:t xml:space="preserve">(uključujući 8 pedijatrijskih pacijenata) </w:t>
      </w:r>
      <w:r w:rsidRPr="001D6D86">
        <w:rPr>
          <w:bCs/>
          <w:sz w:val="22"/>
          <w:szCs w:val="22"/>
          <w:lang w:val="sr-Latn-ME"/>
        </w:rPr>
        <w:t>je vršena proc</w:t>
      </w:r>
      <w:r w:rsidR="00840ADE" w:rsidRPr="001D6D86">
        <w:rPr>
          <w:bCs/>
          <w:sz w:val="22"/>
          <w:szCs w:val="22"/>
          <w:lang w:val="sr-Latn-ME"/>
        </w:rPr>
        <w:t>j</w:t>
      </w:r>
      <w:r w:rsidRPr="001D6D86">
        <w:rPr>
          <w:bCs/>
          <w:sz w:val="22"/>
          <w:szCs w:val="22"/>
          <w:lang w:val="sr-Latn-ME"/>
        </w:rPr>
        <w:t>ena odgovora na rosuvastatin od 20-40 mg. Kod ukupne populacije ispitanika, pros</w:t>
      </w:r>
      <w:r w:rsidR="00840ADE" w:rsidRPr="001D6D86">
        <w:rPr>
          <w:bCs/>
          <w:sz w:val="22"/>
          <w:szCs w:val="22"/>
          <w:lang w:val="sr-Latn-ME"/>
        </w:rPr>
        <w:t>j</w:t>
      </w:r>
      <w:r w:rsidRPr="001D6D86">
        <w:rPr>
          <w:bCs/>
          <w:sz w:val="22"/>
          <w:szCs w:val="22"/>
          <w:lang w:val="sr-Latn-ME"/>
        </w:rPr>
        <w:t>ečna redukcija LDL-C holesterola je iznosila 22%.</w:t>
      </w:r>
    </w:p>
    <w:p w14:paraId="4D3790F3" w14:textId="77777777" w:rsidR="00030415" w:rsidRPr="001D6D86" w:rsidRDefault="00030415" w:rsidP="0026307D">
      <w:pPr>
        <w:tabs>
          <w:tab w:val="left" w:pos="540"/>
          <w:tab w:val="left" w:pos="569"/>
        </w:tabs>
        <w:jc w:val="both"/>
        <w:rPr>
          <w:bCs/>
          <w:sz w:val="22"/>
          <w:szCs w:val="22"/>
          <w:lang w:val="sr-Latn-ME"/>
        </w:rPr>
      </w:pPr>
    </w:p>
    <w:p w14:paraId="67C09670" w14:textId="0E35BF6B"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kliničk</w:t>
      </w:r>
      <w:r w:rsidR="007F2C15" w:rsidRPr="001D6D86">
        <w:rPr>
          <w:bCs/>
          <w:sz w:val="22"/>
          <w:szCs w:val="22"/>
          <w:lang w:val="sr-Latn-ME"/>
        </w:rPr>
        <w:t>oj</w:t>
      </w:r>
      <w:r w:rsidRPr="001D6D86">
        <w:rPr>
          <w:bCs/>
          <w:sz w:val="22"/>
          <w:szCs w:val="22"/>
          <w:lang w:val="sr-Latn-ME"/>
        </w:rPr>
        <w:t xml:space="preserve"> studij</w:t>
      </w:r>
      <w:r w:rsidR="007F2C15" w:rsidRPr="001D6D86">
        <w:rPr>
          <w:bCs/>
          <w:sz w:val="22"/>
          <w:szCs w:val="22"/>
          <w:lang w:val="sr-Latn-ME"/>
        </w:rPr>
        <w:t>i</w:t>
      </w:r>
      <w:r w:rsidRPr="001D6D86">
        <w:rPr>
          <w:bCs/>
          <w:sz w:val="22"/>
          <w:szCs w:val="22"/>
          <w:lang w:val="sr-Latn-ME"/>
        </w:rPr>
        <w:t xml:space="preserve"> sa ograničenim brojem pacijenata, pokazano je da rosuvastatin ima dodatnu dejstvo na smanjenje vr</w:t>
      </w:r>
      <w:r w:rsidR="00840ADE" w:rsidRPr="001D6D86">
        <w:rPr>
          <w:bCs/>
          <w:sz w:val="22"/>
          <w:szCs w:val="22"/>
          <w:lang w:val="sr-Latn-ME"/>
        </w:rPr>
        <w:t>ij</w:t>
      </w:r>
      <w:r w:rsidRPr="001D6D86">
        <w:rPr>
          <w:bCs/>
          <w:sz w:val="22"/>
          <w:szCs w:val="22"/>
          <w:lang w:val="sr-Latn-ME"/>
        </w:rPr>
        <w:t>ednosti triglicerida kada se prim</w:t>
      </w:r>
      <w:r w:rsidR="00840ADE" w:rsidRPr="001D6D86">
        <w:rPr>
          <w:bCs/>
          <w:sz w:val="22"/>
          <w:szCs w:val="22"/>
          <w:lang w:val="sr-Latn-ME"/>
        </w:rPr>
        <w:t>j</w:t>
      </w:r>
      <w:r w:rsidRPr="001D6D86">
        <w:rPr>
          <w:bCs/>
          <w:sz w:val="22"/>
          <w:szCs w:val="22"/>
          <w:lang w:val="sr-Latn-ME"/>
        </w:rPr>
        <w:t>enjuje u kombinaciji sa fenofibratom kao i na povećanje vr</w:t>
      </w:r>
      <w:r w:rsidR="00840ADE" w:rsidRPr="001D6D86">
        <w:rPr>
          <w:bCs/>
          <w:sz w:val="22"/>
          <w:szCs w:val="22"/>
          <w:lang w:val="sr-Latn-ME"/>
        </w:rPr>
        <w:t>ij</w:t>
      </w:r>
      <w:r w:rsidRPr="001D6D86">
        <w:rPr>
          <w:bCs/>
          <w:sz w:val="22"/>
          <w:szCs w:val="22"/>
          <w:lang w:val="sr-Latn-ME"/>
        </w:rPr>
        <w:t>ednosti HDL holesterola kada se prim</w:t>
      </w:r>
      <w:r w:rsidR="00840ADE" w:rsidRPr="001D6D86">
        <w:rPr>
          <w:bCs/>
          <w:sz w:val="22"/>
          <w:szCs w:val="22"/>
          <w:lang w:val="sr-Latn-ME"/>
        </w:rPr>
        <w:t>j</w:t>
      </w:r>
      <w:r w:rsidRPr="001D6D86">
        <w:rPr>
          <w:bCs/>
          <w:sz w:val="22"/>
          <w:szCs w:val="22"/>
          <w:lang w:val="sr-Latn-ME"/>
        </w:rPr>
        <w:t>enjuje u kombinaciji sa niacinom (vid</w:t>
      </w:r>
      <w:r w:rsidR="00840ADE" w:rsidRPr="001D6D86">
        <w:rPr>
          <w:bCs/>
          <w:sz w:val="22"/>
          <w:szCs w:val="22"/>
          <w:lang w:val="sr-Latn-ME"/>
        </w:rPr>
        <w:t>j</w:t>
      </w:r>
      <w:r w:rsidRPr="001D6D86">
        <w:rPr>
          <w:bCs/>
          <w:sz w:val="22"/>
          <w:szCs w:val="22"/>
          <w:lang w:val="sr-Latn-ME"/>
        </w:rPr>
        <w:t xml:space="preserve">eti </w:t>
      </w:r>
      <w:r w:rsidR="00840ADE" w:rsidRPr="001D6D86">
        <w:rPr>
          <w:bCs/>
          <w:sz w:val="22"/>
          <w:szCs w:val="22"/>
          <w:lang w:val="sr-Latn-ME"/>
        </w:rPr>
        <w:t>dio</w:t>
      </w:r>
      <w:r w:rsidRPr="001D6D86">
        <w:rPr>
          <w:bCs/>
          <w:sz w:val="22"/>
          <w:szCs w:val="22"/>
          <w:lang w:val="sr-Latn-ME"/>
        </w:rPr>
        <w:t xml:space="preserve"> 4.4).</w:t>
      </w:r>
    </w:p>
    <w:p w14:paraId="6258308F" w14:textId="77777777" w:rsidR="00030415" w:rsidRPr="001D6D86" w:rsidRDefault="00030415" w:rsidP="0026307D">
      <w:pPr>
        <w:tabs>
          <w:tab w:val="left" w:pos="540"/>
          <w:tab w:val="left" w:pos="569"/>
        </w:tabs>
        <w:jc w:val="both"/>
        <w:rPr>
          <w:bCs/>
          <w:sz w:val="22"/>
          <w:szCs w:val="22"/>
          <w:lang w:val="sr-Latn-ME"/>
        </w:rPr>
      </w:pPr>
    </w:p>
    <w:p w14:paraId="6C4BD109" w14:textId="513A9EE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multicentričnoj, dvostruko sl</w:t>
      </w:r>
      <w:r w:rsidR="00840ADE" w:rsidRPr="001D6D86">
        <w:rPr>
          <w:bCs/>
          <w:sz w:val="22"/>
          <w:szCs w:val="22"/>
          <w:lang w:val="sr-Latn-ME"/>
        </w:rPr>
        <w:t>ij</w:t>
      </w:r>
      <w:r w:rsidRPr="001D6D86">
        <w:rPr>
          <w:bCs/>
          <w:sz w:val="22"/>
          <w:szCs w:val="22"/>
          <w:lang w:val="sr-Latn-ME"/>
        </w:rPr>
        <w:t xml:space="preserve">epoj, placebo-kontrolisanoj kliničkoj studiji (METEOR), 984 pacijenata životnog doba između 45 i 70 godina, i sa malim rizikom od koronarne bolesti srca (koja se definiše kao </w:t>
      </w:r>
      <w:r w:rsidRPr="001D6D86">
        <w:rPr>
          <w:bCs/>
          <w:i/>
          <w:sz w:val="22"/>
          <w:szCs w:val="22"/>
          <w:lang w:val="sr-Latn-ME"/>
        </w:rPr>
        <w:t xml:space="preserve">Framinghamski </w:t>
      </w:r>
      <w:r w:rsidRPr="001D6D86">
        <w:rPr>
          <w:bCs/>
          <w:sz w:val="22"/>
          <w:szCs w:val="22"/>
          <w:lang w:val="sr-Latn-ME"/>
        </w:rPr>
        <w:t>rizik &lt;10% u periodu od 10 godina), sa srednjom vr</w:t>
      </w:r>
      <w:r w:rsidR="00840ADE" w:rsidRPr="001D6D86">
        <w:rPr>
          <w:bCs/>
          <w:sz w:val="22"/>
          <w:szCs w:val="22"/>
          <w:lang w:val="sr-Latn-ME"/>
        </w:rPr>
        <w:t>ij</w:t>
      </w:r>
      <w:r w:rsidRPr="001D6D86">
        <w:rPr>
          <w:bCs/>
          <w:sz w:val="22"/>
          <w:szCs w:val="22"/>
          <w:lang w:val="sr-Latn-ME"/>
        </w:rPr>
        <w:t>ednošću LDL-C od 4,0 mmol/</w:t>
      </w:r>
      <w:r w:rsidR="00840ADE" w:rsidRPr="001D6D86">
        <w:rPr>
          <w:bCs/>
          <w:sz w:val="22"/>
          <w:szCs w:val="22"/>
          <w:lang w:val="sr-Latn-ME"/>
        </w:rPr>
        <w:t>l</w:t>
      </w:r>
      <w:r w:rsidRPr="001D6D86">
        <w:rPr>
          <w:bCs/>
          <w:sz w:val="22"/>
          <w:szCs w:val="22"/>
          <w:lang w:val="sr-Latn-ME"/>
        </w:rPr>
        <w:t xml:space="preserve"> (154,5 mg/d</w:t>
      </w:r>
      <w:r w:rsidR="00840ADE" w:rsidRPr="001D6D86">
        <w:rPr>
          <w:bCs/>
          <w:sz w:val="22"/>
          <w:szCs w:val="22"/>
          <w:lang w:val="sr-Latn-ME"/>
        </w:rPr>
        <w:t>l</w:t>
      </w:r>
      <w:r w:rsidRPr="001D6D86">
        <w:rPr>
          <w:bCs/>
          <w:sz w:val="22"/>
          <w:szCs w:val="22"/>
          <w:lang w:val="sr-Latn-ME"/>
        </w:rPr>
        <w:t xml:space="preserve">), ali sa subkliničkom aterosklerozom (koja se definiše kao zadebljanje </w:t>
      </w:r>
      <w:r w:rsidRPr="001D6D86">
        <w:rPr>
          <w:bCs/>
          <w:i/>
          <w:sz w:val="22"/>
          <w:szCs w:val="22"/>
          <w:lang w:val="sr-Latn-ME"/>
        </w:rPr>
        <w:t>intima-media</w:t>
      </w:r>
      <w:r w:rsidRPr="001D6D86">
        <w:rPr>
          <w:bCs/>
          <w:sz w:val="22"/>
          <w:szCs w:val="22"/>
          <w:lang w:val="sr-Latn-ME"/>
        </w:rPr>
        <w:t xml:space="preserve"> karotidnih arterija; </w:t>
      </w:r>
      <w:r w:rsidRPr="001D6D86">
        <w:rPr>
          <w:bCs/>
          <w:i/>
          <w:sz w:val="22"/>
          <w:szCs w:val="22"/>
          <w:lang w:val="sr-Latn-ME"/>
        </w:rPr>
        <w:t>Carotid Intima Media Thickness</w:t>
      </w:r>
      <w:r w:rsidRPr="001D6D86">
        <w:rPr>
          <w:bCs/>
          <w:sz w:val="22"/>
          <w:szCs w:val="22"/>
          <w:lang w:val="sr-Latn-ME"/>
        </w:rPr>
        <w:t>/CIMT) randomizovani su da primaju 40 mg rosuvastatina jednom</w:t>
      </w:r>
      <w:r w:rsidRPr="001D6D86">
        <w:rPr>
          <w:bCs/>
          <w:i/>
          <w:sz w:val="22"/>
          <w:szCs w:val="22"/>
          <w:lang w:val="sr-Latn-ME"/>
        </w:rPr>
        <w:t xml:space="preserve"> </w:t>
      </w:r>
      <w:r w:rsidRPr="001D6D86">
        <w:rPr>
          <w:bCs/>
          <w:sz w:val="22"/>
          <w:szCs w:val="22"/>
          <w:lang w:val="sr-Latn-ME"/>
        </w:rPr>
        <w:t xml:space="preserve">dnevno ili placebo tokom 2 godine. Rosuvastatin je značajno usporio stopu progresije do maksimalne </w:t>
      </w:r>
      <w:bookmarkStart w:id="0" w:name="page13"/>
      <w:bookmarkEnd w:id="0"/>
      <w:r w:rsidRPr="001D6D86">
        <w:rPr>
          <w:bCs/>
          <w:sz w:val="22"/>
          <w:szCs w:val="22"/>
          <w:lang w:val="sr-Latn-ME"/>
        </w:rPr>
        <w:t>CIMT vr</w:t>
      </w:r>
      <w:r w:rsidR="00840ADE" w:rsidRPr="001D6D86">
        <w:rPr>
          <w:bCs/>
          <w:sz w:val="22"/>
          <w:szCs w:val="22"/>
          <w:lang w:val="sr-Latn-ME"/>
        </w:rPr>
        <w:t>ij</w:t>
      </w:r>
      <w:r w:rsidRPr="001D6D86">
        <w:rPr>
          <w:bCs/>
          <w:sz w:val="22"/>
          <w:szCs w:val="22"/>
          <w:lang w:val="sr-Latn-ME"/>
        </w:rPr>
        <w:t>ednosti (na 12 tačaka na karotidnoj arteriji) u poređenju sa placebom za -0,0145 mm/godišnje [interval pouzdanosti 95%: -0,0196, -0,0093; p&lt;0,0001]. Prom</w:t>
      </w:r>
      <w:r w:rsidR="00840ADE" w:rsidRPr="001D6D86">
        <w:rPr>
          <w:bCs/>
          <w:sz w:val="22"/>
          <w:szCs w:val="22"/>
          <w:lang w:val="sr-Latn-ME"/>
        </w:rPr>
        <w:t>j</w:t>
      </w:r>
      <w:r w:rsidRPr="001D6D86">
        <w:rPr>
          <w:bCs/>
          <w:sz w:val="22"/>
          <w:szCs w:val="22"/>
          <w:lang w:val="sr-Latn-ME"/>
        </w:rPr>
        <w:t>ene u odnosu na početne vr</w:t>
      </w:r>
      <w:r w:rsidR="00840ADE" w:rsidRPr="001D6D86">
        <w:rPr>
          <w:bCs/>
          <w:sz w:val="22"/>
          <w:szCs w:val="22"/>
          <w:lang w:val="sr-Latn-ME"/>
        </w:rPr>
        <w:t>ij</w:t>
      </w:r>
      <w:r w:rsidRPr="001D6D86">
        <w:rPr>
          <w:bCs/>
          <w:sz w:val="22"/>
          <w:szCs w:val="22"/>
          <w:lang w:val="sr-Latn-ME"/>
        </w:rPr>
        <w:t>ednosti iznosila je -0,0014 mm/godišnje (-0,12%/godišnje (nije statistički značajno)) za rosuvastatin u poređenju sa progresijom od +0,0131 mm/godišnje (1,12% /godišnje (p&lt;0,0001)) za placebo. Nije pokazana direktna korelacija između smanjenja CIMT i smanjenja rizika od kardiovaskularnih događaja. Populacija obuhvaćena studijom METEOR je imala mali rizik za koronarnu bolest srca, i ne predstavlja ciljnu populaciju za rosuvastatin 40 mg. Dozu od 40 mg treba propisivati samo kod pacijenata sa teškom hiperholesterolemijom koji imaju veliki kardiovaskularni rizik (vid</w:t>
      </w:r>
      <w:r w:rsidR="00840ADE" w:rsidRPr="001D6D86">
        <w:rPr>
          <w:bCs/>
          <w:sz w:val="22"/>
          <w:szCs w:val="22"/>
          <w:lang w:val="sr-Latn-ME"/>
        </w:rPr>
        <w:t>j</w:t>
      </w:r>
      <w:r w:rsidRPr="001D6D86">
        <w:rPr>
          <w:bCs/>
          <w:sz w:val="22"/>
          <w:szCs w:val="22"/>
          <w:lang w:val="sr-Latn-ME"/>
        </w:rPr>
        <w:t xml:space="preserve">eti </w:t>
      </w:r>
      <w:r w:rsidR="00840ADE" w:rsidRPr="001D6D86">
        <w:rPr>
          <w:bCs/>
          <w:sz w:val="22"/>
          <w:szCs w:val="22"/>
          <w:lang w:val="sr-Latn-ME"/>
        </w:rPr>
        <w:t>dio</w:t>
      </w:r>
      <w:r w:rsidRPr="001D6D86">
        <w:rPr>
          <w:bCs/>
          <w:sz w:val="22"/>
          <w:szCs w:val="22"/>
          <w:lang w:val="sr-Latn-ME"/>
        </w:rPr>
        <w:t xml:space="preserve"> 4.2).</w:t>
      </w:r>
    </w:p>
    <w:p w14:paraId="339F4679" w14:textId="77777777" w:rsidR="00030415" w:rsidRPr="001D6D86" w:rsidRDefault="00030415" w:rsidP="0026307D">
      <w:pPr>
        <w:tabs>
          <w:tab w:val="left" w:pos="540"/>
          <w:tab w:val="left" w:pos="569"/>
        </w:tabs>
        <w:jc w:val="both"/>
        <w:rPr>
          <w:bCs/>
          <w:sz w:val="22"/>
          <w:szCs w:val="22"/>
          <w:lang w:val="sr-Latn-ME"/>
        </w:rPr>
      </w:pPr>
    </w:p>
    <w:p w14:paraId="005F61B5"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U kliničkom ispitivanju JUPITER (engl. </w:t>
      </w:r>
      <w:r w:rsidRPr="001D6D86">
        <w:rPr>
          <w:bCs/>
          <w:i/>
          <w:sz w:val="22"/>
          <w:szCs w:val="22"/>
          <w:lang w:val="sr-Latn-ME"/>
        </w:rPr>
        <w:t>Justification for the Use of Statins in Primary Prevention:An Intervention Trial Evaluating Rosuvastatin</w:t>
      </w:r>
      <w:r w:rsidRPr="001D6D86">
        <w:rPr>
          <w:bCs/>
          <w:sz w:val="22"/>
          <w:szCs w:val="22"/>
          <w:lang w:val="sr-Latn-ME"/>
        </w:rPr>
        <w:t>) ispitivan je uticaj rosuvastatina na pojavu velikih kardiovaskularnih (KV) događaja povezanih sa aterosklerozom kod 17 802 muškarca  (≥50 godina starosti) i žena (≥60 godina starosti).</w:t>
      </w:r>
    </w:p>
    <w:p w14:paraId="663416BF" w14:textId="77777777" w:rsidR="00030415" w:rsidRPr="001D6D86" w:rsidRDefault="00030415" w:rsidP="0026307D">
      <w:pPr>
        <w:tabs>
          <w:tab w:val="left" w:pos="540"/>
          <w:tab w:val="left" w:pos="569"/>
        </w:tabs>
        <w:jc w:val="both"/>
        <w:rPr>
          <w:bCs/>
          <w:sz w:val="22"/>
          <w:szCs w:val="22"/>
          <w:lang w:val="sr-Latn-ME"/>
        </w:rPr>
      </w:pPr>
    </w:p>
    <w:p w14:paraId="77598DDA" w14:textId="50EEBB70"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Ispitanici su randomizirani u placebo grupu (n=8901) ili grupu koja je primala rosuvastatin od 20 mg jednom dnevno (n=8901), i praćeni su u pros</w:t>
      </w:r>
      <w:r w:rsidR="00840ADE" w:rsidRPr="001D6D86">
        <w:rPr>
          <w:bCs/>
          <w:sz w:val="22"/>
          <w:szCs w:val="22"/>
          <w:lang w:val="sr-Latn-ME"/>
        </w:rPr>
        <w:t>j</w:t>
      </w:r>
      <w:r w:rsidRPr="001D6D86">
        <w:rPr>
          <w:bCs/>
          <w:sz w:val="22"/>
          <w:szCs w:val="22"/>
          <w:lang w:val="sr-Latn-ME"/>
        </w:rPr>
        <w:t>eku 2 godine.</w:t>
      </w:r>
    </w:p>
    <w:p w14:paraId="41A3E512" w14:textId="77777777" w:rsidR="00030415" w:rsidRPr="001D6D86" w:rsidRDefault="00030415" w:rsidP="0026307D">
      <w:pPr>
        <w:tabs>
          <w:tab w:val="left" w:pos="540"/>
          <w:tab w:val="left" w:pos="569"/>
        </w:tabs>
        <w:jc w:val="both"/>
        <w:rPr>
          <w:bCs/>
          <w:sz w:val="22"/>
          <w:szCs w:val="22"/>
          <w:lang w:val="sr-Latn-ME"/>
        </w:rPr>
      </w:pPr>
    </w:p>
    <w:p w14:paraId="4797CD90"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lastRenderedPageBreak/>
        <w:t>Koncentracija LDL holesterola je smanjena za 45% (p&lt;0,001) kod pacijenata koji su uzimali rosuvastatin u odnosu na pacijente iz placebo grupe.</w:t>
      </w:r>
    </w:p>
    <w:p w14:paraId="7A2AA0D1" w14:textId="77777777" w:rsidR="00030415" w:rsidRPr="001D6D86" w:rsidRDefault="00030415" w:rsidP="0026307D">
      <w:pPr>
        <w:tabs>
          <w:tab w:val="left" w:pos="540"/>
          <w:tab w:val="left" w:pos="569"/>
        </w:tabs>
        <w:jc w:val="both"/>
        <w:rPr>
          <w:bCs/>
          <w:sz w:val="22"/>
          <w:szCs w:val="22"/>
          <w:lang w:val="sr-Latn-ME"/>
        </w:rPr>
      </w:pPr>
    </w:p>
    <w:p w14:paraId="25DB8661" w14:textId="2EDD724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U </w:t>
      </w:r>
      <w:r w:rsidRPr="001D6D86">
        <w:rPr>
          <w:bCs/>
          <w:i/>
          <w:sz w:val="22"/>
          <w:szCs w:val="22"/>
          <w:lang w:val="sr-Latn-ME"/>
        </w:rPr>
        <w:t xml:space="preserve">post hoc </w:t>
      </w:r>
      <w:r w:rsidRPr="001D6D86">
        <w:rPr>
          <w:bCs/>
          <w:sz w:val="22"/>
          <w:szCs w:val="22"/>
          <w:lang w:val="sr-Latn-ME"/>
        </w:rPr>
        <w:t>analizi podgrupe subjekata sa velikim rizikom, sa početnom proc</w:t>
      </w:r>
      <w:r w:rsidR="00840ADE" w:rsidRPr="001D6D86">
        <w:rPr>
          <w:bCs/>
          <w:sz w:val="22"/>
          <w:szCs w:val="22"/>
          <w:lang w:val="sr-Latn-ME"/>
        </w:rPr>
        <w:t>j</w:t>
      </w:r>
      <w:r w:rsidRPr="001D6D86">
        <w:rPr>
          <w:bCs/>
          <w:sz w:val="22"/>
          <w:szCs w:val="22"/>
          <w:lang w:val="sr-Latn-ME"/>
        </w:rPr>
        <w:t xml:space="preserve">enom rizika po </w:t>
      </w:r>
      <w:r w:rsidRPr="001D6D86">
        <w:rPr>
          <w:bCs/>
          <w:i/>
          <w:sz w:val="22"/>
          <w:szCs w:val="22"/>
          <w:lang w:val="sr-Latn-ME"/>
        </w:rPr>
        <w:t xml:space="preserve">Framingham </w:t>
      </w:r>
      <w:r w:rsidRPr="001D6D86">
        <w:rPr>
          <w:bCs/>
          <w:sz w:val="22"/>
          <w:szCs w:val="22"/>
          <w:lang w:val="sr-Latn-ME"/>
        </w:rPr>
        <w:t>skoru &gt;20% (1 558 ispitanika), ustanovljeno je značajno smanjenje kombinovanog ishoda kardiovaskularne smrti, moždanog udara i infarkta miokarda (p=0,028) pri prim</w:t>
      </w:r>
      <w:r w:rsidR="00840ADE" w:rsidRPr="001D6D86">
        <w:rPr>
          <w:bCs/>
          <w:sz w:val="22"/>
          <w:szCs w:val="22"/>
          <w:lang w:val="sr-Latn-ME"/>
        </w:rPr>
        <w:t>j</w:t>
      </w:r>
      <w:r w:rsidRPr="001D6D86">
        <w:rPr>
          <w:bCs/>
          <w:sz w:val="22"/>
          <w:szCs w:val="22"/>
          <w:lang w:val="sr-Latn-ME"/>
        </w:rPr>
        <w:t>eni rosuvastatina u odnosu na placebo.</w:t>
      </w:r>
    </w:p>
    <w:p w14:paraId="71BEFD25" w14:textId="77777777" w:rsidR="00030415" w:rsidRPr="001D6D86" w:rsidRDefault="00030415" w:rsidP="0026307D">
      <w:pPr>
        <w:tabs>
          <w:tab w:val="left" w:pos="540"/>
          <w:tab w:val="left" w:pos="569"/>
        </w:tabs>
        <w:jc w:val="both"/>
        <w:rPr>
          <w:bCs/>
          <w:sz w:val="22"/>
          <w:szCs w:val="22"/>
          <w:lang w:val="sr-Latn-ME"/>
        </w:rPr>
      </w:pPr>
    </w:p>
    <w:p w14:paraId="47026057" w14:textId="5DB6A9D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Redukcija apsolutnog rizika izražena kao stopa događaja na 1000 pacijent-godina bila je 8,8. Ukupan mortalitet je ostao neprom</w:t>
      </w:r>
      <w:r w:rsidR="00840ADE" w:rsidRPr="001D6D86">
        <w:rPr>
          <w:bCs/>
          <w:sz w:val="22"/>
          <w:szCs w:val="22"/>
          <w:lang w:val="sr-Latn-ME"/>
        </w:rPr>
        <w:t>ij</w:t>
      </w:r>
      <w:r w:rsidRPr="001D6D86">
        <w:rPr>
          <w:bCs/>
          <w:sz w:val="22"/>
          <w:szCs w:val="22"/>
          <w:lang w:val="sr-Latn-ME"/>
        </w:rPr>
        <w:t xml:space="preserve">enjen u ovoj grupi visokog rizika (p=0,193). U </w:t>
      </w:r>
      <w:r w:rsidRPr="001D6D86">
        <w:rPr>
          <w:bCs/>
          <w:i/>
          <w:sz w:val="22"/>
          <w:szCs w:val="22"/>
          <w:lang w:val="sr-Latn-ME"/>
        </w:rPr>
        <w:t xml:space="preserve">post hoc </w:t>
      </w:r>
      <w:r w:rsidRPr="001D6D86">
        <w:rPr>
          <w:bCs/>
          <w:sz w:val="22"/>
          <w:szCs w:val="22"/>
          <w:lang w:val="sr-Latn-ME"/>
        </w:rPr>
        <w:t>analizi podgrupe pacijenata sa visokim rizikom (ukupno 9 302 ispitanika) sa početnom vr</w:t>
      </w:r>
      <w:r w:rsidR="00840ADE" w:rsidRPr="001D6D86">
        <w:rPr>
          <w:bCs/>
          <w:sz w:val="22"/>
          <w:szCs w:val="22"/>
          <w:lang w:val="sr-Latn-ME"/>
        </w:rPr>
        <w:t>ij</w:t>
      </w:r>
      <w:r w:rsidRPr="001D6D86">
        <w:rPr>
          <w:bCs/>
          <w:sz w:val="22"/>
          <w:szCs w:val="22"/>
          <w:lang w:val="sr-Latn-ME"/>
        </w:rPr>
        <w:t>ednošću SCORE rizika ≥5% (predviđenom da obuhvati pacijente starosti iznad 65 godina), došlo je do značajnog smanjenja kombinovanog ishoda kardiovaskularne smrti, moždanog udara i infarkta miokarda (p=0,0003) pri prim</w:t>
      </w:r>
      <w:r w:rsidR="00840ADE" w:rsidRPr="001D6D86">
        <w:rPr>
          <w:bCs/>
          <w:sz w:val="22"/>
          <w:szCs w:val="22"/>
          <w:lang w:val="sr-Latn-ME"/>
        </w:rPr>
        <w:t>j</w:t>
      </w:r>
      <w:r w:rsidRPr="001D6D86">
        <w:rPr>
          <w:bCs/>
          <w:sz w:val="22"/>
          <w:szCs w:val="22"/>
          <w:lang w:val="sr-Latn-ME"/>
        </w:rPr>
        <w:t>eni rosuvastatina u odnosu na placebo. Redukcija apsolutnog rizika izražena kao stopa događaja na 1000 pacijent-godina bila je 5,1. Ukupan mortalitet je ostao neprom</w:t>
      </w:r>
      <w:r w:rsidR="00840ADE" w:rsidRPr="001D6D86">
        <w:rPr>
          <w:bCs/>
          <w:sz w:val="22"/>
          <w:szCs w:val="22"/>
          <w:lang w:val="sr-Latn-ME"/>
        </w:rPr>
        <w:t>ij</w:t>
      </w:r>
      <w:r w:rsidRPr="001D6D86">
        <w:rPr>
          <w:bCs/>
          <w:sz w:val="22"/>
          <w:szCs w:val="22"/>
          <w:lang w:val="sr-Latn-ME"/>
        </w:rPr>
        <w:t>enjen u ovoj grupi visokog rizika (p=0,076).</w:t>
      </w:r>
    </w:p>
    <w:p w14:paraId="4136B2A9" w14:textId="77777777" w:rsidR="00030415" w:rsidRPr="001D6D86" w:rsidRDefault="00030415" w:rsidP="0026307D">
      <w:pPr>
        <w:tabs>
          <w:tab w:val="left" w:pos="540"/>
          <w:tab w:val="left" w:pos="569"/>
        </w:tabs>
        <w:jc w:val="both"/>
        <w:rPr>
          <w:bCs/>
          <w:sz w:val="22"/>
          <w:szCs w:val="22"/>
          <w:lang w:val="sr-Latn-ME"/>
        </w:rPr>
      </w:pPr>
    </w:p>
    <w:p w14:paraId="6A70DB0D" w14:textId="3EFD238B"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JUPITER studiji, 6,6% pacijenata koji su primali rosuvastatin i 6,2% pacijenata koji su primali placebo, prekinulo je terapiju zbog neželjenih događaja. Najčešći neželjeni događaji koji su doveli do prekida terapije su bili: mijalgija (0,3% rosuvastatin grupa, 0,2% placebo grupa), bol u abdomenu (0,03% rosuvastatin grupa, 0,02% placebo) i osip (0,02% rosuvastatin grupa, 0,03% placebo grupa). Najčešći neželjeni događaji čija je stopa veća ili jednaka onoj u placebo grupi su bili: infekcija urinarnog trakta (8,7% rosuvastatin grupa, 8,6% placebo grupa), nazofaringitis (7,6% rosuvastatin grupa, 7,2% placebo grupa), bol u leđima (7,6% rosuvastatin grupa, 6,9% placebo grupa) i mijalgija (7,6% rosuvastatin grupa, 6,6% placebo grupa).</w:t>
      </w:r>
    </w:p>
    <w:p w14:paraId="069083E0" w14:textId="77777777" w:rsidR="00030415" w:rsidRPr="001D6D86" w:rsidRDefault="00030415" w:rsidP="0026307D">
      <w:pPr>
        <w:tabs>
          <w:tab w:val="left" w:pos="540"/>
          <w:tab w:val="left" w:pos="569"/>
        </w:tabs>
        <w:jc w:val="both"/>
        <w:rPr>
          <w:bCs/>
          <w:sz w:val="22"/>
          <w:szCs w:val="22"/>
          <w:lang w:val="sr-Latn-ME"/>
        </w:rPr>
      </w:pPr>
    </w:p>
    <w:p w14:paraId="711FEF68" w14:textId="77777777" w:rsidR="00030415" w:rsidRPr="001D6D86" w:rsidRDefault="00030415" w:rsidP="0026307D">
      <w:pPr>
        <w:tabs>
          <w:tab w:val="left" w:pos="540"/>
          <w:tab w:val="left" w:pos="569"/>
        </w:tabs>
        <w:jc w:val="both"/>
        <w:rPr>
          <w:bCs/>
          <w:sz w:val="22"/>
          <w:szCs w:val="22"/>
          <w:lang w:val="sr-Latn-ME"/>
        </w:rPr>
      </w:pPr>
      <w:r w:rsidRPr="001D6D86">
        <w:rPr>
          <w:bCs/>
          <w:i/>
          <w:sz w:val="22"/>
          <w:szCs w:val="22"/>
          <w:lang w:val="sr-Latn-ME"/>
        </w:rPr>
        <w:t>Pedijatrijska populacija</w:t>
      </w:r>
    </w:p>
    <w:p w14:paraId="71304A1C" w14:textId="06EA726D"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U dvostruko-sl</w:t>
      </w:r>
      <w:r w:rsidR="00840ADE" w:rsidRPr="001D6D86">
        <w:rPr>
          <w:bCs/>
          <w:sz w:val="22"/>
          <w:szCs w:val="22"/>
          <w:lang w:val="sr-Latn-ME"/>
        </w:rPr>
        <w:t>ij</w:t>
      </w:r>
      <w:r w:rsidRPr="001D6D86">
        <w:rPr>
          <w:bCs/>
          <w:sz w:val="22"/>
          <w:szCs w:val="22"/>
          <w:lang w:val="sr-Latn-ME"/>
        </w:rPr>
        <w:t>epoj, randomizovanoj, multicentričnoj, placebo-kontrolisanoj, 12-ned</w:t>
      </w:r>
      <w:r w:rsidR="00840ADE" w:rsidRPr="001D6D86">
        <w:rPr>
          <w:bCs/>
          <w:sz w:val="22"/>
          <w:szCs w:val="22"/>
          <w:lang w:val="sr-Latn-ME"/>
        </w:rPr>
        <w:t>j</w:t>
      </w:r>
      <w:r w:rsidRPr="001D6D86">
        <w:rPr>
          <w:bCs/>
          <w:sz w:val="22"/>
          <w:szCs w:val="22"/>
          <w:lang w:val="sr-Latn-ME"/>
        </w:rPr>
        <w:t>eljnoj studiji (n=176; 97 d</w:t>
      </w:r>
      <w:r w:rsidR="00840ADE" w:rsidRPr="001D6D86">
        <w:rPr>
          <w:bCs/>
          <w:sz w:val="22"/>
          <w:szCs w:val="22"/>
          <w:lang w:val="sr-Latn-ME"/>
        </w:rPr>
        <w:t>j</w:t>
      </w:r>
      <w:r w:rsidRPr="001D6D86">
        <w:rPr>
          <w:bCs/>
          <w:sz w:val="22"/>
          <w:szCs w:val="22"/>
          <w:lang w:val="sr-Latn-ME"/>
        </w:rPr>
        <w:t>ečaka i 79 d</w:t>
      </w:r>
      <w:r w:rsidR="00840ADE" w:rsidRPr="001D6D86">
        <w:rPr>
          <w:bCs/>
          <w:sz w:val="22"/>
          <w:szCs w:val="22"/>
          <w:lang w:val="sr-Latn-ME"/>
        </w:rPr>
        <w:t>j</w:t>
      </w:r>
      <w:r w:rsidRPr="001D6D86">
        <w:rPr>
          <w:bCs/>
          <w:sz w:val="22"/>
          <w:szCs w:val="22"/>
          <w:lang w:val="sr-Latn-ME"/>
        </w:rPr>
        <w:t>evojčica), koja je praćena 40-ned</w:t>
      </w:r>
      <w:r w:rsidR="00840ADE" w:rsidRPr="001D6D86">
        <w:rPr>
          <w:bCs/>
          <w:sz w:val="22"/>
          <w:szCs w:val="22"/>
          <w:lang w:val="sr-Latn-ME"/>
        </w:rPr>
        <w:t>j</w:t>
      </w:r>
      <w:r w:rsidRPr="001D6D86">
        <w:rPr>
          <w:bCs/>
          <w:sz w:val="22"/>
          <w:szCs w:val="22"/>
          <w:lang w:val="sr-Latn-ME"/>
        </w:rPr>
        <w:t>eljnom (n=173, 96 d</w:t>
      </w:r>
      <w:r w:rsidR="00840ADE" w:rsidRPr="001D6D86">
        <w:rPr>
          <w:bCs/>
          <w:sz w:val="22"/>
          <w:szCs w:val="22"/>
          <w:lang w:val="sr-Latn-ME"/>
        </w:rPr>
        <w:t>j</w:t>
      </w:r>
      <w:r w:rsidRPr="001D6D86">
        <w:rPr>
          <w:bCs/>
          <w:sz w:val="22"/>
          <w:szCs w:val="22"/>
          <w:lang w:val="sr-Latn-ME"/>
        </w:rPr>
        <w:t>ečaka i 77 d</w:t>
      </w:r>
      <w:r w:rsidR="00840ADE" w:rsidRPr="001D6D86">
        <w:rPr>
          <w:bCs/>
          <w:sz w:val="22"/>
          <w:szCs w:val="22"/>
          <w:lang w:val="sr-Latn-ME"/>
        </w:rPr>
        <w:t>j</w:t>
      </w:r>
      <w:r w:rsidRPr="001D6D86">
        <w:rPr>
          <w:bCs/>
          <w:sz w:val="22"/>
          <w:szCs w:val="22"/>
          <w:lang w:val="sr-Latn-ME"/>
        </w:rPr>
        <w:t>evojčica), otvorenom, fazom sa titracijom doze rosuvastatina, pacijenti uzrasta 10-17 godina (</w:t>
      </w:r>
      <w:r w:rsidRPr="001D6D86">
        <w:rPr>
          <w:bCs/>
          <w:i/>
          <w:sz w:val="22"/>
          <w:szCs w:val="22"/>
          <w:lang w:val="sr-Latn-ME"/>
        </w:rPr>
        <w:t xml:space="preserve">Tanner </w:t>
      </w:r>
      <w:r w:rsidRPr="001D6D86">
        <w:rPr>
          <w:bCs/>
          <w:sz w:val="22"/>
          <w:szCs w:val="22"/>
          <w:lang w:val="sr-Latn-ME"/>
        </w:rPr>
        <w:t>stadijum II-V, d</w:t>
      </w:r>
      <w:r w:rsidR="00840ADE" w:rsidRPr="001D6D86">
        <w:rPr>
          <w:bCs/>
          <w:sz w:val="22"/>
          <w:szCs w:val="22"/>
          <w:lang w:val="sr-Latn-ME"/>
        </w:rPr>
        <w:t>j</w:t>
      </w:r>
      <w:r w:rsidRPr="001D6D86">
        <w:rPr>
          <w:bCs/>
          <w:sz w:val="22"/>
          <w:szCs w:val="22"/>
          <w:lang w:val="sr-Latn-ME"/>
        </w:rPr>
        <w:t>evojčice kod kojih je prošlo najmanje godinu dana od prvog menstrualnog ciklusa) sa heterozigotnom porodičnom hiperholesterolemijom, uzimali su rosuvastatin 5 mg, 10 mg ili 20 mg ili placebo jednom dnevno tokom 12 ned</w:t>
      </w:r>
      <w:r w:rsidR="00840ADE" w:rsidRPr="001D6D86">
        <w:rPr>
          <w:bCs/>
          <w:sz w:val="22"/>
          <w:szCs w:val="22"/>
          <w:lang w:val="sr-Latn-ME"/>
        </w:rPr>
        <w:t>j</w:t>
      </w:r>
      <w:r w:rsidRPr="001D6D86">
        <w:rPr>
          <w:bCs/>
          <w:sz w:val="22"/>
          <w:szCs w:val="22"/>
          <w:lang w:val="sr-Latn-ME"/>
        </w:rPr>
        <w:t>elja, a onda su svi uzimali rosuvastatin jednom dnevno tokom 40 ned</w:t>
      </w:r>
      <w:r w:rsidR="00840ADE" w:rsidRPr="001D6D86">
        <w:rPr>
          <w:bCs/>
          <w:sz w:val="22"/>
          <w:szCs w:val="22"/>
          <w:lang w:val="sr-Latn-ME"/>
        </w:rPr>
        <w:t>j</w:t>
      </w:r>
      <w:r w:rsidRPr="001D6D86">
        <w:rPr>
          <w:bCs/>
          <w:sz w:val="22"/>
          <w:szCs w:val="22"/>
          <w:lang w:val="sr-Latn-ME"/>
        </w:rPr>
        <w:t xml:space="preserve">elja. Na početku studije, približno 30% pacijenata studije je bilo uzrasta između 10-13 godina i približno 17% je bilo u </w:t>
      </w:r>
      <w:r w:rsidRPr="001D6D86">
        <w:rPr>
          <w:bCs/>
          <w:i/>
          <w:sz w:val="22"/>
          <w:szCs w:val="22"/>
          <w:lang w:val="sr-Latn-ME"/>
        </w:rPr>
        <w:t xml:space="preserve">Tanner </w:t>
      </w:r>
      <w:r w:rsidRPr="001D6D86">
        <w:rPr>
          <w:bCs/>
          <w:sz w:val="22"/>
          <w:szCs w:val="22"/>
          <w:lang w:val="sr-Latn-ME"/>
        </w:rPr>
        <w:t xml:space="preserve">stadijumu II, 18% u </w:t>
      </w:r>
      <w:r w:rsidRPr="001D6D86">
        <w:rPr>
          <w:bCs/>
          <w:i/>
          <w:sz w:val="22"/>
          <w:szCs w:val="22"/>
          <w:lang w:val="sr-Latn-ME"/>
        </w:rPr>
        <w:t xml:space="preserve">Tanner </w:t>
      </w:r>
      <w:r w:rsidRPr="001D6D86">
        <w:rPr>
          <w:bCs/>
          <w:sz w:val="22"/>
          <w:szCs w:val="22"/>
          <w:lang w:val="sr-Latn-ME"/>
        </w:rPr>
        <w:t xml:space="preserve">stadijumu III, 40% u </w:t>
      </w:r>
      <w:r w:rsidRPr="001D6D86">
        <w:rPr>
          <w:bCs/>
          <w:i/>
          <w:sz w:val="22"/>
          <w:szCs w:val="22"/>
          <w:lang w:val="sr-Latn-ME"/>
        </w:rPr>
        <w:t xml:space="preserve">Tanner </w:t>
      </w:r>
      <w:r w:rsidRPr="001D6D86">
        <w:rPr>
          <w:bCs/>
          <w:sz w:val="22"/>
          <w:szCs w:val="22"/>
          <w:lang w:val="sr-Latn-ME"/>
        </w:rPr>
        <w:t xml:space="preserve">stadijumu IV i 25% u </w:t>
      </w:r>
      <w:r w:rsidRPr="001D6D86">
        <w:rPr>
          <w:bCs/>
          <w:i/>
          <w:sz w:val="22"/>
          <w:szCs w:val="22"/>
          <w:lang w:val="sr-Latn-ME"/>
        </w:rPr>
        <w:t xml:space="preserve">Tanner </w:t>
      </w:r>
      <w:r w:rsidRPr="001D6D86">
        <w:rPr>
          <w:bCs/>
          <w:sz w:val="22"/>
          <w:szCs w:val="22"/>
          <w:lang w:val="sr-Latn-ME"/>
        </w:rPr>
        <w:t>stadijumu V.</w:t>
      </w:r>
    </w:p>
    <w:p w14:paraId="64981293" w14:textId="77777777" w:rsidR="00030415" w:rsidRPr="001D6D86" w:rsidRDefault="00030415" w:rsidP="0026307D">
      <w:pPr>
        <w:tabs>
          <w:tab w:val="left" w:pos="540"/>
          <w:tab w:val="left" w:pos="569"/>
        </w:tabs>
        <w:jc w:val="both"/>
        <w:rPr>
          <w:bCs/>
          <w:sz w:val="22"/>
          <w:szCs w:val="22"/>
          <w:lang w:val="sr-Latn-ME"/>
        </w:rPr>
      </w:pPr>
    </w:p>
    <w:p w14:paraId="390D7BBA"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Koncentracija LDL holesterola je bila smanjena za 38,3% uzimanjem 5 mg rosuvastatina, 44,6% uzimanjem 10 mg rosuvastatina i 50,0% uzimanjem 20 mg rosuvastatina, u poređenju sa 0,7% pri uzimanju placeba.</w:t>
      </w:r>
    </w:p>
    <w:p w14:paraId="55505EBE" w14:textId="77777777" w:rsidR="00030415" w:rsidRPr="001D6D86" w:rsidRDefault="00030415" w:rsidP="0026307D">
      <w:pPr>
        <w:tabs>
          <w:tab w:val="left" w:pos="540"/>
          <w:tab w:val="left" w:pos="569"/>
        </w:tabs>
        <w:jc w:val="both"/>
        <w:rPr>
          <w:bCs/>
          <w:sz w:val="22"/>
          <w:szCs w:val="22"/>
          <w:lang w:val="sr-Latn-ME"/>
        </w:rPr>
      </w:pPr>
    </w:p>
    <w:p w14:paraId="074F8681" w14:textId="42969ED9"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U nastavku studije, nakon 40 </w:t>
      </w:r>
      <w:r w:rsidR="001378D0" w:rsidRPr="001D6D86">
        <w:rPr>
          <w:bCs/>
          <w:sz w:val="22"/>
          <w:szCs w:val="22"/>
          <w:lang w:val="sr-Latn-ME"/>
        </w:rPr>
        <w:t>nedjelja</w:t>
      </w:r>
      <w:r w:rsidRPr="001D6D86">
        <w:rPr>
          <w:bCs/>
          <w:sz w:val="22"/>
          <w:szCs w:val="22"/>
          <w:lang w:val="sr-Latn-ME"/>
        </w:rPr>
        <w:t xml:space="preserve"> otvorenog praćenja, sa maksimalnom dozom od 20 mg jednom dnevno, 70 od 173 pacijenata (40,5%) su postigli ciljnu koncentraciju LDL holesterola manju od 2,8 mmol/</w:t>
      </w:r>
      <w:r w:rsidR="00840ADE" w:rsidRPr="001D6D86">
        <w:rPr>
          <w:bCs/>
          <w:sz w:val="22"/>
          <w:szCs w:val="22"/>
          <w:lang w:val="sr-Latn-ME"/>
        </w:rPr>
        <w:t>l</w:t>
      </w:r>
      <w:r w:rsidRPr="001D6D86">
        <w:rPr>
          <w:bCs/>
          <w:sz w:val="22"/>
          <w:szCs w:val="22"/>
          <w:lang w:val="sr-Latn-ME"/>
        </w:rPr>
        <w:t>.</w:t>
      </w:r>
    </w:p>
    <w:p w14:paraId="10E7B06C" w14:textId="77777777" w:rsidR="00030415" w:rsidRPr="001D6D86" w:rsidRDefault="00030415" w:rsidP="0026307D">
      <w:pPr>
        <w:tabs>
          <w:tab w:val="left" w:pos="540"/>
          <w:tab w:val="left" w:pos="569"/>
        </w:tabs>
        <w:jc w:val="both"/>
        <w:rPr>
          <w:bCs/>
          <w:sz w:val="22"/>
          <w:szCs w:val="22"/>
          <w:lang w:val="sr-Latn-ME"/>
        </w:rPr>
      </w:pPr>
    </w:p>
    <w:p w14:paraId="2367E37F" w14:textId="5BE10E2F"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Posl</w:t>
      </w:r>
      <w:r w:rsidR="00313059" w:rsidRPr="001D6D86">
        <w:rPr>
          <w:bCs/>
          <w:sz w:val="22"/>
          <w:szCs w:val="22"/>
          <w:lang w:val="sr-Latn-ME"/>
        </w:rPr>
        <w:t>ij</w:t>
      </w:r>
      <w:r w:rsidRPr="001D6D86">
        <w:rPr>
          <w:bCs/>
          <w:sz w:val="22"/>
          <w:szCs w:val="22"/>
          <w:lang w:val="sr-Latn-ME"/>
        </w:rPr>
        <w:t>e 52 ned</w:t>
      </w:r>
      <w:r w:rsidR="00840ADE" w:rsidRPr="001D6D86">
        <w:rPr>
          <w:bCs/>
          <w:sz w:val="22"/>
          <w:szCs w:val="22"/>
          <w:lang w:val="sr-Latn-ME"/>
        </w:rPr>
        <w:t>j</w:t>
      </w:r>
      <w:r w:rsidRPr="001D6D86">
        <w:rPr>
          <w:bCs/>
          <w:sz w:val="22"/>
          <w:szCs w:val="22"/>
          <w:lang w:val="sr-Latn-ME"/>
        </w:rPr>
        <w:t>elje terapije u okviru studije, nije uočen uticaj na rast, t</w:t>
      </w:r>
      <w:r w:rsidR="00840ADE" w:rsidRPr="001D6D86">
        <w:rPr>
          <w:bCs/>
          <w:sz w:val="22"/>
          <w:szCs w:val="22"/>
          <w:lang w:val="sr-Latn-ME"/>
        </w:rPr>
        <w:t>j</w:t>
      </w:r>
      <w:r w:rsidRPr="001D6D86">
        <w:rPr>
          <w:bCs/>
          <w:sz w:val="22"/>
          <w:szCs w:val="22"/>
          <w:lang w:val="sr-Latn-ME"/>
        </w:rPr>
        <w:t>elesnu masu, BMI ili polno sazr</w:t>
      </w:r>
      <w:r w:rsidR="00840ADE" w:rsidRPr="001D6D86">
        <w:rPr>
          <w:bCs/>
          <w:sz w:val="22"/>
          <w:szCs w:val="22"/>
          <w:lang w:val="sr-Latn-ME"/>
        </w:rPr>
        <w:t>ij</w:t>
      </w:r>
      <w:r w:rsidRPr="001D6D86">
        <w:rPr>
          <w:bCs/>
          <w:sz w:val="22"/>
          <w:szCs w:val="22"/>
          <w:lang w:val="sr-Latn-ME"/>
        </w:rPr>
        <w:t>evanje (vid</w:t>
      </w:r>
      <w:r w:rsidR="00840ADE" w:rsidRPr="001D6D86">
        <w:rPr>
          <w:bCs/>
          <w:sz w:val="22"/>
          <w:szCs w:val="22"/>
          <w:lang w:val="sr-Latn-ME"/>
        </w:rPr>
        <w:t>j</w:t>
      </w:r>
      <w:r w:rsidRPr="001D6D86">
        <w:rPr>
          <w:bCs/>
          <w:sz w:val="22"/>
          <w:szCs w:val="22"/>
          <w:lang w:val="sr-Latn-ME"/>
        </w:rPr>
        <w:t xml:space="preserve">eti </w:t>
      </w:r>
      <w:r w:rsidR="00840ADE" w:rsidRPr="001D6D86">
        <w:rPr>
          <w:bCs/>
          <w:sz w:val="22"/>
          <w:szCs w:val="22"/>
          <w:lang w:val="sr-Latn-ME"/>
        </w:rPr>
        <w:t>dio</w:t>
      </w:r>
      <w:r w:rsidRPr="001D6D86">
        <w:rPr>
          <w:bCs/>
          <w:sz w:val="22"/>
          <w:szCs w:val="22"/>
          <w:lang w:val="sr-Latn-ME"/>
        </w:rPr>
        <w:t xml:space="preserve"> 4.4). </w:t>
      </w:r>
      <w:r w:rsidR="007F2C15" w:rsidRPr="001D6D86">
        <w:rPr>
          <w:bCs/>
          <w:sz w:val="22"/>
          <w:szCs w:val="22"/>
          <w:lang w:val="sr-Latn-ME"/>
        </w:rPr>
        <w:t xml:space="preserve">Iskustva s kliničkim ispitivanjima kod djece i adolescenata su ograničena i dugoročni efekti rosuvastatina (&gt; 1 godine) na pacijente u pubertetu nijesu poznati. </w:t>
      </w:r>
      <w:r w:rsidRPr="001D6D86">
        <w:rPr>
          <w:bCs/>
          <w:sz w:val="22"/>
          <w:szCs w:val="22"/>
          <w:lang w:val="sr-Latn-ME"/>
        </w:rPr>
        <w:t>Ova studija (n=176) nije pogodna za poređenje r</w:t>
      </w:r>
      <w:r w:rsidR="00840ADE" w:rsidRPr="001D6D86">
        <w:rPr>
          <w:bCs/>
          <w:sz w:val="22"/>
          <w:szCs w:val="22"/>
          <w:lang w:val="sr-Latn-ME"/>
        </w:rPr>
        <w:t>ij</w:t>
      </w:r>
      <w:r w:rsidRPr="001D6D86">
        <w:rPr>
          <w:bCs/>
          <w:sz w:val="22"/>
          <w:szCs w:val="22"/>
          <w:lang w:val="sr-Latn-ME"/>
        </w:rPr>
        <w:t>etkih neželjenih događaja.</w:t>
      </w:r>
    </w:p>
    <w:p w14:paraId="638F44D1" w14:textId="77777777" w:rsidR="00030415" w:rsidRPr="001D6D86" w:rsidRDefault="00030415" w:rsidP="0026307D">
      <w:pPr>
        <w:tabs>
          <w:tab w:val="left" w:pos="540"/>
          <w:tab w:val="left" w:pos="569"/>
        </w:tabs>
        <w:jc w:val="both"/>
        <w:rPr>
          <w:bCs/>
          <w:sz w:val="22"/>
          <w:szCs w:val="22"/>
          <w:lang w:val="sr-Latn-ME"/>
        </w:rPr>
      </w:pPr>
    </w:p>
    <w:p w14:paraId="0A500349" w14:textId="4BD65598"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 xml:space="preserve">Rosuvastatin je takođe ispitivan </w:t>
      </w:r>
      <w:r w:rsidR="007F2C15" w:rsidRPr="001D6D86">
        <w:rPr>
          <w:bCs/>
          <w:sz w:val="22"/>
          <w:szCs w:val="22"/>
          <w:lang w:val="sr-Latn-ME"/>
        </w:rPr>
        <w:t xml:space="preserve">i </w:t>
      </w:r>
      <w:r w:rsidRPr="001D6D86">
        <w:rPr>
          <w:bCs/>
          <w:sz w:val="22"/>
          <w:szCs w:val="22"/>
          <w:lang w:val="sr-Latn-ME"/>
        </w:rPr>
        <w:t>u dvogodišnjoj, otvorenoj studiji titracije do ciljnih vr</w:t>
      </w:r>
      <w:r w:rsidR="00840ADE" w:rsidRPr="001D6D86">
        <w:rPr>
          <w:bCs/>
          <w:sz w:val="22"/>
          <w:szCs w:val="22"/>
          <w:lang w:val="sr-Latn-ME"/>
        </w:rPr>
        <w:t>ij</w:t>
      </w:r>
      <w:r w:rsidRPr="001D6D86">
        <w:rPr>
          <w:bCs/>
          <w:sz w:val="22"/>
          <w:szCs w:val="22"/>
          <w:lang w:val="sr-Latn-ME"/>
        </w:rPr>
        <w:t>ednosti, u kojoj je učestvovalo 198 d</w:t>
      </w:r>
      <w:r w:rsidR="00840ADE" w:rsidRPr="001D6D86">
        <w:rPr>
          <w:bCs/>
          <w:sz w:val="22"/>
          <w:szCs w:val="22"/>
          <w:lang w:val="sr-Latn-ME"/>
        </w:rPr>
        <w:t>j</w:t>
      </w:r>
      <w:r w:rsidRPr="001D6D86">
        <w:rPr>
          <w:bCs/>
          <w:sz w:val="22"/>
          <w:szCs w:val="22"/>
          <w:lang w:val="sr-Latn-ME"/>
        </w:rPr>
        <w:t>ece sa heterozigotnom porodičnom hiperholesterolemijom uzrasta od 6 do 17 godina (88 d</w:t>
      </w:r>
      <w:r w:rsidR="001378D0" w:rsidRPr="001D6D86">
        <w:rPr>
          <w:bCs/>
          <w:sz w:val="22"/>
          <w:szCs w:val="22"/>
          <w:lang w:val="sr-Latn-ME"/>
        </w:rPr>
        <w:t>j</w:t>
      </w:r>
      <w:r w:rsidRPr="001D6D86">
        <w:rPr>
          <w:bCs/>
          <w:sz w:val="22"/>
          <w:szCs w:val="22"/>
          <w:lang w:val="sr-Latn-ME"/>
        </w:rPr>
        <w:t>ečaka i 110 d</w:t>
      </w:r>
      <w:r w:rsidR="00840ADE" w:rsidRPr="001D6D86">
        <w:rPr>
          <w:bCs/>
          <w:sz w:val="22"/>
          <w:szCs w:val="22"/>
          <w:lang w:val="sr-Latn-ME"/>
        </w:rPr>
        <w:t>j</w:t>
      </w:r>
      <w:r w:rsidRPr="001D6D86">
        <w:rPr>
          <w:bCs/>
          <w:sz w:val="22"/>
          <w:szCs w:val="22"/>
          <w:lang w:val="sr-Latn-ME"/>
        </w:rPr>
        <w:t>evojčica Tanner stadijuma &lt; II-V). Početna doza za sve pacijente bila je 5 mg rosuvastatina jednom dnevno. Kod pacijenata uzrasta od 6 do 9 godina (n = 64) doza se mogla titrirati do maksimalne doze od 10 mg jednom dnevno, a kod pacijenata uzrasta od 10 do 17 godina (n = 134) do maksimalne doze od 20 mg jednom dnevno.</w:t>
      </w:r>
    </w:p>
    <w:p w14:paraId="3A9AB693" w14:textId="77777777" w:rsidR="00030415" w:rsidRPr="001D6D86" w:rsidRDefault="00030415" w:rsidP="0026307D">
      <w:pPr>
        <w:tabs>
          <w:tab w:val="left" w:pos="540"/>
          <w:tab w:val="left" w:pos="569"/>
        </w:tabs>
        <w:jc w:val="both"/>
        <w:rPr>
          <w:bCs/>
          <w:sz w:val="22"/>
          <w:szCs w:val="22"/>
          <w:lang w:val="sr-Latn-ME"/>
        </w:rPr>
      </w:pPr>
    </w:p>
    <w:p w14:paraId="5C5B01F0" w14:textId="104963C4"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lastRenderedPageBreak/>
        <w:t>Nakon 24 m</w:t>
      </w:r>
      <w:r w:rsidR="00840ADE" w:rsidRPr="001D6D86">
        <w:rPr>
          <w:bCs/>
          <w:sz w:val="22"/>
          <w:szCs w:val="22"/>
          <w:lang w:val="sr-Latn-ME"/>
        </w:rPr>
        <w:t>j</w:t>
      </w:r>
      <w:r w:rsidRPr="001D6D86">
        <w:rPr>
          <w:bCs/>
          <w:sz w:val="22"/>
          <w:szCs w:val="22"/>
          <w:lang w:val="sr-Latn-ME"/>
        </w:rPr>
        <w:t>eseca terapije rosuvastatinom, pros</w:t>
      </w:r>
      <w:r w:rsidR="00840ADE" w:rsidRPr="001D6D86">
        <w:rPr>
          <w:bCs/>
          <w:sz w:val="22"/>
          <w:szCs w:val="22"/>
          <w:lang w:val="sr-Latn-ME"/>
        </w:rPr>
        <w:t>j</w:t>
      </w:r>
      <w:r w:rsidRPr="001D6D86">
        <w:rPr>
          <w:bCs/>
          <w:sz w:val="22"/>
          <w:szCs w:val="22"/>
          <w:lang w:val="sr-Latn-ME"/>
        </w:rPr>
        <w:t>ečno smanjenje metodom najmanjih kvadrata izraženo u procentima u odnosu na početne vr</w:t>
      </w:r>
      <w:r w:rsidR="00840ADE" w:rsidRPr="001D6D86">
        <w:rPr>
          <w:bCs/>
          <w:sz w:val="22"/>
          <w:szCs w:val="22"/>
          <w:lang w:val="sr-Latn-ME"/>
        </w:rPr>
        <w:t>ij</w:t>
      </w:r>
      <w:r w:rsidRPr="001D6D86">
        <w:rPr>
          <w:bCs/>
          <w:sz w:val="22"/>
          <w:szCs w:val="22"/>
          <w:lang w:val="sr-Latn-ME"/>
        </w:rPr>
        <w:t>ednosti za LDL holesterol je bilo -43% (početna vr</w:t>
      </w:r>
      <w:r w:rsidR="00840ADE" w:rsidRPr="001D6D86">
        <w:rPr>
          <w:bCs/>
          <w:sz w:val="22"/>
          <w:szCs w:val="22"/>
          <w:lang w:val="sr-Latn-ME"/>
        </w:rPr>
        <w:t>ij</w:t>
      </w:r>
      <w:r w:rsidRPr="001D6D86">
        <w:rPr>
          <w:bCs/>
          <w:sz w:val="22"/>
          <w:szCs w:val="22"/>
          <w:lang w:val="sr-Latn-ME"/>
        </w:rPr>
        <w:t>ednost: 236 mg/d</w:t>
      </w:r>
      <w:r w:rsidR="00840ADE" w:rsidRPr="001D6D86">
        <w:rPr>
          <w:bCs/>
          <w:sz w:val="22"/>
          <w:szCs w:val="22"/>
          <w:lang w:val="sr-Latn-ME"/>
        </w:rPr>
        <w:t>l</w:t>
      </w:r>
      <w:r w:rsidRPr="001D6D86">
        <w:rPr>
          <w:bCs/>
          <w:sz w:val="22"/>
          <w:szCs w:val="22"/>
          <w:lang w:val="sr-Latn-ME"/>
        </w:rPr>
        <w:t>, posl</w:t>
      </w:r>
      <w:r w:rsidR="001378D0" w:rsidRPr="001D6D86">
        <w:rPr>
          <w:bCs/>
          <w:sz w:val="22"/>
          <w:szCs w:val="22"/>
          <w:lang w:val="sr-Latn-ME"/>
        </w:rPr>
        <w:t>ij</w:t>
      </w:r>
      <w:r w:rsidRPr="001D6D86">
        <w:rPr>
          <w:bCs/>
          <w:sz w:val="22"/>
          <w:szCs w:val="22"/>
          <w:lang w:val="sr-Latn-ME"/>
        </w:rPr>
        <w:t>e 24. m</w:t>
      </w:r>
      <w:r w:rsidR="00840ADE" w:rsidRPr="001D6D86">
        <w:rPr>
          <w:bCs/>
          <w:sz w:val="22"/>
          <w:szCs w:val="22"/>
          <w:lang w:val="sr-Latn-ME"/>
        </w:rPr>
        <w:t>j</w:t>
      </w:r>
      <w:r w:rsidRPr="001D6D86">
        <w:rPr>
          <w:bCs/>
          <w:sz w:val="22"/>
          <w:szCs w:val="22"/>
          <w:lang w:val="sr-Latn-ME"/>
        </w:rPr>
        <w:t>eseca: 133 mg/d</w:t>
      </w:r>
      <w:r w:rsidR="00840ADE" w:rsidRPr="001D6D86">
        <w:rPr>
          <w:bCs/>
          <w:sz w:val="22"/>
          <w:szCs w:val="22"/>
          <w:lang w:val="sr-Latn-ME"/>
        </w:rPr>
        <w:t>l</w:t>
      </w:r>
      <w:r w:rsidRPr="001D6D86">
        <w:rPr>
          <w:bCs/>
          <w:sz w:val="22"/>
          <w:szCs w:val="22"/>
          <w:lang w:val="sr-Latn-ME"/>
        </w:rPr>
        <w:t>). Za svaku starosnu grupu, srednje procentno smanjenje LDL-holesterola u odnosu na početnu vr</w:t>
      </w:r>
      <w:r w:rsidR="00840ADE" w:rsidRPr="001D6D86">
        <w:rPr>
          <w:bCs/>
          <w:sz w:val="22"/>
          <w:szCs w:val="22"/>
          <w:lang w:val="sr-Latn-ME"/>
        </w:rPr>
        <w:t>ij</w:t>
      </w:r>
      <w:r w:rsidRPr="001D6D86">
        <w:rPr>
          <w:bCs/>
          <w:sz w:val="22"/>
          <w:szCs w:val="22"/>
          <w:lang w:val="sr-Latn-ME"/>
        </w:rPr>
        <w:t>ednost, računato metodom najmanjih kvadrata, bilo je: -43% u starosnoj grupi 6 do &lt;10 godina (početna vr</w:t>
      </w:r>
      <w:r w:rsidR="00840ADE" w:rsidRPr="001D6D86">
        <w:rPr>
          <w:bCs/>
          <w:sz w:val="22"/>
          <w:szCs w:val="22"/>
          <w:lang w:val="sr-Latn-ME"/>
        </w:rPr>
        <w:t>ij</w:t>
      </w:r>
      <w:r w:rsidRPr="001D6D86">
        <w:rPr>
          <w:bCs/>
          <w:sz w:val="22"/>
          <w:szCs w:val="22"/>
          <w:lang w:val="sr-Latn-ME"/>
        </w:rPr>
        <w:t>ednost: 234 mg/d</w:t>
      </w:r>
      <w:r w:rsidR="00840ADE" w:rsidRPr="001D6D86">
        <w:rPr>
          <w:bCs/>
          <w:sz w:val="22"/>
          <w:szCs w:val="22"/>
          <w:lang w:val="sr-Latn-ME"/>
        </w:rPr>
        <w:t>l</w:t>
      </w:r>
      <w:r w:rsidRPr="001D6D86">
        <w:rPr>
          <w:bCs/>
          <w:sz w:val="22"/>
          <w:szCs w:val="22"/>
          <w:lang w:val="sr-Latn-ME"/>
        </w:rPr>
        <w:t>, 24. m</w:t>
      </w:r>
      <w:r w:rsidR="00840ADE" w:rsidRPr="001D6D86">
        <w:rPr>
          <w:bCs/>
          <w:sz w:val="22"/>
          <w:szCs w:val="22"/>
          <w:lang w:val="sr-Latn-ME"/>
        </w:rPr>
        <w:t>j</w:t>
      </w:r>
      <w:r w:rsidRPr="001D6D86">
        <w:rPr>
          <w:bCs/>
          <w:sz w:val="22"/>
          <w:szCs w:val="22"/>
          <w:lang w:val="sr-Latn-ME"/>
        </w:rPr>
        <w:t>esec: 124 mg/d</w:t>
      </w:r>
      <w:r w:rsidR="00840ADE" w:rsidRPr="001D6D86">
        <w:rPr>
          <w:bCs/>
          <w:sz w:val="22"/>
          <w:szCs w:val="22"/>
          <w:lang w:val="sr-Latn-ME"/>
        </w:rPr>
        <w:t>l</w:t>
      </w:r>
      <w:r w:rsidRPr="001D6D86">
        <w:rPr>
          <w:bCs/>
          <w:sz w:val="22"/>
          <w:szCs w:val="22"/>
          <w:lang w:val="sr-Latn-ME"/>
        </w:rPr>
        <w:t>), -45% u starosnoj grupi 10 do &lt;14 godina (početna vr</w:t>
      </w:r>
      <w:r w:rsidR="00840ADE" w:rsidRPr="001D6D86">
        <w:rPr>
          <w:bCs/>
          <w:sz w:val="22"/>
          <w:szCs w:val="22"/>
          <w:lang w:val="sr-Latn-ME"/>
        </w:rPr>
        <w:t>ij</w:t>
      </w:r>
      <w:r w:rsidRPr="001D6D86">
        <w:rPr>
          <w:bCs/>
          <w:sz w:val="22"/>
          <w:szCs w:val="22"/>
          <w:lang w:val="sr-Latn-ME"/>
        </w:rPr>
        <w:t>ednost: 234 mg/d</w:t>
      </w:r>
      <w:r w:rsidR="00840ADE" w:rsidRPr="001D6D86">
        <w:rPr>
          <w:bCs/>
          <w:sz w:val="22"/>
          <w:szCs w:val="22"/>
          <w:lang w:val="sr-Latn-ME"/>
        </w:rPr>
        <w:t>l</w:t>
      </w:r>
      <w:r w:rsidRPr="001D6D86">
        <w:rPr>
          <w:bCs/>
          <w:sz w:val="22"/>
          <w:szCs w:val="22"/>
          <w:lang w:val="sr-Latn-ME"/>
        </w:rPr>
        <w:t>, 24. m</w:t>
      </w:r>
      <w:r w:rsidR="00840ADE" w:rsidRPr="001D6D86">
        <w:rPr>
          <w:bCs/>
          <w:sz w:val="22"/>
          <w:szCs w:val="22"/>
          <w:lang w:val="sr-Latn-ME"/>
        </w:rPr>
        <w:t>j</w:t>
      </w:r>
      <w:r w:rsidRPr="001D6D86">
        <w:rPr>
          <w:bCs/>
          <w:sz w:val="22"/>
          <w:szCs w:val="22"/>
          <w:lang w:val="sr-Latn-ME"/>
        </w:rPr>
        <w:t>esec: 124 mg/d</w:t>
      </w:r>
      <w:r w:rsidR="00840ADE" w:rsidRPr="001D6D86">
        <w:rPr>
          <w:bCs/>
          <w:sz w:val="22"/>
          <w:szCs w:val="22"/>
          <w:lang w:val="sr-Latn-ME"/>
        </w:rPr>
        <w:t>l</w:t>
      </w:r>
      <w:r w:rsidRPr="001D6D86">
        <w:rPr>
          <w:bCs/>
          <w:sz w:val="22"/>
          <w:szCs w:val="22"/>
          <w:lang w:val="sr-Latn-ME"/>
        </w:rPr>
        <w:t>) i -35% u starosnoj grupi 14 do &lt;18 godina (početna vr</w:t>
      </w:r>
      <w:r w:rsidR="00840ADE" w:rsidRPr="001D6D86">
        <w:rPr>
          <w:bCs/>
          <w:sz w:val="22"/>
          <w:szCs w:val="22"/>
          <w:lang w:val="sr-Latn-ME"/>
        </w:rPr>
        <w:t>ij</w:t>
      </w:r>
      <w:r w:rsidRPr="001D6D86">
        <w:rPr>
          <w:bCs/>
          <w:sz w:val="22"/>
          <w:szCs w:val="22"/>
          <w:lang w:val="sr-Latn-ME"/>
        </w:rPr>
        <w:t>ednost: 241 mg/d</w:t>
      </w:r>
      <w:r w:rsidR="00840ADE" w:rsidRPr="001D6D86">
        <w:rPr>
          <w:bCs/>
          <w:sz w:val="22"/>
          <w:szCs w:val="22"/>
          <w:lang w:val="sr-Latn-ME"/>
        </w:rPr>
        <w:t>l</w:t>
      </w:r>
      <w:r w:rsidRPr="001D6D86">
        <w:rPr>
          <w:bCs/>
          <w:sz w:val="22"/>
          <w:szCs w:val="22"/>
          <w:lang w:val="sr-Latn-ME"/>
        </w:rPr>
        <w:t>, 24. m</w:t>
      </w:r>
      <w:r w:rsidR="00840ADE" w:rsidRPr="001D6D86">
        <w:rPr>
          <w:bCs/>
          <w:sz w:val="22"/>
          <w:szCs w:val="22"/>
          <w:lang w:val="sr-Latn-ME"/>
        </w:rPr>
        <w:t>j</w:t>
      </w:r>
      <w:r w:rsidRPr="001D6D86">
        <w:rPr>
          <w:bCs/>
          <w:sz w:val="22"/>
          <w:szCs w:val="22"/>
          <w:lang w:val="sr-Latn-ME"/>
        </w:rPr>
        <w:t>esec: 153 mg/d</w:t>
      </w:r>
      <w:r w:rsidR="00840ADE" w:rsidRPr="001D6D86">
        <w:rPr>
          <w:bCs/>
          <w:sz w:val="22"/>
          <w:szCs w:val="22"/>
          <w:lang w:val="sr-Latn-ME"/>
        </w:rPr>
        <w:t>l</w:t>
      </w:r>
      <w:r w:rsidRPr="001D6D86">
        <w:rPr>
          <w:bCs/>
          <w:sz w:val="22"/>
          <w:szCs w:val="22"/>
          <w:lang w:val="sr-Latn-ME"/>
        </w:rPr>
        <w:t>).</w:t>
      </w:r>
    </w:p>
    <w:p w14:paraId="2A663A8B" w14:textId="6A8508A1"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Prim</w:t>
      </w:r>
      <w:r w:rsidR="00840ADE" w:rsidRPr="001D6D86">
        <w:rPr>
          <w:bCs/>
          <w:sz w:val="22"/>
          <w:szCs w:val="22"/>
          <w:lang w:val="sr-Latn-ME"/>
        </w:rPr>
        <w:t>j</w:t>
      </w:r>
      <w:r w:rsidRPr="001D6D86">
        <w:rPr>
          <w:bCs/>
          <w:sz w:val="22"/>
          <w:szCs w:val="22"/>
          <w:lang w:val="sr-Latn-ME"/>
        </w:rPr>
        <w:t>enom rosuvastatina u dozama od 5 mg, 10 mg i 20 mg ostvarena je i statistički značajna prom</w:t>
      </w:r>
      <w:r w:rsidR="00840ADE" w:rsidRPr="001D6D86">
        <w:rPr>
          <w:bCs/>
          <w:sz w:val="22"/>
          <w:szCs w:val="22"/>
          <w:lang w:val="sr-Latn-ME"/>
        </w:rPr>
        <w:t>j</w:t>
      </w:r>
      <w:r w:rsidRPr="001D6D86">
        <w:rPr>
          <w:bCs/>
          <w:sz w:val="22"/>
          <w:szCs w:val="22"/>
          <w:lang w:val="sr-Latn-ME"/>
        </w:rPr>
        <w:t>ena u odnosu na početnu vr</w:t>
      </w:r>
      <w:r w:rsidR="00840ADE" w:rsidRPr="001D6D86">
        <w:rPr>
          <w:bCs/>
          <w:sz w:val="22"/>
          <w:szCs w:val="22"/>
          <w:lang w:val="sr-Latn-ME"/>
        </w:rPr>
        <w:t>ij</w:t>
      </w:r>
      <w:r w:rsidRPr="001D6D86">
        <w:rPr>
          <w:bCs/>
          <w:sz w:val="22"/>
          <w:szCs w:val="22"/>
          <w:lang w:val="sr-Latn-ME"/>
        </w:rPr>
        <w:t>ednost za sl</w:t>
      </w:r>
      <w:r w:rsidR="00840ADE" w:rsidRPr="001D6D86">
        <w:rPr>
          <w:bCs/>
          <w:sz w:val="22"/>
          <w:szCs w:val="22"/>
          <w:lang w:val="sr-Latn-ME"/>
        </w:rPr>
        <w:t>j</w:t>
      </w:r>
      <w:r w:rsidRPr="001D6D86">
        <w:rPr>
          <w:bCs/>
          <w:sz w:val="22"/>
          <w:szCs w:val="22"/>
          <w:lang w:val="sr-Latn-ME"/>
        </w:rPr>
        <w:t>edeće sekundarne lipidne i lipoproteinske prom</w:t>
      </w:r>
      <w:r w:rsidR="00840ADE" w:rsidRPr="001D6D86">
        <w:rPr>
          <w:bCs/>
          <w:sz w:val="22"/>
          <w:szCs w:val="22"/>
          <w:lang w:val="sr-Latn-ME"/>
        </w:rPr>
        <w:t>j</w:t>
      </w:r>
      <w:r w:rsidRPr="001D6D86">
        <w:rPr>
          <w:bCs/>
          <w:sz w:val="22"/>
          <w:szCs w:val="22"/>
          <w:lang w:val="sr-Latn-ME"/>
        </w:rPr>
        <w:t xml:space="preserve">enljive: HDL-holesterol, ukupni holesterol, </w:t>
      </w:r>
      <w:r w:rsidRPr="001D6D86">
        <w:rPr>
          <w:bCs/>
          <w:i/>
          <w:iCs/>
          <w:sz w:val="22"/>
          <w:szCs w:val="22"/>
          <w:lang w:val="sr-Latn-ME"/>
        </w:rPr>
        <w:t>non-</w:t>
      </w:r>
      <w:r w:rsidRPr="001D6D86">
        <w:rPr>
          <w:bCs/>
          <w:sz w:val="22"/>
          <w:szCs w:val="22"/>
          <w:lang w:val="sr-Latn-ME"/>
        </w:rPr>
        <w:t xml:space="preserve">HDL-holesterol, LDL- holesterol/ HDL- holesterol, ukupni holesterol/ HDL- holesterol, trigliceridi/ HDL- holesterol, </w:t>
      </w:r>
      <w:r w:rsidRPr="001D6D86">
        <w:rPr>
          <w:bCs/>
          <w:i/>
          <w:iCs/>
          <w:sz w:val="22"/>
          <w:szCs w:val="22"/>
          <w:lang w:val="sr-Latn-ME"/>
        </w:rPr>
        <w:t>non</w:t>
      </w:r>
      <w:r w:rsidRPr="001D6D86">
        <w:rPr>
          <w:bCs/>
          <w:sz w:val="22"/>
          <w:szCs w:val="22"/>
          <w:lang w:val="sr-Latn-ME"/>
        </w:rPr>
        <w:t>-HDL- holesterol/ HDL- holesterol, ApoB, ApoB/ApoA-1. Svaka od ovih prom</w:t>
      </w:r>
      <w:r w:rsidR="00840ADE" w:rsidRPr="001D6D86">
        <w:rPr>
          <w:bCs/>
          <w:sz w:val="22"/>
          <w:szCs w:val="22"/>
          <w:lang w:val="sr-Latn-ME"/>
        </w:rPr>
        <w:t>j</w:t>
      </w:r>
      <w:r w:rsidRPr="001D6D86">
        <w:rPr>
          <w:bCs/>
          <w:sz w:val="22"/>
          <w:szCs w:val="22"/>
          <w:lang w:val="sr-Latn-ME"/>
        </w:rPr>
        <w:t>ena bila je u sm</w:t>
      </w:r>
      <w:r w:rsidR="00840ADE" w:rsidRPr="001D6D86">
        <w:rPr>
          <w:bCs/>
          <w:sz w:val="22"/>
          <w:szCs w:val="22"/>
          <w:lang w:val="sr-Latn-ME"/>
        </w:rPr>
        <w:t>j</w:t>
      </w:r>
      <w:r w:rsidRPr="001D6D86">
        <w:rPr>
          <w:bCs/>
          <w:sz w:val="22"/>
          <w:szCs w:val="22"/>
          <w:lang w:val="sr-Latn-ME"/>
        </w:rPr>
        <w:t>eru poboljšanja lipidnog odgovora i održavale su se tokom 2 godine.</w:t>
      </w:r>
    </w:p>
    <w:p w14:paraId="2EE09E9E" w14:textId="5BA3BAD0"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Nakon 24 m</w:t>
      </w:r>
      <w:r w:rsidR="00840ADE" w:rsidRPr="001D6D86">
        <w:rPr>
          <w:bCs/>
          <w:sz w:val="22"/>
          <w:szCs w:val="22"/>
          <w:lang w:val="sr-Latn-ME"/>
        </w:rPr>
        <w:t>j</w:t>
      </w:r>
      <w:r w:rsidRPr="001D6D86">
        <w:rPr>
          <w:bCs/>
          <w:sz w:val="22"/>
          <w:szCs w:val="22"/>
          <w:lang w:val="sr-Latn-ME"/>
        </w:rPr>
        <w:t>eseca terapije nije uočen uticaj na rast, t</w:t>
      </w:r>
      <w:r w:rsidR="00840ADE" w:rsidRPr="001D6D86">
        <w:rPr>
          <w:bCs/>
          <w:sz w:val="22"/>
          <w:szCs w:val="22"/>
          <w:lang w:val="sr-Latn-ME"/>
        </w:rPr>
        <w:t>j</w:t>
      </w:r>
      <w:r w:rsidRPr="001D6D86">
        <w:rPr>
          <w:bCs/>
          <w:sz w:val="22"/>
          <w:szCs w:val="22"/>
          <w:lang w:val="sr-Latn-ME"/>
        </w:rPr>
        <w:t>elesnu masu, BMI ili polno sazr</w:t>
      </w:r>
      <w:r w:rsidR="00840ADE" w:rsidRPr="001D6D86">
        <w:rPr>
          <w:bCs/>
          <w:sz w:val="22"/>
          <w:szCs w:val="22"/>
          <w:lang w:val="sr-Latn-ME"/>
        </w:rPr>
        <w:t>ij</w:t>
      </w:r>
      <w:r w:rsidRPr="001D6D86">
        <w:rPr>
          <w:bCs/>
          <w:sz w:val="22"/>
          <w:szCs w:val="22"/>
          <w:lang w:val="sr-Latn-ME"/>
        </w:rPr>
        <w:t>evanje (vid</w:t>
      </w:r>
      <w:r w:rsidR="00840ADE" w:rsidRPr="001D6D86">
        <w:rPr>
          <w:bCs/>
          <w:sz w:val="22"/>
          <w:szCs w:val="22"/>
          <w:lang w:val="sr-Latn-ME"/>
        </w:rPr>
        <w:t>j</w:t>
      </w:r>
      <w:r w:rsidRPr="001D6D86">
        <w:rPr>
          <w:bCs/>
          <w:sz w:val="22"/>
          <w:szCs w:val="22"/>
          <w:lang w:val="sr-Latn-ME"/>
        </w:rPr>
        <w:t xml:space="preserve">eti </w:t>
      </w:r>
      <w:r w:rsidR="00840ADE" w:rsidRPr="001D6D86">
        <w:rPr>
          <w:bCs/>
          <w:sz w:val="22"/>
          <w:szCs w:val="22"/>
          <w:lang w:val="sr-Latn-ME"/>
        </w:rPr>
        <w:t>dio</w:t>
      </w:r>
      <w:r w:rsidRPr="001D6D86">
        <w:rPr>
          <w:bCs/>
          <w:sz w:val="22"/>
          <w:szCs w:val="22"/>
          <w:lang w:val="sr-Latn-ME"/>
        </w:rPr>
        <w:t xml:space="preserve"> 4.4).</w:t>
      </w:r>
    </w:p>
    <w:p w14:paraId="3D922607" w14:textId="77777777" w:rsidR="001378D0" w:rsidRPr="001D6D86" w:rsidRDefault="001378D0" w:rsidP="0026307D">
      <w:pPr>
        <w:tabs>
          <w:tab w:val="left" w:pos="540"/>
          <w:tab w:val="left" w:pos="569"/>
        </w:tabs>
        <w:jc w:val="both"/>
        <w:rPr>
          <w:bCs/>
          <w:sz w:val="22"/>
          <w:szCs w:val="22"/>
          <w:lang w:val="sr-Latn-ME"/>
        </w:rPr>
      </w:pPr>
    </w:p>
    <w:p w14:paraId="68AEEB99" w14:textId="4766D20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Dejstvo rosuvastatina je ispitivano tokom randomizovane, dvostruko sl</w:t>
      </w:r>
      <w:r w:rsidR="0043443E" w:rsidRPr="001D6D86">
        <w:rPr>
          <w:bCs/>
          <w:sz w:val="22"/>
          <w:szCs w:val="22"/>
          <w:lang w:val="sr-Latn-ME"/>
        </w:rPr>
        <w:t>ij</w:t>
      </w:r>
      <w:r w:rsidRPr="001D6D86">
        <w:rPr>
          <w:bCs/>
          <w:sz w:val="22"/>
          <w:szCs w:val="22"/>
          <w:lang w:val="sr-Latn-ME"/>
        </w:rPr>
        <w:t xml:space="preserve">epe, placebo kontrolisane, multicentrične unakrsne studije (engl. </w:t>
      </w:r>
      <w:r w:rsidRPr="001D6D86">
        <w:rPr>
          <w:bCs/>
          <w:i/>
          <w:sz w:val="22"/>
          <w:szCs w:val="22"/>
          <w:lang w:val="sr-Latn-ME"/>
        </w:rPr>
        <w:t>cross-over</w:t>
      </w:r>
      <w:r w:rsidRPr="001D6D86">
        <w:rPr>
          <w:bCs/>
          <w:sz w:val="22"/>
          <w:szCs w:val="22"/>
          <w:lang w:val="sr-Latn-ME"/>
        </w:rPr>
        <w:t>) prim</w:t>
      </w:r>
      <w:r w:rsidR="0043443E" w:rsidRPr="001D6D86">
        <w:rPr>
          <w:bCs/>
          <w:sz w:val="22"/>
          <w:szCs w:val="22"/>
          <w:lang w:val="sr-Latn-ME"/>
        </w:rPr>
        <w:t>j</w:t>
      </w:r>
      <w:r w:rsidRPr="001D6D86">
        <w:rPr>
          <w:bCs/>
          <w:sz w:val="22"/>
          <w:szCs w:val="22"/>
          <w:lang w:val="sr-Latn-ME"/>
        </w:rPr>
        <w:t>enom doze od 20 mg jednom dnevno u odnosu na placebo kod 14 d</w:t>
      </w:r>
      <w:r w:rsidR="0043443E" w:rsidRPr="001D6D86">
        <w:rPr>
          <w:bCs/>
          <w:sz w:val="22"/>
          <w:szCs w:val="22"/>
          <w:lang w:val="sr-Latn-ME"/>
        </w:rPr>
        <w:t>j</w:t>
      </w:r>
      <w:r w:rsidRPr="001D6D86">
        <w:rPr>
          <w:bCs/>
          <w:sz w:val="22"/>
          <w:szCs w:val="22"/>
          <w:lang w:val="sr-Latn-ME"/>
        </w:rPr>
        <w:t>ece i adsolescenata (uzrasta od 6 do 17 godina), sa homozigotnom porodičnom hiperholesterolemijom. Studija je imala aktivnu početnu fazu prim</w:t>
      </w:r>
      <w:r w:rsidR="0043443E" w:rsidRPr="001D6D86">
        <w:rPr>
          <w:bCs/>
          <w:sz w:val="22"/>
          <w:szCs w:val="22"/>
          <w:lang w:val="sr-Latn-ME"/>
        </w:rPr>
        <w:t>j</w:t>
      </w:r>
      <w:r w:rsidRPr="001D6D86">
        <w:rPr>
          <w:bCs/>
          <w:sz w:val="22"/>
          <w:szCs w:val="22"/>
          <w:lang w:val="sr-Latn-ME"/>
        </w:rPr>
        <w:t>enom dijete u trajanju od 4 ned</w:t>
      </w:r>
      <w:r w:rsidR="0043443E" w:rsidRPr="001D6D86">
        <w:rPr>
          <w:bCs/>
          <w:sz w:val="22"/>
          <w:szCs w:val="22"/>
          <w:lang w:val="sr-Latn-ME"/>
        </w:rPr>
        <w:t>j</w:t>
      </w:r>
      <w:r w:rsidRPr="001D6D86">
        <w:rPr>
          <w:bCs/>
          <w:sz w:val="22"/>
          <w:szCs w:val="22"/>
          <w:lang w:val="sr-Latn-ME"/>
        </w:rPr>
        <w:t>elje tokom koje su pacijenti dobijali 10 mg, zatim fazu unakrsnog prelaska u trajanju od 6 ned</w:t>
      </w:r>
      <w:r w:rsidR="0043443E" w:rsidRPr="001D6D86">
        <w:rPr>
          <w:bCs/>
          <w:sz w:val="22"/>
          <w:szCs w:val="22"/>
          <w:lang w:val="sr-Latn-ME"/>
        </w:rPr>
        <w:t>j</w:t>
      </w:r>
      <w:r w:rsidRPr="001D6D86">
        <w:rPr>
          <w:bCs/>
          <w:sz w:val="22"/>
          <w:szCs w:val="22"/>
          <w:lang w:val="sr-Latn-ME"/>
        </w:rPr>
        <w:t>elja prim</w:t>
      </w:r>
      <w:r w:rsidR="0043443E" w:rsidRPr="001D6D86">
        <w:rPr>
          <w:bCs/>
          <w:sz w:val="22"/>
          <w:szCs w:val="22"/>
          <w:lang w:val="sr-Latn-ME"/>
        </w:rPr>
        <w:t>j</w:t>
      </w:r>
      <w:r w:rsidRPr="001D6D86">
        <w:rPr>
          <w:bCs/>
          <w:sz w:val="22"/>
          <w:szCs w:val="22"/>
          <w:lang w:val="sr-Latn-ME"/>
        </w:rPr>
        <w:t>enom rosuvastatina u dozi 20 mg kome je prethodio ili koji je praćen 6-ned</w:t>
      </w:r>
      <w:r w:rsidR="0043443E" w:rsidRPr="001D6D86">
        <w:rPr>
          <w:bCs/>
          <w:sz w:val="22"/>
          <w:szCs w:val="22"/>
          <w:lang w:val="sr-Latn-ME"/>
        </w:rPr>
        <w:t>j</w:t>
      </w:r>
      <w:r w:rsidRPr="001D6D86">
        <w:rPr>
          <w:bCs/>
          <w:sz w:val="22"/>
          <w:szCs w:val="22"/>
          <w:lang w:val="sr-Latn-ME"/>
        </w:rPr>
        <w:t>eljnim placebo periodom, i 12-ned</w:t>
      </w:r>
      <w:r w:rsidR="0043443E" w:rsidRPr="001D6D86">
        <w:rPr>
          <w:bCs/>
          <w:sz w:val="22"/>
          <w:szCs w:val="22"/>
          <w:lang w:val="sr-Latn-ME"/>
        </w:rPr>
        <w:t>j</w:t>
      </w:r>
      <w:r w:rsidRPr="001D6D86">
        <w:rPr>
          <w:bCs/>
          <w:sz w:val="22"/>
          <w:szCs w:val="22"/>
          <w:lang w:val="sr-Latn-ME"/>
        </w:rPr>
        <w:t>eljnom fazom održavanja tokom koje su svi pacijenti bili na terapiji rosuvastatinom od 20 mg. Pacijenti koji su na početku studije uzimali ezetimib ili bili na terapiji aferezom nastavili su sa ovom terapijom tokom čitavog trajanja studije.</w:t>
      </w:r>
    </w:p>
    <w:p w14:paraId="1991321D" w14:textId="77777777" w:rsidR="00030415" w:rsidRPr="001D6D86" w:rsidRDefault="00030415" w:rsidP="0026307D">
      <w:pPr>
        <w:tabs>
          <w:tab w:val="left" w:pos="540"/>
          <w:tab w:val="left" w:pos="569"/>
        </w:tabs>
        <w:jc w:val="both"/>
        <w:rPr>
          <w:bCs/>
          <w:sz w:val="22"/>
          <w:szCs w:val="22"/>
          <w:lang w:val="sr-Latn-ME"/>
        </w:rPr>
      </w:pPr>
    </w:p>
    <w:p w14:paraId="723C3ABB" w14:textId="7D38F482"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Statistički značajno (p=0,005) smanjenje LDL-C (22,3%; 85,4 mg/d</w:t>
      </w:r>
      <w:r w:rsidR="0043443E" w:rsidRPr="001D6D86">
        <w:rPr>
          <w:bCs/>
          <w:sz w:val="22"/>
          <w:szCs w:val="22"/>
          <w:lang w:val="sr-Latn-ME"/>
        </w:rPr>
        <w:t>l</w:t>
      </w:r>
      <w:r w:rsidRPr="001D6D86">
        <w:rPr>
          <w:bCs/>
          <w:sz w:val="22"/>
          <w:szCs w:val="22"/>
          <w:lang w:val="sr-Latn-ME"/>
        </w:rPr>
        <w:t xml:space="preserve"> ili 2,2 mmol/</w:t>
      </w:r>
      <w:r w:rsidR="0043443E" w:rsidRPr="001D6D86">
        <w:rPr>
          <w:bCs/>
          <w:sz w:val="22"/>
          <w:szCs w:val="22"/>
          <w:lang w:val="sr-Latn-ME"/>
        </w:rPr>
        <w:t>l</w:t>
      </w:r>
      <w:r w:rsidRPr="001D6D86">
        <w:rPr>
          <w:bCs/>
          <w:sz w:val="22"/>
          <w:szCs w:val="22"/>
          <w:lang w:val="sr-Latn-ME"/>
        </w:rPr>
        <w:t>) je zab</w:t>
      </w:r>
      <w:r w:rsidR="0043443E" w:rsidRPr="001D6D86">
        <w:rPr>
          <w:bCs/>
          <w:sz w:val="22"/>
          <w:szCs w:val="22"/>
          <w:lang w:val="sr-Latn-ME"/>
        </w:rPr>
        <w:t>ilj</w:t>
      </w:r>
      <w:r w:rsidRPr="001D6D86">
        <w:rPr>
          <w:bCs/>
          <w:sz w:val="22"/>
          <w:szCs w:val="22"/>
          <w:lang w:val="sr-Latn-ME"/>
        </w:rPr>
        <w:t>eženo posl</w:t>
      </w:r>
      <w:r w:rsidR="0043443E" w:rsidRPr="001D6D86">
        <w:rPr>
          <w:bCs/>
          <w:sz w:val="22"/>
          <w:szCs w:val="22"/>
          <w:lang w:val="sr-Latn-ME"/>
        </w:rPr>
        <w:t>ij</w:t>
      </w:r>
      <w:r w:rsidRPr="001D6D86">
        <w:rPr>
          <w:bCs/>
          <w:sz w:val="22"/>
          <w:szCs w:val="22"/>
          <w:lang w:val="sr-Latn-ME"/>
        </w:rPr>
        <w:t>e 6 ned</w:t>
      </w:r>
      <w:r w:rsidR="0043443E" w:rsidRPr="001D6D86">
        <w:rPr>
          <w:bCs/>
          <w:sz w:val="22"/>
          <w:szCs w:val="22"/>
          <w:lang w:val="sr-Latn-ME"/>
        </w:rPr>
        <w:t>j</w:t>
      </w:r>
      <w:r w:rsidRPr="001D6D86">
        <w:rPr>
          <w:bCs/>
          <w:sz w:val="22"/>
          <w:szCs w:val="22"/>
          <w:lang w:val="sr-Latn-ME"/>
        </w:rPr>
        <w:t xml:space="preserve">elja terapije rosuvastatinom u dozi od 20 mg u odnosu na placebo. Statistički značajna smanjenja ukupne koncentracije holesterola (20,1%, p=0,003), </w:t>
      </w:r>
      <w:r w:rsidRPr="001D6D86">
        <w:rPr>
          <w:bCs/>
          <w:i/>
          <w:sz w:val="22"/>
          <w:szCs w:val="22"/>
          <w:lang w:val="sr-Latn-ME"/>
        </w:rPr>
        <w:t>non</w:t>
      </w:r>
      <w:r w:rsidRPr="001D6D86">
        <w:rPr>
          <w:bCs/>
          <w:sz w:val="22"/>
          <w:szCs w:val="22"/>
          <w:lang w:val="sr-Latn-ME"/>
        </w:rPr>
        <w:t xml:space="preserve">-HDL-C (22,9%, p=0,003) i ApoB (17,1%, p=0,024) su takođe registrovana. Smanjenja koncentracije triglicerida (TG), LDL-C/HDL-C, Total-C/HDL-C, </w:t>
      </w:r>
      <w:r w:rsidRPr="001D6D86">
        <w:rPr>
          <w:bCs/>
          <w:i/>
          <w:sz w:val="22"/>
          <w:szCs w:val="22"/>
          <w:lang w:val="sr-Latn-ME"/>
        </w:rPr>
        <w:t>non</w:t>
      </w:r>
      <w:r w:rsidRPr="001D6D86">
        <w:rPr>
          <w:bCs/>
          <w:sz w:val="22"/>
          <w:szCs w:val="22"/>
          <w:lang w:val="sr-Latn-ME"/>
        </w:rPr>
        <w:t>-HDL-C/HDL-C i ApoB/ApoA-1 su takođe zab</w:t>
      </w:r>
      <w:r w:rsidR="0043443E" w:rsidRPr="001D6D86">
        <w:rPr>
          <w:bCs/>
          <w:sz w:val="22"/>
          <w:szCs w:val="22"/>
          <w:lang w:val="sr-Latn-ME"/>
        </w:rPr>
        <w:t>ilj</w:t>
      </w:r>
      <w:r w:rsidRPr="001D6D86">
        <w:rPr>
          <w:bCs/>
          <w:sz w:val="22"/>
          <w:szCs w:val="22"/>
          <w:lang w:val="sr-Latn-ME"/>
        </w:rPr>
        <w:t>ežena posl</w:t>
      </w:r>
      <w:r w:rsidR="0043443E" w:rsidRPr="001D6D86">
        <w:rPr>
          <w:bCs/>
          <w:sz w:val="22"/>
          <w:szCs w:val="22"/>
          <w:lang w:val="sr-Latn-ME"/>
        </w:rPr>
        <w:t>ij</w:t>
      </w:r>
      <w:r w:rsidRPr="001D6D86">
        <w:rPr>
          <w:bCs/>
          <w:sz w:val="22"/>
          <w:szCs w:val="22"/>
          <w:lang w:val="sr-Latn-ME"/>
        </w:rPr>
        <w:t>e 6 ned</w:t>
      </w:r>
      <w:r w:rsidR="0043443E" w:rsidRPr="001D6D86">
        <w:rPr>
          <w:bCs/>
          <w:sz w:val="22"/>
          <w:szCs w:val="22"/>
          <w:lang w:val="sr-Latn-ME"/>
        </w:rPr>
        <w:t>j</w:t>
      </w:r>
      <w:r w:rsidRPr="001D6D86">
        <w:rPr>
          <w:bCs/>
          <w:sz w:val="22"/>
          <w:szCs w:val="22"/>
          <w:lang w:val="sr-Latn-ME"/>
        </w:rPr>
        <w:t>elja terapije rosuvastatinom u dozi od 20 mg u odnosu na placebo. Smanjenje koncentracije LDL-C posl</w:t>
      </w:r>
      <w:r w:rsidR="0043443E" w:rsidRPr="001D6D86">
        <w:rPr>
          <w:bCs/>
          <w:sz w:val="22"/>
          <w:szCs w:val="22"/>
          <w:lang w:val="sr-Latn-ME"/>
        </w:rPr>
        <w:t>ij</w:t>
      </w:r>
      <w:r w:rsidRPr="001D6D86">
        <w:rPr>
          <w:bCs/>
          <w:sz w:val="22"/>
          <w:szCs w:val="22"/>
          <w:lang w:val="sr-Latn-ME"/>
        </w:rPr>
        <w:t>e 6 ned</w:t>
      </w:r>
      <w:r w:rsidR="0043443E" w:rsidRPr="001D6D86">
        <w:rPr>
          <w:bCs/>
          <w:sz w:val="22"/>
          <w:szCs w:val="22"/>
          <w:lang w:val="sr-Latn-ME"/>
        </w:rPr>
        <w:t>j</w:t>
      </w:r>
      <w:r w:rsidRPr="001D6D86">
        <w:rPr>
          <w:bCs/>
          <w:sz w:val="22"/>
          <w:szCs w:val="22"/>
          <w:lang w:val="sr-Latn-ME"/>
        </w:rPr>
        <w:t>elja terapije rosuvastatinom u dozi od 20 mg u odnosu na placebo je održavano tokom 12 ned</w:t>
      </w:r>
      <w:r w:rsidR="0043443E" w:rsidRPr="001D6D86">
        <w:rPr>
          <w:bCs/>
          <w:sz w:val="22"/>
          <w:szCs w:val="22"/>
          <w:lang w:val="sr-Latn-ME"/>
        </w:rPr>
        <w:t>j</w:t>
      </w:r>
      <w:r w:rsidRPr="001D6D86">
        <w:rPr>
          <w:bCs/>
          <w:sz w:val="22"/>
          <w:szCs w:val="22"/>
          <w:lang w:val="sr-Latn-ME"/>
        </w:rPr>
        <w:t xml:space="preserve">elja neprekidne terapije. Jedan pacijent je imao i dodatno smanjenje koncentracije LDL-C (8,0%), ukupnog holesterola (6,7%) i </w:t>
      </w:r>
      <w:r w:rsidRPr="001D6D86">
        <w:rPr>
          <w:bCs/>
          <w:i/>
          <w:sz w:val="22"/>
          <w:szCs w:val="22"/>
          <w:lang w:val="sr-Latn-ME"/>
        </w:rPr>
        <w:t>non</w:t>
      </w:r>
      <w:r w:rsidRPr="001D6D86">
        <w:rPr>
          <w:bCs/>
          <w:sz w:val="22"/>
          <w:szCs w:val="22"/>
          <w:lang w:val="sr-Latn-ME"/>
        </w:rPr>
        <w:t>-HDL-C (7,4%) tokom narednih 6 ned</w:t>
      </w:r>
      <w:r w:rsidR="0043443E" w:rsidRPr="001D6D86">
        <w:rPr>
          <w:bCs/>
          <w:sz w:val="22"/>
          <w:szCs w:val="22"/>
          <w:lang w:val="sr-Latn-ME"/>
        </w:rPr>
        <w:t>j</w:t>
      </w:r>
      <w:r w:rsidRPr="001D6D86">
        <w:rPr>
          <w:bCs/>
          <w:sz w:val="22"/>
          <w:szCs w:val="22"/>
          <w:lang w:val="sr-Latn-ME"/>
        </w:rPr>
        <w:t>elja terapije nakon povećanja titracije doze na 40 mg.</w:t>
      </w:r>
    </w:p>
    <w:p w14:paraId="0BA5FA9E" w14:textId="77777777" w:rsidR="00030415" w:rsidRPr="001D6D86" w:rsidRDefault="00030415" w:rsidP="0026307D">
      <w:pPr>
        <w:tabs>
          <w:tab w:val="left" w:pos="540"/>
          <w:tab w:val="left" w:pos="569"/>
        </w:tabs>
        <w:jc w:val="both"/>
        <w:rPr>
          <w:bCs/>
          <w:sz w:val="22"/>
          <w:szCs w:val="22"/>
          <w:lang w:val="sr-Latn-ME"/>
        </w:rPr>
      </w:pPr>
    </w:p>
    <w:p w14:paraId="798C3B6A" w14:textId="289AF956"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Tokom otvorenog, produženog d</w:t>
      </w:r>
      <w:r w:rsidR="0043443E" w:rsidRPr="001D6D86">
        <w:rPr>
          <w:bCs/>
          <w:sz w:val="22"/>
          <w:szCs w:val="22"/>
          <w:lang w:val="sr-Latn-ME"/>
        </w:rPr>
        <w:t>ij</w:t>
      </w:r>
      <w:r w:rsidRPr="001D6D86">
        <w:rPr>
          <w:bCs/>
          <w:sz w:val="22"/>
          <w:szCs w:val="22"/>
          <w:lang w:val="sr-Latn-ME"/>
        </w:rPr>
        <w:t>ela ispitivanja, kod 9 pacijenata koji su dobijali 20 mg rosuvastatina i do 90 ned</w:t>
      </w:r>
      <w:r w:rsidR="0043443E" w:rsidRPr="001D6D86">
        <w:rPr>
          <w:bCs/>
          <w:sz w:val="22"/>
          <w:szCs w:val="22"/>
          <w:lang w:val="sr-Latn-ME"/>
        </w:rPr>
        <w:t>j</w:t>
      </w:r>
      <w:r w:rsidRPr="001D6D86">
        <w:rPr>
          <w:bCs/>
          <w:sz w:val="22"/>
          <w:szCs w:val="22"/>
          <w:lang w:val="sr-Latn-ME"/>
        </w:rPr>
        <w:t>elja, smanjenje koncentracije LDL-C je održavano u intervalu od -12,1% do -21,3%.</w:t>
      </w:r>
    </w:p>
    <w:p w14:paraId="13D03E4F" w14:textId="77777777" w:rsidR="00030415" w:rsidRPr="001D6D86" w:rsidRDefault="00030415" w:rsidP="0026307D">
      <w:pPr>
        <w:tabs>
          <w:tab w:val="left" w:pos="540"/>
          <w:tab w:val="left" w:pos="569"/>
        </w:tabs>
        <w:jc w:val="both"/>
        <w:rPr>
          <w:bCs/>
          <w:sz w:val="22"/>
          <w:szCs w:val="22"/>
          <w:lang w:val="sr-Latn-ME"/>
        </w:rPr>
      </w:pPr>
    </w:p>
    <w:p w14:paraId="36F30649" w14:textId="521D8FD8"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Kod 7 ispitivanih pacijenata (d</w:t>
      </w:r>
      <w:r w:rsidR="0043443E" w:rsidRPr="001D6D86">
        <w:rPr>
          <w:bCs/>
          <w:sz w:val="22"/>
          <w:szCs w:val="22"/>
          <w:lang w:val="sr-Latn-ME"/>
        </w:rPr>
        <w:t>j</w:t>
      </w:r>
      <w:r w:rsidRPr="001D6D86">
        <w:rPr>
          <w:bCs/>
          <w:sz w:val="22"/>
          <w:szCs w:val="22"/>
          <w:lang w:val="sr-Latn-ME"/>
        </w:rPr>
        <w:t>ece i adolescenata uzrasta od 8 do 17 godina) iz otvorene studije sa forsiranom titracijom koji su imali homozigotnu porodičnu hiperholesterolemiju (vid</w:t>
      </w:r>
      <w:r w:rsidR="0043443E" w:rsidRPr="001D6D86">
        <w:rPr>
          <w:bCs/>
          <w:sz w:val="22"/>
          <w:szCs w:val="22"/>
          <w:lang w:val="sr-Latn-ME"/>
        </w:rPr>
        <w:t>j</w:t>
      </w:r>
      <w:r w:rsidRPr="001D6D86">
        <w:rPr>
          <w:bCs/>
          <w:sz w:val="22"/>
          <w:szCs w:val="22"/>
          <w:lang w:val="sr-Latn-ME"/>
        </w:rPr>
        <w:t xml:space="preserve">eti u nastavku), procenat smanjenja koncentracije LDL-C (21,0%), ukupnog holesterola (19,2%) i </w:t>
      </w:r>
      <w:r w:rsidRPr="001D6D86">
        <w:rPr>
          <w:bCs/>
          <w:i/>
          <w:sz w:val="22"/>
          <w:szCs w:val="22"/>
          <w:lang w:val="sr-Latn-ME"/>
        </w:rPr>
        <w:t>non</w:t>
      </w:r>
      <w:r w:rsidRPr="001D6D86">
        <w:rPr>
          <w:bCs/>
          <w:sz w:val="22"/>
          <w:szCs w:val="22"/>
          <w:lang w:val="sr-Latn-ME"/>
        </w:rPr>
        <w:t>-HDL-C (21,0%) posl</w:t>
      </w:r>
      <w:r w:rsidR="0043443E" w:rsidRPr="001D6D86">
        <w:rPr>
          <w:bCs/>
          <w:sz w:val="22"/>
          <w:szCs w:val="22"/>
          <w:lang w:val="sr-Latn-ME"/>
        </w:rPr>
        <w:t>ij</w:t>
      </w:r>
      <w:r w:rsidRPr="001D6D86">
        <w:rPr>
          <w:bCs/>
          <w:sz w:val="22"/>
          <w:szCs w:val="22"/>
          <w:lang w:val="sr-Latn-ME"/>
        </w:rPr>
        <w:t>e 6 ned</w:t>
      </w:r>
      <w:r w:rsidR="0043443E" w:rsidRPr="001D6D86">
        <w:rPr>
          <w:bCs/>
          <w:sz w:val="22"/>
          <w:szCs w:val="22"/>
          <w:lang w:val="sr-Latn-ME"/>
        </w:rPr>
        <w:t>j</w:t>
      </w:r>
      <w:r w:rsidRPr="001D6D86">
        <w:rPr>
          <w:bCs/>
          <w:sz w:val="22"/>
          <w:szCs w:val="22"/>
          <w:lang w:val="sr-Latn-ME"/>
        </w:rPr>
        <w:t>elja terapije u odnosu na početne vr</w:t>
      </w:r>
      <w:r w:rsidR="0043443E" w:rsidRPr="001D6D86">
        <w:rPr>
          <w:bCs/>
          <w:sz w:val="22"/>
          <w:szCs w:val="22"/>
          <w:lang w:val="sr-Latn-ME"/>
        </w:rPr>
        <w:t>ij</w:t>
      </w:r>
      <w:r w:rsidRPr="001D6D86">
        <w:rPr>
          <w:bCs/>
          <w:sz w:val="22"/>
          <w:szCs w:val="22"/>
          <w:lang w:val="sr-Latn-ME"/>
        </w:rPr>
        <w:t>ednosti, prim</w:t>
      </w:r>
      <w:r w:rsidR="0043443E" w:rsidRPr="001D6D86">
        <w:rPr>
          <w:bCs/>
          <w:sz w:val="22"/>
          <w:szCs w:val="22"/>
          <w:lang w:val="sr-Latn-ME"/>
        </w:rPr>
        <w:t>j</w:t>
      </w:r>
      <w:r w:rsidRPr="001D6D86">
        <w:rPr>
          <w:bCs/>
          <w:sz w:val="22"/>
          <w:szCs w:val="22"/>
          <w:lang w:val="sr-Latn-ME"/>
        </w:rPr>
        <w:t>enom doze rosuvastatina od 20 mg je bilo konzistentno sa smanjenjem registrovanim u prethodno pomenutoj studiji kod d</w:t>
      </w:r>
      <w:r w:rsidR="0043443E" w:rsidRPr="001D6D86">
        <w:rPr>
          <w:bCs/>
          <w:sz w:val="22"/>
          <w:szCs w:val="22"/>
          <w:lang w:val="sr-Latn-ME"/>
        </w:rPr>
        <w:t>j</w:t>
      </w:r>
      <w:r w:rsidRPr="001D6D86">
        <w:rPr>
          <w:bCs/>
          <w:sz w:val="22"/>
          <w:szCs w:val="22"/>
          <w:lang w:val="sr-Latn-ME"/>
        </w:rPr>
        <w:t>ece i adolescenata sa homozigotnom porodičnom hiperholesterolemijom.</w:t>
      </w:r>
    </w:p>
    <w:p w14:paraId="2444F118" w14:textId="77777777" w:rsidR="00030415" w:rsidRPr="001D6D86" w:rsidRDefault="00030415" w:rsidP="0026307D">
      <w:pPr>
        <w:tabs>
          <w:tab w:val="left" w:pos="540"/>
          <w:tab w:val="left" w:pos="569"/>
        </w:tabs>
        <w:jc w:val="both"/>
        <w:rPr>
          <w:bCs/>
          <w:sz w:val="22"/>
          <w:szCs w:val="22"/>
          <w:lang w:val="sr-Latn-ME"/>
        </w:rPr>
      </w:pPr>
    </w:p>
    <w:p w14:paraId="05057E07" w14:textId="2C33D1E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Evropska agencija za l</w:t>
      </w:r>
      <w:r w:rsidR="0043443E" w:rsidRPr="001D6D86">
        <w:rPr>
          <w:bCs/>
          <w:sz w:val="22"/>
          <w:szCs w:val="22"/>
          <w:lang w:val="sr-Latn-ME"/>
        </w:rPr>
        <w:t>j</w:t>
      </w:r>
      <w:r w:rsidRPr="001D6D86">
        <w:rPr>
          <w:bCs/>
          <w:sz w:val="22"/>
          <w:szCs w:val="22"/>
          <w:lang w:val="sr-Latn-ME"/>
        </w:rPr>
        <w:t>ekove izuzela je od obaveze podnošenje rezultata ispitivanja referentnog l</w:t>
      </w:r>
      <w:r w:rsidR="0043443E" w:rsidRPr="001D6D86">
        <w:rPr>
          <w:bCs/>
          <w:sz w:val="22"/>
          <w:szCs w:val="22"/>
          <w:lang w:val="sr-Latn-ME"/>
        </w:rPr>
        <w:t>ij</w:t>
      </w:r>
      <w:r w:rsidRPr="001D6D86">
        <w:rPr>
          <w:bCs/>
          <w:sz w:val="22"/>
          <w:szCs w:val="22"/>
          <w:lang w:val="sr-Latn-ME"/>
        </w:rPr>
        <w:t>eka koji sadrži rosuvastatin u svim podgrupama pedijatrijske populacije u l</w:t>
      </w:r>
      <w:r w:rsidR="0043443E" w:rsidRPr="001D6D86">
        <w:rPr>
          <w:bCs/>
          <w:sz w:val="22"/>
          <w:szCs w:val="22"/>
          <w:lang w:val="sr-Latn-ME"/>
        </w:rPr>
        <w:t>ij</w:t>
      </w:r>
      <w:r w:rsidRPr="001D6D86">
        <w:rPr>
          <w:bCs/>
          <w:sz w:val="22"/>
          <w:szCs w:val="22"/>
          <w:lang w:val="sr-Latn-ME"/>
        </w:rPr>
        <w:t>ečenju homozigotne porodične hiperholesterolemije, primarne kombinovane (m</w:t>
      </w:r>
      <w:r w:rsidR="0043443E" w:rsidRPr="001D6D86">
        <w:rPr>
          <w:bCs/>
          <w:sz w:val="22"/>
          <w:szCs w:val="22"/>
          <w:lang w:val="sr-Latn-ME"/>
        </w:rPr>
        <w:t>j</w:t>
      </w:r>
      <w:r w:rsidRPr="001D6D86">
        <w:rPr>
          <w:bCs/>
          <w:sz w:val="22"/>
          <w:szCs w:val="22"/>
          <w:lang w:val="sr-Latn-ME"/>
        </w:rPr>
        <w:t>ešovite) dislipidemije i prevenciji kardiovaskularnih događaja (vid</w:t>
      </w:r>
      <w:r w:rsidR="0043443E" w:rsidRPr="001D6D86">
        <w:rPr>
          <w:bCs/>
          <w:sz w:val="22"/>
          <w:szCs w:val="22"/>
          <w:lang w:val="sr-Latn-ME"/>
        </w:rPr>
        <w:t>j</w:t>
      </w:r>
      <w:r w:rsidRPr="001D6D86">
        <w:rPr>
          <w:bCs/>
          <w:sz w:val="22"/>
          <w:szCs w:val="22"/>
          <w:lang w:val="sr-Latn-ME"/>
        </w:rPr>
        <w:t xml:space="preserve">eti </w:t>
      </w:r>
      <w:r w:rsidR="0043443E" w:rsidRPr="001D6D86">
        <w:rPr>
          <w:bCs/>
          <w:sz w:val="22"/>
          <w:szCs w:val="22"/>
          <w:lang w:val="sr-Latn-ME"/>
        </w:rPr>
        <w:t>dio</w:t>
      </w:r>
      <w:r w:rsidRPr="001D6D86">
        <w:rPr>
          <w:bCs/>
          <w:sz w:val="22"/>
          <w:szCs w:val="22"/>
          <w:lang w:val="sr-Latn-ME"/>
        </w:rPr>
        <w:t xml:space="preserve"> 4.2 za informacije o upotrebi u pedijatrijskoj populaciji).</w:t>
      </w:r>
    </w:p>
    <w:p w14:paraId="3961BC88" w14:textId="77777777" w:rsidR="002E37A5" w:rsidRPr="001D6D86" w:rsidRDefault="002E37A5" w:rsidP="0026307D">
      <w:pPr>
        <w:tabs>
          <w:tab w:val="left" w:pos="540"/>
          <w:tab w:val="left" w:pos="569"/>
        </w:tabs>
        <w:jc w:val="both"/>
        <w:rPr>
          <w:b/>
          <w:bCs/>
          <w:sz w:val="22"/>
          <w:szCs w:val="22"/>
          <w:lang w:val="sr-Latn-ME"/>
        </w:rPr>
      </w:pPr>
    </w:p>
    <w:p w14:paraId="758A7B2E" w14:textId="77777777" w:rsidR="0072020E" w:rsidRPr="001D6D86" w:rsidRDefault="0072020E" w:rsidP="0026307D">
      <w:pPr>
        <w:tabs>
          <w:tab w:val="left" w:pos="540"/>
          <w:tab w:val="left" w:pos="569"/>
        </w:tabs>
        <w:jc w:val="both"/>
        <w:rPr>
          <w:b/>
          <w:bCs/>
          <w:sz w:val="22"/>
          <w:szCs w:val="22"/>
          <w:lang w:val="sr-Latn-ME"/>
        </w:rPr>
      </w:pPr>
      <w:r w:rsidRPr="001D6D86">
        <w:rPr>
          <w:b/>
          <w:bCs/>
          <w:sz w:val="22"/>
          <w:szCs w:val="22"/>
          <w:lang w:val="sr-Latn-ME"/>
        </w:rPr>
        <w:t xml:space="preserve">5.2. </w:t>
      </w:r>
      <w:r w:rsidR="00480FB1" w:rsidRPr="001D6D86">
        <w:rPr>
          <w:b/>
          <w:bCs/>
          <w:sz w:val="22"/>
          <w:szCs w:val="22"/>
          <w:lang w:val="sr-Latn-ME"/>
        </w:rPr>
        <w:tab/>
      </w:r>
      <w:r w:rsidRPr="001D6D86">
        <w:rPr>
          <w:b/>
          <w:bCs/>
          <w:sz w:val="22"/>
          <w:szCs w:val="22"/>
          <w:lang w:val="sr-Latn-ME"/>
        </w:rPr>
        <w:t>Farmakokinetički podaci</w:t>
      </w:r>
      <w:r w:rsidR="003A7059" w:rsidRPr="001D6D86">
        <w:rPr>
          <w:b/>
          <w:bCs/>
          <w:sz w:val="22"/>
          <w:szCs w:val="22"/>
          <w:lang w:val="sr-Latn-ME"/>
        </w:rPr>
        <w:t xml:space="preserve"> </w:t>
      </w:r>
    </w:p>
    <w:p w14:paraId="5CA48261" w14:textId="77777777" w:rsidR="0072020E" w:rsidRPr="001D6D86" w:rsidRDefault="0072020E" w:rsidP="0026307D">
      <w:pPr>
        <w:tabs>
          <w:tab w:val="left" w:pos="540"/>
          <w:tab w:val="left" w:pos="569"/>
        </w:tabs>
        <w:jc w:val="both"/>
        <w:rPr>
          <w:bCs/>
          <w:sz w:val="22"/>
          <w:szCs w:val="22"/>
          <w:lang w:val="sr-Latn-ME"/>
        </w:rPr>
      </w:pPr>
    </w:p>
    <w:p w14:paraId="6A365594" w14:textId="6BAC7C8B"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Resorpcija: </w:t>
      </w:r>
      <w:r w:rsidRPr="001D6D86">
        <w:rPr>
          <w:bCs/>
          <w:sz w:val="22"/>
          <w:szCs w:val="22"/>
          <w:lang w:val="sr-Latn-ME"/>
        </w:rPr>
        <w:t>Maksimalne koncentracije rosuvastatina u plazmi se postižu oko 5 sati nakon oralne prim</w:t>
      </w:r>
      <w:r w:rsidR="0043443E" w:rsidRPr="001D6D86">
        <w:rPr>
          <w:bCs/>
          <w:sz w:val="22"/>
          <w:szCs w:val="22"/>
          <w:lang w:val="sr-Latn-ME"/>
        </w:rPr>
        <w:t>j</w:t>
      </w:r>
      <w:r w:rsidRPr="001D6D86">
        <w:rPr>
          <w:bCs/>
          <w:sz w:val="22"/>
          <w:szCs w:val="22"/>
          <w:lang w:val="sr-Latn-ME"/>
        </w:rPr>
        <w:t>ene. Apsolutna bioraspoloživost iznosi približno oko 20%.</w:t>
      </w:r>
    </w:p>
    <w:p w14:paraId="417DF2DF" w14:textId="77777777" w:rsidR="00030415" w:rsidRPr="001D6D86" w:rsidRDefault="00030415" w:rsidP="0026307D">
      <w:pPr>
        <w:tabs>
          <w:tab w:val="left" w:pos="540"/>
          <w:tab w:val="left" w:pos="569"/>
        </w:tabs>
        <w:jc w:val="both"/>
        <w:rPr>
          <w:bCs/>
          <w:sz w:val="22"/>
          <w:szCs w:val="22"/>
          <w:lang w:val="sr-Latn-ME"/>
        </w:rPr>
      </w:pPr>
    </w:p>
    <w:p w14:paraId="17DB2244" w14:textId="4E93F929"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lastRenderedPageBreak/>
        <w:t xml:space="preserve">Distribucija: </w:t>
      </w:r>
      <w:r w:rsidRPr="001D6D86">
        <w:rPr>
          <w:bCs/>
          <w:sz w:val="22"/>
          <w:szCs w:val="22"/>
          <w:lang w:val="sr-Latn-ME"/>
        </w:rPr>
        <w:t>Rosuvastatin se u velikoj m</w:t>
      </w:r>
      <w:r w:rsidR="0043443E" w:rsidRPr="001D6D86">
        <w:rPr>
          <w:bCs/>
          <w:sz w:val="22"/>
          <w:szCs w:val="22"/>
          <w:lang w:val="sr-Latn-ME"/>
        </w:rPr>
        <w:t>j</w:t>
      </w:r>
      <w:r w:rsidRPr="001D6D86">
        <w:rPr>
          <w:bCs/>
          <w:sz w:val="22"/>
          <w:szCs w:val="22"/>
          <w:lang w:val="sr-Latn-ME"/>
        </w:rPr>
        <w:t>eri preuzima u jetri, koja je primarno m</w:t>
      </w:r>
      <w:r w:rsidR="0043443E" w:rsidRPr="001D6D86">
        <w:rPr>
          <w:bCs/>
          <w:sz w:val="22"/>
          <w:szCs w:val="22"/>
          <w:lang w:val="sr-Latn-ME"/>
        </w:rPr>
        <w:t>j</w:t>
      </w:r>
      <w:r w:rsidRPr="001D6D86">
        <w:rPr>
          <w:bCs/>
          <w:sz w:val="22"/>
          <w:szCs w:val="22"/>
          <w:lang w:val="sr-Latn-ME"/>
        </w:rPr>
        <w:t xml:space="preserve">esto sinteze holesterola i klirensa LDL holesterola. Volumen distribucije rosuvastatina iznosi približno 134 </w:t>
      </w:r>
      <w:r w:rsidR="0043443E" w:rsidRPr="001D6D86">
        <w:rPr>
          <w:bCs/>
          <w:sz w:val="22"/>
          <w:szCs w:val="22"/>
          <w:lang w:val="sr-Latn-ME"/>
        </w:rPr>
        <w:t>l</w:t>
      </w:r>
      <w:r w:rsidRPr="001D6D86">
        <w:rPr>
          <w:bCs/>
          <w:sz w:val="22"/>
          <w:szCs w:val="22"/>
          <w:lang w:val="sr-Latn-ME"/>
        </w:rPr>
        <w:t>. Oko 90% rosuvastatina se vezuje za proteine plazme, posebno za albumin.</w:t>
      </w:r>
    </w:p>
    <w:p w14:paraId="4CBE4898" w14:textId="77777777" w:rsidR="00030415" w:rsidRPr="001D6D86" w:rsidRDefault="00030415" w:rsidP="0026307D">
      <w:pPr>
        <w:tabs>
          <w:tab w:val="left" w:pos="540"/>
          <w:tab w:val="left" w:pos="569"/>
        </w:tabs>
        <w:jc w:val="both"/>
        <w:rPr>
          <w:b/>
          <w:bCs/>
          <w:sz w:val="22"/>
          <w:szCs w:val="22"/>
          <w:lang w:val="sr-Latn-ME"/>
        </w:rPr>
      </w:pPr>
    </w:p>
    <w:p w14:paraId="3AF3CA68" w14:textId="1DCA709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Biotransformacija: </w:t>
      </w:r>
      <w:r w:rsidRPr="001D6D86">
        <w:rPr>
          <w:bCs/>
          <w:sz w:val="22"/>
          <w:szCs w:val="22"/>
          <w:lang w:val="sr-Latn-ME"/>
        </w:rPr>
        <w:t>Rosuvastatin podl</w:t>
      </w:r>
      <w:r w:rsidR="0043443E" w:rsidRPr="001D6D86">
        <w:rPr>
          <w:bCs/>
          <w:sz w:val="22"/>
          <w:szCs w:val="22"/>
          <w:lang w:val="sr-Latn-ME"/>
        </w:rPr>
        <w:t>ij</w:t>
      </w:r>
      <w:r w:rsidRPr="001D6D86">
        <w:rPr>
          <w:bCs/>
          <w:sz w:val="22"/>
          <w:szCs w:val="22"/>
          <w:lang w:val="sr-Latn-ME"/>
        </w:rPr>
        <w:t xml:space="preserve">eže ograničenom metabolizmu (oko 10%). Rezultati </w:t>
      </w:r>
      <w:r w:rsidRPr="001D6D86">
        <w:rPr>
          <w:bCs/>
          <w:i/>
          <w:sz w:val="22"/>
          <w:szCs w:val="22"/>
          <w:lang w:val="sr-Latn-ME"/>
        </w:rPr>
        <w:t xml:space="preserve">in vitro </w:t>
      </w:r>
      <w:r w:rsidRPr="001D6D86">
        <w:rPr>
          <w:bCs/>
          <w:sz w:val="22"/>
          <w:szCs w:val="22"/>
          <w:lang w:val="sr-Latn-ME"/>
        </w:rPr>
        <w:t>studija metabolizma korišćenjem humanih hepatocita, pokazuju da se rosuvastatin sporo metaboliše putem citohroma P450. CYP2C9 je bio osnovni izoenzim, a 2C19, 3A4 i 2D6 su uključeni u manjoj m</w:t>
      </w:r>
      <w:r w:rsidR="0043443E" w:rsidRPr="001D6D86">
        <w:rPr>
          <w:bCs/>
          <w:sz w:val="22"/>
          <w:szCs w:val="22"/>
          <w:lang w:val="sr-Latn-ME"/>
        </w:rPr>
        <w:t>j</w:t>
      </w:r>
      <w:r w:rsidRPr="001D6D86">
        <w:rPr>
          <w:bCs/>
          <w:sz w:val="22"/>
          <w:szCs w:val="22"/>
          <w:lang w:val="sr-Latn-ME"/>
        </w:rPr>
        <w:t>eri. Glavni identifikovani metaboliti su N-desmetil i laktonski metaboliti. N-desmetil metabolit je za oko 50% manje aktivan od rosuvastatina, dok se lakton oblik smatra klinički neaktivnim. Rosuvastatin je odgovoran za više od 90% aktivnosti na nivou cirkulišuće HMG-CoA reduktaze.</w:t>
      </w:r>
    </w:p>
    <w:p w14:paraId="35A8D3CB" w14:textId="77777777" w:rsidR="00030415" w:rsidRPr="001D6D86" w:rsidRDefault="00030415" w:rsidP="0026307D">
      <w:pPr>
        <w:tabs>
          <w:tab w:val="left" w:pos="540"/>
          <w:tab w:val="left" w:pos="569"/>
        </w:tabs>
        <w:jc w:val="both"/>
        <w:rPr>
          <w:bCs/>
          <w:sz w:val="22"/>
          <w:szCs w:val="22"/>
          <w:lang w:val="sr-Latn-ME"/>
        </w:rPr>
      </w:pPr>
    </w:p>
    <w:p w14:paraId="28D1EEAF" w14:textId="3DB2CC6C"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Eliminacija: </w:t>
      </w:r>
      <w:r w:rsidRPr="001D6D86">
        <w:rPr>
          <w:bCs/>
          <w:sz w:val="22"/>
          <w:szCs w:val="22"/>
          <w:lang w:val="sr-Latn-ME"/>
        </w:rPr>
        <w:t>Približno</w:t>
      </w:r>
      <w:r w:rsidRPr="001D6D86">
        <w:rPr>
          <w:b/>
          <w:bCs/>
          <w:sz w:val="22"/>
          <w:szCs w:val="22"/>
          <w:lang w:val="sr-Latn-ME"/>
        </w:rPr>
        <w:t xml:space="preserve"> </w:t>
      </w:r>
      <w:r w:rsidRPr="001D6D86">
        <w:rPr>
          <w:bCs/>
          <w:sz w:val="22"/>
          <w:szCs w:val="22"/>
          <w:lang w:val="sr-Latn-ME"/>
        </w:rPr>
        <w:t>oko 90% doze rosuvastatina se izlučuje u neprom</w:t>
      </w:r>
      <w:r w:rsidR="0043443E" w:rsidRPr="001D6D86">
        <w:rPr>
          <w:bCs/>
          <w:sz w:val="22"/>
          <w:szCs w:val="22"/>
          <w:lang w:val="sr-Latn-ME"/>
        </w:rPr>
        <w:t>ij</w:t>
      </w:r>
      <w:r w:rsidRPr="001D6D86">
        <w:rPr>
          <w:bCs/>
          <w:sz w:val="22"/>
          <w:szCs w:val="22"/>
          <w:lang w:val="sr-Latn-ME"/>
        </w:rPr>
        <w:t>enjenom obliku fecesom (u obliku resorbovane i neresorbovane aktivne supstance), a preostali d</w:t>
      </w:r>
      <w:r w:rsidR="0043443E" w:rsidRPr="001D6D86">
        <w:rPr>
          <w:bCs/>
          <w:sz w:val="22"/>
          <w:szCs w:val="22"/>
          <w:lang w:val="sr-Latn-ME"/>
        </w:rPr>
        <w:t>i</w:t>
      </w:r>
      <w:r w:rsidRPr="001D6D86">
        <w:rPr>
          <w:bCs/>
          <w:sz w:val="22"/>
          <w:szCs w:val="22"/>
          <w:lang w:val="sr-Latn-ME"/>
        </w:rPr>
        <w:t>o se izlučuje urinom. Približno</w:t>
      </w:r>
      <w:r w:rsidRPr="001D6D86">
        <w:rPr>
          <w:b/>
          <w:bCs/>
          <w:sz w:val="22"/>
          <w:szCs w:val="22"/>
          <w:lang w:val="sr-Latn-ME"/>
        </w:rPr>
        <w:t xml:space="preserve"> </w:t>
      </w:r>
      <w:r w:rsidRPr="001D6D86">
        <w:rPr>
          <w:bCs/>
          <w:sz w:val="22"/>
          <w:szCs w:val="22"/>
          <w:lang w:val="sr-Latn-ME"/>
        </w:rPr>
        <w:t>oko 5% se izlučuje urinom u neprom</w:t>
      </w:r>
      <w:r w:rsidR="0043443E" w:rsidRPr="001D6D86">
        <w:rPr>
          <w:bCs/>
          <w:sz w:val="22"/>
          <w:szCs w:val="22"/>
          <w:lang w:val="sr-Latn-ME"/>
        </w:rPr>
        <w:t>ij</w:t>
      </w:r>
      <w:r w:rsidRPr="001D6D86">
        <w:rPr>
          <w:bCs/>
          <w:sz w:val="22"/>
          <w:szCs w:val="22"/>
          <w:lang w:val="sr-Latn-ME"/>
        </w:rPr>
        <w:t>enjenom obliku. Pros</w:t>
      </w:r>
      <w:r w:rsidR="0043443E" w:rsidRPr="001D6D86">
        <w:rPr>
          <w:bCs/>
          <w:sz w:val="22"/>
          <w:szCs w:val="22"/>
          <w:lang w:val="sr-Latn-ME"/>
        </w:rPr>
        <w:t>j</w:t>
      </w:r>
      <w:r w:rsidRPr="001D6D86">
        <w:rPr>
          <w:bCs/>
          <w:sz w:val="22"/>
          <w:szCs w:val="22"/>
          <w:lang w:val="sr-Latn-ME"/>
        </w:rPr>
        <w:t>ečno poluvr</w:t>
      </w:r>
      <w:r w:rsidR="0043443E" w:rsidRPr="001D6D86">
        <w:rPr>
          <w:bCs/>
          <w:sz w:val="22"/>
          <w:szCs w:val="22"/>
          <w:lang w:val="sr-Latn-ME"/>
        </w:rPr>
        <w:t>ij</w:t>
      </w:r>
      <w:r w:rsidRPr="001D6D86">
        <w:rPr>
          <w:bCs/>
          <w:sz w:val="22"/>
          <w:szCs w:val="22"/>
          <w:lang w:val="sr-Latn-ME"/>
        </w:rPr>
        <w:t>eme eliminacije u plazmi je 19 sati. Poluvr</w:t>
      </w:r>
      <w:r w:rsidR="0043443E" w:rsidRPr="001D6D86">
        <w:rPr>
          <w:bCs/>
          <w:sz w:val="22"/>
          <w:szCs w:val="22"/>
          <w:lang w:val="sr-Latn-ME"/>
        </w:rPr>
        <w:t>ij</w:t>
      </w:r>
      <w:r w:rsidRPr="001D6D86">
        <w:rPr>
          <w:bCs/>
          <w:sz w:val="22"/>
          <w:szCs w:val="22"/>
          <w:lang w:val="sr-Latn-ME"/>
        </w:rPr>
        <w:t>eme eliminacije se ne povećava sa povećanjem doze. Geometrijska srednja vr</w:t>
      </w:r>
      <w:r w:rsidR="0043443E" w:rsidRPr="001D6D86">
        <w:rPr>
          <w:bCs/>
          <w:sz w:val="22"/>
          <w:szCs w:val="22"/>
          <w:lang w:val="sr-Latn-ME"/>
        </w:rPr>
        <w:t>ij</w:t>
      </w:r>
      <w:r w:rsidRPr="001D6D86">
        <w:rPr>
          <w:bCs/>
          <w:sz w:val="22"/>
          <w:szCs w:val="22"/>
          <w:lang w:val="sr-Latn-ME"/>
        </w:rPr>
        <w:t>ednost klirensa iz plazme je oko 50 litara/sat (koeficijent varijacije 21,7%). Kao i kod drugih inhibitora HMG-CoA reduktaze, preuzimanje rosuvastatina u jetri uključuje membranski trasporter OATP holesterola. Ovaj transport je važan u hepatičnoj eliminaciji rosuvastatina.</w:t>
      </w:r>
    </w:p>
    <w:p w14:paraId="18BE848C" w14:textId="77777777" w:rsidR="00030415" w:rsidRPr="001D6D86" w:rsidRDefault="00030415" w:rsidP="0026307D">
      <w:pPr>
        <w:tabs>
          <w:tab w:val="left" w:pos="540"/>
          <w:tab w:val="left" w:pos="569"/>
        </w:tabs>
        <w:jc w:val="both"/>
        <w:rPr>
          <w:bCs/>
          <w:sz w:val="22"/>
          <w:szCs w:val="22"/>
          <w:lang w:val="sr-Latn-ME"/>
        </w:rPr>
      </w:pPr>
    </w:p>
    <w:p w14:paraId="5FEFA196" w14:textId="2AC9BDF9"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 xml:space="preserve">Linearnost: </w:t>
      </w:r>
      <w:r w:rsidRPr="001D6D86">
        <w:rPr>
          <w:bCs/>
          <w:sz w:val="22"/>
          <w:szCs w:val="22"/>
          <w:lang w:val="sr-Latn-ME"/>
        </w:rPr>
        <w:t>Sistemska izloženost rosuvastatinu povećava se proporcionalno dozi. Nema prom</w:t>
      </w:r>
      <w:r w:rsidR="0043443E" w:rsidRPr="001D6D86">
        <w:rPr>
          <w:bCs/>
          <w:sz w:val="22"/>
          <w:szCs w:val="22"/>
          <w:lang w:val="sr-Latn-ME"/>
        </w:rPr>
        <w:t>j</w:t>
      </w:r>
      <w:r w:rsidRPr="001D6D86">
        <w:rPr>
          <w:bCs/>
          <w:sz w:val="22"/>
          <w:szCs w:val="22"/>
          <w:lang w:val="sr-Latn-ME"/>
        </w:rPr>
        <w:t>ena u farmakokinetičkim parametrima nakon višestrukih dnevnih doza.</w:t>
      </w:r>
    </w:p>
    <w:p w14:paraId="0716D036" w14:textId="77777777" w:rsidR="00030415" w:rsidRPr="001D6D86" w:rsidRDefault="00030415" w:rsidP="0026307D">
      <w:pPr>
        <w:tabs>
          <w:tab w:val="left" w:pos="540"/>
          <w:tab w:val="left" w:pos="569"/>
        </w:tabs>
        <w:jc w:val="both"/>
        <w:rPr>
          <w:bCs/>
          <w:sz w:val="22"/>
          <w:szCs w:val="22"/>
          <w:lang w:val="sr-Latn-ME"/>
        </w:rPr>
      </w:pPr>
    </w:p>
    <w:p w14:paraId="113E5D7E" w14:textId="77777777" w:rsidR="00030415" w:rsidRPr="001D6D86" w:rsidRDefault="00030415" w:rsidP="0026307D">
      <w:pPr>
        <w:tabs>
          <w:tab w:val="left" w:pos="540"/>
          <w:tab w:val="left" w:pos="569"/>
        </w:tabs>
        <w:jc w:val="both"/>
        <w:rPr>
          <w:bCs/>
          <w:sz w:val="22"/>
          <w:szCs w:val="22"/>
          <w:lang w:val="sr-Latn-ME"/>
        </w:rPr>
      </w:pPr>
      <w:r w:rsidRPr="001D6D86">
        <w:rPr>
          <w:b/>
          <w:bCs/>
          <w:sz w:val="22"/>
          <w:szCs w:val="22"/>
          <w:lang w:val="sr-Latn-ME"/>
        </w:rPr>
        <w:t>Posebne grupe populacije</w:t>
      </w:r>
    </w:p>
    <w:p w14:paraId="20957541" w14:textId="005E242B" w:rsidR="00030415" w:rsidRPr="001D6D86" w:rsidRDefault="00030415" w:rsidP="0026307D">
      <w:pPr>
        <w:tabs>
          <w:tab w:val="left" w:pos="540"/>
          <w:tab w:val="left" w:pos="569"/>
        </w:tabs>
        <w:jc w:val="both"/>
        <w:rPr>
          <w:bCs/>
          <w:sz w:val="22"/>
          <w:szCs w:val="22"/>
          <w:lang w:val="sr-Latn-ME"/>
        </w:rPr>
      </w:pPr>
      <w:r w:rsidRPr="001D6D86">
        <w:rPr>
          <w:b/>
          <w:bCs/>
          <w:i/>
          <w:sz w:val="22"/>
          <w:szCs w:val="22"/>
          <w:lang w:val="sr-Latn-ME"/>
        </w:rPr>
        <w:t>Starost i pol</w:t>
      </w:r>
      <w:r w:rsidRPr="001D6D86">
        <w:rPr>
          <w:bCs/>
          <w:i/>
          <w:sz w:val="22"/>
          <w:szCs w:val="22"/>
          <w:lang w:val="sr-Latn-ME"/>
        </w:rPr>
        <w:t xml:space="preserve">: </w:t>
      </w:r>
      <w:r w:rsidRPr="001D6D86">
        <w:rPr>
          <w:bCs/>
          <w:sz w:val="22"/>
          <w:szCs w:val="22"/>
          <w:lang w:val="sr-Latn-ME"/>
        </w:rPr>
        <w:t>Starost i pol nemaju klinički značajan uticaj na farmakokinetiku rosuvastatina kod odraslih. Izloženost kod d</w:t>
      </w:r>
      <w:r w:rsidR="0043443E" w:rsidRPr="001D6D86">
        <w:rPr>
          <w:bCs/>
          <w:sz w:val="22"/>
          <w:szCs w:val="22"/>
          <w:lang w:val="sr-Latn-ME"/>
        </w:rPr>
        <w:t>j</w:t>
      </w:r>
      <w:r w:rsidRPr="001D6D86">
        <w:rPr>
          <w:bCs/>
          <w:sz w:val="22"/>
          <w:szCs w:val="22"/>
          <w:lang w:val="sr-Latn-ME"/>
        </w:rPr>
        <w:t>ece i adolescenata sa heterozigotnom porodičnom hiperholesterolemijom je slična ili manja u odnosu na odrasle pacijente sa dislipidemijom (vid</w:t>
      </w:r>
      <w:r w:rsidR="0043443E" w:rsidRPr="001D6D86">
        <w:rPr>
          <w:bCs/>
          <w:sz w:val="22"/>
          <w:szCs w:val="22"/>
          <w:lang w:val="sr-Latn-ME"/>
        </w:rPr>
        <w:t>j</w:t>
      </w:r>
      <w:r w:rsidRPr="001D6D86">
        <w:rPr>
          <w:bCs/>
          <w:sz w:val="22"/>
          <w:szCs w:val="22"/>
          <w:lang w:val="sr-Latn-ME"/>
        </w:rPr>
        <w:t>eti u nastavku „Pedijatrijska populacija”).</w:t>
      </w:r>
    </w:p>
    <w:p w14:paraId="20C00739" w14:textId="77777777" w:rsidR="00030415" w:rsidRPr="001D6D86" w:rsidRDefault="00030415" w:rsidP="0026307D">
      <w:pPr>
        <w:tabs>
          <w:tab w:val="left" w:pos="540"/>
          <w:tab w:val="left" w:pos="569"/>
        </w:tabs>
        <w:jc w:val="both"/>
        <w:rPr>
          <w:bCs/>
          <w:sz w:val="22"/>
          <w:szCs w:val="22"/>
          <w:lang w:val="sr-Latn-ME"/>
        </w:rPr>
      </w:pPr>
    </w:p>
    <w:p w14:paraId="01E1C990" w14:textId="7AB279D2" w:rsidR="00030415" w:rsidRPr="001D6D86" w:rsidRDefault="00030415" w:rsidP="0026307D">
      <w:pPr>
        <w:tabs>
          <w:tab w:val="left" w:pos="540"/>
          <w:tab w:val="left" w:pos="569"/>
        </w:tabs>
        <w:jc w:val="both"/>
        <w:rPr>
          <w:bCs/>
          <w:sz w:val="22"/>
          <w:szCs w:val="22"/>
          <w:lang w:val="sr-Latn-ME"/>
        </w:rPr>
      </w:pPr>
      <w:r w:rsidRPr="001D6D86">
        <w:rPr>
          <w:b/>
          <w:bCs/>
          <w:i/>
          <w:sz w:val="22"/>
          <w:szCs w:val="22"/>
          <w:lang w:val="sr-Latn-ME"/>
        </w:rPr>
        <w:t>Rasa</w:t>
      </w:r>
      <w:r w:rsidRPr="001D6D86">
        <w:rPr>
          <w:bCs/>
          <w:i/>
          <w:sz w:val="22"/>
          <w:szCs w:val="22"/>
          <w:lang w:val="sr-Latn-ME"/>
        </w:rPr>
        <w:t xml:space="preserve">: </w:t>
      </w:r>
      <w:r w:rsidRPr="001D6D86">
        <w:rPr>
          <w:bCs/>
          <w:sz w:val="22"/>
          <w:szCs w:val="22"/>
          <w:lang w:val="sr-Latn-ME"/>
        </w:rPr>
        <w:t>Rezultati farmakokinetičkih studija pokazuju dvostruko povećanje srednje vr</w:t>
      </w:r>
      <w:r w:rsidR="0043443E" w:rsidRPr="001D6D86">
        <w:rPr>
          <w:bCs/>
          <w:sz w:val="22"/>
          <w:szCs w:val="22"/>
          <w:lang w:val="sr-Latn-ME"/>
        </w:rPr>
        <w:t>ij</w:t>
      </w:r>
      <w:r w:rsidRPr="001D6D86">
        <w:rPr>
          <w:bCs/>
          <w:sz w:val="22"/>
          <w:szCs w:val="22"/>
          <w:lang w:val="sr-Latn-ME"/>
        </w:rPr>
        <w:t>ednosti PIK i C</w:t>
      </w:r>
      <w:r w:rsidRPr="001D6D86">
        <w:rPr>
          <w:bCs/>
          <w:sz w:val="22"/>
          <w:szCs w:val="22"/>
          <w:vertAlign w:val="subscript"/>
          <w:lang w:val="sr-Latn-ME"/>
        </w:rPr>
        <w:t>max</w:t>
      </w:r>
      <w:r w:rsidRPr="001D6D86">
        <w:rPr>
          <w:bCs/>
          <w:sz w:val="22"/>
          <w:szCs w:val="22"/>
          <w:lang w:val="sr-Latn-ME"/>
        </w:rPr>
        <w:t xml:space="preserve"> kod pacijanata azijskog porekla (Japanaca, Kineza, Filipinaca, Vijetnamaca i Korejanaca) u odnosu na pripadnike b</w:t>
      </w:r>
      <w:r w:rsidR="0043443E" w:rsidRPr="001D6D86">
        <w:rPr>
          <w:bCs/>
          <w:sz w:val="22"/>
          <w:szCs w:val="22"/>
          <w:lang w:val="sr-Latn-ME"/>
        </w:rPr>
        <w:t>ij</w:t>
      </w:r>
      <w:r w:rsidRPr="001D6D86">
        <w:rPr>
          <w:bCs/>
          <w:sz w:val="22"/>
          <w:szCs w:val="22"/>
          <w:lang w:val="sr-Latn-ME"/>
        </w:rPr>
        <w:t>ele rase; kod Indijaca azijskog porekla su srednje vr</w:t>
      </w:r>
      <w:r w:rsidR="0043443E" w:rsidRPr="001D6D86">
        <w:rPr>
          <w:bCs/>
          <w:sz w:val="22"/>
          <w:szCs w:val="22"/>
          <w:lang w:val="sr-Latn-ME"/>
        </w:rPr>
        <w:t>ij</w:t>
      </w:r>
      <w:r w:rsidRPr="001D6D86">
        <w:rPr>
          <w:bCs/>
          <w:sz w:val="22"/>
          <w:szCs w:val="22"/>
          <w:lang w:val="sr-Latn-ME"/>
        </w:rPr>
        <w:t>ednosti PIK i C</w:t>
      </w:r>
      <w:r w:rsidRPr="001D6D86">
        <w:rPr>
          <w:bCs/>
          <w:sz w:val="22"/>
          <w:szCs w:val="22"/>
          <w:vertAlign w:val="subscript"/>
          <w:lang w:val="sr-Latn-ME"/>
        </w:rPr>
        <w:t>max</w:t>
      </w:r>
      <w:r w:rsidRPr="001D6D86">
        <w:rPr>
          <w:bCs/>
          <w:sz w:val="22"/>
          <w:szCs w:val="22"/>
          <w:lang w:val="sr-Latn-ME"/>
        </w:rPr>
        <w:t xml:space="preserve"> veće oko 1,3 puta. Populacione farmakokinetičke analize nisu pokazale klinički značajne razlike u farmakokinetici između pripadnika b</w:t>
      </w:r>
      <w:r w:rsidR="0043443E" w:rsidRPr="001D6D86">
        <w:rPr>
          <w:bCs/>
          <w:sz w:val="22"/>
          <w:szCs w:val="22"/>
          <w:lang w:val="sr-Latn-ME"/>
        </w:rPr>
        <w:t>ij</w:t>
      </w:r>
      <w:r w:rsidRPr="001D6D86">
        <w:rPr>
          <w:bCs/>
          <w:sz w:val="22"/>
          <w:szCs w:val="22"/>
          <w:lang w:val="sr-Latn-ME"/>
        </w:rPr>
        <w:t>ele i crne rase.</w:t>
      </w:r>
    </w:p>
    <w:p w14:paraId="4DFE4119" w14:textId="77777777" w:rsidR="00030415" w:rsidRPr="001D6D86" w:rsidRDefault="00030415" w:rsidP="0026307D">
      <w:pPr>
        <w:tabs>
          <w:tab w:val="left" w:pos="540"/>
          <w:tab w:val="left" w:pos="569"/>
        </w:tabs>
        <w:jc w:val="both"/>
        <w:rPr>
          <w:bCs/>
          <w:sz w:val="22"/>
          <w:szCs w:val="22"/>
          <w:lang w:val="sr-Latn-ME"/>
        </w:rPr>
      </w:pPr>
    </w:p>
    <w:p w14:paraId="2E14473C" w14:textId="008EC30E" w:rsidR="00030415" w:rsidRPr="001D6D86" w:rsidRDefault="00030415" w:rsidP="0026307D">
      <w:pPr>
        <w:tabs>
          <w:tab w:val="left" w:pos="540"/>
          <w:tab w:val="left" w:pos="569"/>
        </w:tabs>
        <w:jc w:val="both"/>
        <w:rPr>
          <w:bCs/>
          <w:sz w:val="22"/>
          <w:szCs w:val="22"/>
          <w:lang w:val="sr-Latn-ME"/>
        </w:rPr>
      </w:pPr>
      <w:r w:rsidRPr="001D6D86">
        <w:rPr>
          <w:b/>
          <w:bCs/>
          <w:i/>
          <w:sz w:val="22"/>
          <w:szCs w:val="22"/>
          <w:lang w:val="sr-Latn-ME"/>
        </w:rPr>
        <w:t>Oštećenje funkcije bubrega</w:t>
      </w:r>
      <w:r w:rsidRPr="001D6D86">
        <w:rPr>
          <w:bCs/>
          <w:i/>
          <w:sz w:val="22"/>
          <w:szCs w:val="22"/>
          <w:lang w:val="sr-Latn-ME"/>
        </w:rPr>
        <w:t xml:space="preserve">: </w:t>
      </w:r>
      <w:r w:rsidRPr="001D6D86">
        <w:rPr>
          <w:bCs/>
          <w:sz w:val="22"/>
          <w:szCs w:val="22"/>
          <w:lang w:val="sr-Latn-ME"/>
        </w:rPr>
        <w:t>U jednoj studiji koja je obuhvatila pacijente sa različitim stepenima oštećenja funkcije bubrega, pokazalo se da blago do um</w:t>
      </w:r>
      <w:r w:rsidR="0043443E" w:rsidRPr="001D6D86">
        <w:rPr>
          <w:bCs/>
          <w:sz w:val="22"/>
          <w:szCs w:val="22"/>
          <w:lang w:val="sr-Latn-ME"/>
        </w:rPr>
        <w:t>j</w:t>
      </w:r>
      <w:r w:rsidRPr="001D6D86">
        <w:rPr>
          <w:bCs/>
          <w:sz w:val="22"/>
          <w:szCs w:val="22"/>
          <w:lang w:val="sr-Latn-ME"/>
        </w:rPr>
        <w:t>ereno oboljenje bubrega ne utiče na koncentracije rosuvastatina i N-desmetil metabolita u plazmi. Kod pacijenata sa teškim oštećenjem (CrCl &lt;30 m</w:t>
      </w:r>
      <w:r w:rsidR="0043443E" w:rsidRPr="001D6D86">
        <w:rPr>
          <w:bCs/>
          <w:sz w:val="22"/>
          <w:szCs w:val="22"/>
          <w:lang w:val="sr-Latn-ME"/>
        </w:rPr>
        <w:t>l</w:t>
      </w:r>
      <w:r w:rsidRPr="001D6D86">
        <w:rPr>
          <w:bCs/>
          <w:sz w:val="22"/>
          <w:szCs w:val="22"/>
          <w:lang w:val="sr-Latn-ME"/>
        </w:rPr>
        <w:t xml:space="preserve">/min) koncentracija u plazmi je bila trostruko veća, a koncentracija N-desmetil metabolita devetostruko veća u odnosu na zdrave ispitanike. Koncentracije rosuvastatina u plazmi u stanju ravnoteže kod pacijenata koji su podvrgnuti hemodijalizi, su bile oko 50% veće u odnosu na zdrave ispitanike. </w:t>
      </w:r>
    </w:p>
    <w:p w14:paraId="155F59BD" w14:textId="77777777" w:rsidR="001378D0" w:rsidRPr="001D6D86" w:rsidRDefault="001378D0" w:rsidP="0026307D">
      <w:pPr>
        <w:tabs>
          <w:tab w:val="left" w:pos="540"/>
          <w:tab w:val="left" w:pos="569"/>
        </w:tabs>
        <w:jc w:val="both"/>
        <w:rPr>
          <w:bCs/>
          <w:sz w:val="22"/>
          <w:szCs w:val="22"/>
          <w:lang w:val="sr-Latn-ME"/>
        </w:rPr>
      </w:pPr>
    </w:p>
    <w:p w14:paraId="4B922436" w14:textId="4A4D5FC1" w:rsidR="00030415" w:rsidRPr="001D6D86" w:rsidRDefault="00030415" w:rsidP="0026307D">
      <w:pPr>
        <w:tabs>
          <w:tab w:val="left" w:pos="540"/>
          <w:tab w:val="left" w:pos="569"/>
        </w:tabs>
        <w:jc w:val="both"/>
        <w:rPr>
          <w:bCs/>
          <w:sz w:val="22"/>
          <w:szCs w:val="22"/>
          <w:lang w:val="sr-Latn-ME"/>
        </w:rPr>
      </w:pPr>
      <w:r w:rsidRPr="001D6D86">
        <w:rPr>
          <w:b/>
          <w:bCs/>
          <w:i/>
          <w:sz w:val="22"/>
          <w:szCs w:val="22"/>
          <w:lang w:val="sr-Latn-ME"/>
        </w:rPr>
        <w:t>Oštećenje funkcije jetre:</w:t>
      </w:r>
      <w:r w:rsidRPr="001D6D86">
        <w:rPr>
          <w:bCs/>
          <w:i/>
          <w:sz w:val="22"/>
          <w:szCs w:val="22"/>
          <w:lang w:val="sr-Latn-ME"/>
        </w:rPr>
        <w:t xml:space="preserve"> </w:t>
      </w:r>
      <w:r w:rsidRPr="001D6D86">
        <w:rPr>
          <w:bCs/>
          <w:sz w:val="22"/>
          <w:szCs w:val="22"/>
          <w:lang w:val="sr-Latn-ME"/>
        </w:rPr>
        <w:t xml:space="preserve">U jednoj studiji koja je obuhvatila pacijente sa različitim stepenima oštećenja   funkcije jetre, nije se javila veća izloženost rosuvastatinu kod pacijenata sa </w:t>
      </w:r>
      <w:r w:rsidRPr="001D6D86">
        <w:rPr>
          <w:bCs/>
          <w:i/>
          <w:sz w:val="22"/>
          <w:szCs w:val="22"/>
          <w:lang w:val="sr-Latn-ME"/>
        </w:rPr>
        <w:t xml:space="preserve">Child-Pugh </w:t>
      </w:r>
      <w:r w:rsidRPr="001D6D86">
        <w:rPr>
          <w:bCs/>
          <w:sz w:val="22"/>
          <w:szCs w:val="22"/>
          <w:lang w:val="sr-Latn-ME"/>
        </w:rPr>
        <w:t xml:space="preserve">skorom 7 ili manjim. Ipak, kod dva pacijenta sa </w:t>
      </w:r>
      <w:r w:rsidRPr="001D6D86">
        <w:rPr>
          <w:bCs/>
          <w:i/>
          <w:sz w:val="22"/>
          <w:szCs w:val="22"/>
          <w:lang w:val="sr-Latn-ME"/>
        </w:rPr>
        <w:t xml:space="preserve">Child-Pugh </w:t>
      </w:r>
      <w:r w:rsidRPr="001D6D86">
        <w:rPr>
          <w:bCs/>
          <w:sz w:val="22"/>
          <w:szCs w:val="22"/>
          <w:lang w:val="sr-Latn-ME"/>
        </w:rPr>
        <w:t xml:space="preserve">skorom 8 i 9, došlo je do najmanje dvostrukog povećanja sistemske izloženosti u odnosu na pacijente sa manjim </w:t>
      </w:r>
      <w:r w:rsidRPr="001D6D86">
        <w:rPr>
          <w:bCs/>
          <w:i/>
          <w:sz w:val="22"/>
          <w:szCs w:val="22"/>
          <w:lang w:val="sr-Latn-ME"/>
        </w:rPr>
        <w:t xml:space="preserve">Child-Pugh </w:t>
      </w:r>
      <w:r w:rsidRPr="001D6D86">
        <w:rPr>
          <w:bCs/>
          <w:sz w:val="22"/>
          <w:szCs w:val="22"/>
          <w:lang w:val="sr-Latn-ME"/>
        </w:rPr>
        <w:t xml:space="preserve">skorom. Nema iskustava sa ispitanicima koji imaju </w:t>
      </w:r>
      <w:r w:rsidRPr="001D6D86">
        <w:rPr>
          <w:bCs/>
          <w:i/>
          <w:sz w:val="22"/>
          <w:szCs w:val="22"/>
          <w:lang w:val="sr-Latn-ME"/>
        </w:rPr>
        <w:t>Child-Pugh</w:t>
      </w:r>
      <w:r w:rsidRPr="001D6D86">
        <w:rPr>
          <w:bCs/>
          <w:sz w:val="22"/>
          <w:szCs w:val="22"/>
          <w:lang w:val="sr-Latn-ME"/>
        </w:rPr>
        <w:t xml:space="preserve"> skor preko 9.</w:t>
      </w:r>
    </w:p>
    <w:p w14:paraId="4084047C" w14:textId="77777777" w:rsidR="00030415" w:rsidRPr="001D6D86" w:rsidRDefault="00030415" w:rsidP="0026307D">
      <w:pPr>
        <w:tabs>
          <w:tab w:val="left" w:pos="540"/>
          <w:tab w:val="left" w:pos="569"/>
        </w:tabs>
        <w:jc w:val="both"/>
        <w:rPr>
          <w:bCs/>
          <w:sz w:val="22"/>
          <w:szCs w:val="22"/>
          <w:lang w:val="sr-Latn-ME"/>
        </w:rPr>
      </w:pPr>
    </w:p>
    <w:p w14:paraId="23ACCCDC" w14:textId="77777777" w:rsidR="00030415" w:rsidRPr="001D6D86" w:rsidRDefault="00030415" w:rsidP="0026307D">
      <w:pPr>
        <w:tabs>
          <w:tab w:val="left" w:pos="540"/>
          <w:tab w:val="left" w:pos="569"/>
        </w:tabs>
        <w:jc w:val="both"/>
        <w:rPr>
          <w:bCs/>
          <w:sz w:val="22"/>
          <w:szCs w:val="22"/>
          <w:lang w:val="sr-Latn-ME"/>
        </w:rPr>
      </w:pPr>
      <w:r w:rsidRPr="001D6D86">
        <w:rPr>
          <w:b/>
          <w:bCs/>
          <w:i/>
          <w:sz w:val="22"/>
          <w:szCs w:val="22"/>
          <w:lang w:val="sr-Latn-ME"/>
        </w:rPr>
        <w:t>Genetski polimorfizam</w:t>
      </w:r>
      <w:r w:rsidRPr="001D6D86">
        <w:rPr>
          <w:bCs/>
          <w:i/>
          <w:sz w:val="22"/>
          <w:szCs w:val="22"/>
          <w:lang w:val="sr-Latn-ME"/>
        </w:rPr>
        <w:t xml:space="preserve">: </w:t>
      </w:r>
      <w:r w:rsidRPr="001D6D86">
        <w:rPr>
          <w:bCs/>
          <w:sz w:val="22"/>
          <w:szCs w:val="22"/>
          <w:lang w:val="sr-Latn-ME"/>
        </w:rPr>
        <w:t>Raspoloživost inhibitora HMG-CoA reduktaze, uključujući i rosuvastatin, povezana je sa transportnim proteinima OATP1B1 i BCRP. Kod pacijenata sa genetskim polimorfizmom SLCO1B1(OATP1B1) i/ili ABCG2 (BCRP) postoji rizik od povećane izloženosti rosuvastatinu.</w:t>
      </w:r>
    </w:p>
    <w:p w14:paraId="373BD629" w14:textId="77777777" w:rsidR="00030415" w:rsidRPr="001D6D86" w:rsidRDefault="00030415" w:rsidP="0026307D">
      <w:pPr>
        <w:tabs>
          <w:tab w:val="left" w:pos="540"/>
          <w:tab w:val="left" w:pos="569"/>
        </w:tabs>
        <w:jc w:val="both"/>
        <w:rPr>
          <w:bCs/>
          <w:sz w:val="22"/>
          <w:szCs w:val="22"/>
          <w:lang w:val="sr-Latn-ME"/>
        </w:rPr>
      </w:pPr>
    </w:p>
    <w:p w14:paraId="0D93AC41" w14:textId="77777777"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Individualni polimorfizam SLCO1B1 c.521CC i ABCG2 c.421AA dovodi se u vezu sa povećanom izloženošću rosuvastatinu (PIK) u poređenju sa SLCO1B1 c.521TT i ABCG2 c.421CC genotipovima. Ova specifična genotipizacija nije dobijena u kliničkoj praksi, već se kod pacijenata za koje je poznato da imaju ove tipove polimorfizma preporučuje niža dnevna doza rosuvastatina.</w:t>
      </w:r>
    </w:p>
    <w:p w14:paraId="48EB8889" w14:textId="06026D59" w:rsidR="00030415" w:rsidRPr="001D6D86" w:rsidRDefault="00030415" w:rsidP="0026307D">
      <w:pPr>
        <w:tabs>
          <w:tab w:val="left" w:pos="540"/>
          <w:tab w:val="left" w:pos="569"/>
        </w:tabs>
        <w:jc w:val="both"/>
        <w:rPr>
          <w:bCs/>
          <w:sz w:val="22"/>
          <w:szCs w:val="22"/>
          <w:lang w:val="sr-Latn-ME"/>
        </w:rPr>
      </w:pPr>
      <w:r w:rsidRPr="001D6D86">
        <w:rPr>
          <w:b/>
          <w:bCs/>
          <w:i/>
          <w:sz w:val="22"/>
          <w:szCs w:val="22"/>
          <w:lang w:val="sr-Latn-ME"/>
        </w:rPr>
        <w:lastRenderedPageBreak/>
        <w:t>Pedijatrijska populacija</w:t>
      </w:r>
      <w:r w:rsidRPr="001D6D86">
        <w:rPr>
          <w:bCs/>
          <w:i/>
          <w:sz w:val="22"/>
          <w:szCs w:val="22"/>
          <w:lang w:val="sr-Latn-ME"/>
        </w:rPr>
        <w:t xml:space="preserve">: </w:t>
      </w:r>
      <w:r w:rsidRPr="001D6D86">
        <w:rPr>
          <w:bCs/>
          <w:sz w:val="22"/>
          <w:szCs w:val="22"/>
          <w:lang w:val="sr-Latn-ME"/>
        </w:rPr>
        <w:t>Dv</w:t>
      </w:r>
      <w:r w:rsidR="0043443E" w:rsidRPr="001D6D86">
        <w:rPr>
          <w:bCs/>
          <w:sz w:val="22"/>
          <w:szCs w:val="22"/>
          <w:lang w:val="sr-Latn-ME"/>
        </w:rPr>
        <w:t>ij</w:t>
      </w:r>
      <w:r w:rsidRPr="001D6D86">
        <w:rPr>
          <w:bCs/>
          <w:sz w:val="22"/>
          <w:szCs w:val="22"/>
          <w:lang w:val="sr-Latn-ME"/>
        </w:rPr>
        <w:t>e farmakokinetičke studije sa rosuvastatinom (datim u tabletama) kod pedijatrijskih pacijenata sa porodičnom heterozigotnom hiperholesterolemijom, uzrasta 10 do 17 godina odnosno 6 do</w:t>
      </w:r>
      <w:r w:rsidR="0043443E" w:rsidRPr="001D6D86">
        <w:rPr>
          <w:bCs/>
          <w:sz w:val="22"/>
          <w:szCs w:val="22"/>
          <w:lang w:val="sr-Latn-ME"/>
        </w:rPr>
        <w:t xml:space="preserve"> </w:t>
      </w:r>
      <w:r w:rsidRPr="001D6D86">
        <w:rPr>
          <w:bCs/>
          <w:sz w:val="22"/>
          <w:szCs w:val="22"/>
          <w:lang w:val="sr-Latn-ME"/>
        </w:rPr>
        <w:t>17 godina (ukupno 214 pacijenata) pokazale su da je izloženost l</w:t>
      </w:r>
      <w:r w:rsidR="0043443E" w:rsidRPr="001D6D86">
        <w:rPr>
          <w:bCs/>
          <w:sz w:val="22"/>
          <w:szCs w:val="22"/>
          <w:lang w:val="sr-Latn-ME"/>
        </w:rPr>
        <w:t>ij</w:t>
      </w:r>
      <w:r w:rsidRPr="001D6D86">
        <w:rPr>
          <w:bCs/>
          <w:sz w:val="22"/>
          <w:szCs w:val="22"/>
          <w:lang w:val="sr-Latn-ME"/>
        </w:rPr>
        <w:t>eku kod pedijatrijskih pacijenata uporediva ili manja u odnosu na odrasle pacijente.</w:t>
      </w:r>
      <w:r w:rsidR="0043443E" w:rsidRPr="001D6D86">
        <w:rPr>
          <w:bCs/>
          <w:sz w:val="22"/>
          <w:szCs w:val="22"/>
          <w:lang w:val="sr-Latn-ME"/>
        </w:rPr>
        <w:t xml:space="preserve"> </w:t>
      </w:r>
      <w:r w:rsidRPr="001D6D86">
        <w:rPr>
          <w:bCs/>
          <w:sz w:val="22"/>
          <w:szCs w:val="22"/>
          <w:lang w:val="sr-Latn-ME"/>
        </w:rPr>
        <w:t>Izloženost rosuvastatinu je bila predvidiva u odnosu na prim</w:t>
      </w:r>
      <w:r w:rsidR="0043443E" w:rsidRPr="001D6D86">
        <w:rPr>
          <w:bCs/>
          <w:sz w:val="22"/>
          <w:szCs w:val="22"/>
          <w:lang w:val="sr-Latn-ME"/>
        </w:rPr>
        <w:t>ij</w:t>
      </w:r>
      <w:r w:rsidRPr="001D6D86">
        <w:rPr>
          <w:bCs/>
          <w:sz w:val="22"/>
          <w:szCs w:val="22"/>
          <w:lang w:val="sr-Latn-ME"/>
        </w:rPr>
        <w:t>enjenu dozu i vr</w:t>
      </w:r>
      <w:r w:rsidR="0043443E" w:rsidRPr="001D6D86">
        <w:rPr>
          <w:bCs/>
          <w:sz w:val="22"/>
          <w:szCs w:val="22"/>
          <w:lang w:val="sr-Latn-ME"/>
        </w:rPr>
        <w:t>ij</w:t>
      </w:r>
      <w:r w:rsidRPr="001D6D86">
        <w:rPr>
          <w:bCs/>
          <w:sz w:val="22"/>
          <w:szCs w:val="22"/>
          <w:lang w:val="sr-Latn-ME"/>
        </w:rPr>
        <w:t>eme, u periodu od dv</w:t>
      </w:r>
      <w:r w:rsidR="0043443E" w:rsidRPr="001D6D86">
        <w:rPr>
          <w:bCs/>
          <w:sz w:val="22"/>
          <w:szCs w:val="22"/>
          <w:lang w:val="sr-Latn-ME"/>
        </w:rPr>
        <w:t>ij</w:t>
      </w:r>
      <w:r w:rsidRPr="001D6D86">
        <w:rPr>
          <w:bCs/>
          <w:sz w:val="22"/>
          <w:szCs w:val="22"/>
          <w:lang w:val="sr-Latn-ME"/>
        </w:rPr>
        <w:t>e godine.</w:t>
      </w:r>
    </w:p>
    <w:p w14:paraId="77AEC481" w14:textId="77777777" w:rsidR="00030415" w:rsidRPr="001D6D86" w:rsidRDefault="00030415" w:rsidP="0026307D">
      <w:pPr>
        <w:tabs>
          <w:tab w:val="left" w:pos="540"/>
          <w:tab w:val="left" w:pos="569"/>
        </w:tabs>
        <w:jc w:val="both"/>
        <w:rPr>
          <w:bCs/>
          <w:sz w:val="22"/>
          <w:szCs w:val="22"/>
          <w:lang w:val="sr-Latn-ME"/>
        </w:rPr>
      </w:pPr>
    </w:p>
    <w:p w14:paraId="2E2AA805" w14:textId="77777777" w:rsidR="0072020E" w:rsidRPr="001D6D86" w:rsidRDefault="0072020E" w:rsidP="0026307D">
      <w:pPr>
        <w:tabs>
          <w:tab w:val="left" w:pos="540"/>
          <w:tab w:val="left" w:pos="569"/>
        </w:tabs>
        <w:jc w:val="both"/>
        <w:rPr>
          <w:b/>
          <w:bCs/>
          <w:sz w:val="22"/>
          <w:szCs w:val="22"/>
          <w:lang w:val="sr-Latn-ME"/>
        </w:rPr>
      </w:pPr>
      <w:r w:rsidRPr="001D6D86">
        <w:rPr>
          <w:b/>
          <w:bCs/>
          <w:sz w:val="22"/>
          <w:szCs w:val="22"/>
          <w:lang w:val="sr-Latn-ME"/>
        </w:rPr>
        <w:t xml:space="preserve">5.3. </w:t>
      </w:r>
      <w:r w:rsidR="00480FB1" w:rsidRPr="001D6D86">
        <w:rPr>
          <w:b/>
          <w:bCs/>
          <w:sz w:val="22"/>
          <w:szCs w:val="22"/>
          <w:lang w:val="sr-Latn-ME"/>
        </w:rPr>
        <w:tab/>
      </w:r>
      <w:r w:rsidRPr="001D6D86">
        <w:rPr>
          <w:b/>
          <w:bCs/>
          <w:sz w:val="22"/>
          <w:szCs w:val="22"/>
          <w:lang w:val="sr-Latn-ME"/>
        </w:rPr>
        <w:t xml:space="preserve">Pretklinički podaci o bezbjednosti </w:t>
      </w:r>
    </w:p>
    <w:p w14:paraId="357C870F" w14:textId="77777777" w:rsidR="00836B35" w:rsidRPr="001D6D86" w:rsidRDefault="00836B35" w:rsidP="0026307D">
      <w:pPr>
        <w:tabs>
          <w:tab w:val="left" w:pos="540"/>
          <w:tab w:val="left" w:pos="569"/>
        </w:tabs>
        <w:jc w:val="both"/>
        <w:rPr>
          <w:bCs/>
          <w:sz w:val="22"/>
          <w:szCs w:val="22"/>
          <w:lang w:val="sr-Latn-ME"/>
        </w:rPr>
      </w:pPr>
    </w:p>
    <w:p w14:paraId="767D8324" w14:textId="6204662F" w:rsidR="00030415" w:rsidRPr="001D6D86" w:rsidRDefault="00030415" w:rsidP="0026307D">
      <w:pPr>
        <w:tabs>
          <w:tab w:val="left" w:pos="540"/>
          <w:tab w:val="left" w:pos="569"/>
        </w:tabs>
        <w:jc w:val="both"/>
        <w:rPr>
          <w:bCs/>
          <w:sz w:val="22"/>
          <w:szCs w:val="22"/>
          <w:lang w:val="sr-Latn-ME"/>
        </w:rPr>
      </w:pPr>
      <w:r w:rsidRPr="001D6D86">
        <w:rPr>
          <w:bCs/>
          <w:sz w:val="22"/>
          <w:szCs w:val="22"/>
          <w:lang w:val="sr-Latn-ME"/>
        </w:rPr>
        <w:t>Pretklinički podaci ne ukazuju na poseban rizik kod ljudi, na osnovu standardnih studija bezb</w:t>
      </w:r>
      <w:r w:rsidR="00891643" w:rsidRPr="001D6D86">
        <w:rPr>
          <w:bCs/>
          <w:sz w:val="22"/>
          <w:szCs w:val="22"/>
          <w:lang w:val="sr-Latn-ME"/>
        </w:rPr>
        <w:t>j</w:t>
      </w:r>
      <w:r w:rsidRPr="001D6D86">
        <w:rPr>
          <w:bCs/>
          <w:sz w:val="22"/>
          <w:szCs w:val="22"/>
          <w:lang w:val="sr-Latn-ME"/>
        </w:rPr>
        <w:t>ednosne farmakologije, genotoksičnosti i karcinogenog potencijala. N</w:t>
      </w:r>
      <w:r w:rsidR="00972566" w:rsidRPr="001D6D86">
        <w:rPr>
          <w:bCs/>
          <w:sz w:val="22"/>
          <w:szCs w:val="22"/>
          <w:lang w:val="sr-Latn-ME"/>
        </w:rPr>
        <w:t>je</w:t>
      </w:r>
      <w:r w:rsidRPr="001D6D86">
        <w:rPr>
          <w:bCs/>
          <w:sz w:val="22"/>
          <w:szCs w:val="22"/>
          <w:lang w:val="sr-Latn-ME"/>
        </w:rPr>
        <w:t>isu sprovedeni specifični testovi uticaja na hERG. Neželjene reakcije ni</w:t>
      </w:r>
      <w:r w:rsidR="00972566" w:rsidRPr="001D6D86">
        <w:rPr>
          <w:bCs/>
          <w:sz w:val="22"/>
          <w:szCs w:val="22"/>
          <w:lang w:val="sr-Latn-ME"/>
        </w:rPr>
        <w:t>je</w:t>
      </w:r>
      <w:r w:rsidRPr="001D6D86">
        <w:rPr>
          <w:bCs/>
          <w:sz w:val="22"/>
          <w:szCs w:val="22"/>
          <w:lang w:val="sr-Latn-ME"/>
        </w:rPr>
        <w:t>su uočene tokom kliničkih studija, ali su uočene kod životinja pri sličnoj izloženosti kao u kliničkim uslovima, na sl</w:t>
      </w:r>
      <w:r w:rsidR="00891643" w:rsidRPr="001D6D86">
        <w:rPr>
          <w:bCs/>
          <w:sz w:val="22"/>
          <w:szCs w:val="22"/>
          <w:lang w:val="sr-Latn-ME"/>
        </w:rPr>
        <w:t>j</w:t>
      </w:r>
      <w:r w:rsidRPr="001D6D86">
        <w:rPr>
          <w:bCs/>
          <w:sz w:val="22"/>
          <w:szCs w:val="22"/>
          <w:lang w:val="sr-Latn-ME"/>
        </w:rPr>
        <w:t>edeći način: u studijama toksičnosti nakon ponovljene doze, prim</w:t>
      </w:r>
      <w:r w:rsidR="00891643" w:rsidRPr="001D6D86">
        <w:rPr>
          <w:bCs/>
          <w:sz w:val="22"/>
          <w:szCs w:val="22"/>
          <w:lang w:val="sr-Latn-ME"/>
        </w:rPr>
        <w:t>ij</w:t>
      </w:r>
      <w:r w:rsidRPr="001D6D86">
        <w:rPr>
          <w:bCs/>
          <w:sz w:val="22"/>
          <w:szCs w:val="22"/>
          <w:lang w:val="sr-Latn-ME"/>
        </w:rPr>
        <w:t>ećene su histopatološke prom</w:t>
      </w:r>
      <w:r w:rsidR="00891643" w:rsidRPr="001D6D86">
        <w:rPr>
          <w:bCs/>
          <w:sz w:val="22"/>
          <w:szCs w:val="22"/>
          <w:lang w:val="sr-Latn-ME"/>
        </w:rPr>
        <w:t>j</w:t>
      </w:r>
      <w:r w:rsidRPr="001D6D86">
        <w:rPr>
          <w:bCs/>
          <w:sz w:val="22"/>
          <w:szCs w:val="22"/>
          <w:lang w:val="sr-Latn-ME"/>
        </w:rPr>
        <w:t>ene na jetri, v</w:t>
      </w:r>
      <w:r w:rsidR="00891643" w:rsidRPr="001D6D86">
        <w:rPr>
          <w:bCs/>
          <w:sz w:val="22"/>
          <w:szCs w:val="22"/>
          <w:lang w:val="sr-Latn-ME"/>
        </w:rPr>
        <w:t>j</w:t>
      </w:r>
      <w:r w:rsidRPr="001D6D86">
        <w:rPr>
          <w:bCs/>
          <w:sz w:val="22"/>
          <w:szCs w:val="22"/>
          <w:lang w:val="sr-Latn-ME"/>
        </w:rPr>
        <w:t>erovatno zbog farmakološkog dejstva rosuvastatina, kod miševa, pacova, a u manjoj m</w:t>
      </w:r>
      <w:r w:rsidR="00891643" w:rsidRPr="001D6D86">
        <w:rPr>
          <w:bCs/>
          <w:sz w:val="22"/>
          <w:szCs w:val="22"/>
          <w:lang w:val="sr-Latn-ME"/>
        </w:rPr>
        <w:t>j</w:t>
      </w:r>
      <w:r w:rsidRPr="001D6D86">
        <w:rPr>
          <w:bCs/>
          <w:sz w:val="22"/>
          <w:szCs w:val="22"/>
          <w:lang w:val="sr-Latn-ME"/>
        </w:rPr>
        <w:t>eri sa uticajem na žučnu kesu kod pasa, ali ne i kod majmuna. Pored toga, prim</w:t>
      </w:r>
      <w:r w:rsidR="00891643" w:rsidRPr="001D6D86">
        <w:rPr>
          <w:bCs/>
          <w:sz w:val="22"/>
          <w:szCs w:val="22"/>
          <w:lang w:val="sr-Latn-ME"/>
        </w:rPr>
        <w:t>ij</w:t>
      </w:r>
      <w:r w:rsidRPr="001D6D86">
        <w:rPr>
          <w:bCs/>
          <w:sz w:val="22"/>
          <w:szCs w:val="22"/>
          <w:lang w:val="sr-Latn-ME"/>
        </w:rPr>
        <w:t>ećena je testikularna toksičnost kod majmuna i pasa pri većim dozama. Reproduktivna toksičnost je uočena kod pacova praćena smanjenom veličinom i težinom okota i smanjenim preživljavanjem mladunaca pri dozama toksičnim za majku, i sistemskoj izloženosti nekoliko puta većoj od terapijske izloženosti.</w:t>
      </w:r>
    </w:p>
    <w:p w14:paraId="0556099E" w14:textId="77777777" w:rsidR="00396DFD" w:rsidRPr="001D6D86" w:rsidRDefault="00396DFD" w:rsidP="0026307D">
      <w:pPr>
        <w:tabs>
          <w:tab w:val="left" w:pos="540"/>
          <w:tab w:val="left" w:pos="569"/>
        </w:tabs>
        <w:jc w:val="both"/>
        <w:rPr>
          <w:b/>
          <w:bCs/>
          <w:sz w:val="22"/>
          <w:szCs w:val="22"/>
          <w:lang w:val="sr-Latn-ME"/>
        </w:rPr>
      </w:pPr>
    </w:p>
    <w:p w14:paraId="7EA29896" w14:textId="77777777" w:rsidR="001378D0" w:rsidRPr="001D6D86" w:rsidRDefault="001378D0" w:rsidP="00480FB1">
      <w:pPr>
        <w:tabs>
          <w:tab w:val="left" w:pos="540"/>
          <w:tab w:val="left" w:pos="569"/>
        </w:tabs>
        <w:rPr>
          <w:b/>
          <w:bCs/>
          <w:sz w:val="22"/>
          <w:szCs w:val="22"/>
          <w:lang w:val="sr-Latn-ME"/>
        </w:rPr>
      </w:pPr>
    </w:p>
    <w:p w14:paraId="50BBAA98"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6. </w:t>
      </w:r>
      <w:r w:rsidR="00480FB1" w:rsidRPr="001D6D86">
        <w:rPr>
          <w:b/>
          <w:bCs/>
          <w:sz w:val="22"/>
          <w:szCs w:val="22"/>
          <w:lang w:val="sr-Latn-ME"/>
        </w:rPr>
        <w:tab/>
      </w:r>
      <w:r w:rsidRPr="001D6D86">
        <w:rPr>
          <w:b/>
          <w:bCs/>
          <w:sz w:val="22"/>
          <w:szCs w:val="22"/>
          <w:lang w:val="sr-Latn-ME"/>
        </w:rPr>
        <w:t>FARMACEUTSKI PODACI</w:t>
      </w:r>
    </w:p>
    <w:p w14:paraId="4A8C6BE6" w14:textId="77777777" w:rsidR="00836B35" w:rsidRPr="001D6D86" w:rsidRDefault="00836B35" w:rsidP="00480FB1">
      <w:pPr>
        <w:tabs>
          <w:tab w:val="left" w:pos="540"/>
          <w:tab w:val="left" w:pos="569"/>
        </w:tabs>
        <w:rPr>
          <w:bCs/>
          <w:sz w:val="22"/>
          <w:szCs w:val="22"/>
          <w:lang w:val="sr-Latn-ME"/>
        </w:rPr>
      </w:pPr>
    </w:p>
    <w:p w14:paraId="081438DD"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6.1. </w:t>
      </w:r>
      <w:r w:rsidR="00480FB1" w:rsidRPr="001D6D86">
        <w:rPr>
          <w:b/>
          <w:bCs/>
          <w:sz w:val="22"/>
          <w:szCs w:val="22"/>
          <w:lang w:val="sr-Latn-ME"/>
        </w:rPr>
        <w:tab/>
      </w:r>
      <w:r w:rsidRPr="001D6D86">
        <w:rPr>
          <w:b/>
          <w:bCs/>
          <w:sz w:val="22"/>
          <w:szCs w:val="22"/>
          <w:lang w:val="sr-Latn-ME"/>
        </w:rPr>
        <w:t>Lista pomoćnih supstanci</w:t>
      </w:r>
      <w:r w:rsidR="002E0135" w:rsidRPr="001D6D86">
        <w:rPr>
          <w:b/>
          <w:bCs/>
          <w:sz w:val="22"/>
          <w:szCs w:val="22"/>
          <w:lang w:val="sr-Latn-ME"/>
        </w:rPr>
        <w:t xml:space="preserve"> (ekscipijenasa)</w:t>
      </w:r>
    </w:p>
    <w:p w14:paraId="0AD635C1" w14:textId="77777777" w:rsidR="0072020E" w:rsidRPr="001D6D86" w:rsidRDefault="0072020E" w:rsidP="00480FB1">
      <w:pPr>
        <w:tabs>
          <w:tab w:val="left" w:pos="540"/>
          <w:tab w:val="left" w:pos="569"/>
        </w:tabs>
        <w:rPr>
          <w:bCs/>
          <w:sz w:val="22"/>
          <w:szCs w:val="22"/>
          <w:lang w:val="sr-Latn-ME"/>
        </w:rPr>
      </w:pPr>
    </w:p>
    <w:p w14:paraId="5A353F96" w14:textId="77777777" w:rsidR="00030415" w:rsidRPr="001D6D86" w:rsidRDefault="00030415" w:rsidP="00030415">
      <w:pPr>
        <w:tabs>
          <w:tab w:val="left" w:pos="540"/>
          <w:tab w:val="left" w:pos="569"/>
        </w:tabs>
        <w:rPr>
          <w:bCs/>
          <w:i/>
          <w:iCs/>
          <w:sz w:val="22"/>
          <w:szCs w:val="22"/>
          <w:lang w:val="sr-Latn-ME"/>
        </w:rPr>
      </w:pPr>
      <w:r w:rsidRPr="001D6D86">
        <w:rPr>
          <w:bCs/>
          <w:i/>
          <w:iCs/>
          <w:sz w:val="22"/>
          <w:szCs w:val="22"/>
          <w:u w:val="single"/>
          <w:lang w:val="sr-Latn-ME"/>
        </w:rPr>
        <w:t>Jezgro tablete:</w:t>
      </w:r>
      <w:r w:rsidRPr="001D6D86">
        <w:rPr>
          <w:bCs/>
          <w:i/>
          <w:iCs/>
          <w:sz w:val="22"/>
          <w:szCs w:val="22"/>
          <w:lang w:val="sr-Latn-ME"/>
        </w:rPr>
        <w:t xml:space="preserve"> </w:t>
      </w:r>
    </w:p>
    <w:p w14:paraId="47D5396E" w14:textId="77777777" w:rsidR="00030415" w:rsidRPr="001D6D86" w:rsidRDefault="00030415" w:rsidP="00030415">
      <w:pPr>
        <w:tabs>
          <w:tab w:val="left" w:pos="540"/>
          <w:tab w:val="left" w:pos="569"/>
        </w:tabs>
        <w:rPr>
          <w:bCs/>
          <w:sz w:val="22"/>
          <w:szCs w:val="22"/>
          <w:lang w:val="sr-Latn-ME"/>
        </w:rPr>
      </w:pPr>
      <w:r w:rsidRPr="001D6D86">
        <w:rPr>
          <w:bCs/>
          <w:sz w:val="22"/>
          <w:szCs w:val="22"/>
          <w:lang w:val="sr-Latn-ME"/>
        </w:rPr>
        <w:t>Laktoza, bezvodna</w:t>
      </w:r>
    </w:p>
    <w:p w14:paraId="5A0905EE" w14:textId="7A4E0A66" w:rsidR="00030415" w:rsidRPr="001D6D86" w:rsidRDefault="00030415" w:rsidP="00030415">
      <w:pPr>
        <w:tabs>
          <w:tab w:val="left" w:pos="540"/>
          <w:tab w:val="left" w:pos="569"/>
        </w:tabs>
        <w:rPr>
          <w:bCs/>
          <w:sz w:val="22"/>
          <w:szCs w:val="22"/>
          <w:lang w:val="sr-Latn-ME"/>
        </w:rPr>
      </w:pPr>
      <w:r w:rsidRPr="001D6D86">
        <w:rPr>
          <w:bCs/>
          <w:sz w:val="22"/>
          <w:szCs w:val="22"/>
          <w:lang w:val="sr-Latn-ME"/>
        </w:rPr>
        <w:t>Silicijum</w:t>
      </w:r>
      <w:r w:rsidR="00661FC8" w:rsidRPr="001D6D86">
        <w:rPr>
          <w:bCs/>
          <w:sz w:val="22"/>
          <w:szCs w:val="22"/>
          <w:lang w:val="sr-Latn-ME"/>
        </w:rPr>
        <w:t xml:space="preserve"> </w:t>
      </w:r>
      <w:r w:rsidRPr="001D6D86">
        <w:rPr>
          <w:bCs/>
          <w:sz w:val="22"/>
          <w:szCs w:val="22"/>
          <w:lang w:val="sr-Latn-ME"/>
        </w:rPr>
        <w:t>dioksid, koloidni, bezvodni</w:t>
      </w:r>
    </w:p>
    <w:p w14:paraId="67307590" w14:textId="77777777" w:rsidR="009C04E0" w:rsidRPr="001D6D86" w:rsidRDefault="00030415" w:rsidP="00030415">
      <w:pPr>
        <w:tabs>
          <w:tab w:val="left" w:pos="540"/>
          <w:tab w:val="left" w:pos="569"/>
        </w:tabs>
        <w:rPr>
          <w:bCs/>
          <w:sz w:val="22"/>
          <w:szCs w:val="22"/>
          <w:lang w:val="sr-Latn-ME"/>
        </w:rPr>
      </w:pPr>
      <w:r w:rsidRPr="001D6D86">
        <w:rPr>
          <w:bCs/>
          <w:sz w:val="22"/>
          <w:szCs w:val="22"/>
          <w:lang w:val="sr-Latn-ME"/>
        </w:rPr>
        <w:t xml:space="preserve">Celuloza, mikrokristalna, silikonizovana (Prosolv SMCC90) </w:t>
      </w:r>
    </w:p>
    <w:p w14:paraId="2735548D" w14:textId="1F596482" w:rsidR="00030415" w:rsidRPr="001D6D86" w:rsidRDefault="00030415" w:rsidP="00030415">
      <w:pPr>
        <w:tabs>
          <w:tab w:val="left" w:pos="540"/>
          <w:tab w:val="left" w:pos="569"/>
        </w:tabs>
        <w:rPr>
          <w:bCs/>
          <w:sz w:val="22"/>
          <w:szCs w:val="22"/>
          <w:lang w:val="sr-Latn-ME"/>
        </w:rPr>
      </w:pPr>
      <w:r w:rsidRPr="001D6D86">
        <w:rPr>
          <w:bCs/>
          <w:sz w:val="22"/>
          <w:szCs w:val="22"/>
          <w:lang w:val="sr-Latn-ME"/>
        </w:rPr>
        <w:t>Skrob, kukuruzni, osušen</w:t>
      </w:r>
      <w:r w:rsidR="00EB21E3" w:rsidRPr="001D6D86">
        <w:rPr>
          <w:bCs/>
          <w:sz w:val="22"/>
          <w:szCs w:val="22"/>
          <w:lang w:val="sr-Latn-ME"/>
        </w:rPr>
        <w:t>i</w:t>
      </w:r>
    </w:p>
    <w:p w14:paraId="43F97DF0" w14:textId="77777777" w:rsidR="00030415" w:rsidRPr="001D6D86" w:rsidRDefault="00030415" w:rsidP="00030415">
      <w:pPr>
        <w:tabs>
          <w:tab w:val="left" w:pos="540"/>
          <w:tab w:val="left" w:pos="569"/>
        </w:tabs>
        <w:rPr>
          <w:bCs/>
          <w:sz w:val="22"/>
          <w:szCs w:val="22"/>
          <w:lang w:val="sr-Latn-ME"/>
        </w:rPr>
      </w:pPr>
      <w:r w:rsidRPr="001D6D86">
        <w:rPr>
          <w:bCs/>
          <w:sz w:val="22"/>
          <w:szCs w:val="22"/>
          <w:lang w:val="sr-Latn-ME"/>
        </w:rPr>
        <w:t>Talk</w:t>
      </w:r>
    </w:p>
    <w:p w14:paraId="55613C6C" w14:textId="1EF1D814" w:rsidR="00030415" w:rsidRPr="001D6D86" w:rsidRDefault="00030415" w:rsidP="00030415">
      <w:pPr>
        <w:tabs>
          <w:tab w:val="left" w:pos="540"/>
          <w:tab w:val="left" w:pos="569"/>
        </w:tabs>
        <w:rPr>
          <w:bCs/>
          <w:sz w:val="22"/>
          <w:szCs w:val="22"/>
          <w:lang w:val="sr-Latn-ME"/>
        </w:rPr>
      </w:pPr>
      <w:r w:rsidRPr="001D6D86">
        <w:rPr>
          <w:bCs/>
          <w:sz w:val="22"/>
          <w:szCs w:val="22"/>
          <w:lang w:val="sr-Latn-ME"/>
        </w:rPr>
        <w:t>Natrijum</w:t>
      </w:r>
      <w:r w:rsidR="00661FC8" w:rsidRPr="001D6D86">
        <w:rPr>
          <w:bCs/>
          <w:sz w:val="22"/>
          <w:szCs w:val="22"/>
          <w:lang w:val="sr-Latn-ME"/>
        </w:rPr>
        <w:t xml:space="preserve"> </w:t>
      </w:r>
      <w:r w:rsidRPr="001D6D86">
        <w:rPr>
          <w:bCs/>
          <w:sz w:val="22"/>
          <w:szCs w:val="22"/>
          <w:lang w:val="sr-Latn-ME"/>
        </w:rPr>
        <w:t>stearil</w:t>
      </w:r>
      <w:r w:rsidR="00661FC8" w:rsidRPr="001D6D86">
        <w:rPr>
          <w:bCs/>
          <w:sz w:val="22"/>
          <w:szCs w:val="22"/>
          <w:lang w:val="sr-Latn-ME"/>
        </w:rPr>
        <w:t xml:space="preserve"> </w:t>
      </w:r>
      <w:r w:rsidRPr="001D6D86">
        <w:rPr>
          <w:bCs/>
          <w:sz w:val="22"/>
          <w:szCs w:val="22"/>
          <w:lang w:val="sr-Latn-ME"/>
        </w:rPr>
        <w:t>fumarat</w:t>
      </w:r>
    </w:p>
    <w:p w14:paraId="0E57EC14" w14:textId="77777777" w:rsidR="00030415" w:rsidRPr="001D6D86" w:rsidRDefault="00030415" w:rsidP="00030415">
      <w:pPr>
        <w:tabs>
          <w:tab w:val="left" w:pos="540"/>
          <w:tab w:val="left" w:pos="569"/>
        </w:tabs>
        <w:rPr>
          <w:bCs/>
          <w:sz w:val="22"/>
          <w:szCs w:val="22"/>
          <w:lang w:val="sr-Latn-ME"/>
        </w:rPr>
      </w:pPr>
    </w:p>
    <w:p w14:paraId="2EECFC70" w14:textId="77777777" w:rsidR="009C04E0" w:rsidRPr="001D6D86" w:rsidRDefault="00030415" w:rsidP="00030415">
      <w:pPr>
        <w:tabs>
          <w:tab w:val="left" w:pos="540"/>
          <w:tab w:val="left" w:pos="569"/>
        </w:tabs>
        <w:rPr>
          <w:bCs/>
          <w:sz w:val="22"/>
          <w:szCs w:val="22"/>
          <w:lang w:val="sr-Latn-ME"/>
        </w:rPr>
      </w:pPr>
      <w:r w:rsidRPr="001D6D86">
        <w:rPr>
          <w:bCs/>
          <w:i/>
          <w:iCs/>
          <w:sz w:val="22"/>
          <w:szCs w:val="22"/>
          <w:u w:val="single"/>
          <w:lang w:val="sr-Latn-ME"/>
        </w:rPr>
        <w:t>Film (obloga) tablete:</w:t>
      </w:r>
      <w:r w:rsidRPr="001D6D86">
        <w:rPr>
          <w:bCs/>
          <w:sz w:val="22"/>
          <w:szCs w:val="22"/>
          <w:lang w:val="sr-Latn-ME"/>
        </w:rPr>
        <w:t xml:space="preserve"> </w:t>
      </w:r>
    </w:p>
    <w:p w14:paraId="2A236457" w14:textId="77777777" w:rsidR="009C04E0" w:rsidRPr="001D6D86" w:rsidRDefault="00030415" w:rsidP="00030415">
      <w:pPr>
        <w:tabs>
          <w:tab w:val="left" w:pos="540"/>
          <w:tab w:val="left" w:pos="569"/>
        </w:tabs>
        <w:rPr>
          <w:bCs/>
          <w:sz w:val="22"/>
          <w:szCs w:val="22"/>
          <w:lang w:val="sr-Latn-ME"/>
        </w:rPr>
      </w:pPr>
      <w:r w:rsidRPr="001D6D86">
        <w:rPr>
          <w:bCs/>
          <w:sz w:val="22"/>
          <w:szCs w:val="22"/>
          <w:lang w:val="sr-Latn-ME"/>
        </w:rPr>
        <w:t xml:space="preserve">Hipromeloza (2910) </w:t>
      </w:r>
    </w:p>
    <w:p w14:paraId="5E0883DF" w14:textId="549D1B0B" w:rsidR="00030415" w:rsidRPr="001D6D86" w:rsidRDefault="00030415" w:rsidP="00030415">
      <w:pPr>
        <w:tabs>
          <w:tab w:val="left" w:pos="540"/>
          <w:tab w:val="left" w:pos="569"/>
        </w:tabs>
        <w:rPr>
          <w:bCs/>
          <w:sz w:val="22"/>
          <w:szCs w:val="22"/>
          <w:lang w:val="sr-Latn-ME"/>
        </w:rPr>
      </w:pPr>
      <w:r w:rsidRPr="001D6D86">
        <w:rPr>
          <w:bCs/>
          <w:sz w:val="22"/>
          <w:szCs w:val="22"/>
          <w:lang w:val="sr-Latn-ME"/>
        </w:rPr>
        <w:t>Manitol</w:t>
      </w:r>
    </w:p>
    <w:p w14:paraId="07B7DC3B" w14:textId="77777777" w:rsidR="00030415" w:rsidRPr="001D6D86" w:rsidRDefault="00030415" w:rsidP="00030415">
      <w:pPr>
        <w:tabs>
          <w:tab w:val="left" w:pos="540"/>
          <w:tab w:val="left" w:pos="569"/>
        </w:tabs>
        <w:rPr>
          <w:bCs/>
          <w:sz w:val="22"/>
          <w:szCs w:val="22"/>
          <w:lang w:val="sr-Latn-ME"/>
        </w:rPr>
      </w:pPr>
      <w:r w:rsidRPr="001D6D86">
        <w:rPr>
          <w:bCs/>
          <w:sz w:val="22"/>
          <w:szCs w:val="22"/>
          <w:lang w:val="sr-Latn-ME"/>
        </w:rPr>
        <w:t>Makrogol 6000</w:t>
      </w:r>
    </w:p>
    <w:p w14:paraId="1D5C2785" w14:textId="3EFB35D5" w:rsidR="009C04E0" w:rsidRPr="001D6D86" w:rsidRDefault="00030415" w:rsidP="00030415">
      <w:pPr>
        <w:tabs>
          <w:tab w:val="left" w:pos="540"/>
          <w:tab w:val="left" w:pos="569"/>
        </w:tabs>
        <w:rPr>
          <w:bCs/>
          <w:sz w:val="22"/>
          <w:szCs w:val="22"/>
          <w:lang w:val="sr-Latn-ME"/>
        </w:rPr>
      </w:pPr>
      <w:r w:rsidRPr="001D6D86">
        <w:rPr>
          <w:bCs/>
          <w:sz w:val="22"/>
          <w:szCs w:val="22"/>
          <w:lang w:val="sr-Latn-ME"/>
        </w:rPr>
        <w:t>Titan</w:t>
      </w:r>
      <w:r w:rsidR="003F25DE" w:rsidRPr="001D6D86">
        <w:rPr>
          <w:bCs/>
          <w:sz w:val="22"/>
          <w:szCs w:val="22"/>
          <w:lang w:val="sr-Latn-ME"/>
        </w:rPr>
        <w:t xml:space="preserve"> </w:t>
      </w:r>
      <w:r w:rsidRPr="001D6D86">
        <w:rPr>
          <w:bCs/>
          <w:sz w:val="22"/>
          <w:szCs w:val="22"/>
          <w:lang w:val="sr-Latn-ME"/>
        </w:rPr>
        <w:t xml:space="preserve">dioksid (E171) </w:t>
      </w:r>
    </w:p>
    <w:p w14:paraId="33886B39" w14:textId="464CF98E" w:rsidR="00030415" w:rsidRPr="001D6D86" w:rsidRDefault="00030415" w:rsidP="00030415">
      <w:pPr>
        <w:tabs>
          <w:tab w:val="left" w:pos="540"/>
          <w:tab w:val="left" w:pos="569"/>
        </w:tabs>
        <w:rPr>
          <w:bCs/>
          <w:sz w:val="22"/>
          <w:szCs w:val="22"/>
          <w:lang w:val="sr-Latn-ME"/>
        </w:rPr>
      </w:pPr>
      <w:r w:rsidRPr="001D6D86">
        <w:rPr>
          <w:bCs/>
          <w:sz w:val="22"/>
          <w:szCs w:val="22"/>
          <w:lang w:val="sr-Latn-ME"/>
        </w:rPr>
        <w:t>Gvožđe</w:t>
      </w:r>
      <w:r w:rsidR="003F25DE" w:rsidRPr="001D6D86">
        <w:rPr>
          <w:bCs/>
          <w:sz w:val="22"/>
          <w:szCs w:val="22"/>
          <w:lang w:val="sr-Latn-ME"/>
        </w:rPr>
        <w:t xml:space="preserve"> </w:t>
      </w:r>
      <w:r w:rsidRPr="001D6D86">
        <w:rPr>
          <w:bCs/>
          <w:sz w:val="22"/>
          <w:szCs w:val="22"/>
          <w:lang w:val="sr-Latn-ME"/>
        </w:rPr>
        <w:t>(III)</w:t>
      </w:r>
      <w:r w:rsidR="003F25DE" w:rsidRPr="001D6D86">
        <w:rPr>
          <w:bCs/>
          <w:sz w:val="22"/>
          <w:szCs w:val="22"/>
          <w:lang w:val="sr-Latn-ME"/>
        </w:rPr>
        <w:t xml:space="preserve"> </w:t>
      </w:r>
      <w:r w:rsidRPr="001D6D86">
        <w:rPr>
          <w:bCs/>
          <w:sz w:val="22"/>
          <w:szCs w:val="22"/>
          <w:lang w:val="sr-Latn-ME"/>
        </w:rPr>
        <w:t>oksid, žuti (E172)</w:t>
      </w:r>
    </w:p>
    <w:p w14:paraId="7FF1384F" w14:textId="120E99E0" w:rsidR="009C04E0" w:rsidRPr="001D6D86" w:rsidRDefault="00030415" w:rsidP="00480FB1">
      <w:pPr>
        <w:tabs>
          <w:tab w:val="left" w:pos="540"/>
          <w:tab w:val="left" w:pos="569"/>
        </w:tabs>
        <w:rPr>
          <w:bCs/>
          <w:sz w:val="22"/>
          <w:szCs w:val="22"/>
          <w:lang w:val="sr-Latn-ME"/>
        </w:rPr>
      </w:pPr>
      <w:r w:rsidRPr="001D6D86">
        <w:rPr>
          <w:bCs/>
          <w:sz w:val="22"/>
          <w:szCs w:val="22"/>
          <w:lang w:val="sr-Latn-ME"/>
        </w:rPr>
        <w:t>Gvožđe</w:t>
      </w:r>
      <w:r w:rsidR="003F25DE" w:rsidRPr="001D6D86">
        <w:rPr>
          <w:bCs/>
          <w:sz w:val="22"/>
          <w:szCs w:val="22"/>
          <w:lang w:val="sr-Latn-ME"/>
        </w:rPr>
        <w:t xml:space="preserve"> </w:t>
      </w:r>
      <w:r w:rsidRPr="001D6D86">
        <w:rPr>
          <w:bCs/>
          <w:sz w:val="22"/>
          <w:szCs w:val="22"/>
          <w:lang w:val="sr-Latn-ME"/>
        </w:rPr>
        <w:t>(III)</w:t>
      </w:r>
      <w:r w:rsidR="003F25DE" w:rsidRPr="001D6D86">
        <w:rPr>
          <w:bCs/>
          <w:sz w:val="22"/>
          <w:szCs w:val="22"/>
          <w:lang w:val="sr-Latn-ME"/>
        </w:rPr>
        <w:t xml:space="preserve"> </w:t>
      </w:r>
      <w:r w:rsidRPr="001D6D86">
        <w:rPr>
          <w:bCs/>
          <w:sz w:val="22"/>
          <w:szCs w:val="22"/>
          <w:lang w:val="sr-Latn-ME"/>
        </w:rPr>
        <w:t xml:space="preserve">oksid, crveni (E172) </w:t>
      </w:r>
    </w:p>
    <w:p w14:paraId="315FDFD3" w14:textId="7364DFF9" w:rsidR="00030415" w:rsidRPr="001D6D86" w:rsidRDefault="00030415" w:rsidP="00480FB1">
      <w:pPr>
        <w:tabs>
          <w:tab w:val="left" w:pos="540"/>
          <w:tab w:val="left" w:pos="569"/>
        </w:tabs>
        <w:rPr>
          <w:bCs/>
          <w:sz w:val="22"/>
          <w:szCs w:val="22"/>
          <w:lang w:val="sr-Latn-ME"/>
        </w:rPr>
      </w:pPr>
      <w:r w:rsidRPr="001D6D86">
        <w:rPr>
          <w:bCs/>
          <w:sz w:val="22"/>
          <w:szCs w:val="22"/>
          <w:lang w:val="sr-Latn-ME"/>
        </w:rPr>
        <w:t>Talk</w:t>
      </w:r>
    </w:p>
    <w:p w14:paraId="7CD032AE" w14:textId="77777777" w:rsidR="00030415" w:rsidRPr="001D6D86" w:rsidRDefault="00030415" w:rsidP="00480FB1">
      <w:pPr>
        <w:tabs>
          <w:tab w:val="left" w:pos="540"/>
          <w:tab w:val="left" w:pos="569"/>
        </w:tabs>
        <w:rPr>
          <w:bCs/>
          <w:sz w:val="22"/>
          <w:szCs w:val="22"/>
          <w:lang w:val="sr-Latn-ME"/>
        </w:rPr>
      </w:pPr>
    </w:p>
    <w:p w14:paraId="56D8DAD2"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6.2. </w:t>
      </w:r>
      <w:r w:rsidR="00480FB1" w:rsidRPr="001D6D86">
        <w:rPr>
          <w:b/>
          <w:bCs/>
          <w:sz w:val="22"/>
          <w:szCs w:val="22"/>
          <w:lang w:val="sr-Latn-ME"/>
        </w:rPr>
        <w:tab/>
      </w:r>
      <w:r w:rsidRPr="001D6D86">
        <w:rPr>
          <w:b/>
          <w:bCs/>
          <w:sz w:val="22"/>
          <w:szCs w:val="22"/>
          <w:lang w:val="sr-Latn-ME"/>
        </w:rPr>
        <w:t>Inkompatibilnost</w:t>
      </w:r>
      <w:r w:rsidR="002846DB" w:rsidRPr="001D6D86">
        <w:rPr>
          <w:b/>
          <w:bCs/>
          <w:sz w:val="22"/>
          <w:szCs w:val="22"/>
          <w:lang w:val="sr-Latn-ME"/>
        </w:rPr>
        <w:t>i</w:t>
      </w:r>
    </w:p>
    <w:p w14:paraId="584F7C7C" w14:textId="77777777" w:rsidR="0072020E" w:rsidRPr="001D6D86" w:rsidRDefault="0072020E" w:rsidP="00480FB1">
      <w:pPr>
        <w:tabs>
          <w:tab w:val="left" w:pos="540"/>
          <w:tab w:val="left" w:pos="569"/>
        </w:tabs>
        <w:rPr>
          <w:bCs/>
          <w:sz w:val="22"/>
          <w:szCs w:val="22"/>
          <w:lang w:val="sr-Latn-ME"/>
        </w:rPr>
      </w:pPr>
    </w:p>
    <w:p w14:paraId="684C3F8B" w14:textId="20A29008" w:rsidR="009C04E0" w:rsidRPr="001D6D86" w:rsidRDefault="009C04E0" w:rsidP="00480FB1">
      <w:pPr>
        <w:tabs>
          <w:tab w:val="left" w:pos="540"/>
          <w:tab w:val="left" w:pos="569"/>
        </w:tabs>
        <w:rPr>
          <w:bCs/>
          <w:sz w:val="22"/>
          <w:szCs w:val="22"/>
          <w:lang w:val="sr-Latn-ME"/>
        </w:rPr>
      </w:pPr>
      <w:r w:rsidRPr="001D6D86">
        <w:rPr>
          <w:bCs/>
          <w:sz w:val="22"/>
          <w:szCs w:val="22"/>
          <w:lang w:val="sr-Latn-ME"/>
        </w:rPr>
        <w:t>Nije prim</w:t>
      </w:r>
      <w:r w:rsidR="00891643" w:rsidRPr="001D6D86">
        <w:rPr>
          <w:bCs/>
          <w:sz w:val="22"/>
          <w:szCs w:val="22"/>
          <w:lang w:val="sr-Latn-ME"/>
        </w:rPr>
        <w:t>j</w:t>
      </w:r>
      <w:r w:rsidRPr="001D6D86">
        <w:rPr>
          <w:bCs/>
          <w:sz w:val="22"/>
          <w:szCs w:val="22"/>
          <w:lang w:val="sr-Latn-ME"/>
        </w:rPr>
        <w:t>enljivo.</w:t>
      </w:r>
    </w:p>
    <w:p w14:paraId="25DADE4B" w14:textId="77777777" w:rsidR="009C04E0" w:rsidRPr="001D6D86" w:rsidRDefault="009C04E0" w:rsidP="00480FB1">
      <w:pPr>
        <w:tabs>
          <w:tab w:val="left" w:pos="540"/>
          <w:tab w:val="left" w:pos="569"/>
        </w:tabs>
        <w:rPr>
          <w:bCs/>
          <w:sz w:val="22"/>
          <w:szCs w:val="22"/>
          <w:lang w:val="sr-Latn-ME"/>
        </w:rPr>
      </w:pPr>
    </w:p>
    <w:p w14:paraId="7C6784D9"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6.3.</w:t>
      </w:r>
      <w:r w:rsidR="00C05DF8" w:rsidRPr="001D6D86">
        <w:rPr>
          <w:b/>
          <w:bCs/>
          <w:sz w:val="22"/>
          <w:szCs w:val="22"/>
          <w:lang w:val="sr-Latn-ME"/>
        </w:rPr>
        <w:t xml:space="preserve"> </w:t>
      </w:r>
      <w:r w:rsidR="00480FB1" w:rsidRPr="001D6D86">
        <w:rPr>
          <w:b/>
          <w:bCs/>
          <w:sz w:val="22"/>
          <w:szCs w:val="22"/>
          <w:lang w:val="sr-Latn-ME"/>
        </w:rPr>
        <w:tab/>
      </w:r>
      <w:r w:rsidRPr="001D6D86">
        <w:rPr>
          <w:b/>
          <w:bCs/>
          <w:sz w:val="22"/>
          <w:szCs w:val="22"/>
          <w:lang w:val="sr-Latn-ME"/>
        </w:rPr>
        <w:t>Rok upotrebe</w:t>
      </w:r>
    </w:p>
    <w:p w14:paraId="2A6076F0" w14:textId="77777777" w:rsidR="0072020E" w:rsidRPr="001D6D86" w:rsidRDefault="0072020E" w:rsidP="00480FB1">
      <w:pPr>
        <w:tabs>
          <w:tab w:val="left" w:pos="540"/>
          <w:tab w:val="left" w:pos="569"/>
        </w:tabs>
        <w:rPr>
          <w:bCs/>
          <w:sz w:val="22"/>
          <w:szCs w:val="22"/>
          <w:lang w:val="sr-Latn-ME"/>
        </w:rPr>
      </w:pPr>
    </w:p>
    <w:p w14:paraId="7146C79E" w14:textId="5083E624" w:rsidR="009C04E0" w:rsidRPr="001D6D86" w:rsidRDefault="009C04E0" w:rsidP="00480FB1">
      <w:pPr>
        <w:tabs>
          <w:tab w:val="left" w:pos="540"/>
          <w:tab w:val="left" w:pos="569"/>
        </w:tabs>
        <w:rPr>
          <w:bCs/>
          <w:sz w:val="22"/>
          <w:szCs w:val="22"/>
          <w:lang w:val="sr-Latn-ME"/>
        </w:rPr>
      </w:pPr>
      <w:r w:rsidRPr="001D6D86">
        <w:rPr>
          <w:bCs/>
          <w:sz w:val="22"/>
          <w:szCs w:val="22"/>
          <w:lang w:val="sr-Latn-ME"/>
        </w:rPr>
        <w:t>2 godine.</w:t>
      </w:r>
    </w:p>
    <w:p w14:paraId="0F916C83" w14:textId="77777777" w:rsidR="009C04E0" w:rsidRPr="001D6D86" w:rsidRDefault="009C04E0" w:rsidP="00480FB1">
      <w:pPr>
        <w:tabs>
          <w:tab w:val="left" w:pos="540"/>
          <w:tab w:val="left" w:pos="569"/>
        </w:tabs>
        <w:rPr>
          <w:bCs/>
          <w:sz w:val="22"/>
          <w:szCs w:val="22"/>
          <w:lang w:val="sr-Latn-ME"/>
        </w:rPr>
      </w:pPr>
    </w:p>
    <w:p w14:paraId="51BFA3A3"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6.4. </w:t>
      </w:r>
      <w:r w:rsidR="00480FB1" w:rsidRPr="001D6D86">
        <w:rPr>
          <w:b/>
          <w:bCs/>
          <w:sz w:val="22"/>
          <w:szCs w:val="22"/>
          <w:lang w:val="sr-Latn-ME"/>
        </w:rPr>
        <w:tab/>
      </w:r>
      <w:r w:rsidRPr="001D6D86">
        <w:rPr>
          <w:b/>
          <w:bCs/>
          <w:sz w:val="22"/>
          <w:szCs w:val="22"/>
          <w:lang w:val="sr-Latn-ME"/>
        </w:rPr>
        <w:t>Posebne mjere upozorenja pri čuvanju</w:t>
      </w:r>
      <w:r w:rsidR="00F8570A" w:rsidRPr="001D6D86">
        <w:rPr>
          <w:b/>
          <w:bCs/>
          <w:sz w:val="22"/>
          <w:szCs w:val="22"/>
          <w:lang w:val="sr-Latn-ME"/>
        </w:rPr>
        <w:t xml:space="preserve"> lijeka</w:t>
      </w:r>
    </w:p>
    <w:p w14:paraId="3FF584DF" w14:textId="77777777" w:rsidR="00EC2532" w:rsidRPr="001D6D86" w:rsidRDefault="00EC2532" w:rsidP="00480FB1">
      <w:pPr>
        <w:tabs>
          <w:tab w:val="left" w:pos="540"/>
          <w:tab w:val="left" w:pos="569"/>
        </w:tabs>
        <w:rPr>
          <w:bCs/>
          <w:sz w:val="22"/>
          <w:szCs w:val="22"/>
          <w:lang w:val="sr-Latn-ME"/>
        </w:rPr>
      </w:pPr>
    </w:p>
    <w:p w14:paraId="2EA08FE2" w14:textId="168C3941" w:rsidR="009C04E0" w:rsidRPr="001D6D86" w:rsidRDefault="009C04E0" w:rsidP="00480FB1">
      <w:pPr>
        <w:tabs>
          <w:tab w:val="left" w:pos="540"/>
          <w:tab w:val="left" w:pos="569"/>
        </w:tabs>
        <w:rPr>
          <w:bCs/>
          <w:sz w:val="22"/>
          <w:szCs w:val="22"/>
          <w:lang w:val="sr-Latn-ME"/>
        </w:rPr>
      </w:pPr>
      <w:r w:rsidRPr="001D6D86">
        <w:rPr>
          <w:bCs/>
          <w:sz w:val="22"/>
          <w:szCs w:val="22"/>
          <w:lang w:val="sr-Latn-ME"/>
        </w:rPr>
        <w:t>L</w:t>
      </w:r>
      <w:r w:rsidR="00891643" w:rsidRPr="001D6D86">
        <w:rPr>
          <w:bCs/>
          <w:sz w:val="22"/>
          <w:szCs w:val="22"/>
          <w:lang w:val="sr-Latn-ME"/>
        </w:rPr>
        <w:t>ij</w:t>
      </w:r>
      <w:r w:rsidRPr="001D6D86">
        <w:rPr>
          <w:bCs/>
          <w:sz w:val="22"/>
          <w:szCs w:val="22"/>
          <w:lang w:val="sr-Latn-ME"/>
        </w:rPr>
        <w:t>ek čuvati u originalnom pakovanju radi zaštite od vlage.</w:t>
      </w:r>
    </w:p>
    <w:p w14:paraId="3611E655" w14:textId="77777777" w:rsidR="003F25DE" w:rsidRPr="001D6D86" w:rsidRDefault="003F25DE" w:rsidP="00480FB1">
      <w:pPr>
        <w:tabs>
          <w:tab w:val="left" w:pos="540"/>
          <w:tab w:val="left" w:pos="569"/>
        </w:tabs>
        <w:rPr>
          <w:bCs/>
          <w:sz w:val="22"/>
          <w:szCs w:val="22"/>
          <w:lang w:val="sr-Latn-ME"/>
        </w:rPr>
      </w:pPr>
    </w:p>
    <w:p w14:paraId="48F744FD"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6.5. </w:t>
      </w:r>
      <w:r w:rsidR="00480FB1" w:rsidRPr="001D6D86">
        <w:rPr>
          <w:b/>
          <w:bCs/>
          <w:sz w:val="22"/>
          <w:szCs w:val="22"/>
          <w:lang w:val="sr-Latn-ME"/>
        </w:rPr>
        <w:tab/>
      </w:r>
      <w:r w:rsidR="002846DB" w:rsidRPr="001D6D86">
        <w:rPr>
          <w:b/>
          <w:bCs/>
          <w:sz w:val="22"/>
          <w:szCs w:val="22"/>
          <w:lang w:val="sr-Latn-ME"/>
        </w:rPr>
        <w:t xml:space="preserve">Vrsta i sadržaj </w:t>
      </w:r>
      <w:r w:rsidR="00F8570A" w:rsidRPr="001D6D86">
        <w:rPr>
          <w:b/>
          <w:bCs/>
          <w:sz w:val="22"/>
          <w:szCs w:val="22"/>
          <w:lang w:val="sr-Latn-ME"/>
        </w:rPr>
        <w:t>pakovanja</w:t>
      </w:r>
      <w:r w:rsidR="00C06864" w:rsidRPr="001D6D86">
        <w:rPr>
          <w:b/>
          <w:bCs/>
          <w:sz w:val="22"/>
          <w:szCs w:val="22"/>
          <w:lang w:val="sr-Latn-ME"/>
        </w:rPr>
        <w:t xml:space="preserve"> </w:t>
      </w:r>
    </w:p>
    <w:p w14:paraId="511E7FEA" w14:textId="38E61117" w:rsidR="0072020E" w:rsidRPr="001D6D86" w:rsidRDefault="0072020E" w:rsidP="00480FB1">
      <w:pPr>
        <w:tabs>
          <w:tab w:val="left" w:pos="540"/>
          <w:tab w:val="left" w:pos="569"/>
        </w:tabs>
        <w:rPr>
          <w:bCs/>
          <w:sz w:val="22"/>
          <w:szCs w:val="22"/>
          <w:lang w:val="sr-Latn-ME"/>
        </w:rPr>
      </w:pPr>
    </w:p>
    <w:p w14:paraId="6C0AD69E" w14:textId="3C57CA9B" w:rsidR="001378D0" w:rsidRPr="001D6D86" w:rsidRDefault="009C04E0" w:rsidP="009C04E0">
      <w:pPr>
        <w:tabs>
          <w:tab w:val="left" w:pos="540"/>
          <w:tab w:val="left" w:pos="569"/>
        </w:tabs>
        <w:rPr>
          <w:bCs/>
          <w:sz w:val="22"/>
          <w:szCs w:val="22"/>
          <w:lang w:val="sr-Latn-ME"/>
        </w:rPr>
      </w:pPr>
      <w:r w:rsidRPr="001D6D86">
        <w:rPr>
          <w:bCs/>
          <w:sz w:val="22"/>
          <w:szCs w:val="22"/>
          <w:lang w:val="sr-Latn-ME"/>
        </w:rPr>
        <w:t xml:space="preserve">Unutrašnje pakovanje je </w:t>
      </w:r>
      <w:r w:rsidR="00E00608" w:rsidRPr="001D6D86">
        <w:rPr>
          <w:bCs/>
          <w:sz w:val="22"/>
          <w:szCs w:val="22"/>
          <w:lang w:val="sr-Latn-ME"/>
        </w:rPr>
        <w:t xml:space="preserve">Al/Al (OPA-Al-PVC/Al) </w:t>
      </w:r>
      <w:r w:rsidRPr="001D6D86">
        <w:rPr>
          <w:bCs/>
          <w:sz w:val="22"/>
          <w:szCs w:val="22"/>
          <w:lang w:val="sr-Latn-ME"/>
        </w:rPr>
        <w:t xml:space="preserve">blister sa 7 film tableta. </w:t>
      </w:r>
    </w:p>
    <w:p w14:paraId="1ECFCD6C" w14:textId="26B1207B" w:rsidR="009C04E0" w:rsidRPr="001D6D86" w:rsidRDefault="009C04E0" w:rsidP="009C04E0">
      <w:pPr>
        <w:tabs>
          <w:tab w:val="left" w:pos="540"/>
          <w:tab w:val="left" w:pos="569"/>
        </w:tabs>
        <w:rPr>
          <w:bCs/>
          <w:sz w:val="22"/>
          <w:szCs w:val="22"/>
          <w:lang w:val="sr-Latn-ME"/>
        </w:rPr>
      </w:pPr>
      <w:r w:rsidRPr="001D6D86">
        <w:rPr>
          <w:bCs/>
          <w:sz w:val="22"/>
          <w:szCs w:val="22"/>
          <w:lang w:val="sr-Latn-ME"/>
        </w:rPr>
        <w:lastRenderedPageBreak/>
        <w:t>Spoljašnje pakovanje je složiva kartonska kutija u kojoj se nalaze 4 blistera sa po 7 film tableta</w:t>
      </w:r>
      <w:r w:rsidR="001378D0" w:rsidRPr="001D6D86">
        <w:rPr>
          <w:bCs/>
          <w:sz w:val="22"/>
          <w:szCs w:val="22"/>
          <w:lang w:val="sr-Latn-ME"/>
        </w:rPr>
        <w:t xml:space="preserve"> </w:t>
      </w:r>
      <w:r w:rsidRPr="001D6D86">
        <w:rPr>
          <w:bCs/>
          <w:sz w:val="22"/>
          <w:szCs w:val="22"/>
          <w:lang w:val="sr-Latn-ME"/>
        </w:rPr>
        <w:t>(ukupno 28</w:t>
      </w:r>
      <w:r w:rsidR="003F25DE" w:rsidRPr="001D6D86">
        <w:rPr>
          <w:bCs/>
          <w:sz w:val="22"/>
          <w:szCs w:val="22"/>
          <w:lang w:val="sr-Latn-ME"/>
        </w:rPr>
        <w:t xml:space="preserve"> film</w:t>
      </w:r>
      <w:r w:rsidRPr="001D6D86">
        <w:rPr>
          <w:bCs/>
          <w:sz w:val="22"/>
          <w:szCs w:val="22"/>
          <w:lang w:val="sr-Latn-ME"/>
        </w:rPr>
        <w:t xml:space="preserve"> tableta) i Uputstvo za l</w:t>
      </w:r>
      <w:r w:rsidR="00891643" w:rsidRPr="001D6D86">
        <w:rPr>
          <w:bCs/>
          <w:sz w:val="22"/>
          <w:szCs w:val="22"/>
          <w:lang w:val="sr-Latn-ME"/>
        </w:rPr>
        <w:t>ij</w:t>
      </w:r>
      <w:r w:rsidRPr="001D6D86">
        <w:rPr>
          <w:bCs/>
          <w:sz w:val="22"/>
          <w:szCs w:val="22"/>
          <w:lang w:val="sr-Latn-ME"/>
        </w:rPr>
        <w:t>ek.</w:t>
      </w:r>
    </w:p>
    <w:p w14:paraId="25085CE9" w14:textId="77777777" w:rsidR="009C04E0" w:rsidRPr="001D6D86" w:rsidRDefault="009C04E0" w:rsidP="009C04E0">
      <w:pPr>
        <w:tabs>
          <w:tab w:val="left" w:pos="540"/>
          <w:tab w:val="left" w:pos="569"/>
        </w:tabs>
        <w:rPr>
          <w:bCs/>
          <w:sz w:val="22"/>
          <w:szCs w:val="22"/>
          <w:lang w:val="sr-Latn-ME"/>
        </w:rPr>
      </w:pPr>
    </w:p>
    <w:p w14:paraId="1A1E2454" w14:textId="77777777" w:rsidR="002846DB"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6.6. </w:t>
      </w:r>
      <w:r w:rsidR="00480FB1" w:rsidRPr="001D6D86">
        <w:rPr>
          <w:b/>
          <w:bCs/>
          <w:sz w:val="22"/>
          <w:szCs w:val="22"/>
          <w:lang w:val="sr-Latn-ME"/>
        </w:rPr>
        <w:tab/>
      </w:r>
      <w:r w:rsidRPr="001D6D86">
        <w:rPr>
          <w:b/>
          <w:bCs/>
          <w:color w:val="000000"/>
          <w:sz w:val="22"/>
          <w:szCs w:val="22"/>
          <w:lang w:val="sr-Latn-ME"/>
        </w:rPr>
        <w:t>Posebne mjere opreza pri odlaganju materijala koji treba odbaciti nakon primjene lijeka</w:t>
      </w:r>
      <w:r w:rsidRPr="001D6D86">
        <w:rPr>
          <w:b/>
          <w:bCs/>
          <w:sz w:val="22"/>
          <w:szCs w:val="22"/>
          <w:lang w:val="sr-Latn-ME"/>
        </w:rPr>
        <w:t xml:space="preserve"> </w:t>
      </w:r>
      <w:r w:rsidR="00310F03" w:rsidRPr="001D6D86">
        <w:rPr>
          <w:b/>
          <w:bCs/>
          <w:sz w:val="22"/>
          <w:szCs w:val="22"/>
          <w:lang w:val="sr-Latn-ME"/>
        </w:rPr>
        <w:t>(i druga uputs</w:t>
      </w:r>
      <w:r w:rsidR="004109FA" w:rsidRPr="001D6D86">
        <w:rPr>
          <w:b/>
          <w:bCs/>
          <w:sz w:val="22"/>
          <w:szCs w:val="22"/>
          <w:lang w:val="sr-Latn-ME"/>
        </w:rPr>
        <w:t>t</w:t>
      </w:r>
      <w:r w:rsidR="00310F03" w:rsidRPr="001D6D86">
        <w:rPr>
          <w:b/>
          <w:bCs/>
          <w:sz w:val="22"/>
          <w:szCs w:val="22"/>
          <w:lang w:val="sr-Latn-ME"/>
        </w:rPr>
        <w:t xml:space="preserve">va za rukovanje lijekom) </w:t>
      </w:r>
    </w:p>
    <w:p w14:paraId="116468B6" w14:textId="77777777" w:rsidR="00B66A70" w:rsidRPr="001D6D86" w:rsidRDefault="00B66A70" w:rsidP="00480FB1">
      <w:pPr>
        <w:tabs>
          <w:tab w:val="left" w:pos="540"/>
          <w:tab w:val="left" w:pos="569"/>
        </w:tabs>
        <w:rPr>
          <w:b/>
          <w:bCs/>
          <w:sz w:val="22"/>
          <w:szCs w:val="22"/>
          <w:lang w:val="sr-Latn-ME"/>
        </w:rPr>
      </w:pPr>
    </w:p>
    <w:p w14:paraId="13261831" w14:textId="32E978D7" w:rsidR="009C04E0" w:rsidRPr="001D6D86" w:rsidRDefault="009C04E0" w:rsidP="00480FB1">
      <w:pPr>
        <w:tabs>
          <w:tab w:val="left" w:pos="540"/>
          <w:tab w:val="left" w:pos="569"/>
        </w:tabs>
        <w:rPr>
          <w:sz w:val="22"/>
          <w:szCs w:val="22"/>
          <w:lang w:val="sr-Latn-ME"/>
        </w:rPr>
      </w:pPr>
      <w:r w:rsidRPr="001D6D86">
        <w:rPr>
          <w:sz w:val="22"/>
          <w:szCs w:val="22"/>
          <w:lang w:val="sr-Latn-ME"/>
        </w:rPr>
        <w:t>Svu neiskorišćenu količinu l</w:t>
      </w:r>
      <w:r w:rsidR="00891643" w:rsidRPr="001D6D86">
        <w:rPr>
          <w:sz w:val="22"/>
          <w:szCs w:val="22"/>
          <w:lang w:val="sr-Latn-ME"/>
        </w:rPr>
        <w:t>ij</w:t>
      </w:r>
      <w:r w:rsidRPr="001D6D86">
        <w:rPr>
          <w:sz w:val="22"/>
          <w:szCs w:val="22"/>
          <w:lang w:val="sr-Latn-ME"/>
        </w:rPr>
        <w:t>eka ili otpadnog materijala nakon njegove upotrebe treba ukloniti, u skladu sa važećim propisima.</w:t>
      </w:r>
    </w:p>
    <w:p w14:paraId="5411B873" w14:textId="17197DBC" w:rsidR="0072020E" w:rsidRPr="001D6D86" w:rsidRDefault="0072020E" w:rsidP="00480FB1">
      <w:pPr>
        <w:tabs>
          <w:tab w:val="left" w:pos="540"/>
          <w:tab w:val="left" w:pos="569"/>
        </w:tabs>
        <w:rPr>
          <w:bCs/>
          <w:sz w:val="22"/>
          <w:szCs w:val="22"/>
          <w:lang w:val="sr-Latn-ME"/>
        </w:rPr>
      </w:pPr>
    </w:p>
    <w:p w14:paraId="47F960AD" w14:textId="77777777" w:rsidR="003F25DE" w:rsidRPr="001D6D86" w:rsidRDefault="003F25DE" w:rsidP="00480FB1">
      <w:pPr>
        <w:tabs>
          <w:tab w:val="left" w:pos="540"/>
          <w:tab w:val="left" w:pos="569"/>
        </w:tabs>
        <w:rPr>
          <w:bCs/>
          <w:sz w:val="22"/>
          <w:szCs w:val="22"/>
          <w:lang w:val="sr-Latn-ME"/>
        </w:rPr>
      </w:pPr>
    </w:p>
    <w:p w14:paraId="46DE05AB" w14:textId="77777777" w:rsidR="00F8570A"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7. </w:t>
      </w:r>
      <w:r w:rsidR="00480FB1" w:rsidRPr="001D6D86">
        <w:rPr>
          <w:b/>
          <w:bCs/>
          <w:sz w:val="22"/>
          <w:szCs w:val="22"/>
          <w:lang w:val="sr-Latn-ME"/>
        </w:rPr>
        <w:tab/>
      </w:r>
      <w:r w:rsidRPr="001D6D86">
        <w:rPr>
          <w:b/>
          <w:bCs/>
          <w:sz w:val="22"/>
          <w:szCs w:val="22"/>
          <w:lang w:val="sr-Latn-ME"/>
        </w:rPr>
        <w:t>NOSILAC DOZVOLE</w:t>
      </w:r>
      <w:r w:rsidR="00483928" w:rsidRPr="001D6D86">
        <w:rPr>
          <w:b/>
          <w:bCs/>
          <w:sz w:val="22"/>
          <w:szCs w:val="22"/>
          <w:lang w:val="sr-Latn-ME"/>
        </w:rPr>
        <w:t xml:space="preserve"> </w:t>
      </w:r>
    </w:p>
    <w:p w14:paraId="4F33D690" w14:textId="77777777" w:rsidR="00F93E8B" w:rsidRPr="001D6D86" w:rsidRDefault="00F93E8B" w:rsidP="00480FB1">
      <w:pPr>
        <w:tabs>
          <w:tab w:val="left" w:pos="540"/>
          <w:tab w:val="left" w:pos="569"/>
        </w:tabs>
        <w:rPr>
          <w:b/>
          <w:bCs/>
          <w:sz w:val="22"/>
          <w:szCs w:val="22"/>
          <w:lang w:val="sr-Latn-ME"/>
        </w:rPr>
      </w:pPr>
    </w:p>
    <w:p w14:paraId="5D36123E" w14:textId="77777777" w:rsidR="00F93E8B" w:rsidRPr="001D6D86" w:rsidRDefault="00F93E8B" w:rsidP="00F93E8B">
      <w:pPr>
        <w:tabs>
          <w:tab w:val="left" w:pos="540"/>
          <w:tab w:val="left" w:pos="569"/>
        </w:tabs>
        <w:rPr>
          <w:bCs/>
          <w:sz w:val="22"/>
          <w:szCs w:val="22"/>
          <w:lang w:val="sr-Latn-ME"/>
        </w:rPr>
      </w:pPr>
      <w:r w:rsidRPr="001D6D86">
        <w:rPr>
          <w:bCs/>
          <w:sz w:val="22"/>
          <w:szCs w:val="22"/>
          <w:lang w:val="sr-Latn-ME"/>
        </w:rPr>
        <w:t>Glosarij d.o.o.</w:t>
      </w:r>
    </w:p>
    <w:p w14:paraId="7E66AF7C" w14:textId="77777777" w:rsidR="00F93E8B" w:rsidRPr="001D6D86" w:rsidRDefault="00F93E8B" w:rsidP="00F93E8B">
      <w:pPr>
        <w:tabs>
          <w:tab w:val="left" w:pos="540"/>
          <w:tab w:val="left" w:pos="569"/>
        </w:tabs>
        <w:rPr>
          <w:bCs/>
          <w:sz w:val="22"/>
          <w:szCs w:val="22"/>
          <w:lang w:val="sr-Latn-ME"/>
        </w:rPr>
      </w:pPr>
      <w:r w:rsidRPr="001D6D86">
        <w:rPr>
          <w:bCs/>
          <w:sz w:val="22"/>
          <w:szCs w:val="22"/>
          <w:lang w:val="sr-Latn-ME"/>
        </w:rPr>
        <w:t>Vojislavljevića 76</w:t>
      </w:r>
    </w:p>
    <w:p w14:paraId="44671584" w14:textId="77777777" w:rsidR="00F93E8B" w:rsidRPr="001D6D86" w:rsidRDefault="00F93E8B" w:rsidP="00F93E8B">
      <w:pPr>
        <w:tabs>
          <w:tab w:val="left" w:pos="540"/>
          <w:tab w:val="left" w:pos="569"/>
        </w:tabs>
        <w:rPr>
          <w:bCs/>
          <w:sz w:val="22"/>
          <w:szCs w:val="22"/>
          <w:lang w:val="sr-Latn-ME"/>
        </w:rPr>
      </w:pPr>
      <w:r w:rsidRPr="001D6D86">
        <w:rPr>
          <w:bCs/>
          <w:sz w:val="22"/>
          <w:szCs w:val="22"/>
          <w:lang w:val="sr-Latn-ME"/>
        </w:rPr>
        <w:t>81 000 Podgorica</w:t>
      </w:r>
    </w:p>
    <w:p w14:paraId="4E8C4E8E" w14:textId="41B15154" w:rsidR="00C61BE0" w:rsidRPr="001D6D86" w:rsidRDefault="00F93E8B" w:rsidP="00F93E8B">
      <w:pPr>
        <w:tabs>
          <w:tab w:val="left" w:pos="540"/>
          <w:tab w:val="left" w:pos="569"/>
        </w:tabs>
        <w:rPr>
          <w:bCs/>
          <w:sz w:val="22"/>
          <w:szCs w:val="22"/>
          <w:lang w:val="sr-Latn-ME"/>
        </w:rPr>
      </w:pPr>
      <w:r w:rsidRPr="001D6D86">
        <w:rPr>
          <w:bCs/>
          <w:sz w:val="22"/>
          <w:szCs w:val="22"/>
          <w:lang w:val="sr-Latn-ME"/>
        </w:rPr>
        <w:t>Crna Gora</w:t>
      </w:r>
    </w:p>
    <w:p w14:paraId="77AE8AD4" w14:textId="114A6A4A" w:rsidR="00C37FD7" w:rsidRPr="001D6D86" w:rsidRDefault="00C37FD7" w:rsidP="00480FB1">
      <w:pPr>
        <w:tabs>
          <w:tab w:val="left" w:pos="540"/>
          <w:tab w:val="left" w:pos="569"/>
        </w:tabs>
        <w:rPr>
          <w:bCs/>
          <w:sz w:val="22"/>
          <w:szCs w:val="22"/>
          <w:lang w:val="sr-Latn-ME"/>
        </w:rPr>
      </w:pPr>
    </w:p>
    <w:p w14:paraId="6EDC5FFD" w14:textId="77777777" w:rsidR="003F25DE" w:rsidRPr="001D6D86" w:rsidRDefault="003F25DE" w:rsidP="00480FB1">
      <w:pPr>
        <w:tabs>
          <w:tab w:val="left" w:pos="540"/>
          <w:tab w:val="left" w:pos="569"/>
        </w:tabs>
        <w:rPr>
          <w:bCs/>
          <w:sz w:val="22"/>
          <w:szCs w:val="22"/>
          <w:lang w:val="sr-Latn-ME"/>
        </w:rPr>
      </w:pPr>
    </w:p>
    <w:p w14:paraId="7E10E0C5"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8. </w:t>
      </w:r>
      <w:r w:rsidR="00480FB1" w:rsidRPr="001D6D86">
        <w:rPr>
          <w:b/>
          <w:bCs/>
          <w:sz w:val="22"/>
          <w:szCs w:val="22"/>
          <w:lang w:val="sr-Latn-ME"/>
        </w:rPr>
        <w:tab/>
      </w:r>
      <w:r w:rsidRPr="001D6D86">
        <w:rPr>
          <w:b/>
          <w:bCs/>
          <w:sz w:val="22"/>
          <w:szCs w:val="22"/>
          <w:lang w:val="sr-Latn-ME"/>
        </w:rPr>
        <w:t>BROJ DOZVOLE</w:t>
      </w:r>
      <w:r w:rsidR="008A6D43" w:rsidRPr="001D6D86">
        <w:rPr>
          <w:b/>
          <w:bCs/>
          <w:sz w:val="22"/>
          <w:szCs w:val="22"/>
          <w:lang w:val="sr-Latn-ME"/>
        </w:rPr>
        <w:t xml:space="preserve"> ZA STAVLJANJE LIJEKA U PROMET</w:t>
      </w:r>
    </w:p>
    <w:p w14:paraId="688BEC36" w14:textId="77777777" w:rsidR="0072020E" w:rsidRPr="001D6D86" w:rsidRDefault="0072020E" w:rsidP="00480FB1">
      <w:pPr>
        <w:tabs>
          <w:tab w:val="left" w:pos="540"/>
          <w:tab w:val="left" w:pos="569"/>
        </w:tabs>
        <w:rPr>
          <w:bCs/>
          <w:sz w:val="22"/>
          <w:szCs w:val="22"/>
          <w:lang w:val="sr-Latn-ME"/>
        </w:rPr>
      </w:pPr>
    </w:p>
    <w:p w14:paraId="5AF1BD31" w14:textId="1E7C1B28" w:rsidR="00F45F77" w:rsidRPr="001D6D86" w:rsidRDefault="00E00608" w:rsidP="00480FB1">
      <w:pPr>
        <w:tabs>
          <w:tab w:val="left" w:pos="540"/>
          <w:tab w:val="left" w:pos="569"/>
        </w:tabs>
        <w:rPr>
          <w:bCs/>
          <w:sz w:val="22"/>
          <w:szCs w:val="22"/>
          <w:lang w:val="sr-Latn-ME"/>
        </w:rPr>
      </w:pPr>
      <w:r w:rsidRPr="001D6D86">
        <w:rPr>
          <w:bCs/>
          <w:sz w:val="22"/>
          <w:szCs w:val="22"/>
          <w:lang w:val="sr-Latn-ME"/>
        </w:rPr>
        <w:t>Coupet, film tableta, 10mg, blister, 28 film tableta: 2030/24/4978 - 7285</w:t>
      </w:r>
    </w:p>
    <w:p w14:paraId="1CCAE3EC" w14:textId="43D38EE6" w:rsidR="00E00608" w:rsidRPr="001D6D86" w:rsidRDefault="00E00608" w:rsidP="00480FB1">
      <w:pPr>
        <w:tabs>
          <w:tab w:val="left" w:pos="540"/>
          <w:tab w:val="left" w:pos="569"/>
        </w:tabs>
        <w:rPr>
          <w:bCs/>
          <w:sz w:val="22"/>
          <w:szCs w:val="22"/>
          <w:lang w:val="sr-Latn-ME"/>
        </w:rPr>
      </w:pPr>
      <w:r w:rsidRPr="001D6D86">
        <w:rPr>
          <w:bCs/>
          <w:sz w:val="22"/>
          <w:szCs w:val="22"/>
          <w:lang w:val="sr-Latn-ME"/>
        </w:rPr>
        <w:t>Coupet, film tableta, 20mg, blister, 28 film tableta: 2030/24/4979 - 7286</w:t>
      </w:r>
    </w:p>
    <w:p w14:paraId="7736E269" w14:textId="30D97456" w:rsidR="00E00608" w:rsidRPr="001D6D86" w:rsidRDefault="00E00608" w:rsidP="00480FB1">
      <w:pPr>
        <w:tabs>
          <w:tab w:val="left" w:pos="540"/>
          <w:tab w:val="left" w:pos="569"/>
        </w:tabs>
        <w:rPr>
          <w:bCs/>
          <w:sz w:val="22"/>
          <w:szCs w:val="22"/>
          <w:lang w:val="sr-Latn-ME"/>
        </w:rPr>
      </w:pPr>
    </w:p>
    <w:p w14:paraId="2150C5BC" w14:textId="77777777" w:rsidR="00E00608" w:rsidRPr="001D6D86" w:rsidRDefault="00E00608" w:rsidP="00480FB1">
      <w:pPr>
        <w:tabs>
          <w:tab w:val="left" w:pos="540"/>
          <w:tab w:val="left" w:pos="569"/>
        </w:tabs>
        <w:rPr>
          <w:bCs/>
          <w:sz w:val="22"/>
          <w:szCs w:val="22"/>
          <w:lang w:val="sr-Latn-ME"/>
        </w:rPr>
      </w:pPr>
    </w:p>
    <w:p w14:paraId="06F3D805" w14:textId="77777777" w:rsidR="0072020E" w:rsidRPr="001D6D86" w:rsidRDefault="0072020E" w:rsidP="00480FB1">
      <w:pPr>
        <w:tabs>
          <w:tab w:val="left" w:pos="540"/>
          <w:tab w:val="left" w:pos="569"/>
        </w:tabs>
        <w:rPr>
          <w:b/>
          <w:bCs/>
          <w:sz w:val="22"/>
          <w:szCs w:val="22"/>
          <w:lang w:val="sr-Latn-ME"/>
        </w:rPr>
      </w:pPr>
      <w:r w:rsidRPr="001D6D86">
        <w:rPr>
          <w:b/>
          <w:bCs/>
          <w:sz w:val="22"/>
          <w:szCs w:val="22"/>
          <w:lang w:val="sr-Latn-ME"/>
        </w:rPr>
        <w:t xml:space="preserve">9. </w:t>
      </w:r>
      <w:r w:rsidR="00480FB1" w:rsidRPr="001D6D86">
        <w:rPr>
          <w:b/>
          <w:bCs/>
          <w:sz w:val="22"/>
          <w:szCs w:val="22"/>
          <w:lang w:val="sr-Latn-ME"/>
        </w:rPr>
        <w:tab/>
      </w:r>
      <w:r w:rsidRPr="001D6D86">
        <w:rPr>
          <w:b/>
          <w:bCs/>
          <w:sz w:val="22"/>
          <w:szCs w:val="22"/>
          <w:lang w:val="sr-Latn-ME"/>
        </w:rPr>
        <w:t xml:space="preserve">DATUM </w:t>
      </w:r>
      <w:r w:rsidR="00C05DF8" w:rsidRPr="001D6D86">
        <w:rPr>
          <w:b/>
          <w:bCs/>
          <w:sz w:val="22"/>
          <w:szCs w:val="22"/>
          <w:lang w:val="sr-Latn-ME"/>
        </w:rPr>
        <w:t xml:space="preserve">PRVE </w:t>
      </w:r>
      <w:r w:rsidR="008A6D43" w:rsidRPr="001D6D86">
        <w:rPr>
          <w:b/>
          <w:bCs/>
          <w:sz w:val="22"/>
          <w:szCs w:val="22"/>
          <w:lang w:val="sr-Latn-ME"/>
        </w:rPr>
        <w:t>DOZVOLE</w:t>
      </w:r>
      <w:r w:rsidR="00C05DF8" w:rsidRPr="001D6D86">
        <w:rPr>
          <w:b/>
          <w:bCs/>
          <w:sz w:val="22"/>
          <w:szCs w:val="22"/>
          <w:lang w:val="sr-Latn-ME"/>
        </w:rPr>
        <w:t>/OBNOVE DOZVOLE</w:t>
      </w:r>
      <w:r w:rsidR="008A6D43" w:rsidRPr="001D6D86">
        <w:rPr>
          <w:b/>
          <w:bCs/>
          <w:sz w:val="22"/>
          <w:szCs w:val="22"/>
          <w:lang w:val="sr-Latn-ME"/>
        </w:rPr>
        <w:t xml:space="preserve"> ZA STAVLJANJE LIJEKA U PROMET</w:t>
      </w:r>
    </w:p>
    <w:p w14:paraId="53B2FBC7" w14:textId="2F15EB3F" w:rsidR="0072020E" w:rsidRPr="001D6D86" w:rsidRDefault="0072020E" w:rsidP="00480FB1">
      <w:pPr>
        <w:tabs>
          <w:tab w:val="left" w:pos="540"/>
          <w:tab w:val="left" w:pos="569"/>
        </w:tabs>
        <w:rPr>
          <w:bCs/>
          <w:sz w:val="22"/>
          <w:szCs w:val="22"/>
          <w:lang w:val="sr-Latn-ME"/>
        </w:rPr>
      </w:pPr>
    </w:p>
    <w:p w14:paraId="76EE921F" w14:textId="619034E4" w:rsidR="00E00608" w:rsidRPr="001D6D86" w:rsidRDefault="00E00608" w:rsidP="00480FB1">
      <w:pPr>
        <w:tabs>
          <w:tab w:val="left" w:pos="540"/>
          <w:tab w:val="left" w:pos="569"/>
        </w:tabs>
        <w:rPr>
          <w:bCs/>
          <w:sz w:val="22"/>
          <w:szCs w:val="22"/>
          <w:lang w:val="sr-Latn-ME"/>
        </w:rPr>
      </w:pPr>
      <w:r w:rsidRPr="001D6D86">
        <w:rPr>
          <w:bCs/>
          <w:sz w:val="22"/>
          <w:szCs w:val="22"/>
          <w:lang w:val="sr-Latn-ME"/>
        </w:rPr>
        <w:t>0</w:t>
      </w:r>
      <w:r w:rsidR="00514FAB">
        <w:rPr>
          <w:bCs/>
          <w:sz w:val="22"/>
          <w:szCs w:val="22"/>
          <w:lang w:val="sr-Latn-ME"/>
        </w:rPr>
        <w:t>2</w:t>
      </w:r>
      <w:bookmarkStart w:id="1" w:name="_GoBack"/>
      <w:bookmarkEnd w:id="1"/>
      <w:r w:rsidRPr="001D6D86">
        <w:rPr>
          <w:bCs/>
          <w:sz w:val="22"/>
          <w:szCs w:val="22"/>
          <w:lang w:val="sr-Latn-ME"/>
        </w:rPr>
        <w:t>.10.2024. godine</w:t>
      </w:r>
    </w:p>
    <w:p w14:paraId="34BF106F" w14:textId="380028F4" w:rsidR="00FF663A" w:rsidRPr="001D6D86" w:rsidRDefault="00FF663A" w:rsidP="00480FB1">
      <w:pPr>
        <w:tabs>
          <w:tab w:val="left" w:pos="540"/>
          <w:tab w:val="left" w:pos="569"/>
        </w:tabs>
        <w:rPr>
          <w:bCs/>
          <w:sz w:val="22"/>
          <w:szCs w:val="22"/>
          <w:lang w:val="sr-Latn-ME"/>
        </w:rPr>
      </w:pPr>
    </w:p>
    <w:p w14:paraId="792FF746" w14:textId="77777777" w:rsidR="00E00608" w:rsidRPr="001D6D86" w:rsidRDefault="00E00608" w:rsidP="00480FB1">
      <w:pPr>
        <w:tabs>
          <w:tab w:val="left" w:pos="540"/>
          <w:tab w:val="left" w:pos="569"/>
        </w:tabs>
        <w:rPr>
          <w:bCs/>
          <w:sz w:val="22"/>
          <w:szCs w:val="22"/>
          <w:lang w:val="sr-Latn-ME"/>
        </w:rPr>
      </w:pPr>
    </w:p>
    <w:p w14:paraId="570C8AA3" w14:textId="77777777" w:rsidR="00FF663A" w:rsidRPr="001D6D86" w:rsidRDefault="00FF663A" w:rsidP="00FF663A">
      <w:pPr>
        <w:tabs>
          <w:tab w:val="left" w:pos="540"/>
          <w:tab w:val="left" w:pos="569"/>
        </w:tabs>
        <w:ind w:left="540" w:hanging="540"/>
        <w:rPr>
          <w:bCs/>
          <w:sz w:val="22"/>
          <w:szCs w:val="22"/>
          <w:lang w:val="sr-Latn-ME"/>
        </w:rPr>
      </w:pPr>
      <w:r w:rsidRPr="001D6D86">
        <w:rPr>
          <w:b/>
          <w:bCs/>
          <w:sz w:val="22"/>
          <w:szCs w:val="22"/>
          <w:lang w:val="sr-Latn-ME"/>
        </w:rPr>
        <w:t xml:space="preserve">10. </w:t>
      </w:r>
      <w:r w:rsidRPr="001D6D86">
        <w:rPr>
          <w:b/>
          <w:bCs/>
          <w:sz w:val="22"/>
          <w:szCs w:val="22"/>
          <w:lang w:val="sr-Latn-ME"/>
        </w:rPr>
        <w:tab/>
        <w:t xml:space="preserve">DATUM REVIZIJE TEKSTA </w:t>
      </w:r>
    </w:p>
    <w:p w14:paraId="0594BF91" w14:textId="02E0C5E8" w:rsidR="003F6A59" w:rsidRPr="001D6D86" w:rsidRDefault="003F6A59" w:rsidP="00DE3F5C">
      <w:pPr>
        <w:rPr>
          <w:sz w:val="22"/>
          <w:szCs w:val="22"/>
          <w:lang w:val="sr-Latn-ME"/>
        </w:rPr>
      </w:pPr>
    </w:p>
    <w:p w14:paraId="041517F9" w14:textId="2CC43973" w:rsidR="00E00608" w:rsidRPr="001D6D86" w:rsidRDefault="00E00608" w:rsidP="00DE3F5C">
      <w:pPr>
        <w:rPr>
          <w:sz w:val="22"/>
          <w:szCs w:val="22"/>
          <w:lang w:val="sr-Latn-ME"/>
        </w:rPr>
      </w:pPr>
      <w:r w:rsidRPr="001D6D86">
        <w:rPr>
          <w:sz w:val="22"/>
          <w:szCs w:val="22"/>
          <w:lang w:val="sr-Latn-ME"/>
        </w:rPr>
        <w:t>Oktobar, 2024. godine</w:t>
      </w:r>
    </w:p>
    <w:sectPr w:rsidR="00E00608" w:rsidRPr="001D6D86"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C4B91" w14:textId="77777777" w:rsidR="00CB5230" w:rsidRDefault="00CB5230">
      <w:r>
        <w:separator/>
      </w:r>
    </w:p>
  </w:endnote>
  <w:endnote w:type="continuationSeparator" w:id="0">
    <w:p w14:paraId="1D3C74C5" w14:textId="77777777" w:rsidR="00CB5230" w:rsidRDefault="00CB5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C3BA" w14:textId="38154AD5" w:rsidR="003C0163" w:rsidRPr="00B23F69" w:rsidRDefault="003C016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14FAB">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14FAB">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730D0" w14:textId="77777777" w:rsidR="00CB5230" w:rsidRDefault="00CB5230">
      <w:r>
        <w:separator/>
      </w:r>
    </w:p>
  </w:footnote>
  <w:footnote w:type="continuationSeparator" w:id="0">
    <w:p w14:paraId="6331A407" w14:textId="77777777" w:rsidR="00CB5230" w:rsidRDefault="00CB5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9EB1D7A"/>
    <w:multiLevelType w:val="hybridMultilevel"/>
    <w:tmpl w:val="251E469E"/>
    <w:lvl w:ilvl="0" w:tplc="853238A0">
      <w:start w:val="1"/>
      <w:numFmt w:val="bullet"/>
      <w:lvlText w:val="-"/>
      <w:lvlJc w:val="left"/>
      <w:pPr>
        <w:ind w:left="832" w:hanging="360"/>
      </w:pPr>
      <w:rPr>
        <w:rFonts w:ascii="Times New Roman" w:eastAsia="Times New Roman" w:hAnsi="Times New Roman" w:hint="default"/>
        <w:w w:val="100"/>
        <w:sz w:val="22"/>
        <w:szCs w:val="22"/>
      </w:rPr>
    </w:lvl>
    <w:lvl w:ilvl="1" w:tplc="A88EE128">
      <w:start w:val="1"/>
      <w:numFmt w:val="bullet"/>
      <w:lvlText w:val="•"/>
      <w:lvlJc w:val="left"/>
      <w:pPr>
        <w:ind w:left="1742" w:hanging="360"/>
      </w:pPr>
      <w:rPr>
        <w:rFonts w:hint="default"/>
      </w:rPr>
    </w:lvl>
    <w:lvl w:ilvl="2" w:tplc="3F3C49D6">
      <w:start w:val="1"/>
      <w:numFmt w:val="bullet"/>
      <w:lvlText w:val="•"/>
      <w:lvlJc w:val="left"/>
      <w:pPr>
        <w:ind w:left="2645" w:hanging="360"/>
      </w:pPr>
      <w:rPr>
        <w:rFonts w:hint="default"/>
      </w:rPr>
    </w:lvl>
    <w:lvl w:ilvl="3" w:tplc="F5881B8A">
      <w:start w:val="1"/>
      <w:numFmt w:val="bullet"/>
      <w:lvlText w:val="•"/>
      <w:lvlJc w:val="left"/>
      <w:pPr>
        <w:ind w:left="3547" w:hanging="360"/>
      </w:pPr>
      <w:rPr>
        <w:rFonts w:hint="default"/>
      </w:rPr>
    </w:lvl>
    <w:lvl w:ilvl="4" w:tplc="F11C47F4">
      <w:start w:val="1"/>
      <w:numFmt w:val="bullet"/>
      <w:lvlText w:val="•"/>
      <w:lvlJc w:val="left"/>
      <w:pPr>
        <w:ind w:left="4450" w:hanging="360"/>
      </w:pPr>
      <w:rPr>
        <w:rFonts w:hint="default"/>
      </w:rPr>
    </w:lvl>
    <w:lvl w:ilvl="5" w:tplc="C14C39DC">
      <w:start w:val="1"/>
      <w:numFmt w:val="bullet"/>
      <w:lvlText w:val="•"/>
      <w:lvlJc w:val="left"/>
      <w:pPr>
        <w:ind w:left="5352" w:hanging="360"/>
      </w:pPr>
      <w:rPr>
        <w:rFonts w:hint="default"/>
      </w:rPr>
    </w:lvl>
    <w:lvl w:ilvl="6" w:tplc="31F86140">
      <w:start w:val="1"/>
      <w:numFmt w:val="bullet"/>
      <w:lvlText w:val="•"/>
      <w:lvlJc w:val="left"/>
      <w:pPr>
        <w:ind w:left="6255" w:hanging="360"/>
      </w:pPr>
      <w:rPr>
        <w:rFonts w:hint="default"/>
      </w:rPr>
    </w:lvl>
    <w:lvl w:ilvl="7" w:tplc="316AFCCC">
      <w:start w:val="1"/>
      <w:numFmt w:val="bullet"/>
      <w:lvlText w:val="•"/>
      <w:lvlJc w:val="left"/>
      <w:pPr>
        <w:ind w:left="7157" w:hanging="360"/>
      </w:pPr>
      <w:rPr>
        <w:rFonts w:hint="default"/>
      </w:rPr>
    </w:lvl>
    <w:lvl w:ilvl="8" w:tplc="A9B658EC">
      <w:start w:val="1"/>
      <w:numFmt w:val="bullet"/>
      <w:lvlText w:val="•"/>
      <w:lvlJc w:val="left"/>
      <w:pPr>
        <w:ind w:left="8060" w:hanging="360"/>
      </w:pPr>
      <w:rPr>
        <w:rFonts w:hint="default"/>
      </w:r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4662211"/>
    <w:multiLevelType w:val="hybridMultilevel"/>
    <w:tmpl w:val="31ACDB64"/>
    <w:lvl w:ilvl="0" w:tplc="08224806">
      <w:start w:val="1"/>
      <w:numFmt w:val="bullet"/>
      <w:lvlText w:val="-"/>
      <w:lvlJc w:val="left"/>
      <w:pPr>
        <w:ind w:left="832" w:hanging="360"/>
      </w:pPr>
      <w:rPr>
        <w:rFonts w:ascii="Times New Roman" w:eastAsia="Times New Roman" w:hAnsi="Times New Roman" w:hint="default"/>
        <w:w w:val="100"/>
        <w:sz w:val="22"/>
        <w:szCs w:val="22"/>
      </w:rPr>
    </w:lvl>
    <w:lvl w:ilvl="1" w:tplc="5DFAB116">
      <w:start w:val="1"/>
      <w:numFmt w:val="bullet"/>
      <w:lvlText w:val="•"/>
      <w:lvlJc w:val="left"/>
      <w:pPr>
        <w:ind w:left="1742" w:hanging="360"/>
      </w:pPr>
      <w:rPr>
        <w:rFonts w:hint="default"/>
      </w:rPr>
    </w:lvl>
    <w:lvl w:ilvl="2" w:tplc="4A7869FE">
      <w:start w:val="1"/>
      <w:numFmt w:val="bullet"/>
      <w:lvlText w:val="•"/>
      <w:lvlJc w:val="left"/>
      <w:pPr>
        <w:ind w:left="2645" w:hanging="360"/>
      </w:pPr>
      <w:rPr>
        <w:rFonts w:hint="default"/>
      </w:rPr>
    </w:lvl>
    <w:lvl w:ilvl="3" w:tplc="9B965A6C">
      <w:start w:val="1"/>
      <w:numFmt w:val="bullet"/>
      <w:lvlText w:val="•"/>
      <w:lvlJc w:val="left"/>
      <w:pPr>
        <w:ind w:left="3547" w:hanging="360"/>
      </w:pPr>
      <w:rPr>
        <w:rFonts w:hint="default"/>
      </w:rPr>
    </w:lvl>
    <w:lvl w:ilvl="4" w:tplc="69FEBE5E">
      <w:start w:val="1"/>
      <w:numFmt w:val="bullet"/>
      <w:lvlText w:val="•"/>
      <w:lvlJc w:val="left"/>
      <w:pPr>
        <w:ind w:left="4450" w:hanging="360"/>
      </w:pPr>
      <w:rPr>
        <w:rFonts w:hint="default"/>
      </w:rPr>
    </w:lvl>
    <w:lvl w:ilvl="5" w:tplc="A5E6EA0C">
      <w:start w:val="1"/>
      <w:numFmt w:val="bullet"/>
      <w:lvlText w:val="•"/>
      <w:lvlJc w:val="left"/>
      <w:pPr>
        <w:ind w:left="5352" w:hanging="360"/>
      </w:pPr>
      <w:rPr>
        <w:rFonts w:hint="default"/>
      </w:rPr>
    </w:lvl>
    <w:lvl w:ilvl="6" w:tplc="8F506A04">
      <w:start w:val="1"/>
      <w:numFmt w:val="bullet"/>
      <w:lvlText w:val="•"/>
      <w:lvlJc w:val="left"/>
      <w:pPr>
        <w:ind w:left="6255" w:hanging="360"/>
      </w:pPr>
      <w:rPr>
        <w:rFonts w:hint="default"/>
      </w:rPr>
    </w:lvl>
    <w:lvl w:ilvl="7" w:tplc="9282FF02">
      <w:start w:val="1"/>
      <w:numFmt w:val="bullet"/>
      <w:lvlText w:val="•"/>
      <w:lvlJc w:val="left"/>
      <w:pPr>
        <w:ind w:left="7157" w:hanging="360"/>
      </w:pPr>
      <w:rPr>
        <w:rFonts w:hint="default"/>
      </w:rPr>
    </w:lvl>
    <w:lvl w:ilvl="8" w:tplc="AF2A5F3A">
      <w:start w:val="1"/>
      <w:numFmt w:val="bullet"/>
      <w:lvlText w:val="•"/>
      <w:lvlJc w:val="left"/>
      <w:pPr>
        <w:ind w:left="8060" w:hanging="360"/>
      </w:pPr>
      <w:rPr>
        <w:rFonts w:hint="default"/>
      </w:rPr>
    </w:lvl>
  </w:abstractNum>
  <w:abstractNum w:abstractNumId="10"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CAB5216"/>
    <w:multiLevelType w:val="multilevel"/>
    <w:tmpl w:val="75F6D17A"/>
    <w:lvl w:ilvl="0">
      <w:start w:val="1"/>
      <w:numFmt w:val="decimal"/>
      <w:lvlText w:val="%1."/>
      <w:lvlJc w:val="left"/>
      <w:pPr>
        <w:ind w:left="112" w:hanging="222"/>
        <w:jc w:val="right"/>
      </w:pPr>
      <w:rPr>
        <w:rFonts w:ascii="Times New Roman" w:eastAsia="Times New Roman" w:hAnsi="Times New Roman" w:hint="default"/>
        <w:b/>
        <w:bCs/>
        <w:w w:val="100"/>
        <w:sz w:val="22"/>
        <w:szCs w:val="22"/>
      </w:rPr>
    </w:lvl>
    <w:lvl w:ilvl="1">
      <w:start w:val="1"/>
      <w:numFmt w:val="decimal"/>
      <w:lvlText w:val="%1.%2."/>
      <w:lvlJc w:val="left"/>
      <w:pPr>
        <w:ind w:left="112" w:hanging="389"/>
      </w:pPr>
      <w:rPr>
        <w:rFonts w:ascii="Times New Roman" w:eastAsia="Times New Roman" w:hAnsi="Times New Roman" w:hint="default"/>
        <w:b/>
        <w:bCs/>
        <w:w w:val="100"/>
        <w:sz w:val="22"/>
        <w:szCs w:val="22"/>
      </w:rPr>
    </w:lvl>
    <w:lvl w:ilvl="2">
      <w:start w:val="1"/>
      <w:numFmt w:val="bullet"/>
      <w:lvlText w:val="-"/>
      <w:lvlJc w:val="left"/>
      <w:pPr>
        <w:ind w:left="832" w:hanging="360"/>
      </w:pPr>
      <w:rPr>
        <w:rFonts w:ascii="Times New Roman" w:eastAsia="Times New Roman" w:hAnsi="Times New Roman" w:hint="default"/>
        <w:w w:val="100"/>
        <w:sz w:val="22"/>
        <w:szCs w:val="22"/>
      </w:rPr>
    </w:lvl>
    <w:lvl w:ilvl="3">
      <w:start w:val="1"/>
      <w:numFmt w:val="bullet"/>
      <w:lvlText w:val="•"/>
      <w:lvlJc w:val="left"/>
      <w:pPr>
        <w:ind w:left="1968" w:hanging="360"/>
      </w:pPr>
      <w:rPr>
        <w:rFonts w:hint="default"/>
      </w:rPr>
    </w:lvl>
    <w:lvl w:ilvl="4">
      <w:start w:val="1"/>
      <w:numFmt w:val="bullet"/>
      <w:lvlText w:val="•"/>
      <w:lvlJc w:val="left"/>
      <w:pPr>
        <w:ind w:left="3096"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352" w:hanging="360"/>
      </w:pPr>
      <w:rPr>
        <w:rFonts w:hint="default"/>
      </w:rPr>
    </w:lvl>
    <w:lvl w:ilvl="7">
      <w:start w:val="1"/>
      <w:numFmt w:val="bullet"/>
      <w:lvlText w:val="•"/>
      <w:lvlJc w:val="left"/>
      <w:pPr>
        <w:ind w:left="6480" w:hanging="360"/>
      </w:pPr>
      <w:rPr>
        <w:rFonts w:hint="default"/>
      </w:rPr>
    </w:lvl>
    <w:lvl w:ilvl="8">
      <w:start w:val="1"/>
      <w:numFmt w:val="bullet"/>
      <w:lvlText w:val="•"/>
      <w:lvlJc w:val="left"/>
      <w:pPr>
        <w:ind w:left="7609" w:hanging="360"/>
      </w:pPr>
      <w:rPr>
        <w:rFonts w:hint="default"/>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730113"/>
    <w:multiLevelType w:val="hybridMultilevel"/>
    <w:tmpl w:val="DA1AA612"/>
    <w:lvl w:ilvl="0" w:tplc="9960A590">
      <w:start w:val="1"/>
      <w:numFmt w:val="bullet"/>
      <w:lvlText w:val="-"/>
      <w:lvlJc w:val="left"/>
      <w:pPr>
        <w:ind w:left="943" w:hanging="360"/>
      </w:pPr>
      <w:rPr>
        <w:rFonts w:ascii="Times New Roman" w:eastAsia="Times New Roman" w:hAnsi="Times New Roman" w:hint="default"/>
        <w:w w:val="100"/>
        <w:sz w:val="22"/>
        <w:szCs w:val="22"/>
      </w:rPr>
    </w:lvl>
    <w:lvl w:ilvl="1" w:tplc="0B7E5A16">
      <w:start w:val="1"/>
      <w:numFmt w:val="bullet"/>
      <w:lvlText w:val="•"/>
      <w:lvlJc w:val="left"/>
      <w:pPr>
        <w:ind w:left="1832" w:hanging="360"/>
      </w:pPr>
      <w:rPr>
        <w:rFonts w:hint="default"/>
      </w:rPr>
    </w:lvl>
    <w:lvl w:ilvl="2" w:tplc="65DE95A6">
      <w:start w:val="1"/>
      <w:numFmt w:val="bullet"/>
      <w:lvlText w:val="•"/>
      <w:lvlJc w:val="left"/>
      <w:pPr>
        <w:ind w:left="2725" w:hanging="360"/>
      </w:pPr>
      <w:rPr>
        <w:rFonts w:hint="default"/>
      </w:rPr>
    </w:lvl>
    <w:lvl w:ilvl="3" w:tplc="6A6065C0">
      <w:start w:val="1"/>
      <w:numFmt w:val="bullet"/>
      <w:lvlText w:val="•"/>
      <w:lvlJc w:val="left"/>
      <w:pPr>
        <w:ind w:left="3617" w:hanging="360"/>
      </w:pPr>
      <w:rPr>
        <w:rFonts w:hint="default"/>
      </w:rPr>
    </w:lvl>
    <w:lvl w:ilvl="4" w:tplc="FC6C6050">
      <w:start w:val="1"/>
      <w:numFmt w:val="bullet"/>
      <w:lvlText w:val="•"/>
      <w:lvlJc w:val="left"/>
      <w:pPr>
        <w:ind w:left="4510" w:hanging="360"/>
      </w:pPr>
      <w:rPr>
        <w:rFonts w:hint="default"/>
      </w:rPr>
    </w:lvl>
    <w:lvl w:ilvl="5" w:tplc="67DCD7DA">
      <w:start w:val="1"/>
      <w:numFmt w:val="bullet"/>
      <w:lvlText w:val="•"/>
      <w:lvlJc w:val="left"/>
      <w:pPr>
        <w:ind w:left="5402" w:hanging="360"/>
      </w:pPr>
      <w:rPr>
        <w:rFonts w:hint="default"/>
      </w:rPr>
    </w:lvl>
    <w:lvl w:ilvl="6" w:tplc="7D8010E2">
      <w:start w:val="1"/>
      <w:numFmt w:val="bullet"/>
      <w:lvlText w:val="•"/>
      <w:lvlJc w:val="left"/>
      <w:pPr>
        <w:ind w:left="6295" w:hanging="360"/>
      </w:pPr>
      <w:rPr>
        <w:rFonts w:hint="default"/>
      </w:rPr>
    </w:lvl>
    <w:lvl w:ilvl="7" w:tplc="FE36E0E6">
      <w:start w:val="1"/>
      <w:numFmt w:val="bullet"/>
      <w:lvlText w:val="•"/>
      <w:lvlJc w:val="left"/>
      <w:pPr>
        <w:ind w:left="7187" w:hanging="360"/>
      </w:pPr>
      <w:rPr>
        <w:rFonts w:hint="default"/>
      </w:rPr>
    </w:lvl>
    <w:lvl w:ilvl="8" w:tplc="53B6EA84">
      <w:start w:val="1"/>
      <w:numFmt w:val="bullet"/>
      <w:lvlText w:val="•"/>
      <w:lvlJc w:val="left"/>
      <w:pPr>
        <w:ind w:left="8080" w:hanging="360"/>
      </w:pPr>
      <w:rPr>
        <w:rFonts w:hint="default"/>
      </w:rPr>
    </w:lvl>
  </w:abstractNum>
  <w:abstractNum w:abstractNumId="1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0"/>
  </w:num>
  <w:num w:numId="5">
    <w:abstractNumId w:val="4"/>
  </w:num>
  <w:num w:numId="6">
    <w:abstractNumId w:val="1"/>
  </w:num>
  <w:num w:numId="7">
    <w:abstractNumId w:val="8"/>
  </w:num>
  <w:num w:numId="8">
    <w:abstractNumId w:val="3"/>
  </w:num>
  <w:num w:numId="9">
    <w:abstractNumId w:val="6"/>
  </w:num>
  <w:num w:numId="10">
    <w:abstractNumId w:val="14"/>
  </w:num>
  <w:num w:numId="11">
    <w:abstractNumId w:val="5"/>
  </w:num>
  <w:num w:numId="12">
    <w:abstractNumId w:val="11"/>
  </w:num>
  <w:num w:numId="13">
    <w:abstractNumId w:val="9"/>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0415"/>
    <w:rsid w:val="00033469"/>
    <w:rsid w:val="00036FA0"/>
    <w:rsid w:val="0003793F"/>
    <w:rsid w:val="00045130"/>
    <w:rsid w:val="00057E35"/>
    <w:rsid w:val="00072E85"/>
    <w:rsid w:val="00075E28"/>
    <w:rsid w:val="00076726"/>
    <w:rsid w:val="00077FAF"/>
    <w:rsid w:val="00080303"/>
    <w:rsid w:val="00083D02"/>
    <w:rsid w:val="00091DB8"/>
    <w:rsid w:val="000A3F58"/>
    <w:rsid w:val="000D2343"/>
    <w:rsid w:val="000D3449"/>
    <w:rsid w:val="000D425A"/>
    <w:rsid w:val="000D60CC"/>
    <w:rsid w:val="000E2084"/>
    <w:rsid w:val="000E6F55"/>
    <w:rsid w:val="000F23BD"/>
    <w:rsid w:val="000F77FA"/>
    <w:rsid w:val="00107BF7"/>
    <w:rsid w:val="00126F53"/>
    <w:rsid w:val="001378D0"/>
    <w:rsid w:val="0014766D"/>
    <w:rsid w:val="001536CC"/>
    <w:rsid w:val="0015697D"/>
    <w:rsid w:val="001A3FBA"/>
    <w:rsid w:val="001A5518"/>
    <w:rsid w:val="001B1C6A"/>
    <w:rsid w:val="001C1263"/>
    <w:rsid w:val="001C1417"/>
    <w:rsid w:val="001D6D86"/>
    <w:rsid w:val="001E390B"/>
    <w:rsid w:val="001F42FB"/>
    <w:rsid w:val="001F719A"/>
    <w:rsid w:val="002031B3"/>
    <w:rsid w:val="00215931"/>
    <w:rsid w:val="00224C91"/>
    <w:rsid w:val="00227BDB"/>
    <w:rsid w:val="00234CB1"/>
    <w:rsid w:val="002352F8"/>
    <w:rsid w:val="002510A5"/>
    <w:rsid w:val="00253AB4"/>
    <w:rsid w:val="00253E5C"/>
    <w:rsid w:val="00254A0A"/>
    <w:rsid w:val="0026307D"/>
    <w:rsid w:val="00266046"/>
    <w:rsid w:val="002846DB"/>
    <w:rsid w:val="00284CCD"/>
    <w:rsid w:val="002A1A8D"/>
    <w:rsid w:val="002C6637"/>
    <w:rsid w:val="002E0135"/>
    <w:rsid w:val="002E37A5"/>
    <w:rsid w:val="002F5278"/>
    <w:rsid w:val="00310F03"/>
    <w:rsid w:val="00313059"/>
    <w:rsid w:val="003247D2"/>
    <w:rsid w:val="00333D6D"/>
    <w:rsid w:val="003445C1"/>
    <w:rsid w:val="00355B61"/>
    <w:rsid w:val="003561C9"/>
    <w:rsid w:val="00362686"/>
    <w:rsid w:val="00371510"/>
    <w:rsid w:val="0039356E"/>
    <w:rsid w:val="00396DFD"/>
    <w:rsid w:val="003A7059"/>
    <w:rsid w:val="003B17AA"/>
    <w:rsid w:val="003B7A36"/>
    <w:rsid w:val="003C0163"/>
    <w:rsid w:val="003C17AB"/>
    <w:rsid w:val="003C7823"/>
    <w:rsid w:val="003E1008"/>
    <w:rsid w:val="003E1DCC"/>
    <w:rsid w:val="003F11A1"/>
    <w:rsid w:val="003F25DE"/>
    <w:rsid w:val="003F6A59"/>
    <w:rsid w:val="004065C8"/>
    <w:rsid w:val="004109FA"/>
    <w:rsid w:val="00411B4B"/>
    <w:rsid w:val="00415BEE"/>
    <w:rsid w:val="004254E9"/>
    <w:rsid w:val="00427F85"/>
    <w:rsid w:val="0043443E"/>
    <w:rsid w:val="00436F42"/>
    <w:rsid w:val="004378B4"/>
    <w:rsid w:val="00451314"/>
    <w:rsid w:val="00452E9D"/>
    <w:rsid w:val="004534C7"/>
    <w:rsid w:val="004671AA"/>
    <w:rsid w:val="00471DF8"/>
    <w:rsid w:val="00480FB1"/>
    <w:rsid w:val="00483928"/>
    <w:rsid w:val="004C331F"/>
    <w:rsid w:val="004C7543"/>
    <w:rsid w:val="004D6103"/>
    <w:rsid w:val="004E3BCE"/>
    <w:rsid w:val="004E70AD"/>
    <w:rsid w:val="004F0E97"/>
    <w:rsid w:val="004F17E2"/>
    <w:rsid w:val="00501DD1"/>
    <w:rsid w:val="00514FAB"/>
    <w:rsid w:val="00515C21"/>
    <w:rsid w:val="00530BD7"/>
    <w:rsid w:val="00545CD2"/>
    <w:rsid w:val="005476F3"/>
    <w:rsid w:val="00572527"/>
    <w:rsid w:val="00573E40"/>
    <w:rsid w:val="00576348"/>
    <w:rsid w:val="005A0B2E"/>
    <w:rsid w:val="005A23D2"/>
    <w:rsid w:val="005A36CB"/>
    <w:rsid w:val="005B49B8"/>
    <w:rsid w:val="005C0741"/>
    <w:rsid w:val="005C4D9D"/>
    <w:rsid w:val="005C5EF4"/>
    <w:rsid w:val="005E2E0B"/>
    <w:rsid w:val="005E67AD"/>
    <w:rsid w:val="005E7A7D"/>
    <w:rsid w:val="00602457"/>
    <w:rsid w:val="00637E1E"/>
    <w:rsid w:val="00644FC3"/>
    <w:rsid w:val="00646BD1"/>
    <w:rsid w:val="006561C2"/>
    <w:rsid w:val="00661FC8"/>
    <w:rsid w:val="00671CB3"/>
    <w:rsid w:val="00674BAF"/>
    <w:rsid w:val="00682200"/>
    <w:rsid w:val="00692BF6"/>
    <w:rsid w:val="00693A6D"/>
    <w:rsid w:val="006A1351"/>
    <w:rsid w:val="006A1497"/>
    <w:rsid w:val="006B0BD1"/>
    <w:rsid w:val="006B230D"/>
    <w:rsid w:val="006B5404"/>
    <w:rsid w:val="006D20A5"/>
    <w:rsid w:val="006D37BF"/>
    <w:rsid w:val="006E63BF"/>
    <w:rsid w:val="00702E22"/>
    <w:rsid w:val="00711079"/>
    <w:rsid w:val="007110D4"/>
    <w:rsid w:val="0072020E"/>
    <w:rsid w:val="007216E1"/>
    <w:rsid w:val="00746467"/>
    <w:rsid w:val="00754902"/>
    <w:rsid w:val="00786071"/>
    <w:rsid w:val="007A3ECB"/>
    <w:rsid w:val="007C1056"/>
    <w:rsid w:val="007D7BB3"/>
    <w:rsid w:val="007E31E9"/>
    <w:rsid w:val="007F05E3"/>
    <w:rsid w:val="007F2C15"/>
    <w:rsid w:val="00824AB9"/>
    <w:rsid w:val="00836B35"/>
    <w:rsid w:val="00840ADE"/>
    <w:rsid w:val="00843BDE"/>
    <w:rsid w:val="0087588C"/>
    <w:rsid w:val="00876750"/>
    <w:rsid w:val="00891643"/>
    <w:rsid w:val="0089705C"/>
    <w:rsid w:val="008A1005"/>
    <w:rsid w:val="008A6D43"/>
    <w:rsid w:val="008B491E"/>
    <w:rsid w:val="008B7425"/>
    <w:rsid w:val="008C1A28"/>
    <w:rsid w:val="008C2E98"/>
    <w:rsid w:val="008E49BD"/>
    <w:rsid w:val="008E53E9"/>
    <w:rsid w:val="008E5771"/>
    <w:rsid w:val="008F4ACF"/>
    <w:rsid w:val="00924166"/>
    <w:rsid w:val="00940B9B"/>
    <w:rsid w:val="00953573"/>
    <w:rsid w:val="0095676E"/>
    <w:rsid w:val="00956983"/>
    <w:rsid w:val="00963CF0"/>
    <w:rsid w:val="00964BB1"/>
    <w:rsid w:val="00972566"/>
    <w:rsid w:val="009775D9"/>
    <w:rsid w:val="00997175"/>
    <w:rsid w:val="009A1847"/>
    <w:rsid w:val="009B062A"/>
    <w:rsid w:val="009C04E0"/>
    <w:rsid w:val="009E7C6F"/>
    <w:rsid w:val="009F1793"/>
    <w:rsid w:val="009F2D23"/>
    <w:rsid w:val="00A01D69"/>
    <w:rsid w:val="00A02335"/>
    <w:rsid w:val="00A46C9A"/>
    <w:rsid w:val="00A619F3"/>
    <w:rsid w:val="00A62A73"/>
    <w:rsid w:val="00A673BE"/>
    <w:rsid w:val="00A87FF6"/>
    <w:rsid w:val="00AA0A3B"/>
    <w:rsid w:val="00AA2763"/>
    <w:rsid w:val="00AA33B6"/>
    <w:rsid w:val="00AB50CA"/>
    <w:rsid w:val="00AB6D64"/>
    <w:rsid w:val="00AC53CE"/>
    <w:rsid w:val="00AD2193"/>
    <w:rsid w:val="00AD4C7A"/>
    <w:rsid w:val="00AF19F4"/>
    <w:rsid w:val="00AF2AC7"/>
    <w:rsid w:val="00AF74CE"/>
    <w:rsid w:val="00B13AD4"/>
    <w:rsid w:val="00B14B0E"/>
    <w:rsid w:val="00B208DB"/>
    <w:rsid w:val="00B23F69"/>
    <w:rsid w:val="00B60619"/>
    <w:rsid w:val="00B66A70"/>
    <w:rsid w:val="00B67366"/>
    <w:rsid w:val="00B73B86"/>
    <w:rsid w:val="00B80EE1"/>
    <w:rsid w:val="00B84135"/>
    <w:rsid w:val="00BB3151"/>
    <w:rsid w:val="00BD2708"/>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A1FEB"/>
    <w:rsid w:val="00CB5230"/>
    <w:rsid w:val="00CD4F85"/>
    <w:rsid w:val="00CD6F02"/>
    <w:rsid w:val="00CE246D"/>
    <w:rsid w:val="00CF07A0"/>
    <w:rsid w:val="00CF3E03"/>
    <w:rsid w:val="00D0082A"/>
    <w:rsid w:val="00D21455"/>
    <w:rsid w:val="00D41D02"/>
    <w:rsid w:val="00D47634"/>
    <w:rsid w:val="00D709B3"/>
    <w:rsid w:val="00D74CD2"/>
    <w:rsid w:val="00DA2ED6"/>
    <w:rsid w:val="00DB1D55"/>
    <w:rsid w:val="00DB76B8"/>
    <w:rsid w:val="00DC2EA1"/>
    <w:rsid w:val="00DD6AAF"/>
    <w:rsid w:val="00DE3F5C"/>
    <w:rsid w:val="00DF1D20"/>
    <w:rsid w:val="00E00608"/>
    <w:rsid w:val="00E21324"/>
    <w:rsid w:val="00E246B9"/>
    <w:rsid w:val="00E31FEA"/>
    <w:rsid w:val="00E428CA"/>
    <w:rsid w:val="00E45169"/>
    <w:rsid w:val="00E47787"/>
    <w:rsid w:val="00E51C30"/>
    <w:rsid w:val="00E64180"/>
    <w:rsid w:val="00E7235D"/>
    <w:rsid w:val="00E74AEE"/>
    <w:rsid w:val="00E868E5"/>
    <w:rsid w:val="00E9237A"/>
    <w:rsid w:val="00E939FA"/>
    <w:rsid w:val="00EA5765"/>
    <w:rsid w:val="00EB21E3"/>
    <w:rsid w:val="00EC2532"/>
    <w:rsid w:val="00ED7812"/>
    <w:rsid w:val="00EF3B86"/>
    <w:rsid w:val="00EF5431"/>
    <w:rsid w:val="00F317E9"/>
    <w:rsid w:val="00F34554"/>
    <w:rsid w:val="00F35B68"/>
    <w:rsid w:val="00F45F77"/>
    <w:rsid w:val="00F5167F"/>
    <w:rsid w:val="00F52258"/>
    <w:rsid w:val="00F8570A"/>
    <w:rsid w:val="00F91C7B"/>
    <w:rsid w:val="00F93E8B"/>
    <w:rsid w:val="00FE42A7"/>
    <w:rsid w:val="00FF3EDF"/>
    <w:rsid w:val="00FF5F82"/>
    <w:rsid w:val="00FF663A"/>
    <w:rsid w:val="00FF7437"/>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4E59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3041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030415"/>
    <w:rPr>
      <w:rFonts w:asciiTheme="majorHAnsi" w:eastAsiaTheme="majorEastAsia" w:hAnsiTheme="majorHAnsi" w:cstheme="majorBidi"/>
      <w:color w:val="2E74B5" w:themeColor="accent1" w:themeShade="BF"/>
      <w:sz w:val="32"/>
      <w:szCs w:val="32"/>
      <w:lang w:val="en-US" w:eastAsia="en-US"/>
    </w:rPr>
  </w:style>
  <w:style w:type="paragraph" w:customStyle="1" w:styleId="Default">
    <w:name w:val="Default"/>
    <w:rsid w:val="00711079"/>
    <w:pPr>
      <w:autoSpaceDE w:val="0"/>
      <w:autoSpaceDN w:val="0"/>
      <w:adjustRightInd w:val="0"/>
    </w:pPr>
    <w:rPr>
      <w:color w:val="000000"/>
      <w:sz w:val="24"/>
      <w:szCs w:val="24"/>
      <w:lang w:val="sr-Latn-CS"/>
    </w:rPr>
  </w:style>
  <w:style w:type="paragraph" w:styleId="Revision">
    <w:name w:val="Revision"/>
    <w:hidden/>
    <w:uiPriority w:val="99"/>
    <w:semiHidden/>
    <w:rsid w:val="006E63B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ED2A4-DFB1-48DF-8451-497A65A1E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9255</Words>
  <Characters>52755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61887</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5</cp:revision>
  <cp:lastPrinted>2023-02-09T08:16:00Z</cp:lastPrinted>
  <dcterms:created xsi:type="dcterms:W3CDTF">2024-10-01T10:12:00Z</dcterms:created>
  <dcterms:modified xsi:type="dcterms:W3CDTF">2024-10-02T10:46:00Z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