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611C50" w:rsidRDefault="001A5518" w:rsidP="00AD0CC1">
      <w:pPr>
        <w:jc w:val="both"/>
        <w:rPr>
          <w:b/>
          <w:bCs/>
          <w:i/>
          <w:iCs/>
          <w:sz w:val="22"/>
          <w:szCs w:val="22"/>
          <w:u w:val="single"/>
          <w:lang w:val="sr-Latn-ME"/>
        </w:rPr>
      </w:pPr>
    </w:p>
    <w:p w:rsidR="00F91C7B" w:rsidRPr="00611C50" w:rsidRDefault="00F91C7B" w:rsidP="008E09B6">
      <w:pPr>
        <w:jc w:val="center"/>
        <w:rPr>
          <w:b/>
          <w:bCs/>
          <w:i/>
          <w:iCs/>
          <w:sz w:val="22"/>
          <w:szCs w:val="22"/>
          <w:u w:val="single"/>
          <w:lang w:val="sr-Latn-ME"/>
        </w:rPr>
      </w:pPr>
    </w:p>
    <w:p w:rsidR="002510A5" w:rsidRPr="00611C50" w:rsidRDefault="002510A5" w:rsidP="008E09B6">
      <w:pPr>
        <w:jc w:val="center"/>
        <w:rPr>
          <w:b/>
          <w:bCs/>
          <w:iCs/>
          <w:sz w:val="22"/>
          <w:szCs w:val="22"/>
          <w:u w:val="single"/>
          <w:lang w:val="sr-Latn-ME"/>
        </w:rPr>
      </w:pPr>
      <w:r w:rsidRPr="00611C50">
        <w:rPr>
          <w:b/>
          <w:bCs/>
          <w:iCs/>
          <w:sz w:val="22"/>
          <w:szCs w:val="22"/>
          <w:u w:val="single"/>
          <w:lang w:val="sr-Latn-ME"/>
        </w:rPr>
        <w:t>SAŽETAK KARAKTERISTIKA LIJEKA</w:t>
      </w:r>
    </w:p>
    <w:p w:rsidR="002510A5" w:rsidRPr="00611C50" w:rsidRDefault="002510A5" w:rsidP="00AD0CC1">
      <w:pPr>
        <w:jc w:val="both"/>
        <w:rPr>
          <w:b/>
          <w:bCs/>
          <w:i/>
          <w:iCs/>
          <w:sz w:val="22"/>
          <w:szCs w:val="22"/>
          <w:u w:val="single"/>
          <w:lang w:val="sr-Latn-ME"/>
        </w:rPr>
      </w:pPr>
    </w:p>
    <w:p w:rsidR="003C17AB" w:rsidRPr="00611C50" w:rsidRDefault="003C17AB" w:rsidP="00AD0CC1">
      <w:pPr>
        <w:jc w:val="both"/>
        <w:rPr>
          <w:sz w:val="22"/>
          <w:szCs w:val="22"/>
          <w:lang w:val="sr-Latn-ME"/>
        </w:rPr>
      </w:pPr>
    </w:p>
    <w:p w:rsidR="003C17AB" w:rsidRPr="00611C50" w:rsidRDefault="003C17AB" w:rsidP="00AD0CC1">
      <w:pPr>
        <w:tabs>
          <w:tab w:val="left" w:pos="540"/>
          <w:tab w:val="left" w:pos="569"/>
        </w:tabs>
        <w:jc w:val="both"/>
        <w:rPr>
          <w:sz w:val="22"/>
          <w:szCs w:val="22"/>
          <w:lang w:val="sr-Latn-ME"/>
        </w:rPr>
      </w:pPr>
    </w:p>
    <w:p w:rsidR="00C37FD7" w:rsidRPr="00611C50" w:rsidRDefault="00C37FD7" w:rsidP="00AD0CC1">
      <w:pPr>
        <w:tabs>
          <w:tab w:val="left" w:pos="540"/>
          <w:tab w:val="left" w:pos="569"/>
        </w:tabs>
        <w:jc w:val="both"/>
        <w:rPr>
          <w:bCs/>
          <w:sz w:val="22"/>
          <w:szCs w:val="22"/>
          <w:lang w:val="sr-Latn-ME"/>
        </w:rPr>
      </w:pPr>
    </w:p>
    <w:p w:rsidR="00411B4B" w:rsidRPr="00611C50" w:rsidRDefault="00411B4B" w:rsidP="00AD0CC1">
      <w:pPr>
        <w:tabs>
          <w:tab w:val="left" w:pos="540"/>
          <w:tab w:val="left" w:pos="569"/>
        </w:tabs>
        <w:jc w:val="both"/>
        <w:rPr>
          <w:b/>
          <w:bCs/>
          <w:sz w:val="22"/>
          <w:szCs w:val="22"/>
          <w:lang w:val="sr-Latn-ME"/>
        </w:rPr>
      </w:pPr>
      <w:r w:rsidRPr="00611C50">
        <w:rPr>
          <w:b/>
          <w:bCs/>
          <w:sz w:val="22"/>
          <w:szCs w:val="22"/>
          <w:lang w:val="sr-Latn-ME"/>
        </w:rPr>
        <w:t>1.</w:t>
      </w:r>
      <w:r w:rsidR="00F5167F" w:rsidRPr="00611C50">
        <w:rPr>
          <w:b/>
          <w:bCs/>
          <w:sz w:val="22"/>
          <w:szCs w:val="22"/>
          <w:lang w:val="sr-Latn-ME"/>
        </w:rPr>
        <w:tab/>
      </w:r>
      <w:r w:rsidR="002846DB" w:rsidRPr="00611C50">
        <w:rPr>
          <w:b/>
          <w:bCs/>
          <w:sz w:val="22"/>
          <w:szCs w:val="22"/>
          <w:lang w:val="sr-Latn-ME"/>
        </w:rPr>
        <w:t xml:space="preserve">NAZIV </w:t>
      </w:r>
      <w:r w:rsidRPr="00611C50">
        <w:rPr>
          <w:b/>
          <w:bCs/>
          <w:sz w:val="22"/>
          <w:szCs w:val="22"/>
          <w:lang w:val="sr-Latn-ME"/>
        </w:rPr>
        <w:t>LIJEKA</w:t>
      </w:r>
    </w:p>
    <w:p w:rsidR="00EC2532" w:rsidRPr="00611C50" w:rsidRDefault="00EC2532" w:rsidP="00AD0CC1">
      <w:pPr>
        <w:jc w:val="both"/>
        <w:rPr>
          <w:sz w:val="22"/>
          <w:szCs w:val="22"/>
          <w:lang w:val="sr-Latn-ME"/>
        </w:rPr>
      </w:pPr>
    </w:p>
    <w:p w:rsidR="000D425A" w:rsidRPr="00611C50" w:rsidRDefault="00F82442" w:rsidP="00AD0CC1">
      <w:pPr>
        <w:jc w:val="both"/>
        <w:rPr>
          <w:sz w:val="22"/>
          <w:szCs w:val="22"/>
          <w:lang w:val="sr-Latn-ME"/>
        </w:rPr>
      </w:pPr>
      <w:r w:rsidRPr="00611C50">
        <w:rPr>
          <w:sz w:val="22"/>
          <w:szCs w:val="22"/>
          <w:lang w:val="sr-Latn-ME"/>
        </w:rPr>
        <w:t>Zelboraf, 240 mg, film tablet</w:t>
      </w:r>
      <w:r w:rsidR="009D4A73">
        <w:rPr>
          <w:sz w:val="22"/>
          <w:szCs w:val="22"/>
          <w:lang w:val="sr-Latn-ME"/>
        </w:rPr>
        <w:t>a</w:t>
      </w:r>
    </w:p>
    <w:p w:rsidR="00163FBA" w:rsidRPr="00611C50" w:rsidRDefault="00163FBA" w:rsidP="00AD0CC1">
      <w:pPr>
        <w:jc w:val="both"/>
        <w:rPr>
          <w:sz w:val="22"/>
          <w:szCs w:val="22"/>
          <w:lang w:val="sr-Latn-ME"/>
        </w:rPr>
      </w:pPr>
    </w:p>
    <w:p w:rsidR="006D20A5" w:rsidRPr="00611C50" w:rsidRDefault="006D20A5" w:rsidP="00AD0CC1">
      <w:pPr>
        <w:jc w:val="both"/>
        <w:rPr>
          <w:sz w:val="22"/>
          <w:szCs w:val="22"/>
          <w:lang w:val="sr-Latn-ME"/>
        </w:rPr>
      </w:pPr>
      <w:r w:rsidRPr="00611C50">
        <w:rPr>
          <w:sz w:val="22"/>
          <w:szCs w:val="22"/>
          <w:lang w:val="sr-Latn-ME"/>
        </w:rPr>
        <w:t>INN:</w:t>
      </w:r>
      <w:r w:rsidR="00F82442" w:rsidRPr="00611C50">
        <w:rPr>
          <w:lang w:val="sr-Latn-ME"/>
        </w:rPr>
        <w:t xml:space="preserve"> </w:t>
      </w:r>
      <w:r w:rsidR="00F82442" w:rsidRPr="00611C50">
        <w:rPr>
          <w:sz w:val="22"/>
          <w:szCs w:val="22"/>
          <w:lang w:val="sr-Latn-ME"/>
        </w:rPr>
        <w:t>vemurafenib</w:t>
      </w:r>
    </w:p>
    <w:p w:rsidR="006D20A5" w:rsidRPr="00611C50" w:rsidRDefault="006D20A5" w:rsidP="00AD0CC1">
      <w:pPr>
        <w:jc w:val="both"/>
        <w:rPr>
          <w:bCs/>
          <w:sz w:val="22"/>
          <w:szCs w:val="22"/>
          <w:lang w:val="sr-Latn-ME"/>
        </w:rPr>
      </w:pPr>
    </w:p>
    <w:p w:rsidR="00530BD7" w:rsidRPr="00611C50" w:rsidRDefault="00530BD7" w:rsidP="00AD0CC1">
      <w:pPr>
        <w:jc w:val="both"/>
        <w:rPr>
          <w:bCs/>
          <w:sz w:val="22"/>
          <w:szCs w:val="22"/>
          <w:lang w:val="sr-Latn-ME"/>
        </w:rPr>
      </w:pPr>
    </w:p>
    <w:p w:rsidR="00411B4B" w:rsidRPr="00611C50" w:rsidRDefault="00411B4B" w:rsidP="00AD0CC1">
      <w:pPr>
        <w:tabs>
          <w:tab w:val="left" w:pos="540"/>
          <w:tab w:val="left" w:pos="569"/>
        </w:tabs>
        <w:jc w:val="both"/>
        <w:rPr>
          <w:b/>
          <w:bCs/>
          <w:sz w:val="22"/>
          <w:szCs w:val="22"/>
          <w:lang w:val="sr-Latn-ME"/>
        </w:rPr>
      </w:pPr>
      <w:r w:rsidRPr="00611C50">
        <w:rPr>
          <w:b/>
          <w:bCs/>
          <w:sz w:val="22"/>
          <w:szCs w:val="22"/>
          <w:lang w:val="sr-Latn-ME"/>
        </w:rPr>
        <w:t xml:space="preserve">2. </w:t>
      </w:r>
      <w:r w:rsidR="00F5167F" w:rsidRPr="00611C50">
        <w:rPr>
          <w:b/>
          <w:bCs/>
          <w:sz w:val="22"/>
          <w:szCs w:val="22"/>
          <w:lang w:val="sr-Latn-ME"/>
        </w:rPr>
        <w:tab/>
      </w:r>
      <w:r w:rsidRPr="00611C50">
        <w:rPr>
          <w:b/>
          <w:bCs/>
          <w:sz w:val="22"/>
          <w:szCs w:val="22"/>
          <w:lang w:val="sr-Latn-ME"/>
        </w:rPr>
        <w:t>KVALITATIVNI I KVANTITATIVNI SASTAV</w:t>
      </w:r>
    </w:p>
    <w:p w:rsidR="005A0B2E" w:rsidRPr="00611C50" w:rsidRDefault="005A0B2E" w:rsidP="00AD0CC1">
      <w:pPr>
        <w:jc w:val="both"/>
        <w:rPr>
          <w:sz w:val="22"/>
          <w:szCs w:val="22"/>
          <w:lang w:val="sr-Latn-ME"/>
        </w:rPr>
      </w:pPr>
    </w:p>
    <w:p w:rsidR="00F82442" w:rsidRPr="00611C50" w:rsidRDefault="00F82442" w:rsidP="00AD0CC1">
      <w:pPr>
        <w:pStyle w:val="Header"/>
        <w:jc w:val="both"/>
        <w:rPr>
          <w:sz w:val="22"/>
          <w:szCs w:val="22"/>
          <w:lang w:val="sr-Latn-ME"/>
        </w:rPr>
      </w:pPr>
      <w:r w:rsidRPr="00611C50">
        <w:rPr>
          <w:sz w:val="22"/>
          <w:szCs w:val="22"/>
          <w:lang w:val="sr-Latn-ME"/>
        </w:rPr>
        <w:t>Svaka tableta sadrži 240 mg vemurafeniba (u obliku koprecipitata vemurafeniba i hipromeloza acetat sukcinata).</w:t>
      </w:r>
    </w:p>
    <w:p w:rsidR="0026073F" w:rsidRPr="00611C50" w:rsidRDefault="0026073F" w:rsidP="00AD0CC1">
      <w:pPr>
        <w:jc w:val="both"/>
        <w:rPr>
          <w:sz w:val="22"/>
          <w:szCs w:val="22"/>
          <w:lang w:val="sr-Latn-ME"/>
        </w:rPr>
      </w:pPr>
    </w:p>
    <w:p w:rsidR="0003793F" w:rsidRPr="00611C50" w:rsidRDefault="0003793F" w:rsidP="00AD0CC1">
      <w:pPr>
        <w:jc w:val="both"/>
        <w:rPr>
          <w:sz w:val="22"/>
          <w:szCs w:val="22"/>
          <w:lang w:val="sr-Latn-ME"/>
        </w:rPr>
      </w:pPr>
      <w:r w:rsidRPr="00611C50">
        <w:rPr>
          <w:sz w:val="22"/>
          <w:szCs w:val="22"/>
          <w:lang w:val="sr-Latn-ME"/>
        </w:rPr>
        <w:t>Za spisak svih ekscipijenasa, pogledati dio 6.1.</w:t>
      </w:r>
    </w:p>
    <w:p w:rsidR="0003793F" w:rsidRPr="00611C50" w:rsidRDefault="0003793F" w:rsidP="00AD0CC1">
      <w:pPr>
        <w:jc w:val="both"/>
        <w:rPr>
          <w:sz w:val="22"/>
          <w:szCs w:val="22"/>
          <w:lang w:val="sr-Latn-ME"/>
        </w:rPr>
      </w:pPr>
    </w:p>
    <w:p w:rsidR="00C37FD7" w:rsidRPr="00611C50" w:rsidRDefault="00C37FD7" w:rsidP="00AD0CC1">
      <w:pPr>
        <w:jc w:val="both"/>
        <w:rPr>
          <w:sz w:val="22"/>
          <w:szCs w:val="22"/>
          <w:lang w:val="sr-Latn-ME"/>
        </w:rPr>
      </w:pPr>
    </w:p>
    <w:p w:rsidR="00411B4B" w:rsidRPr="00611C50" w:rsidRDefault="00411B4B" w:rsidP="00AD0CC1">
      <w:pPr>
        <w:tabs>
          <w:tab w:val="left" w:pos="540"/>
          <w:tab w:val="left" w:pos="569"/>
        </w:tabs>
        <w:jc w:val="both"/>
        <w:rPr>
          <w:b/>
          <w:bCs/>
          <w:sz w:val="22"/>
          <w:szCs w:val="22"/>
          <w:lang w:val="sr-Latn-ME"/>
        </w:rPr>
      </w:pPr>
      <w:r w:rsidRPr="00611C50">
        <w:rPr>
          <w:b/>
          <w:bCs/>
          <w:sz w:val="22"/>
          <w:szCs w:val="22"/>
          <w:lang w:val="sr-Latn-ME"/>
        </w:rPr>
        <w:t xml:space="preserve">3. </w:t>
      </w:r>
      <w:r w:rsidR="00F5167F" w:rsidRPr="00611C50">
        <w:rPr>
          <w:b/>
          <w:bCs/>
          <w:sz w:val="22"/>
          <w:szCs w:val="22"/>
          <w:lang w:val="sr-Latn-ME"/>
        </w:rPr>
        <w:tab/>
      </w:r>
      <w:r w:rsidRPr="00611C50">
        <w:rPr>
          <w:b/>
          <w:bCs/>
          <w:sz w:val="22"/>
          <w:szCs w:val="22"/>
          <w:lang w:val="sr-Latn-ME"/>
        </w:rPr>
        <w:t>FARMACEUTSKI OBLIK</w:t>
      </w:r>
      <w:r w:rsidR="009F2D23" w:rsidRPr="00611C50">
        <w:rPr>
          <w:b/>
          <w:bCs/>
          <w:sz w:val="22"/>
          <w:szCs w:val="22"/>
          <w:lang w:val="sr-Latn-ME"/>
        </w:rPr>
        <w:t xml:space="preserve"> </w:t>
      </w:r>
    </w:p>
    <w:p w:rsidR="00411B4B" w:rsidRPr="00611C50" w:rsidRDefault="00411B4B" w:rsidP="00AD0CC1">
      <w:pPr>
        <w:jc w:val="both"/>
        <w:rPr>
          <w:bCs/>
          <w:sz w:val="22"/>
          <w:szCs w:val="22"/>
          <w:lang w:val="sr-Latn-ME"/>
        </w:rPr>
      </w:pPr>
    </w:p>
    <w:p w:rsidR="00F82442" w:rsidRPr="00611C50" w:rsidRDefault="00F82442" w:rsidP="00AD0CC1">
      <w:pPr>
        <w:pStyle w:val="Header"/>
        <w:jc w:val="both"/>
        <w:rPr>
          <w:sz w:val="22"/>
          <w:szCs w:val="22"/>
          <w:lang w:val="sr-Latn-ME"/>
        </w:rPr>
      </w:pPr>
      <w:r w:rsidRPr="00611C50">
        <w:rPr>
          <w:sz w:val="22"/>
          <w:szCs w:val="22"/>
          <w:lang w:val="sr-Latn-ME"/>
        </w:rPr>
        <w:t>Film tableta</w:t>
      </w:r>
      <w:r w:rsidR="0026073F" w:rsidRPr="00611C50">
        <w:rPr>
          <w:sz w:val="22"/>
          <w:szCs w:val="22"/>
          <w:lang w:val="sr-Latn-ME"/>
        </w:rPr>
        <w:t>.</w:t>
      </w:r>
    </w:p>
    <w:p w:rsidR="0026073F" w:rsidRPr="00611C50" w:rsidRDefault="0026073F" w:rsidP="00AD0CC1">
      <w:pPr>
        <w:pStyle w:val="Header"/>
        <w:jc w:val="both"/>
        <w:rPr>
          <w:sz w:val="22"/>
          <w:szCs w:val="22"/>
          <w:lang w:val="sr-Latn-ME"/>
        </w:rPr>
      </w:pPr>
    </w:p>
    <w:p w:rsidR="00EC2532" w:rsidRPr="00611C50" w:rsidRDefault="00F82442" w:rsidP="00AD0CC1">
      <w:pPr>
        <w:jc w:val="both"/>
        <w:rPr>
          <w:sz w:val="22"/>
          <w:szCs w:val="22"/>
          <w:lang w:val="sr-Latn-ME"/>
        </w:rPr>
      </w:pPr>
      <w:r w:rsidRPr="00611C50">
        <w:rPr>
          <w:sz w:val="22"/>
          <w:szCs w:val="22"/>
          <w:lang w:val="sr-Latn-ME"/>
        </w:rPr>
        <w:t>Ružičasto bijele do narandžasto bijele, ovalne, bikonveksne film tablete veličine oko 19 mm, sa natpisom VEM utisnutim sa jedne strane.</w:t>
      </w:r>
    </w:p>
    <w:p w:rsidR="00F82442" w:rsidRPr="00611C50" w:rsidRDefault="00F82442" w:rsidP="00AD0CC1">
      <w:pPr>
        <w:jc w:val="both"/>
        <w:rPr>
          <w:bCs/>
          <w:sz w:val="22"/>
          <w:szCs w:val="22"/>
          <w:lang w:val="sr-Latn-ME"/>
        </w:rPr>
      </w:pPr>
    </w:p>
    <w:p w:rsidR="0026073F" w:rsidRPr="00611C50" w:rsidRDefault="0026073F" w:rsidP="00AD0CC1">
      <w:pPr>
        <w:jc w:val="both"/>
        <w:rPr>
          <w:bCs/>
          <w:sz w:val="22"/>
          <w:szCs w:val="22"/>
          <w:lang w:val="sr-Latn-ME"/>
        </w:rPr>
      </w:pPr>
    </w:p>
    <w:p w:rsidR="00411B4B" w:rsidRPr="00611C50" w:rsidRDefault="00411B4B" w:rsidP="00AD0CC1">
      <w:pPr>
        <w:tabs>
          <w:tab w:val="left" w:pos="540"/>
          <w:tab w:val="left" w:pos="569"/>
        </w:tabs>
        <w:jc w:val="both"/>
        <w:rPr>
          <w:b/>
          <w:bCs/>
          <w:sz w:val="22"/>
          <w:szCs w:val="22"/>
          <w:lang w:val="sr-Latn-ME"/>
        </w:rPr>
      </w:pPr>
      <w:r w:rsidRPr="00611C50">
        <w:rPr>
          <w:b/>
          <w:bCs/>
          <w:sz w:val="22"/>
          <w:szCs w:val="22"/>
          <w:lang w:val="sr-Latn-ME"/>
        </w:rPr>
        <w:t xml:space="preserve">4. </w:t>
      </w:r>
      <w:r w:rsidR="00480FB1" w:rsidRPr="00611C50">
        <w:rPr>
          <w:b/>
          <w:bCs/>
          <w:sz w:val="22"/>
          <w:szCs w:val="22"/>
          <w:lang w:val="sr-Latn-ME"/>
        </w:rPr>
        <w:tab/>
      </w:r>
      <w:r w:rsidRPr="00611C50">
        <w:rPr>
          <w:b/>
          <w:bCs/>
          <w:sz w:val="22"/>
          <w:szCs w:val="22"/>
          <w:lang w:val="sr-Latn-ME"/>
        </w:rPr>
        <w:t>KLINIČKI PODACI</w:t>
      </w:r>
    </w:p>
    <w:p w:rsidR="00CD6F02" w:rsidRPr="00611C50" w:rsidRDefault="00CD6F02" w:rsidP="00AD0CC1">
      <w:pPr>
        <w:tabs>
          <w:tab w:val="left" w:pos="540"/>
          <w:tab w:val="left" w:pos="569"/>
        </w:tabs>
        <w:jc w:val="both"/>
        <w:rPr>
          <w:bCs/>
          <w:sz w:val="22"/>
          <w:szCs w:val="22"/>
          <w:lang w:val="sr-Latn-ME"/>
        </w:rPr>
      </w:pPr>
    </w:p>
    <w:p w:rsidR="00411B4B" w:rsidRPr="00611C50" w:rsidRDefault="00411B4B" w:rsidP="00AD0CC1">
      <w:pPr>
        <w:tabs>
          <w:tab w:val="left" w:pos="540"/>
          <w:tab w:val="left" w:pos="569"/>
        </w:tabs>
        <w:jc w:val="both"/>
        <w:rPr>
          <w:b/>
          <w:bCs/>
          <w:sz w:val="22"/>
          <w:szCs w:val="22"/>
          <w:lang w:val="sr-Latn-ME"/>
        </w:rPr>
      </w:pPr>
      <w:r w:rsidRPr="00611C50">
        <w:rPr>
          <w:b/>
          <w:bCs/>
          <w:sz w:val="22"/>
          <w:szCs w:val="22"/>
          <w:lang w:val="sr-Latn-ME"/>
        </w:rPr>
        <w:t xml:space="preserve">4.1. </w:t>
      </w:r>
      <w:r w:rsidR="00480FB1" w:rsidRPr="00611C50">
        <w:rPr>
          <w:b/>
          <w:bCs/>
          <w:sz w:val="22"/>
          <w:szCs w:val="22"/>
          <w:lang w:val="sr-Latn-ME"/>
        </w:rPr>
        <w:tab/>
      </w:r>
      <w:r w:rsidRPr="00611C50">
        <w:rPr>
          <w:b/>
          <w:bCs/>
          <w:sz w:val="22"/>
          <w:szCs w:val="22"/>
          <w:lang w:val="sr-Latn-ME"/>
        </w:rPr>
        <w:t>Terapijske indikacije</w:t>
      </w:r>
    </w:p>
    <w:p w:rsidR="00F82442" w:rsidRPr="00611C50" w:rsidRDefault="00F82442" w:rsidP="00AD0CC1">
      <w:pPr>
        <w:tabs>
          <w:tab w:val="left" w:pos="540"/>
          <w:tab w:val="left" w:pos="569"/>
        </w:tabs>
        <w:jc w:val="both"/>
        <w:rPr>
          <w:b/>
          <w:bCs/>
          <w:sz w:val="22"/>
          <w:szCs w:val="22"/>
          <w:lang w:val="sr-Latn-ME"/>
        </w:rPr>
      </w:pPr>
    </w:p>
    <w:p w:rsidR="00F82442" w:rsidRPr="00611C50" w:rsidRDefault="00F82442" w:rsidP="00AD0CC1">
      <w:pPr>
        <w:pStyle w:val="Header"/>
        <w:tabs>
          <w:tab w:val="left" w:pos="284"/>
        </w:tabs>
        <w:jc w:val="both"/>
        <w:rPr>
          <w:sz w:val="22"/>
          <w:szCs w:val="22"/>
          <w:lang w:val="sr-Latn-ME"/>
        </w:rPr>
      </w:pPr>
      <w:r w:rsidRPr="00611C50">
        <w:rPr>
          <w:sz w:val="22"/>
          <w:szCs w:val="22"/>
          <w:lang w:val="sr-Latn-ME"/>
        </w:rPr>
        <w:t>Vemurafenib je indikovan kao monoterapija za liječenje odraslih pacijenata sa neresektabilnim ili metastatskim melanomom sa pozitivnom BRAF V600 mutacijom (vidjeti dio 5.1).</w:t>
      </w:r>
    </w:p>
    <w:p w:rsidR="00411B4B" w:rsidRPr="00611C50" w:rsidRDefault="00411B4B" w:rsidP="00AD0CC1">
      <w:pPr>
        <w:tabs>
          <w:tab w:val="left" w:pos="540"/>
          <w:tab w:val="left" w:pos="569"/>
        </w:tabs>
        <w:jc w:val="both"/>
        <w:rPr>
          <w:bCs/>
          <w:sz w:val="22"/>
          <w:szCs w:val="22"/>
          <w:lang w:val="sr-Latn-ME"/>
        </w:rPr>
      </w:pPr>
    </w:p>
    <w:p w:rsidR="00411B4B" w:rsidRPr="00611C50" w:rsidRDefault="00411B4B" w:rsidP="00AD0CC1">
      <w:pPr>
        <w:tabs>
          <w:tab w:val="left" w:pos="540"/>
          <w:tab w:val="left" w:pos="569"/>
        </w:tabs>
        <w:jc w:val="both"/>
        <w:rPr>
          <w:b/>
          <w:bCs/>
          <w:sz w:val="22"/>
          <w:szCs w:val="22"/>
          <w:lang w:val="sr-Latn-ME"/>
        </w:rPr>
      </w:pPr>
      <w:r w:rsidRPr="00611C50">
        <w:rPr>
          <w:b/>
          <w:bCs/>
          <w:sz w:val="22"/>
          <w:szCs w:val="22"/>
          <w:lang w:val="sr-Latn-ME"/>
        </w:rPr>
        <w:t xml:space="preserve">4.2. </w:t>
      </w:r>
      <w:r w:rsidR="00480FB1" w:rsidRPr="00611C50">
        <w:rPr>
          <w:b/>
          <w:bCs/>
          <w:sz w:val="22"/>
          <w:szCs w:val="22"/>
          <w:lang w:val="sr-Latn-ME"/>
        </w:rPr>
        <w:tab/>
      </w:r>
      <w:r w:rsidRPr="00611C50">
        <w:rPr>
          <w:b/>
          <w:bCs/>
          <w:sz w:val="22"/>
          <w:szCs w:val="22"/>
          <w:lang w:val="sr-Latn-ME"/>
        </w:rPr>
        <w:t>Doziranje i način primjene</w:t>
      </w:r>
    </w:p>
    <w:p w:rsidR="0072020E" w:rsidRPr="00611C50" w:rsidRDefault="0072020E" w:rsidP="00AD0CC1">
      <w:pPr>
        <w:tabs>
          <w:tab w:val="left" w:pos="540"/>
          <w:tab w:val="left" w:pos="569"/>
        </w:tabs>
        <w:jc w:val="both"/>
        <w:rPr>
          <w:bCs/>
          <w:sz w:val="22"/>
          <w:szCs w:val="22"/>
          <w:lang w:val="sr-Latn-ME"/>
        </w:rPr>
      </w:pPr>
    </w:p>
    <w:p w:rsidR="00F82442" w:rsidRPr="00611C50" w:rsidRDefault="00F82442" w:rsidP="00AD0CC1">
      <w:pPr>
        <w:jc w:val="both"/>
        <w:rPr>
          <w:sz w:val="22"/>
          <w:szCs w:val="22"/>
          <w:lang w:val="sr-Latn-ME" w:eastAsia="ja-JP"/>
        </w:rPr>
      </w:pPr>
      <w:r w:rsidRPr="00611C50">
        <w:rPr>
          <w:sz w:val="22"/>
          <w:szCs w:val="22"/>
          <w:lang w:val="sr-Latn-ME" w:eastAsia="ja-JP"/>
        </w:rPr>
        <w:t xml:space="preserve">Liječenje vemurafenibom treba da započne i nadgleda kvalifikovani ljekar, iskusan u primjeni ljekova protiv karcinoma.  </w:t>
      </w:r>
    </w:p>
    <w:p w:rsidR="00163FBA" w:rsidRPr="00611C50" w:rsidRDefault="00163FBA" w:rsidP="00AD0CC1">
      <w:pPr>
        <w:jc w:val="both"/>
        <w:rPr>
          <w:sz w:val="22"/>
          <w:szCs w:val="22"/>
          <w:lang w:val="sr-Latn-ME" w:eastAsia="ja-JP"/>
        </w:rPr>
      </w:pPr>
    </w:p>
    <w:p w:rsidR="00F82442" w:rsidRPr="00611C50" w:rsidRDefault="00F82442" w:rsidP="00AD0CC1">
      <w:pPr>
        <w:jc w:val="both"/>
        <w:rPr>
          <w:sz w:val="22"/>
          <w:szCs w:val="22"/>
          <w:lang w:val="sr-Latn-ME" w:eastAsia="ja-JP"/>
        </w:rPr>
      </w:pPr>
      <w:r w:rsidRPr="00611C50">
        <w:rPr>
          <w:sz w:val="22"/>
          <w:szCs w:val="22"/>
          <w:lang w:val="sr-Latn-ME" w:eastAsia="ja-JP"/>
        </w:rPr>
        <w:t xml:space="preserve">Prije uzimanja vemurafeniba, pacijent mora da ima tumorski status pozitivan na BRAF V600 mutaciju, potvrđen validiranim testom (vidjeti dio 4.4 i 5.1). </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Doziranje</w:t>
      </w:r>
    </w:p>
    <w:p w:rsidR="00F82442" w:rsidRPr="00611C50" w:rsidRDefault="00F82442" w:rsidP="00AD0CC1">
      <w:pPr>
        <w:jc w:val="both"/>
        <w:rPr>
          <w:sz w:val="22"/>
          <w:szCs w:val="22"/>
          <w:lang w:val="sr-Latn-ME" w:eastAsia="ja-JP"/>
        </w:rPr>
      </w:pPr>
      <w:r w:rsidRPr="00611C50">
        <w:rPr>
          <w:sz w:val="22"/>
          <w:szCs w:val="22"/>
          <w:lang w:val="sr-Latn-ME" w:eastAsia="ja-JP"/>
        </w:rPr>
        <w:t>Preporučena doza vemurafeniba je 960 mg (četiri tablete od 240 mg) dva puta dnevno (što predstavlja ukupnu dnevnu dozu od 1920 mg).  Vemurafenib se može uzeti sa hranom ili bez, ali stalno uzimanje obje dnevne doze na prazan želudac treba izbjegavati (vidjeti dio 5.2).</w:t>
      </w:r>
    </w:p>
    <w:p w:rsidR="00F82442" w:rsidRPr="00611C50" w:rsidRDefault="00F82442" w:rsidP="00AD0CC1">
      <w:pPr>
        <w:jc w:val="both"/>
        <w:rPr>
          <w:i/>
          <w:sz w:val="22"/>
          <w:szCs w:val="22"/>
          <w:lang w:val="sr-Latn-ME" w:eastAsia="ja-JP"/>
        </w:rPr>
      </w:pPr>
    </w:p>
    <w:p w:rsidR="00F82442" w:rsidRPr="00611C50" w:rsidRDefault="00F82442" w:rsidP="00AD0CC1">
      <w:pPr>
        <w:jc w:val="both"/>
        <w:rPr>
          <w:i/>
          <w:sz w:val="22"/>
          <w:szCs w:val="22"/>
          <w:lang w:val="sr-Latn-ME" w:eastAsia="ja-JP"/>
        </w:rPr>
      </w:pPr>
      <w:r w:rsidRPr="00611C50">
        <w:rPr>
          <w:i/>
          <w:sz w:val="22"/>
          <w:szCs w:val="22"/>
          <w:lang w:val="sr-Latn-ME" w:eastAsia="ja-JP"/>
        </w:rPr>
        <w:t>Trajanje terapije</w:t>
      </w:r>
    </w:p>
    <w:p w:rsidR="00F82442" w:rsidRPr="00611C50" w:rsidRDefault="00F82442" w:rsidP="00AD0CC1">
      <w:pPr>
        <w:jc w:val="both"/>
        <w:rPr>
          <w:sz w:val="22"/>
          <w:szCs w:val="22"/>
          <w:lang w:val="sr-Latn-ME" w:eastAsia="ja-JP"/>
        </w:rPr>
      </w:pPr>
      <w:r w:rsidRPr="00611C50">
        <w:rPr>
          <w:sz w:val="22"/>
          <w:szCs w:val="22"/>
          <w:lang w:val="sr-Latn-ME" w:eastAsia="ja-JP"/>
        </w:rPr>
        <w:t>Terapiju vemurafenibom treba nastaviti do progresije bolesti ili do razvoja neprihvatljive toksičnosti (vidjeti tabele 1 i 2 dolje).</w:t>
      </w:r>
    </w:p>
    <w:p w:rsidR="00F82442" w:rsidRPr="00611C50" w:rsidRDefault="00F82442" w:rsidP="00AD0CC1">
      <w:pPr>
        <w:jc w:val="both"/>
        <w:rPr>
          <w:sz w:val="22"/>
          <w:szCs w:val="22"/>
          <w:lang w:val="sr-Latn-ME" w:eastAsia="ja-JP"/>
        </w:rPr>
      </w:pPr>
    </w:p>
    <w:p w:rsidR="00F82442" w:rsidRPr="00611C50" w:rsidRDefault="00F82442" w:rsidP="00AD0CC1">
      <w:pPr>
        <w:jc w:val="both"/>
        <w:rPr>
          <w:i/>
          <w:sz w:val="22"/>
          <w:szCs w:val="22"/>
          <w:lang w:val="sr-Latn-ME" w:eastAsia="ja-JP"/>
        </w:rPr>
      </w:pPr>
      <w:r w:rsidRPr="00611C50">
        <w:rPr>
          <w:i/>
          <w:sz w:val="22"/>
          <w:szCs w:val="22"/>
          <w:lang w:val="sr-Latn-ME" w:eastAsia="ja-JP"/>
        </w:rPr>
        <w:t>Propuštene doze</w:t>
      </w:r>
    </w:p>
    <w:p w:rsidR="00F82442" w:rsidRPr="00611C50" w:rsidRDefault="00F82442" w:rsidP="00AD0CC1">
      <w:pPr>
        <w:jc w:val="both"/>
        <w:rPr>
          <w:sz w:val="22"/>
          <w:szCs w:val="22"/>
          <w:lang w:val="sr-Latn-ME" w:eastAsia="ja-JP"/>
        </w:rPr>
      </w:pPr>
      <w:r w:rsidRPr="00611C50">
        <w:rPr>
          <w:sz w:val="22"/>
          <w:szCs w:val="22"/>
          <w:lang w:val="sr-Latn-ME" w:eastAsia="ja-JP"/>
        </w:rPr>
        <w:t xml:space="preserve">Ukoliko se propusti doza, lijek se može uzeti do 4 sata prije sljedeće doze, kako bi se održao režim doziranja dva puta dnevno. Ne treba uzeti obje doze istovremeno. </w:t>
      </w:r>
    </w:p>
    <w:p w:rsidR="00F82442" w:rsidRPr="00611C50" w:rsidRDefault="00F82442" w:rsidP="00AD0CC1">
      <w:pPr>
        <w:jc w:val="both"/>
        <w:rPr>
          <w:sz w:val="22"/>
          <w:szCs w:val="22"/>
          <w:lang w:val="sr-Latn-ME" w:eastAsia="ja-JP"/>
        </w:rPr>
      </w:pPr>
    </w:p>
    <w:p w:rsidR="00F82442" w:rsidRPr="00611C50" w:rsidRDefault="00F82442" w:rsidP="00AD0CC1">
      <w:pPr>
        <w:jc w:val="both"/>
        <w:rPr>
          <w:i/>
          <w:sz w:val="22"/>
          <w:szCs w:val="22"/>
          <w:lang w:val="sr-Latn-ME" w:eastAsia="ja-JP"/>
        </w:rPr>
      </w:pPr>
      <w:r w:rsidRPr="00611C50">
        <w:rPr>
          <w:i/>
          <w:sz w:val="22"/>
          <w:szCs w:val="22"/>
          <w:lang w:val="sr-Latn-ME" w:eastAsia="ja-JP"/>
        </w:rPr>
        <w:t>Povraćanje</w:t>
      </w:r>
    </w:p>
    <w:p w:rsidR="00F82442" w:rsidRPr="00611C50" w:rsidRDefault="00F82442" w:rsidP="00AD0CC1">
      <w:pPr>
        <w:jc w:val="both"/>
        <w:rPr>
          <w:sz w:val="22"/>
          <w:szCs w:val="22"/>
          <w:lang w:val="sr-Latn-ME" w:eastAsia="ja-JP"/>
        </w:rPr>
      </w:pPr>
      <w:r w:rsidRPr="00611C50">
        <w:rPr>
          <w:sz w:val="22"/>
          <w:szCs w:val="22"/>
          <w:lang w:val="sr-Latn-ME" w:eastAsia="ja-JP"/>
        </w:rPr>
        <w:t xml:space="preserve">U slučaju povraćanja nakon primjene vemurafeniba, pacijent ne treba da uzme dodatnu dozu lijeka, već terapiju treba nastaviti kao i obično. </w:t>
      </w:r>
    </w:p>
    <w:p w:rsidR="00F82442" w:rsidRPr="00611C50" w:rsidRDefault="00F82442" w:rsidP="00AD0CC1">
      <w:pPr>
        <w:jc w:val="both"/>
        <w:rPr>
          <w:i/>
          <w:sz w:val="22"/>
          <w:szCs w:val="22"/>
          <w:lang w:val="sr-Latn-ME" w:eastAsia="ja-JP"/>
        </w:rPr>
      </w:pPr>
    </w:p>
    <w:p w:rsidR="00F82442" w:rsidRPr="00611C50" w:rsidRDefault="00F82442" w:rsidP="00AD0CC1">
      <w:pPr>
        <w:jc w:val="both"/>
        <w:rPr>
          <w:bCs/>
          <w:i/>
          <w:iCs/>
          <w:sz w:val="22"/>
          <w:szCs w:val="22"/>
          <w:lang w:val="sr-Latn-ME" w:eastAsia="ja-JP"/>
        </w:rPr>
      </w:pPr>
      <w:r w:rsidRPr="00611C50">
        <w:rPr>
          <w:i/>
          <w:sz w:val="22"/>
          <w:szCs w:val="22"/>
          <w:lang w:val="sr-Latn-ME" w:eastAsia="ja-JP"/>
        </w:rPr>
        <w:t xml:space="preserve">Podešavanje doziranja </w:t>
      </w:r>
    </w:p>
    <w:p w:rsidR="00452E9D" w:rsidRPr="00611C50" w:rsidRDefault="00F82442" w:rsidP="00AD0CC1">
      <w:pPr>
        <w:tabs>
          <w:tab w:val="left" w:pos="540"/>
          <w:tab w:val="left" w:pos="569"/>
        </w:tabs>
        <w:jc w:val="both"/>
        <w:rPr>
          <w:sz w:val="22"/>
          <w:szCs w:val="22"/>
          <w:lang w:val="sr-Latn-ME" w:eastAsia="ja-JP"/>
        </w:rPr>
      </w:pPr>
      <w:r w:rsidRPr="00611C50">
        <w:rPr>
          <w:sz w:val="22"/>
          <w:szCs w:val="22"/>
          <w:lang w:val="sr-Latn-ME" w:eastAsia="ja-JP"/>
        </w:rPr>
        <w:t>Kupiranje</w:t>
      </w:r>
      <w:r w:rsidRPr="00611C50">
        <w:rPr>
          <w:color w:val="FF0000"/>
          <w:sz w:val="22"/>
          <w:szCs w:val="22"/>
          <w:lang w:val="sr-Latn-ME" w:eastAsia="ja-JP"/>
        </w:rPr>
        <w:t xml:space="preserve"> </w:t>
      </w:r>
      <w:r w:rsidRPr="00611C50">
        <w:rPr>
          <w:sz w:val="22"/>
          <w:szCs w:val="22"/>
          <w:lang w:val="sr-Latn-ME" w:eastAsia="ja-JP"/>
        </w:rPr>
        <w:t>neželjenih reakcija lijeka ili produžetak QTc može zaht</w:t>
      </w:r>
      <w:r w:rsidR="00611C50">
        <w:rPr>
          <w:sz w:val="22"/>
          <w:szCs w:val="22"/>
          <w:lang w:val="sr-Latn-ME" w:eastAsia="ja-JP"/>
        </w:rPr>
        <w:t>i</w:t>
      </w:r>
      <w:r w:rsidRPr="00611C50">
        <w:rPr>
          <w:sz w:val="22"/>
          <w:szCs w:val="22"/>
          <w:lang w:val="sr-Latn-ME" w:eastAsia="ja-JP"/>
        </w:rPr>
        <w:t>jevati smanjenje doze, privremeni prekid i/ili obustavu terapije (vidjeti tabele 1 i 2). Modifikacije doziranja, koja rezultiraju dozom nižom od 480 mg dva puta dnevno, nisu preporučljiva.</w:t>
      </w:r>
    </w:p>
    <w:p w:rsidR="00F82442" w:rsidRPr="00611C50" w:rsidRDefault="00F82442" w:rsidP="00AD0CC1">
      <w:pPr>
        <w:tabs>
          <w:tab w:val="left" w:pos="540"/>
          <w:tab w:val="left" w:pos="569"/>
        </w:tabs>
        <w:jc w:val="both"/>
        <w:rPr>
          <w:sz w:val="22"/>
          <w:szCs w:val="22"/>
          <w:lang w:val="sr-Latn-ME" w:eastAsia="ja-JP"/>
        </w:rPr>
      </w:pPr>
    </w:p>
    <w:p w:rsidR="00F82442" w:rsidRPr="00611C50" w:rsidRDefault="00F82442" w:rsidP="00AD0CC1">
      <w:pPr>
        <w:jc w:val="both"/>
        <w:rPr>
          <w:sz w:val="22"/>
          <w:szCs w:val="22"/>
          <w:lang w:val="sr-Latn-ME" w:eastAsia="ja-JP"/>
        </w:rPr>
      </w:pPr>
      <w:r w:rsidRPr="00611C50">
        <w:rPr>
          <w:sz w:val="22"/>
          <w:szCs w:val="22"/>
          <w:lang w:val="sr-Latn-ME" w:eastAsia="ja-JP"/>
        </w:rPr>
        <w:t>U slučaju da pacijent razvije kutani skvamocelularni karcinom (cuSCC), preporučuje se nastavak terapije bez modifikovanja doze vemurafeniba (vidjeti djelove 4.4 i 4.8).</w:t>
      </w:r>
    </w:p>
    <w:p w:rsidR="00F82442" w:rsidRPr="00611C50" w:rsidRDefault="00F82442" w:rsidP="00AD0CC1">
      <w:pPr>
        <w:jc w:val="both"/>
        <w:rPr>
          <w:sz w:val="22"/>
          <w:szCs w:val="22"/>
          <w:lang w:val="sr-Latn-ME" w:eastAsia="ja-JP"/>
        </w:rPr>
      </w:pPr>
    </w:p>
    <w:p w:rsidR="00F82442" w:rsidRPr="00611C50" w:rsidRDefault="00F82442" w:rsidP="00AD0CC1">
      <w:pPr>
        <w:jc w:val="both"/>
        <w:rPr>
          <w:b/>
          <w:sz w:val="22"/>
          <w:szCs w:val="22"/>
          <w:lang w:val="sr-Latn-ME" w:eastAsia="ja-JP"/>
        </w:rPr>
      </w:pPr>
      <w:bookmarkStart w:id="0" w:name="_Ref276986304"/>
      <w:r w:rsidRPr="00611C50">
        <w:rPr>
          <w:b/>
          <w:sz w:val="22"/>
          <w:szCs w:val="22"/>
          <w:lang w:val="sr-Latn-ME" w:eastAsia="ja-JP"/>
        </w:rPr>
        <w:t>Tabela </w:t>
      </w:r>
      <w:bookmarkEnd w:id="0"/>
      <w:r w:rsidRPr="00611C50">
        <w:rPr>
          <w:b/>
          <w:sz w:val="22"/>
          <w:szCs w:val="22"/>
          <w:lang w:val="sr-Latn-ME" w:eastAsia="ja-JP"/>
        </w:rPr>
        <w:t>1: Raspored modifikacije doze na osnovu gradusa svih neželjenih reakcija (NR)</w:t>
      </w:r>
    </w:p>
    <w:p w:rsidR="00F82442" w:rsidRPr="00611C50" w:rsidRDefault="00F82442" w:rsidP="00AD0CC1">
      <w:pPr>
        <w:jc w:val="both"/>
        <w:rPr>
          <w:sz w:val="22"/>
          <w:szCs w:val="22"/>
          <w:lang w:val="sr-Latn-ME" w:eastAsia="ja-JP"/>
        </w:rPr>
      </w:pPr>
    </w:p>
    <w:tbl>
      <w:tblPr>
        <w:tblW w:w="0" w:type="dxa"/>
        <w:tblInd w:w="108" w:type="dxa"/>
        <w:tblBorders>
          <w:top w:val="single" w:sz="6" w:space="0" w:color="000000"/>
          <w:bottom w:val="single" w:sz="6" w:space="0" w:color="000000"/>
          <w:insideV w:val="single" w:sz="6" w:space="0" w:color="000000"/>
        </w:tblBorders>
        <w:tblLayout w:type="fixed"/>
        <w:tblLook w:val="04A0" w:firstRow="1" w:lastRow="0" w:firstColumn="1" w:lastColumn="0" w:noHBand="0" w:noVBand="1"/>
      </w:tblPr>
      <w:tblGrid>
        <w:gridCol w:w="3420"/>
        <w:gridCol w:w="5340"/>
      </w:tblGrid>
      <w:tr w:rsidR="00F82442" w:rsidRPr="00611C50" w:rsidTr="00F82442">
        <w:trPr>
          <w:tblHeader/>
        </w:trPr>
        <w:tc>
          <w:tcPr>
            <w:tcW w:w="3420" w:type="dxa"/>
            <w:tcBorders>
              <w:top w:val="single" w:sz="6" w:space="0" w:color="000000"/>
              <w:left w:val="single" w:sz="6" w:space="0" w:color="000000"/>
              <w:bottom w:val="single" w:sz="4" w:space="0" w:color="auto"/>
              <w:right w:val="single" w:sz="6" w:space="0" w:color="000000"/>
            </w:tcBorders>
            <w:hideMark/>
          </w:tcPr>
          <w:p w:rsidR="00F82442" w:rsidRPr="00611C50" w:rsidRDefault="00F82442" w:rsidP="00AD0CC1">
            <w:pPr>
              <w:jc w:val="both"/>
              <w:rPr>
                <w:b/>
                <w:sz w:val="22"/>
                <w:szCs w:val="22"/>
                <w:lang w:val="sr-Latn-ME" w:eastAsia="ja-JP"/>
              </w:rPr>
            </w:pPr>
            <w:r w:rsidRPr="00611C50">
              <w:rPr>
                <w:b/>
                <w:sz w:val="22"/>
                <w:szCs w:val="22"/>
                <w:lang w:val="sr-Latn-ME" w:eastAsia="ja-JP"/>
              </w:rPr>
              <w:t>Gradus (CTC-AE)</w:t>
            </w:r>
            <w:r w:rsidRPr="00611C50">
              <w:rPr>
                <w:b/>
                <w:sz w:val="22"/>
                <w:szCs w:val="22"/>
                <w:vertAlign w:val="superscript"/>
                <w:lang w:val="sr-Latn-ME" w:eastAsia="ja-JP"/>
              </w:rPr>
              <w:t>(a)</w:t>
            </w:r>
          </w:p>
        </w:tc>
        <w:tc>
          <w:tcPr>
            <w:tcW w:w="5340" w:type="dxa"/>
            <w:tcBorders>
              <w:top w:val="single" w:sz="6" w:space="0" w:color="000000"/>
              <w:left w:val="single" w:sz="6" w:space="0" w:color="000000"/>
              <w:bottom w:val="single" w:sz="4" w:space="0" w:color="auto"/>
              <w:right w:val="single" w:sz="4" w:space="0" w:color="auto"/>
            </w:tcBorders>
            <w:hideMark/>
          </w:tcPr>
          <w:p w:rsidR="00F82442" w:rsidRPr="00611C50" w:rsidRDefault="00F82442" w:rsidP="00AD0CC1">
            <w:pPr>
              <w:jc w:val="both"/>
              <w:rPr>
                <w:b/>
                <w:sz w:val="22"/>
                <w:szCs w:val="22"/>
                <w:lang w:val="sr-Latn-ME" w:eastAsia="ja-JP"/>
              </w:rPr>
            </w:pPr>
            <w:r w:rsidRPr="00611C50">
              <w:rPr>
                <w:b/>
                <w:sz w:val="22"/>
                <w:szCs w:val="22"/>
                <w:lang w:val="sr-Latn-ME" w:eastAsia="ja-JP"/>
              </w:rPr>
              <w:t xml:space="preserve">Preporučena modifikacija doze </w:t>
            </w:r>
          </w:p>
        </w:tc>
      </w:tr>
      <w:tr w:rsidR="00F82442" w:rsidRPr="00611C50" w:rsidTr="00F82442">
        <w:tc>
          <w:tcPr>
            <w:tcW w:w="3420" w:type="dxa"/>
            <w:tcBorders>
              <w:top w:val="single" w:sz="4" w:space="0" w:color="auto"/>
              <w:left w:val="single" w:sz="4" w:space="0" w:color="auto"/>
              <w:bottom w:val="single" w:sz="4" w:space="0" w:color="auto"/>
              <w:right w:val="single" w:sz="4" w:space="0" w:color="auto"/>
            </w:tcBorders>
            <w:hideMark/>
          </w:tcPr>
          <w:p w:rsidR="00F82442" w:rsidRPr="00611C50" w:rsidRDefault="00F82442" w:rsidP="00AD0CC1">
            <w:pPr>
              <w:jc w:val="both"/>
              <w:rPr>
                <w:b/>
                <w:sz w:val="22"/>
                <w:szCs w:val="22"/>
                <w:lang w:val="sr-Latn-ME" w:eastAsia="ja-JP"/>
              </w:rPr>
            </w:pPr>
            <w:r w:rsidRPr="00611C50">
              <w:rPr>
                <w:b/>
                <w:sz w:val="22"/>
                <w:szCs w:val="22"/>
                <w:lang w:val="sr-Latn-ME" w:eastAsia="ja-JP"/>
              </w:rPr>
              <w:t xml:space="preserve">Gradus 1 ili Gradus 2 (podnošljiv) </w:t>
            </w:r>
          </w:p>
        </w:tc>
        <w:tc>
          <w:tcPr>
            <w:tcW w:w="5340" w:type="dxa"/>
            <w:tcBorders>
              <w:top w:val="single" w:sz="4" w:space="0" w:color="auto"/>
              <w:left w:val="single" w:sz="4" w:space="0" w:color="auto"/>
              <w:bottom w:val="single" w:sz="4" w:space="0" w:color="auto"/>
              <w:right w:val="single" w:sz="4" w:space="0" w:color="auto"/>
            </w:tcBorders>
            <w:hideMark/>
          </w:tcPr>
          <w:p w:rsidR="00F82442" w:rsidRPr="00611C50" w:rsidRDefault="00F82442" w:rsidP="00AD0CC1">
            <w:pPr>
              <w:jc w:val="both"/>
              <w:rPr>
                <w:sz w:val="22"/>
                <w:szCs w:val="22"/>
                <w:lang w:val="sr-Latn-ME" w:eastAsia="ja-JP"/>
              </w:rPr>
            </w:pPr>
            <w:r w:rsidRPr="00611C50">
              <w:rPr>
                <w:sz w:val="22"/>
                <w:szCs w:val="22"/>
                <w:lang w:val="sr-Latn-ME" w:eastAsia="ja-JP"/>
              </w:rPr>
              <w:t xml:space="preserve">Nastaviti primjenu vemurafeniba u dozi od 960 mg dva puta dnevno </w:t>
            </w:r>
          </w:p>
        </w:tc>
      </w:tr>
      <w:tr w:rsidR="00F82442" w:rsidRPr="00611C50" w:rsidTr="00F82442">
        <w:tc>
          <w:tcPr>
            <w:tcW w:w="3420" w:type="dxa"/>
            <w:tcBorders>
              <w:top w:val="single" w:sz="4" w:space="0" w:color="auto"/>
              <w:left w:val="single" w:sz="4" w:space="0" w:color="auto"/>
              <w:bottom w:val="single" w:sz="4" w:space="0" w:color="auto"/>
              <w:right w:val="single" w:sz="4" w:space="0" w:color="auto"/>
            </w:tcBorders>
            <w:hideMark/>
          </w:tcPr>
          <w:p w:rsidR="00F82442" w:rsidRPr="00611C50" w:rsidRDefault="00F82442" w:rsidP="00AD0CC1">
            <w:pPr>
              <w:jc w:val="both"/>
              <w:rPr>
                <w:b/>
                <w:i/>
                <w:sz w:val="22"/>
                <w:szCs w:val="22"/>
                <w:lang w:val="sr-Latn-ME" w:eastAsia="ja-JP"/>
              </w:rPr>
            </w:pPr>
            <w:r w:rsidRPr="00611C50">
              <w:rPr>
                <w:b/>
                <w:sz w:val="22"/>
                <w:szCs w:val="22"/>
                <w:lang w:val="sr-Latn-ME" w:eastAsia="ja-JP"/>
              </w:rPr>
              <w:t>Gradus 2 (nepodnošljiv) ili Gradus 3</w:t>
            </w:r>
          </w:p>
        </w:tc>
        <w:tc>
          <w:tcPr>
            <w:tcW w:w="5340" w:type="dxa"/>
            <w:tcBorders>
              <w:top w:val="single" w:sz="4" w:space="0" w:color="auto"/>
              <w:left w:val="single" w:sz="4" w:space="0" w:color="auto"/>
              <w:bottom w:val="single" w:sz="4" w:space="0" w:color="auto"/>
              <w:right w:val="single" w:sz="4" w:space="0" w:color="auto"/>
            </w:tcBorders>
          </w:tcPr>
          <w:p w:rsidR="00F82442" w:rsidRPr="00611C50" w:rsidRDefault="00F82442" w:rsidP="00AD0CC1">
            <w:pPr>
              <w:jc w:val="both"/>
              <w:rPr>
                <w:sz w:val="22"/>
                <w:szCs w:val="22"/>
                <w:lang w:val="sr-Latn-ME" w:eastAsia="ja-JP"/>
              </w:rPr>
            </w:pPr>
          </w:p>
        </w:tc>
      </w:tr>
      <w:tr w:rsidR="00F82442" w:rsidRPr="00611C50" w:rsidTr="00F82442">
        <w:tc>
          <w:tcPr>
            <w:tcW w:w="3420" w:type="dxa"/>
            <w:tcBorders>
              <w:top w:val="single" w:sz="4" w:space="0" w:color="auto"/>
              <w:left w:val="single" w:sz="4" w:space="0" w:color="auto"/>
              <w:bottom w:val="single" w:sz="4" w:space="0" w:color="auto"/>
              <w:right w:val="single" w:sz="4" w:space="0" w:color="auto"/>
            </w:tcBorders>
            <w:hideMark/>
          </w:tcPr>
          <w:p w:rsidR="00F82442" w:rsidRPr="00611C50" w:rsidRDefault="00F82442" w:rsidP="00AD0CC1">
            <w:pPr>
              <w:jc w:val="both"/>
              <w:rPr>
                <w:sz w:val="22"/>
                <w:szCs w:val="22"/>
                <w:lang w:val="sr-Latn-ME" w:eastAsia="ja-JP"/>
              </w:rPr>
            </w:pPr>
            <w:r w:rsidRPr="00611C50">
              <w:rPr>
                <w:sz w:val="22"/>
                <w:szCs w:val="22"/>
                <w:lang w:val="sr-Latn-ME" w:eastAsia="ja-JP"/>
              </w:rPr>
              <w:t>Prva pojava bilo koje NR gradusa 2 ili 3</w:t>
            </w:r>
          </w:p>
        </w:tc>
        <w:tc>
          <w:tcPr>
            <w:tcW w:w="5340" w:type="dxa"/>
            <w:tcBorders>
              <w:top w:val="single" w:sz="4" w:space="0" w:color="auto"/>
              <w:left w:val="single" w:sz="4" w:space="0" w:color="auto"/>
              <w:bottom w:val="single" w:sz="4" w:space="0" w:color="auto"/>
              <w:right w:val="single" w:sz="4" w:space="0" w:color="auto"/>
            </w:tcBorders>
            <w:hideMark/>
          </w:tcPr>
          <w:p w:rsidR="00F82442" w:rsidRPr="00611C50" w:rsidRDefault="00F82442" w:rsidP="00AD0CC1">
            <w:pPr>
              <w:jc w:val="both"/>
              <w:rPr>
                <w:sz w:val="22"/>
                <w:szCs w:val="22"/>
                <w:lang w:val="sr-Latn-ME" w:eastAsia="ja-JP"/>
              </w:rPr>
            </w:pPr>
            <w:r w:rsidRPr="00611C50">
              <w:rPr>
                <w:sz w:val="22"/>
                <w:szCs w:val="22"/>
                <w:lang w:val="sr-Latn-ME" w:eastAsia="ja-JP"/>
              </w:rPr>
              <w:t>Prekinuti terapiju do poboljšanja do gradusa 0 – 1. Nastaviti primjenu vemurafeniba u dozi od 720 mg dva puta dnevno (ili 480 mg dva puta dnevno ako je doza već bila smanjivana).</w:t>
            </w:r>
          </w:p>
        </w:tc>
      </w:tr>
      <w:tr w:rsidR="00F82442" w:rsidRPr="00611C50" w:rsidTr="00F82442">
        <w:tc>
          <w:tcPr>
            <w:tcW w:w="3420" w:type="dxa"/>
            <w:tcBorders>
              <w:top w:val="single" w:sz="4" w:space="0" w:color="auto"/>
              <w:left w:val="single" w:sz="4" w:space="0" w:color="auto"/>
              <w:bottom w:val="single" w:sz="4" w:space="0" w:color="auto"/>
              <w:right w:val="single" w:sz="4" w:space="0" w:color="auto"/>
            </w:tcBorders>
            <w:hideMark/>
          </w:tcPr>
          <w:p w:rsidR="00F82442" w:rsidRPr="00611C50" w:rsidRDefault="00F82442" w:rsidP="00AD0CC1">
            <w:pPr>
              <w:jc w:val="both"/>
              <w:rPr>
                <w:sz w:val="22"/>
                <w:szCs w:val="22"/>
                <w:lang w:val="sr-Latn-ME" w:eastAsia="ja-JP"/>
              </w:rPr>
            </w:pPr>
            <w:r w:rsidRPr="00611C50">
              <w:rPr>
                <w:sz w:val="22"/>
                <w:szCs w:val="22"/>
                <w:lang w:val="sr-Latn-ME" w:eastAsia="ja-JP"/>
              </w:rPr>
              <w:t>Druga pojava bilo koje NR gradusa 2 ili 3 ili trajanje i nakon prekida terapije</w:t>
            </w:r>
          </w:p>
        </w:tc>
        <w:tc>
          <w:tcPr>
            <w:tcW w:w="5340" w:type="dxa"/>
            <w:tcBorders>
              <w:top w:val="single" w:sz="4" w:space="0" w:color="auto"/>
              <w:left w:val="single" w:sz="4" w:space="0" w:color="auto"/>
              <w:bottom w:val="single" w:sz="4" w:space="0" w:color="auto"/>
              <w:right w:val="single" w:sz="4" w:space="0" w:color="auto"/>
            </w:tcBorders>
            <w:hideMark/>
          </w:tcPr>
          <w:p w:rsidR="00F82442" w:rsidRPr="00611C50" w:rsidRDefault="00F82442" w:rsidP="00AD0CC1">
            <w:pPr>
              <w:jc w:val="both"/>
              <w:rPr>
                <w:sz w:val="22"/>
                <w:szCs w:val="22"/>
                <w:lang w:val="sr-Latn-ME" w:eastAsia="ja-JP"/>
              </w:rPr>
            </w:pPr>
            <w:r w:rsidRPr="00611C50">
              <w:rPr>
                <w:sz w:val="22"/>
                <w:szCs w:val="22"/>
                <w:lang w:val="sr-Latn-ME" w:eastAsia="ja-JP"/>
              </w:rPr>
              <w:t>Prekinuti terapiju do poboljšanja do gradusa 0 – 1. Nastaviti primjenu vemurafeniba u dozi od 480 mg dva puta dnevno (ili trajno obustaviti ako je doza već bila smanjivana na 480 mg dva puta dnevno).</w:t>
            </w:r>
          </w:p>
        </w:tc>
      </w:tr>
      <w:tr w:rsidR="00F82442" w:rsidRPr="00611C50" w:rsidTr="00F82442">
        <w:tc>
          <w:tcPr>
            <w:tcW w:w="3420" w:type="dxa"/>
            <w:tcBorders>
              <w:top w:val="single" w:sz="4" w:space="0" w:color="auto"/>
              <w:left w:val="single" w:sz="4" w:space="0" w:color="auto"/>
              <w:bottom w:val="single" w:sz="4" w:space="0" w:color="auto"/>
              <w:right w:val="single" w:sz="4" w:space="0" w:color="auto"/>
            </w:tcBorders>
            <w:hideMark/>
          </w:tcPr>
          <w:p w:rsidR="00F82442" w:rsidRPr="00611C50" w:rsidRDefault="00F82442" w:rsidP="00AD0CC1">
            <w:pPr>
              <w:jc w:val="both"/>
              <w:rPr>
                <w:sz w:val="22"/>
                <w:szCs w:val="22"/>
                <w:lang w:val="sr-Latn-ME" w:eastAsia="ja-JP"/>
              </w:rPr>
            </w:pPr>
            <w:r w:rsidRPr="00611C50">
              <w:rPr>
                <w:sz w:val="22"/>
                <w:szCs w:val="22"/>
                <w:lang w:val="sr-Latn-ME" w:eastAsia="ja-JP"/>
              </w:rPr>
              <w:t>Treća pojava bilo koje NR gradusa 2 ili 3 ili trajanje i nakon drugog smanjenja doze</w:t>
            </w:r>
          </w:p>
        </w:tc>
        <w:tc>
          <w:tcPr>
            <w:tcW w:w="5340" w:type="dxa"/>
            <w:tcBorders>
              <w:top w:val="single" w:sz="4" w:space="0" w:color="auto"/>
              <w:left w:val="single" w:sz="4" w:space="0" w:color="auto"/>
              <w:bottom w:val="single" w:sz="4" w:space="0" w:color="auto"/>
              <w:right w:val="single" w:sz="4" w:space="0" w:color="auto"/>
            </w:tcBorders>
            <w:hideMark/>
          </w:tcPr>
          <w:p w:rsidR="00F82442" w:rsidRPr="00611C50" w:rsidRDefault="00F82442" w:rsidP="00AD0CC1">
            <w:pPr>
              <w:jc w:val="both"/>
              <w:rPr>
                <w:sz w:val="22"/>
                <w:szCs w:val="22"/>
                <w:lang w:val="sr-Latn-ME" w:eastAsia="ja-JP"/>
              </w:rPr>
            </w:pPr>
            <w:r w:rsidRPr="00611C50">
              <w:rPr>
                <w:sz w:val="22"/>
                <w:szCs w:val="22"/>
                <w:lang w:val="sr-Latn-ME" w:eastAsia="ja-JP"/>
              </w:rPr>
              <w:t>Potpuno obustaviti.</w:t>
            </w:r>
          </w:p>
        </w:tc>
      </w:tr>
      <w:tr w:rsidR="00F82442" w:rsidRPr="00611C50" w:rsidTr="00F82442">
        <w:tc>
          <w:tcPr>
            <w:tcW w:w="3420" w:type="dxa"/>
            <w:tcBorders>
              <w:top w:val="single" w:sz="4" w:space="0" w:color="auto"/>
              <w:left w:val="single" w:sz="4" w:space="0" w:color="auto"/>
              <w:bottom w:val="single" w:sz="4" w:space="0" w:color="auto"/>
              <w:right w:val="single" w:sz="4" w:space="0" w:color="auto"/>
            </w:tcBorders>
            <w:hideMark/>
          </w:tcPr>
          <w:p w:rsidR="00F82442" w:rsidRPr="00611C50" w:rsidRDefault="00F82442" w:rsidP="00AD0CC1">
            <w:pPr>
              <w:jc w:val="both"/>
              <w:rPr>
                <w:b/>
                <w:i/>
                <w:sz w:val="22"/>
                <w:szCs w:val="22"/>
                <w:lang w:val="sr-Latn-ME" w:eastAsia="ja-JP"/>
              </w:rPr>
            </w:pPr>
            <w:r w:rsidRPr="00611C50">
              <w:rPr>
                <w:b/>
                <w:sz w:val="22"/>
                <w:szCs w:val="22"/>
                <w:lang w:val="sr-Latn-ME" w:eastAsia="ja-JP"/>
              </w:rPr>
              <w:t>Gradus 4</w:t>
            </w:r>
          </w:p>
        </w:tc>
        <w:tc>
          <w:tcPr>
            <w:tcW w:w="5340" w:type="dxa"/>
            <w:tcBorders>
              <w:top w:val="single" w:sz="4" w:space="0" w:color="auto"/>
              <w:left w:val="single" w:sz="4" w:space="0" w:color="auto"/>
              <w:bottom w:val="single" w:sz="4" w:space="0" w:color="auto"/>
              <w:right w:val="single" w:sz="4" w:space="0" w:color="auto"/>
            </w:tcBorders>
          </w:tcPr>
          <w:p w:rsidR="00F82442" w:rsidRPr="00611C50" w:rsidRDefault="00F82442" w:rsidP="00AD0CC1">
            <w:pPr>
              <w:jc w:val="both"/>
              <w:rPr>
                <w:sz w:val="22"/>
                <w:szCs w:val="22"/>
                <w:lang w:val="sr-Latn-ME" w:eastAsia="ja-JP"/>
              </w:rPr>
            </w:pPr>
          </w:p>
        </w:tc>
      </w:tr>
      <w:tr w:rsidR="00F82442" w:rsidRPr="00611C50" w:rsidTr="00F82442">
        <w:tc>
          <w:tcPr>
            <w:tcW w:w="3420" w:type="dxa"/>
            <w:tcBorders>
              <w:top w:val="single" w:sz="4" w:space="0" w:color="auto"/>
              <w:left w:val="single" w:sz="6" w:space="0" w:color="000000"/>
              <w:bottom w:val="single" w:sz="4" w:space="0" w:color="auto"/>
              <w:right w:val="single" w:sz="6" w:space="0" w:color="000000"/>
            </w:tcBorders>
            <w:hideMark/>
          </w:tcPr>
          <w:p w:rsidR="00F82442" w:rsidRPr="00611C50" w:rsidRDefault="00F82442" w:rsidP="00AD0CC1">
            <w:pPr>
              <w:jc w:val="both"/>
              <w:rPr>
                <w:sz w:val="22"/>
                <w:szCs w:val="22"/>
                <w:lang w:val="sr-Latn-ME" w:eastAsia="ja-JP"/>
              </w:rPr>
            </w:pPr>
            <w:r w:rsidRPr="00611C50">
              <w:rPr>
                <w:sz w:val="22"/>
                <w:szCs w:val="22"/>
                <w:lang w:val="sr-Latn-ME" w:eastAsia="ja-JP"/>
              </w:rPr>
              <w:t>Prva pojava bilo koje NR gradusa 4</w:t>
            </w:r>
          </w:p>
        </w:tc>
        <w:tc>
          <w:tcPr>
            <w:tcW w:w="5340" w:type="dxa"/>
            <w:tcBorders>
              <w:top w:val="single" w:sz="4" w:space="0" w:color="auto"/>
              <w:left w:val="single" w:sz="6" w:space="0" w:color="000000"/>
              <w:bottom w:val="single" w:sz="4" w:space="0" w:color="auto"/>
              <w:right w:val="single" w:sz="4" w:space="0" w:color="auto"/>
            </w:tcBorders>
            <w:hideMark/>
          </w:tcPr>
          <w:p w:rsidR="00F82442" w:rsidRPr="00611C50" w:rsidRDefault="00F82442" w:rsidP="00AD0CC1">
            <w:pPr>
              <w:jc w:val="both"/>
              <w:rPr>
                <w:sz w:val="22"/>
                <w:szCs w:val="22"/>
                <w:lang w:val="sr-Latn-ME" w:eastAsia="ja-JP"/>
              </w:rPr>
            </w:pPr>
            <w:r w:rsidRPr="00611C50">
              <w:rPr>
                <w:sz w:val="22"/>
                <w:szCs w:val="22"/>
                <w:lang w:val="sr-Latn-ME" w:eastAsia="ja-JP"/>
              </w:rPr>
              <w:t xml:space="preserve">Potpuno obustaviti ili prekinuti davanje vemurafeniba do poboljšanja do gradusa 0 – 1. </w:t>
            </w:r>
          </w:p>
          <w:p w:rsidR="00F82442" w:rsidRPr="00611C50" w:rsidRDefault="00F82442" w:rsidP="00AD0CC1">
            <w:pPr>
              <w:jc w:val="both"/>
              <w:rPr>
                <w:sz w:val="22"/>
                <w:szCs w:val="22"/>
                <w:lang w:val="sr-Latn-ME" w:eastAsia="ja-JP"/>
              </w:rPr>
            </w:pPr>
            <w:r w:rsidRPr="00611C50">
              <w:rPr>
                <w:sz w:val="22"/>
                <w:szCs w:val="22"/>
                <w:lang w:val="sr-Latn-ME" w:eastAsia="ja-JP"/>
              </w:rPr>
              <w:t>Zadržati doziranje na 480 mg dva puta dnevno (ili trajno obustaviti ako je doza već bila smanjivana na 480 mg dva puta dnevno).</w:t>
            </w:r>
          </w:p>
          <w:p w:rsidR="00F82442" w:rsidRPr="00611C50" w:rsidRDefault="00F82442" w:rsidP="00AD0CC1">
            <w:pPr>
              <w:jc w:val="both"/>
              <w:rPr>
                <w:sz w:val="22"/>
                <w:szCs w:val="22"/>
                <w:lang w:val="sr-Latn-ME" w:eastAsia="ja-JP"/>
              </w:rPr>
            </w:pPr>
            <w:r w:rsidRPr="00611C50">
              <w:rPr>
                <w:sz w:val="22"/>
                <w:szCs w:val="22"/>
                <w:lang w:val="sr-Latn-ME" w:eastAsia="ja-JP"/>
              </w:rPr>
              <w:t xml:space="preserve"> </w:t>
            </w:r>
          </w:p>
        </w:tc>
      </w:tr>
      <w:tr w:rsidR="00F82442" w:rsidRPr="00611C50" w:rsidTr="00F82442">
        <w:tc>
          <w:tcPr>
            <w:tcW w:w="3420" w:type="dxa"/>
            <w:tcBorders>
              <w:top w:val="single" w:sz="4" w:space="0" w:color="auto"/>
              <w:left w:val="single" w:sz="6" w:space="0" w:color="000000"/>
              <w:bottom w:val="single" w:sz="6" w:space="0" w:color="000000"/>
              <w:right w:val="single" w:sz="6" w:space="0" w:color="000000"/>
            </w:tcBorders>
            <w:hideMark/>
          </w:tcPr>
          <w:p w:rsidR="00F82442" w:rsidRPr="00611C50" w:rsidRDefault="00F82442" w:rsidP="00AD0CC1">
            <w:pPr>
              <w:jc w:val="both"/>
              <w:rPr>
                <w:sz w:val="22"/>
                <w:szCs w:val="22"/>
                <w:lang w:val="sr-Latn-ME" w:eastAsia="ja-JP"/>
              </w:rPr>
            </w:pPr>
            <w:r w:rsidRPr="00611C50">
              <w:rPr>
                <w:sz w:val="22"/>
                <w:szCs w:val="22"/>
                <w:lang w:val="sr-Latn-ME" w:eastAsia="ja-JP"/>
              </w:rPr>
              <w:t>Druga pojava bilo koje NR gradusa 4 ili trajanje bilo koje NR gradusa 4 i nakon prvog smanjenja doze</w:t>
            </w:r>
          </w:p>
        </w:tc>
        <w:tc>
          <w:tcPr>
            <w:tcW w:w="5340" w:type="dxa"/>
            <w:tcBorders>
              <w:top w:val="single" w:sz="4" w:space="0" w:color="auto"/>
              <w:left w:val="single" w:sz="6" w:space="0" w:color="000000"/>
              <w:bottom w:val="single" w:sz="6" w:space="0" w:color="000000"/>
              <w:right w:val="single" w:sz="6" w:space="0" w:color="000000"/>
            </w:tcBorders>
            <w:hideMark/>
          </w:tcPr>
          <w:p w:rsidR="00F82442" w:rsidRPr="00611C50" w:rsidRDefault="00F82442" w:rsidP="00AD0CC1">
            <w:pPr>
              <w:jc w:val="both"/>
              <w:rPr>
                <w:sz w:val="22"/>
                <w:szCs w:val="22"/>
                <w:lang w:val="sr-Latn-ME" w:eastAsia="ja-JP"/>
              </w:rPr>
            </w:pPr>
            <w:r w:rsidRPr="00611C50">
              <w:rPr>
                <w:sz w:val="22"/>
                <w:szCs w:val="22"/>
                <w:lang w:val="sr-Latn-ME" w:eastAsia="ja-JP"/>
              </w:rPr>
              <w:t xml:space="preserve">Potpuno obustaviti. </w:t>
            </w:r>
          </w:p>
        </w:tc>
      </w:tr>
    </w:tbl>
    <w:p w:rsidR="00F82442" w:rsidRPr="00611C50" w:rsidRDefault="00F82442" w:rsidP="00AD0CC1">
      <w:pPr>
        <w:jc w:val="both"/>
        <w:rPr>
          <w:sz w:val="22"/>
          <w:szCs w:val="22"/>
          <w:lang w:val="sr-Latn-ME" w:eastAsia="ja-JP"/>
        </w:rPr>
      </w:pPr>
      <w:r w:rsidRPr="00611C50">
        <w:rPr>
          <w:b/>
          <w:sz w:val="22"/>
          <w:szCs w:val="22"/>
          <w:vertAlign w:val="superscript"/>
          <w:lang w:val="sr-Latn-ME" w:eastAsia="ja-JP"/>
        </w:rPr>
        <w:t>(a)</w:t>
      </w:r>
      <w:r w:rsidRPr="00611C50">
        <w:rPr>
          <w:sz w:val="22"/>
          <w:szCs w:val="22"/>
          <w:lang w:val="sr-Latn-ME" w:eastAsia="ja-JP"/>
        </w:rPr>
        <w:t>Intenzitet kliničkih neželjenih događaja proc</w:t>
      </w:r>
      <w:r w:rsidR="00611C50">
        <w:rPr>
          <w:sz w:val="22"/>
          <w:szCs w:val="22"/>
          <w:lang w:val="sr-Latn-ME" w:eastAsia="ja-JP"/>
        </w:rPr>
        <w:t>i</w:t>
      </w:r>
      <w:r w:rsidRPr="00611C50">
        <w:rPr>
          <w:sz w:val="22"/>
          <w:szCs w:val="22"/>
          <w:lang w:val="sr-Latn-ME" w:eastAsia="ja-JP"/>
        </w:rPr>
        <w:t>jenjenih na osnovu Opštih kriterijuma terminologije za neželjene događaje v4.0  (CTC-AE).</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lang w:val="sr-Latn-ME" w:eastAsia="ja-JP"/>
        </w:rPr>
      </w:pPr>
      <w:r w:rsidRPr="00611C50">
        <w:rPr>
          <w:sz w:val="22"/>
          <w:szCs w:val="22"/>
          <w:lang w:val="sr-Latn-ME" w:eastAsia="ja-JP"/>
        </w:rPr>
        <w:t>Produženje QT intervala, zavisno od trajanja terapije, primjećeno je u nekontrolisanoj, otvorenoj studiji faze II kod prethodno liječenih pacijenata sa metastatskim melanomom. Kupiranje produženja QTc intervala može zaht</w:t>
      </w:r>
      <w:r w:rsidR="00611C50">
        <w:rPr>
          <w:sz w:val="22"/>
          <w:szCs w:val="22"/>
          <w:lang w:val="sr-Latn-ME" w:eastAsia="ja-JP"/>
        </w:rPr>
        <w:t>i</w:t>
      </w:r>
      <w:r w:rsidRPr="00611C50">
        <w:rPr>
          <w:sz w:val="22"/>
          <w:szCs w:val="22"/>
          <w:lang w:val="sr-Latn-ME" w:eastAsia="ja-JP"/>
        </w:rPr>
        <w:t>jevati posebne mjere praćenja (vidjeti dio 4.4).</w:t>
      </w:r>
    </w:p>
    <w:p w:rsidR="00F82442" w:rsidRPr="00611C50" w:rsidRDefault="00F82442" w:rsidP="00AD0CC1">
      <w:pPr>
        <w:jc w:val="both"/>
        <w:rPr>
          <w:sz w:val="22"/>
          <w:szCs w:val="22"/>
          <w:lang w:val="sr-Latn-ME" w:eastAsia="ja-JP"/>
        </w:rPr>
      </w:pPr>
    </w:p>
    <w:p w:rsidR="00F82442" w:rsidRPr="00611C50" w:rsidRDefault="00F82442" w:rsidP="00AD0CC1">
      <w:pPr>
        <w:jc w:val="both"/>
        <w:rPr>
          <w:b/>
          <w:sz w:val="22"/>
          <w:szCs w:val="22"/>
          <w:lang w:val="sr-Latn-ME" w:eastAsia="ja-JP"/>
        </w:rPr>
      </w:pPr>
      <w:r w:rsidRPr="00611C50">
        <w:rPr>
          <w:b/>
          <w:sz w:val="22"/>
          <w:szCs w:val="22"/>
          <w:lang w:val="sr-Latn-ME" w:eastAsia="ja-JP"/>
        </w:rPr>
        <w:t>Tabela 2: Raspored modifikacije doze na osnovu produžetka QT intervala</w:t>
      </w:r>
    </w:p>
    <w:p w:rsidR="00F82442" w:rsidRPr="00611C50" w:rsidRDefault="00F82442" w:rsidP="00AD0CC1">
      <w:pPr>
        <w:jc w:val="both"/>
        <w:rPr>
          <w:sz w:val="22"/>
          <w:szCs w:val="22"/>
          <w:lang w:val="sr-Latn-ME" w:eastAsia="ja-JP"/>
        </w:rPr>
      </w:pPr>
    </w:p>
    <w:tbl>
      <w:tblPr>
        <w:tblW w:w="0" w:type="dxa"/>
        <w:tblInd w:w="108" w:type="dxa"/>
        <w:tblBorders>
          <w:top w:val="single" w:sz="6" w:space="0" w:color="000000"/>
          <w:bottom w:val="single" w:sz="6" w:space="0" w:color="000000"/>
          <w:insideV w:val="single" w:sz="6" w:space="0" w:color="000000"/>
        </w:tblBorders>
        <w:tblLayout w:type="fixed"/>
        <w:tblLook w:val="04A0" w:firstRow="1" w:lastRow="0" w:firstColumn="1" w:lastColumn="0" w:noHBand="0" w:noVBand="1"/>
      </w:tblPr>
      <w:tblGrid>
        <w:gridCol w:w="3420"/>
        <w:gridCol w:w="5340"/>
      </w:tblGrid>
      <w:tr w:rsidR="00F82442" w:rsidRPr="00611C50" w:rsidTr="00F82442">
        <w:trPr>
          <w:tblHeader/>
        </w:trPr>
        <w:tc>
          <w:tcPr>
            <w:tcW w:w="3420" w:type="dxa"/>
            <w:tcBorders>
              <w:top w:val="single" w:sz="6" w:space="0" w:color="000000"/>
              <w:left w:val="single" w:sz="6" w:space="0" w:color="000000"/>
              <w:bottom w:val="single" w:sz="4" w:space="0" w:color="auto"/>
              <w:right w:val="single" w:sz="6" w:space="0" w:color="000000"/>
            </w:tcBorders>
            <w:hideMark/>
          </w:tcPr>
          <w:p w:rsidR="00F82442" w:rsidRPr="00611C50" w:rsidRDefault="00F82442" w:rsidP="00AD0CC1">
            <w:pPr>
              <w:jc w:val="both"/>
              <w:rPr>
                <w:b/>
                <w:sz w:val="22"/>
                <w:szCs w:val="22"/>
                <w:lang w:val="sr-Latn-ME" w:eastAsia="ja-JP"/>
              </w:rPr>
            </w:pPr>
            <w:r w:rsidRPr="00611C50">
              <w:rPr>
                <w:b/>
                <w:sz w:val="22"/>
                <w:szCs w:val="22"/>
                <w:lang w:val="sr-Latn-ME" w:eastAsia="ja-JP"/>
              </w:rPr>
              <w:t>QTc vrijednost</w:t>
            </w:r>
          </w:p>
        </w:tc>
        <w:tc>
          <w:tcPr>
            <w:tcW w:w="5340" w:type="dxa"/>
            <w:tcBorders>
              <w:top w:val="single" w:sz="6" w:space="0" w:color="000000"/>
              <w:left w:val="single" w:sz="6" w:space="0" w:color="000000"/>
              <w:bottom w:val="single" w:sz="4" w:space="0" w:color="auto"/>
              <w:right w:val="single" w:sz="4" w:space="0" w:color="auto"/>
            </w:tcBorders>
            <w:hideMark/>
          </w:tcPr>
          <w:p w:rsidR="00F82442" w:rsidRPr="00611C50" w:rsidRDefault="00F82442" w:rsidP="00AD0CC1">
            <w:pPr>
              <w:jc w:val="both"/>
              <w:rPr>
                <w:b/>
                <w:sz w:val="22"/>
                <w:szCs w:val="22"/>
                <w:lang w:val="sr-Latn-ME" w:eastAsia="ja-JP"/>
              </w:rPr>
            </w:pPr>
            <w:r w:rsidRPr="00611C50">
              <w:rPr>
                <w:b/>
                <w:sz w:val="22"/>
                <w:szCs w:val="22"/>
                <w:lang w:val="sr-Latn-ME" w:eastAsia="ja-JP"/>
              </w:rPr>
              <w:t xml:space="preserve">Preporučena modifikacija doze </w:t>
            </w:r>
          </w:p>
        </w:tc>
      </w:tr>
      <w:tr w:rsidR="00F82442" w:rsidRPr="00611C50" w:rsidTr="00F82442">
        <w:tc>
          <w:tcPr>
            <w:tcW w:w="3420" w:type="dxa"/>
            <w:tcBorders>
              <w:top w:val="single" w:sz="4" w:space="0" w:color="auto"/>
              <w:left w:val="single" w:sz="4" w:space="0" w:color="auto"/>
              <w:bottom w:val="single" w:sz="4" w:space="0" w:color="auto"/>
              <w:right w:val="single" w:sz="4" w:space="0" w:color="auto"/>
            </w:tcBorders>
          </w:tcPr>
          <w:p w:rsidR="00F82442" w:rsidRPr="00611C50" w:rsidRDefault="00F82442" w:rsidP="00AD0CC1">
            <w:pPr>
              <w:jc w:val="both"/>
              <w:rPr>
                <w:sz w:val="22"/>
                <w:szCs w:val="22"/>
                <w:lang w:val="sr-Latn-ME" w:eastAsia="ja-JP"/>
              </w:rPr>
            </w:pPr>
            <w:r w:rsidRPr="00611C50">
              <w:rPr>
                <w:sz w:val="22"/>
                <w:szCs w:val="22"/>
                <w:lang w:val="sr-Latn-ME" w:eastAsia="ja-JP"/>
              </w:rPr>
              <w:t>QTc&gt;500 ms na uključenju</w:t>
            </w:r>
          </w:p>
          <w:p w:rsidR="00F82442" w:rsidRPr="00611C50" w:rsidRDefault="00F82442" w:rsidP="00AD0CC1">
            <w:pPr>
              <w:jc w:val="both"/>
              <w:rPr>
                <w:sz w:val="22"/>
                <w:szCs w:val="22"/>
                <w:lang w:val="sr-Latn-ME" w:eastAsia="ja-JP"/>
              </w:rPr>
            </w:pPr>
          </w:p>
        </w:tc>
        <w:tc>
          <w:tcPr>
            <w:tcW w:w="5340" w:type="dxa"/>
            <w:tcBorders>
              <w:top w:val="single" w:sz="4" w:space="0" w:color="auto"/>
              <w:left w:val="single" w:sz="4" w:space="0" w:color="auto"/>
              <w:bottom w:val="single" w:sz="4" w:space="0" w:color="auto"/>
              <w:right w:val="single" w:sz="4" w:space="0" w:color="auto"/>
            </w:tcBorders>
            <w:hideMark/>
          </w:tcPr>
          <w:p w:rsidR="00F82442" w:rsidRPr="00611C50" w:rsidRDefault="00F82442" w:rsidP="00AD0CC1">
            <w:pPr>
              <w:jc w:val="both"/>
              <w:rPr>
                <w:sz w:val="22"/>
                <w:szCs w:val="22"/>
                <w:lang w:val="sr-Latn-ME" w:eastAsia="ja-JP"/>
              </w:rPr>
            </w:pPr>
            <w:r w:rsidRPr="00611C50">
              <w:rPr>
                <w:sz w:val="22"/>
                <w:szCs w:val="22"/>
                <w:lang w:val="sr-Latn-ME" w:eastAsia="ja-JP"/>
              </w:rPr>
              <w:t>Terapija se ne preporučuje.</w:t>
            </w:r>
          </w:p>
        </w:tc>
      </w:tr>
      <w:tr w:rsidR="00F82442" w:rsidRPr="00611C50" w:rsidTr="00F82442">
        <w:tc>
          <w:tcPr>
            <w:tcW w:w="3420" w:type="dxa"/>
            <w:tcBorders>
              <w:top w:val="single" w:sz="4" w:space="0" w:color="auto"/>
              <w:left w:val="single" w:sz="4" w:space="0" w:color="auto"/>
              <w:bottom w:val="single" w:sz="4" w:space="0" w:color="auto"/>
              <w:right w:val="single" w:sz="4" w:space="0" w:color="auto"/>
            </w:tcBorders>
            <w:hideMark/>
          </w:tcPr>
          <w:p w:rsidR="00F82442" w:rsidRPr="00611C50" w:rsidRDefault="00F82442" w:rsidP="00AD0CC1">
            <w:pPr>
              <w:jc w:val="both"/>
              <w:rPr>
                <w:sz w:val="22"/>
                <w:szCs w:val="22"/>
                <w:lang w:val="sr-Latn-ME" w:eastAsia="ja-JP"/>
              </w:rPr>
            </w:pPr>
            <w:r w:rsidRPr="00611C50">
              <w:rPr>
                <w:sz w:val="22"/>
                <w:szCs w:val="22"/>
                <w:lang w:val="sr-Latn-ME" w:eastAsia="ja-JP"/>
              </w:rPr>
              <w:t>QTc povećanje ima vrijednosti &gt;500 ms i &gt;60 ms promjene od preterapijske vrijednosti</w:t>
            </w:r>
          </w:p>
        </w:tc>
        <w:tc>
          <w:tcPr>
            <w:tcW w:w="5340" w:type="dxa"/>
            <w:tcBorders>
              <w:top w:val="single" w:sz="4" w:space="0" w:color="auto"/>
              <w:left w:val="single" w:sz="4" w:space="0" w:color="auto"/>
              <w:bottom w:val="single" w:sz="4" w:space="0" w:color="auto"/>
              <w:right w:val="single" w:sz="4" w:space="0" w:color="auto"/>
            </w:tcBorders>
          </w:tcPr>
          <w:p w:rsidR="00F82442" w:rsidRPr="00611C50" w:rsidRDefault="00F82442" w:rsidP="00AD0CC1">
            <w:pPr>
              <w:jc w:val="both"/>
              <w:rPr>
                <w:sz w:val="22"/>
                <w:szCs w:val="22"/>
                <w:lang w:val="sr-Latn-ME" w:eastAsia="ja-JP"/>
              </w:rPr>
            </w:pPr>
            <w:r w:rsidRPr="00611C50">
              <w:rPr>
                <w:sz w:val="22"/>
                <w:szCs w:val="22"/>
                <w:lang w:val="sr-Latn-ME" w:eastAsia="ja-JP"/>
              </w:rPr>
              <w:t>Potpuno obustaviti.</w:t>
            </w:r>
          </w:p>
          <w:p w:rsidR="00F82442" w:rsidRPr="00611C50" w:rsidRDefault="00F82442" w:rsidP="00AD0CC1">
            <w:pPr>
              <w:jc w:val="both"/>
              <w:rPr>
                <w:sz w:val="22"/>
                <w:szCs w:val="22"/>
                <w:lang w:val="sr-Latn-ME" w:eastAsia="ja-JP"/>
              </w:rPr>
            </w:pPr>
          </w:p>
        </w:tc>
      </w:tr>
      <w:tr w:rsidR="00F82442" w:rsidRPr="00611C50" w:rsidTr="00F82442">
        <w:tc>
          <w:tcPr>
            <w:tcW w:w="3420" w:type="dxa"/>
            <w:tcBorders>
              <w:top w:val="single" w:sz="4" w:space="0" w:color="auto"/>
              <w:left w:val="single" w:sz="4" w:space="0" w:color="auto"/>
              <w:bottom w:val="single" w:sz="4" w:space="0" w:color="auto"/>
              <w:right w:val="single" w:sz="4" w:space="0" w:color="auto"/>
            </w:tcBorders>
            <w:hideMark/>
          </w:tcPr>
          <w:p w:rsidR="00F82442" w:rsidRPr="00611C50" w:rsidRDefault="00F82442" w:rsidP="00AD0CC1">
            <w:pPr>
              <w:jc w:val="both"/>
              <w:rPr>
                <w:sz w:val="22"/>
                <w:szCs w:val="22"/>
                <w:lang w:val="sr-Latn-ME" w:eastAsia="ja-JP"/>
              </w:rPr>
            </w:pPr>
            <w:r w:rsidRPr="00611C50">
              <w:rPr>
                <w:sz w:val="22"/>
                <w:szCs w:val="22"/>
                <w:lang w:val="sr-Latn-ME" w:eastAsia="ja-JP"/>
              </w:rPr>
              <w:lastRenderedPageBreak/>
              <w:t>Prva pojava QTc &gt;500 ms tokom terapije i promjena preterapijske vrijednosti ostaje &lt;60 ms</w:t>
            </w:r>
          </w:p>
        </w:tc>
        <w:tc>
          <w:tcPr>
            <w:tcW w:w="5340" w:type="dxa"/>
            <w:tcBorders>
              <w:top w:val="single" w:sz="4" w:space="0" w:color="auto"/>
              <w:left w:val="single" w:sz="4" w:space="0" w:color="auto"/>
              <w:bottom w:val="single" w:sz="4" w:space="0" w:color="auto"/>
              <w:right w:val="single" w:sz="4" w:space="0" w:color="auto"/>
            </w:tcBorders>
            <w:hideMark/>
          </w:tcPr>
          <w:p w:rsidR="00F82442" w:rsidRPr="00611C50" w:rsidRDefault="00F82442" w:rsidP="00AD0CC1">
            <w:pPr>
              <w:jc w:val="both"/>
              <w:rPr>
                <w:sz w:val="22"/>
                <w:szCs w:val="22"/>
                <w:lang w:val="sr-Latn-ME" w:eastAsia="ja-JP"/>
              </w:rPr>
            </w:pPr>
            <w:r w:rsidRPr="00611C50">
              <w:rPr>
                <w:sz w:val="22"/>
                <w:szCs w:val="22"/>
                <w:lang w:val="sr-Latn-ME" w:eastAsia="ja-JP"/>
              </w:rPr>
              <w:t>Prijevremeno prekinuti terapiju do smanjenja QTc na ispod 500 ms.</w:t>
            </w:r>
          </w:p>
          <w:p w:rsidR="00F82442" w:rsidRPr="00611C50" w:rsidRDefault="00F82442" w:rsidP="00AD0CC1">
            <w:pPr>
              <w:jc w:val="both"/>
              <w:rPr>
                <w:sz w:val="22"/>
                <w:szCs w:val="22"/>
                <w:lang w:val="sr-Latn-ME" w:eastAsia="ja-JP"/>
              </w:rPr>
            </w:pPr>
            <w:r w:rsidRPr="00611C50">
              <w:rPr>
                <w:sz w:val="22"/>
                <w:szCs w:val="22"/>
                <w:lang w:val="sr-Latn-ME" w:eastAsia="ja-JP"/>
              </w:rPr>
              <w:t>Vidjeti mjere praćenja u djelu 4.4.</w:t>
            </w:r>
          </w:p>
          <w:p w:rsidR="00F82442" w:rsidRPr="00611C50" w:rsidRDefault="00F82442" w:rsidP="00AD0CC1">
            <w:pPr>
              <w:jc w:val="both"/>
              <w:rPr>
                <w:sz w:val="22"/>
                <w:szCs w:val="22"/>
                <w:lang w:val="sr-Latn-ME" w:eastAsia="ja-JP"/>
              </w:rPr>
            </w:pPr>
            <w:r w:rsidRPr="00611C50">
              <w:rPr>
                <w:sz w:val="22"/>
                <w:szCs w:val="22"/>
                <w:lang w:val="sr-Latn-ME" w:eastAsia="ja-JP"/>
              </w:rPr>
              <w:t>Nastaviti primjenu vemurafeniba u dozi od 720 mg dva puta dnevno (ili 480 mg dva puta dnevno ako je doza već bila smanjivana).</w:t>
            </w:r>
          </w:p>
        </w:tc>
      </w:tr>
      <w:tr w:rsidR="00F82442" w:rsidRPr="00611C50" w:rsidTr="00F82442">
        <w:tc>
          <w:tcPr>
            <w:tcW w:w="3420" w:type="dxa"/>
            <w:tcBorders>
              <w:top w:val="single" w:sz="4" w:space="0" w:color="auto"/>
              <w:left w:val="single" w:sz="4" w:space="0" w:color="auto"/>
              <w:bottom w:val="single" w:sz="4" w:space="0" w:color="auto"/>
              <w:right w:val="single" w:sz="4" w:space="0" w:color="auto"/>
            </w:tcBorders>
            <w:hideMark/>
          </w:tcPr>
          <w:p w:rsidR="00F82442" w:rsidRPr="00611C50" w:rsidRDefault="00F82442" w:rsidP="00AD0CC1">
            <w:pPr>
              <w:jc w:val="both"/>
              <w:rPr>
                <w:sz w:val="22"/>
                <w:szCs w:val="22"/>
                <w:lang w:val="sr-Latn-ME" w:eastAsia="ja-JP"/>
              </w:rPr>
            </w:pPr>
            <w:r w:rsidRPr="00611C50">
              <w:rPr>
                <w:sz w:val="22"/>
                <w:szCs w:val="22"/>
                <w:lang w:val="sr-Latn-ME" w:eastAsia="ja-JP"/>
              </w:rPr>
              <w:t>Druga pojava QTc &gt;500 ms tokom terapije i promjena preterapijske vrijednosti ostaje &lt;60 ms</w:t>
            </w:r>
          </w:p>
        </w:tc>
        <w:tc>
          <w:tcPr>
            <w:tcW w:w="5340" w:type="dxa"/>
            <w:tcBorders>
              <w:top w:val="single" w:sz="4" w:space="0" w:color="auto"/>
              <w:left w:val="single" w:sz="4" w:space="0" w:color="auto"/>
              <w:bottom w:val="single" w:sz="4" w:space="0" w:color="auto"/>
              <w:right w:val="single" w:sz="4" w:space="0" w:color="auto"/>
            </w:tcBorders>
            <w:hideMark/>
          </w:tcPr>
          <w:p w:rsidR="00F82442" w:rsidRPr="00611C50" w:rsidRDefault="00F82442" w:rsidP="00AD0CC1">
            <w:pPr>
              <w:jc w:val="both"/>
              <w:rPr>
                <w:sz w:val="22"/>
                <w:szCs w:val="22"/>
                <w:lang w:val="sr-Latn-ME" w:eastAsia="ja-JP"/>
              </w:rPr>
            </w:pPr>
            <w:r w:rsidRPr="00611C50">
              <w:rPr>
                <w:sz w:val="22"/>
                <w:szCs w:val="22"/>
                <w:lang w:val="sr-Latn-ME" w:eastAsia="ja-JP"/>
              </w:rPr>
              <w:t>Prijevremeno prekinuti terapiju do smanjenja QTc na ispod 500 ms.</w:t>
            </w:r>
          </w:p>
          <w:p w:rsidR="00F82442" w:rsidRPr="00611C50" w:rsidRDefault="00F82442" w:rsidP="00AD0CC1">
            <w:pPr>
              <w:jc w:val="both"/>
              <w:rPr>
                <w:sz w:val="22"/>
                <w:szCs w:val="22"/>
                <w:lang w:val="sr-Latn-ME" w:eastAsia="ja-JP"/>
              </w:rPr>
            </w:pPr>
            <w:r w:rsidRPr="00611C50">
              <w:rPr>
                <w:sz w:val="22"/>
                <w:szCs w:val="22"/>
                <w:lang w:val="sr-Latn-ME" w:eastAsia="ja-JP"/>
              </w:rPr>
              <w:t>Vidjeti mjere praćenja u djelu 4.4.</w:t>
            </w:r>
          </w:p>
          <w:p w:rsidR="00F82442" w:rsidRPr="00611C50" w:rsidRDefault="00F82442" w:rsidP="00AD0CC1">
            <w:pPr>
              <w:jc w:val="both"/>
              <w:rPr>
                <w:sz w:val="22"/>
                <w:szCs w:val="22"/>
                <w:lang w:val="sr-Latn-ME" w:eastAsia="ja-JP"/>
              </w:rPr>
            </w:pPr>
            <w:r w:rsidRPr="00611C50">
              <w:rPr>
                <w:sz w:val="22"/>
                <w:szCs w:val="22"/>
                <w:lang w:val="sr-Latn-ME" w:eastAsia="ja-JP"/>
              </w:rPr>
              <w:t>Nastaviti primjenu vemurafeniba u dozi od 480 mg dva puta dnevno (ili potpuno obustaviti ako je doza već bila smanjivana na 480 mg dvaput dnevno).</w:t>
            </w:r>
          </w:p>
        </w:tc>
      </w:tr>
      <w:tr w:rsidR="00F82442" w:rsidRPr="00611C50" w:rsidTr="00F82442">
        <w:tc>
          <w:tcPr>
            <w:tcW w:w="3420" w:type="dxa"/>
            <w:tcBorders>
              <w:top w:val="single" w:sz="4" w:space="0" w:color="auto"/>
              <w:left w:val="single" w:sz="4" w:space="0" w:color="auto"/>
              <w:bottom w:val="single" w:sz="4" w:space="0" w:color="auto"/>
              <w:right w:val="single" w:sz="4" w:space="0" w:color="auto"/>
            </w:tcBorders>
            <w:hideMark/>
          </w:tcPr>
          <w:p w:rsidR="00F82442" w:rsidRPr="00611C50" w:rsidRDefault="00F82442" w:rsidP="00AD0CC1">
            <w:pPr>
              <w:jc w:val="both"/>
              <w:rPr>
                <w:sz w:val="22"/>
                <w:szCs w:val="22"/>
                <w:lang w:val="sr-Latn-ME" w:eastAsia="ja-JP"/>
              </w:rPr>
            </w:pPr>
            <w:r w:rsidRPr="00611C50">
              <w:rPr>
                <w:sz w:val="22"/>
                <w:szCs w:val="22"/>
                <w:lang w:val="sr-Latn-ME" w:eastAsia="ja-JP"/>
              </w:rPr>
              <w:t>Treća pojava QTc &gt;500 ms tokom terapije i promjena preterapijske vrijednosti ostaje &lt;60 ms</w:t>
            </w:r>
          </w:p>
        </w:tc>
        <w:tc>
          <w:tcPr>
            <w:tcW w:w="5340" w:type="dxa"/>
            <w:tcBorders>
              <w:top w:val="single" w:sz="4" w:space="0" w:color="auto"/>
              <w:left w:val="single" w:sz="4" w:space="0" w:color="auto"/>
              <w:bottom w:val="single" w:sz="4" w:space="0" w:color="auto"/>
              <w:right w:val="single" w:sz="4" w:space="0" w:color="auto"/>
            </w:tcBorders>
          </w:tcPr>
          <w:p w:rsidR="00F82442" w:rsidRPr="00611C50" w:rsidRDefault="00F82442" w:rsidP="00AD0CC1">
            <w:pPr>
              <w:jc w:val="both"/>
              <w:rPr>
                <w:sz w:val="22"/>
                <w:szCs w:val="22"/>
                <w:lang w:val="sr-Latn-ME" w:eastAsia="ja-JP"/>
              </w:rPr>
            </w:pPr>
            <w:r w:rsidRPr="00611C50">
              <w:rPr>
                <w:sz w:val="22"/>
                <w:szCs w:val="22"/>
                <w:lang w:val="sr-Latn-ME" w:eastAsia="ja-JP"/>
              </w:rPr>
              <w:t>Potpuno obustaviti.</w:t>
            </w:r>
          </w:p>
          <w:p w:rsidR="00F82442" w:rsidRPr="00611C50" w:rsidRDefault="00F82442" w:rsidP="00AD0CC1">
            <w:pPr>
              <w:jc w:val="both"/>
              <w:rPr>
                <w:sz w:val="22"/>
                <w:szCs w:val="22"/>
                <w:lang w:val="sr-Latn-ME" w:eastAsia="ja-JP"/>
              </w:rPr>
            </w:pPr>
          </w:p>
        </w:tc>
      </w:tr>
    </w:tbl>
    <w:p w:rsidR="00F82442" w:rsidRPr="00611C50" w:rsidRDefault="00F82442" w:rsidP="00AD0CC1">
      <w:pPr>
        <w:jc w:val="both"/>
        <w:rPr>
          <w:sz w:val="22"/>
          <w:szCs w:val="22"/>
          <w:lang w:val="sr-Latn-ME" w:eastAsia="ja-JP"/>
        </w:rPr>
      </w:pPr>
    </w:p>
    <w:p w:rsidR="00F82442" w:rsidRPr="00611C50" w:rsidRDefault="00F82442" w:rsidP="00AD0CC1">
      <w:pPr>
        <w:jc w:val="both"/>
        <w:rPr>
          <w:i/>
          <w:sz w:val="22"/>
          <w:szCs w:val="22"/>
          <w:lang w:val="sr-Latn-ME" w:eastAsia="ja-JP"/>
        </w:rPr>
      </w:pPr>
      <w:r w:rsidRPr="00611C50">
        <w:rPr>
          <w:i/>
          <w:sz w:val="22"/>
          <w:szCs w:val="22"/>
          <w:lang w:val="sr-Latn-ME" w:eastAsia="ja-JP"/>
        </w:rPr>
        <w:t xml:space="preserve">Primjena kod posebnih grupa pacijenata </w:t>
      </w:r>
    </w:p>
    <w:p w:rsidR="00163FBA" w:rsidRPr="00611C50" w:rsidRDefault="00163FBA" w:rsidP="00AD0CC1">
      <w:pPr>
        <w:jc w:val="both"/>
        <w:rPr>
          <w:i/>
          <w:color w:val="FF0000"/>
          <w:sz w:val="22"/>
          <w:szCs w:val="22"/>
          <w:lang w:val="sr-Latn-ME" w:eastAsia="ja-JP"/>
        </w:rPr>
      </w:pPr>
    </w:p>
    <w:p w:rsidR="00F82442" w:rsidRPr="00611C50" w:rsidRDefault="00F82442" w:rsidP="00AD0CC1">
      <w:pPr>
        <w:jc w:val="both"/>
        <w:rPr>
          <w:sz w:val="22"/>
          <w:szCs w:val="22"/>
          <w:lang w:val="sr-Latn-ME" w:eastAsia="ja-JP"/>
        </w:rPr>
      </w:pPr>
      <w:r w:rsidRPr="00611C50">
        <w:rPr>
          <w:sz w:val="22"/>
          <w:szCs w:val="22"/>
          <w:lang w:val="sr-Latn-ME" w:eastAsia="ja-JP"/>
        </w:rPr>
        <w:t>Stariji pacijenti</w:t>
      </w:r>
    </w:p>
    <w:p w:rsidR="00F82442" w:rsidRPr="00611C50" w:rsidRDefault="00F82442" w:rsidP="00AD0CC1">
      <w:pPr>
        <w:jc w:val="both"/>
        <w:rPr>
          <w:sz w:val="22"/>
          <w:szCs w:val="22"/>
          <w:lang w:val="sr-Latn-ME" w:eastAsia="ja-JP"/>
        </w:rPr>
      </w:pPr>
      <w:r w:rsidRPr="00611C50">
        <w:rPr>
          <w:sz w:val="22"/>
          <w:szCs w:val="22"/>
          <w:lang w:val="sr-Latn-ME" w:eastAsia="ja-JP"/>
        </w:rPr>
        <w:t>Nije potrebno posebno prilagođavanje doze kod pacijenata starijih od  65 godina starosti.</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lang w:val="sr-Latn-ME" w:eastAsia="ja-JP"/>
        </w:rPr>
      </w:pPr>
      <w:r w:rsidRPr="00611C50">
        <w:rPr>
          <w:sz w:val="22"/>
          <w:szCs w:val="22"/>
          <w:lang w:val="sr-Latn-ME" w:eastAsia="ja-JP"/>
        </w:rPr>
        <w:t>Oštećenje bubrega</w:t>
      </w:r>
    </w:p>
    <w:p w:rsidR="00F82442" w:rsidRPr="00611C50" w:rsidRDefault="00F82442" w:rsidP="00AD0CC1">
      <w:pPr>
        <w:jc w:val="both"/>
        <w:rPr>
          <w:sz w:val="22"/>
          <w:szCs w:val="22"/>
          <w:lang w:val="sr-Latn-ME" w:eastAsia="ja-JP"/>
        </w:rPr>
      </w:pPr>
      <w:r w:rsidRPr="00611C50">
        <w:rPr>
          <w:sz w:val="22"/>
          <w:szCs w:val="22"/>
          <w:lang w:val="sr-Latn-ME" w:eastAsia="ja-JP"/>
        </w:rPr>
        <w:t xml:space="preserve">Postoje ograničeni podaci kod pacijenata sa oštećenjem bubrega. Rizik od povećane izloženosti kod primjene kod pacijenata sa teškim oštećenjem bubrega ne može se isključiti. Pacijenti sa teškim oštećenjem bubrega moraju se pomno pratiti (vidjeti dio 4.4 i 5.2). </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lang w:val="sr-Latn-ME" w:eastAsia="ja-JP"/>
        </w:rPr>
      </w:pPr>
      <w:r w:rsidRPr="00611C50">
        <w:rPr>
          <w:sz w:val="22"/>
          <w:szCs w:val="22"/>
          <w:lang w:val="sr-Latn-ME" w:eastAsia="ja-JP"/>
        </w:rPr>
        <w:t>Oštećenje jetre</w:t>
      </w:r>
    </w:p>
    <w:p w:rsidR="00F82442" w:rsidRPr="00611C50" w:rsidRDefault="00F82442" w:rsidP="00AD0CC1">
      <w:pPr>
        <w:jc w:val="both"/>
        <w:rPr>
          <w:sz w:val="22"/>
          <w:szCs w:val="22"/>
          <w:lang w:val="sr-Latn-ME" w:eastAsia="ja-JP"/>
        </w:rPr>
      </w:pPr>
      <w:r w:rsidRPr="00611C50">
        <w:rPr>
          <w:sz w:val="22"/>
          <w:szCs w:val="22"/>
          <w:lang w:val="sr-Latn-ME" w:eastAsia="ja-JP"/>
        </w:rPr>
        <w:t xml:space="preserve">Postoje ograničeni podaci kod pacijenata sa oštećenjem  jetre. Kako se vemurafenib metaboliše preko jetre,  pacijenti sa umjerenim do teškim oštećenjem jetre mogu imati povećanu izloženost  i moraju se pomno pratiti (vidjeti dio 4.4 i 5.2). </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lang w:val="sr-Latn-ME" w:eastAsia="ja-JP"/>
        </w:rPr>
      </w:pPr>
      <w:r w:rsidRPr="00611C50">
        <w:rPr>
          <w:sz w:val="22"/>
          <w:szCs w:val="22"/>
          <w:lang w:val="sr-Latn-ME" w:eastAsia="ja-JP"/>
        </w:rPr>
        <w:t>Pedijatrijski pacijenti</w:t>
      </w:r>
    </w:p>
    <w:p w:rsidR="00F82442" w:rsidRPr="00611C50" w:rsidRDefault="00F82442" w:rsidP="00AD0CC1">
      <w:pPr>
        <w:jc w:val="both"/>
        <w:rPr>
          <w:sz w:val="22"/>
          <w:szCs w:val="22"/>
          <w:lang w:val="sr-Latn-ME" w:eastAsia="ja-JP"/>
        </w:rPr>
      </w:pPr>
      <w:r w:rsidRPr="00611C50">
        <w:rPr>
          <w:sz w:val="22"/>
          <w:szCs w:val="22"/>
          <w:lang w:val="sr-Latn-ME" w:eastAsia="ja-JP"/>
        </w:rPr>
        <w:t>Bezbjednost i efikasnost vemurafeniba nije još uvijek utvrđena kod djece mlađe od 18 godina. Trenutno  dostupni podaci opisani su u dijelovima 4.8, 5.1 i 5.2 međutim nije moguće dati preporuku o doziranju.</w:t>
      </w:r>
    </w:p>
    <w:p w:rsidR="00F82442" w:rsidRPr="00611C50" w:rsidRDefault="00F82442" w:rsidP="00AD0CC1">
      <w:pPr>
        <w:jc w:val="both"/>
        <w:rPr>
          <w:b/>
          <w:sz w:val="22"/>
          <w:szCs w:val="22"/>
          <w:lang w:val="sr-Latn-ME" w:eastAsia="ja-JP"/>
        </w:rPr>
      </w:pPr>
    </w:p>
    <w:p w:rsidR="00F82442" w:rsidRPr="00611C50" w:rsidRDefault="00F82442" w:rsidP="00AD0CC1">
      <w:pPr>
        <w:jc w:val="both"/>
        <w:rPr>
          <w:sz w:val="22"/>
          <w:szCs w:val="22"/>
          <w:lang w:val="sr-Latn-ME" w:eastAsia="ja-JP"/>
        </w:rPr>
      </w:pPr>
      <w:r w:rsidRPr="00611C50">
        <w:rPr>
          <w:sz w:val="22"/>
          <w:szCs w:val="22"/>
          <w:lang w:val="sr-Latn-ME" w:eastAsia="ja-JP"/>
        </w:rPr>
        <w:t>Pacijenti drugih rasa (osim bijele)</w:t>
      </w:r>
    </w:p>
    <w:p w:rsidR="00F82442" w:rsidRPr="00611C50" w:rsidRDefault="00F82442" w:rsidP="00AD0CC1">
      <w:pPr>
        <w:jc w:val="both"/>
        <w:rPr>
          <w:sz w:val="22"/>
          <w:szCs w:val="22"/>
          <w:lang w:val="sr-Latn-ME" w:eastAsia="ja-JP"/>
        </w:rPr>
      </w:pPr>
      <w:r w:rsidRPr="00611C50">
        <w:rPr>
          <w:sz w:val="22"/>
          <w:szCs w:val="22"/>
          <w:lang w:val="sr-Latn-ME" w:eastAsia="ja-JP"/>
        </w:rPr>
        <w:t>Bezbjednost i efikasnost vemurafeniba nije utvrđena kod pacijenata drugih rasa (osim bijele). Podaci nisu dostupni.</w:t>
      </w:r>
    </w:p>
    <w:p w:rsidR="00F82442" w:rsidRPr="00611C50" w:rsidRDefault="00F82442" w:rsidP="00AD0CC1">
      <w:pPr>
        <w:tabs>
          <w:tab w:val="left" w:pos="540"/>
          <w:tab w:val="left" w:pos="569"/>
        </w:tabs>
        <w:jc w:val="both"/>
        <w:rPr>
          <w:bCs/>
          <w:sz w:val="22"/>
          <w:szCs w:val="22"/>
          <w:u w:val="single"/>
          <w:lang w:val="sr-Latn-ME"/>
        </w:rPr>
      </w:pPr>
    </w:p>
    <w:p w:rsidR="00452E9D" w:rsidRPr="00611C50" w:rsidRDefault="00452E9D" w:rsidP="00AD0CC1">
      <w:pPr>
        <w:tabs>
          <w:tab w:val="left" w:pos="540"/>
          <w:tab w:val="left" w:pos="569"/>
        </w:tabs>
        <w:jc w:val="both"/>
        <w:rPr>
          <w:bCs/>
          <w:sz w:val="22"/>
          <w:szCs w:val="22"/>
          <w:u w:val="single"/>
          <w:lang w:val="sr-Latn-ME"/>
        </w:rPr>
      </w:pPr>
      <w:r w:rsidRPr="00611C50">
        <w:rPr>
          <w:bCs/>
          <w:sz w:val="22"/>
          <w:szCs w:val="22"/>
          <w:u w:val="single"/>
          <w:lang w:val="sr-Latn-ME"/>
        </w:rPr>
        <w:t>Način primjene</w:t>
      </w:r>
    </w:p>
    <w:p w:rsidR="00F82442" w:rsidRPr="00611C50" w:rsidRDefault="00F82442" w:rsidP="00AD0CC1">
      <w:pPr>
        <w:jc w:val="both"/>
        <w:rPr>
          <w:sz w:val="22"/>
          <w:szCs w:val="22"/>
          <w:lang w:val="sr-Latn-ME" w:eastAsia="ja-JP"/>
        </w:rPr>
      </w:pPr>
      <w:r w:rsidRPr="00611C50">
        <w:rPr>
          <w:sz w:val="22"/>
          <w:szCs w:val="22"/>
          <w:lang w:val="sr-Latn-ME" w:eastAsia="ja-JP"/>
        </w:rPr>
        <w:t xml:space="preserve">Vemurafenib se primjenjuje kroz usta. Tablete treba progutati cijele sa vodom. Ne smiju se  žvakati ili lomiti. </w:t>
      </w:r>
    </w:p>
    <w:p w:rsidR="00F82442" w:rsidRPr="00611C50" w:rsidRDefault="00F82442" w:rsidP="00AD0CC1">
      <w:pPr>
        <w:jc w:val="both"/>
        <w:rPr>
          <w:sz w:val="22"/>
          <w:szCs w:val="22"/>
          <w:lang w:val="sr-Latn-ME" w:eastAsia="ja-JP"/>
        </w:rPr>
      </w:pPr>
    </w:p>
    <w:p w:rsidR="00411B4B" w:rsidRPr="00611C50" w:rsidRDefault="00411B4B" w:rsidP="00AD0CC1">
      <w:pPr>
        <w:tabs>
          <w:tab w:val="left" w:pos="540"/>
          <w:tab w:val="left" w:pos="569"/>
        </w:tabs>
        <w:jc w:val="both"/>
        <w:rPr>
          <w:b/>
          <w:bCs/>
          <w:sz w:val="22"/>
          <w:szCs w:val="22"/>
          <w:lang w:val="sr-Latn-ME"/>
        </w:rPr>
      </w:pPr>
      <w:r w:rsidRPr="00611C50">
        <w:rPr>
          <w:b/>
          <w:bCs/>
          <w:sz w:val="22"/>
          <w:szCs w:val="22"/>
          <w:lang w:val="sr-Latn-ME"/>
        </w:rPr>
        <w:t xml:space="preserve">4.3. </w:t>
      </w:r>
      <w:r w:rsidR="00480FB1" w:rsidRPr="00611C50">
        <w:rPr>
          <w:b/>
          <w:bCs/>
          <w:sz w:val="22"/>
          <w:szCs w:val="22"/>
          <w:lang w:val="sr-Latn-ME"/>
        </w:rPr>
        <w:tab/>
      </w:r>
      <w:r w:rsidRPr="00611C50">
        <w:rPr>
          <w:b/>
          <w:bCs/>
          <w:sz w:val="22"/>
          <w:szCs w:val="22"/>
          <w:lang w:val="sr-Latn-ME"/>
        </w:rPr>
        <w:t>Kontraindikacije</w:t>
      </w:r>
    </w:p>
    <w:p w:rsidR="00F82442" w:rsidRPr="00611C50" w:rsidRDefault="00F82442" w:rsidP="00AD0CC1">
      <w:pPr>
        <w:tabs>
          <w:tab w:val="left" w:pos="540"/>
          <w:tab w:val="left" w:pos="569"/>
        </w:tabs>
        <w:jc w:val="both"/>
        <w:rPr>
          <w:b/>
          <w:bCs/>
          <w:sz w:val="22"/>
          <w:szCs w:val="22"/>
          <w:lang w:val="sr-Latn-ME"/>
        </w:rPr>
      </w:pPr>
    </w:p>
    <w:p w:rsidR="00F82442" w:rsidRPr="00611C50" w:rsidRDefault="00F82442" w:rsidP="00AD0CC1">
      <w:pPr>
        <w:tabs>
          <w:tab w:val="left" w:pos="540"/>
          <w:tab w:val="left" w:pos="569"/>
        </w:tabs>
        <w:jc w:val="both"/>
        <w:rPr>
          <w:b/>
          <w:bCs/>
          <w:sz w:val="22"/>
          <w:szCs w:val="22"/>
          <w:lang w:val="sr-Latn-ME"/>
        </w:rPr>
      </w:pPr>
      <w:r w:rsidRPr="00611C50">
        <w:rPr>
          <w:sz w:val="22"/>
          <w:szCs w:val="22"/>
          <w:lang w:val="sr-Latn-ME" w:eastAsia="ja-JP"/>
        </w:rPr>
        <w:t xml:space="preserve">Preosjetljivost na aktivnu supstancu ili na bilo koju od pomoćnih supstanci </w:t>
      </w:r>
      <w:r w:rsidR="00611C50" w:rsidRPr="00611C50">
        <w:rPr>
          <w:sz w:val="22"/>
          <w:szCs w:val="22"/>
          <w:lang w:val="sr-Latn-ME" w:eastAsia="ja-JP"/>
        </w:rPr>
        <w:t>n</w:t>
      </w:r>
      <w:r w:rsidR="00611C50">
        <w:rPr>
          <w:sz w:val="22"/>
          <w:szCs w:val="22"/>
          <w:lang w:val="sr-Latn-ME" w:eastAsia="ja-JP"/>
        </w:rPr>
        <w:t>a</w:t>
      </w:r>
      <w:r w:rsidR="00611C50" w:rsidRPr="00611C50">
        <w:rPr>
          <w:sz w:val="22"/>
          <w:szCs w:val="22"/>
          <w:lang w:val="sr-Latn-ME" w:eastAsia="ja-JP"/>
        </w:rPr>
        <w:t xml:space="preserve">vedenih </w:t>
      </w:r>
      <w:r w:rsidRPr="00611C50">
        <w:rPr>
          <w:sz w:val="22"/>
          <w:szCs w:val="22"/>
          <w:lang w:val="sr-Latn-ME" w:eastAsia="ja-JP"/>
        </w:rPr>
        <w:t>u odjeljku 6.1.</w:t>
      </w:r>
    </w:p>
    <w:p w:rsidR="0072020E" w:rsidRPr="00611C50" w:rsidRDefault="0072020E" w:rsidP="00AD0CC1">
      <w:pPr>
        <w:tabs>
          <w:tab w:val="left" w:pos="540"/>
          <w:tab w:val="left" w:pos="569"/>
        </w:tabs>
        <w:jc w:val="both"/>
        <w:rPr>
          <w:bCs/>
          <w:sz w:val="22"/>
          <w:szCs w:val="22"/>
          <w:lang w:val="sr-Latn-ME"/>
        </w:rPr>
      </w:pPr>
    </w:p>
    <w:p w:rsidR="00411B4B" w:rsidRPr="00611C50" w:rsidRDefault="00411B4B" w:rsidP="00AD0CC1">
      <w:pPr>
        <w:tabs>
          <w:tab w:val="left" w:pos="540"/>
          <w:tab w:val="left" w:pos="569"/>
        </w:tabs>
        <w:jc w:val="both"/>
        <w:rPr>
          <w:b/>
          <w:bCs/>
          <w:sz w:val="22"/>
          <w:szCs w:val="22"/>
          <w:lang w:val="sr-Latn-ME"/>
        </w:rPr>
      </w:pPr>
      <w:r w:rsidRPr="00611C50">
        <w:rPr>
          <w:b/>
          <w:bCs/>
          <w:sz w:val="22"/>
          <w:szCs w:val="22"/>
          <w:lang w:val="sr-Latn-ME"/>
        </w:rPr>
        <w:t xml:space="preserve">4.4. </w:t>
      </w:r>
      <w:r w:rsidR="00480FB1" w:rsidRPr="00611C50">
        <w:rPr>
          <w:b/>
          <w:bCs/>
          <w:sz w:val="22"/>
          <w:szCs w:val="22"/>
          <w:lang w:val="sr-Latn-ME"/>
        </w:rPr>
        <w:tab/>
      </w:r>
      <w:r w:rsidRPr="00611C50">
        <w:rPr>
          <w:b/>
          <w:bCs/>
          <w:sz w:val="22"/>
          <w:szCs w:val="22"/>
          <w:lang w:val="sr-Latn-ME"/>
        </w:rPr>
        <w:t>Posebna upozorenja i mjere opreza pri upotrebi lijeka</w:t>
      </w:r>
    </w:p>
    <w:p w:rsidR="00F82442" w:rsidRPr="00611C50" w:rsidRDefault="00F82442" w:rsidP="00AD0CC1">
      <w:pPr>
        <w:tabs>
          <w:tab w:val="left" w:pos="540"/>
          <w:tab w:val="left" w:pos="569"/>
        </w:tabs>
        <w:jc w:val="both"/>
        <w:rPr>
          <w:b/>
          <w:bCs/>
          <w:sz w:val="22"/>
          <w:szCs w:val="22"/>
          <w:lang w:val="sr-Latn-ME"/>
        </w:rPr>
      </w:pPr>
    </w:p>
    <w:p w:rsidR="00F82442" w:rsidRPr="00611C50" w:rsidRDefault="00F82442" w:rsidP="00AD0CC1">
      <w:pPr>
        <w:jc w:val="both"/>
        <w:rPr>
          <w:sz w:val="22"/>
          <w:szCs w:val="22"/>
          <w:lang w:val="sr-Latn-ME" w:eastAsia="ja-JP"/>
        </w:rPr>
      </w:pPr>
      <w:r w:rsidRPr="00611C50">
        <w:rPr>
          <w:sz w:val="22"/>
          <w:szCs w:val="22"/>
          <w:lang w:val="sr-Latn-ME" w:eastAsia="ja-JP"/>
        </w:rPr>
        <w:t xml:space="preserve">Prije uzimanja vemurafeniba, pacijenti moraju da imaju tumorski status pozitivan na BRAF V600 mutaciju, potvrđen validiranim testom. Efikasnost i bezbjednost vemurafeniba kod pacijenata čiji tumori ispoljavaju rijetke BRAF V600 mutacije u odnosu na druge V600E i V600K, nije sa sigurnošću utvrđena (vidjeti dio 5.1). Vemurafenib ne treba koristiti kod pacijenata sa nemutiranom formom (wild-type) BRAF malignog melanoma.   </w:t>
      </w:r>
    </w:p>
    <w:p w:rsidR="00F82442" w:rsidRPr="00611C50" w:rsidRDefault="00F82442" w:rsidP="00AD0CC1">
      <w:pPr>
        <w:jc w:val="both"/>
        <w:rPr>
          <w:b/>
          <w:sz w:val="22"/>
          <w:szCs w:val="22"/>
          <w:lang w:val="sr-Latn-ME" w:eastAsia="ja-JP"/>
        </w:rPr>
      </w:pP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Reakcije preosjetljivosti</w:t>
      </w:r>
    </w:p>
    <w:p w:rsidR="00F82442" w:rsidRPr="00611C50" w:rsidRDefault="00F82442" w:rsidP="00AD0CC1">
      <w:pPr>
        <w:jc w:val="both"/>
        <w:rPr>
          <w:sz w:val="22"/>
          <w:szCs w:val="22"/>
          <w:lang w:val="sr-Latn-ME" w:eastAsia="ja-JP"/>
        </w:rPr>
      </w:pPr>
      <w:r w:rsidRPr="00611C50">
        <w:rPr>
          <w:sz w:val="22"/>
          <w:szCs w:val="22"/>
          <w:lang w:val="sr-Latn-ME" w:eastAsia="ja-JP"/>
        </w:rPr>
        <w:lastRenderedPageBreak/>
        <w:t xml:space="preserve">Ozbiljne reakcije preosjetljivosti, uključujući anafilaksu prijavljene su u vezi sa primjenom vemurafeniba (vidjeti dio 4.1 i 4.8). Ozbiljne reakcije preosjetljivosti mogu da uključuju Stivens-Džonsonov (Stevens-Johnson) sindrom, generalizovani raš, eritem ili hipotenziju. Kod pacijenata kod kojih je došlo do ozbiljnih reakcija preosjetljivosti, terapiju vemurafenibom treba trajno obustaviti.  </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Dermatološke reakcije</w:t>
      </w:r>
    </w:p>
    <w:p w:rsidR="00F82442" w:rsidRPr="00611C50" w:rsidRDefault="00F82442" w:rsidP="00AD0CC1">
      <w:pPr>
        <w:jc w:val="both"/>
        <w:rPr>
          <w:sz w:val="22"/>
          <w:szCs w:val="22"/>
          <w:lang w:val="sr-Latn-ME" w:eastAsia="ja-JP"/>
        </w:rPr>
      </w:pPr>
      <w:r w:rsidRPr="00611C50">
        <w:rPr>
          <w:sz w:val="22"/>
          <w:szCs w:val="22"/>
          <w:lang w:val="sr-Latn-ME" w:eastAsia="ja-JP"/>
        </w:rPr>
        <w:t xml:space="preserve">Ozbiljne dermatološke reakcije prijavljene su kod pacijenata liječenih vemurafenibom, uključujući rijetke slučajeve Stivens-Džonsonovog (Stevens-Johnson) sindroma i toksične epidermalne nekrolize u pivotalnim kliničkim studijama. Nakon stavljanja lijeka u promet kod primjene vemurafeniba prijavljena je reakcija na lijek uz eozinofiliju i sistemske simptome (DRESS) (vidjeti dio 4.8.). Kod pacijenata kod kojih se jave ozbiljne dermatološke reakcije, terapiju vemurafenibom treba trajno obustaviti. </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Pojačavanje radijacijske toksičnosti</w:t>
      </w:r>
    </w:p>
    <w:p w:rsidR="00F82442" w:rsidRPr="00611C50" w:rsidRDefault="00F82442" w:rsidP="00AD0CC1">
      <w:pPr>
        <w:jc w:val="both"/>
        <w:rPr>
          <w:sz w:val="22"/>
          <w:szCs w:val="22"/>
          <w:lang w:val="sr-Latn-ME" w:eastAsia="ja-JP"/>
        </w:rPr>
      </w:pPr>
      <w:r w:rsidRPr="00611C50">
        <w:rPr>
          <w:sz w:val="22"/>
          <w:szCs w:val="22"/>
          <w:lang w:val="sr-Latn-ME" w:eastAsia="ja-JP"/>
        </w:rPr>
        <w:t>Kod pacijenata liječenih radioterapijom prije, tokom ili nakon liječenja vemurafenibom prijavljeni su slučajevi zapaljenskih reakcija na ozračenom mjestu (engl. radiation recall) i pojačane osjetljivosti na zračenje. Većina slučajeva zahvatala je kožu, ali pojedini slučajevi koji su uključivali visceralne organe imali su smrtni ishod (vidjeti dijelove 4.5 i 4.8). Potreban je oprez kod istovremene ili sekvencijske primjene vemurafeniba sa radioterapijom.</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Produženje QT  intervala</w:t>
      </w:r>
    </w:p>
    <w:p w:rsidR="00F82442" w:rsidRPr="00611C50" w:rsidRDefault="00F82442" w:rsidP="00AD0CC1">
      <w:pPr>
        <w:jc w:val="both"/>
        <w:rPr>
          <w:sz w:val="22"/>
          <w:szCs w:val="22"/>
          <w:lang w:val="sr-Latn-ME" w:eastAsia="ja-JP"/>
        </w:rPr>
      </w:pPr>
      <w:r w:rsidRPr="00611C50">
        <w:rPr>
          <w:sz w:val="22"/>
          <w:szCs w:val="22"/>
          <w:lang w:val="sr-Latn-ME" w:eastAsia="ja-JP"/>
        </w:rPr>
        <w:t xml:space="preserve">Produženje QT intervala, zavisno od trajanja terapije, primjećeno je u nekontrolisanoj, otvorenoj studiji faze II kod prethodno liječenih pacijenata sa metastatskim melanomom (vidjeti dio 4.8). Produženje QT intervala može dovesti do povećanog rizika za nastanak ventrikularnih aritmija, uključujući i Torsade de Pointes. Terapija vemurafenibom ne preporučuje se kod pacijenata sa abnormalnostima elektrolita (uključujući i magnezijum) koje se ne mogu korigovati, sa sindromom dugog QT, ili kod onih koji uzimaju ljekove za koje se zna da produžavaju QT interval. </w:t>
      </w:r>
    </w:p>
    <w:p w:rsidR="00163FBA" w:rsidRPr="00611C50" w:rsidRDefault="00163FBA" w:rsidP="00AD0CC1">
      <w:pPr>
        <w:jc w:val="both"/>
        <w:rPr>
          <w:sz w:val="22"/>
          <w:szCs w:val="22"/>
          <w:lang w:val="sr-Latn-ME" w:eastAsia="ja-JP"/>
        </w:rPr>
      </w:pPr>
    </w:p>
    <w:p w:rsidR="00F82442" w:rsidRPr="00611C50" w:rsidRDefault="00F82442" w:rsidP="00AD0CC1">
      <w:pPr>
        <w:jc w:val="both"/>
        <w:rPr>
          <w:sz w:val="22"/>
          <w:szCs w:val="22"/>
          <w:lang w:val="sr-Latn-ME" w:eastAsia="ja-JP"/>
        </w:rPr>
      </w:pPr>
      <w:r w:rsidRPr="00611C50">
        <w:rPr>
          <w:sz w:val="22"/>
          <w:szCs w:val="22"/>
          <w:lang w:val="sr-Latn-ME" w:eastAsia="ja-JP"/>
        </w:rPr>
        <w:t xml:space="preserve">Traba pratiti elektrokardiogram (EKG) i elektrolite (uključujući i magnezijum) kod svih pacijenata prije terapije vemurafenibom, mjesec dana od započinjanja terapije i nakon modifikacije doze. Dalje praćenje preporučuje se posebno kod pacijenata sa umjerenim do teškim oštećenjem jetre i treba ga vršiti mjesečno tokom prva tri mjeseca terapije, a potom svaka tri mjeseca, ili češće ako je klinički indikovano. Započinjanje terapije vemurafenibom ne preporučuje se kod pacijenata sa QTc&gt;500 milisekundi (ms). Ako tokom terapije  QTc pređe 500 ms, terapiju vemurafenibom treba prijevremeno prekinuti, abnormalnosti elektrolita (uključujući i magnezijum)  treba korigovati, a  srčane faktore rizika za produženje QT intervala (npr. kongestivna srčana insuficijencija, bradiaritmija) treba kontrolisati. Terapija se može ponovo uvesti kada se QTc smanji ispod 500 ms, i to u nižoj dozi, kao što je opisano u Tabeli 2. Potpuna obustava terapije vemurafenibom preporučuje se ako je, nakon korekcije povezanih faktora rizika, povećanje QTc intervala  veće od 500 ms i za 60 ms veće od vrijednosti prije započinjanja terapije.      </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Oftalmološke reakcije</w:t>
      </w:r>
    </w:p>
    <w:p w:rsidR="00F82442" w:rsidRPr="00611C50" w:rsidRDefault="00F82442" w:rsidP="00AD0CC1">
      <w:pPr>
        <w:jc w:val="both"/>
        <w:rPr>
          <w:sz w:val="22"/>
          <w:szCs w:val="22"/>
          <w:lang w:val="sr-Latn-ME" w:eastAsia="ja-JP"/>
        </w:rPr>
      </w:pPr>
      <w:r w:rsidRPr="00611C50">
        <w:rPr>
          <w:sz w:val="22"/>
          <w:szCs w:val="22"/>
          <w:lang w:val="sr-Latn-ME" w:eastAsia="ja-JP"/>
        </w:rPr>
        <w:t xml:space="preserve">Prijavljene su ozbiljne oftalmološke reakcije, uključujući uveitis, iritis i okluziju retinalne vene. Pacijente treba rutinski pratiti na pojavu oftalmoloških reakcija.                     </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 xml:space="preserve">Kutani skvamocelularni karcinom (cuSCC) </w:t>
      </w:r>
    </w:p>
    <w:p w:rsidR="00F82442" w:rsidRPr="00611C50" w:rsidRDefault="00F82442" w:rsidP="00AD0CC1">
      <w:pPr>
        <w:jc w:val="both"/>
        <w:rPr>
          <w:sz w:val="22"/>
          <w:szCs w:val="22"/>
          <w:lang w:val="sr-Latn-ME" w:eastAsia="ja-JP"/>
        </w:rPr>
      </w:pPr>
      <w:r w:rsidRPr="00611C50">
        <w:rPr>
          <w:sz w:val="22"/>
          <w:szCs w:val="22"/>
          <w:lang w:val="sr-Latn-ME" w:eastAsia="ja-JP"/>
        </w:rPr>
        <w:t xml:space="preserve">Slučajevi cuSCC (uključujući i one klasifikovane kao podtip keratoakantom ili mješoviti keratoakantom) prijavljeni su kod pacijenata liječenih vemurafenibom (vidjeti dio 4.8). </w:t>
      </w:r>
    </w:p>
    <w:p w:rsidR="00F82442" w:rsidRPr="00611C50" w:rsidRDefault="00F82442" w:rsidP="00AD0CC1">
      <w:pPr>
        <w:jc w:val="both"/>
        <w:rPr>
          <w:sz w:val="22"/>
          <w:szCs w:val="22"/>
          <w:lang w:val="sr-Latn-ME" w:eastAsia="ja-JP"/>
        </w:rPr>
      </w:pPr>
      <w:r w:rsidRPr="00611C50">
        <w:rPr>
          <w:sz w:val="22"/>
          <w:szCs w:val="22"/>
          <w:lang w:val="sr-Latn-ME" w:eastAsia="ja-JP"/>
        </w:rPr>
        <w:t>Preporučuje se da svi pacijenti prođu dermatološku procjenu prije započinjanja terapije i da se rutinski prate dok su na terapiji. Svaku sumnjivu kožnu leziju treba odstraniti, poslati na dermatopatološku procjenu i l</w:t>
      </w:r>
      <w:r w:rsidR="00611C50">
        <w:rPr>
          <w:sz w:val="22"/>
          <w:szCs w:val="22"/>
          <w:lang w:val="sr-Latn-ME" w:eastAsia="ja-JP"/>
        </w:rPr>
        <w:t>i</w:t>
      </w:r>
      <w:r w:rsidRPr="00611C50">
        <w:rPr>
          <w:sz w:val="22"/>
          <w:szCs w:val="22"/>
          <w:lang w:val="sr-Latn-ME" w:eastAsia="ja-JP"/>
        </w:rPr>
        <w:t>ječiti prema  lokalnim standardima liječenja. Propisivač treba da prati pacijenta na mjesečnom nivou i do šest mjeseci nakon završetka l</w:t>
      </w:r>
      <w:r w:rsidR="00611C50">
        <w:rPr>
          <w:sz w:val="22"/>
          <w:szCs w:val="22"/>
          <w:lang w:val="sr-Latn-ME" w:eastAsia="ja-JP"/>
        </w:rPr>
        <w:t>i</w:t>
      </w:r>
      <w:r w:rsidRPr="00611C50">
        <w:rPr>
          <w:sz w:val="22"/>
          <w:szCs w:val="22"/>
          <w:lang w:val="sr-Latn-ME" w:eastAsia="ja-JP"/>
        </w:rPr>
        <w:t xml:space="preserve">ječenja cuSCC. Kod pacijenata koji razviju cuSCC, preporučuje se da nastave terapiju bez modifikacije doze. Praćenje treba nastaviti šest mjeseci nakon prestanka terapije vemurafenibom ili do uključenja druge antineoplastične terapije. Pacijentima treba reći da obavijeste svoje ljekare o pojavi bilo kakvih promjena na koži.   </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Ne-kutani skvamocelularni karcinom (non-cuSCC)</w:t>
      </w:r>
    </w:p>
    <w:p w:rsidR="00F82442" w:rsidRPr="00611C50" w:rsidRDefault="00F82442" w:rsidP="00AD0CC1">
      <w:pPr>
        <w:jc w:val="both"/>
        <w:rPr>
          <w:sz w:val="22"/>
          <w:szCs w:val="22"/>
          <w:lang w:val="sr-Latn-ME" w:eastAsia="ja-JP"/>
        </w:rPr>
      </w:pPr>
      <w:r w:rsidRPr="00611C50">
        <w:rPr>
          <w:sz w:val="22"/>
          <w:szCs w:val="22"/>
          <w:lang w:val="sr-Latn-ME" w:eastAsia="ja-JP"/>
        </w:rPr>
        <w:lastRenderedPageBreak/>
        <w:t>Slučajevi non-cuSCC prijavljeni su u kliničkim studijama kod pacijenata koji su primali vemurafenib.</w:t>
      </w:r>
      <w:r w:rsidR="00AD0CC1">
        <w:rPr>
          <w:sz w:val="22"/>
          <w:szCs w:val="22"/>
          <w:lang w:val="sr-Latn-ME" w:eastAsia="ja-JP"/>
        </w:rPr>
        <w:t xml:space="preserve"> </w:t>
      </w:r>
      <w:r w:rsidRPr="00611C50">
        <w:rPr>
          <w:sz w:val="22"/>
          <w:szCs w:val="22"/>
          <w:lang w:val="sr-Latn-ME" w:eastAsia="ja-JP"/>
        </w:rPr>
        <w:t xml:space="preserve">Pacijenti treba da obave pregled glave i vrata, koji se sastoji barem od vizuelnog pregleda oralne sluznice i palpacije limfnih čvorova prije početka terapije i svaka tri mjeseca tokom terapije. Osim toga, pacijenti treba da obave CT snimanje grudnog koša prije početka terapije i svakih šest mjeseci tokom terapije. </w:t>
      </w:r>
    </w:p>
    <w:p w:rsidR="00F82442" w:rsidRPr="00611C50" w:rsidRDefault="00F82442" w:rsidP="00AD0CC1">
      <w:pPr>
        <w:jc w:val="both"/>
        <w:rPr>
          <w:sz w:val="22"/>
          <w:szCs w:val="22"/>
          <w:lang w:val="sr-Latn-ME" w:eastAsia="ja-JP"/>
        </w:rPr>
      </w:pPr>
      <w:r w:rsidRPr="00611C50">
        <w:rPr>
          <w:sz w:val="22"/>
          <w:szCs w:val="22"/>
          <w:lang w:val="sr-Latn-ME" w:eastAsia="ja-JP"/>
        </w:rPr>
        <w:t>Analni pregledi i pelvični pregledi (kod žena) preporučuju se prije i na kraju terapije ili kada se smatra da je klinički indikovano.</w:t>
      </w:r>
    </w:p>
    <w:p w:rsidR="00F82442" w:rsidRPr="00611C50" w:rsidRDefault="00F82442" w:rsidP="00AD0CC1">
      <w:pPr>
        <w:jc w:val="both"/>
        <w:rPr>
          <w:sz w:val="22"/>
          <w:szCs w:val="22"/>
          <w:lang w:val="sr-Latn-ME" w:eastAsia="ja-JP"/>
        </w:rPr>
      </w:pPr>
      <w:r w:rsidRPr="00611C50">
        <w:rPr>
          <w:sz w:val="22"/>
          <w:szCs w:val="22"/>
          <w:lang w:val="sr-Latn-ME" w:eastAsia="ja-JP"/>
        </w:rPr>
        <w:t xml:space="preserve">Nakon prekida terapije vemurafenibom, praćenje pojave non-cuSCC treba nastaviti do šest mjeseci ili do uključenja druge antineoplastične terapije. Abnormalne nalaze treba procjenjivati kao što je klinički indikovano. </w:t>
      </w:r>
    </w:p>
    <w:p w:rsidR="00F82442" w:rsidRPr="00611C50" w:rsidRDefault="00F82442" w:rsidP="00AD0CC1">
      <w:pPr>
        <w:jc w:val="both"/>
        <w:rPr>
          <w:b/>
          <w:sz w:val="22"/>
          <w:szCs w:val="22"/>
          <w:lang w:val="sr-Latn-ME" w:eastAsia="ja-JP"/>
        </w:rPr>
      </w:pP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Novi primarni melanom</w:t>
      </w:r>
    </w:p>
    <w:p w:rsidR="00F82442" w:rsidRPr="00611C50" w:rsidRDefault="00F82442" w:rsidP="00AD0CC1">
      <w:pPr>
        <w:jc w:val="both"/>
        <w:rPr>
          <w:sz w:val="22"/>
          <w:szCs w:val="22"/>
          <w:lang w:val="sr-Latn-ME" w:eastAsia="ja-JP"/>
        </w:rPr>
      </w:pPr>
      <w:r w:rsidRPr="00611C50">
        <w:rPr>
          <w:sz w:val="22"/>
          <w:szCs w:val="22"/>
          <w:lang w:val="sr-Latn-ME" w:eastAsia="ja-JP"/>
        </w:rPr>
        <w:t>Pojava novih primarnih melanoma je prijavljena u kliničkim studijama. Ovi slučajevi liječeni su ekscizijom i pacijenti su nastavljali terapiju bez prilagođavanja doze. Kožne promjene treba pratiti kao što je navedeno u odjeljku o kutanom skamocelularnom karcinomu.</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Druge maligne bolesti</w:t>
      </w:r>
    </w:p>
    <w:p w:rsidR="00F82442" w:rsidRPr="00611C50" w:rsidRDefault="00F82442" w:rsidP="00AD0CC1">
      <w:pPr>
        <w:jc w:val="both"/>
        <w:rPr>
          <w:sz w:val="22"/>
          <w:szCs w:val="22"/>
          <w:lang w:val="sr-Latn-ME" w:eastAsia="ja-JP"/>
        </w:rPr>
      </w:pPr>
      <w:r w:rsidRPr="00611C50">
        <w:rPr>
          <w:sz w:val="22"/>
          <w:szCs w:val="22"/>
          <w:lang w:val="sr-Latn-ME" w:eastAsia="ja-JP"/>
        </w:rPr>
        <w:t>S obzirom na mehanizam dejstva, vemurafenib može prouzrokovati progresiju karcinoma povezanih sa mutacijama RAS gena (vidjeti dio 4.8). Pažljivo uzmite u obzir koristi i rizike prije nego što prim</w:t>
      </w:r>
      <w:r w:rsidR="00611C50">
        <w:rPr>
          <w:sz w:val="22"/>
          <w:szCs w:val="22"/>
          <w:lang w:val="sr-Latn-ME" w:eastAsia="ja-JP"/>
        </w:rPr>
        <w:t>i</w:t>
      </w:r>
      <w:r w:rsidRPr="00611C50">
        <w:rPr>
          <w:sz w:val="22"/>
          <w:szCs w:val="22"/>
          <w:lang w:val="sr-Latn-ME" w:eastAsia="ja-JP"/>
        </w:rPr>
        <w:t>jenite vemurafenib kod pacijenata sa prethodno ili trenutno  postojećim karcinomom povezanim sa RAS mutacijom.</w:t>
      </w:r>
    </w:p>
    <w:p w:rsidR="00F82442" w:rsidRPr="00611C50" w:rsidRDefault="00F82442" w:rsidP="00AD0CC1">
      <w:pPr>
        <w:jc w:val="both"/>
        <w:rPr>
          <w:sz w:val="22"/>
          <w:szCs w:val="22"/>
          <w:lang w:val="sr-Latn-ME" w:eastAsia="ja-JP"/>
        </w:rPr>
      </w:pPr>
      <w:r w:rsidRPr="00611C50">
        <w:rPr>
          <w:sz w:val="22"/>
          <w:szCs w:val="22"/>
          <w:lang w:val="sr-Latn-ME" w:eastAsia="ja-JP"/>
        </w:rPr>
        <w:t xml:space="preserve"> </w:t>
      </w: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Pankreatitis</w:t>
      </w:r>
    </w:p>
    <w:p w:rsidR="00F82442" w:rsidRPr="00611C50" w:rsidRDefault="00F82442" w:rsidP="00AD0CC1">
      <w:pPr>
        <w:jc w:val="both"/>
        <w:rPr>
          <w:sz w:val="22"/>
          <w:szCs w:val="22"/>
          <w:lang w:val="sr-Latn-ME" w:eastAsia="ja-JP"/>
        </w:rPr>
      </w:pPr>
      <w:r w:rsidRPr="00611C50">
        <w:rPr>
          <w:sz w:val="22"/>
          <w:szCs w:val="22"/>
          <w:lang w:val="sr-Latn-ME" w:eastAsia="ja-JP"/>
        </w:rPr>
        <w:t xml:space="preserve">Kod ispitanika liječenih vemurafenibom prijavljen je pankreatitis. Neobjašnjiva bol u abdomenu hitno mora da bude  ispitana (uključujući određivanje vrijednosti serumske amilaze i lipaze). Pacijenti moraju da budu  pod strogim nadzorom kada ponovo započinju uzimanje vemurafeniba nakon epizode pankreatitisa. </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Oštećenja jetre</w:t>
      </w:r>
    </w:p>
    <w:p w:rsidR="00F82442" w:rsidRPr="00611C50" w:rsidRDefault="00F82442" w:rsidP="00AD0CC1">
      <w:pPr>
        <w:jc w:val="both"/>
        <w:rPr>
          <w:sz w:val="22"/>
          <w:szCs w:val="22"/>
          <w:lang w:val="sr-Latn-ME" w:eastAsia="ja-JP"/>
        </w:rPr>
      </w:pPr>
      <w:r w:rsidRPr="00611C50">
        <w:rPr>
          <w:sz w:val="22"/>
          <w:szCs w:val="22"/>
          <w:lang w:val="sr-Latn-ME" w:eastAsia="ja-JP"/>
        </w:rPr>
        <w:t xml:space="preserve">Oštećenje jetre, uključujući slučajeve teškog oštećenja jetre prijavljeno je kod primjene vemurafeniba  (vidjeti dio 4.8). Treba pratiti enzime jetre (transaminaze i alkalnu fosfatazu) i bilirubin prije započinjanja terapije i mjesečno tokom terapije, ili kako je klinički indikovano. Abnormalne vrijednosti laboratorijskih parametara za jetru treba kupirati smanjenjem doze, prekidom terapije ili obustavljanjem terapije (vidjeti dio 4.2 i 4.8).  </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Toksičnost za bubrege</w:t>
      </w:r>
    </w:p>
    <w:p w:rsidR="00F82442" w:rsidRPr="00611C50" w:rsidRDefault="00F82442" w:rsidP="00AD0CC1">
      <w:pPr>
        <w:jc w:val="both"/>
        <w:rPr>
          <w:sz w:val="22"/>
          <w:szCs w:val="22"/>
          <w:lang w:val="sr-Latn-ME" w:eastAsia="ja-JP"/>
        </w:rPr>
      </w:pPr>
      <w:r w:rsidRPr="00611C50">
        <w:rPr>
          <w:sz w:val="22"/>
          <w:szCs w:val="22"/>
          <w:lang w:val="sr-Latn-ME" w:eastAsia="ja-JP"/>
        </w:rPr>
        <w:t>Kod liječenja vemurafenibom prijavljena je toksičnost za bubrege, koja se kretala u rasponu od povišeneih vrijednosti kreatinina u serumu do akutnog intersticijskog nefritisa i akutne tubularne nekroze. Potrebno je odrediti vrijednosti kreatinina u serumu prije početka liječenja i kontrolisati ih tokom liječenja u skladu sa kliničkom indikacijom (vidjeti dijelove 4.2 i 4.8).</w:t>
      </w:r>
    </w:p>
    <w:p w:rsidR="00F82442" w:rsidRPr="00611C50" w:rsidRDefault="00F82442" w:rsidP="00AD0CC1">
      <w:pPr>
        <w:jc w:val="both"/>
        <w:rPr>
          <w:b/>
          <w:sz w:val="22"/>
          <w:szCs w:val="22"/>
          <w:lang w:val="sr-Latn-ME" w:eastAsia="ja-JP"/>
        </w:rPr>
      </w:pP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Poremećaj funkcije jetre</w:t>
      </w:r>
    </w:p>
    <w:p w:rsidR="00F82442" w:rsidRPr="00611C50" w:rsidRDefault="00F82442" w:rsidP="00AD0CC1">
      <w:pPr>
        <w:jc w:val="both"/>
        <w:rPr>
          <w:sz w:val="22"/>
          <w:szCs w:val="22"/>
          <w:lang w:val="sr-Latn-ME" w:eastAsia="ja-JP"/>
        </w:rPr>
      </w:pPr>
      <w:r w:rsidRPr="00611C50">
        <w:rPr>
          <w:sz w:val="22"/>
          <w:szCs w:val="22"/>
          <w:lang w:val="sr-Latn-ME" w:eastAsia="ja-JP"/>
        </w:rPr>
        <w:t xml:space="preserve">Nije neophodno prilagođavanje početne doze kod pacijenata sa poremećajem funkcije jetre. Pacijente sa blagim poremećajem funkcije jetre </w:t>
      </w:r>
      <w:r w:rsidR="00611C50">
        <w:rPr>
          <w:sz w:val="22"/>
          <w:szCs w:val="22"/>
          <w:lang w:val="sr-Latn-ME" w:eastAsia="ja-JP"/>
        </w:rPr>
        <w:t>uslijed</w:t>
      </w:r>
      <w:r w:rsidRPr="00611C50">
        <w:rPr>
          <w:sz w:val="22"/>
          <w:szCs w:val="22"/>
          <w:lang w:val="sr-Latn-ME" w:eastAsia="ja-JP"/>
        </w:rPr>
        <w:t xml:space="preserve"> metastaza na jetri, bez hiperbilirubinemije, treba pratiti prema opštim preporukama. Dostupni su samo vrlo ograničeni podaci za pacijente sa umjerenim do teškim oštećenjem jetre.  Pacijenti sa umjerenim do teškim oštećenjem jetre mogu biti pojačano izloženi (vidjeti dio 5.2). Stoga je pomno praćenje opravdano, pogotovo nakon prvih nekoliko </w:t>
      </w:r>
      <w:r w:rsidR="00611C50">
        <w:rPr>
          <w:sz w:val="22"/>
          <w:szCs w:val="22"/>
          <w:lang w:val="sr-Latn-ME" w:eastAsia="ja-JP"/>
        </w:rPr>
        <w:t xml:space="preserve">nedjelja </w:t>
      </w:r>
      <w:r w:rsidRPr="00611C50">
        <w:rPr>
          <w:sz w:val="22"/>
          <w:szCs w:val="22"/>
          <w:lang w:val="sr-Latn-ME" w:eastAsia="ja-JP"/>
        </w:rPr>
        <w:t>terapije, pošto se akumulacija može javiti tokom dužeg vremenskog perioda (nekoliko ned</w:t>
      </w:r>
      <w:r w:rsidR="00611C50">
        <w:rPr>
          <w:sz w:val="22"/>
          <w:szCs w:val="22"/>
          <w:lang w:val="sr-Latn-ME" w:eastAsia="ja-JP"/>
        </w:rPr>
        <w:t>j</w:t>
      </w:r>
      <w:r w:rsidRPr="00611C50">
        <w:rPr>
          <w:sz w:val="22"/>
          <w:szCs w:val="22"/>
          <w:lang w:val="sr-Latn-ME" w:eastAsia="ja-JP"/>
        </w:rPr>
        <w:t>elja). Takođe, preporučuje se praćenje EKG-a svakog mjeseca tokom prva tri mjeseca.</w:t>
      </w:r>
    </w:p>
    <w:p w:rsidR="00F82442" w:rsidRPr="00611C50" w:rsidRDefault="00F82442" w:rsidP="00AD0CC1">
      <w:pPr>
        <w:tabs>
          <w:tab w:val="left" w:pos="540"/>
          <w:tab w:val="left" w:pos="569"/>
        </w:tabs>
        <w:jc w:val="both"/>
        <w:rPr>
          <w:b/>
          <w:bCs/>
          <w:sz w:val="22"/>
          <w:szCs w:val="22"/>
          <w:lang w:val="sr-Latn-ME"/>
        </w:rPr>
      </w:pP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Poremećaj funkcije bubrega</w:t>
      </w:r>
    </w:p>
    <w:p w:rsidR="00F82442" w:rsidRPr="00611C50" w:rsidRDefault="00F82442" w:rsidP="00AD0CC1">
      <w:pPr>
        <w:jc w:val="both"/>
        <w:rPr>
          <w:sz w:val="22"/>
          <w:szCs w:val="22"/>
          <w:lang w:val="sr-Latn-ME" w:eastAsia="ja-JP"/>
        </w:rPr>
      </w:pPr>
      <w:r w:rsidRPr="00611C50">
        <w:rPr>
          <w:sz w:val="22"/>
          <w:szCs w:val="22"/>
          <w:lang w:val="sr-Latn-ME" w:eastAsia="ja-JP"/>
        </w:rPr>
        <w:t xml:space="preserve">Nije neophodno prilagođavanje početne doze kod pacijenata sa blagim do umjerenim poremećajem funkcije bubrega. Dostupni su samo ograničeni podaci za pacijente sa teškim oštećenjem bubrega (vidjeti dio 5.2). Vemurafenib treba pažljivo primjenjivati kod pacijenata sa teškim poremećajem funkcije bubrega i pacijente treba pomno pratiti. </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Fotosenzitivnost</w:t>
      </w:r>
    </w:p>
    <w:p w:rsidR="00F82442" w:rsidRPr="00611C50" w:rsidRDefault="00F82442" w:rsidP="00AD0CC1">
      <w:pPr>
        <w:jc w:val="both"/>
        <w:rPr>
          <w:sz w:val="22"/>
          <w:szCs w:val="22"/>
          <w:lang w:val="sr-Latn-ME" w:eastAsia="ja-JP"/>
        </w:rPr>
      </w:pPr>
      <w:r w:rsidRPr="00611C50">
        <w:rPr>
          <w:sz w:val="22"/>
          <w:szCs w:val="22"/>
          <w:lang w:val="sr-Latn-ME" w:eastAsia="ja-JP"/>
        </w:rPr>
        <w:lastRenderedPageBreak/>
        <w:t xml:space="preserve">Kod pacijenata koji su primali vemurafenib u kliničkim ispitivanjima zabilježena je blaga do umjerena fotosenzitivnost (vidjeti dio 4.8). Svim pacijentima potrebno je savjetovati da izbjegavaju izlaganje suncu dok uzimaju vemurafenib. Pacijentima je potrebno savjetovati da, dok uzimaju ovaj lijek, nose zaštitnu odjeću i koriste sredstvo za sunčanje i balzam za usne sa zaštitom protiv širokog spektra ultraljubičastih A i ultraljubičastih B (UVA/UVB) zraka (sa zaštitnim faktorom ≥ 30) pri boravku na otvorenom kako bi se zaštitili od sunčanih opekotina.  </w:t>
      </w:r>
    </w:p>
    <w:p w:rsidR="00F82442" w:rsidRPr="00611C50" w:rsidRDefault="00F82442" w:rsidP="00AD0CC1">
      <w:pPr>
        <w:jc w:val="both"/>
        <w:rPr>
          <w:sz w:val="22"/>
          <w:szCs w:val="22"/>
          <w:lang w:val="sr-Latn-ME" w:eastAsia="ja-JP"/>
        </w:rPr>
      </w:pPr>
      <w:r w:rsidRPr="00611C50">
        <w:rPr>
          <w:sz w:val="22"/>
          <w:szCs w:val="22"/>
          <w:lang w:val="sr-Latn-ME" w:eastAsia="ja-JP"/>
        </w:rPr>
        <w:t>Kod fotosenzitivnosti stepena 2 (nepodnošljivo) ili višeg, preporučuje se prilagođavanje doze (vidjeti dio 4.2).</w:t>
      </w:r>
    </w:p>
    <w:p w:rsidR="00F82442" w:rsidRPr="00611C50" w:rsidRDefault="00F82442" w:rsidP="00AD0CC1">
      <w:pPr>
        <w:jc w:val="both"/>
        <w:rPr>
          <w:sz w:val="22"/>
          <w:szCs w:val="22"/>
          <w:u w:val="single"/>
          <w:lang w:val="sr-Latn-ME" w:eastAsia="ja-JP"/>
        </w:rPr>
      </w:pP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 xml:space="preserve">Dupuytrenova kontraktura i plantarna fascijalna fibromatoza </w:t>
      </w:r>
    </w:p>
    <w:p w:rsidR="00F82442" w:rsidRPr="00611C50" w:rsidRDefault="00F82442" w:rsidP="00AD0CC1">
      <w:pPr>
        <w:jc w:val="both"/>
        <w:rPr>
          <w:sz w:val="22"/>
          <w:szCs w:val="22"/>
          <w:lang w:val="sr-Latn-ME" w:eastAsia="ja-JP"/>
        </w:rPr>
      </w:pPr>
      <w:r w:rsidRPr="00611C50">
        <w:rPr>
          <w:sz w:val="22"/>
          <w:szCs w:val="22"/>
          <w:lang w:val="sr-Latn-ME" w:eastAsia="ja-JP"/>
        </w:rPr>
        <w:t>Kod primjene vemurafeniba prijavljene su Dupuytrenova kontraktura i plantarna fascijalna fibromatoza. Većina slučajeva bila je 1. ili 2. stepena težine, no prijavljeni su i teški, onesposobljavajući slučajevi Dupuytrenove kontrakture (vidjeti dio 4.8).</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lang w:val="sr-Latn-ME" w:eastAsia="ja-JP"/>
        </w:rPr>
      </w:pPr>
      <w:r w:rsidRPr="00611C50">
        <w:rPr>
          <w:sz w:val="22"/>
          <w:szCs w:val="22"/>
          <w:lang w:val="sr-Latn-ME" w:eastAsia="ja-JP"/>
        </w:rPr>
        <w:t>Te događaje treba zbrinuti smanjivanjem doze uz privremen prekid liječenja ili trajnom obustavom  liječenja (vidjeti dio 4.2).</w:t>
      </w:r>
    </w:p>
    <w:p w:rsidR="00F82442" w:rsidRPr="00611C50" w:rsidRDefault="00F82442" w:rsidP="00AD0CC1">
      <w:pPr>
        <w:pStyle w:val="Header"/>
        <w:tabs>
          <w:tab w:val="left" w:pos="284"/>
        </w:tabs>
        <w:jc w:val="both"/>
        <w:rPr>
          <w:sz w:val="22"/>
          <w:szCs w:val="22"/>
          <w:lang w:val="sr-Latn-ME"/>
        </w:rPr>
      </w:pPr>
    </w:p>
    <w:p w:rsidR="00F82442" w:rsidRPr="00611C50" w:rsidRDefault="00F82442" w:rsidP="00AD0CC1">
      <w:pPr>
        <w:pStyle w:val="Header"/>
        <w:tabs>
          <w:tab w:val="left" w:pos="284"/>
        </w:tabs>
        <w:jc w:val="both"/>
        <w:rPr>
          <w:sz w:val="22"/>
          <w:szCs w:val="22"/>
          <w:u w:val="single"/>
          <w:lang w:val="sr-Latn-ME"/>
        </w:rPr>
      </w:pPr>
      <w:r w:rsidRPr="00611C50">
        <w:rPr>
          <w:sz w:val="22"/>
          <w:szCs w:val="22"/>
          <w:u w:val="single"/>
          <w:lang w:val="sr-Latn-ME"/>
        </w:rPr>
        <w:t>Efekti vemurafeniba na druge ljekove</w:t>
      </w:r>
    </w:p>
    <w:p w:rsidR="00F82442" w:rsidRPr="00611C50" w:rsidRDefault="00F82442" w:rsidP="00AD0CC1">
      <w:pPr>
        <w:pStyle w:val="Header"/>
        <w:tabs>
          <w:tab w:val="left" w:pos="284"/>
        </w:tabs>
        <w:jc w:val="both"/>
        <w:rPr>
          <w:sz w:val="22"/>
          <w:szCs w:val="22"/>
          <w:lang w:val="sr-Latn-ME"/>
        </w:rPr>
      </w:pPr>
      <w:r w:rsidRPr="00611C50">
        <w:rPr>
          <w:sz w:val="22"/>
          <w:szCs w:val="22"/>
          <w:lang w:val="sr-Latn-ME"/>
        </w:rPr>
        <w:t>Vemurafenib može da poveća koncentraciju u plazmi ljekova koji se predominantno metabolišu preko CYP1A2 i smanji koncentraciju u plazmi ljekova koji se predominantno metabolišu preko CYP3A4. Ne preporučuje se istovremena primjena vemurafeniba i ljekova sa uskim terapeutskim prozorom koji se metabolišu preko CYP1A2 i CYP3A4. Za ljekove koji se predominantno metabolišu preko CYP1A2 ili CYP3A4 treba razmotriti prilagođavanje doze na osnovu njihovog terapeutskog prozora, prije nego što se daju zajedno sa vemurafenibom (vidjeti dio 4.5 i 4.6).</w:t>
      </w:r>
    </w:p>
    <w:p w:rsidR="00F82442" w:rsidRPr="00611C50" w:rsidRDefault="00F82442" w:rsidP="00AD0CC1">
      <w:pPr>
        <w:pStyle w:val="Header"/>
        <w:tabs>
          <w:tab w:val="left" w:pos="284"/>
        </w:tabs>
        <w:jc w:val="both"/>
        <w:rPr>
          <w:sz w:val="22"/>
          <w:szCs w:val="22"/>
          <w:lang w:val="sr-Latn-ME"/>
        </w:rPr>
      </w:pPr>
    </w:p>
    <w:p w:rsidR="00F82442" w:rsidRPr="00611C50" w:rsidRDefault="00F82442" w:rsidP="00AD0CC1">
      <w:pPr>
        <w:pStyle w:val="Header"/>
        <w:tabs>
          <w:tab w:val="left" w:pos="284"/>
        </w:tabs>
        <w:jc w:val="both"/>
        <w:rPr>
          <w:sz w:val="22"/>
          <w:szCs w:val="22"/>
          <w:lang w:val="sr-Latn-ME"/>
        </w:rPr>
      </w:pPr>
      <w:r w:rsidRPr="00611C50">
        <w:rPr>
          <w:sz w:val="22"/>
          <w:szCs w:val="22"/>
          <w:lang w:val="sr-Latn-ME"/>
        </w:rPr>
        <w:t>Treba obratiti pažnju i razmotriti dodatni INR (International Normalized Ratio) monitoring kada se vemurafenib daje istovremeno sa varfarinom.</w:t>
      </w:r>
    </w:p>
    <w:p w:rsidR="00F82442" w:rsidRPr="00611C50" w:rsidRDefault="00F82442" w:rsidP="00AD0CC1">
      <w:pPr>
        <w:pStyle w:val="Header"/>
        <w:tabs>
          <w:tab w:val="left" w:pos="284"/>
        </w:tabs>
        <w:jc w:val="both"/>
        <w:rPr>
          <w:sz w:val="22"/>
          <w:szCs w:val="22"/>
          <w:lang w:val="sr-Latn-ME"/>
        </w:rPr>
      </w:pPr>
    </w:p>
    <w:p w:rsidR="00F82442" w:rsidRPr="00611C50" w:rsidRDefault="00F82442" w:rsidP="00AD0CC1">
      <w:pPr>
        <w:keepNext/>
        <w:keepLines/>
        <w:jc w:val="both"/>
        <w:rPr>
          <w:sz w:val="22"/>
          <w:szCs w:val="22"/>
          <w:lang w:val="sr-Latn-ME"/>
        </w:rPr>
      </w:pPr>
      <w:r w:rsidRPr="00611C50">
        <w:rPr>
          <w:sz w:val="22"/>
          <w:szCs w:val="22"/>
          <w:lang w:val="sr-Latn-ME"/>
        </w:rPr>
        <w:t>Vemurafenib može povisiti plazmatsku izloženost ljekovima koji su supstrati  P-gp-a. Treba biti oprezan ukoliko se vemurafenib primjenjuje istovremeno sa supstratima P-gp.  U slučaju istovremene primjene sa vemurafenibom treba razmotriti smanjenje doze i/ili izvršiti dodatno praćenje koncentracije ljekova  koji su supstrati P-gp-a i imaju uzak terapijski indeks (npr. digoksin, dabigatraneteksilat, aliskiren) (vidjeti dio 4.5).</w:t>
      </w:r>
    </w:p>
    <w:p w:rsidR="00F82442" w:rsidRPr="00611C50" w:rsidRDefault="00F82442" w:rsidP="00AD0CC1">
      <w:pPr>
        <w:pStyle w:val="Header"/>
        <w:tabs>
          <w:tab w:val="left" w:pos="284"/>
        </w:tabs>
        <w:jc w:val="both"/>
        <w:rPr>
          <w:sz w:val="22"/>
          <w:szCs w:val="22"/>
          <w:lang w:val="sr-Latn-ME"/>
        </w:rPr>
      </w:pPr>
    </w:p>
    <w:p w:rsidR="00F82442" w:rsidRPr="00611C50" w:rsidRDefault="00F82442" w:rsidP="00AD0CC1">
      <w:pPr>
        <w:pStyle w:val="Header"/>
        <w:tabs>
          <w:tab w:val="left" w:pos="284"/>
        </w:tabs>
        <w:jc w:val="both"/>
        <w:rPr>
          <w:sz w:val="22"/>
          <w:szCs w:val="22"/>
          <w:u w:val="single"/>
          <w:lang w:val="sr-Latn-ME"/>
        </w:rPr>
      </w:pPr>
      <w:r w:rsidRPr="00611C50">
        <w:rPr>
          <w:sz w:val="22"/>
          <w:szCs w:val="22"/>
          <w:u w:val="single"/>
          <w:lang w:val="sr-Latn-ME"/>
        </w:rPr>
        <w:t>Efekti drugih ljekova na vemurafenib</w:t>
      </w:r>
    </w:p>
    <w:p w:rsidR="00F82442" w:rsidRPr="00611C50" w:rsidRDefault="00F82442" w:rsidP="00AD0CC1">
      <w:pPr>
        <w:pStyle w:val="Header"/>
        <w:tabs>
          <w:tab w:val="left" w:pos="284"/>
        </w:tabs>
        <w:jc w:val="both"/>
        <w:rPr>
          <w:sz w:val="22"/>
          <w:szCs w:val="22"/>
          <w:lang w:val="sr-Latn-ME"/>
        </w:rPr>
      </w:pPr>
    </w:p>
    <w:p w:rsidR="00615A2A" w:rsidRPr="00611C50" w:rsidRDefault="00F82442" w:rsidP="00AD0CC1">
      <w:pPr>
        <w:jc w:val="both"/>
        <w:rPr>
          <w:sz w:val="22"/>
          <w:szCs w:val="22"/>
          <w:lang w:val="sr-Latn-ME"/>
        </w:rPr>
      </w:pPr>
      <w:r w:rsidRPr="00611C50">
        <w:rPr>
          <w:sz w:val="22"/>
          <w:szCs w:val="22"/>
          <w:lang w:val="sr-Latn-ME"/>
        </w:rPr>
        <w:t xml:space="preserve">Istovremena primjena snažnih induktora CYP3A4, P-gp i glukuronidacije (npr. rifampicin, rifabutin, karbamazepin, fenitioin ili kantarion [hipericin]) može dovesti do smanjene izloženosti vemurafenibu, te je treba izbegavati kada je to moguće (vidjeti dio 4.5). Treba razmotriti alternativnu terapiju sa manje potentnim induktorima, kako bi se održala efikasnost vemurafeniba. </w:t>
      </w:r>
      <w:r w:rsidR="00615A2A" w:rsidRPr="00611C50">
        <w:rPr>
          <w:sz w:val="22"/>
          <w:szCs w:val="22"/>
          <w:lang w:val="sr-Latn-ME"/>
        </w:rPr>
        <w:t>Potreban je oprez kada se vemurafenib primjenjuje sa snažnim inhibitorima CYP3A4/P-gp-a. Pacijente je potrebno pažljivo pratiti zbog bezbjedonosnog profila, a dozu treba prilagoditi ako je to klinički indikovano (vidjeti Tabelu 1 u od</w:t>
      </w:r>
      <w:r w:rsidR="00611C50">
        <w:rPr>
          <w:sz w:val="22"/>
          <w:szCs w:val="22"/>
          <w:lang w:val="sr-Latn-ME"/>
        </w:rPr>
        <w:t>j</w:t>
      </w:r>
      <w:r w:rsidR="00615A2A" w:rsidRPr="00611C50">
        <w:rPr>
          <w:sz w:val="22"/>
          <w:szCs w:val="22"/>
          <w:lang w:val="sr-Latn-ME"/>
        </w:rPr>
        <w:t>eljku 4.2).</w:t>
      </w:r>
    </w:p>
    <w:p w:rsidR="00F82442" w:rsidRPr="00611C50" w:rsidRDefault="00F82442" w:rsidP="00AD0CC1">
      <w:pPr>
        <w:pStyle w:val="Header"/>
        <w:tabs>
          <w:tab w:val="left" w:pos="284"/>
        </w:tabs>
        <w:jc w:val="both"/>
        <w:rPr>
          <w:sz w:val="22"/>
          <w:szCs w:val="22"/>
          <w:lang w:val="sr-Latn-ME"/>
        </w:rPr>
      </w:pPr>
    </w:p>
    <w:p w:rsidR="00F82442" w:rsidRPr="00611C50" w:rsidRDefault="00F82442" w:rsidP="00AD0CC1">
      <w:pPr>
        <w:pStyle w:val="Header"/>
        <w:tabs>
          <w:tab w:val="left" w:pos="284"/>
        </w:tabs>
        <w:jc w:val="both"/>
        <w:rPr>
          <w:sz w:val="22"/>
          <w:szCs w:val="22"/>
          <w:u w:val="single"/>
          <w:lang w:val="sr-Latn-ME"/>
        </w:rPr>
      </w:pPr>
      <w:r w:rsidRPr="00611C50">
        <w:rPr>
          <w:sz w:val="22"/>
          <w:szCs w:val="22"/>
          <w:u w:val="single"/>
          <w:lang w:val="sr-Latn-ME"/>
        </w:rPr>
        <w:t>Istovremena primjena sa ipilimumabom</w:t>
      </w:r>
    </w:p>
    <w:p w:rsidR="00F82442" w:rsidRPr="00611C50" w:rsidRDefault="00F82442" w:rsidP="00AD0CC1">
      <w:pPr>
        <w:pStyle w:val="Header"/>
        <w:tabs>
          <w:tab w:val="left" w:pos="284"/>
        </w:tabs>
        <w:jc w:val="both"/>
        <w:rPr>
          <w:sz w:val="22"/>
          <w:szCs w:val="22"/>
          <w:lang w:val="sr-Latn-ME"/>
        </w:rPr>
      </w:pPr>
      <w:r w:rsidRPr="00611C50">
        <w:rPr>
          <w:sz w:val="22"/>
          <w:szCs w:val="22"/>
          <w:lang w:val="sr-Latn-ME"/>
        </w:rPr>
        <w:t>Kod ispitivanja Faze I, prijavljeno je asimtomatsko povećanje transaminaza (ALT/AST &gt;5 x gornje granice normale) i bilirubina (ukupnog bilirubina &gt;3x gornje granice normale) gradusa 3, kod istovremene primjene ipilimumaba (3 mg/kg) sa vemurafenibom (960 mg BID ili 720 mg BID). Na osnovu ovih preliminarnih podataka, istovremena primjena ipilimumaba sa vemurafenibom se ne preporučuje.</w:t>
      </w:r>
    </w:p>
    <w:p w:rsidR="00F82442" w:rsidRPr="00611C50" w:rsidRDefault="00F82442" w:rsidP="00AD0CC1">
      <w:pPr>
        <w:tabs>
          <w:tab w:val="left" w:pos="540"/>
          <w:tab w:val="left" w:pos="569"/>
        </w:tabs>
        <w:jc w:val="both"/>
        <w:rPr>
          <w:b/>
          <w:bCs/>
          <w:sz w:val="22"/>
          <w:szCs w:val="22"/>
          <w:u w:val="single"/>
          <w:lang w:val="sr-Latn-ME"/>
        </w:rPr>
      </w:pPr>
    </w:p>
    <w:p w:rsidR="00E15F33" w:rsidRPr="00611C50" w:rsidRDefault="00E15F33" w:rsidP="00AD0CC1">
      <w:pPr>
        <w:tabs>
          <w:tab w:val="left" w:pos="540"/>
          <w:tab w:val="left" w:pos="569"/>
        </w:tabs>
        <w:jc w:val="both"/>
        <w:rPr>
          <w:sz w:val="22"/>
          <w:szCs w:val="22"/>
          <w:u w:val="single"/>
          <w:lang w:val="sr-Latn-ME"/>
        </w:rPr>
      </w:pPr>
      <w:r w:rsidRPr="00611C50">
        <w:rPr>
          <w:sz w:val="22"/>
          <w:szCs w:val="22"/>
          <w:u w:val="single"/>
          <w:lang w:val="sr-Latn-ME"/>
        </w:rPr>
        <w:t>Pedijatrijska populacija</w:t>
      </w:r>
    </w:p>
    <w:p w:rsidR="00E15F33" w:rsidRDefault="00E15F33" w:rsidP="00AD0CC1">
      <w:pPr>
        <w:tabs>
          <w:tab w:val="left" w:pos="540"/>
          <w:tab w:val="left" w:pos="569"/>
        </w:tabs>
        <w:jc w:val="both"/>
        <w:rPr>
          <w:bCs/>
          <w:sz w:val="22"/>
          <w:szCs w:val="22"/>
          <w:lang w:val="sr-Latn-ME"/>
        </w:rPr>
      </w:pPr>
      <w:r w:rsidRPr="00611C50">
        <w:rPr>
          <w:bCs/>
          <w:sz w:val="22"/>
          <w:szCs w:val="22"/>
          <w:lang w:val="sr-Latn-ME"/>
        </w:rPr>
        <w:t>Nije relevantno</w:t>
      </w:r>
    </w:p>
    <w:p w:rsidR="008E09B6" w:rsidRPr="00611C50" w:rsidRDefault="008E09B6" w:rsidP="00AD0CC1">
      <w:pPr>
        <w:tabs>
          <w:tab w:val="left" w:pos="540"/>
          <w:tab w:val="left" w:pos="569"/>
        </w:tabs>
        <w:jc w:val="both"/>
        <w:rPr>
          <w:bCs/>
          <w:sz w:val="22"/>
          <w:szCs w:val="22"/>
          <w:lang w:val="sr-Latn-ME"/>
        </w:rPr>
      </w:pPr>
    </w:p>
    <w:p w:rsidR="00411B4B" w:rsidRPr="00611C50" w:rsidRDefault="00411B4B" w:rsidP="00AD0CC1">
      <w:pPr>
        <w:tabs>
          <w:tab w:val="left" w:pos="540"/>
          <w:tab w:val="left" w:pos="569"/>
        </w:tabs>
        <w:jc w:val="both"/>
        <w:rPr>
          <w:b/>
          <w:bCs/>
          <w:sz w:val="22"/>
          <w:szCs w:val="22"/>
          <w:lang w:val="sr-Latn-ME"/>
        </w:rPr>
      </w:pPr>
      <w:r w:rsidRPr="00611C50">
        <w:rPr>
          <w:b/>
          <w:bCs/>
          <w:sz w:val="22"/>
          <w:szCs w:val="22"/>
          <w:lang w:val="sr-Latn-ME"/>
        </w:rPr>
        <w:t>4.5.</w:t>
      </w:r>
      <w:r w:rsidR="000D60CC" w:rsidRPr="00611C50">
        <w:rPr>
          <w:b/>
          <w:bCs/>
          <w:sz w:val="22"/>
          <w:szCs w:val="22"/>
          <w:lang w:val="sr-Latn-ME"/>
        </w:rPr>
        <w:tab/>
      </w:r>
      <w:r w:rsidRPr="00611C50">
        <w:rPr>
          <w:b/>
          <w:bCs/>
          <w:sz w:val="22"/>
          <w:szCs w:val="22"/>
          <w:lang w:val="sr-Latn-ME"/>
        </w:rPr>
        <w:t>Interakcije sa drugim ljekovima i druge vrste interakcija</w:t>
      </w:r>
    </w:p>
    <w:p w:rsidR="00F82442" w:rsidRPr="00611C50" w:rsidRDefault="00F82442" w:rsidP="00AD0CC1">
      <w:pPr>
        <w:tabs>
          <w:tab w:val="left" w:pos="540"/>
          <w:tab w:val="left" w:pos="569"/>
        </w:tabs>
        <w:jc w:val="both"/>
        <w:rPr>
          <w:b/>
          <w:bCs/>
          <w:sz w:val="22"/>
          <w:szCs w:val="22"/>
          <w:lang w:val="sr-Latn-ME"/>
        </w:rPr>
      </w:pP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Efekti vemurafeniba na enzime koji metabolišu ljekove</w:t>
      </w:r>
    </w:p>
    <w:p w:rsidR="00F82442" w:rsidRPr="00611C50" w:rsidRDefault="00F82442" w:rsidP="00AD0CC1">
      <w:pPr>
        <w:jc w:val="both"/>
        <w:rPr>
          <w:sz w:val="22"/>
          <w:szCs w:val="22"/>
          <w:lang w:val="sr-Latn-ME" w:eastAsia="ja-JP"/>
        </w:rPr>
      </w:pPr>
      <w:r w:rsidRPr="00611C50">
        <w:rPr>
          <w:sz w:val="22"/>
          <w:szCs w:val="22"/>
          <w:lang w:val="sr-Latn-ME" w:eastAsia="ja-JP"/>
        </w:rPr>
        <w:lastRenderedPageBreak/>
        <w:t xml:space="preserve">Rezultati </w:t>
      </w:r>
      <w:r w:rsidRPr="00611C50">
        <w:rPr>
          <w:i/>
          <w:sz w:val="22"/>
          <w:szCs w:val="22"/>
          <w:lang w:val="sr-Latn-ME" w:eastAsia="ja-JP"/>
        </w:rPr>
        <w:t>in vivo</w:t>
      </w:r>
      <w:r w:rsidRPr="00611C50">
        <w:rPr>
          <w:sz w:val="22"/>
          <w:szCs w:val="22"/>
          <w:lang w:val="sr-Latn-ME" w:eastAsia="ja-JP"/>
        </w:rPr>
        <w:t xml:space="preserve"> ispitivanja interakcija između ljekova kod pacijenata sa metastatskim melanomom pokazali su da jevemurafenib umjeren inhibitor CYP1A2 i induktor CYP3A4. </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lang w:val="sr-Latn-ME" w:eastAsia="ja-JP"/>
        </w:rPr>
      </w:pPr>
      <w:r w:rsidRPr="00611C50">
        <w:rPr>
          <w:sz w:val="22"/>
          <w:szCs w:val="22"/>
          <w:lang w:val="sr-Latn-ME" w:eastAsia="ja-JP"/>
        </w:rPr>
        <w:t>Ne preporučuje se istovremena primjena vemurafeniba sa ljekovima sa uskim terapijskim prozorom koji se metabolišu preko CYP1A2 (npr. agomelatin, alosetron, duloksetin, melatonin, ramelteon, takrin, tizanidin, teofilin). Ukoliko se istovremena primjena ne može izbjeći, potreban je oprez s obzirom da vemurafenib može da poveća plazma koncentraciju ljekova koji su supstrati CYP1A2. Može se razmotriti smanjenje doze istovremeno prim</w:t>
      </w:r>
      <w:r w:rsidR="00611C50">
        <w:rPr>
          <w:sz w:val="22"/>
          <w:szCs w:val="22"/>
          <w:lang w:val="sr-Latn-ME" w:eastAsia="ja-JP"/>
        </w:rPr>
        <w:t>i</w:t>
      </w:r>
      <w:r w:rsidRPr="00611C50">
        <w:rPr>
          <w:sz w:val="22"/>
          <w:szCs w:val="22"/>
          <w:lang w:val="sr-Latn-ME" w:eastAsia="ja-JP"/>
        </w:rPr>
        <w:t xml:space="preserve">jenjenog CYP1A2 supstrata, ukoliko je klinički indikovano.  </w:t>
      </w:r>
    </w:p>
    <w:p w:rsidR="00F82442" w:rsidRPr="00611C50" w:rsidRDefault="00F82442" w:rsidP="00AD0CC1">
      <w:pPr>
        <w:jc w:val="both"/>
        <w:rPr>
          <w:sz w:val="22"/>
          <w:szCs w:val="22"/>
          <w:lang w:val="sr-Latn-ME" w:eastAsia="ja-JP"/>
        </w:rPr>
      </w:pPr>
      <w:r w:rsidRPr="00611C50">
        <w:rPr>
          <w:sz w:val="22"/>
          <w:szCs w:val="22"/>
          <w:lang w:val="sr-Latn-ME" w:eastAsia="ja-JP"/>
        </w:rPr>
        <w:t>Istovremena primjena vemurafeniba povećala je plazma koncentraciju (PIK) kofeina (supstrat za CYP1A2) 2.6 puta, dok je smanjivala AUC midazolama (CYP3A4 substrat) za 39% u  kliničkom ispitivanju.  U drugom kliničkom ispitivanju primjena vemurafenib je povećala Cmax i AUCinf jednokratne doze od 2 mg tizanidina (supstrata CYP1A2)  približno 2,2 puta  odnosno 4,7 puta.</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lang w:val="sr-Latn-ME" w:eastAsia="ja-JP"/>
        </w:rPr>
      </w:pPr>
      <w:r w:rsidRPr="00611C50">
        <w:rPr>
          <w:sz w:val="22"/>
          <w:szCs w:val="22"/>
          <w:lang w:val="sr-Latn-ME" w:eastAsia="ja-JP"/>
        </w:rPr>
        <w:t>Ne preporučuje se istovremena primjena vemurafeniba sa ljekovima sa uskim terapijskim prozorom koji se metabolišu preko CYP3A4. Ukoliko se istovremena prim</w:t>
      </w:r>
      <w:r w:rsidR="00611C50">
        <w:rPr>
          <w:sz w:val="22"/>
          <w:szCs w:val="22"/>
          <w:lang w:val="sr-Latn-ME" w:eastAsia="ja-JP"/>
        </w:rPr>
        <w:t>j</w:t>
      </w:r>
      <w:r w:rsidRPr="00611C50">
        <w:rPr>
          <w:sz w:val="22"/>
          <w:szCs w:val="22"/>
          <w:lang w:val="sr-Latn-ME" w:eastAsia="ja-JP"/>
        </w:rPr>
        <w:t>ena ne može izbjeći, mora se uzeti u obzir da vemurafenib može da smanji plazma koncentracije supstrata za CYP3A4, a samim tim i efikasnost tih ljekova. Na osnovu toga, efikasnost kontraceptivnih pilula koje se metabolišu preko CYP3A4, primjenjenih istovremeno sa vemurafenibom, može biti smanjena. Za supstrate CYP3A4 sa uskim terapijskim prozorom može se razmotriti modifikacija doze, ukoliko je klinički indikovana (videti od</w:t>
      </w:r>
      <w:r w:rsidR="00611C50">
        <w:rPr>
          <w:sz w:val="22"/>
          <w:szCs w:val="22"/>
          <w:lang w:val="sr-Latn-ME" w:eastAsia="ja-JP"/>
        </w:rPr>
        <w:t>j</w:t>
      </w:r>
      <w:r w:rsidRPr="00611C50">
        <w:rPr>
          <w:sz w:val="22"/>
          <w:szCs w:val="22"/>
          <w:lang w:val="sr-Latn-ME" w:eastAsia="ja-JP"/>
        </w:rPr>
        <w:t>eljak 4.4 i 4.6). U kliničkoj studiji, istovremena primjena vemurafeniba smanjila je PIK midazolama (supstrat za CYP3A4) 39% u prosjeku (maksimalno smanjenje do 80</w:t>
      </w:r>
      <w:r w:rsidR="00163FBA" w:rsidRPr="00611C50">
        <w:rPr>
          <w:sz w:val="22"/>
          <w:szCs w:val="22"/>
          <w:lang w:val="sr-Latn-ME" w:eastAsia="ja-JP"/>
        </w:rPr>
        <w:t>%).</w:t>
      </w:r>
    </w:p>
    <w:p w:rsidR="00163FBA" w:rsidRPr="00611C50" w:rsidRDefault="00163FBA" w:rsidP="00AD0CC1">
      <w:pPr>
        <w:jc w:val="both"/>
        <w:rPr>
          <w:sz w:val="22"/>
          <w:szCs w:val="22"/>
          <w:lang w:val="sr-Latn-ME" w:eastAsia="ja-JP"/>
        </w:rPr>
      </w:pPr>
    </w:p>
    <w:p w:rsidR="00F82442" w:rsidRPr="00611C50" w:rsidRDefault="00F82442" w:rsidP="00AD0CC1">
      <w:pPr>
        <w:jc w:val="both"/>
        <w:rPr>
          <w:sz w:val="22"/>
          <w:szCs w:val="22"/>
          <w:lang w:val="sr-Latn-ME" w:eastAsia="ja-JP"/>
        </w:rPr>
      </w:pPr>
      <w:r w:rsidRPr="00611C50">
        <w:rPr>
          <w:sz w:val="22"/>
          <w:szCs w:val="22"/>
          <w:lang w:val="sr-Latn-ME" w:eastAsia="ja-JP"/>
        </w:rPr>
        <w:t xml:space="preserve">Blaga indukcija CYP2B6 vemurafenibom primjećena je </w:t>
      </w:r>
      <w:r w:rsidRPr="00611C50">
        <w:rPr>
          <w:i/>
          <w:sz w:val="22"/>
          <w:szCs w:val="22"/>
          <w:lang w:val="sr-Latn-ME" w:eastAsia="ja-JP"/>
        </w:rPr>
        <w:t>in vitro</w:t>
      </w:r>
      <w:r w:rsidRPr="00611C50">
        <w:rPr>
          <w:sz w:val="22"/>
          <w:szCs w:val="22"/>
          <w:lang w:val="sr-Latn-ME" w:eastAsia="ja-JP"/>
        </w:rPr>
        <w:t xml:space="preserve"> pri koncentraciji vemurafeniba od 10 µM. Trenutno nije poznato da li vemurafenib pri nivou u plazmi od 100 µM, koja je zabilježena kod pacijenta u stanju ravnoteže (“steady state”) (oko 50 µg/ml), može da smanji plazma koncentraciju istovremeno primjenjenih CYP2B6 supstrata, kao što je bupropion. </w:t>
      </w:r>
    </w:p>
    <w:p w:rsidR="00163FBA" w:rsidRPr="00611C50" w:rsidRDefault="00163FBA" w:rsidP="00AD0CC1">
      <w:pPr>
        <w:jc w:val="both"/>
        <w:rPr>
          <w:sz w:val="22"/>
          <w:szCs w:val="22"/>
          <w:lang w:val="sr-Latn-ME" w:eastAsia="ja-JP"/>
        </w:rPr>
      </w:pPr>
    </w:p>
    <w:p w:rsidR="00F82442" w:rsidRPr="00611C50" w:rsidRDefault="00F82442" w:rsidP="00AD0CC1">
      <w:pPr>
        <w:jc w:val="both"/>
        <w:rPr>
          <w:sz w:val="22"/>
          <w:szCs w:val="22"/>
          <w:u w:val="double"/>
          <w:lang w:val="sr-Latn-ME"/>
        </w:rPr>
      </w:pPr>
      <w:r w:rsidRPr="00611C50">
        <w:rPr>
          <w:sz w:val="22"/>
          <w:szCs w:val="22"/>
          <w:lang w:val="sr-Latn-ME" w:eastAsia="ja-JP"/>
        </w:rPr>
        <w:t xml:space="preserve">Istovremena primjena vemurafeniba rezultirala je smanjenjem od 18% PIK-a S-varfarina (susptrat za CYP2C9). Treba obratiti pažnju i razmotriti dodatno praćenje INR </w:t>
      </w:r>
      <w:r w:rsidRPr="00611C50">
        <w:rPr>
          <w:i/>
          <w:sz w:val="22"/>
          <w:szCs w:val="22"/>
          <w:lang w:val="sr-Latn-ME" w:eastAsia="ja-JP"/>
        </w:rPr>
        <w:t>(</w:t>
      </w:r>
      <w:r w:rsidRPr="00611C50">
        <w:rPr>
          <w:i/>
          <w:sz w:val="22"/>
          <w:szCs w:val="22"/>
          <w:u w:val="double"/>
          <w:lang w:val="sr-Latn-ME"/>
        </w:rPr>
        <w:t>international normalized ratio)</w:t>
      </w:r>
      <w:r w:rsidRPr="00611C50">
        <w:rPr>
          <w:sz w:val="22"/>
          <w:szCs w:val="22"/>
          <w:u w:val="double"/>
          <w:lang w:val="sr-Latn-ME"/>
        </w:rPr>
        <w:t xml:space="preserve"> kada se vemurafenib primjenjuje istovremeno sa varfarinom (vidjeti dio 4.4).</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lang w:val="sr-Latn-ME" w:eastAsia="ja-JP"/>
        </w:rPr>
      </w:pPr>
      <w:r w:rsidRPr="00611C50">
        <w:rPr>
          <w:sz w:val="22"/>
          <w:szCs w:val="22"/>
          <w:lang w:val="sr-Latn-ME" w:eastAsia="ja-JP"/>
        </w:rPr>
        <w:t xml:space="preserve">Vemurafenib umjereno inhibira CYP2C8 </w:t>
      </w:r>
      <w:r w:rsidRPr="00611C50">
        <w:rPr>
          <w:i/>
          <w:sz w:val="22"/>
          <w:szCs w:val="22"/>
          <w:lang w:val="sr-Latn-ME" w:eastAsia="ja-JP"/>
        </w:rPr>
        <w:t>in vitro</w:t>
      </w:r>
      <w:r w:rsidRPr="00611C50">
        <w:rPr>
          <w:sz w:val="22"/>
          <w:szCs w:val="22"/>
          <w:lang w:val="sr-Latn-ME" w:eastAsia="ja-JP"/>
        </w:rPr>
        <w:t xml:space="preserve">. Značaj ovog nalaza </w:t>
      </w:r>
      <w:r w:rsidRPr="00611C50">
        <w:rPr>
          <w:i/>
          <w:sz w:val="22"/>
          <w:szCs w:val="22"/>
          <w:lang w:val="sr-Latn-ME" w:eastAsia="ja-JP"/>
        </w:rPr>
        <w:t xml:space="preserve">in vivo </w:t>
      </w:r>
      <w:r w:rsidRPr="00611C50">
        <w:rPr>
          <w:sz w:val="22"/>
          <w:szCs w:val="22"/>
          <w:lang w:val="sr-Latn-ME" w:eastAsia="ja-JP"/>
        </w:rPr>
        <w:t>nije poznat, ali  rizik za klinički relevantan efekat na konkomitantno prim</w:t>
      </w:r>
      <w:r w:rsidR="00BF3952">
        <w:rPr>
          <w:sz w:val="22"/>
          <w:szCs w:val="22"/>
          <w:lang w:val="sr-Latn-ME" w:eastAsia="ja-JP"/>
        </w:rPr>
        <w:t>i</w:t>
      </w:r>
      <w:r w:rsidRPr="00611C50">
        <w:rPr>
          <w:sz w:val="22"/>
          <w:szCs w:val="22"/>
          <w:lang w:val="sr-Latn-ME" w:eastAsia="ja-JP"/>
        </w:rPr>
        <w:t xml:space="preserve">jenjen CYP2C8 substrat ne može biti isključen. Potreban je oprez kod istovremene primjene CYP2C8 supstrata sa uskim terapijskim prozorom, s obzirom da vemurafenib može povećati njihove koncentracije. </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lang w:val="sr-Latn-ME" w:eastAsia="ja-JP"/>
        </w:rPr>
      </w:pPr>
      <w:r w:rsidRPr="00611C50">
        <w:rPr>
          <w:sz w:val="22"/>
          <w:szCs w:val="22"/>
          <w:lang w:val="sr-Latn-ME" w:eastAsia="ja-JP"/>
        </w:rPr>
        <w:t>Zbog dugog poluvr</w:t>
      </w:r>
      <w:r w:rsidR="00BF3952">
        <w:rPr>
          <w:sz w:val="22"/>
          <w:szCs w:val="22"/>
          <w:lang w:val="sr-Latn-ME" w:eastAsia="ja-JP"/>
        </w:rPr>
        <w:t>ij</w:t>
      </w:r>
      <w:r w:rsidRPr="00611C50">
        <w:rPr>
          <w:sz w:val="22"/>
          <w:szCs w:val="22"/>
          <w:lang w:val="sr-Latn-ME" w:eastAsia="ja-JP"/>
        </w:rPr>
        <w:t>emena eliminacije vemurafeniba, pun inhibitorni efekat vemurafeniba na istovremeno prim</w:t>
      </w:r>
      <w:r w:rsidR="00BF3952">
        <w:rPr>
          <w:sz w:val="22"/>
          <w:szCs w:val="22"/>
          <w:lang w:val="sr-Latn-ME" w:eastAsia="ja-JP"/>
        </w:rPr>
        <w:t>i</w:t>
      </w:r>
      <w:r w:rsidRPr="00611C50">
        <w:rPr>
          <w:sz w:val="22"/>
          <w:szCs w:val="22"/>
          <w:lang w:val="sr-Latn-ME" w:eastAsia="ja-JP"/>
        </w:rPr>
        <w:t>jenjene ljekove može ostati neprimjećen prije osmog dana terapije vemurafenibom.</w:t>
      </w:r>
    </w:p>
    <w:p w:rsidR="00F82442" w:rsidRPr="00611C50" w:rsidRDefault="00F82442" w:rsidP="00AD0CC1">
      <w:pPr>
        <w:jc w:val="both"/>
        <w:rPr>
          <w:sz w:val="22"/>
          <w:szCs w:val="22"/>
          <w:lang w:val="sr-Latn-ME" w:eastAsia="ja-JP"/>
        </w:rPr>
      </w:pPr>
      <w:r w:rsidRPr="00611C50">
        <w:rPr>
          <w:sz w:val="22"/>
          <w:szCs w:val="22"/>
          <w:lang w:val="sr-Latn-ME" w:eastAsia="ja-JP"/>
        </w:rPr>
        <w:t>Nakon prekida terapije vemurafenibom, period eliminacije od 8 dana može biti potreban,</w:t>
      </w:r>
      <w:r w:rsidR="00BF3952">
        <w:rPr>
          <w:sz w:val="22"/>
          <w:szCs w:val="22"/>
          <w:lang w:val="sr-Latn-ME" w:eastAsia="ja-JP"/>
        </w:rPr>
        <w:t xml:space="preserve"> </w:t>
      </w:r>
      <w:r w:rsidRPr="00611C50">
        <w:rPr>
          <w:sz w:val="22"/>
          <w:szCs w:val="22"/>
          <w:lang w:val="sr-Latn-ME" w:eastAsia="ja-JP"/>
        </w:rPr>
        <w:t xml:space="preserve">kako bi se izbjegla interakcija sa narednom terapijom. </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Radioterapija</w:t>
      </w:r>
    </w:p>
    <w:p w:rsidR="00F82442" w:rsidRPr="00611C50" w:rsidRDefault="00F82442" w:rsidP="00AD0CC1">
      <w:pPr>
        <w:jc w:val="both"/>
        <w:rPr>
          <w:sz w:val="22"/>
          <w:szCs w:val="22"/>
          <w:lang w:val="sr-Latn-ME" w:eastAsia="ja-JP"/>
        </w:rPr>
      </w:pPr>
      <w:r w:rsidRPr="00611C50">
        <w:rPr>
          <w:sz w:val="22"/>
          <w:szCs w:val="22"/>
          <w:lang w:val="sr-Latn-ME" w:eastAsia="ja-JP"/>
        </w:rPr>
        <w:t>Kod pacijenata koji su primali vemurafenib prijavljeno je pojačavanje toksičnosti radioterapije (vidjeti dijelove 4.4 i 4.8). U većini slučajeva su pacijenti primali radioterapijske protokole od 2 Gy ili više na dan (hipofrakcionirani protokoli).</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Uticaj vemurafeniba na transportne sisteme za ljekove</w:t>
      </w:r>
    </w:p>
    <w:p w:rsidR="00F82442" w:rsidRPr="00611C50" w:rsidRDefault="00F82442" w:rsidP="00AD0CC1">
      <w:pPr>
        <w:jc w:val="both"/>
        <w:rPr>
          <w:sz w:val="22"/>
          <w:szCs w:val="22"/>
          <w:lang w:val="sr-Latn-ME" w:eastAsia="ja-JP"/>
        </w:rPr>
      </w:pPr>
      <w:r w:rsidRPr="00611C50">
        <w:rPr>
          <w:i/>
          <w:sz w:val="22"/>
          <w:szCs w:val="22"/>
          <w:lang w:val="sr-Latn-ME" w:eastAsia="ja-JP"/>
        </w:rPr>
        <w:t>In vitro</w:t>
      </w:r>
      <w:r w:rsidRPr="00611C50">
        <w:rPr>
          <w:sz w:val="22"/>
          <w:szCs w:val="22"/>
          <w:lang w:val="sr-Latn-ME" w:eastAsia="ja-JP"/>
        </w:rPr>
        <w:t xml:space="preserve"> studije pokazale su da je vemurafenib inhibitor efluks transportera, P-glikoproteina (P-gp) i proteina koji prouzrokuju rezistenciju raka dojke na liječenju BCRP. </w:t>
      </w:r>
    </w:p>
    <w:p w:rsidR="00F82442" w:rsidRPr="00611C50" w:rsidRDefault="00F82442" w:rsidP="00AD0CC1">
      <w:pPr>
        <w:tabs>
          <w:tab w:val="left" w:pos="540"/>
          <w:tab w:val="left" w:pos="569"/>
        </w:tabs>
        <w:jc w:val="both"/>
        <w:rPr>
          <w:b/>
          <w:bCs/>
          <w:sz w:val="22"/>
          <w:szCs w:val="22"/>
          <w:lang w:val="sr-Latn-ME"/>
        </w:rPr>
      </w:pPr>
    </w:p>
    <w:p w:rsidR="00F82442" w:rsidRPr="00611C50" w:rsidRDefault="00F82442" w:rsidP="00AD0CC1">
      <w:pPr>
        <w:jc w:val="both"/>
        <w:rPr>
          <w:sz w:val="22"/>
          <w:szCs w:val="22"/>
          <w:lang w:val="sr-Latn-ME" w:eastAsia="ja-JP"/>
        </w:rPr>
      </w:pPr>
      <w:r w:rsidRPr="00611C50">
        <w:rPr>
          <w:sz w:val="22"/>
          <w:szCs w:val="22"/>
          <w:lang w:val="sr-Latn-ME" w:eastAsia="ja-JP"/>
        </w:rPr>
        <w:t xml:space="preserve">U kliničkoj studiji interakcije između ljekova pokazalo se da su višestruke oralne doze vemurafeniba (960 mg dvaput na dan) povećale izloženost digoksinu, supstratu P-gp-a, nakon primjene jednokratne oralne doze, i to AUClast digoksina približno 1,8 puta, a Cmax približno 1,5 puta. </w:t>
      </w:r>
    </w:p>
    <w:p w:rsidR="00F82442" w:rsidRPr="00611C50" w:rsidRDefault="00F82442" w:rsidP="00AD0CC1">
      <w:pPr>
        <w:jc w:val="both"/>
        <w:rPr>
          <w:sz w:val="22"/>
          <w:szCs w:val="22"/>
          <w:lang w:val="sr-Latn-ME" w:eastAsia="ja-JP"/>
        </w:rPr>
      </w:pPr>
      <w:r w:rsidRPr="00611C50">
        <w:rPr>
          <w:sz w:val="22"/>
          <w:szCs w:val="22"/>
          <w:lang w:val="sr-Latn-ME" w:eastAsia="ja-JP"/>
        </w:rPr>
        <w:t xml:space="preserve">Potreban je oprez kad se vemurafenib primjenjuje istovremeo sa supstratima P-gp-a (npr. aliskirenom, ambrisentanom, kolhicinom, dabigatraneteksilatom, digoksinom, everolimusom, feksofenadinom, lapatinibom, maravirokom, nilotinibom, posakonazolom, ranolazinom, sirolimusom, sitagliptinom, </w:t>
      </w:r>
      <w:r w:rsidRPr="00611C50">
        <w:rPr>
          <w:sz w:val="22"/>
          <w:szCs w:val="22"/>
          <w:lang w:val="sr-Latn-ME" w:eastAsia="ja-JP"/>
        </w:rPr>
        <w:lastRenderedPageBreak/>
        <w:t>talinololom, topotekanom) pa se može razmotriti smanjenje doze istovremeno prim</w:t>
      </w:r>
      <w:r w:rsidR="00BF3952">
        <w:rPr>
          <w:sz w:val="22"/>
          <w:szCs w:val="22"/>
          <w:lang w:val="sr-Latn-ME" w:eastAsia="ja-JP"/>
        </w:rPr>
        <w:t>i</w:t>
      </w:r>
      <w:r w:rsidRPr="00611C50">
        <w:rPr>
          <w:sz w:val="22"/>
          <w:szCs w:val="22"/>
          <w:lang w:val="sr-Latn-ME" w:eastAsia="ja-JP"/>
        </w:rPr>
        <w:t>jenjenog lijeka, ako je to klinički indikovano. Potrebno je razmotriti dodatno praćenje nivoa ljekova koji su supstrati P-gp-a i imaju uzak terapijski indeks (npr. digoksin, dabigatraneteksilat, aliskiren) (vidjeti dio 4.4).</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lang w:val="sr-Latn-ME" w:eastAsia="ja-JP"/>
        </w:rPr>
      </w:pPr>
      <w:r w:rsidRPr="00611C50">
        <w:rPr>
          <w:sz w:val="22"/>
          <w:szCs w:val="22"/>
          <w:lang w:val="sr-Latn-ME" w:eastAsia="ja-JP"/>
        </w:rPr>
        <w:t>Nisu poznati efekti vemurafeniba na ljekove koji su supstrati BCRP. Ne može se isključiti da vemurafenib može povećati koncentraciju drugih ljekova koji se transportuju preko BCRP-a (npr. Metotreksata, mitoksantrona, rosuvastatina).</w:t>
      </w:r>
    </w:p>
    <w:p w:rsidR="00F82442" w:rsidRPr="00611C50" w:rsidRDefault="00F82442" w:rsidP="00AD0CC1">
      <w:pPr>
        <w:jc w:val="both"/>
        <w:rPr>
          <w:sz w:val="22"/>
          <w:szCs w:val="22"/>
          <w:lang w:val="sr-Latn-ME" w:eastAsia="ja-JP"/>
        </w:rPr>
      </w:pPr>
      <w:r w:rsidRPr="00611C50">
        <w:rPr>
          <w:sz w:val="22"/>
          <w:szCs w:val="22"/>
          <w:lang w:val="sr-Latn-ME" w:eastAsia="ja-JP"/>
        </w:rPr>
        <w:t>Mnogi ljekovi za liječenje raka su supstrati BCRP-a, te time postoji teoretski rizik interakcije sa vemurafebinom.</w:t>
      </w:r>
    </w:p>
    <w:p w:rsidR="00F82442" w:rsidRPr="00611C50" w:rsidRDefault="00F82442" w:rsidP="00AD0CC1">
      <w:pPr>
        <w:jc w:val="both"/>
        <w:rPr>
          <w:sz w:val="22"/>
          <w:szCs w:val="22"/>
          <w:lang w:val="sr-Latn-ME" w:eastAsia="ja-JP"/>
        </w:rPr>
      </w:pPr>
      <w:r w:rsidRPr="00611C50">
        <w:rPr>
          <w:sz w:val="22"/>
          <w:szCs w:val="22"/>
          <w:lang w:val="sr-Latn-ME" w:eastAsia="ja-JP"/>
        </w:rPr>
        <w:t>Mogući efekat vemurafeniba na ostale transportere  trenutno nije poznat.</w:t>
      </w:r>
    </w:p>
    <w:p w:rsidR="00F82442" w:rsidRPr="00611C50" w:rsidRDefault="00F82442" w:rsidP="00AD0CC1">
      <w:pPr>
        <w:jc w:val="both"/>
        <w:rPr>
          <w:sz w:val="22"/>
          <w:szCs w:val="22"/>
          <w:lang w:val="sr-Latn-ME" w:eastAsia="ja-JP"/>
        </w:rPr>
      </w:pPr>
      <w:r w:rsidRPr="00611C50">
        <w:rPr>
          <w:sz w:val="22"/>
          <w:szCs w:val="22"/>
          <w:lang w:val="sr-Latn-ME" w:eastAsia="ja-JP"/>
        </w:rPr>
        <w:t xml:space="preserve"> </w:t>
      </w:r>
    </w:p>
    <w:p w:rsidR="00F82442" w:rsidRPr="00611C50" w:rsidRDefault="00F82442" w:rsidP="00AD0CC1">
      <w:pPr>
        <w:jc w:val="both"/>
        <w:rPr>
          <w:sz w:val="22"/>
          <w:szCs w:val="22"/>
          <w:u w:val="single"/>
          <w:lang w:val="sr-Latn-ME" w:eastAsia="ja-JP"/>
        </w:rPr>
      </w:pPr>
      <w:r w:rsidRPr="00611C50">
        <w:rPr>
          <w:sz w:val="22"/>
          <w:szCs w:val="22"/>
          <w:u w:val="single"/>
          <w:lang w:val="sr-Latn-ME" w:eastAsia="ja-JP"/>
        </w:rPr>
        <w:t>Efekti istovremeno primjenjenih ljekova na vemurafenib</w:t>
      </w:r>
    </w:p>
    <w:p w:rsidR="00F82442" w:rsidRPr="00611C50" w:rsidRDefault="00F82442" w:rsidP="00AD0CC1">
      <w:pPr>
        <w:jc w:val="both"/>
        <w:rPr>
          <w:sz w:val="22"/>
          <w:szCs w:val="22"/>
          <w:lang w:val="sr-Latn-ME" w:eastAsia="ja-JP"/>
        </w:rPr>
      </w:pPr>
      <w:r w:rsidRPr="00611C50">
        <w:rPr>
          <w:i/>
          <w:sz w:val="22"/>
          <w:szCs w:val="22"/>
          <w:lang w:val="sr-Latn-ME" w:eastAsia="ja-JP"/>
        </w:rPr>
        <w:t>In vitro</w:t>
      </w:r>
      <w:r w:rsidRPr="00611C50">
        <w:rPr>
          <w:sz w:val="22"/>
          <w:szCs w:val="22"/>
          <w:lang w:val="sr-Latn-ME" w:eastAsia="ja-JP"/>
        </w:rPr>
        <w:t xml:space="preserve"> studije ukazuju na to da su CYP3A4 metabolizam i glukuronidacija odgovorni za metabolizam vemurafeniba. Bilijarna ekskrecija je izgleda drugi važan put eliminacije. </w:t>
      </w:r>
    </w:p>
    <w:p w:rsidR="00615A2A" w:rsidRPr="00611C50" w:rsidRDefault="00615A2A" w:rsidP="00AD0CC1">
      <w:pPr>
        <w:jc w:val="both"/>
        <w:rPr>
          <w:sz w:val="20"/>
          <w:szCs w:val="22"/>
          <w:lang w:val="sr-Latn-ME" w:eastAsia="ja-JP"/>
        </w:rPr>
      </w:pPr>
      <w:r w:rsidRPr="00611C50">
        <w:rPr>
          <w:i/>
          <w:sz w:val="22"/>
          <w:szCs w:val="20"/>
          <w:lang w:val="sr-Latn-ME" w:eastAsia="ja-JP"/>
        </w:rPr>
        <w:t>In vitro</w:t>
      </w:r>
      <w:r w:rsidRPr="00611C50">
        <w:rPr>
          <w:sz w:val="22"/>
          <w:szCs w:val="20"/>
          <w:lang w:val="sr-Latn-ME" w:eastAsia="ja-JP"/>
        </w:rPr>
        <w:t xml:space="preserve"> studije pokazale su da je vemurafenib supstrat efluksnih transportera, P</w:t>
      </w:r>
      <w:r w:rsidRPr="00611C50">
        <w:rPr>
          <w:sz w:val="22"/>
          <w:szCs w:val="20"/>
          <w:lang w:val="sr-Latn-ME" w:eastAsia="ja-JP"/>
        </w:rPr>
        <w:noBreakHyphen/>
        <w:t>gp i BCRP. Trenutno nije poznato da li je vemurafenib supstrat i za druge transportne proteine.</w:t>
      </w:r>
    </w:p>
    <w:p w:rsidR="00F82442" w:rsidRPr="00611C50" w:rsidRDefault="00F82442" w:rsidP="00AD0CC1">
      <w:pPr>
        <w:jc w:val="both"/>
        <w:rPr>
          <w:sz w:val="22"/>
          <w:szCs w:val="22"/>
          <w:lang w:val="sr-Latn-ME" w:eastAsia="ja-JP"/>
        </w:rPr>
      </w:pPr>
      <w:r w:rsidRPr="00611C50">
        <w:rPr>
          <w:sz w:val="22"/>
          <w:szCs w:val="22"/>
          <w:lang w:val="sr-Latn-ME" w:eastAsia="ja-JP"/>
        </w:rPr>
        <w:t>Istovremena primjena snažnih inhibitora ili induktora CYP3A4 ili inhibitora/induktora aktivnosti transportnih proteina može prom</w:t>
      </w:r>
      <w:r w:rsidR="00BF3952">
        <w:rPr>
          <w:sz w:val="22"/>
          <w:szCs w:val="22"/>
          <w:lang w:val="sr-Latn-ME" w:eastAsia="ja-JP"/>
        </w:rPr>
        <w:t>i</w:t>
      </w:r>
      <w:r w:rsidRPr="00611C50">
        <w:rPr>
          <w:sz w:val="22"/>
          <w:szCs w:val="22"/>
          <w:lang w:val="sr-Latn-ME" w:eastAsia="ja-JP"/>
        </w:rPr>
        <w:t>jeniti koncentracije vemurafeniba.</w:t>
      </w:r>
    </w:p>
    <w:p w:rsidR="00163FBA" w:rsidRPr="00611C50" w:rsidRDefault="00163FBA" w:rsidP="00AD0CC1">
      <w:pPr>
        <w:jc w:val="both"/>
        <w:rPr>
          <w:sz w:val="22"/>
          <w:szCs w:val="22"/>
          <w:lang w:val="sr-Latn-ME" w:eastAsia="ja-JP"/>
        </w:rPr>
      </w:pPr>
    </w:p>
    <w:p w:rsidR="00F82442" w:rsidRPr="00611C50" w:rsidRDefault="00615A2A" w:rsidP="00AD0CC1">
      <w:pPr>
        <w:jc w:val="both"/>
        <w:rPr>
          <w:sz w:val="22"/>
          <w:szCs w:val="22"/>
          <w:lang w:val="sr-Latn-ME" w:eastAsia="ja-JP"/>
        </w:rPr>
      </w:pPr>
      <w:r w:rsidRPr="00611C50">
        <w:rPr>
          <w:sz w:val="22"/>
          <w:szCs w:val="22"/>
          <w:lang w:val="sr-Latn-ME" w:eastAsia="ja-JP"/>
        </w:rPr>
        <w:t>Istovremena primjena itrakonazola, snažnog inhibitora CYP3A4/P-gp-a, povećala je AUC vemurafeniba u stanju dinamičke ravnoteže za približno 40%.</w:t>
      </w:r>
      <w:r w:rsidR="00163FBA" w:rsidRPr="00611C50">
        <w:rPr>
          <w:sz w:val="22"/>
          <w:szCs w:val="22"/>
          <w:lang w:val="sr-Latn-ME" w:eastAsia="ja-JP"/>
        </w:rPr>
        <w:t xml:space="preserve"> </w:t>
      </w:r>
      <w:r w:rsidR="00F82442" w:rsidRPr="00611C50">
        <w:rPr>
          <w:sz w:val="22"/>
          <w:szCs w:val="22"/>
          <w:lang w:val="sr-Latn-ME" w:eastAsia="ja-JP"/>
        </w:rPr>
        <w:t>Vemurafenib treba pažljivo koristiti u kombinaciji sa snažnim inhibitorima CYP3A4, glukuronidacije i/ili transportnih proteina (npr. ritonavir, sakvinavir, telitromicin, ketokonazol, itrakonazol, vorikonazol, posakonazol, nefazodon, atazanavir).</w:t>
      </w:r>
    </w:p>
    <w:p w:rsidR="00163FBA" w:rsidRPr="00611C50" w:rsidRDefault="00163FBA" w:rsidP="00AD0CC1">
      <w:pPr>
        <w:jc w:val="both"/>
        <w:rPr>
          <w:sz w:val="22"/>
          <w:szCs w:val="22"/>
          <w:lang w:val="sr-Latn-ME" w:eastAsia="ja-JP"/>
        </w:rPr>
      </w:pPr>
    </w:p>
    <w:p w:rsidR="00F82442" w:rsidRPr="00611C50" w:rsidRDefault="00F82442" w:rsidP="00AD0CC1">
      <w:pPr>
        <w:jc w:val="both"/>
        <w:rPr>
          <w:sz w:val="22"/>
          <w:szCs w:val="22"/>
          <w:lang w:val="sr-Latn-ME" w:eastAsia="ja-JP"/>
        </w:rPr>
      </w:pPr>
      <w:r w:rsidRPr="00611C50">
        <w:rPr>
          <w:sz w:val="22"/>
          <w:szCs w:val="22"/>
          <w:lang w:val="sr-Latn-ME" w:eastAsia="ja-JP"/>
        </w:rPr>
        <w:t>U kliničkom  ispitivanju je istovremena primjena jedne doze vemurafeniba od 960 mg istovremeno sa rifampicinom značajno smanjila izloženost vemurafeniba u plazmi, za približno 40%.</w:t>
      </w:r>
    </w:p>
    <w:p w:rsidR="00F82442" w:rsidRPr="00611C50" w:rsidRDefault="00F82442" w:rsidP="00AD0CC1">
      <w:pPr>
        <w:jc w:val="both"/>
        <w:rPr>
          <w:sz w:val="22"/>
          <w:szCs w:val="22"/>
          <w:lang w:val="sr-Latn-ME" w:eastAsia="ja-JP"/>
        </w:rPr>
      </w:pPr>
      <w:r w:rsidRPr="00611C50">
        <w:rPr>
          <w:sz w:val="22"/>
          <w:szCs w:val="22"/>
          <w:lang w:val="sr-Latn-ME" w:eastAsia="ja-JP"/>
        </w:rPr>
        <w:t>Istovremena primjena snažnih induktora P-gp, glukuronidacije i/ili CYP3A4 (npr. rifampicin, rifabutin,</w:t>
      </w:r>
      <w:r w:rsidRPr="00611C50">
        <w:rPr>
          <w:sz w:val="22"/>
          <w:szCs w:val="22"/>
          <w:lang w:val="sr-Latn-ME"/>
        </w:rPr>
        <w:t xml:space="preserve"> karbamazepin, fenitoin ili kantarion</w:t>
      </w:r>
      <w:r w:rsidRPr="00611C50">
        <w:rPr>
          <w:sz w:val="22"/>
          <w:szCs w:val="22"/>
          <w:lang w:val="sr-Latn-ME" w:eastAsia="ja-JP"/>
        </w:rPr>
        <w:t xml:space="preserve">) mogu dovesti do suboptimalne koncentracije vemurafeniba i treba ih izbjegavati.  </w:t>
      </w:r>
    </w:p>
    <w:p w:rsidR="00F82442" w:rsidRPr="00611C50" w:rsidRDefault="00F82442" w:rsidP="00AD0CC1">
      <w:pPr>
        <w:jc w:val="both"/>
        <w:rPr>
          <w:sz w:val="22"/>
          <w:szCs w:val="22"/>
          <w:lang w:val="sr-Latn-ME" w:eastAsia="ja-JP"/>
        </w:rPr>
      </w:pPr>
    </w:p>
    <w:p w:rsidR="00F82442" w:rsidRPr="00611C50" w:rsidRDefault="00F82442" w:rsidP="00AD0CC1">
      <w:pPr>
        <w:jc w:val="both"/>
        <w:rPr>
          <w:sz w:val="22"/>
          <w:szCs w:val="22"/>
          <w:lang w:val="sr-Latn-ME" w:eastAsia="ja-JP"/>
        </w:rPr>
      </w:pPr>
      <w:r w:rsidRPr="00611C50">
        <w:rPr>
          <w:sz w:val="22"/>
          <w:szCs w:val="22"/>
          <w:lang w:val="sr-Latn-ME" w:eastAsia="ja-JP"/>
        </w:rPr>
        <w:t>Efekti P-gp i BCRP i inhibitora</w:t>
      </w:r>
      <w:r w:rsidR="00615A2A" w:rsidRPr="00611C50">
        <w:rPr>
          <w:sz w:val="22"/>
          <w:szCs w:val="22"/>
          <w:lang w:val="sr-Latn-ME" w:eastAsia="ja-JP"/>
        </w:rPr>
        <w:t>, koji istovremeno nisu i snažni inhibitori CYP3A4,</w:t>
      </w:r>
      <w:r w:rsidRPr="00611C50">
        <w:rPr>
          <w:sz w:val="22"/>
          <w:szCs w:val="22"/>
          <w:lang w:val="sr-Latn-ME" w:eastAsia="ja-JP"/>
        </w:rPr>
        <w:t xml:space="preserve"> nisu poznati. Ne može se isključiti</w:t>
      </w:r>
      <w:r w:rsidR="00615A2A" w:rsidRPr="00611C50">
        <w:rPr>
          <w:sz w:val="22"/>
          <w:szCs w:val="22"/>
          <w:lang w:val="sr-Latn-ME" w:eastAsia="ja-JP"/>
        </w:rPr>
        <w:t xml:space="preserve"> </w:t>
      </w:r>
      <w:r w:rsidR="00615A2A" w:rsidRPr="00611C50">
        <w:rPr>
          <w:sz w:val="22"/>
          <w:szCs w:val="20"/>
          <w:lang w:val="sr-Latn-ME" w:eastAsia="ja-JP"/>
        </w:rPr>
        <w:t>mogućnost</w:t>
      </w:r>
      <w:r w:rsidRPr="00611C50">
        <w:rPr>
          <w:sz w:val="22"/>
          <w:szCs w:val="22"/>
          <w:lang w:val="sr-Latn-ME" w:eastAsia="ja-JP"/>
        </w:rPr>
        <w:t xml:space="preserve"> da </w:t>
      </w:r>
      <w:r w:rsidR="00615A2A" w:rsidRPr="00611C50">
        <w:rPr>
          <w:sz w:val="22"/>
          <w:szCs w:val="22"/>
          <w:lang w:val="sr-Latn-ME" w:eastAsia="ja-JP"/>
        </w:rPr>
        <w:t xml:space="preserve">takvi </w:t>
      </w:r>
      <w:r w:rsidRPr="00611C50">
        <w:rPr>
          <w:sz w:val="22"/>
          <w:szCs w:val="22"/>
          <w:lang w:val="sr-Latn-ME" w:eastAsia="ja-JP"/>
        </w:rPr>
        <w:t xml:space="preserve">ljekovi utiču </w:t>
      </w:r>
      <w:r w:rsidR="00615A2A" w:rsidRPr="00611C50">
        <w:rPr>
          <w:sz w:val="22"/>
          <w:szCs w:val="22"/>
          <w:lang w:val="sr-Latn-ME" w:eastAsia="ja-JP"/>
        </w:rPr>
        <w:t xml:space="preserve">na farmakokinetiku vemurafeniba  delovanjem </w:t>
      </w:r>
      <w:r w:rsidRPr="00611C50">
        <w:rPr>
          <w:sz w:val="22"/>
          <w:szCs w:val="22"/>
          <w:lang w:val="sr-Latn-ME" w:eastAsia="ja-JP"/>
        </w:rPr>
        <w:t xml:space="preserve">na P-gp (npr. verapamil,  </w:t>
      </w:r>
      <w:r w:rsidRPr="00611C50">
        <w:rPr>
          <w:sz w:val="22"/>
          <w:szCs w:val="22"/>
          <w:lang w:val="sr-Latn-ME"/>
        </w:rPr>
        <w:t>ciklosporin, ritonavir, hinidin,  itrakonazol</w:t>
      </w:r>
      <w:r w:rsidRPr="00611C50">
        <w:rPr>
          <w:sz w:val="22"/>
          <w:szCs w:val="22"/>
          <w:lang w:val="sr-Latn-ME" w:eastAsia="ja-JP"/>
        </w:rPr>
        <w:t>) ili BCRP (npr. ciklosporin, gefitinib)</w:t>
      </w:r>
      <w:r w:rsidR="00615A2A" w:rsidRPr="00611C50">
        <w:rPr>
          <w:sz w:val="22"/>
          <w:szCs w:val="22"/>
          <w:lang w:val="sr-Latn-ME" w:eastAsia="ja-JP"/>
        </w:rPr>
        <w:t>.</w:t>
      </w:r>
    </w:p>
    <w:p w:rsidR="00F82442" w:rsidRPr="00611C50" w:rsidRDefault="00F82442" w:rsidP="00AD0CC1">
      <w:pPr>
        <w:jc w:val="both"/>
        <w:rPr>
          <w:sz w:val="22"/>
          <w:szCs w:val="22"/>
          <w:lang w:val="sr-Latn-ME" w:eastAsia="ja-JP"/>
        </w:rPr>
      </w:pPr>
    </w:p>
    <w:p w:rsidR="0072020E" w:rsidRPr="00611C50" w:rsidRDefault="0072020E" w:rsidP="00AD0CC1">
      <w:pPr>
        <w:tabs>
          <w:tab w:val="left" w:pos="540"/>
          <w:tab w:val="left" w:pos="569"/>
        </w:tabs>
        <w:jc w:val="both"/>
        <w:rPr>
          <w:b/>
          <w:sz w:val="22"/>
          <w:szCs w:val="22"/>
          <w:lang w:val="sr-Latn-ME"/>
        </w:rPr>
      </w:pPr>
      <w:r w:rsidRPr="00611C50">
        <w:rPr>
          <w:b/>
          <w:bCs/>
          <w:sz w:val="22"/>
          <w:szCs w:val="22"/>
          <w:lang w:val="sr-Latn-ME"/>
        </w:rPr>
        <w:t xml:space="preserve">4.6. </w:t>
      </w:r>
      <w:r w:rsidR="00480FB1" w:rsidRPr="00611C50">
        <w:rPr>
          <w:b/>
          <w:bCs/>
          <w:sz w:val="22"/>
          <w:szCs w:val="22"/>
          <w:lang w:val="sr-Latn-ME"/>
        </w:rPr>
        <w:tab/>
      </w:r>
      <w:r w:rsidR="006D20A5" w:rsidRPr="00611C50">
        <w:rPr>
          <w:b/>
          <w:sz w:val="22"/>
          <w:szCs w:val="22"/>
          <w:lang w:val="sr-Latn-ME"/>
        </w:rPr>
        <w:t>Plodnost, trudnoća i dojenje</w:t>
      </w:r>
    </w:p>
    <w:p w:rsidR="00163FBA" w:rsidRPr="00611C50" w:rsidRDefault="00163FBA" w:rsidP="00AD0CC1">
      <w:pPr>
        <w:tabs>
          <w:tab w:val="left" w:pos="540"/>
          <w:tab w:val="left" w:pos="569"/>
        </w:tabs>
        <w:jc w:val="both"/>
        <w:rPr>
          <w:b/>
          <w:sz w:val="22"/>
          <w:szCs w:val="22"/>
          <w:lang w:val="sr-Latn-ME"/>
        </w:rPr>
      </w:pPr>
    </w:p>
    <w:p w:rsidR="00163FBA" w:rsidRPr="00611C50" w:rsidRDefault="00163FBA" w:rsidP="00AD0CC1">
      <w:pPr>
        <w:jc w:val="both"/>
        <w:rPr>
          <w:sz w:val="22"/>
          <w:szCs w:val="22"/>
          <w:u w:val="single"/>
          <w:lang w:val="sr-Latn-ME" w:eastAsia="ja-JP"/>
        </w:rPr>
      </w:pPr>
      <w:r w:rsidRPr="00611C50">
        <w:rPr>
          <w:sz w:val="22"/>
          <w:szCs w:val="22"/>
          <w:u w:val="single"/>
          <w:lang w:val="sr-Latn-ME" w:eastAsia="ja-JP"/>
        </w:rPr>
        <w:t>Žene u reproduktivnom periodu / Kontracepcija kod žena</w:t>
      </w:r>
    </w:p>
    <w:p w:rsidR="00163FBA" w:rsidRPr="00611C50" w:rsidRDefault="00163FBA" w:rsidP="00AD0CC1">
      <w:pPr>
        <w:jc w:val="both"/>
        <w:rPr>
          <w:sz w:val="22"/>
          <w:szCs w:val="22"/>
          <w:lang w:val="sr-Latn-ME" w:eastAsia="ja-JP"/>
        </w:rPr>
      </w:pPr>
      <w:r w:rsidRPr="00611C50">
        <w:rPr>
          <w:sz w:val="22"/>
          <w:szCs w:val="22"/>
          <w:lang w:val="sr-Latn-ME" w:eastAsia="ja-JP"/>
        </w:rPr>
        <w:t xml:space="preserve">Žene u reproduktivnom periodu treba da koriste efikasnu kontracepciju tokom terapije i najmanje šest mjeseci nakon terapije. </w:t>
      </w:r>
    </w:p>
    <w:p w:rsidR="00163FBA" w:rsidRPr="00611C50" w:rsidRDefault="00163FBA" w:rsidP="00AD0CC1">
      <w:pPr>
        <w:jc w:val="both"/>
        <w:rPr>
          <w:sz w:val="22"/>
          <w:szCs w:val="22"/>
          <w:lang w:val="sr-Latn-ME" w:eastAsia="ja-JP"/>
        </w:rPr>
      </w:pPr>
      <w:r w:rsidRPr="00611C50">
        <w:rPr>
          <w:sz w:val="22"/>
          <w:szCs w:val="22"/>
          <w:lang w:val="sr-Latn-ME" w:eastAsia="ja-JP"/>
        </w:rPr>
        <w:t>Vemurafenib može da smanji efikasnost hormonske kontracepcije (vidjeti dio 4.5).</w:t>
      </w:r>
    </w:p>
    <w:p w:rsidR="002031B3" w:rsidRPr="00611C50" w:rsidRDefault="002031B3" w:rsidP="00AD0CC1">
      <w:pPr>
        <w:tabs>
          <w:tab w:val="left" w:pos="540"/>
          <w:tab w:val="left" w:pos="569"/>
        </w:tabs>
        <w:jc w:val="both"/>
        <w:rPr>
          <w:sz w:val="22"/>
          <w:szCs w:val="22"/>
          <w:u w:val="single"/>
          <w:lang w:val="sr-Latn-ME"/>
        </w:rPr>
      </w:pPr>
    </w:p>
    <w:p w:rsidR="002031B3" w:rsidRPr="00611C50" w:rsidRDefault="002031B3" w:rsidP="00AD0CC1">
      <w:pPr>
        <w:tabs>
          <w:tab w:val="left" w:pos="540"/>
          <w:tab w:val="left" w:pos="569"/>
        </w:tabs>
        <w:jc w:val="both"/>
        <w:rPr>
          <w:sz w:val="22"/>
          <w:szCs w:val="22"/>
          <w:u w:val="single"/>
          <w:lang w:val="sr-Latn-ME"/>
        </w:rPr>
      </w:pPr>
      <w:r w:rsidRPr="00611C50">
        <w:rPr>
          <w:sz w:val="22"/>
          <w:szCs w:val="22"/>
          <w:u w:val="single"/>
          <w:lang w:val="sr-Latn-ME"/>
        </w:rPr>
        <w:t>Plodnost</w:t>
      </w:r>
    </w:p>
    <w:p w:rsidR="00F82442" w:rsidRPr="00611C50" w:rsidRDefault="00F82442" w:rsidP="00AD0CC1">
      <w:pPr>
        <w:jc w:val="both"/>
        <w:rPr>
          <w:sz w:val="22"/>
          <w:szCs w:val="22"/>
          <w:lang w:val="sr-Latn-ME" w:eastAsia="ja-JP"/>
        </w:rPr>
      </w:pPr>
      <w:r w:rsidRPr="00611C50">
        <w:rPr>
          <w:sz w:val="22"/>
          <w:szCs w:val="22"/>
          <w:lang w:val="sr-Latn-ME" w:eastAsia="ja-JP"/>
        </w:rPr>
        <w:t>Nisu sprovođene posebne studije sa vemurafenibom kod životinja da bi se proc</w:t>
      </w:r>
      <w:r w:rsidR="00611C50">
        <w:rPr>
          <w:sz w:val="22"/>
          <w:szCs w:val="22"/>
          <w:lang w:val="sr-Latn-ME" w:eastAsia="ja-JP"/>
        </w:rPr>
        <w:t>i</w:t>
      </w:r>
      <w:r w:rsidRPr="00611C50">
        <w:rPr>
          <w:sz w:val="22"/>
          <w:szCs w:val="22"/>
          <w:lang w:val="sr-Latn-ME" w:eastAsia="ja-JP"/>
        </w:rPr>
        <w:t xml:space="preserve">jenio efekat na plodnost. Ipak, u studijama toksičnosti ponovljenih doza na pacovima i psima nisu zabilježeni histopatološki nalazi na reproduktivnim organima </w:t>
      </w:r>
      <w:r w:rsidRPr="00611C50">
        <w:rPr>
          <w:lang w:val="sr-Latn-ME" w:eastAsia="ja-JP"/>
        </w:rPr>
        <w:t>muškaraca i žena</w:t>
      </w:r>
      <w:r w:rsidRPr="00611C50">
        <w:rPr>
          <w:sz w:val="22"/>
          <w:szCs w:val="22"/>
          <w:lang w:val="sr-Latn-ME" w:eastAsia="ja-JP"/>
        </w:rPr>
        <w:t xml:space="preserve"> (vidjeti dio 5.3).</w:t>
      </w:r>
    </w:p>
    <w:p w:rsidR="00806E4F" w:rsidRPr="00611C50" w:rsidRDefault="00806E4F" w:rsidP="00AD0CC1">
      <w:pPr>
        <w:jc w:val="both"/>
        <w:rPr>
          <w:sz w:val="22"/>
          <w:szCs w:val="22"/>
          <w:lang w:val="sr-Latn-ME" w:eastAsia="ja-JP"/>
        </w:rPr>
      </w:pPr>
    </w:p>
    <w:p w:rsidR="007A3ECB" w:rsidRPr="00611C50" w:rsidRDefault="007A3ECB" w:rsidP="00AD0CC1">
      <w:pPr>
        <w:tabs>
          <w:tab w:val="left" w:pos="540"/>
          <w:tab w:val="left" w:pos="569"/>
        </w:tabs>
        <w:jc w:val="both"/>
        <w:rPr>
          <w:sz w:val="22"/>
          <w:szCs w:val="22"/>
          <w:u w:val="single"/>
          <w:lang w:val="sr-Latn-ME"/>
        </w:rPr>
      </w:pPr>
      <w:r w:rsidRPr="00611C50">
        <w:rPr>
          <w:sz w:val="22"/>
          <w:szCs w:val="22"/>
          <w:u w:val="single"/>
          <w:lang w:val="sr-Latn-ME"/>
        </w:rPr>
        <w:t>Trudnoća</w:t>
      </w:r>
    </w:p>
    <w:p w:rsidR="00F82442" w:rsidRPr="00611C50" w:rsidRDefault="00F82442" w:rsidP="00AD0CC1">
      <w:pPr>
        <w:jc w:val="both"/>
        <w:rPr>
          <w:sz w:val="22"/>
          <w:szCs w:val="22"/>
          <w:lang w:val="sr-Latn-ME" w:eastAsia="ja-JP"/>
        </w:rPr>
      </w:pPr>
      <w:r w:rsidRPr="00611C50">
        <w:rPr>
          <w:sz w:val="22"/>
          <w:szCs w:val="22"/>
          <w:lang w:val="sr-Latn-ME" w:eastAsia="ja-JP"/>
        </w:rPr>
        <w:t xml:space="preserve">Ne postoje podaci o primjeni vemurafeniba kod trudnica. </w:t>
      </w:r>
    </w:p>
    <w:p w:rsidR="00F82442" w:rsidRPr="00611C50" w:rsidRDefault="00F82442" w:rsidP="00AD0CC1">
      <w:pPr>
        <w:jc w:val="both"/>
        <w:rPr>
          <w:sz w:val="22"/>
          <w:szCs w:val="22"/>
          <w:lang w:val="sr-Latn-ME" w:eastAsia="ja-JP"/>
        </w:rPr>
      </w:pPr>
      <w:r w:rsidRPr="00611C50">
        <w:rPr>
          <w:sz w:val="22"/>
          <w:szCs w:val="22"/>
          <w:lang w:val="sr-Latn-ME" w:eastAsia="ja-JP"/>
        </w:rPr>
        <w:t xml:space="preserve">Vemurafenib nije pokazao teratogenost na embrione/fetuse pacova ili zečeva (vidjeti dio 5.3). U studijama na životinjama otkriveno je da vemurafenib prolazi kroz placentu. S obzirom na mehanizam dejstva, vemurafenib bi mogao naškoditi fetusu kada bi se primjenjivao kod trudnica. Vemurafenib ne treba primjenjivati u populaciji trudnica, osim ukoliko moguća korist po majku ne prevazilazi mogući rizik po fetus.   </w:t>
      </w:r>
    </w:p>
    <w:p w:rsidR="00F82442" w:rsidRPr="00611C50" w:rsidRDefault="00F82442" w:rsidP="00AD0CC1">
      <w:pPr>
        <w:tabs>
          <w:tab w:val="left" w:pos="540"/>
          <w:tab w:val="left" w:pos="569"/>
        </w:tabs>
        <w:jc w:val="both"/>
        <w:rPr>
          <w:sz w:val="22"/>
          <w:szCs w:val="22"/>
          <w:u w:val="single"/>
          <w:lang w:val="sr-Latn-ME"/>
        </w:rPr>
      </w:pPr>
    </w:p>
    <w:p w:rsidR="0072020E" w:rsidRPr="00611C50" w:rsidRDefault="007A3ECB" w:rsidP="00AD0CC1">
      <w:pPr>
        <w:tabs>
          <w:tab w:val="left" w:pos="540"/>
          <w:tab w:val="left" w:pos="569"/>
        </w:tabs>
        <w:jc w:val="both"/>
        <w:rPr>
          <w:b/>
          <w:bCs/>
          <w:sz w:val="22"/>
          <w:szCs w:val="22"/>
          <w:lang w:val="sr-Latn-ME"/>
        </w:rPr>
      </w:pPr>
      <w:r w:rsidRPr="00611C50">
        <w:rPr>
          <w:sz w:val="22"/>
          <w:szCs w:val="22"/>
          <w:u w:val="single"/>
          <w:lang w:val="sr-Latn-ME"/>
        </w:rPr>
        <w:t xml:space="preserve">Dojenje </w:t>
      </w:r>
    </w:p>
    <w:p w:rsidR="00806E4F" w:rsidRPr="00611C50" w:rsidRDefault="00806E4F" w:rsidP="00AD0CC1">
      <w:pPr>
        <w:jc w:val="both"/>
        <w:rPr>
          <w:sz w:val="22"/>
          <w:szCs w:val="22"/>
          <w:lang w:val="sr-Latn-ME" w:eastAsia="ja-JP"/>
        </w:rPr>
      </w:pPr>
      <w:r w:rsidRPr="00611C50">
        <w:rPr>
          <w:sz w:val="22"/>
          <w:szCs w:val="22"/>
          <w:lang w:val="sr-Latn-ME" w:eastAsia="ja-JP"/>
        </w:rPr>
        <w:lastRenderedPageBreak/>
        <w:t>Nije poznato da li se vemurafenib izlučuje u majčino mlijeko. Rizik po novorođenče/d</w:t>
      </w:r>
      <w:r w:rsidR="00BF3952">
        <w:rPr>
          <w:sz w:val="22"/>
          <w:szCs w:val="22"/>
          <w:lang w:val="sr-Latn-ME" w:eastAsia="ja-JP"/>
        </w:rPr>
        <w:t>ij</w:t>
      </w:r>
      <w:r w:rsidRPr="00611C50">
        <w:rPr>
          <w:sz w:val="22"/>
          <w:szCs w:val="22"/>
          <w:lang w:val="sr-Latn-ME" w:eastAsia="ja-JP"/>
        </w:rPr>
        <w:t xml:space="preserve">ete ne može se isključiti. Treba donijeti odluku da li obustaviti dojenje ili obustaviti terapiju vemurafenibom uzimajući u obzir benefit dojenja za dijete i benefit terapije za ženu. </w:t>
      </w:r>
    </w:p>
    <w:p w:rsidR="00227BDB" w:rsidRPr="00611C50" w:rsidRDefault="00227BDB" w:rsidP="00AD0CC1">
      <w:pPr>
        <w:tabs>
          <w:tab w:val="left" w:pos="540"/>
          <w:tab w:val="left" w:pos="569"/>
        </w:tabs>
        <w:ind w:left="540" w:hanging="540"/>
        <w:jc w:val="both"/>
        <w:rPr>
          <w:b/>
          <w:bCs/>
          <w:sz w:val="22"/>
          <w:szCs w:val="22"/>
          <w:lang w:val="sr-Latn-ME"/>
        </w:rPr>
      </w:pPr>
    </w:p>
    <w:p w:rsidR="0072020E" w:rsidRPr="00611C50" w:rsidRDefault="0072020E" w:rsidP="00AD0CC1">
      <w:pPr>
        <w:tabs>
          <w:tab w:val="left" w:pos="540"/>
          <w:tab w:val="left" w:pos="569"/>
        </w:tabs>
        <w:ind w:left="540" w:hanging="540"/>
        <w:jc w:val="both"/>
        <w:rPr>
          <w:b/>
          <w:bCs/>
          <w:sz w:val="22"/>
          <w:szCs w:val="22"/>
          <w:lang w:val="sr-Latn-ME"/>
        </w:rPr>
      </w:pPr>
      <w:r w:rsidRPr="00611C50">
        <w:rPr>
          <w:b/>
          <w:bCs/>
          <w:sz w:val="22"/>
          <w:szCs w:val="22"/>
          <w:lang w:val="sr-Latn-ME"/>
        </w:rPr>
        <w:t xml:space="preserve">4.7. </w:t>
      </w:r>
      <w:r w:rsidR="00480FB1" w:rsidRPr="00611C50">
        <w:rPr>
          <w:b/>
          <w:bCs/>
          <w:sz w:val="22"/>
          <w:szCs w:val="22"/>
          <w:lang w:val="sr-Latn-ME"/>
        </w:rPr>
        <w:tab/>
      </w:r>
      <w:r w:rsidRPr="00611C50">
        <w:rPr>
          <w:b/>
          <w:bCs/>
          <w:sz w:val="22"/>
          <w:szCs w:val="22"/>
          <w:lang w:val="sr-Latn-ME"/>
        </w:rPr>
        <w:t xml:space="preserve">Uticaj na </w:t>
      </w:r>
      <w:r w:rsidR="002031B3" w:rsidRPr="00611C50">
        <w:rPr>
          <w:b/>
          <w:bCs/>
          <w:sz w:val="22"/>
          <w:szCs w:val="22"/>
          <w:lang w:val="sr-Latn-ME"/>
        </w:rPr>
        <w:t xml:space="preserve">sposobnost </w:t>
      </w:r>
      <w:r w:rsidR="00F34554" w:rsidRPr="00611C50">
        <w:rPr>
          <w:b/>
          <w:bCs/>
          <w:sz w:val="22"/>
          <w:szCs w:val="22"/>
          <w:lang w:val="sr-Latn-ME"/>
        </w:rPr>
        <w:t>upravljanja vozili</w:t>
      </w:r>
      <w:r w:rsidRPr="00611C50">
        <w:rPr>
          <w:b/>
          <w:bCs/>
          <w:sz w:val="22"/>
          <w:szCs w:val="22"/>
          <w:lang w:val="sr-Latn-ME"/>
        </w:rPr>
        <w:t>m</w:t>
      </w:r>
      <w:r w:rsidR="00F34554" w:rsidRPr="00611C50">
        <w:rPr>
          <w:b/>
          <w:bCs/>
          <w:sz w:val="22"/>
          <w:szCs w:val="22"/>
          <w:lang w:val="sr-Latn-ME"/>
        </w:rPr>
        <w:t>a</w:t>
      </w:r>
      <w:r w:rsidRPr="00611C50">
        <w:rPr>
          <w:b/>
          <w:bCs/>
          <w:sz w:val="22"/>
          <w:szCs w:val="22"/>
          <w:lang w:val="sr-Latn-ME"/>
        </w:rPr>
        <w:t xml:space="preserve"> i </w:t>
      </w:r>
      <w:r w:rsidR="000D3449" w:rsidRPr="00611C50">
        <w:rPr>
          <w:b/>
          <w:bCs/>
          <w:sz w:val="22"/>
          <w:szCs w:val="22"/>
          <w:lang w:val="sr-Latn-ME"/>
        </w:rPr>
        <w:t xml:space="preserve">rukovanje </w:t>
      </w:r>
      <w:r w:rsidRPr="00611C50">
        <w:rPr>
          <w:b/>
          <w:bCs/>
          <w:sz w:val="22"/>
          <w:szCs w:val="22"/>
          <w:lang w:val="sr-Latn-ME"/>
        </w:rPr>
        <w:t>mašinama</w:t>
      </w:r>
    </w:p>
    <w:p w:rsidR="00163FBA" w:rsidRPr="00611C50" w:rsidRDefault="00163FBA" w:rsidP="00AD0CC1">
      <w:pPr>
        <w:tabs>
          <w:tab w:val="left" w:pos="540"/>
          <w:tab w:val="left" w:pos="569"/>
        </w:tabs>
        <w:ind w:left="540" w:hanging="540"/>
        <w:jc w:val="both"/>
        <w:rPr>
          <w:b/>
          <w:bCs/>
          <w:sz w:val="22"/>
          <w:szCs w:val="22"/>
          <w:lang w:val="sr-Latn-ME"/>
        </w:rPr>
      </w:pPr>
    </w:p>
    <w:p w:rsidR="0072020E" w:rsidRPr="00611C50" w:rsidRDefault="00806E4F" w:rsidP="00AD0CC1">
      <w:pPr>
        <w:tabs>
          <w:tab w:val="left" w:pos="540"/>
          <w:tab w:val="left" w:pos="569"/>
        </w:tabs>
        <w:jc w:val="both"/>
        <w:rPr>
          <w:sz w:val="22"/>
          <w:szCs w:val="22"/>
          <w:lang w:val="sr-Latn-ME"/>
        </w:rPr>
      </w:pPr>
      <w:r w:rsidRPr="00611C50">
        <w:rPr>
          <w:sz w:val="22"/>
          <w:szCs w:val="22"/>
          <w:lang w:val="sr-Latn-ME"/>
        </w:rPr>
        <w:t xml:space="preserve">Vemurafeniba malo utiče na sposobnost  upravljanja motornim vozilom i rukovanje mašinama. Pacijenti treba da budu svjesni potencijalne slabosti ili problema sa vidom koji mogu biti razlog da ne voze.   </w:t>
      </w:r>
    </w:p>
    <w:p w:rsidR="00806E4F" w:rsidRPr="00611C50" w:rsidRDefault="00806E4F" w:rsidP="00AD0CC1">
      <w:pPr>
        <w:tabs>
          <w:tab w:val="left" w:pos="540"/>
          <w:tab w:val="left" w:pos="569"/>
        </w:tabs>
        <w:jc w:val="both"/>
        <w:rPr>
          <w:b/>
          <w:bCs/>
          <w:sz w:val="22"/>
          <w:szCs w:val="22"/>
          <w:lang w:val="sr-Latn-ME"/>
        </w:rPr>
      </w:pPr>
    </w:p>
    <w:p w:rsidR="0072020E" w:rsidRPr="00611C50" w:rsidRDefault="0072020E" w:rsidP="00AD0CC1">
      <w:pPr>
        <w:tabs>
          <w:tab w:val="left" w:pos="540"/>
          <w:tab w:val="left" w:pos="569"/>
        </w:tabs>
        <w:jc w:val="both"/>
        <w:rPr>
          <w:b/>
          <w:bCs/>
          <w:sz w:val="22"/>
          <w:szCs w:val="22"/>
          <w:lang w:val="sr-Latn-ME"/>
        </w:rPr>
      </w:pPr>
      <w:r w:rsidRPr="00611C50">
        <w:rPr>
          <w:b/>
          <w:bCs/>
          <w:sz w:val="22"/>
          <w:szCs w:val="22"/>
          <w:lang w:val="sr-Latn-ME"/>
        </w:rPr>
        <w:t xml:space="preserve">4.8. </w:t>
      </w:r>
      <w:r w:rsidR="00480FB1" w:rsidRPr="00611C50">
        <w:rPr>
          <w:b/>
          <w:bCs/>
          <w:sz w:val="22"/>
          <w:szCs w:val="22"/>
          <w:lang w:val="sr-Latn-ME"/>
        </w:rPr>
        <w:tab/>
      </w:r>
      <w:r w:rsidRPr="00611C50">
        <w:rPr>
          <w:b/>
          <w:bCs/>
          <w:sz w:val="22"/>
          <w:szCs w:val="22"/>
          <w:lang w:val="sr-Latn-ME"/>
        </w:rPr>
        <w:t>Neželjena dejstva</w:t>
      </w:r>
    </w:p>
    <w:p w:rsidR="00806E4F" w:rsidRPr="00611C50" w:rsidRDefault="00806E4F" w:rsidP="00AD0CC1">
      <w:pPr>
        <w:tabs>
          <w:tab w:val="left" w:pos="540"/>
          <w:tab w:val="left" w:pos="569"/>
        </w:tabs>
        <w:jc w:val="both"/>
        <w:rPr>
          <w:b/>
          <w:bCs/>
          <w:sz w:val="22"/>
          <w:szCs w:val="22"/>
          <w:lang w:val="sr-Latn-ME"/>
        </w:rPr>
      </w:pPr>
    </w:p>
    <w:p w:rsidR="00806E4F" w:rsidRPr="00611C50" w:rsidRDefault="00806E4F" w:rsidP="00AD0CC1">
      <w:pPr>
        <w:jc w:val="both"/>
        <w:rPr>
          <w:sz w:val="22"/>
          <w:szCs w:val="22"/>
          <w:u w:val="single"/>
          <w:lang w:val="sr-Latn-ME" w:eastAsia="ja-JP"/>
        </w:rPr>
      </w:pPr>
      <w:r w:rsidRPr="00611C50">
        <w:rPr>
          <w:sz w:val="22"/>
          <w:szCs w:val="22"/>
          <w:u w:val="single"/>
          <w:lang w:val="sr-Latn-ME" w:eastAsia="ja-JP"/>
        </w:rPr>
        <w:t>Sažetak bezbjedonosnog profila</w:t>
      </w:r>
    </w:p>
    <w:p w:rsidR="00806E4F" w:rsidRPr="00611C50" w:rsidRDefault="00806E4F" w:rsidP="00AD0CC1">
      <w:pPr>
        <w:jc w:val="both"/>
        <w:rPr>
          <w:sz w:val="22"/>
          <w:szCs w:val="22"/>
          <w:lang w:val="sr-Latn-ME" w:eastAsia="ja-JP"/>
        </w:rPr>
      </w:pPr>
      <w:r w:rsidRPr="00611C50">
        <w:rPr>
          <w:sz w:val="22"/>
          <w:szCs w:val="22"/>
          <w:lang w:val="sr-Latn-ME" w:eastAsia="ja-JP"/>
        </w:rPr>
        <w:t xml:space="preserve">Najčešće neželjene reakcije na lijek (&gt; 30%) prijavljene pri upotrebi vemurafeniba uključuju artralgiju, umor, raš, fotosenzitivne reakcije, mučninu, alopeciju, mučninu, dijareju, glavobolju, pruritus, povraćanje, papilome na koži i hiperkeratozu. Najčešće neželjene reakcije na lijek </w:t>
      </w:r>
      <w:r w:rsidRPr="00611C50">
        <w:rPr>
          <w:sz w:val="22"/>
          <w:szCs w:val="22"/>
          <w:lang w:val="sr-Latn-ME"/>
        </w:rPr>
        <w:t>(≥ 5%) gradusa 3, bile su cuSCC, keratoakantom, raš, artralgija i povećanje gama-glutamiltransferaze (GGT).</w:t>
      </w:r>
      <w:r w:rsidRPr="00611C50">
        <w:rPr>
          <w:sz w:val="22"/>
          <w:szCs w:val="22"/>
          <w:lang w:val="sr-Latn-ME" w:eastAsia="ja-JP"/>
        </w:rPr>
        <w:t xml:space="preserve">. CuSCC se najčešće  liječi lokalnom ekscizijom.  </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u w:val="single"/>
          <w:lang w:val="sr-Latn-ME" w:eastAsia="ja-JP"/>
        </w:rPr>
      </w:pPr>
      <w:r w:rsidRPr="00611C50">
        <w:rPr>
          <w:sz w:val="22"/>
          <w:szCs w:val="22"/>
          <w:u w:val="single"/>
          <w:lang w:val="sr-Latn-ME" w:eastAsia="ja-JP"/>
        </w:rPr>
        <w:t>Tabelarni prikaz neželjenih reakcija</w:t>
      </w:r>
    </w:p>
    <w:p w:rsidR="00806E4F" w:rsidRPr="00611C50" w:rsidRDefault="00806E4F" w:rsidP="00AD0CC1">
      <w:pPr>
        <w:jc w:val="both"/>
        <w:rPr>
          <w:sz w:val="22"/>
          <w:szCs w:val="22"/>
          <w:lang w:val="sr-Latn-ME" w:eastAsia="ja-JP"/>
        </w:rPr>
      </w:pPr>
      <w:r w:rsidRPr="00611C50">
        <w:rPr>
          <w:sz w:val="22"/>
          <w:szCs w:val="22"/>
          <w:lang w:val="sr-Latn-ME" w:eastAsia="ja-JP"/>
        </w:rPr>
        <w:t>Neželjene reakcije (NR) na lijek koje su prijavljene kod pacijenata sa melanomom su navedene dolje prema MedDRA klasi sistema organa, učestalosti i težini. Sljedeća konvencija korišćena je za klasifikaciju učestalosti:</w:t>
      </w:r>
    </w:p>
    <w:p w:rsidR="00806E4F" w:rsidRPr="00611C50" w:rsidRDefault="00806E4F" w:rsidP="00AD0CC1">
      <w:pPr>
        <w:jc w:val="both"/>
        <w:rPr>
          <w:sz w:val="22"/>
          <w:szCs w:val="22"/>
          <w:lang w:val="sr-Latn-ME" w:eastAsia="ja-JP"/>
        </w:rPr>
      </w:pPr>
      <w:r w:rsidRPr="00611C50">
        <w:rPr>
          <w:sz w:val="22"/>
          <w:szCs w:val="22"/>
          <w:lang w:val="sr-Latn-ME" w:eastAsia="ja-JP"/>
        </w:rPr>
        <w:t>Veoma česti  ≥ 1/10</w:t>
      </w:r>
    </w:p>
    <w:p w:rsidR="00806E4F" w:rsidRPr="00611C50" w:rsidRDefault="00806E4F" w:rsidP="00AD0CC1">
      <w:pPr>
        <w:jc w:val="both"/>
        <w:rPr>
          <w:sz w:val="22"/>
          <w:szCs w:val="22"/>
          <w:lang w:val="sr-Latn-ME" w:eastAsia="ja-JP"/>
        </w:rPr>
      </w:pPr>
      <w:r w:rsidRPr="00611C50">
        <w:rPr>
          <w:sz w:val="22"/>
          <w:szCs w:val="22"/>
          <w:lang w:val="sr-Latn-ME" w:eastAsia="ja-JP"/>
        </w:rPr>
        <w:t>Česti ≥ 1/100 do &lt; 1/10</w:t>
      </w:r>
    </w:p>
    <w:p w:rsidR="00806E4F" w:rsidRPr="00611C50" w:rsidRDefault="00806E4F" w:rsidP="00AD0CC1">
      <w:pPr>
        <w:jc w:val="both"/>
        <w:rPr>
          <w:sz w:val="22"/>
          <w:szCs w:val="22"/>
          <w:lang w:val="sr-Latn-ME" w:eastAsia="ja-JP"/>
        </w:rPr>
      </w:pPr>
      <w:r w:rsidRPr="00611C50">
        <w:rPr>
          <w:sz w:val="22"/>
          <w:szCs w:val="22"/>
          <w:lang w:val="sr-Latn-ME" w:eastAsia="ja-JP"/>
        </w:rPr>
        <w:t>Povremeni ≥ 1/1,000 do &lt; 1/100</w:t>
      </w:r>
    </w:p>
    <w:p w:rsidR="00806E4F" w:rsidRPr="00611C50" w:rsidRDefault="00806E4F" w:rsidP="00AD0CC1">
      <w:pPr>
        <w:jc w:val="both"/>
        <w:rPr>
          <w:sz w:val="22"/>
          <w:szCs w:val="22"/>
          <w:lang w:val="sr-Latn-ME" w:eastAsia="ja-JP"/>
        </w:rPr>
      </w:pPr>
      <w:r w:rsidRPr="00611C50">
        <w:rPr>
          <w:sz w:val="22"/>
          <w:szCs w:val="22"/>
          <w:lang w:val="sr-Latn-ME" w:eastAsia="ja-JP"/>
        </w:rPr>
        <w:t>Rijetki  ≥ 1/10,000 do &lt; 1/1,000</w:t>
      </w:r>
    </w:p>
    <w:p w:rsidR="00806E4F" w:rsidRPr="00611C50" w:rsidRDefault="00806E4F" w:rsidP="00AD0CC1">
      <w:pPr>
        <w:jc w:val="both"/>
        <w:rPr>
          <w:sz w:val="22"/>
          <w:szCs w:val="22"/>
          <w:lang w:val="sr-Latn-ME" w:eastAsia="ja-JP"/>
        </w:rPr>
      </w:pPr>
      <w:r w:rsidRPr="00611C50">
        <w:rPr>
          <w:sz w:val="22"/>
          <w:szCs w:val="22"/>
          <w:lang w:val="sr-Latn-ME" w:eastAsia="ja-JP"/>
        </w:rPr>
        <w:t>Vrlo rijetki &lt; 1/10,000</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lang w:val="sr-Latn-ME" w:eastAsia="ja-JP"/>
        </w:rPr>
      </w:pPr>
      <w:r w:rsidRPr="00611C50">
        <w:rPr>
          <w:sz w:val="22"/>
          <w:szCs w:val="22"/>
          <w:lang w:val="sr-Latn-ME" w:eastAsia="ja-JP"/>
        </w:rPr>
        <w:t xml:space="preserve">U ovom odjeljku, navedene NR su bazirane na rezultatima kod 468 pacijenata iz randomizovane otvorene studije faze III kod </w:t>
      </w:r>
      <w:r w:rsidRPr="00611C50">
        <w:rPr>
          <w:sz w:val="22"/>
          <w:szCs w:val="22"/>
          <w:lang w:val="sr-Latn-ME"/>
        </w:rPr>
        <w:t>odraslih pacijenata sa neresektabilnim ili melanomom stadijuma IV sa pozitivnom BRAF V600 mutacijom</w:t>
      </w:r>
      <w:r w:rsidRPr="00611C50">
        <w:rPr>
          <w:sz w:val="22"/>
          <w:szCs w:val="22"/>
          <w:lang w:val="sr-Latn-ME" w:eastAsia="ja-JP"/>
        </w:rPr>
        <w:t xml:space="preserve">, kao i iz studije faze II sa jednom  grupom ispitanika, kod pacijenata sa </w:t>
      </w:r>
      <w:r w:rsidRPr="00611C50">
        <w:rPr>
          <w:sz w:val="22"/>
          <w:szCs w:val="22"/>
          <w:lang w:val="sr-Latn-ME"/>
        </w:rPr>
        <w:t xml:space="preserve">melanomom stadijuma IV sa pozitivnom BRAF V600 mutacijom </w:t>
      </w:r>
      <w:r w:rsidRPr="00611C50">
        <w:rPr>
          <w:sz w:val="22"/>
          <w:szCs w:val="22"/>
          <w:lang w:val="sr-Latn-ME" w:eastAsia="ja-JP"/>
        </w:rPr>
        <w:t xml:space="preserve"> koji prethodno nisu uspješno odgovorili na najmanje jednu sistemsku terapiju (vidjeti dio 5.1). Osim toga neželjene reakcije porijeklom iz bezbjednosnih izvještaja u svim kliničkim studijama su prijavljene i izvora nakon stavljanja lijeka u promet.  Svi navedeni pojmovi zasnovani su na najvišem zabilježenom procentu u kliničkim studijama faze II i faze III. Unutar svake grupe učestalosti, NR su prikazane po redosl</w:t>
      </w:r>
      <w:r w:rsidR="00BF3952">
        <w:rPr>
          <w:sz w:val="22"/>
          <w:szCs w:val="22"/>
          <w:lang w:val="sr-Latn-ME" w:eastAsia="ja-JP"/>
        </w:rPr>
        <w:t>i</w:t>
      </w:r>
      <w:r w:rsidRPr="00611C50">
        <w:rPr>
          <w:sz w:val="22"/>
          <w:szCs w:val="22"/>
          <w:lang w:val="sr-Latn-ME" w:eastAsia="ja-JP"/>
        </w:rPr>
        <w:t xml:space="preserve">jedu opadajuće težine i prijavljene su primjenom NCI-CTCAE v 4.0 (uobičajeni kriterijumi toksičnosti) za procjenu toksičnosti. </w:t>
      </w:r>
    </w:p>
    <w:p w:rsidR="00806E4F" w:rsidRPr="00611C50" w:rsidRDefault="00806E4F" w:rsidP="00AD0CC1">
      <w:pPr>
        <w:jc w:val="both"/>
        <w:rPr>
          <w:sz w:val="22"/>
          <w:szCs w:val="22"/>
          <w:lang w:val="sr-Latn-ME" w:eastAsia="ja-JP"/>
        </w:rPr>
      </w:pPr>
    </w:p>
    <w:p w:rsidR="00806E4F" w:rsidRPr="00611C50" w:rsidRDefault="00806E4F" w:rsidP="00AD0CC1">
      <w:pPr>
        <w:jc w:val="both"/>
        <w:rPr>
          <w:b/>
          <w:sz w:val="22"/>
          <w:szCs w:val="22"/>
          <w:lang w:val="sr-Latn-ME" w:eastAsia="ja-JP"/>
        </w:rPr>
      </w:pPr>
      <w:r w:rsidRPr="00611C50">
        <w:rPr>
          <w:b/>
          <w:sz w:val="22"/>
          <w:szCs w:val="22"/>
          <w:lang w:val="sr-Latn-ME" w:eastAsia="ja-JP"/>
        </w:rPr>
        <w:t>Tabela 3: NR koje su se javljale kod pacijenata liječenih vemurafenibom u studijama faze II ili faze III i događaji porijeklom iz bezbjedonosnih izvještaja u svim kliničkim studijama</w:t>
      </w:r>
      <w:r w:rsidRPr="00611C50">
        <w:rPr>
          <w:b/>
          <w:sz w:val="22"/>
          <w:szCs w:val="22"/>
          <w:vertAlign w:val="superscript"/>
          <w:lang w:val="sr-Latn-ME" w:eastAsia="ja-JP"/>
        </w:rPr>
        <w:t>(1)</w:t>
      </w:r>
      <w:r w:rsidRPr="00611C50">
        <w:rPr>
          <w:b/>
          <w:sz w:val="22"/>
          <w:szCs w:val="22"/>
          <w:lang w:val="sr-Latn-ME" w:eastAsia="ja-JP"/>
        </w:rPr>
        <w:t xml:space="preserve"> i izvora nakon stavljanja lijeka u promet</w:t>
      </w:r>
      <w:r w:rsidRPr="00611C50">
        <w:rPr>
          <w:b/>
          <w:sz w:val="22"/>
          <w:szCs w:val="22"/>
          <w:vertAlign w:val="superscript"/>
          <w:lang w:val="sr-Latn-ME" w:eastAsia="ja-JP"/>
        </w:rPr>
        <w:t>(2)</w:t>
      </w:r>
      <w:r w:rsidRPr="00611C50">
        <w:rPr>
          <w:b/>
          <w:sz w:val="22"/>
          <w:szCs w:val="22"/>
          <w:lang w:val="sr-Latn-ME" w:eastAsia="ja-JP"/>
        </w:rPr>
        <w:t xml:space="preserve">. </w:t>
      </w:r>
    </w:p>
    <w:p w:rsidR="00806E4F" w:rsidRPr="00611C50" w:rsidRDefault="00806E4F" w:rsidP="00AD0CC1">
      <w:pPr>
        <w:ind w:right="-268"/>
        <w:jc w:val="both"/>
        <w:rPr>
          <w:rFonts w:eastAsia="PMingLiU"/>
          <w:sz w:val="22"/>
          <w:szCs w:val="22"/>
          <w:lang w:val="sr-Latn-ME" w:eastAsia="ja-JP"/>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1991"/>
        <w:gridCol w:w="1991"/>
        <w:gridCol w:w="1762"/>
        <w:gridCol w:w="1791"/>
      </w:tblGrid>
      <w:tr w:rsidR="00806E4F" w:rsidRPr="00611C50" w:rsidTr="0036215E">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rFonts w:eastAsia="SimSun"/>
                <w:b/>
                <w:color w:val="000000"/>
                <w:sz w:val="22"/>
                <w:szCs w:val="22"/>
                <w:lang w:val="sr-Latn-ME" w:eastAsia="zh-CN"/>
              </w:rPr>
              <w:t>Klasifikacija organskih sistema</w:t>
            </w:r>
          </w:p>
        </w:tc>
        <w:tc>
          <w:tcPr>
            <w:tcW w:w="1991" w:type="dxa"/>
            <w:tcBorders>
              <w:top w:val="single" w:sz="4" w:space="0" w:color="auto"/>
              <w:left w:val="single" w:sz="4" w:space="0" w:color="auto"/>
              <w:bottom w:val="single" w:sz="4" w:space="0" w:color="auto"/>
              <w:right w:val="single" w:sz="4" w:space="0" w:color="auto"/>
            </w:tcBorders>
            <w:vAlign w:val="center"/>
          </w:tcPr>
          <w:p w:rsidR="00806E4F" w:rsidRPr="00611C50" w:rsidRDefault="00806E4F" w:rsidP="00AD0CC1">
            <w:pPr>
              <w:autoSpaceDE w:val="0"/>
              <w:autoSpaceDN w:val="0"/>
              <w:adjustRightInd w:val="0"/>
              <w:jc w:val="both"/>
              <w:rPr>
                <w:rFonts w:eastAsia="SimSun"/>
                <w:b/>
                <w:i/>
                <w:color w:val="000000"/>
                <w:sz w:val="22"/>
                <w:szCs w:val="22"/>
                <w:u w:val="single"/>
                <w:lang w:val="sr-Latn-ME" w:eastAsia="zh-CN"/>
              </w:rPr>
            </w:pPr>
            <w:r w:rsidRPr="00611C50">
              <w:rPr>
                <w:rFonts w:eastAsia="SimSun"/>
                <w:b/>
                <w:i/>
                <w:color w:val="000000"/>
                <w:sz w:val="22"/>
                <w:szCs w:val="22"/>
                <w:u w:val="single"/>
                <w:lang w:val="sr-Latn-ME" w:eastAsia="zh-CN"/>
              </w:rPr>
              <w:t>Veoma česti</w:t>
            </w:r>
          </w:p>
          <w:p w:rsidR="00806E4F" w:rsidRPr="00611C50" w:rsidRDefault="00806E4F" w:rsidP="00AD0CC1">
            <w:pPr>
              <w:jc w:val="both"/>
              <w:rPr>
                <w:rFonts w:eastAsia="PMingLiU"/>
                <w:sz w:val="22"/>
                <w:szCs w:val="22"/>
                <w:u w:val="single"/>
                <w:lang w:val="sr-Latn-ME" w:eastAsia="ja-JP"/>
              </w:rPr>
            </w:pPr>
          </w:p>
        </w:tc>
        <w:tc>
          <w:tcPr>
            <w:tcW w:w="1991" w:type="dxa"/>
            <w:tcBorders>
              <w:top w:val="single" w:sz="4" w:space="0" w:color="auto"/>
              <w:left w:val="single" w:sz="4" w:space="0" w:color="auto"/>
              <w:bottom w:val="single" w:sz="4" w:space="0" w:color="auto"/>
              <w:right w:val="single" w:sz="4" w:space="0" w:color="auto"/>
            </w:tcBorders>
            <w:vAlign w:val="center"/>
          </w:tcPr>
          <w:p w:rsidR="00806E4F" w:rsidRPr="00611C50" w:rsidRDefault="00806E4F" w:rsidP="00AD0CC1">
            <w:pPr>
              <w:autoSpaceDE w:val="0"/>
              <w:autoSpaceDN w:val="0"/>
              <w:adjustRightInd w:val="0"/>
              <w:jc w:val="both"/>
              <w:rPr>
                <w:rFonts w:eastAsia="SimSun"/>
                <w:b/>
                <w:i/>
                <w:color w:val="000000"/>
                <w:sz w:val="22"/>
                <w:szCs w:val="22"/>
                <w:u w:val="single"/>
                <w:lang w:val="sr-Latn-ME" w:eastAsia="zh-CN"/>
              </w:rPr>
            </w:pPr>
            <w:r w:rsidRPr="00611C50">
              <w:rPr>
                <w:rFonts w:eastAsia="SimSun"/>
                <w:b/>
                <w:i/>
                <w:color w:val="000000"/>
                <w:sz w:val="22"/>
                <w:szCs w:val="22"/>
                <w:u w:val="single"/>
                <w:lang w:val="sr-Latn-ME" w:eastAsia="zh-CN"/>
              </w:rPr>
              <w:t>Česti</w:t>
            </w:r>
          </w:p>
          <w:p w:rsidR="00806E4F" w:rsidRPr="00611C50" w:rsidRDefault="00806E4F" w:rsidP="00AD0CC1">
            <w:pPr>
              <w:jc w:val="both"/>
              <w:rPr>
                <w:rFonts w:eastAsia="PMingLiU"/>
                <w:sz w:val="22"/>
                <w:szCs w:val="22"/>
                <w:u w:val="single"/>
                <w:lang w:val="sr-Latn-ME" w:eastAsia="ja-JP"/>
              </w:rPr>
            </w:pPr>
          </w:p>
        </w:tc>
        <w:tc>
          <w:tcPr>
            <w:tcW w:w="1762" w:type="dxa"/>
            <w:tcBorders>
              <w:top w:val="single" w:sz="4" w:space="0" w:color="auto"/>
              <w:left w:val="single" w:sz="4" w:space="0" w:color="auto"/>
              <w:bottom w:val="single" w:sz="4" w:space="0" w:color="auto"/>
              <w:right w:val="single" w:sz="4" w:space="0" w:color="auto"/>
            </w:tcBorders>
            <w:vAlign w:val="center"/>
          </w:tcPr>
          <w:p w:rsidR="00806E4F" w:rsidRPr="00611C50" w:rsidRDefault="00806E4F" w:rsidP="00AD0CC1">
            <w:pPr>
              <w:autoSpaceDE w:val="0"/>
              <w:autoSpaceDN w:val="0"/>
              <w:adjustRightInd w:val="0"/>
              <w:jc w:val="both"/>
              <w:rPr>
                <w:rFonts w:eastAsia="SimSun"/>
                <w:b/>
                <w:i/>
                <w:color w:val="000000"/>
                <w:sz w:val="22"/>
                <w:szCs w:val="22"/>
                <w:u w:val="single"/>
                <w:lang w:val="sr-Latn-ME" w:eastAsia="zh-CN"/>
              </w:rPr>
            </w:pPr>
            <w:r w:rsidRPr="00611C50">
              <w:rPr>
                <w:rFonts w:eastAsia="SimSun"/>
                <w:b/>
                <w:i/>
                <w:color w:val="000000"/>
                <w:sz w:val="22"/>
                <w:szCs w:val="22"/>
                <w:u w:val="single"/>
                <w:lang w:val="sr-Latn-ME" w:eastAsia="zh-CN"/>
              </w:rPr>
              <w:t>Povremeni</w:t>
            </w:r>
          </w:p>
          <w:p w:rsidR="00806E4F" w:rsidRPr="00611C50" w:rsidRDefault="00806E4F" w:rsidP="00AD0CC1">
            <w:pPr>
              <w:jc w:val="both"/>
              <w:rPr>
                <w:rFonts w:eastAsia="PMingLiU"/>
                <w:sz w:val="22"/>
                <w:szCs w:val="22"/>
                <w:u w:val="single"/>
                <w:lang w:val="sr-Latn-ME" w:eastAsia="ja-JP"/>
              </w:rPr>
            </w:pPr>
          </w:p>
        </w:tc>
        <w:tc>
          <w:tcPr>
            <w:tcW w:w="17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autoSpaceDE w:val="0"/>
              <w:autoSpaceDN w:val="0"/>
              <w:adjustRightInd w:val="0"/>
              <w:jc w:val="both"/>
              <w:rPr>
                <w:rFonts w:eastAsia="SimSun"/>
                <w:b/>
                <w:i/>
                <w:color w:val="000000"/>
                <w:sz w:val="22"/>
                <w:szCs w:val="22"/>
                <w:u w:val="single"/>
                <w:lang w:val="sr-Latn-ME" w:eastAsia="zh-CN"/>
              </w:rPr>
            </w:pPr>
            <w:r w:rsidRPr="00611C50">
              <w:rPr>
                <w:rFonts w:eastAsia="SimSun"/>
                <w:b/>
                <w:i/>
                <w:color w:val="000000"/>
                <w:sz w:val="22"/>
                <w:szCs w:val="22"/>
                <w:u w:val="single"/>
                <w:lang w:val="sr-Latn-ME" w:eastAsia="zh-CN"/>
              </w:rPr>
              <w:t>Rijetki</w:t>
            </w:r>
          </w:p>
        </w:tc>
      </w:tr>
      <w:tr w:rsidR="00806E4F" w:rsidRPr="00611C50" w:rsidTr="0036215E">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36215E">
            <w:pPr>
              <w:rPr>
                <w:rFonts w:eastAsia="PMingLiU"/>
                <w:sz w:val="22"/>
                <w:szCs w:val="22"/>
                <w:u w:val="single"/>
                <w:lang w:val="sr-Latn-ME" w:eastAsia="ja-JP"/>
              </w:rPr>
            </w:pPr>
            <w:r w:rsidRPr="00611C50">
              <w:rPr>
                <w:rFonts w:eastAsia="SimSun"/>
                <w:color w:val="000000"/>
                <w:sz w:val="22"/>
                <w:szCs w:val="22"/>
                <w:lang w:val="sr-Latn-ME" w:eastAsia="zh-CN"/>
              </w:rPr>
              <w:t>Infekcije i infestacije</w:t>
            </w:r>
          </w:p>
        </w:tc>
        <w:tc>
          <w:tcPr>
            <w:tcW w:w="19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rFonts w:eastAsia="SimSun"/>
                <w:color w:val="000000"/>
                <w:sz w:val="22"/>
                <w:szCs w:val="22"/>
                <w:lang w:val="sr-Latn-ME" w:eastAsia="zh-CN"/>
              </w:rPr>
              <w:t>Folikulitis</w:t>
            </w:r>
          </w:p>
        </w:tc>
        <w:tc>
          <w:tcPr>
            <w:tcW w:w="1762"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7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r>
      <w:tr w:rsidR="00806E4F" w:rsidRPr="00611C50" w:rsidTr="0036215E">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36215E">
            <w:pPr>
              <w:rPr>
                <w:rFonts w:eastAsia="PMingLiU"/>
                <w:sz w:val="22"/>
                <w:szCs w:val="22"/>
                <w:u w:val="single"/>
                <w:lang w:val="sr-Latn-ME" w:eastAsia="ja-JP"/>
              </w:rPr>
            </w:pPr>
            <w:r w:rsidRPr="00611C50">
              <w:rPr>
                <w:sz w:val="22"/>
                <w:szCs w:val="22"/>
                <w:lang w:val="sr-Latn-ME" w:eastAsia="ja-JP"/>
              </w:rPr>
              <w:t>Benigne, maligne i nespecifične neoplazme (uključujući ciste i polipe)</w:t>
            </w:r>
          </w:p>
        </w:tc>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36215E">
            <w:pPr>
              <w:rPr>
                <w:rFonts w:eastAsia="PMingLiU"/>
                <w:sz w:val="22"/>
                <w:szCs w:val="22"/>
                <w:u w:val="single"/>
                <w:lang w:val="sr-Latn-ME" w:eastAsia="ja-JP"/>
              </w:rPr>
            </w:pPr>
            <w:r w:rsidRPr="00611C50">
              <w:rPr>
                <w:sz w:val="22"/>
                <w:szCs w:val="22"/>
                <w:lang w:val="sr-Latn-ME" w:eastAsia="ja-JP"/>
              </w:rPr>
              <w:t>SCC kože</w:t>
            </w:r>
            <w:r w:rsidRPr="00611C50">
              <w:rPr>
                <w:sz w:val="22"/>
                <w:szCs w:val="22"/>
                <w:vertAlign w:val="superscript"/>
                <w:lang w:val="sr-Latn-ME" w:eastAsia="ja-JP"/>
              </w:rPr>
              <w:t>(d)</w:t>
            </w:r>
            <w:r w:rsidRPr="00611C50">
              <w:rPr>
                <w:sz w:val="22"/>
                <w:szCs w:val="22"/>
                <w:lang w:val="sr-Latn-ME" w:eastAsia="ja-JP"/>
              </w:rPr>
              <w:t>, keratoakantom</w:t>
            </w:r>
            <w:r w:rsidRPr="00611C50">
              <w:rPr>
                <w:szCs w:val="22"/>
                <w:lang w:val="sr-Latn-ME" w:eastAsia="ja-JP"/>
              </w:rPr>
              <w:t>,</w:t>
            </w:r>
            <w:r w:rsidRPr="00611C50">
              <w:rPr>
                <w:sz w:val="22"/>
                <w:szCs w:val="22"/>
                <w:lang w:val="sr-Latn-ME" w:eastAsia="ja-JP"/>
              </w:rPr>
              <w:t xml:space="preserve"> seboreična keratoza, papilomi kože</w:t>
            </w:r>
          </w:p>
        </w:tc>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sz w:val="22"/>
                <w:szCs w:val="22"/>
                <w:lang w:val="sr-Latn-ME" w:eastAsia="ja-JP"/>
              </w:rPr>
              <w:t>Karcinom bazalnih ćelija, novi primarni melanom</w:t>
            </w:r>
            <w:r w:rsidRPr="00611C50">
              <w:rPr>
                <w:sz w:val="22"/>
                <w:szCs w:val="22"/>
                <w:vertAlign w:val="superscript"/>
                <w:lang w:val="sr-Latn-ME" w:eastAsia="ja-JP"/>
              </w:rPr>
              <w:t>3</w:t>
            </w:r>
          </w:p>
        </w:tc>
        <w:tc>
          <w:tcPr>
            <w:tcW w:w="1762"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sz w:val="22"/>
                <w:szCs w:val="22"/>
                <w:lang w:val="sr-Latn-ME" w:eastAsia="ja-JP"/>
              </w:rPr>
            </w:pPr>
            <w:r w:rsidRPr="00611C50">
              <w:rPr>
                <w:sz w:val="22"/>
                <w:szCs w:val="22"/>
                <w:lang w:val="sr-Latn-ME" w:eastAsia="ja-JP"/>
              </w:rPr>
              <w:t>Non-cuSCC</w:t>
            </w:r>
            <w:r w:rsidRPr="00611C50">
              <w:rPr>
                <w:sz w:val="22"/>
                <w:szCs w:val="22"/>
                <w:vertAlign w:val="superscript"/>
                <w:lang w:val="sr-Latn-ME" w:eastAsia="ja-JP"/>
              </w:rPr>
              <w:t>(1)(3)</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lang w:val="sr-Latn-ME" w:eastAsia="ja-JP"/>
              </w:rPr>
            </w:pPr>
          </w:p>
          <w:p w:rsidR="00806E4F" w:rsidRPr="00611C50" w:rsidRDefault="00806E4F" w:rsidP="00AD0CC1">
            <w:pPr>
              <w:jc w:val="both"/>
              <w:rPr>
                <w:rFonts w:eastAsia="PMingLiU"/>
                <w:sz w:val="22"/>
                <w:szCs w:val="22"/>
                <w:u w:val="single"/>
                <w:lang w:val="sr-Latn-ME" w:eastAsia="ja-JP"/>
              </w:rPr>
            </w:pPr>
          </w:p>
        </w:tc>
        <w:tc>
          <w:tcPr>
            <w:tcW w:w="1791" w:type="dxa"/>
            <w:tcBorders>
              <w:top w:val="single" w:sz="4" w:space="0" w:color="auto"/>
              <w:left w:val="single" w:sz="4" w:space="0" w:color="auto"/>
              <w:bottom w:val="single" w:sz="4" w:space="0" w:color="auto"/>
              <w:right w:val="single" w:sz="4" w:space="0" w:color="auto"/>
            </w:tcBorders>
            <w:hideMark/>
          </w:tcPr>
          <w:p w:rsidR="00806E4F" w:rsidRPr="0036215E" w:rsidRDefault="00806E4F" w:rsidP="00AD0CC1">
            <w:pPr>
              <w:jc w:val="both"/>
              <w:rPr>
                <w:rFonts w:eastAsia="PMingLiU"/>
                <w:sz w:val="22"/>
                <w:szCs w:val="22"/>
                <w:lang w:val="sr-Latn-ME" w:eastAsia="ja-JP"/>
              </w:rPr>
            </w:pPr>
            <w:r w:rsidRPr="0036215E">
              <w:rPr>
                <w:rFonts w:eastAsia="PMingLiU"/>
                <w:sz w:val="22"/>
                <w:szCs w:val="22"/>
                <w:lang w:val="sr-Latn-ME" w:eastAsia="ja-JP"/>
              </w:rPr>
              <w:t>Hronična mijelomonocitna leukemija</w:t>
            </w:r>
            <w:r w:rsidRPr="0036215E">
              <w:rPr>
                <w:rFonts w:ascii="Verdana" w:eastAsia="PMingLiU" w:hAnsi="Verdana"/>
                <w:sz w:val="22"/>
                <w:szCs w:val="22"/>
                <w:vertAlign w:val="superscript"/>
                <w:lang w:val="sr-Latn-ME" w:eastAsia="ja-JP"/>
              </w:rPr>
              <w:t xml:space="preserve">(2)(4) </w:t>
            </w:r>
            <w:r w:rsidRPr="0036215E">
              <w:rPr>
                <w:rFonts w:eastAsia="PMingLiU"/>
                <w:sz w:val="22"/>
                <w:szCs w:val="22"/>
                <w:lang w:val="sr-Latn-ME" w:eastAsia="ja-JP"/>
              </w:rPr>
              <w:t>adenokarcinom</w:t>
            </w:r>
            <w:r w:rsidRPr="0036215E">
              <w:rPr>
                <w:rFonts w:ascii="Verdana" w:eastAsia="PMingLiU" w:hAnsi="Verdana"/>
                <w:sz w:val="22"/>
                <w:szCs w:val="22"/>
                <w:lang w:val="sr-Latn-ME" w:eastAsia="ja-JP"/>
              </w:rPr>
              <w:t xml:space="preserve"> </w:t>
            </w:r>
            <w:r w:rsidRPr="0036215E">
              <w:rPr>
                <w:rFonts w:eastAsia="PMingLiU"/>
                <w:sz w:val="22"/>
                <w:szCs w:val="22"/>
                <w:lang w:val="sr-Latn-ME" w:eastAsia="ja-JP"/>
              </w:rPr>
              <w:t>pankreasa</w:t>
            </w:r>
          </w:p>
        </w:tc>
      </w:tr>
      <w:tr w:rsidR="00806E4F" w:rsidRPr="00611C50" w:rsidTr="0036215E">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36215E">
            <w:pPr>
              <w:rPr>
                <w:sz w:val="22"/>
                <w:szCs w:val="22"/>
                <w:lang w:val="sr-Latn-ME" w:eastAsia="ja-JP"/>
              </w:rPr>
            </w:pPr>
            <w:r w:rsidRPr="00611C50">
              <w:rPr>
                <w:sz w:val="22"/>
                <w:szCs w:val="22"/>
                <w:lang w:val="sr-Latn-ME" w:eastAsia="ja-JP"/>
              </w:rPr>
              <w:t>Poremećaji krvi i limfatičnih sistema</w:t>
            </w:r>
          </w:p>
        </w:tc>
        <w:tc>
          <w:tcPr>
            <w:tcW w:w="19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sz w:val="22"/>
                <w:szCs w:val="22"/>
                <w:lang w:val="sr-Latn-ME" w:eastAsia="ja-JP"/>
              </w:rPr>
            </w:pPr>
          </w:p>
        </w:tc>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Neutropenija</w:t>
            </w:r>
            <w:r w:rsidR="00E27DAE" w:rsidRPr="00611C50">
              <w:rPr>
                <w:sz w:val="22"/>
                <w:szCs w:val="22"/>
                <w:lang w:val="sr-Latn-ME" w:eastAsia="ja-JP"/>
              </w:rPr>
              <w:t>, trombocitopenija</w:t>
            </w:r>
            <w:r w:rsidR="00E27DAE" w:rsidRPr="00611C50">
              <w:rPr>
                <w:sz w:val="22"/>
                <w:szCs w:val="22"/>
                <w:vertAlign w:val="superscript"/>
                <w:lang w:val="sr-Latn-ME" w:eastAsia="ja-JP"/>
              </w:rPr>
              <w:t>(6)</w:t>
            </w:r>
          </w:p>
        </w:tc>
        <w:tc>
          <w:tcPr>
            <w:tcW w:w="1762"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sz w:val="22"/>
                <w:szCs w:val="22"/>
                <w:lang w:val="sr-Latn-ME" w:eastAsia="ja-JP"/>
              </w:rPr>
            </w:pPr>
          </w:p>
        </w:tc>
        <w:tc>
          <w:tcPr>
            <w:tcW w:w="17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r>
      <w:tr w:rsidR="00806E4F" w:rsidRPr="00611C50" w:rsidTr="0036215E">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SimSun"/>
                <w:color w:val="000000"/>
                <w:sz w:val="22"/>
                <w:szCs w:val="22"/>
                <w:lang w:val="sr-Latn-ME" w:eastAsia="zh-CN"/>
              </w:rPr>
            </w:pPr>
            <w:r w:rsidRPr="00611C50">
              <w:rPr>
                <w:rFonts w:eastAsia="SimSun"/>
                <w:color w:val="000000"/>
                <w:sz w:val="22"/>
                <w:szCs w:val="22"/>
                <w:lang w:val="sr-Latn-ME" w:eastAsia="zh-CN"/>
              </w:rPr>
              <w:t>Poremećaji imunog  sistema</w:t>
            </w:r>
          </w:p>
        </w:tc>
        <w:tc>
          <w:tcPr>
            <w:tcW w:w="19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SimSun"/>
                <w:color w:val="000000"/>
                <w:sz w:val="22"/>
                <w:szCs w:val="22"/>
                <w:lang w:val="sr-Latn-ME" w:eastAsia="zh-CN"/>
              </w:rPr>
            </w:pPr>
          </w:p>
        </w:tc>
        <w:tc>
          <w:tcPr>
            <w:tcW w:w="19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762"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7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sz w:val="22"/>
                <w:szCs w:val="22"/>
                <w:lang w:val="sr-Latn-ME" w:eastAsia="ja-JP"/>
              </w:rPr>
              <w:t>Sarkoidoza</w:t>
            </w:r>
            <w:r w:rsidRPr="00611C50">
              <w:rPr>
                <w:sz w:val="22"/>
                <w:szCs w:val="22"/>
                <w:vertAlign w:val="superscript"/>
                <w:lang w:val="sr-Latn-ME" w:eastAsia="ja-JP"/>
              </w:rPr>
              <w:t>(1)(2)(j)</w:t>
            </w:r>
          </w:p>
        </w:tc>
      </w:tr>
      <w:tr w:rsidR="00806E4F" w:rsidRPr="00611C50" w:rsidTr="0036215E">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36215E">
            <w:pPr>
              <w:rPr>
                <w:rFonts w:eastAsia="PMingLiU"/>
                <w:sz w:val="22"/>
                <w:szCs w:val="22"/>
                <w:u w:val="single"/>
                <w:lang w:val="sr-Latn-ME" w:eastAsia="ja-JP"/>
              </w:rPr>
            </w:pPr>
            <w:r w:rsidRPr="00611C50">
              <w:rPr>
                <w:rFonts w:eastAsia="SimSun"/>
                <w:color w:val="000000"/>
                <w:sz w:val="22"/>
                <w:szCs w:val="22"/>
                <w:lang w:val="sr-Latn-ME" w:eastAsia="zh-CN"/>
              </w:rPr>
              <w:lastRenderedPageBreak/>
              <w:t>Poremećaji metabolizma i ishrane</w:t>
            </w:r>
          </w:p>
        </w:tc>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rFonts w:eastAsia="SimSun"/>
                <w:color w:val="000000"/>
                <w:sz w:val="22"/>
                <w:szCs w:val="22"/>
                <w:lang w:val="sr-Latn-ME" w:eastAsia="zh-CN"/>
              </w:rPr>
              <w:t>Smanjeni apetit</w:t>
            </w:r>
          </w:p>
        </w:tc>
        <w:tc>
          <w:tcPr>
            <w:tcW w:w="19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762"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7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r>
      <w:tr w:rsidR="00806E4F" w:rsidRPr="00611C50" w:rsidTr="0036215E">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rFonts w:eastAsia="SimSun"/>
                <w:color w:val="000000"/>
                <w:sz w:val="22"/>
                <w:szCs w:val="22"/>
                <w:lang w:val="sr-Latn-ME" w:eastAsia="zh-CN"/>
              </w:rPr>
              <w:t>Poremećaji nervnog sistema</w:t>
            </w:r>
          </w:p>
        </w:tc>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rFonts w:eastAsia="SimSun"/>
                <w:color w:val="000000"/>
                <w:sz w:val="22"/>
                <w:szCs w:val="22"/>
                <w:lang w:val="sr-Latn-ME" w:eastAsia="zh-CN"/>
              </w:rPr>
              <w:t>Glavobolja, disgeuzija</w:t>
            </w:r>
          </w:p>
        </w:tc>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rFonts w:eastAsia="SimSun"/>
                <w:color w:val="000000"/>
                <w:sz w:val="22"/>
                <w:szCs w:val="22"/>
                <w:lang w:val="sr-Latn-ME" w:eastAsia="zh-CN"/>
              </w:rPr>
              <w:t>Paraliza 7. nerva, Periferna neuropatija</w:t>
            </w:r>
          </w:p>
        </w:tc>
        <w:tc>
          <w:tcPr>
            <w:tcW w:w="1762"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7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r>
      <w:tr w:rsidR="00806E4F" w:rsidRPr="00611C50" w:rsidTr="0036215E">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rFonts w:eastAsia="SimSun"/>
                <w:color w:val="000000"/>
                <w:sz w:val="22"/>
                <w:szCs w:val="22"/>
                <w:lang w:val="sr-Latn-ME" w:eastAsia="zh-CN"/>
              </w:rPr>
              <w:t>Poremećaji oka</w:t>
            </w:r>
          </w:p>
        </w:tc>
        <w:tc>
          <w:tcPr>
            <w:tcW w:w="19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rFonts w:eastAsia="SimSun"/>
                <w:color w:val="000000"/>
                <w:sz w:val="22"/>
                <w:szCs w:val="22"/>
                <w:lang w:val="sr-Latn-ME" w:eastAsia="zh-CN"/>
              </w:rPr>
              <w:t>Uveitis</w:t>
            </w:r>
          </w:p>
        </w:tc>
        <w:tc>
          <w:tcPr>
            <w:tcW w:w="1762" w:type="dxa"/>
            <w:tcBorders>
              <w:top w:val="single" w:sz="4" w:space="0" w:color="auto"/>
              <w:left w:val="single" w:sz="4" w:space="0" w:color="auto"/>
              <w:bottom w:val="single" w:sz="4" w:space="0" w:color="auto"/>
              <w:right w:val="single" w:sz="4" w:space="0" w:color="auto"/>
            </w:tcBorders>
            <w:hideMark/>
          </w:tcPr>
          <w:p w:rsidR="00806E4F" w:rsidRPr="00611C50" w:rsidRDefault="00806E4F" w:rsidP="0036215E">
            <w:pPr>
              <w:rPr>
                <w:rFonts w:eastAsia="PMingLiU"/>
                <w:sz w:val="22"/>
                <w:szCs w:val="22"/>
                <w:u w:val="single"/>
                <w:lang w:val="sr-Latn-ME" w:eastAsia="ja-JP"/>
              </w:rPr>
            </w:pPr>
            <w:r w:rsidRPr="00611C50">
              <w:rPr>
                <w:rFonts w:eastAsia="SimSun"/>
                <w:color w:val="000000"/>
                <w:sz w:val="22"/>
                <w:szCs w:val="22"/>
                <w:lang w:val="sr-Latn-ME" w:eastAsia="zh-CN"/>
              </w:rPr>
              <w:t>Okluzija retinalne vene, iridociklitis</w:t>
            </w:r>
          </w:p>
        </w:tc>
        <w:tc>
          <w:tcPr>
            <w:tcW w:w="17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r>
      <w:tr w:rsidR="00806E4F" w:rsidRPr="00611C50" w:rsidTr="0036215E">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rFonts w:eastAsia="SimSun"/>
                <w:color w:val="000000"/>
                <w:sz w:val="22"/>
                <w:szCs w:val="22"/>
                <w:lang w:val="sr-Latn-ME" w:eastAsia="zh-CN"/>
              </w:rPr>
              <w:t>Vaskularni poremećaji</w:t>
            </w:r>
          </w:p>
        </w:tc>
        <w:tc>
          <w:tcPr>
            <w:tcW w:w="19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rFonts w:eastAsia="SimSun"/>
                <w:color w:val="000000"/>
                <w:sz w:val="22"/>
                <w:szCs w:val="22"/>
                <w:lang w:val="sr-Latn-ME" w:eastAsia="zh-CN"/>
              </w:rPr>
              <w:t>Vaskulitis</w:t>
            </w:r>
          </w:p>
        </w:tc>
        <w:tc>
          <w:tcPr>
            <w:tcW w:w="1762"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7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r>
      <w:tr w:rsidR="00806E4F" w:rsidRPr="00611C50" w:rsidTr="0036215E">
        <w:tc>
          <w:tcPr>
            <w:tcW w:w="1991" w:type="dxa"/>
            <w:tcBorders>
              <w:top w:val="single" w:sz="4" w:space="0" w:color="auto"/>
              <w:left w:val="single" w:sz="4" w:space="0" w:color="auto"/>
              <w:bottom w:val="single" w:sz="4" w:space="0" w:color="auto"/>
              <w:right w:val="single" w:sz="4" w:space="0" w:color="auto"/>
            </w:tcBorders>
          </w:tcPr>
          <w:p w:rsidR="00806E4F" w:rsidRPr="00611C50" w:rsidRDefault="00806E4F" w:rsidP="0036215E">
            <w:pPr>
              <w:autoSpaceDE w:val="0"/>
              <w:autoSpaceDN w:val="0"/>
              <w:adjustRightInd w:val="0"/>
              <w:rPr>
                <w:rFonts w:eastAsia="SimSun"/>
                <w:color w:val="000000"/>
                <w:sz w:val="22"/>
                <w:szCs w:val="22"/>
                <w:lang w:val="sr-Latn-ME" w:eastAsia="zh-CN"/>
              </w:rPr>
            </w:pPr>
            <w:r w:rsidRPr="00611C50">
              <w:rPr>
                <w:rFonts w:eastAsia="SimSun"/>
                <w:color w:val="000000"/>
                <w:sz w:val="22"/>
                <w:szCs w:val="22"/>
                <w:lang w:val="sr-Latn-ME" w:eastAsia="zh-CN"/>
              </w:rPr>
              <w:t>Respiratorni, torakalni i medijastinalni poremećaji</w:t>
            </w:r>
          </w:p>
          <w:p w:rsidR="00806E4F" w:rsidRPr="00611C50" w:rsidRDefault="00806E4F" w:rsidP="00AD0CC1">
            <w:pPr>
              <w:jc w:val="both"/>
              <w:rPr>
                <w:rFonts w:eastAsia="PMingLiU"/>
                <w:sz w:val="22"/>
                <w:szCs w:val="22"/>
                <w:u w:val="single"/>
                <w:lang w:val="sr-Latn-ME" w:eastAsia="ja-JP"/>
              </w:rPr>
            </w:pPr>
          </w:p>
        </w:tc>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rFonts w:eastAsia="SimSun"/>
                <w:color w:val="000000"/>
                <w:sz w:val="22"/>
                <w:szCs w:val="22"/>
                <w:lang w:val="sr-Latn-ME" w:eastAsia="zh-CN"/>
              </w:rPr>
              <w:t>Kašalj</w:t>
            </w:r>
          </w:p>
        </w:tc>
        <w:tc>
          <w:tcPr>
            <w:tcW w:w="19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762"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7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r>
      <w:tr w:rsidR="00806E4F" w:rsidRPr="00611C50" w:rsidTr="0036215E">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rFonts w:eastAsia="SimSun"/>
                <w:color w:val="000000"/>
                <w:sz w:val="22"/>
                <w:szCs w:val="22"/>
                <w:lang w:val="sr-Latn-ME" w:eastAsia="zh-CN"/>
              </w:rPr>
              <w:t xml:space="preserve">Gastrointestinalni poremećaji </w:t>
            </w:r>
          </w:p>
        </w:tc>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rFonts w:eastAsia="SimSun"/>
                <w:color w:val="000000"/>
                <w:sz w:val="22"/>
                <w:szCs w:val="22"/>
                <w:lang w:val="sr-Latn-ME" w:eastAsia="zh-CN"/>
              </w:rPr>
              <w:t>Dijareja, povraćanje, mučnina, opstipacija</w:t>
            </w:r>
          </w:p>
        </w:tc>
        <w:tc>
          <w:tcPr>
            <w:tcW w:w="1991" w:type="dxa"/>
            <w:tcBorders>
              <w:top w:val="single" w:sz="4" w:space="0" w:color="auto"/>
              <w:left w:val="single" w:sz="4" w:space="0" w:color="auto"/>
              <w:bottom w:val="single" w:sz="4" w:space="0" w:color="auto"/>
              <w:right w:val="single" w:sz="4" w:space="0" w:color="auto"/>
            </w:tcBorders>
          </w:tcPr>
          <w:p w:rsidR="00806E4F" w:rsidRPr="00611C50" w:rsidRDefault="00AA5A0B" w:rsidP="00AD0CC1">
            <w:pPr>
              <w:jc w:val="both"/>
              <w:rPr>
                <w:rFonts w:eastAsia="PMingLiU"/>
                <w:sz w:val="22"/>
                <w:szCs w:val="22"/>
                <w:u w:val="single"/>
                <w:lang w:val="sr-Latn-ME" w:eastAsia="ja-JP"/>
              </w:rPr>
            </w:pPr>
            <w:r>
              <w:rPr>
                <w:rFonts w:eastAsia="PMingLiU"/>
                <w:sz w:val="22"/>
                <w:szCs w:val="22"/>
                <w:u w:val="single"/>
                <w:lang w:val="sr-Latn-ME" w:eastAsia="ja-JP"/>
              </w:rPr>
              <w:t>Stomatitis</w:t>
            </w:r>
          </w:p>
        </w:tc>
        <w:tc>
          <w:tcPr>
            <w:tcW w:w="1762" w:type="dxa"/>
            <w:tcBorders>
              <w:top w:val="single" w:sz="4" w:space="0" w:color="auto"/>
              <w:left w:val="single" w:sz="4" w:space="0" w:color="auto"/>
              <w:bottom w:val="single" w:sz="4" w:space="0" w:color="auto"/>
              <w:right w:val="single" w:sz="4" w:space="0" w:color="auto"/>
            </w:tcBorders>
            <w:hideMark/>
          </w:tcPr>
          <w:p w:rsidR="00806E4F" w:rsidRPr="0036215E" w:rsidRDefault="0036215E" w:rsidP="00AD0CC1">
            <w:pPr>
              <w:jc w:val="both"/>
              <w:rPr>
                <w:rFonts w:eastAsia="PMingLiU"/>
                <w:sz w:val="22"/>
                <w:szCs w:val="22"/>
                <w:vertAlign w:val="superscript"/>
                <w:lang w:val="sr-Latn-ME" w:eastAsia="ja-JP"/>
              </w:rPr>
            </w:pPr>
            <w:r w:rsidRPr="0036215E">
              <w:rPr>
                <w:rFonts w:eastAsia="PMingLiU"/>
                <w:sz w:val="22"/>
                <w:szCs w:val="22"/>
                <w:lang w:val="sr-Latn-ME" w:eastAsia="ja-JP"/>
              </w:rPr>
              <w:t>P</w:t>
            </w:r>
            <w:r w:rsidR="00806E4F" w:rsidRPr="0036215E">
              <w:rPr>
                <w:rFonts w:eastAsia="PMingLiU"/>
                <w:sz w:val="22"/>
                <w:szCs w:val="22"/>
                <w:lang w:val="sr-Latn-ME" w:eastAsia="ja-JP"/>
              </w:rPr>
              <w:t>ankreatitis</w:t>
            </w:r>
            <w:r w:rsidR="00806E4F" w:rsidRPr="0036215E">
              <w:rPr>
                <w:rFonts w:eastAsia="PMingLiU"/>
                <w:sz w:val="22"/>
                <w:szCs w:val="22"/>
                <w:vertAlign w:val="superscript"/>
                <w:lang w:val="sr-Latn-ME" w:eastAsia="ja-JP"/>
              </w:rPr>
              <w:t>(2)</w:t>
            </w:r>
          </w:p>
        </w:tc>
        <w:tc>
          <w:tcPr>
            <w:tcW w:w="17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r>
      <w:tr w:rsidR="00806E4F" w:rsidRPr="00611C50" w:rsidTr="0036215E">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SimSun"/>
                <w:color w:val="000000"/>
                <w:sz w:val="22"/>
                <w:szCs w:val="22"/>
                <w:lang w:val="sr-Latn-ME" w:eastAsia="zh-CN"/>
              </w:rPr>
            </w:pPr>
            <w:r w:rsidRPr="00611C50">
              <w:rPr>
                <w:rFonts w:eastAsia="SimSun"/>
                <w:color w:val="000000"/>
                <w:sz w:val="22"/>
                <w:szCs w:val="22"/>
                <w:lang w:val="sr-Latn-ME" w:eastAsia="zh-CN"/>
              </w:rPr>
              <w:t>Poremećaji jetre i žuči</w:t>
            </w:r>
          </w:p>
        </w:tc>
        <w:tc>
          <w:tcPr>
            <w:tcW w:w="19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SimSun"/>
                <w:color w:val="000000"/>
                <w:sz w:val="22"/>
                <w:szCs w:val="22"/>
                <w:lang w:val="sr-Latn-ME" w:eastAsia="zh-CN"/>
              </w:rPr>
            </w:pPr>
          </w:p>
        </w:tc>
        <w:tc>
          <w:tcPr>
            <w:tcW w:w="19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762" w:type="dxa"/>
            <w:tcBorders>
              <w:top w:val="single" w:sz="4" w:space="0" w:color="auto"/>
              <w:left w:val="single" w:sz="4" w:space="0" w:color="auto"/>
              <w:bottom w:val="single" w:sz="4" w:space="0" w:color="auto"/>
              <w:right w:val="single" w:sz="4" w:space="0" w:color="auto"/>
            </w:tcBorders>
            <w:hideMark/>
          </w:tcPr>
          <w:p w:rsidR="00806E4F" w:rsidRPr="0036215E" w:rsidRDefault="00806E4F" w:rsidP="00AD0CC1">
            <w:pPr>
              <w:jc w:val="both"/>
              <w:rPr>
                <w:rFonts w:eastAsia="PMingLiU"/>
                <w:sz w:val="22"/>
                <w:szCs w:val="22"/>
                <w:lang w:val="sr-Latn-ME" w:eastAsia="ja-JP"/>
              </w:rPr>
            </w:pPr>
            <w:r w:rsidRPr="0036215E">
              <w:rPr>
                <w:rFonts w:eastAsia="PMingLiU"/>
                <w:sz w:val="22"/>
                <w:szCs w:val="22"/>
                <w:lang w:val="sr-Latn-ME" w:eastAsia="ja-JP"/>
              </w:rPr>
              <w:t>Oštećenje jetre</w:t>
            </w:r>
            <w:r w:rsidRPr="0036215E">
              <w:rPr>
                <w:sz w:val="22"/>
                <w:szCs w:val="22"/>
                <w:vertAlign w:val="superscript"/>
                <w:lang w:val="sr-Latn-ME" w:eastAsia="ja-JP"/>
              </w:rPr>
              <w:t>(1)(</w:t>
            </w:r>
            <w:r w:rsidRPr="0036215E">
              <w:rPr>
                <w:szCs w:val="22"/>
                <w:vertAlign w:val="superscript"/>
                <w:lang w:val="sr-Latn-ME"/>
              </w:rPr>
              <w:t xml:space="preserve"> </w:t>
            </w:r>
            <w:r w:rsidRPr="0036215E">
              <w:rPr>
                <w:rFonts w:eastAsia="PMingLiU"/>
                <w:sz w:val="22"/>
                <w:szCs w:val="22"/>
                <w:vertAlign w:val="superscript"/>
                <w:lang w:val="sr-Latn-ME" w:eastAsia="ja-JP"/>
              </w:rPr>
              <w:t>(2)</w:t>
            </w:r>
            <w:r w:rsidRPr="0036215E">
              <w:rPr>
                <w:szCs w:val="22"/>
                <w:vertAlign w:val="superscript"/>
                <w:lang w:val="sr-Latn-ME"/>
              </w:rPr>
              <w:t xml:space="preserve"> (g)</w:t>
            </w:r>
          </w:p>
        </w:tc>
        <w:tc>
          <w:tcPr>
            <w:tcW w:w="17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r>
      <w:tr w:rsidR="00806E4F" w:rsidRPr="00611C50" w:rsidTr="0036215E">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rFonts w:eastAsia="SimSun"/>
                <w:color w:val="000000"/>
                <w:sz w:val="22"/>
                <w:szCs w:val="22"/>
                <w:lang w:val="sr-Latn-ME" w:eastAsia="zh-CN"/>
              </w:rPr>
              <w:t xml:space="preserve">Poremećaji kože i potkožnog tkiva </w:t>
            </w:r>
          </w:p>
        </w:tc>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36215E">
            <w:pPr>
              <w:rPr>
                <w:rFonts w:eastAsia="PMingLiU"/>
                <w:sz w:val="22"/>
                <w:szCs w:val="22"/>
                <w:u w:val="single"/>
                <w:lang w:val="sr-Latn-ME" w:eastAsia="ja-JP"/>
              </w:rPr>
            </w:pPr>
            <w:r w:rsidRPr="00611C50">
              <w:rPr>
                <w:rFonts w:eastAsia="SimSun"/>
                <w:color w:val="000000"/>
                <w:sz w:val="22"/>
                <w:szCs w:val="22"/>
                <w:lang w:val="sr-Latn-ME" w:eastAsia="zh-CN"/>
              </w:rPr>
              <w:t xml:space="preserve">Fotosenzitivne reakcije, </w:t>
            </w:r>
            <w:r w:rsidRPr="00611C50">
              <w:rPr>
                <w:rFonts w:eastAsia="SimSun"/>
                <w:sz w:val="22"/>
                <w:szCs w:val="22"/>
                <w:lang w:val="sr-Latn-ME" w:eastAsia="zh-CN"/>
              </w:rPr>
              <w:t>aktinična keratoza, raš, makulo</w:t>
            </w:r>
            <w:r w:rsidRPr="00611C50">
              <w:rPr>
                <w:rFonts w:eastAsia="SimSun"/>
                <w:color w:val="000000"/>
                <w:sz w:val="22"/>
                <w:szCs w:val="22"/>
                <w:lang w:val="sr-Latn-ME" w:eastAsia="zh-CN"/>
              </w:rPr>
              <w:t xml:space="preserve">-papularni raš, pruritus, hiperkeratoza, eritem, Sindrom palmarno-plantarne eritrodizestezije, alopecija, suva koža, opekotine od sunca </w:t>
            </w:r>
          </w:p>
        </w:tc>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36215E">
            <w:pPr>
              <w:rPr>
                <w:rFonts w:eastAsia="PMingLiU"/>
                <w:sz w:val="22"/>
                <w:szCs w:val="22"/>
                <w:u w:val="single"/>
                <w:lang w:val="sr-Latn-ME" w:eastAsia="ja-JP"/>
              </w:rPr>
            </w:pPr>
            <w:r w:rsidRPr="00611C50">
              <w:rPr>
                <w:rFonts w:eastAsia="SimSun"/>
                <w:color w:val="000000"/>
                <w:sz w:val="22"/>
                <w:szCs w:val="22"/>
                <w:lang w:val="sr-Latn-ME" w:eastAsia="zh-CN"/>
              </w:rPr>
              <w:t xml:space="preserve">Papularni raš,       panikulitis (uključujući  </w:t>
            </w:r>
            <w:r w:rsidRPr="00611C50">
              <w:rPr>
                <w:rFonts w:eastAsia="SimSun"/>
                <w:sz w:val="22"/>
                <w:szCs w:val="22"/>
                <w:lang w:val="sr-Latn-ME" w:eastAsia="zh-CN"/>
              </w:rPr>
              <w:t>nodozni eritem)</w:t>
            </w:r>
            <w:r w:rsidRPr="00611C50">
              <w:rPr>
                <w:rFonts w:eastAsia="SimSun"/>
                <w:i/>
                <w:sz w:val="22"/>
                <w:szCs w:val="22"/>
                <w:lang w:val="sr-Latn-ME" w:eastAsia="zh-CN"/>
              </w:rPr>
              <w:t>,</w:t>
            </w:r>
            <w:r w:rsidRPr="00611C50">
              <w:rPr>
                <w:rFonts w:eastAsia="SimSun"/>
                <w:sz w:val="22"/>
                <w:szCs w:val="22"/>
                <w:lang w:val="sr-Latn-ME" w:eastAsia="zh-CN"/>
              </w:rPr>
              <w:t xml:space="preserve"> pilarna keratoza </w:t>
            </w:r>
          </w:p>
        </w:tc>
        <w:tc>
          <w:tcPr>
            <w:tcW w:w="1762"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rFonts w:eastAsia="SimSun"/>
                <w:color w:val="000000"/>
                <w:sz w:val="22"/>
                <w:szCs w:val="22"/>
                <w:lang w:val="sr-Latn-ME" w:eastAsia="zh-CN"/>
              </w:rPr>
              <w:t>Toksična epidermalna nekroliza</w:t>
            </w:r>
            <w:r w:rsidRPr="00611C50">
              <w:rPr>
                <w:rFonts w:eastAsia="SimSun"/>
                <w:color w:val="000000"/>
                <w:sz w:val="22"/>
                <w:szCs w:val="22"/>
                <w:vertAlign w:val="superscript"/>
                <w:lang w:val="sr-Latn-ME" w:eastAsia="zh-CN"/>
              </w:rPr>
              <w:t>(e)</w:t>
            </w:r>
            <w:r w:rsidRPr="00611C50">
              <w:rPr>
                <w:rFonts w:eastAsia="SimSun"/>
                <w:color w:val="000000"/>
                <w:sz w:val="22"/>
                <w:szCs w:val="22"/>
                <w:lang w:val="sr-Latn-ME" w:eastAsia="zh-CN"/>
              </w:rPr>
              <w:t>, Stivens-Džonsonov sindrom</w:t>
            </w:r>
            <w:r w:rsidRPr="00611C50">
              <w:rPr>
                <w:rFonts w:eastAsia="SimSun"/>
                <w:color w:val="000000"/>
                <w:sz w:val="22"/>
                <w:szCs w:val="22"/>
                <w:vertAlign w:val="superscript"/>
                <w:lang w:val="sr-Latn-ME" w:eastAsia="zh-CN"/>
              </w:rPr>
              <w:t xml:space="preserve">(f) </w:t>
            </w:r>
          </w:p>
        </w:tc>
        <w:tc>
          <w:tcPr>
            <w:tcW w:w="17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rFonts w:eastAsia="SimSun"/>
                <w:color w:val="000000"/>
                <w:sz w:val="22"/>
                <w:szCs w:val="22"/>
                <w:lang w:val="sr-Latn-ME" w:eastAsia="zh-CN"/>
              </w:rPr>
              <w:t>Reakcija na lijek uz eozinofiliju i sistemske simptome</w:t>
            </w:r>
            <w:r w:rsidRPr="00611C50">
              <w:rPr>
                <w:szCs w:val="22"/>
                <w:vertAlign w:val="superscript"/>
                <w:lang w:val="sr-Latn-ME"/>
              </w:rPr>
              <w:t>(1)(2)</w:t>
            </w:r>
          </w:p>
        </w:tc>
      </w:tr>
      <w:tr w:rsidR="00806E4F" w:rsidRPr="00611C50" w:rsidTr="0036215E">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rFonts w:eastAsia="SimSun"/>
                <w:color w:val="000000"/>
                <w:sz w:val="22"/>
                <w:szCs w:val="22"/>
                <w:lang w:val="sr-Latn-ME" w:eastAsia="zh-CN"/>
              </w:rPr>
              <w:t xml:space="preserve">Poremećaji koštano-mišićnog i vezivnog tkiva </w:t>
            </w:r>
          </w:p>
        </w:tc>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36215E">
            <w:pPr>
              <w:rPr>
                <w:rFonts w:eastAsia="PMingLiU"/>
                <w:sz w:val="22"/>
                <w:szCs w:val="22"/>
                <w:u w:val="single"/>
                <w:lang w:val="sr-Latn-ME" w:eastAsia="ja-JP"/>
              </w:rPr>
            </w:pPr>
            <w:r w:rsidRPr="00611C50">
              <w:rPr>
                <w:rFonts w:eastAsia="SimSun"/>
                <w:color w:val="000000"/>
                <w:sz w:val="22"/>
                <w:szCs w:val="22"/>
                <w:lang w:val="sr-Latn-ME" w:eastAsia="zh-CN"/>
              </w:rPr>
              <w:t>Artralgija, mijalgija, bol u ekstremitetima, koštano-mišićni bol, bol u leđima</w:t>
            </w:r>
          </w:p>
        </w:tc>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rFonts w:eastAsia="SimSun"/>
                <w:color w:val="000000"/>
                <w:sz w:val="22"/>
                <w:szCs w:val="22"/>
                <w:lang w:val="sr-Latn-ME" w:eastAsia="zh-CN"/>
              </w:rPr>
              <w:t xml:space="preserve">Artritis          </w:t>
            </w:r>
          </w:p>
        </w:tc>
        <w:tc>
          <w:tcPr>
            <w:tcW w:w="1762"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36215E">
              <w:rPr>
                <w:rFonts w:eastAsia="PMingLiU"/>
                <w:sz w:val="22"/>
                <w:szCs w:val="22"/>
                <w:lang w:val="sr-Latn-ME" w:eastAsia="ja-JP"/>
              </w:rPr>
              <w:t xml:space="preserve">Plantarna </w:t>
            </w:r>
            <w:r w:rsidRPr="00611C50">
              <w:rPr>
                <w:rFonts w:eastAsia="PMingLiU"/>
                <w:sz w:val="22"/>
                <w:szCs w:val="22"/>
                <w:u w:val="single"/>
                <w:lang w:val="sr-Latn-ME" w:eastAsia="ja-JP"/>
              </w:rPr>
              <w:t xml:space="preserve"> </w:t>
            </w:r>
            <w:r w:rsidRPr="0036215E">
              <w:rPr>
                <w:rFonts w:eastAsia="PMingLiU"/>
                <w:sz w:val="22"/>
                <w:szCs w:val="22"/>
                <w:lang w:val="sr-Latn-ME" w:eastAsia="ja-JP"/>
              </w:rPr>
              <w:t>fascijalna fibromatoza</w:t>
            </w:r>
            <w:r w:rsidRPr="0036215E">
              <w:rPr>
                <w:rFonts w:eastAsia="PMingLiU"/>
                <w:sz w:val="22"/>
                <w:szCs w:val="22"/>
                <w:vertAlign w:val="superscript"/>
                <w:lang w:val="sr-Latn-ME" w:eastAsia="ja-JP"/>
              </w:rPr>
              <w:t>(1)(2)</w:t>
            </w:r>
            <w:r w:rsidRPr="0036215E">
              <w:rPr>
                <w:rFonts w:eastAsia="PMingLiU"/>
                <w:sz w:val="22"/>
                <w:szCs w:val="22"/>
                <w:lang w:val="sr-Latn-ME" w:eastAsia="ja-JP"/>
              </w:rPr>
              <w:t>,</w:t>
            </w:r>
            <w:r w:rsidRPr="00611C50">
              <w:rPr>
                <w:rFonts w:eastAsia="PMingLiU"/>
                <w:sz w:val="22"/>
                <w:szCs w:val="22"/>
                <w:u w:val="single"/>
                <w:lang w:val="sr-Latn-ME" w:eastAsia="ja-JP"/>
              </w:rPr>
              <w:t xml:space="preserve"> </w:t>
            </w:r>
            <w:r w:rsidRPr="00611C50">
              <w:rPr>
                <w:rFonts w:eastAsia="SimSun"/>
                <w:color w:val="000000"/>
                <w:sz w:val="22"/>
                <w:szCs w:val="22"/>
                <w:lang w:val="sr-Latn-ME" w:eastAsia="zh-CN"/>
              </w:rPr>
              <w:t>Dupuytrenova kontraktura</w:t>
            </w:r>
            <w:r w:rsidRPr="00611C50">
              <w:rPr>
                <w:rFonts w:eastAsia="SimSun"/>
                <w:color w:val="000000"/>
                <w:sz w:val="22"/>
                <w:szCs w:val="22"/>
                <w:vertAlign w:val="superscript"/>
                <w:lang w:val="sr-Latn-ME" w:eastAsia="zh-CN"/>
              </w:rPr>
              <w:t>(1)(2)</w:t>
            </w:r>
            <w:r w:rsidRPr="00611C50">
              <w:rPr>
                <w:rFonts w:eastAsia="SimSun"/>
                <w:color w:val="000000"/>
                <w:sz w:val="22"/>
                <w:szCs w:val="22"/>
                <w:lang w:val="sr-Latn-ME" w:eastAsia="zh-CN"/>
              </w:rPr>
              <w:t xml:space="preserve">                   </w:t>
            </w:r>
          </w:p>
        </w:tc>
        <w:tc>
          <w:tcPr>
            <w:tcW w:w="17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r>
      <w:tr w:rsidR="00806E4F" w:rsidRPr="00611C50" w:rsidTr="0036215E">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36215E">
            <w:pPr>
              <w:rPr>
                <w:rFonts w:eastAsia="SimSun"/>
                <w:color w:val="000000"/>
                <w:sz w:val="22"/>
                <w:szCs w:val="22"/>
                <w:lang w:val="sr-Latn-ME" w:eastAsia="zh-CN"/>
              </w:rPr>
            </w:pPr>
            <w:r w:rsidRPr="00611C50">
              <w:rPr>
                <w:rFonts w:eastAsia="SimSun"/>
                <w:color w:val="000000"/>
                <w:sz w:val="22"/>
                <w:szCs w:val="22"/>
                <w:lang w:val="sr-Latn-ME" w:eastAsia="zh-CN"/>
              </w:rPr>
              <w:t>Poremećaji bubrega i mokračnog sistema</w:t>
            </w:r>
          </w:p>
        </w:tc>
        <w:tc>
          <w:tcPr>
            <w:tcW w:w="19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SimSun"/>
                <w:color w:val="000000"/>
                <w:sz w:val="22"/>
                <w:szCs w:val="22"/>
                <w:lang w:val="sr-Latn-ME" w:eastAsia="zh-CN"/>
              </w:rPr>
            </w:pPr>
          </w:p>
        </w:tc>
        <w:tc>
          <w:tcPr>
            <w:tcW w:w="19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SimSun"/>
                <w:color w:val="000000"/>
                <w:sz w:val="22"/>
                <w:szCs w:val="22"/>
                <w:lang w:val="sr-Latn-ME" w:eastAsia="zh-CN"/>
              </w:rPr>
            </w:pPr>
          </w:p>
        </w:tc>
        <w:tc>
          <w:tcPr>
            <w:tcW w:w="1762"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791" w:type="dxa"/>
            <w:tcBorders>
              <w:top w:val="single" w:sz="4" w:space="0" w:color="auto"/>
              <w:left w:val="single" w:sz="4" w:space="0" w:color="auto"/>
              <w:bottom w:val="single" w:sz="4" w:space="0" w:color="auto"/>
              <w:right w:val="single" w:sz="4" w:space="0" w:color="auto"/>
            </w:tcBorders>
          </w:tcPr>
          <w:p w:rsidR="00806E4F" w:rsidRPr="00611C50" w:rsidRDefault="00806E4F" w:rsidP="0036215E">
            <w:pPr>
              <w:rPr>
                <w:sz w:val="22"/>
                <w:szCs w:val="22"/>
                <w:lang w:val="sr-Latn-ME"/>
              </w:rPr>
            </w:pPr>
            <w:r w:rsidRPr="00611C50">
              <w:rPr>
                <w:sz w:val="22"/>
                <w:szCs w:val="22"/>
                <w:lang w:val="sr-Latn-ME"/>
              </w:rPr>
              <w:t>Akutni intersticijski nefritis</w:t>
            </w:r>
            <w:r w:rsidRPr="00611C50">
              <w:rPr>
                <w:sz w:val="22"/>
                <w:szCs w:val="22"/>
                <w:vertAlign w:val="superscript"/>
                <w:lang w:val="sr-Latn-ME"/>
              </w:rPr>
              <w:t>(1)(2) (h)</w:t>
            </w:r>
            <w:r w:rsidRPr="00611C50">
              <w:rPr>
                <w:sz w:val="22"/>
                <w:szCs w:val="22"/>
                <w:lang w:val="sr-Latn-ME"/>
              </w:rPr>
              <w:t>, akutna tubularna nekroza</w:t>
            </w:r>
            <w:r w:rsidRPr="00611C50">
              <w:rPr>
                <w:sz w:val="22"/>
                <w:szCs w:val="22"/>
                <w:vertAlign w:val="superscript"/>
                <w:lang w:val="sr-Latn-ME"/>
              </w:rPr>
              <w:t>(1)(2) (h)</w:t>
            </w:r>
          </w:p>
          <w:p w:rsidR="00806E4F" w:rsidRPr="00611C50" w:rsidRDefault="00806E4F" w:rsidP="0036215E">
            <w:pPr>
              <w:rPr>
                <w:rFonts w:eastAsia="PMingLiU"/>
                <w:sz w:val="22"/>
                <w:szCs w:val="22"/>
                <w:u w:val="single"/>
                <w:lang w:val="sr-Latn-ME" w:eastAsia="ja-JP"/>
              </w:rPr>
            </w:pPr>
          </w:p>
        </w:tc>
      </w:tr>
      <w:tr w:rsidR="00806E4F" w:rsidRPr="00611C50" w:rsidTr="0036215E">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36215E">
            <w:pPr>
              <w:rPr>
                <w:rFonts w:eastAsia="PMingLiU"/>
                <w:sz w:val="22"/>
                <w:szCs w:val="22"/>
                <w:u w:val="single"/>
                <w:lang w:val="sr-Latn-ME" w:eastAsia="ja-JP"/>
              </w:rPr>
            </w:pPr>
            <w:r w:rsidRPr="00611C50">
              <w:rPr>
                <w:rFonts w:eastAsia="SimSun"/>
                <w:color w:val="000000"/>
                <w:sz w:val="22"/>
                <w:szCs w:val="22"/>
                <w:lang w:val="sr-Latn-ME" w:eastAsia="zh-CN"/>
              </w:rPr>
              <w:t xml:space="preserve">Opšti poremećaji i stanja na mjestu primjene </w:t>
            </w:r>
          </w:p>
        </w:tc>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36215E">
            <w:pPr>
              <w:rPr>
                <w:rFonts w:eastAsia="PMingLiU"/>
                <w:sz w:val="22"/>
                <w:szCs w:val="22"/>
                <w:u w:val="single"/>
                <w:lang w:val="sr-Latn-ME" w:eastAsia="ja-JP"/>
              </w:rPr>
            </w:pPr>
            <w:r w:rsidRPr="00611C50">
              <w:rPr>
                <w:rFonts w:eastAsia="SimSun"/>
                <w:color w:val="000000"/>
                <w:sz w:val="22"/>
                <w:szCs w:val="22"/>
                <w:lang w:val="sr-Latn-ME" w:eastAsia="zh-CN"/>
              </w:rPr>
              <w:t>Umor, povišena temperatura, periferni edem, astenija</w:t>
            </w:r>
          </w:p>
        </w:tc>
        <w:tc>
          <w:tcPr>
            <w:tcW w:w="19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762"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7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r>
      <w:tr w:rsidR="00806E4F" w:rsidRPr="00611C50" w:rsidTr="0036215E">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PMingLiU"/>
                <w:sz w:val="22"/>
                <w:szCs w:val="22"/>
                <w:u w:val="single"/>
                <w:lang w:val="sr-Latn-ME" w:eastAsia="ja-JP"/>
              </w:rPr>
            </w:pPr>
            <w:r w:rsidRPr="00611C50">
              <w:rPr>
                <w:rFonts w:eastAsia="SimSun"/>
                <w:color w:val="000000"/>
                <w:sz w:val="22"/>
                <w:szCs w:val="22"/>
                <w:lang w:val="sr-Latn-ME" w:eastAsia="zh-CN"/>
              </w:rPr>
              <w:t>Nalazi</w:t>
            </w:r>
          </w:p>
        </w:tc>
        <w:tc>
          <w:tcPr>
            <w:tcW w:w="19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36215E">
            <w:pPr>
              <w:rPr>
                <w:rFonts w:eastAsia="SimSun"/>
                <w:color w:val="000000"/>
                <w:sz w:val="22"/>
                <w:szCs w:val="22"/>
                <w:lang w:val="sr-Latn-ME" w:eastAsia="zh-CN"/>
              </w:rPr>
            </w:pPr>
            <w:r w:rsidRPr="00611C50">
              <w:rPr>
                <w:rFonts w:eastAsia="SimSun"/>
                <w:color w:val="000000"/>
                <w:sz w:val="22"/>
                <w:szCs w:val="22"/>
                <w:lang w:val="sr-Latn-ME" w:eastAsia="zh-CN"/>
              </w:rPr>
              <w:t>Povećanje ALT</w:t>
            </w:r>
            <w:r w:rsidRPr="00611C50">
              <w:rPr>
                <w:rFonts w:eastAsia="SimSun"/>
                <w:color w:val="000000"/>
                <w:sz w:val="22"/>
                <w:szCs w:val="22"/>
                <w:vertAlign w:val="superscript"/>
                <w:lang w:val="sr-Latn-ME" w:eastAsia="zh-CN"/>
              </w:rPr>
              <w:t>(c)</w:t>
            </w:r>
            <w:r w:rsidRPr="00611C50">
              <w:rPr>
                <w:rFonts w:eastAsia="SimSun"/>
                <w:color w:val="000000"/>
                <w:sz w:val="22"/>
                <w:szCs w:val="22"/>
                <w:lang w:val="sr-Latn-ME" w:eastAsia="zh-CN"/>
              </w:rPr>
              <w:t>, povećanje alkalne fosfataze</w:t>
            </w:r>
            <w:r w:rsidRPr="00611C50">
              <w:rPr>
                <w:rFonts w:eastAsia="SimSun"/>
                <w:color w:val="000000"/>
                <w:sz w:val="22"/>
                <w:szCs w:val="22"/>
                <w:vertAlign w:val="superscript"/>
                <w:lang w:val="sr-Latn-ME" w:eastAsia="zh-CN"/>
              </w:rPr>
              <w:t>(c)</w:t>
            </w:r>
            <w:r w:rsidRPr="00611C50">
              <w:rPr>
                <w:rFonts w:eastAsia="SimSun"/>
                <w:color w:val="000000"/>
                <w:sz w:val="22"/>
                <w:szCs w:val="22"/>
                <w:lang w:val="sr-Latn-ME" w:eastAsia="zh-CN"/>
              </w:rPr>
              <w:t>, povećanje AST, povećanje bilirubina</w:t>
            </w:r>
            <w:r w:rsidRPr="00611C50">
              <w:rPr>
                <w:rFonts w:eastAsia="SimSun"/>
                <w:color w:val="000000"/>
                <w:sz w:val="22"/>
                <w:szCs w:val="22"/>
                <w:vertAlign w:val="superscript"/>
                <w:lang w:val="sr-Latn-ME" w:eastAsia="zh-CN"/>
              </w:rPr>
              <w:t>(c)</w:t>
            </w:r>
            <w:r w:rsidRPr="00611C50">
              <w:rPr>
                <w:rFonts w:eastAsia="SimSun"/>
                <w:color w:val="000000"/>
                <w:sz w:val="22"/>
                <w:szCs w:val="22"/>
                <w:lang w:val="sr-Latn-ME" w:eastAsia="zh-CN"/>
              </w:rPr>
              <w:t xml:space="preserve">, povećanje GGT, </w:t>
            </w:r>
            <w:r w:rsidRPr="00611C50">
              <w:rPr>
                <w:rFonts w:eastAsia="SimSun"/>
                <w:color w:val="000000"/>
                <w:sz w:val="22"/>
                <w:szCs w:val="22"/>
                <w:lang w:val="sr-Latn-ME" w:eastAsia="zh-CN"/>
              </w:rPr>
              <w:lastRenderedPageBreak/>
              <w:t>smanjenje težine, produženje QT intervala</w:t>
            </w:r>
          </w:p>
          <w:p w:rsidR="00806E4F" w:rsidRPr="0036215E" w:rsidRDefault="00806E4F" w:rsidP="0036215E">
            <w:pPr>
              <w:rPr>
                <w:rFonts w:eastAsia="PMingLiU"/>
                <w:sz w:val="22"/>
                <w:szCs w:val="22"/>
                <w:lang w:val="sr-Latn-ME" w:eastAsia="ja-JP"/>
              </w:rPr>
            </w:pPr>
            <w:r w:rsidRPr="0036215E">
              <w:rPr>
                <w:rFonts w:eastAsia="PMingLiU"/>
                <w:sz w:val="22"/>
                <w:szCs w:val="22"/>
                <w:lang w:val="sr-Latn-ME" w:eastAsia="ja-JP"/>
              </w:rPr>
              <w:t xml:space="preserve">povišene vrijednosti kreatinina u krvi </w:t>
            </w:r>
            <w:r w:rsidRPr="0036215E">
              <w:rPr>
                <w:sz w:val="22"/>
                <w:szCs w:val="22"/>
                <w:vertAlign w:val="superscript"/>
                <w:lang w:val="sr-Latn-ME"/>
              </w:rPr>
              <w:t>(1)(2) (h)</w:t>
            </w:r>
          </w:p>
        </w:tc>
        <w:tc>
          <w:tcPr>
            <w:tcW w:w="1762"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7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r>
      <w:tr w:rsidR="00806E4F" w:rsidRPr="00611C50" w:rsidTr="0036215E">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SimSun"/>
                <w:color w:val="000000"/>
                <w:sz w:val="22"/>
                <w:szCs w:val="22"/>
                <w:lang w:val="sr-Latn-ME" w:eastAsia="zh-CN"/>
              </w:rPr>
            </w:pPr>
            <w:r w:rsidRPr="00611C50">
              <w:rPr>
                <w:rFonts w:eastAsia="SimSun"/>
                <w:color w:val="000000"/>
                <w:sz w:val="22"/>
                <w:szCs w:val="22"/>
                <w:lang w:val="sr-Latn-ME" w:eastAsia="zh-CN"/>
              </w:rPr>
              <w:t>Povrede, trovanja i proceduralne komplikacije</w:t>
            </w:r>
          </w:p>
        </w:tc>
        <w:tc>
          <w:tcPr>
            <w:tcW w:w="19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99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rFonts w:eastAsia="SimSun"/>
                <w:sz w:val="22"/>
                <w:szCs w:val="22"/>
                <w:lang w:val="sr-Latn-ME" w:eastAsia="zh-CN"/>
              </w:rPr>
            </w:pPr>
            <w:r w:rsidRPr="00611C50">
              <w:rPr>
                <w:rFonts w:eastAsia="SimSun"/>
                <w:sz w:val="22"/>
                <w:szCs w:val="22"/>
                <w:lang w:val="sr-Latn-ME" w:eastAsia="zh-CN"/>
              </w:rPr>
              <w:t>Pojačavanje radijacione tokičnosti</w:t>
            </w:r>
            <w:r w:rsidRPr="00611C50">
              <w:rPr>
                <w:rFonts w:eastAsia="SimSun"/>
                <w:sz w:val="22"/>
                <w:szCs w:val="22"/>
                <w:vertAlign w:val="superscript"/>
                <w:lang w:val="sr-Latn-ME" w:eastAsia="zh-CN"/>
              </w:rPr>
              <w:t>(1) (2) (i)</w:t>
            </w:r>
          </w:p>
        </w:tc>
        <w:tc>
          <w:tcPr>
            <w:tcW w:w="1762"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c>
          <w:tcPr>
            <w:tcW w:w="1791"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rFonts w:eastAsia="PMingLiU"/>
                <w:sz w:val="22"/>
                <w:szCs w:val="22"/>
                <w:u w:val="single"/>
                <w:lang w:val="sr-Latn-ME" w:eastAsia="ja-JP"/>
              </w:rPr>
            </w:pPr>
          </w:p>
        </w:tc>
      </w:tr>
    </w:tbl>
    <w:p w:rsidR="00806E4F" w:rsidRPr="00611C50" w:rsidRDefault="00806E4F" w:rsidP="00AD0CC1">
      <w:pPr>
        <w:jc w:val="both"/>
        <w:rPr>
          <w:rFonts w:eastAsia="PMingLiU"/>
          <w:sz w:val="22"/>
          <w:szCs w:val="22"/>
          <w:lang w:val="sr-Latn-ME" w:eastAsia="ja-JP"/>
        </w:rPr>
      </w:pPr>
      <w:r w:rsidRPr="00611C50">
        <w:rPr>
          <w:rFonts w:eastAsia="PMingLiU"/>
          <w:sz w:val="22"/>
          <w:szCs w:val="22"/>
          <w:vertAlign w:val="superscript"/>
          <w:lang w:val="sr-Latn-ME" w:eastAsia="ja-JP"/>
        </w:rPr>
        <w:t xml:space="preserve">(1) </w:t>
      </w:r>
      <w:r w:rsidRPr="00611C50">
        <w:rPr>
          <w:rFonts w:eastAsia="PMingLiU"/>
          <w:sz w:val="22"/>
          <w:szCs w:val="22"/>
          <w:lang w:val="sr-Latn-ME" w:eastAsia="ja-JP"/>
        </w:rPr>
        <w:t>Događaji porijeklom iz bezbjednosnih izvještaja u svim kliničkim ispitivanjima</w:t>
      </w:r>
    </w:p>
    <w:p w:rsidR="00806E4F" w:rsidRPr="00611C50" w:rsidRDefault="00806E4F" w:rsidP="00AD0CC1">
      <w:pPr>
        <w:jc w:val="both"/>
        <w:rPr>
          <w:rFonts w:eastAsia="PMingLiU"/>
          <w:sz w:val="22"/>
          <w:szCs w:val="22"/>
          <w:lang w:val="sr-Latn-ME" w:eastAsia="ja-JP"/>
        </w:rPr>
      </w:pPr>
      <w:r w:rsidRPr="00611C50">
        <w:rPr>
          <w:szCs w:val="22"/>
          <w:vertAlign w:val="superscript"/>
          <w:lang w:val="sr-Latn-ME"/>
        </w:rPr>
        <w:t xml:space="preserve"> (2) </w:t>
      </w:r>
      <w:r w:rsidRPr="00611C50">
        <w:rPr>
          <w:rFonts w:eastAsia="PMingLiU"/>
          <w:sz w:val="22"/>
          <w:szCs w:val="22"/>
          <w:lang w:val="sr-Latn-ME" w:eastAsia="ja-JP"/>
        </w:rPr>
        <w:t>Događaji koji potiču iz izvora nakon stavljanja lijeka u promet</w:t>
      </w:r>
    </w:p>
    <w:p w:rsidR="00806E4F" w:rsidRPr="00611C50" w:rsidRDefault="00806E4F" w:rsidP="00AD0CC1">
      <w:pPr>
        <w:keepNext/>
        <w:jc w:val="both"/>
        <w:rPr>
          <w:rFonts w:eastAsia="PMingLiU"/>
          <w:sz w:val="22"/>
          <w:szCs w:val="22"/>
          <w:lang w:val="sr-Latn-ME" w:eastAsia="ja-JP"/>
        </w:rPr>
      </w:pPr>
      <w:r w:rsidRPr="00611C50">
        <w:rPr>
          <w:rFonts w:eastAsia="PMingLiU"/>
          <w:sz w:val="22"/>
          <w:szCs w:val="22"/>
          <w:vertAlign w:val="superscript"/>
          <w:lang w:val="sr-Latn-ME" w:eastAsia="ja-JP"/>
        </w:rPr>
        <w:t>(3)</w:t>
      </w:r>
      <w:r w:rsidRPr="00611C50">
        <w:rPr>
          <w:rFonts w:eastAsia="PMingLiU"/>
          <w:sz w:val="22"/>
          <w:szCs w:val="22"/>
          <w:lang w:val="sr-Latn-ME" w:eastAsia="ja-JP"/>
        </w:rPr>
        <w:t>Uzročna veza između lijeka i neželjenog događaja je barem razumna mogućnost</w:t>
      </w:r>
    </w:p>
    <w:p w:rsidR="00806E4F" w:rsidRPr="00611C50" w:rsidRDefault="00806E4F" w:rsidP="00AD0CC1">
      <w:pPr>
        <w:keepNext/>
        <w:keepLines/>
        <w:jc w:val="both"/>
        <w:rPr>
          <w:rFonts w:eastAsia="PMingLiU"/>
          <w:sz w:val="22"/>
          <w:szCs w:val="22"/>
          <w:lang w:val="sr-Latn-ME" w:eastAsia="ja-JP"/>
        </w:rPr>
      </w:pPr>
      <w:r w:rsidRPr="00611C50">
        <w:rPr>
          <w:rFonts w:eastAsia="PMingLiU"/>
          <w:sz w:val="22"/>
          <w:szCs w:val="22"/>
          <w:vertAlign w:val="superscript"/>
          <w:lang w:val="sr-Latn-ME" w:eastAsia="ja-JP"/>
        </w:rPr>
        <w:t>(4)</w:t>
      </w:r>
      <w:r w:rsidRPr="00611C50">
        <w:rPr>
          <w:rFonts w:eastAsia="PMingLiU"/>
          <w:sz w:val="22"/>
          <w:szCs w:val="22"/>
          <w:lang w:val="sr-Latn-ME" w:eastAsia="ja-JP"/>
        </w:rPr>
        <w:t>Progresija postojeće hronične mijelomonocitne leukemije sa mutacijom gena NRAS</w:t>
      </w:r>
    </w:p>
    <w:p w:rsidR="00806E4F" w:rsidRPr="00611C50" w:rsidRDefault="00806E4F" w:rsidP="00AD0CC1">
      <w:pPr>
        <w:keepNext/>
        <w:keepLines/>
        <w:jc w:val="both"/>
        <w:rPr>
          <w:rFonts w:eastAsia="PMingLiU"/>
          <w:sz w:val="22"/>
          <w:szCs w:val="22"/>
          <w:lang w:val="sr-Latn-ME" w:eastAsia="ja-JP"/>
        </w:rPr>
      </w:pPr>
      <w:r w:rsidRPr="00611C50">
        <w:rPr>
          <w:rFonts w:eastAsia="PMingLiU"/>
          <w:sz w:val="22"/>
          <w:szCs w:val="22"/>
          <w:lang w:val="sr-Latn-ME" w:eastAsia="ja-JP"/>
        </w:rPr>
        <w:t xml:space="preserve"> </w:t>
      </w:r>
      <w:r w:rsidRPr="00611C50">
        <w:rPr>
          <w:rFonts w:eastAsia="PMingLiU"/>
          <w:sz w:val="22"/>
          <w:szCs w:val="22"/>
          <w:vertAlign w:val="superscript"/>
          <w:lang w:val="sr-Latn-ME" w:eastAsia="ja-JP"/>
        </w:rPr>
        <w:t>(5)</w:t>
      </w:r>
      <w:r w:rsidRPr="00611C50">
        <w:rPr>
          <w:rFonts w:eastAsia="PMingLiU"/>
          <w:sz w:val="22"/>
          <w:szCs w:val="22"/>
          <w:lang w:val="sr-Latn-ME" w:eastAsia="ja-JP"/>
        </w:rPr>
        <w:t>Progresija postojećeg adenokarcinoma pankreasa sa mutacijom gena KRAS</w:t>
      </w:r>
    </w:p>
    <w:p w:rsidR="00E27DAE" w:rsidRPr="00611C50" w:rsidRDefault="00E27DAE" w:rsidP="00AD0CC1">
      <w:pPr>
        <w:keepNext/>
        <w:keepLines/>
        <w:jc w:val="both"/>
        <w:rPr>
          <w:rFonts w:eastAsia="PMingLiU"/>
          <w:sz w:val="22"/>
          <w:szCs w:val="22"/>
          <w:lang w:val="sr-Latn-ME" w:eastAsia="ja-JP"/>
        </w:rPr>
      </w:pPr>
      <w:r w:rsidRPr="00611C50">
        <w:rPr>
          <w:rFonts w:eastAsia="PMingLiU"/>
          <w:sz w:val="22"/>
          <w:szCs w:val="22"/>
          <w:vertAlign w:val="superscript"/>
          <w:lang w:val="sr-Latn-ME" w:eastAsia="ja-JP"/>
        </w:rPr>
        <w:t>(6)</w:t>
      </w:r>
      <w:r w:rsidRPr="00611C50">
        <w:rPr>
          <w:rFonts w:eastAsia="PMingLiU"/>
          <w:sz w:val="22"/>
          <w:szCs w:val="22"/>
          <w:lang w:val="sr-Latn-ME" w:eastAsia="ja-JP"/>
        </w:rPr>
        <w:t xml:space="preserve">Računato na osnovu podataka prikupljenih u kliničkim studijama faze II i III </w:t>
      </w:r>
    </w:p>
    <w:p w:rsidR="00806E4F" w:rsidRPr="00611C50" w:rsidRDefault="00806E4F" w:rsidP="00AD0CC1">
      <w:pPr>
        <w:jc w:val="both"/>
        <w:rPr>
          <w:rFonts w:eastAsia="PMingLiU"/>
          <w:sz w:val="22"/>
          <w:szCs w:val="22"/>
          <w:u w:val="single"/>
          <w:lang w:val="sr-Latn-ME" w:eastAsia="ja-JP"/>
        </w:rPr>
      </w:pPr>
    </w:p>
    <w:p w:rsidR="00806E4F" w:rsidRPr="00611C50" w:rsidRDefault="00806E4F" w:rsidP="00AD0CC1">
      <w:pPr>
        <w:jc w:val="both"/>
        <w:rPr>
          <w:rFonts w:eastAsia="PMingLiU"/>
          <w:sz w:val="22"/>
          <w:szCs w:val="22"/>
          <w:lang w:val="sr-Latn-ME" w:eastAsia="ja-JP"/>
        </w:rPr>
      </w:pPr>
      <w:r w:rsidRPr="00611C50">
        <w:rPr>
          <w:rFonts w:eastAsia="PMingLiU"/>
          <w:sz w:val="22"/>
          <w:szCs w:val="22"/>
          <w:u w:val="single"/>
          <w:lang w:val="sr-Latn-ME" w:eastAsia="ja-JP"/>
        </w:rPr>
        <w:t>Opis odabranih neželjenih događaja</w:t>
      </w:r>
      <w:r w:rsidRPr="00611C50">
        <w:rPr>
          <w:rFonts w:eastAsia="PMingLiU"/>
          <w:sz w:val="22"/>
          <w:szCs w:val="22"/>
          <w:lang w:val="sr-Latn-ME" w:eastAsia="ja-JP"/>
        </w:rPr>
        <w:t xml:space="preserve"> </w:t>
      </w:r>
    </w:p>
    <w:p w:rsidR="00163FBA" w:rsidRPr="00611C50" w:rsidRDefault="00163FBA" w:rsidP="00AD0CC1">
      <w:pPr>
        <w:jc w:val="both"/>
        <w:rPr>
          <w:sz w:val="22"/>
          <w:szCs w:val="22"/>
          <w:u w:val="single"/>
          <w:lang w:val="sr-Latn-ME" w:eastAsia="ja-JP"/>
        </w:rPr>
      </w:pPr>
    </w:p>
    <w:p w:rsidR="00806E4F" w:rsidRPr="00611C50" w:rsidRDefault="00806E4F" w:rsidP="00AD0CC1">
      <w:pPr>
        <w:jc w:val="both"/>
        <w:rPr>
          <w:sz w:val="22"/>
          <w:szCs w:val="22"/>
          <w:u w:val="single"/>
          <w:lang w:val="sr-Latn-ME" w:eastAsia="ja-JP"/>
        </w:rPr>
      </w:pPr>
      <w:r w:rsidRPr="00611C50">
        <w:rPr>
          <w:i/>
          <w:sz w:val="22"/>
          <w:szCs w:val="22"/>
          <w:lang w:val="sr-Latn-ME" w:eastAsia="ja-JP"/>
        </w:rPr>
        <w:t>Povećanje enzima jetre</w:t>
      </w:r>
      <w:r w:rsidRPr="00611C50">
        <w:rPr>
          <w:rFonts w:eastAsia="SimSun"/>
          <w:i/>
          <w:color w:val="000000"/>
          <w:sz w:val="22"/>
          <w:szCs w:val="22"/>
          <w:vertAlign w:val="superscript"/>
          <w:lang w:val="sr-Latn-ME" w:eastAsia="zh-CN"/>
        </w:rPr>
        <w:t>(c)</w:t>
      </w:r>
    </w:p>
    <w:p w:rsidR="00806E4F" w:rsidRPr="00611C50" w:rsidRDefault="00806E4F" w:rsidP="00AD0CC1">
      <w:pPr>
        <w:jc w:val="both"/>
        <w:rPr>
          <w:sz w:val="22"/>
          <w:szCs w:val="22"/>
          <w:lang w:val="sr-Latn-ME" w:eastAsia="ja-JP"/>
        </w:rPr>
      </w:pPr>
      <w:r w:rsidRPr="00611C50">
        <w:rPr>
          <w:sz w:val="22"/>
          <w:szCs w:val="22"/>
          <w:lang w:val="sr-Latn-ME" w:eastAsia="ja-JP"/>
        </w:rPr>
        <w:t>Poremećaji u nalazima enzima jetre prijavljeni u kliničkoj studiji faze III izraženi su dolje kao procenat pacijenata kod kojih je od početka studije došlo do promjena gradusa 3 ili 4 u vrijednostima enzima jetre:</w:t>
      </w:r>
    </w:p>
    <w:p w:rsidR="00806E4F" w:rsidRPr="00611C50" w:rsidRDefault="00806E4F" w:rsidP="00AD0CC1">
      <w:pPr>
        <w:numPr>
          <w:ilvl w:val="0"/>
          <w:numId w:val="12"/>
        </w:numPr>
        <w:jc w:val="both"/>
        <w:rPr>
          <w:sz w:val="22"/>
          <w:szCs w:val="22"/>
          <w:lang w:val="sr-Latn-ME" w:eastAsia="ja-JP"/>
        </w:rPr>
      </w:pPr>
      <w:r w:rsidRPr="00611C50">
        <w:rPr>
          <w:sz w:val="22"/>
          <w:szCs w:val="22"/>
          <w:lang w:val="sr-Latn-ME" w:eastAsia="ja-JP"/>
        </w:rPr>
        <w:t>Veoma često: GGT</w:t>
      </w:r>
    </w:p>
    <w:p w:rsidR="00806E4F" w:rsidRPr="00611C50" w:rsidRDefault="00806E4F" w:rsidP="00AD0CC1">
      <w:pPr>
        <w:numPr>
          <w:ilvl w:val="0"/>
          <w:numId w:val="12"/>
        </w:numPr>
        <w:jc w:val="both"/>
        <w:rPr>
          <w:sz w:val="22"/>
          <w:szCs w:val="22"/>
          <w:lang w:val="sr-Latn-ME" w:eastAsia="ja-JP"/>
        </w:rPr>
      </w:pPr>
      <w:r w:rsidRPr="00611C50">
        <w:rPr>
          <w:sz w:val="22"/>
          <w:szCs w:val="22"/>
          <w:lang w:val="sr-Latn-ME" w:eastAsia="ja-JP"/>
        </w:rPr>
        <w:t>Često: ALT, alkalna fosfataza, bilirubin</w:t>
      </w:r>
    </w:p>
    <w:p w:rsidR="00806E4F" w:rsidRPr="00611C50" w:rsidRDefault="00806E4F" w:rsidP="00AD0CC1">
      <w:pPr>
        <w:numPr>
          <w:ilvl w:val="0"/>
          <w:numId w:val="12"/>
        </w:numPr>
        <w:jc w:val="both"/>
        <w:rPr>
          <w:sz w:val="22"/>
          <w:szCs w:val="22"/>
          <w:lang w:val="sr-Latn-ME" w:eastAsia="ja-JP"/>
        </w:rPr>
      </w:pPr>
      <w:r w:rsidRPr="00611C50">
        <w:rPr>
          <w:sz w:val="22"/>
          <w:szCs w:val="22"/>
          <w:lang w:val="sr-Latn-ME" w:eastAsia="ja-JP"/>
        </w:rPr>
        <w:t>Povremeno: AST</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lang w:val="sr-Latn-ME" w:eastAsia="ja-JP"/>
        </w:rPr>
      </w:pPr>
      <w:r w:rsidRPr="00611C50">
        <w:rPr>
          <w:sz w:val="22"/>
          <w:szCs w:val="22"/>
          <w:lang w:val="sr-Latn-ME" w:eastAsia="ja-JP"/>
        </w:rPr>
        <w:t>Nije bilo porasta odstupanja do gradusa 4 za ALT, alkalnu fosfatazu ili bilirubin.</w:t>
      </w:r>
    </w:p>
    <w:p w:rsidR="00806E4F" w:rsidRPr="00611C50" w:rsidRDefault="00806E4F" w:rsidP="00AD0CC1">
      <w:pPr>
        <w:jc w:val="both"/>
        <w:rPr>
          <w:sz w:val="22"/>
          <w:szCs w:val="22"/>
          <w:lang w:val="sr-Latn-ME" w:eastAsia="ja-JP"/>
        </w:rPr>
      </w:pPr>
    </w:p>
    <w:p w:rsidR="00806E4F" w:rsidRPr="00611C50" w:rsidRDefault="00806E4F" w:rsidP="00AD0CC1">
      <w:pPr>
        <w:jc w:val="both"/>
        <w:rPr>
          <w:i/>
          <w:sz w:val="22"/>
          <w:szCs w:val="22"/>
          <w:lang w:val="sr-Latn-ME" w:eastAsia="ja-JP"/>
        </w:rPr>
      </w:pPr>
      <w:r w:rsidRPr="00611C50">
        <w:rPr>
          <w:i/>
          <w:sz w:val="22"/>
          <w:szCs w:val="22"/>
          <w:lang w:val="sr-Latn-ME" w:eastAsia="ja-JP"/>
        </w:rPr>
        <w:t>Oštećenje tkiva jetre</w:t>
      </w:r>
      <w:r w:rsidRPr="00611C50">
        <w:rPr>
          <w:i/>
          <w:sz w:val="22"/>
          <w:szCs w:val="22"/>
          <w:vertAlign w:val="superscript"/>
          <w:lang w:val="sr-Latn-ME" w:eastAsia="ja-JP"/>
        </w:rPr>
        <w:t>(g)</w:t>
      </w:r>
    </w:p>
    <w:p w:rsidR="00806E4F" w:rsidRPr="00611C50" w:rsidRDefault="00806E4F" w:rsidP="00AD0CC1">
      <w:pPr>
        <w:jc w:val="both"/>
        <w:rPr>
          <w:sz w:val="22"/>
          <w:szCs w:val="22"/>
          <w:lang w:val="sr-Latn-ME" w:eastAsia="ja-JP"/>
        </w:rPr>
      </w:pPr>
      <w:r w:rsidRPr="00611C50">
        <w:rPr>
          <w:sz w:val="22"/>
          <w:szCs w:val="22"/>
          <w:lang w:val="sr-Latn-ME" w:eastAsia="ja-JP"/>
        </w:rPr>
        <w:t>Zasnovano na kriterijumima za oštećenje tkiva jetre prouzrokovano ljekovima koje je ustanovila međunarodna grupa stručnjaka kliničara i znanstvenika, oštećenjem tkiva jetre smatra se bilo koje od navedenih laboratorijskih odstupanja:</w:t>
      </w:r>
    </w:p>
    <w:p w:rsidR="00806E4F" w:rsidRPr="00611C50" w:rsidRDefault="00806E4F" w:rsidP="00AD0CC1">
      <w:pPr>
        <w:ind w:left="432"/>
        <w:jc w:val="both"/>
        <w:rPr>
          <w:sz w:val="22"/>
          <w:szCs w:val="22"/>
          <w:lang w:val="sr-Latn-ME" w:eastAsia="ja-JP"/>
        </w:rPr>
      </w:pPr>
      <w:r w:rsidRPr="00611C50">
        <w:rPr>
          <w:sz w:val="22"/>
          <w:szCs w:val="22"/>
          <w:lang w:val="sr-Latn-ME" w:eastAsia="ja-JP"/>
        </w:rPr>
        <w:sym w:font="Symbol" w:char="F0B7"/>
      </w:r>
      <w:r w:rsidRPr="00611C50">
        <w:rPr>
          <w:sz w:val="22"/>
          <w:szCs w:val="22"/>
          <w:lang w:val="sr-Latn-ME" w:eastAsia="ja-JP"/>
        </w:rPr>
        <w:tab/>
        <w:t xml:space="preserve">   ≥ 5x GGN ALT</w:t>
      </w:r>
    </w:p>
    <w:p w:rsidR="00806E4F" w:rsidRPr="00611C50" w:rsidRDefault="00806E4F" w:rsidP="00AD0CC1">
      <w:pPr>
        <w:ind w:left="432"/>
        <w:jc w:val="both"/>
        <w:rPr>
          <w:sz w:val="22"/>
          <w:szCs w:val="22"/>
          <w:lang w:val="sr-Latn-ME" w:eastAsia="ja-JP"/>
        </w:rPr>
      </w:pPr>
      <w:r w:rsidRPr="00611C50">
        <w:rPr>
          <w:sz w:val="22"/>
          <w:szCs w:val="22"/>
          <w:lang w:val="sr-Latn-ME" w:eastAsia="ja-JP"/>
        </w:rPr>
        <w:sym w:font="Symbol" w:char="F0B7"/>
      </w:r>
      <w:r w:rsidRPr="00611C50">
        <w:rPr>
          <w:sz w:val="22"/>
          <w:szCs w:val="22"/>
          <w:lang w:val="sr-Latn-ME" w:eastAsia="ja-JP"/>
        </w:rPr>
        <w:t xml:space="preserve">   ≥ 2x GGN ALP (bez drugog uzroka povećanja ALP-a)</w:t>
      </w:r>
    </w:p>
    <w:p w:rsidR="00806E4F" w:rsidRPr="00611C50" w:rsidRDefault="00806E4F" w:rsidP="00AD0CC1">
      <w:pPr>
        <w:ind w:left="432"/>
        <w:jc w:val="both"/>
        <w:rPr>
          <w:sz w:val="22"/>
          <w:szCs w:val="22"/>
          <w:lang w:val="sr-Latn-ME" w:eastAsia="ja-JP"/>
        </w:rPr>
      </w:pPr>
      <w:r w:rsidRPr="00611C50">
        <w:rPr>
          <w:sz w:val="22"/>
          <w:szCs w:val="22"/>
          <w:lang w:val="sr-Latn-ME" w:eastAsia="ja-JP"/>
        </w:rPr>
        <w:sym w:font="Symbol" w:char="F0B7"/>
      </w:r>
      <w:r w:rsidRPr="00611C50">
        <w:rPr>
          <w:sz w:val="22"/>
          <w:szCs w:val="22"/>
          <w:lang w:val="sr-Latn-ME" w:eastAsia="ja-JP"/>
        </w:rPr>
        <w:tab/>
        <w:t xml:space="preserve">   ≥ 3x GGN ALT sa istovremenim povećanjem koncentracije bilirubina &gt; 2x GGN</w:t>
      </w:r>
    </w:p>
    <w:p w:rsidR="00806E4F" w:rsidRPr="00611C50" w:rsidRDefault="00806E4F" w:rsidP="00AD0CC1">
      <w:pPr>
        <w:jc w:val="both"/>
        <w:rPr>
          <w:sz w:val="22"/>
          <w:szCs w:val="22"/>
          <w:lang w:val="sr-Latn-ME" w:eastAsia="ja-JP"/>
        </w:rPr>
      </w:pPr>
    </w:p>
    <w:p w:rsidR="00806E4F" w:rsidRPr="00611C50" w:rsidRDefault="00806E4F" w:rsidP="00AD0CC1">
      <w:pPr>
        <w:jc w:val="both"/>
        <w:rPr>
          <w:i/>
          <w:sz w:val="22"/>
          <w:szCs w:val="22"/>
          <w:lang w:val="sr-Latn-ME" w:eastAsia="ja-JP"/>
        </w:rPr>
      </w:pPr>
      <w:r w:rsidRPr="00611C50">
        <w:rPr>
          <w:i/>
          <w:sz w:val="22"/>
          <w:szCs w:val="22"/>
          <w:lang w:val="sr-Latn-ME" w:eastAsia="ja-JP"/>
        </w:rPr>
        <w:t>Kutani  skvamocelularni karcinom (cuSCC)</w:t>
      </w:r>
      <w:r w:rsidRPr="00611C50">
        <w:rPr>
          <w:i/>
          <w:sz w:val="22"/>
          <w:szCs w:val="22"/>
          <w:vertAlign w:val="superscript"/>
          <w:lang w:val="sr-Latn-ME" w:eastAsia="ja-JP"/>
        </w:rPr>
        <w:t>(d)</w:t>
      </w:r>
    </w:p>
    <w:p w:rsidR="00806E4F" w:rsidRPr="00611C50" w:rsidRDefault="00806E4F" w:rsidP="00AD0CC1">
      <w:pPr>
        <w:jc w:val="both"/>
        <w:rPr>
          <w:sz w:val="22"/>
          <w:szCs w:val="22"/>
          <w:lang w:val="sr-Latn-ME" w:eastAsia="ja-JP"/>
        </w:rPr>
      </w:pPr>
      <w:r w:rsidRPr="00611C50">
        <w:rPr>
          <w:sz w:val="22"/>
          <w:szCs w:val="22"/>
          <w:lang w:val="sr-Latn-ME" w:eastAsia="ja-JP"/>
        </w:rPr>
        <w:t xml:space="preserve">Kod pacijenata liječenih vemurafenibom prijavljeni su slučajevi cuSCC. Incidenca cuSCC kod pacijenata liječenih vemurafenibom u studijama bila je oko 20%. Većina odstranjenih lezija pregledana od strane nezavisne centralne dermatopatološke laboratorije klasifikovana je kao SCC-keratoakantom podtip ili sa mješovitim keratoakantom karakteristikama (52%). Većina lezija klasifikovanih kao “ostale” (43%) bile su benigne kožne lezije (npr. verruca vulgaris, aktinokeratoza, benigna keratoza, cista/benigna cista). CuSCC obično se javljala rano u toku liječenja sa medijanom vremena do prve pojave od 7 do 8 </w:t>
      </w:r>
      <w:r w:rsidR="00D80D1B">
        <w:rPr>
          <w:sz w:val="22"/>
          <w:szCs w:val="22"/>
          <w:lang w:val="sr-Latn-ME" w:eastAsia="ja-JP"/>
        </w:rPr>
        <w:t>nedjelja</w:t>
      </w:r>
      <w:r w:rsidRPr="00611C50">
        <w:rPr>
          <w:sz w:val="22"/>
          <w:szCs w:val="22"/>
          <w:lang w:val="sr-Latn-ME" w:eastAsia="ja-JP"/>
        </w:rPr>
        <w:t xml:space="preserve">. Od pacijenata koji su razvili cuSCC, oko 33% imalo je &gt; 1 pojave, sa medijanom vremena između pojava od 6 </w:t>
      </w:r>
      <w:r w:rsidR="00D80D1B">
        <w:rPr>
          <w:sz w:val="22"/>
          <w:szCs w:val="22"/>
          <w:lang w:val="sr-Latn-ME" w:eastAsia="ja-JP"/>
        </w:rPr>
        <w:t>nedjelja</w:t>
      </w:r>
      <w:r w:rsidRPr="00611C50">
        <w:rPr>
          <w:sz w:val="22"/>
          <w:szCs w:val="22"/>
          <w:lang w:val="sr-Latn-ME" w:eastAsia="ja-JP"/>
        </w:rPr>
        <w:t xml:space="preserve">. Slučajevi cuSCC bili su tipično kupirani običnom ekscizijom, i pacijenti su obično nastavljali </w:t>
      </w:r>
      <w:r w:rsidR="00D80D1B" w:rsidRPr="00D80D1B">
        <w:rPr>
          <w:sz w:val="22"/>
          <w:szCs w:val="22"/>
          <w:lang w:val="sr-Latn-ME" w:eastAsia="ja-JP"/>
        </w:rPr>
        <w:t>liječenje</w:t>
      </w:r>
      <w:r w:rsidRPr="00611C50">
        <w:rPr>
          <w:sz w:val="22"/>
          <w:szCs w:val="22"/>
          <w:lang w:val="sr-Latn-ME" w:eastAsia="ja-JP"/>
        </w:rPr>
        <w:t xml:space="preserve"> bez modifikacije doze (vidjeti dio 4.2 i 4.4).</w:t>
      </w:r>
    </w:p>
    <w:p w:rsidR="00806E4F" w:rsidRPr="00611C50" w:rsidRDefault="00806E4F" w:rsidP="00AD0CC1">
      <w:pPr>
        <w:jc w:val="both"/>
        <w:rPr>
          <w:sz w:val="22"/>
          <w:szCs w:val="22"/>
          <w:lang w:val="sr-Latn-ME" w:eastAsia="ja-JP"/>
        </w:rPr>
      </w:pPr>
    </w:p>
    <w:p w:rsidR="00806E4F" w:rsidRPr="00611C50" w:rsidRDefault="00806E4F" w:rsidP="00AD0CC1">
      <w:pPr>
        <w:jc w:val="both"/>
        <w:rPr>
          <w:i/>
          <w:sz w:val="22"/>
          <w:szCs w:val="22"/>
          <w:lang w:val="sr-Latn-ME" w:eastAsia="ja-JP"/>
        </w:rPr>
      </w:pPr>
      <w:r w:rsidRPr="00611C50">
        <w:rPr>
          <w:i/>
          <w:sz w:val="22"/>
          <w:szCs w:val="22"/>
          <w:lang w:val="sr-Latn-ME" w:eastAsia="ja-JP"/>
        </w:rPr>
        <w:t>Ne-kutani skvamocelularni karcinom (non-cuSCC)</w:t>
      </w:r>
    </w:p>
    <w:p w:rsidR="00806E4F" w:rsidRPr="00611C50" w:rsidRDefault="00806E4F" w:rsidP="00AD0CC1">
      <w:pPr>
        <w:jc w:val="both"/>
        <w:rPr>
          <w:sz w:val="22"/>
          <w:szCs w:val="22"/>
          <w:lang w:val="sr-Latn-ME" w:eastAsia="ja-JP"/>
        </w:rPr>
      </w:pPr>
      <w:r w:rsidRPr="00611C50">
        <w:rPr>
          <w:sz w:val="22"/>
          <w:szCs w:val="22"/>
          <w:lang w:val="sr-Latn-ME" w:eastAsia="ja-JP"/>
        </w:rPr>
        <w:t xml:space="preserve">Slučajevi non-cuSCC prijavljeni su kod pacijenata koji su </w:t>
      </w:r>
      <w:r w:rsidR="00D80D1B" w:rsidRPr="00611C50">
        <w:rPr>
          <w:sz w:val="22"/>
          <w:szCs w:val="22"/>
          <w:lang w:val="sr-Latn-ME" w:eastAsia="ja-JP"/>
        </w:rPr>
        <w:t>pro</w:t>
      </w:r>
      <w:r w:rsidR="00D80D1B">
        <w:rPr>
          <w:sz w:val="22"/>
          <w:szCs w:val="22"/>
          <w:lang w:val="sr-Latn-ME" w:eastAsia="ja-JP"/>
        </w:rPr>
        <w:t>b</w:t>
      </w:r>
      <w:r w:rsidR="00D80D1B" w:rsidRPr="00611C50">
        <w:rPr>
          <w:sz w:val="22"/>
          <w:szCs w:val="22"/>
          <w:lang w:val="sr-Latn-ME" w:eastAsia="ja-JP"/>
        </w:rPr>
        <w:t xml:space="preserve">ali </w:t>
      </w:r>
      <w:r w:rsidRPr="00611C50">
        <w:rPr>
          <w:sz w:val="22"/>
          <w:szCs w:val="22"/>
          <w:lang w:val="sr-Latn-ME" w:eastAsia="ja-JP"/>
        </w:rPr>
        <w:t>vemurafenib dok su bili uk</w:t>
      </w:r>
      <w:r w:rsidR="00D80D1B">
        <w:rPr>
          <w:sz w:val="22"/>
          <w:szCs w:val="22"/>
          <w:lang w:val="sr-Latn-ME" w:eastAsia="ja-JP"/>
        </w:rPr>
        <w:t>lj</w:t>
      </w:r>
      <w:r w:rsidRPr="00611C50">
        <w:rPr>
          <w:sz w:val="22"/>
          <w:szCs w:val="22"/>
          <w:lang w:val="sr-Latn-ME" w:eastAsia="ja-JP"/>
        </w:rPr>
        <w:t xml:space="preserve">učeni u kliničku studiju. Treba da postoji nadzor  za non-cuSCC kao što je navedeno u odjeljku 4.4. </w:t>
      </w:r>
    </w:p>
    <w:p w:rsidR="00E33CE6" w:rsidRPr="00611C50" w:rsidRDefault="00E33CE6" w:rsidP="00AD0CC1">
      <w:pPr>
        <w:jc w:val="both"/>
        <w:rPr>
          <w:sz w:val="22"/>
          <w:szCs w:val="22"/>
          <w:lang w:val="sr-Latn-ME" w:eastAsia="ja-JP"/>
        </w:rPr>
      </w:pPr>
    </w:p>
    <w:p w:rsidR="00806E4F" w:rsidRPr="00611C50" w:rsidRDefault="00806E4F" w:rsidP="00AD0CC1">
      <w:pPr>
        <w:jc w:val="both"/>
        <w:rPr>
          <w:i/>
          <w:sz w:val="22"/>
          <w:szCs w:val="22"/>
          <w:lang w:val="sr-Latn-ME" w:eastAsia="ja-JP"/>
        </w:rPr>
      </w:pPr>
      <w:r w:rsidRPr="00611C50">
        <w:rPr>
          <w:i/>
          <w:sz w:val="22"/>
          <w:szCs w:val="22"/>
          <w:lang w:val="sr-Latn-ME" w:eastAsia="ja-JP"/>
        </w:rPr>
        <w:t>Novi primarni melanom</w:t>
      </w:r>
    </w:p>
    <w:p w:rsidR="00806E4F" w:rsidRPr="00611C50" w:rsidRDefault="00806E4F" w:rsidP="00AD0CC1">
      <w:pPr>
        <w:jc w:val="both"/>
        <w:rPr>
          <w:sz w:val="22"/>
          <w:szCs w:val="22"/>
          <w:lang w:val="sr-Latn-ME" w:eastAsia="ja-JP"/>
        </w:rPr>
      </w:pPr>
      <w:r w:rsidRPr="00611C50">
        <w:rPr>
          <w:sz w:val="22"/>
          <w:szCs w:val="22"/>
          <w:lang w:val="sr-Latn-ME" w:eastAsia="ja-JP"/>
        </w:rPr>
        <w:t>Novi primarni melanomi prijavljeni su u kliničkim studijama. Ovi slučajevi kupirani su ekscizijom, i pacijenti su nastavljali terapiju bez prilagođavanja doze. Praćenje kožnih lezija treba sprovoditi kao što je navedeno u djelu 4.4.</w:t>
      </w:r>
    </w:p>
    <w:p w:rsidR="00806E4F" w:rsidRPr="00611C50" w:rsidRDefault="00806E4F" w:rsidP="00AD0CC1">
      <w:pPr>
        <w:jc w:val="both"/>
        <w:rPr>
          <w:sz w:val="22"/>
          <w:szCs w:val="22"/>
          <w:lang w:val="sr-Latn-ME" w:eastAsia="ja-JP"/>
        </w:rPr>
      </w:pPr>
    </w:p>
    <w:p w:rsidR="00806E4F" w:rsidRPr="00611C50" w:rsidRDefault="00806E4F" w:rsidP="00AD0CC1">
      <w:pPr>
        <w:jc w:val="both"/>
        <w:rPr>
          <w:i/>
          <w:sz w:val="22"/>
          <w:szCs w:val="22"/>
          <w:lang w:val="sr-Latn-ME" w:eastAsia="ja-JP"/>
        </w:rPr>
      </w:pPr>
      <w:r w:rsidRPr="00611C50">
        <w:rPr>
          <w:i/>
          <w:sz w:val="22"/>
          <w:szCs w:val="22"/>
          <w:lang w:val="sr-Latn-ME" w:eastAsia="ja-JP"/>
        </w:rPr>
        <w:t>Pojačavanje radijacijske toksičnosti</w:t>
      </w:r>
      <w:r w:rsidRPr="00611C50">
        <w:rPr>
          <w:i/>
          <w:sz w:val="22"/>
          <w:szCs w:val="22"/>
          <w:vertAlign w:val="superscript"/>
          <w:lang w:val="sr-Latn-ME" w:eastAsia="ja-JP"/>
        </w:rPr>
        <w:t>(i)</w:t>
      </w:r>
    </w:p>
    <w:p w:rsidR="00806E4F" w:rsidRPr="00611C50" w:rsidRDefault="00806E4F" w:rsidP="00AD0CC1">
      <w:pPr>
        <w:jc w:val="both"/>
        <w:rPr>
          <w:sz w:val="22"/>
          <w:szCs w:val="22"/>
          <w:lang w:val="sr-Latn-ME" w:eastAsia="ja-JP"/>
        </w:rPr>
      </w:pPr>
      <w:r w:rsidRPr="00611C50">
        <w:rPr>
          <w:sz w:val="22"/>
          <w:szCs w:val="22"/>
          <w:lang w:val="sr-Latn-ME" w:eastAsia="ja-JP"/>
        </w:rPr>
        <w:t>Prijavljeni slučajevi uključuju fenomen zapaljenske reakcije na ozračenom mjestu, oštećenje kože prouzrokovano zračenjem, radijacijski pneumonitis, radijacijski ezofagitis, radijacijski proktitis, radijacijski hepatitis, radijacijski cistitis i radijacijsku nekrozu.</w:t>
      </w:r>
    </w:p>
    <w:p w:rsidR="00806E4F" w:rsidRPr="00611C50" w:rsidRDefault="00806E4F" w:rsidP="00AD0CC1">
      <w:pPr>
        <w:jc w:val="both"/>
        <w:rPr>
          <w:sz w:val="22"/>
          <w:szCs w:val="22"/>
          <w:lang w:val="sr-Latn-ME" w:eastAsia="ja-JP"/>
        </w:rPr>
      </w:pPr>
    </w:p>
    <w:p w:rsidR="00806E4F" w:rsidRPr="00611C50" w:rsidRDefault="00806E4F" w:rsidP="00AD0CC1">
      <w:pPr>
        <w:jc w:val="both"/>
        <w:rPr>
          <w:bCs/>
          <w:iCs/>
          <w:sz w:val="22"/>
          <w:szCs w:val="22"/>
          <w:lang w:val="sr-Latn-ME" w:eastAsia="ja-JP"/>
        </w:rPr>
      </w:pPr>
      <w:r w:rsidRPr="00611C50">
        <w:rPr>
          <w:bCs/>
          <w:iCs/>
          <w:sz w:val="22"/>
          <w:szCs w:val="22"/>
          <w:lang w:val="sr-Latn-ME" w:eastAsia="ja-JP"/>
        </w:rPr>
        <w:t>U kliničkom ispitivanju faze III (MO25515, N= 3219) veća incidenca pojačavanja radijaciacione toksičnosti prijavljena je kada su bolesnici liječeni vemurafenibom primali radioterapiju prije i tokom liječenja vemurafenibom (9,1%) nego kod bolesnika koji su radioterapiju i vemurafenib primali istovrijemeno (5,2%) ili kod onih koji su liječeni radioterapijom prije primjene vemurafeniba (1,5%).</w:t>
      </w:r>
    </w:p>
    <w:p w:rsidR="00806E4F" w:rsidRPr="00611C50" w:rsidRDefault="00806E4F" w:rsidP="00AD0CC1">
      <w:pPr>
        <w:jc w:val="both"/>
        <w:rPr>
          <w:sz w:val="22"/>
          <w:szCs w:val="22"/>
          <w:lang w:val="sr-Latn-ME" w:eastAsia="ja-JP"/>
        </w:rPr>
      </w:pPr>
    </w:p>
    <w:p w:rsidR="00806E4F" w:rsidRPr="00611C50" w:rsidRDefault="00806E4F" w:rsidP="00AD0CC1">
      <w:pPr>
        <w:jc w:val="both"/>
        <w:rPr>
          <w:i/>
          <w:sz w:val="22"/>
          <w:szCs w:val="22"/>
          <w:vertAlign w:val="superscript"/>
          <w:lang w:val="sr-Latn-ME" w:eastAsia="ja-JP"/>
        </w:rPr>
      </w:pPr>
      <w:r w:rsidRPr="00611C50">
        <w:rPr>
          <w:i/>
          <w:sz w:val="22"/>
          <w:szCs w:val="22"/>
          <w:lang w:val="sr-Latn-ME" w:eastAsia="ja-JP"/>
        </w:rPr>
        <w:t>Reakcije preosjetljivosti</w:t>
      </w:r>
      <w:r w:rsidRPr="00611C50">
        <w:rPr>
          <w:i/>
          <w:sz w:val="22"/>
          <w:szCs w:val="22"/>
          <w:vertAlign w:val="superscript"/>
          <w:lang w:val="sr-Latn-ME" w:eastAsia="ja-JP"/>
        </w:rPr>
        <w:t>(e)</w:t>
      </w:r>
    </w:p>
    <w:p w:rsidR="00806E4F" w:rsidRPr="00611C50" w:rsidRDefault="00806E4F" w:rsidP="00AD0CC1">
      <w:pPr>
        <w:jc w:val="both"/>
        <w:rPr>
          <w:sz w:val="22"/>
          <w:szCs w:val="22"/>
          <w:lang w:val="sr-Latn-ME" w:eastAsia="ja-JP"/>
        </w:rPr>
      </w:pPr>
      <w:r w:rsidRPr="00611C50">
        <w:rPr>
          <w:sz w:val="22"/>
          <w:szCs w:val="22"/>
          <w:lang w:val="sr-Latn-ME" w:eastAsia="ja-JP"/>
        </w:rPr>
        <w:t>Ozbiljne reakcije preosjetljivosti, uključujući i anafilaksu, prijavljene su u vezi sa primjenom vemurafeniba. Ozbiljne reakcije preosjetljivosti mogu uključivati Stivens-Džonsonov sindrom, generalizovani raš,  eritem ili hipotenziju. Kod pacijenata koji su imali ozbiljnu reakciju preosjetljivosti, terapiju vemurafenibom treba u potpunosti obustaviti (vidjeti dio 4.4).</w:t>
      </w:r>
    </w:p>
    <w:p w:rsidR="00806E4F" w:rsidRPr="00611C50" w:rsidRDefault="00806E4F" w:rsidP="00AD0CC1">
      <w:pPr>
        <w:jc w:val="both"/>
        <w:rPr>
          <w:sz w:val="22"/>
          <w:szCs w:val="22"/>
          <w:lang w:val="sr-Latn-ME" w:eastAsia="ja-JP"/>
        </w:rPr>
      </w:pPr>
    </w:p>
    <w:p w:rsidR="00806E4F" w:rsidRPr="00611C50" w:rsidRDefault="00806E4F" w:rsidP="00AD0CC1">
      <w:pPr>
        <w:jc w:val="both"/>
        <w:rPr>
          <w:i/>
          <w:sz w:val="22"/>
          <w:szCs w:val="22"/>
          <w:vertAlign w:val="superscript"/>
          <w:lang w:val="sr-Latn-ME" w:eastAsia="ja-JP"/>
        </w:rPr>
      </w:pPr>
      <w:r w:rsidRPr="00611C50">
        <w:rPr>
          <w:i/>
          <w:sz w:val="22"/>
          <w:szCs w:val="22"/>
          <w:lang w:val="sr-Latn-ME" w:eastAsia="ja-JP"/>
        </w:rPr>
        <w:t>Dermatološke reakcije</w:t>
      </w:r>
      <w:r w:rsidRPr="00611C50">
        <w:rPr>
          <w:i/>
          <w:sz w:val="22"/>
          <w:szCs w:val="22"/>
          <w:vertAlign w:val="superscript"/>
          <w:lang w:val="sr-Latn-ME" w:eastAsia="ja-JP"/>
        </w:rPr>
        <w:t>(f)</w:t>
      </w:r>
    </w:p>
    <w:p w:rsidR="00806E4F" w:rsidRPr="00611C50" w:rsidRDefault="00806E4F" w:rsidP="00AD0CC1">
      <w:pPr>
        <w:jc w:val="both"/>
        <w:rPr>
          <w:sz w:val="22"/>
          <w:szCs w:val="22"/>
          <w:lang w:val="sr-Latn-ME" w:eastAsia="ja-JP"/>
        </w:rPr>
      </w:pPr>
      <w:r w:rsidRPr="00611C50">
        <w:rPr>
          <w:sz w:val="22"/>
          <w:szCs w:val="22"/>
          <w:lang w:val="sr-Latn-ME" w:eastAsia="ja-JP"/>
        </w:rPr>
        <w:t>U vezi sa primjenom vemurafeniba prijavljene su ozbiljne dermatološke reakcije, uključujući i rijetke slučajeve Stivens-Džonsonovog sindroma i toksičnu epidermalnu nekrolizu u pivotalnim kliničkim studijama. Kod pacijenata koji su imali ozbiljne dermatološke reakcije, terapiju vemurafenibom treba u potpunosti obustaviti (vidjeti dio 4.4).</w:t>
      </w:r>
    </w:p>
    <w:p w:rsidR="00806E4F" w:rsidRPr="00611C50" w:rsidRDefault="00806E4F" w:rsidP="00AD0CC1">
      <w:pPr>
        <w:jc w:val="both"/>
        <w:rPr>
          <w:sz w:val="22"/>
          <w:szCs w:val="22"/>
          <w:lang w:val="sr-Latn-ME" w:eastAsia="ja-JP"/>
        </w:rPr>
      </w:pPr>
      <w:r w:rsidRPr="00611C50">
        <w:rPr>
          <w:sz w:val="22"/>
          <w:szCs w:val="22"/>
          <w:lang w:val="sr-Latn-ME" w:eastAsia="ja-JP"/>
        </w:rPr>
        <w:t xml:space="preserve">   </w:t>
      </w:r>
    </w:p>
    <w:p w:rsidR="00806E4F" w:rsidRPr="00611C50" w:rsidRDefault="00806E4F" w:rsidP="00AD0CC1">
      <w:pPr>
        <w:jc w:val="both"/>
        <w:rPr>
          <w:i/>
          <w:sz w:val="22"/>
          <w:szCs w:val="22"/>
          <w:lang w:val="sr-Latn-ME" w:eastAsia="ja-JP"/>
        </w:rPr>
      </w:pPr>
      <w:r w:rsidRPr="00611C50">
        <w:rPr>
          <w:i/>
          <w:sz w:val="22"/>
          <w:szCs w:val="22"/>
          <w:lang w:val="sr-Latn-ME" w:eastAsia="ja-JP"/>
        </w:rPr>
        <w:t>Produženje QT intervala</w:t>
      </w:r>
    </w:p>
    <w:p w:rsidR="00806E4F" w:rsidRPr="00611C50" w:rsidRDefault="00806E4F" w:rsidP="00AD0CC1">
      <w:pPr>
        <w:jc w:val="both"/>
        <w:rPr>
          <w:sz w:val="22"/>
          <w:szCs w:val="22"/>
          <w:lang w:val="sr-Latn-ME" w:eastAsia="ja-JP"/>
        </w:rPr>
      </w:pPr>
      <w:r w:rsidRPr="00611C50">
        <w:rPr>
          <w:sz w:val="22"/>
          <w:szCs w:val="22"/>
          <w:lang w:val="sr-Latn-ME" w:eastAsia="ja-JP"/>
        </w:rPr>
        <w:t>Analiza centralizovanih podataka o EKG-u iz otvorene nekontrolisane QT pod-studije faze II  na 132 pacijenta koji su primali vemurafenib 960 mg dva puta dnevno (NP22657) pokazala je produženje QTc intervala zavisno od izloženosti lijeku.</w:t>
      </w:r>
    </w:p>
    <w:p w:rsidR="00806E4F" w:rsidRPr="00611C50" w:rsidRDefault="00806E4F" w:rsidP="00AD0CC1">
      <w:pPr>
        <w:jc w:val="both"/>
        <w:rPr>
          <w:sz w:val="22"/>
          <w:szCs w:val="22"/>
          <w:lang w:val="sr-Latn-ME" w:eastAsia="ja-JP"/>
        </w:rPr>
      </w:pPr>
      <w:r w:rsidRPr="00611C50">
        <w:rPr>
          <w:sz w:val="22"/>
          <w:szCs w:val="22"/>
          <w:lang w:val="sr-Latn-ME" w:eastAsia="ja-JP"/>
        </w:rPr>
        <w:t>Srednji QTc efekat ostao je stabilan između 12-15 ms nakon prvog mjeseca terapije, sa najvećim srednjim QTc produžetkom (15.1 ms; gornji 95% CI: 17.7 ms) zabilježenim tokom prvih 6 mjeseci (n=90 pacijenata). Kod dva pacijenta (1.5%) razvila se zbog terapije apsolutna QTc vrednost &gt;500 ms (CTC Gradus 3), a samo kod jednog pacijenta (0.8%) došlo je do promjene QTc od &gt;60 ms u odnosu na bazalne vrijednosti (vidjeti dio 4.4).</w:t>
      </w:r>
    </w:p>
    <w:p w:rsidR="00806E4F" w:rsidRPr="00611C50" w:rsidRDefault="00806E4F" w:rsidP="00AD0CC1">
      <w:pPr>
        <w:jc w:val="both"/>
        <w:rPr>
          <w:i/>
          <w:sz w:val="22"/>
          <w:szCs w:val="22"/>
          <w:lang w:val="sr-Latn-ME" w:eastAsia="ja-JP"/>
        </w:rPr>
      </w:pPr>
    </w:p>
    <w:p w:rsidR="00806E4F" w:rsidRPr="00611C50" w:rsidRDefault="00806E4F" w:rsidP="00AD0CC1">
      <w:pPr>
        <w:jc w:val="both"/>
        <w:rPr>
          <w:i/>
          <w:sz w:val="22"/>
          <w:szCs w:val="22"/>
          <w:u w:val="single"/>
          <w:lang w:val="sr-Latn-ME" w:eastAsia="ja-JP"/>
        </w:rPr>
      </w:pPr>
      <w:r w:rsidRPr="00611C50">
        <w:rPr>
          <w:i/>
          <w:sz w:val="22"/>
          <w:szCs w:val="22"/>
          <w:u w:val="single"/>
          <w:lang w:val="sr-Latn-ME" w:eastAsia="ja-JP"/>
        </w:rPr>
        <w:t xml:space="preserve">Akutno oštećenje tkiva bubrega </w:t>
      </w:r>
      <w:r w:rsidRPr="00611C50">
        <w:rPr>
          <w:i/>
          <w:sz w:val="22"/>
          <w:szCs w:val="22"/>
          <w:u w:val="single"/>
          <w:vertAlign w:val="superscript"/>
          <w:lang w:val="sr-Latn-ME" w:eastAsia="ja-JP"/>
        </w:rPr>
        <w:t>(h)</w:t>
      </w:r>
    </w:p>
    <w:p w:rsidR="00806E4F" w:rsidRPr="00611C50" w:rsidRDefault="00806E4F" w:rsidP="00AD0CC1">
      <w:pPr>
        <w:jc w:val="both"/>
        <w:rPr>
          <w:sz w:val="22"/>
          <w:szCs w:val="22"/>
          <w:lang w:val="sr-Latn-ME" w:eastAsia="ja-JP"/>
        </w:rPr>
      </w:pPr>
      <w:r w:rsidRPr="00611C50">
        <w:rPr>
          <w:sz w:val="22"/>
          <w:szCs w:val="22"/>
          <w:lang w:val="sr-Latn-ME" w:eastAsia="ja-JP"/>
        </w:rPr>
        <w:t>Kod primjene vemurafeniba prijavljeni su slučajevi toksičnosti za bubrege, koji su se kretali od povišenih vrijednosti kreatinina do akutnog intersticijskog nefritisa i akutne tubularne nekroze; neki od njih primjećeni su u uslovima dehidracije. Povišenja vrijednosti kreatinina u serumu uglavnom su bila blage (&gt; 1 – 1,5 x GGN) do umjerene (&gt; 1,5 – 3 x GGN) težine i reverzibilne prirode (vidjeti Tabelu 4).</w:t>
      </w:r>
    </w:p>
    <w:p w:rsidR="00806E4F" w:rsidRPr="00611C50" w:rsidRDefault="00806E4F" w:rsidP="00AD0CC1">
      <w:pPr>
        <w:jc w:val="both"/>
        <w:rPr>
          <w:sz w:val="22"/>
          <w:szCs w:val="22"/>
          <w:u w:val="single"/>
          <w:lang w:val="sr-Latn-ME" w:eastAsia="ja-JP"/>
        </w:rPr>
      </w:pPr>
    </w:p>
    <w:p w:rsidR="00806E4F" w:rsidRPr="00611C50" w:rsidRDefault="00806E4F" w:rsidP="00AD0CC1">
      <w:pPr>
        <w:jc w:val="both"/>
        <w:rPr>
          <w:b/>
          <w:sz w:val="22"/>
          <w:szCs w:val="22"/>
          <w:lang w:val="sr-Latn-ME" w:eastAsia="ja-JP"/>
        </w:rPr>
      </w:pPr>
      <w:r w:rsidRPr="00611C50">
        <w:rPr>
          <w:b/>
          <w:sz w:val="22"/>
          <w:szCs w:val="22"/>
          <w:lang w:val="sr-Latn-ME" w:eastAsia="ja-JP"/>
        </w:rPr>
        <w:t xml:space="preserve">Tabela 4: Promjene nivoa kreatinina od početne vrijednosti u studiji faze III </w:t>
      </w:r>
    </w:p>
    <w:p w:rsidR="00806E4F" w:rsidRPr="00611C50" w:rsidRDefault="00806E4F" w:rsidP="00AD0CC1">
      <w:pPr>
        <w:jc w:val="both"/>
        <w:rPr>
          <w:b/>
          <w:sz w:val="22"/>
          <w:szCs w:val="22"/>
          <w:lang w:val="sr-Latn-ME"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842"/>
        <w:gridCol w:w="1701"/>
      </w:tblGrid>
      <w:tr w:rsidR="00806E4F" w:rsidRPr="00611C50" w:rsidTr="00806E4F">
        <w:tc>
          <w:tcPr>
            <w:tcW w:w="4962"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rPr>
              <w:t>Vemurafenib (%)</w:t>
            </w:r>
          </w:p>
        </w:tc>
        <w:tc>
          <w:tcPr>
            <w:tcW w:w="170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rPr>
              <w:t>Dakarbazin (%)</w:t>
            </w:r>
          </w:p>
        </w:tc>
      </w:tr>
      <w:tr w:rsidR="00806E4F" w:rsidRPr="00611C50" w:rsidTr="00806E4F">
        <w:tc>
          <w:tcPr>
            <w:tcW w:w="4962"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rPr>
              <w:t xml:space="preserve">Promjena za </w:t>
            </w:r>
            <w:r w:rsidRPr="00611C50">
              <w:rPr>
                <w:sz w:val="22"/>
                <w:szCs w:val="22"/>
                <w:lang w:val="sr-Latn-ME"/>
              </w:rPr>
              <w:sym w:font="Symbol" w:char="F0B3"/>
            </w:r>
            <w:r w:rsidRPr="00611C50">
              <w:rPr>
                <w:sz w:val="22"/>
                <w:szCs w:val="22"/>
                <w:lang w:val="sr-Latn-ME"/>
              </w:rPr>
              <w:t> 1 stepena od početne vrijednosti do bilo kojeg stepena</w:t>
            </w:r>
          </w:p>
        </w:tc>
        <w:tc>
          <w:tcPr>
            <w:tcW w:w="1842"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rPr>
              <w:t>27,9</w:t>
            </w:r>
          </w:p>
        </w:tc>
        <w:tc>
          <w:tcPr>
            <w:tcW w:w="170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rPr>
              <w:t>6,1</w:t>
            </w:r>
          </w:p>
        </w:tc>
      </w:tr>
      <w:tr w:rsidR="00806E4F" w:rsidRPr="00611C50" w:rsidTr="00806E4F">
        <w:tc>
          <w:tcPr>
            <w:tcW w:w="4962"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rPr>
              <w:t xml:space="preserve">Promjena za </w:t>
            </w:r>
            <w:r w:rsidRPr="00611C50">
              <w:rPr>
                <w:sz w:val="22"/>
                <w:szCs w:val="22"/>
                <w:lang w:val="sr-Latn-ME"/>
              </w:rPr>
              <w:sym w:font="Symbol" w:char="F0B3"/>
            </w:r>
            <w:r w:rsidRPr="00611C50">
              <w:rPr>
                <w:sz w:val="22"/>
                <w:szCs w:val="22"/>
                <w:lang w:val="sr-Latn-ME"/>
              </w:rPr>
              <w:t xml:space="preserve"> 1 stepena od početne vrijednosti do 3. ili višeg stepena</w:t>
            </w:r>
          </w:p>
        </w:tc>
        <w:tc>
          <w:tcPr>
            <w:tcW w:w="1842"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rPr>
              <w:t>1,2</w:t>
            </w:r>
          </w:p>
        </w:tc>
        <w:tc>
          <w:tcPr>
            <w:tcW w:w="170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rPr>
              <w:t>1,1</w:t>
            </w:r>
          </w:p>
        </w:tc>
      </w:tr>
      <w:tr w:rsidR="00806E4F" w:rsidRPr="00611C50" w:rsidTr="00806E4F">
        <w:tc>
          <w:tcPr>
            <w:tcW w:w="4962"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ind w:left="714" w:hanging="357"/>
              <w:jc w:val="both"/>
              <w:rPr>
                <w:sz w:val="22"/>
                <w:szCs w:val="22"/>
                <w:lang w:val="sr-Latn-ME"/>
              </w:rPr>
            </w:pPr>
            <w:r w:rsidRPr="00611C50">
              <w:rPr>
                <w:b/>
                <w:sz w:val="22"/>
                <w:szCs w:val="22"/>
                <w:lang w:val="sr-Latn-ME"/>
              </w:rPr>
              <w:sym w:font="Symbol" w:char="F0B7"/>
            </w:r>
            <w:r w:rsidRPr="00611C50">
              <w:rPr>
                <w:b/>
                <w:sz w:val="22"/>
                <w:szCs w:val="22"/>
                <w:lang w:val="sr-Latn-ME"/>
              </w:rPr>
              <w:t xml:space="preserve"> </w:t>
            </w:r>
            <w:r w:rsidRPr="00611C50">
              <w:rPr>
                <w:sz w:val="22"/>
                <w:szCs w:val="22"/>
                <w:lang w:val="sr-Latn-ME"/>
              </w:rPr>
              <w:t>do 3. stepena</w:t>
            </w:r>
          </w:p>
        </w:tc>
        <w:tc>
          <w:tcPr>
            <w:tcW w:w="1842"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rPr>
              <w:t>0,3</w:t>
            </w:r>
          </w:p>
        </w:tc>
        <w:tc>
          <w:tcPr>
            <w:tcW w:w="170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rPr>
              <w:t>0,4</w:t>
            </w:r>
          </w:p>
        </w:tc>
      </w:tr>
      <w:tr w:rsidR="00806E4F" w:rsidRPr="00611C50" w:rsidTr="00806E4F">
        <w:tc>
          <w:tcPr>
            <w:tcW w:w="4962"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ind w:left="714" w:hanging="357"/>
              <w:jc w:val="both"/>
              <w:rPr>
                <w:sz w:val="22"/>
                <w:szCs w:val="22"/>
                <w:lang w:val="sr-Latn-ME"/>
              </w:rPr>
            </w:pPr>
            <w:r w:rsidRPr="00611C50">
              <w:rPr>
                <w:b/>
                <w:sz w:val="22"/>
                <w:szCs w:val="22"/>
                <w:lang w:val="sr-Latn-ME"/>
              </w:rPr>
              <w:sym w:font="Symbol" w:char="F0B7"/>
            </w:r>
            <w:r w:rsidRPr="00611C50">
              <w:rPr>
                <w:b/>
                <w:sz w:val="22"/>
                <w:szCs w:val="22"/>
                <w:lang w:val="sr-Latn-ME"/>
              </w:rPr>
              <w:t xml:space="preserve"> </w:t>
            </w:r>
            <w:r w:rsidRPr="00611C50">
              <w:rPr>
                <w:sz w:val="22"/>
                <w:szCs w:val="22"/>
                <w:lang w:val="sr-Latn-ME"/>
              </w:rPr>
              <w:t>do 4. stepena</w:t>
            </w:r>
          </w:p>
        </w:tc>
        <w:tc>
          <w:tcPr>
            <w:tcW w:w="1842"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rPr>
              <w:t>0,9</w:t>
            </w:r>
          </w:p>
        </w:tc>
        <w:tc>
          <w:tcPr>
            <w:tcW w:w="1701"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rPr>
              <w:t>0,8</w:t>
            </w:r>
          </w:p>
        </w:tc>
      </w:tr>
    </w:tbl>
    <w:p w:rsidR="00E33CE6" w:rsidRPr="00611C50" w:rsidRDefault="00E33CE6" w:rsidP="00AD0CC1">
      <w:pPr>
        <w:jc w:val="both"/>
        <w:rPr>
          <w:b/>
          <w:sz w:val="22"/>
          <w:szCs w:val="22"/>
          <w:lang w:val="sr-Latn-ME" w:eastAsia="ja-JP"/>
        </w:rPr>
      </w:pPr>
    </w:p>
    <w:p w:rsidR="00806E4F" w:rsidRPr="00611C50" w:rsidRDefault="00806E4F" w:rsidP="00AD0CC1">
      <w:pPr>
        <w:jc w:val="both"/>
        <w:rPr>
          <w:b/>
          <w:sz w:val="22"/>
          <w:szCs w:val="22"/>
          <w:lang w:val="sr-Latn-ME" w:eastAsia="ja-JP"/>
        </w:rPr>
      </w:pPr>
      <w:r w:rsidRPr="00611C50">
        <w:rPr>
          <w:b/>
          <w:sz w:val="22"/>
          <w:szCs w:val="22"/>
          <w:lang w:val="sr-Latn-ME" w:eastAsia="ja-JP"/>
        </w:rPr>
        <w:t>Tabela 5: Slučajevi akutnog oštećenja tkiva bubrega u studiji faze III</w:t>
      </w:r>
    </w:p>
    <w:p w:rsidR="00806E4F" w:rsidRPr="00611C50" w:rsidRDefault="00806E4F" w:rsidP="00AD0CC1">
      <w:pPr>
        <w:jc w:val="both"/>
        <w:rPr>
          <w:b/>
          <w:sz w:val="22"/>
          <w:szCs w:val="22"/>
          <w:lang w:val="sr-Latn-ME"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842"/>
        <w:gridCol w:w="1701"/>
      </w:tblGrid>
      <w:tr w:rsidR="00806E4F" w:rsidRPr="00611C50" w:rsidTr="00806E4F">
        <w:tc>
          <w:tcPr>
            <w:tcW w:w="4962" w:type="dxa"/>
            <w:tcBorders>
              <w:top w:val="single" w:sz="4" w:space="0" w:color="auto"/>
              <w:left w:val="single" w:sz="4" w:space="0" w:color="auto"/>
              <w:bottom w:val="single" w:sz="4" w:space="0" w:color="auto"/>
              <w:right w:val="single" w:sz="4" w:space="0" w:color="auto"/>
            </w:tcBorders>
            <w:vAlign w:val="center"/>
          </w:tcPr>
          <w:p w:rsidR="00806E4F" w:rsidRPr="00611C50" w:rsidRDefault="00806E4F" w:rsidP="00AD0CC1">
            <w:pPr>
              <w:jc w:val="both"/>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rPr>
            </w:pPr>
            <w:r w:rsidRPr="00611C50">
              <w:rPr>
                <w:sz w:val="22"/>
                <w:szCs w:val="22"/>
                <w:lang w:val="sr-Latn-ME"/>
              </w:rPr>
              <w:t>Vemurafenib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rPr>
            </w:pPr>
            <w:r w:rsidRPr="00611C50">
              <w:rPr>
                <w:sz w:val="22"/>
                <w:szCs w:val="22"/>
                <w:lang w:val="sr-Latn-ME"/>
              </w:rPr>
              <w:t>Dakarbazin (%)</w:t>
            </w:r>
          </w:p>
        </w:tc>
      </w:tr>
      <w:tr w:rsidR="00806E4F" w:rsidRPr="00611C50" w:rsidTr="00806E4F">
        <w:tc>
          <w:tcPr>
            <w:tcW w:w="4962"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rPr>
            </w:pPr>
            <w:r w:rsidRPr="00611C50">
              <w:rPr>
                <w:sz w:val="22"/>
                <w:szCs w:val="22"/>
                <w:lang w:val="sr-Latn-ME"/>
              </w:rPr>
              <w:t>Slučajevi akutnog oštećenja tkiva bubrega*</w:t>
            </w:r>
          </w:p>
        </w:tc>
        <w:tc>
          <w:tcPr>
            <w:tcW w:w="1842"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rPr>
            </w:pPr>
            <w:r w:rsidRPr="00611C50">
              <w:rPr>
                <w:sz w:val="22"/>
                <w:szCs w:val="22"/>
                <w:lang w:val="sr-Latn-ME"/>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rPr>
            </w:pPr>
            <w:r w:rsidRPr="00611C50">
              <w:rPr>
                <w:sz w:val="22"/>
                <w:szCs w:val="22"/>
                <w:lang w:val="sr-Latn-ME"/>
              </w:rPr>
              <w:t>1,4</w:t>
            </w:r>
          </w:p>
        </w:tc>
      </w:tr>
      <w:tr w:rsidR="00806E4F" w:rsidRPr="00611C50" w:rsidTr="00806E4F">
        <w:tc>
          <w:tcPr>
            <w:tcW w:w="4962"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rPr>
            </w:pPr>
            <w:r w:rsidRPr="00611C50">
              <w:rPr>
                <w:sz w:val="22"/>
                <w:szCs w:val="22"/>
                <w:lang w:val="sr-Latn-ME"/>
              </w:rPr>
              <w:t>Slučajevi akutnog oštećenja tkiva bubrega povezani sa događajima dehidracije</w:t>
            </w:r>
          </w:p>
        </w:tc>
        <w:tc>
          <w:tcPr>
            <w:tcW w:w="1842"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rPr>
            </w:pPr>
            <w:r w:rsidRPr="00611C50">
              <w:rPr>
                <w:sz w:val="22"/>
                <w:szCs w:val="22"/>
                <w:lang w:val="sr-Latn-ME"/>
              </w:rPr>
              <w:t>5,5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rPr>
            </w:pPr>
            <w:r w:rsidRPr="00611C50">
              <w:rPr>
                <w:sz w:val="22"/>
                <w:szCs w:val="22"/>
                <w:lang w:val="sr-Latn-ME"/>
              </w:rPr>
              <w:t>1,0</w:t>
            </w:r>
          </w:p>
        </w:tc>
      </w:tr>
      <w:tr w:rsidR="00806E4F" w:rsidRPr="00611C50" w:rsidTr="00806E4F">
        <w:tc>
          <w:tcPr>
            <w:tcW w:w="4962"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rPr>
            </w:pPr>
            <w:r w:rsidRPr="00611C50">
              <w:rPr>
                <w:sz w:val="22"/>
                <w:szCs w:val="22"/>
                <w:lang w:val="sr-Latn-ME"/>
              </w:rPr>
              <w:lastRenderedPageBreak/>
              <w:t>Prilagođavanje doze zbog akutnog oštećenja tkiva bubrega</w:t>
            </w:r>
          </w:p>
        </w:tc>
        <w:tc>
          <w:tcPr>
            <w:tcW w:w="1842"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rPr>
            </w:pPr>
            <w:r w:rsidRPr="00611C50">
              <w:rPr>
                <w:sz w:val="22"/>
                <w:szCs w:val="22"/>
                <w:lang w:val="sr-Latn-ME"/>
              </w:rPr>
              <w:t>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rPr>
            </w:pPr>
            <w:r w:rsidRPr="00611C50">
              <w:rPr>
                <w:sz w:val="22"/>
                <w:szCs w:val="22"/>
                <w:lang w:val="sr-Latn-ME"/>
              </w:rPr>
              <w:t>0</w:t>
            </w:r>
          </w:p>
        </w:tc>
      </w:tr>
    </w:tbl>
    <w:p w:rsidR="00806E4F" w:rsidRPr="00611C50" w:rsidRDefault="00806E4F" w:rsidP="00AD0CC1">
      <w:pPr>
        <w:jc w:val="both"/>
        <w:rPr>
          <w:sz w:val="22"/>
          <w:szCs w:val="22"/>
          <w:lang w:val="sr-Latn-ME" w:eastAsia="ja-JP"/>
        </w:rPr>
      </w:pPr>
      <w:r w:rsidRPr="00611C50">
        <w:rPr>
          <w:sz w:val="22"/>
          <w:szCs w:val="22"/>
          <w:lang w:val="sr-Latn-ME" w:eastAsia="ja-JP"/>
        </w:rPr>
        <w:t>Svi postoci su izraženi kao slučajevi u ukupnom broju pacijenata izloženih svakom od ljekova.</w:t>
      </w:r>
    </w:p>
    <w:p w:rsidR="00806E4F" w:rsidRPr="00611C50" w:rsidRDefault="00806E4F" w:rsidP="00AD0CC1">
      <w:pPr>
        <w:jc w:val="both"/>
        <w:rPr>
          <w:sz w:val="22"/>
          <w:szCs w:val="22"/>
          <w:lang w:val="sr-Latn-ME" w:eastAsia="ja-JP"/>
        </w:rPr>
      </w:pPr>
      <w:r w:rsidRPr="00611C50">
        <w:rPr>
          <w:sz w:val="22"/>
          <w:szCs w:val="22"/>
          <w:lang w:val="sr-Latn-ME" w:eastAsia="ja-JP"/>
        </w:rPr>
        <w:t>*  Uključuju akutno oštećenje tkiva bubrega, oštećenje funkcije bubrega i promjene laboratorijskih nalaza koje odgovaraju akutnom oštećenju tkiva bubrega.</w:t>
      </w:r>
    </w:p>
    <w:p w:rsidR="00806E4F" w:rsidRPr="00611C50" w:rsidRDefault="00806E4F" w:rsidP="00AD0CC1">
      <w:pPr>
        <w:jc w:val="both"/>
        <w:rPr>
          <w:b/>
          <w:sz w:val="22"/>
          <w:szCs w:val="22"/>
          <w:lang w:val="sr-Latn-ME" w:eastAsia="ja-JP"/>
        </w:rPr>
      </w:pPr>
    </w:p>
    <w:p w:rsidR="00806E4F" w:rsidRPr="00611C50" w:rsidRDefault="00806E4F" w:rsidP="00AD0CC1">
      <w:pPr>
        <w:jc w:val="both"/>
        <w:rPr>
          <w:sz w:val="22"/>
          <w:szCs w:val="22"/>
          <w:u w:val="single"/>
          <w:vertAlign w:val="superscript"/>
          <w:lang w:val="sr-Latn-ME" w:eastAsia="ja-JP"/>
        </w:rPr>
      </w:pPr>
      <w:r w:rsidRPr="00611C50">
        <w:rPr>
          <w:sz w:val="22"/>
          <w:szCs w:val="22"/>
          <w:u w:val="single"/>
          <w:lang w:val="sr-Latn-ME" w:eastAsia="ja-JP"/>
        </w:rPr>
        <w:t xml:space="preserve">Sarkoidoza </w:t>
      </w:r>
      <w:r w:rsidRPr="00611C50">
        <w:rPr>
          <w:sz w:val="22"/>
          <w:szCs w:val="22"/>
          <w:u w:val="single"/>
          <w:vertAlign w:val="superscript"/>
          <w:lang w:val="sr-Latn-ME" w:eastAsia="ja-JP"/>
        </w:rPr>
        <w:t>(j)</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lang w:val="sr-Latn-ME" w:eastAsia="ja-JP"/>
        </w:rPr>
      </w:pPr>
      <w:r w:rsidRPr="00611C50">
        <w:rPr>
          <w:sz w:val="22"/>
          <w:szCs w:val="22"/>
          <w:lang w:val="sr-Latn-ME" w:eastAsia="ja-JP"/>
        </w:rPr>
        <w:t>Kod pacijenata na terapiji vemurafenibom, prijavljeni su slučajevi sarkoidoze koji su uglavnom zahvatali kožu, pluća i oko. U većini slučajeva je nastavljena terapija vemurafenibom a sarkoidoza se ili povukla ili je perzistirala.</w:t>
      </w:r>
    </w:p>
    <w:p w:rsidR="00806E4F" w:rsidRPr="00611C50" w:rsidRDefault="00806E4F" w:rsidP="00AD0CC1">
      <w:pPr>
        <w:jc w:val="both"/>
        <w:rPr>
          <w:b/>
          <w:sz w:val="22"/>
          <w:szCs w:val="22"/>
          <w:lang w:val="sr-Latn-ME" w:eastAsia="ja-JP"/>
        </w:rPr>
      </w:pPr>
    </w:p>
    <w:p w:rsidR="00806E4F" w:rsidRPr="00611C50" w:rsidRDefault="00806E4F" w:rsidP="00AD0CC1">
      <w:pPr>
        <w:jc w:val="both"/>
        <w:rPr>
          <w:sz w:val="22"/>
          <w:szCs w:val="22"/>
          <w:u w:val="single"/>
          <w:lang w:val="sr-Latn-ME" w:eastAsia="ja-JP"/>
        </w:rPr>
      </w:pPr>
      <w:r w:rsidRPr="00611C50">
        <w:rPr>
          <w:sz w:val="22"/>
          <w:szCs w:val="22"/>
          <w:u w:val="single"/>
          <w:lang w:val="sr-Latn-ME" w:eastAsia="ja-JP"/>
        </w:rPr>
        <w:t>Posebne grupe pacijenata</w:t>
      </w:r>
    </w:p>
    <w:p w:rsidR="00163FBA" w:rsidRPr="00611C50" w:rsidRDefault="00163FBA" w:rsidP="00AD0CC1">
      <w:pPr>
        <w:jc w:val="both"/>
        <w:rPr>
          <w:sz w:val="22"/>
          <w:szCs w:val="22"/>
          <w:u w:val="single"/>
          <w:lang w:val="sr-Latn-ME" w:eastAsia="ja-JP"/>
        </w:rPr>
      </w:pPr>
    </w:p>
    <w:p w:rsidR="00806E4F" w:rsidRPr="00611C50" w:rsidRDefault="00806E4F" w:rsidP="00AD0CC1">
      <w:pPr>
        <w:jc w:val="both"/>
        <w:rPr>
          <w:i/>
          <w:sz w:val="22"/>
          <w:szCs w:val="22"/>
          <w:lang w:val="sr-Latn-ME" w:eastAsia="ja-JP"/>
        </w:rPr>
      </w:pPr>
      <w:r w:rsidRPr="00611C50">
        <w:rPr>
          <w:i/>
          <w:sz w:val="22"/>
          <w:szCs w:val="22"/>
          <w:lang w:val="sr-Latn-ME" w:eastAsia="ja-JP"/>
        </w:rPr>
        <w:t>Stariji pacijenti</w:t>
      </w:r>
    </w:p>
    <w:p w:rsidR="00806E4F" w:rsidRPr="00611C50" w:rsidRDefault="00806E4F" w:rsidP="00AD0CC1">
      <w:pPr>
        <w:jc w:val="both"/>
        <w:rPr>
          <w:sz w:val="22"/>
          <w:szCs w:val="22"/>
          <w:lang w:val="sr-Latn-ME" w:eastAsia="ja-JP"/>
        </w:rPr>
      </w:pPr>
      <w:r w:rsidRPr="00611C50">
        <w:rPr>
          <w:sz w:val="22"/>
          <w:szCs w:val="22"/>
          <w:lang w:val="sr-Latn-ME" w:eastAsia="ja-JP"/>
        </w:rPr>
        <w:t>U studiji faze III, devedeset četiri (28%) od 336 pacijenata sa neresektabilnim ili metastatskim melanomom lečenih vemurafenibom bili su stariji od 65 godina. Kod starijih pacijenata (≥ 65 godina) može biti veća vjerovatnoća da će se razviti neželjene reakcije, uključujući cuSCC, smanjenje apetita, i poremećaje srca.</w:t>
      </w:r>
    </w:p>
    <w:p w:rsidR="00806E4F" w:rsidRPr="00611C50" w:rsidRDefault="00806E4F" w:rsidP="00AD0CC1">
      <w:pPr>
        <w:jc w:val="both"/>
        <w:rPr>
          <w:sz w:val="22"/>
          <w:szCs w:val="22"/>
          <w:lang w:val="sr-Latn-ME" w:eastAsia="ja-JP"/>
        </w:rPr>
      </w:pPr>
    </w:p>
    <w:p w:rsidR="00806E4F" w:rsidRPr="00611C50" w:rsidRDefault="00806E4F" w:rsidP="00AD0CC1">
      <w:pPr>
        <w:jc w:val="both"/>
        <w:rPr>
          <w:i/>
          <w:sz w:val="22"/>
          <w:szCs w:val="22"/>
          <w:lang w:val="sr-Latn-ME" w:eastAsia="ja-JP"/>
        </w:rPr>
      </w:pPr>
      <w:r w:rsidRPr="00611C50">
        <w:rPr>
          <w:i/>
          <w:sz w:val="22"/>
          <w:szCs w:val="22"/>
          <w:lang w:val="sr-Latn-ME" w:eastAsia="ja-JP"/>
        </w:rPr>
        <w:t>Pol</w:t>
      </w:r>
    </w:p>
    <w:p w:rsidR="00806E4F" w:rsidRPr="00611C50" w:rsidRDefault="00806E4F" w:rsidP="00AD0CC1">
      <w:pPr>
        <w:jc w:val="both"/>
        <w:rPr>
          <w:sz w:val="22"/>
          <w:szCs w:val="22"/>
          <w:lang w:val="sr-Latn-ME" w:eastAsia="ja-JP"/>
        </w:rPr>
      </w:pPr>
      <w:r w:rsidRPr="00611C50">
        <w:rPr>
          <w:sz w:val="22"/>
          <w:szCs w:val="22"/>
          <w:lang w:val="sr-Latn-ME" w:eastAsia="ja-JP"/>
        </w:rPr>
        <w:t>Tokom kliničkih studija sa vemurafenibom, neželjene reakcije gradusa 3 koje su češće prijavljivane kod žena nego kod muškaraca bile su raš, artralgija i fotosenzitivnost.</w:t>
      </w:r>
    </w:p>
    <w:p w:rsidR="00806E4F" w:rsidRPr="00611C50" w:rsidRDefault="00806E4F" w:rsidP="00AD0CC1">
      <w:pPr>
        <w:pStyle w:val="Header"/>
        <w:tabs>
          <w:tab w:val="left" w:pos="284"/>
        </w:tabs>
        <w:jc w:val="both"/>
        <w:rPr>
          <w:i/>
          <w:sz w:val="22"/>
          <w:szCs w:val="22"/>
          <w:lang w:val="sr-Latn-ME"/>
        </w:rPr>
      </w:pPr>
    </w:p>
    <w:p w:rsidR="00806E4F" w:rsidRPr="00611C50" w:rsidRDefault="00806E4F" w:rsidP="00AD0CC1">
      <w:pPr>
        <w:pStyle w:val="Header"/>
        <w:tabs>
          <w:tab w:val="left" w:pos="284"/>
        </w:tabs>
        <w:jc w:val="both"/>
        <w:rPr>
          <w:i/>
          <w:sz w:val="22"/>
          <w:szCs w:val="22"/>
          <w:lang w:val="sr-Latn-ME"/>
        </w:rPr>
      </w:pPr>
      <w:r w:rsidRPr="00611C50">
        <w:rPr>
          <w:i/>
          <w:sz w:val="22"/>
          <w:szCs w:val="22"/>
          <w:lang w:val="sr-Latn-ME"/>
        </w:rPr>
        <w:t>Pedijatrijska populacija</w:t>
      </w:r>
    </w:p>
    <w:p w:rsidR="00806E4F" w:rsidRPr="00611C50" w:rsidRDefault="00806E4F" w:rsidP="00AD0CC1">
      <w:pPr>
        <w:jc w:val="both"/>
        <w:rPr>
          <w:sz w:val="22"/>
          <w:szCs w:val="22"/>
          <w:lang w:val="sr-Latn-ME"/>
        </w:rPr>
      </w:pPr>
      <w:r w:rsidRPr="00611C50">
        <w:rPr>
          <w:sz w:val="22"/>
          <w:szCs w:val="22"/>
          <w:lang w:val="sr-Latn-ME"/>
        </w:rPr>
        <w:t>Sigurnost vemurafeniba kod djece i adolescenata nije ustanovljena. U kliničkom studijama sa šest adolescentnih pacijenata nisu primijećeni novi bezbjednosni signali.</w:t>
      </w:r>
    </w:p>
    <w:p w:rsidR="00806E4F" w:rsidRPr="00611C50" w:rsidRDefault="00806E4F" w:rsidP="00AD0CC1">
      <w:pPr>
        <w:jc w:val="both"/>
        <w:rPr>
          <w:sz w:val="22"/>
          <w:szCs w:val="22"/>
          <w:lang w:val="sr-Latn-ME" w:eastAsia="ja-JP"/>
        </w:rPr>
      </w:pPr>
    </w:p>
    <w:p w:rsidR="005A23D2" w:rsidRPr="00611C50" w:rsidRDefault="005A23D2" w:rsidP="00AD0CC1">
      <w:pPr>
        <w:spacing w:after="200" w:line="276" w:lineRule="auto"/>
        <w:jc w:val="both"/>
        <w:rPr>
          <w:rFonts w:eastAsia="Calibri"/>
          <w:sz w:val="22"/>
          <w:szCs w:val="22"/>
          <w:u w:val="single"/>
          <w:lang w:val="sr-Latn-ME"/>
        </w:rPr>
      </w:pPr>
      <w:r w:rsidRPr="00611C50">
        <w:rPr>
          <w:rFonts w:eastAsia="Calibri"/>
          <w:sz w:val="22"/>
          <w:szCs w:val="22"/>
          <w:u w:val="single"/>
          <w:lang w:val="sr-Latn-ME"/>
        </w:rPr>
        <w:t>Prijavljivanje sumnji na neželjena dejstva</w:t>
      </w:r>
    </w:p>
    <w:p w:rsidR="00E27DAE" w:rsidRPr="00611C50" w:rsidRDefault="00E27DAE" w:rsidP="00AD0CC1">
      <w:pPr>
        <w:spacing w:after="200"/>
        <w:jc w:val="both"/>
        <w:rPr>
          <w:rFonts w:eastAsia="Calibri"/>
          <w:sz w:val="22"/>
          <w:szCs w:val="22"/>
          <w:lang w:val="sr-Latn-ME"/>
        </w:rPr>
      </w:pPr>
      <w:r w:rsidRPr="00611C50">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E27DAE" w:rsidRPr="00611C50" w:rsidRDefault="00E27DAE" w:rsidP="00AD0CC1">
      <w:pPr>
        <w:pStyle w:val="NoSpacing"/>
        <w:jc w:val="both"/>
        <w:rPr>
          <w:rFonts w:eastAsia="Calibri"/>
          <w:sz w:val="22"/>
          <w:szCs w:val="22"/>
          <w:lang w:val="sr-Latn-ME"/>
        </w:rPr>
      </w:pPr>
      <w:r w:rsidRPr="00611C50">
        <w:rPr>
          <w:rFonts w:eastAsia="Calibri"/>
          <w:sz w:val="22"/>
          <w:szCs w:val="22"/>
          <w:lang w:val="sr-Latn-ME"/>
        </w:rPr>
        <w:t xml:space="preserve">Institut za ljekove i medicinska sredstva </w:t>
      </w:r>
    </w:p>
    <w:p w:rsidR="00E27DAE" w:rsidRPr="00611C50" w:rsidRDefault="00E27DAE" w:rsidP="00AD0CC1">
      <w:pPr>
        <w:pStyle w:val="NoSpacing"/>
        <w:jc w:val="both"/>
        <w:rPr>
          <w:rFonts w:eastAsia="Calibri"/>
          <w:sz w:val="22"/>
          <w:szCs w:val="22"/>
          <w:lang w:val="sr-Latn-ME"/>
        </w:rPr>
      </w:pPr>
      <w:r w:rsidRPr="00611C50">
        <w:rPr>
          <w:rFonts w:eastAsia="Calibri"/>
          <w:sz w:val="22"/>
          <w:szCs w:val="22"/>
          <w:lang w:val="sr-Latn-ME"/>
        </w:rPr>
        <w:t>Odjeljenje za farmakovigilancu</w:t>
      </w:r>
    </w:p>
    <w:p w:rsidR="00E27DAE" w:rsidRPr="00611C50" w:rsidRDefault="00E27DAE" w:rsidP="00AD0CC1">
      <w:pPr>
        <w:pStyle w:val="NoSpacing"/>
        <w:jc w:val="both"/>
        <w:rPr>
          <w:rFonts w:eastAsia="Calibri"/>
          <w:sz w:val="22"/>
          <w:szCs w:val="22"/>
          <w:lang w:val="sr-Latn-ME"/>
        </w:rPr>
      </w:pPr>
      <w:r w:rsidRPr="00611C50">
        <w:rPr>
          <w:rFonts w:eastAsia="Calibri"/>
          <w:sz w:val="22"/>
          <w:szCs w:val="22"/>
          <w:lang w:val="sr-Latn-ME"/>
        </w:rPr>
        <w:t>Bulevar Ivana Crnojevića 64a, 81000 Podgorica</w:t>
      </w:r>
    </w:p>
    <w:p w:rsidR="00E27DAE" w:rsidRPr="00611C50" w:rsidRDefault="00E27DAE" w:rsidP="00AD0CC1">
      <w:pPr>
        <w:pStyle w:val="NoSpacing"/>
        <w:jc w:val="both"/>
        <w:rPr>
          <w:rFonts w:eastAsia="Calibri"/>
          <w:sz w:val="22"/>
          <w:szCs w:val="22"/>
          <w:lang w:val="sr-Latn-ME"/>
        </w:rPr>
      </w:pPr>
    </w:p>
    <w:p w:rsidR="00E27DAE" w:rsidRPr="00611C50" w:rsidRDefault="00E27DAE" w:rsidP="00AD0CC1">
      <w:pPr>
        <w:pStyle w:val="NoSpacing"/>
        <w:jc w:val="both"/>
        <w:rPr>
          <w:rFonts w:eastAsia="Calibri"/>
          <w:sz w:val="22"/>
          <w:szCs w:val="22"/>
          <w:lang w:val="sr-Latn-ME"/>
        </w:rPr>
      </w:pPr>
      <w:r w:rsidRPr="00611C50">
        <w:rPr>
          <w:rFonts w:eastAsia="Calibri"/>
          <w:sz w:val="22"/>
          <w:szCs w:val="22"/>
          <w:lang w:val="sr-Latn-ME"/>
        </w:rPr>
        <w:t>tel: +382 (0) 20 310 280</w:t>
      </w:r>
    </w:p>
    <w:p w:rsidR="00E27DAE" w:rsidRPr="00611C50" w:rsidRDefault="00E27DAE" w:rsidP="00AD0CC1">
      <w:pPr>
        <w:pStyle w:val="NoSpacing"/>
        <w:jc w:val="both"/>
        <w:rPr>
          <w:rFonts w:eastAsia="Calibri"/>
          <w:sz w:val="22"/>
          <w:szCs w:val="22"/>
          <w:lang w:val="sr-Latn-ME"/>
        </w:rPr>
      </w:pPr>
      <w:r w:rsidRPr="00611C50">
        <w:rPr>
          <w:rFonts w:eastAsia="Calibri"/>
          <w:sz w:val="22"/>
          <w:szCs w:val="22"/>
          <w:lang w:val="sr-Latn-ME"/>
        </w:rPr>
        <w:t>fax: +382 (0) 20 310 581</w:t>
      </w:r>
    </w:p>
    <w:p w:rsidR="00E27DAE" w:rsidRPr="00611C50" w:rsidRDefault="00112D3D" w:rsidP="00AD0CC1">
      <w:pPr>
        <w:pStyle w:val="NoSpacing"/>
        <w:jc w:val="both"/>
        <w:rPr>
          <w:rFonts w:eastAsia="Calibri"/>
          <w:sz w:val="22"/>
          <w:szCs w:val="22"/>
          <w:lang w:val="sr-Latn-ME"/>
        </w:rPr>
      </w:pPr>
      <w:hyperlink r:id="rId8" w:history="1">
        <w:r w:rsidR="00E27DAE" w:rsidRPr="00611C50">
          <w:rPr>
            <w:rStyle w:val="Hyperlink"/>
            <w:rFonts w:eastAsia="Calibri"/>
            <w:sz w:val="22"/>
            <w:szCs w:val="22"/>
            <w:lang w:val="sr-Latn-ME"/>
          </w:rPr>
          <w:t>www.cinmed.me</w:t>
        </w:r>
      </w:hyperlink>
    </w:p>
    <w:p w:rsidR="00E27DAE" w:rsidRPr="00611C50" w:rsidRDefault="00112D3D" w:rsidP="00AD0CC1">
      <w:pPr>
        <w:pStyle w:val="NoSpacing"/>
        <w:jc w:val="both"/>
        <w:rPr>
          <w:rFonts w:eastAsia="Calibri"/>
          <w:color w:val="0000FF"/>
          <w:sz w:val="22"/>
          <w:szCs w:val="22"/>
          <w:u w:val="single"/>
          <w:lang w:val="sr-Latn-ME"/>
        </w:rPr>
      </w:pPr>
      <w:hyperlink r:id="rId9" w:history="1">
        <w:r w:rsidR="00E27DAE" w:rsidRPr="00611C50">
          <w:rPr>
            <w:rStyle w:val="Hyperlink"/>
            <w:rFonts w:eastAsia="Calibri"/>
            <w:sz w:val="22"/>
            <w:szCs w:val="22"/>
            <w:lang w:val="sr-Latn-ME"/>
          </w:rPr>
          <w:t>nezeljenadejstva@cinmed.me</w:t>
        </w:r>
      </w:hyperlink>
    </w:p>
    <w:p w:rsidR="00E27DAE" w:rsidRPr="00611C50" w:rsidRDefault="00E27DAE" w:rsidP="00AD0CC1">
      <w:pPr>
        <w:pStyle w:val="NoSpacing"/>
        <w:jc w:val="both"/>
        <w:rPr>
          <w:rFonts w:eastAsia="Calibri"/>
          <w:sz w:val="22"/>
          <w:szCs w:val="22"/>
          <w:lang w:val="sr-Latn-ME"/>
        </w:rPr>
      </w:pPr>
      <w:r w:rsidRPr="00611C50">
        <w:rPr>
          <w:rFonts w:eastAsia="Calibri"/>
          <w:sz w:val="22"/>
          <w:szCs w:val="22"/>
          <w:lang w:val="sr-Latn-ME"/>
        </w:rPr>
        <w:t>putem IS zdravstvene zaštite</w:t>
      </w:r>
    </w:p>
    <w:p w:rsidR="00E27DAE" w:rsidRPr="00611C50" w:rsidRDefault="00E27DAE" w:rsidP="00AD0CC1">
      <w:pPr>
        <w:pStyle w:val="NoSpacing"/>
        <w:jc w:val="both"/>
        <w:rPr>
          <w:rFonts w:eastAsia="Calibri"/>
          <w:sz w:val="22"/>
          <w:szCs w:val="22"/>
          <w:lang w:val="sr-Latn-ME"/>
        </w:rPr>
      </w:pPr>
      <w:r w:rsidRPr="00611C50">
        <w:rPr>
          <w:rFonts w:eastAsia="Calibri"/>
          <w:sz w:val="22"/>
          <w:szCs w:val="22"/>
          <w:lang w:val="sr-Latn-ME"/>
        </w:rPr>
        <w:t>QR kod za online prijavu sumnje na neželjeno dejstvo lijeka:</w:t>
      </w:r>
    </w:p>
    <w:p w:rsidR="00E27DAE" w:rsidRPr="00611C50" w:rsidRDefault="00E27DAE" w:rsidP="00AD0CC1">
      <w:pPr>
        <w:pStyle w:val="NoSpacing"/>
        <w:jc w:val="both"/>
        <w:rPr>
          <w:rFonts w:eastAsia="Calibri"/>
          <w:sz w:val="22"/>
          <w:szCs w:val="22"/>
          <w:lang w:val="sr-Latn-ME"/>
        </w:rPr>
      </w:pPr>
    </w:p>
    <w:p w:rsidR="00E27DAE" w:rsidRPr="00611C50" w:rsidRDefault="00E27DAE" w:rsidP="00AD0CC1">
      <w:pPr>
        <w:pStyle w:val="NoSpacing"/>
        <w:jc w:val="both"/>
        <w:rPr>
          <w:rFonts w:eastAsia="Calibri"/>
          <w:sz w:val="22"/>
          <w:szCs w:val="22"/>
          <w:lang w:val="sr-Latn-ME"/>
        </w:rPr>
      </w:pPr>
      <w:r w:rsidRPr="00611C50">
        <w:rPr>
          <w:noProof/>
        </w:rPr>
        <w:drawing>
          <wp:inline distT="0" distB="0" distL="0" distR="0" wp14:anchorId="689567C6" wp14:editId="46BAF989">
            <wp:extent cx="971550" cy="971550"/>
            <wp:effectExtent l="0" t="0" r="0" b="0"/>
            <wp:docPr id="4" name="Picture 4"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36215E" w:rsidRDefault="0036215E" w:rsidP="00AD0CC1">
      <w:pPr>
        <w:tabs>
          <w:tab w:val="left" w:pos="540"/>
          <w:tab w:val="left" w:pos="569"/>
        </w:tabs>
        <w:jc w:val="both"/>
        <w:rPr>
          <w:b/>
          <w:bCs/>
          <w:sz w:val="22"/>
          <w:szCs w:val="22"/>
          <w:lang w:val="sr-Latn-ME"/>
        </w:rPr>
      </w:pPr>
    </w:p>
    <w:p w:rsidR="00CD6F02" w:rsidRPr="00611C50" w:rsidRDefault="0072020E" w:rsidP="00AD0CC1">
      <w:pPr>
        <w:tabs>
          <w:tab w:val="left" w:pos="540"/>
          <w:tab w:val="left" w:pos="569"/>
        </w:tabs>
        <w:jc w:val="both"/>
        <w:rPr>
          <w:b/>
          <w:bCs/>
          <w:sz w:val="22"/>
          <w:szCs w:val="22"/>
          <w:lang w:val="sr-Latn-ME"/>
        </w:rPr>
      </w:pPr>
      <w:r w:rsidRPr="00611C50">
        <w:rPr>
          <w:b/>
          <w:bCs/>
          <w:sz w:val="22"/>
          <w:szCs w:val="22"/>
          <w:lang w:val="sr-Latn-ME"/>
        </w:rPr>
        <w:t xml:space="preserve">4.9. </w:t>
      </w:r>
      <w:r w:rsidR="00480FB1" w:rsidRPr="00611C50">
        <w:rPr>
          <w:b/>
          <w:bCs/>
          <w:sz w:val="22"/>
          <w:szCs w:val="22"/>
          <w:lang w:val="sr-Latn-ME"/>
        </w:rPr>
        <w:tab/>
      </w:r>
      <w:r w:rsidRPr="00611C50">
        <w:rPr>
          <w:b/>
          <w:bCs/>
          <w:sz w:val="22"/>
          <w:szCs w:val="22"/>
          <w:lang w:val="sr-Latn-ME"/>
        </w:rPr>
        <w:t>Predoziranje</w:t>
      </w:r>
      <w:r w:rsidR="002846DB" w:rsidRPr="00611C50">
        <w:rPr>
          <w:b/>
          <w:bCs/>
          <w:sz w:val="22"/>
          <w:szCs w:val="22"/>
          <w:lang w:val="sr-Latn-ME"/>
        </w:rPr>
        <w:t xml:space="preserve"> </w:t>
      </w:r>
    </w:p>
    <w:p w:rsidR="00CD6F02" w:rsidRPr="00611C50" w:rsidRDefault="00CD6F02" w:rsidP="00AD0CC1">
      <w:pPr>
        <w:tabs>
          <w:tab w:val="left" w:pos="540"/>
          <w:tab w:val="left" w:pos="569"/>
        </w:tabs>
        <w:jc w:val="both"/>
        <w:rPr>
          <w:b/>
          <w:bCs/>
          <w:sz w:val="22"/>
          <w:szCs w:val="22"/>
          <w:lang w:val="sr-Latn-ME"/>
        </w:rPr>
      </w:pPr>
    </w:p>
    <w:p w:rsidR="00806E4F" w:rsidRPr="00611C50" w:rsidRDefault="00806E4F" w:rsidP="00AD0CC1">
      <w:pPr>
        <w:pStyle w:val="Header"/>
        <w:tabs>
          <w:tab w:val="left" w:pos="284"/>
        </w:tabs>
        <w:jc w:val="both"/>
        <w:rPr>
          <w:sz w:val="22"/>
          <w:szCs w:val="22"/>
          <w:lang w:val="sr-Latn-ME"/>
        </w:rPr>
      </w:pPr>
      <w:r w:rsidRPr="00611C50">
        <w:rPr>
          <w:sz w:val="22"/>
          <w:szCs w:val="22"/>
          <w:lang w:val="sr-Latn-ME"/>
        </w:rPr>
        <w:t xml:space="preserve">Ne postoji specifičan antidot za predoziranje vemurafenibom. Pacijenti koji razviju neželjene reakcije treba da dobiju odgovarajuću simptomatsku terapiju. Nisu zabilježeni slučajevi predoziranja </w:t>
      </w:r>
      <w:r w:rsidRPr="00611C50">
        <w:rPr>
          <w:sz w:val="22"/>
          <w:szCs w:val="22"/>
          <w:lang w:val="sr-Latn-ME"/>
        </w:rPr>
        <w:lastRenderedPageBreak/>
        <w:t xml:space="preserve">vemurafenibom u kliničkim studijama. U slučaju sumnje na predoziranje, treba obustaviti primjenu vemurafeniba i započeti suportivnu terapiju. </w:t>
      </w:r>
    </w:p>
    <w:p w:rsidR="00227BDB" w:rsidRDefault="00227BDB" w:rsidP="00AD0CC1">
      <w:pPr>
        <w:tabs>
          <w:tab w:val="left" w:pos="540"/>
          <w:tab w:val="left" w:pos="569"/>
        </w:tabs>
        <w:jc w:val="both"/>
        <w:rPr>
          <w:b/>
          <w:bCs/>
          <w:sz w:val="22"/>
          <w:szCs w:val="22"/>
          <w:lang w:val="sr-Latn-ME"/>
        </w:rPr>
      </w:pPr>
    </w:p>
    <w:p w:rsidR="00E33CE6" w:rsidRPr="00611C50" w:rsidRDefault="00E33CE6" w:rsidP="00AD0CC1">
      <w:pPr>
        <w:tabs>
          <w:tab w:val="left" w:pos="540"/>
          <w:tab w:val="left" w:pos="569"/>
        </w:tabs>
        <w:jc w:val="both"/>
        <w:rPr>
          <w:b/>
          <w:bCs/>
          <w:sz w:val="22"/>
          <w:szCs w:val="22"/>
          <w:lang w:val="sr-Latn-ME"/>
        </w:rPr>
      </w:pPr>
    </w:p>
    <w:p w:rsidR="0072020E" w:rsidRPr="00611C50" w:rsidRDefault="0072020E" w:rsidP="00AD0CC1">
      <w:pPr>
        <w:tabs>
          <w:tab w:val="left" w:pos="540"/>
          <w:tab w:val="left" w:pos="569"/>
        </w:tabs>
        <w:jc w:val="both"/>
        <w:rPr>
          <w:b/>
          <w:bCs/>
          <w:sz w:val="22"/>
          <w:szCs w:val="22"/>
          <w:lang w:val="sr-Latn-ME"/>
        </w:rPr>
      </w:pPr>
      <w:r w:rsidRPr="00611C50">
        <w:rPr>
          <w:b/>
          <w:bCs/>
          <w:sz w:val="22"/>
          <w:szCs w:val="22"/>
          <w:lang w:val="sr-Latn-ME"/>
        </w:rPr>
        <w:t xml:space="preserve">5. </w:t>
      </w:r>
      <w:r w:rsidR="00480FB1" w:rsidRPr="00611C50">
        <w:rPr>
          <w:b/>
          <w:bCs/>
          <w:sz w:val="22"/>
          <w:szCs w:val="22"/>
          <w:lang w:val="sr-Latn-ME"/>
        </w:rPr>
        <w:tab/>
      </w:r>
      <w:r w:rsidRPr="00611C50">
        <w:rPr>
          <w:b/>
          <w:bCs/>
          <w:sz w:val="22"/>
          <w:szCs w:val="22"/>
          <w:lang w:val="sr-Latn-ME"/>
        </w:rPr>
        <w:t>FARMAKOLOŠK</w:t>
      </w:r>
      <w:r w:rsidR="000D425A" w:rsidRPr="00611C50">
        <w:rPr>
          <w:b/>
          <w:bCs/>
          <w:sz w:val="22"/>
          <w:szCs w:val="22"/>
          <w:lang w:val="sr-Latn-ME"/>
        </w:rPr>
        <w:t>I</w:t>
      </w:r>
      <w:r w:rsidRPr="00611C50">
        <w:rPr>
          <w:b/>
          <w:bCs/>
          <w:sz w:val="22"/>
          <w:szCs w:val="22"/>
          <w:lang w:val="sr-Latn-ME"/>
        </w:rPr>
        <w:t xml:space="preserve"> PODACI</w:t>
      </w:r>
    </w:p>
    <w:p w:rsidR="0072020E" w:rsidRPr="00611C50" w:rsidRDefault="0072020E" w:rsidP="00AD0CC1">
      <w:pPr>
        <w:tabs>
          <w:tab w:val="left" w:pos="540"/>
          <w:tab w:val="left" w:pos="569"/>
        </w:tabs>
        <w:jc w:val="both"/>
        <w:rPr>
          <w:b/>
          <w:bCs/>
          <w:sz w:val="22"/>
          <w:szCs w:val="22"/>
          <w:lang w:val="sr-Latn-ME"/>
        </w:rPr>
      </w:pPr>
    </w:p>
    <w:p w:rsidR="0072020E" w:rsidRPr="00611C50" w:rsidRDefault="0072020E" w:rsidP="00AD0CC1">
      <w:pPr>
        <w:tabs>
          <w:tab w:val="left" w:pos="540"/>
          <w:tab w:val="left" w:pos="569"/>
        </w:tabs>
        <w:jc w:val="both"/>
        <w:rPr>
          <w:b/>
          <w:bCs/>
          <w:sz w:val="22"/>
          <w:szCs w:val="22"/>
          <w:lang w:val="sr-Latn-ME"/>
        </w:rPr>
      </w:pPr>
      <w:r w:rsidRPr="00611C50">
        <w:rPr>
          <w:b/>
          <w:bCs/>
          <w:sz w:val="22"/>
          <w:szCs w:val="22"/>
          <w:lang w:val="sr-Latn-ME"/>
        </w:rPr>
        <w:t xml:space="preserve">5.1. </w:t>
      </w:r>
      <w:r w:rsidR="00480FB1" w:rsidRPr="00611C50">
        <w:rPr>
          <w:b/>
          <w:bCs/>
          <w:sz w:val="22"/>
          <w:szCs w:val="22"/>
          <w:lang w:val="sr-Latn-ME"/>
        </w:rPr>
        <w:tab/>
      </w:r>
      <w:r w:rsidRPr="00611C50">
        <w:rPr>
          <w:b/>
          <w:bCs/>
          <w:sz w:val="22"/>
          <w:szCs w:val="22"/>
          <w:lang w:val="sr-Latn-ME"/>
        </w:rPr>
        <w:t>Farmakodinamski podaci</w:t>
      </w:r>
      <w:r w:rsidR="003A7059" w:rsidRPr="00611C50">
        <w:rPr>
          <w:b/>
          <w:bCs/>
          <w:sz w:val="22"/>
          <w:szCs w:val="22"/>
          <w:lang w:val="sr-Latn-ME"/>
        </w:rPr>
        <w:t xml:space="preserve"> </w:t>
      </w:r>
    </w:p>
    <w:p w:rsidR="00F45F77" w:rsidRPr="00611C50" w:rsidRDefault="00F45F77" w:rsidP="00AD0CC1">
      <w:pPr>
        <w:tabs>
          <w:tab w:val="left" w:pos="540"/>
          <w:tab w:val="left" w:pos="569"/>
        </w:tabs>
        <w:jc w:val="both"/>
        <w:rPr>
          <w:b/>
          <w:bCs/>
          <w:sz w:val="22"/>
          <w:szCs w:val="22"/>
          <w:lang w:val="sr-Latn-ME"/>
        </w:rPr>
      </w:pPr>
    </w:p>
    <w:p w:rsidR="0072020E" w:rsidRPr="00611C50" w:rsidRDefault="0072020E" w:rsidP="00AD0CC1">
      <w:pPr>
        <w:tabs>
          <w:tab w:val="left" w:pos="540"/>
          <w:tab w:val="left" w:pos="569"/>
        </w:tabs>
        <w:jc w:val="both"/>
        <w:rPr>
          <w:bCs/>
          <w:sz w:val="22"/>
          <w:szCs w:val="22"/>
          <w:lang w:val="sr-Latn-ME"/>
        </w:rPr>
      </w:pPr>
      <w:r w:rsidRPr="00611C50">
        <w:rPr>
          <w:bCs/>
          <w:sz w:val="22"/>
          <w:szCs w:val="22"/>
          <w:lang w:val="sr-Latn-ME"/>
        </w:rPr>
        <w:t>Farmakoterapijska grupa:</w:t>
      </w:r>
      <w:r w:rsidR="00806E4F" w:rsidRPr="00611C50">
        <w:rPr>
          <w:bCs/>
          <w:sz w:val="22"/>
          <w:szCs w:val="22"/>
          <w:lang w:val="sr-Latn-ME"/>
        </w:rPr>
        <w:t xml:space="preserve"> </w:t>
      </w:r>
      <w:r w:rsidR="00806E4F" w:rsidRPr="00611C50">
        <w:rPr>
          <w:sz w:val="22"/>
          <w:szCs w:val="22"/>
          <w:lang w:val="sr-Latn-ME"/>
        </w:rPr>
        <w:t>Antineoplastični agens, inhibitor protein kinaze</w:t>
      </w:r>
    </w:p>
    <w:p w:rsidR="0072020E" w:rsidRPr="00611C50" w:rsidRDefault="0072020E" w:rsidP="00AD0CC1">
      <w:pPr>
        <w:tabs>
          <w:tab w:val="left" w:pos="540"/>
          <w:tab w:val="left" w:pos="569"/>
        </w:tabs>
        <w:jc w:val="both"/>
        <w:rPr>
          <w:bCs/>
          <w:sz w:val="22"/>
          <w:szCs w:val="22"/>
          <w:lang w:val="sr-Latn-ME"/>
        </w:rPr>
      </w:pPr>
    </w:p>
    <w:p w:rsidR="0072020E" w:rsidRPr="00611C50" w:rsidRDefault="0072020E" w:rsidP="00AD0CC1">
      <w:pPr>
        <w:tabs>
          <w:tab w:val="left" w:pos="540"/>
          <w:tab w:val="left" w:pos="569"/>
        </w:tabs>
        <w:jc w:val="both"/>
        <w:rPr>
          <w:sz w:val="22"/>
          <w:szCs w:val="22"/>
          <w:lang w:val="sr-Latn-ME"/>
        </w:rPr>
      </w:pPr>
      <w:r w:rsidRPr="00611C50">
        <w:rPr>
          <w:bCs/>
          <w:sz w:val="22"/>
          <w:szCs w:val="22"/>
          <w:lang w:val="sr-Latn-ME"/>
        </w:rPr>
        <w:t>ATC kod:</w:t>
      </w:r>
      <w:r w:rsidR="00806E4F" w:rsidRPr="00611C50">
        <w:rPr>
          <w:bCs/>
          <w:sz w:val="22"/>
          <w:szCs w:val="22"/>
          <w:lang w:val="sr-Latn-ME"/>
        </w:rPr>
        <w:t xml:space="preserve"> </w:t>
      </w:r>
      <w:r w:rsidR="00CF7C94" w:rsidRPr="00611C50">
        <w:rPr>
          <w:sz w:val="22"/>
          <w:szCs w:val="22"/>
          <w:lang w:val="sr-Latn-ME"/>
        </w:rPr>
        <w:t>L01EC01</w:t>
      </w:r>
    </w:p>
    <w:p w:rsidR="00806E4F" w:rsidRPr="00611C50" w:rsidRDefault="00806E4F" w:rsidP="00AD0CC1">
      <w:pPr>
        <w:tabs>
          <w:tab w:val="left" w:pos="540"/>
          <w:tab w:val="left" w:pos="569"/>
        </w:tabs>
        <w:jc w:val="both"/>
        <w:rPr>
          <w:sz w:val="22"/>
          <w:szCs w:val="22"/>
          <w:lang w:val="sr-Latn-ME"/>
        </w:rPr>
      </w:pPr>
    </w:p>
    <w:p w:rsidR="00806E4F" w:rsidRPr="00611C50" w:rsidRDefault="00806E4F" w:rsidP="00AD0CC1">
      <w:pPr>
        <w:jc w:val="both"/>
        <w:rPr>
          <w:sz w:val="22"/>
          <w:szCs w:val="22"/>
          <w:u w:val="single"/>
          <w:lang w:val="sr-Latn-ME" w:eastAsia="ja-JP"/>
        </w:rPr>
      </w:pPr>
      <w:r w:rsidRPr="00611C50">
        <w:rPr>
          <w:sz w:val="22"/>
          <w:szCs w:val="22"/>
          <w:u w:val="single"/>
          <w:lang w:val="sr-Latn-ME" w:eastAsia="ja-JP"/>
        </w:rPr>
        <w:t xml:space="preserve">Mehanizam dejstva i farmakodinamski efekti </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lang w:val="sr-Latn-ME" w:eastAsia="ja-JP"/>
        </w:rPr>
      </w:pPr>
      <w:r w:rsidRPr="00611C50">
        <w:rPr>
          <w:sz w:val="22"/>
          <w:szCs w:val="22"/>
          <w:lang w:val="sr-Latn-ME" w:eastAsia="ja-JP"/>
        </w:rPr>
        <w:t xml:space="preserve">Vemurafenib je inhibitor BRAF serin-treonin kinaze. Mutacije na BRAF genu rezultiraju u posledičnoj aktivaciji BRAF proteina, koji može uzrokovati proliferaciju ćelija u odsustvu faktora rasta koji bi normalno bili potrebni za proliferaciju. </w:t>
      </w:r>
    </w:p>
    <w:p w:rsidR="00806E4F" w:rsidRPr="00611C50" w:rsidRDefault="00806E4F" w:rsidP="00AD0CC1">
      <w:pPr>
        <w:jc w:val="both"/>
        <w:rPr>
          <w:sz w:val="22"/>
          <w:szCs w:val="22"/>
          <w:lang w:val="sr-Latn-ME" w:eastAsia="ja-JP"/>
        </w:rPr>
      </w:pPr>
      <w:r w:rsidRPr="00611C50">
        <w:rPr>
          <w:sz w:val="22"/>
          <w:szCs w:val="22"/>
          <w:lang w:val="sr-Latn-ME" w:eastAsia="ja-JP"/>
        </w:rPr>
        <w:t xml:space="preserve">Pretklinički podaci dobijeni biohemijskim testovima pokazuju da vemurafenib može potentno da inhibira BRAF kinaze sa aktiviranim mutacijama kodona 600 (Tabela 6). </w:t>
      </w:r>
    </w:p>
    <w:p w:rsidR="00806E4F" w:rsidRPr="00611C50" w:rsidRDefault="00806E4F" w:rsidP="00AD0CC1">
      <w:pPr>
        <w:jc w:val="both"/>
        <w:rPr>
          <w:sz w:val="22"/>
          <w:szCs w:val="22"/>
          <w:lang w:val="sr-Latn-ME" w:eastAsia="ja-JP"/>
        </w:rPr>
      </w:pPr>
    </w:p>
    <w:p w:rsidR="00806E4F" w:rsidRPr="00611C50" w:rsidRDefault="00806E4F" w:rsidP="00AD0CC1">
      <w:pPr>
        <w:jc w:val="both"/>
        <w:rPr>
          <w:b/>
          <w:sz w:val="22"/>
          <w:szCs w:val="22"/>
          <w:lang w:val="sr-Latn-ME" w:eastAsia="ja-JP"/>
        </w:rPr>
      </w:pPr>
      <w:r w:rsidRPr="00611C50">
        <w:rPr>
          <w:b/>
          <w:sz w:val="22"/>
          <w:szCs w:val="22"/>
          <w:lang w:val="sr-Latn-ME" w:eastAsia="ja-JP"/>
        </w:rPr>
        <w:t>Tabela 6: Inhibitorna aktivnost vemurafeniba na različite BRAF kinaze</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737"/>
        <w:gridCol w:w="3510"/>
      </w:tblGrid>
      <w:tr w:rsidR="00806E4F" w:rsidRPr="00611C50" w:rsidTr="00806E4F">
        <w:tc>
          <w:tcPr>
            <w:tcW w:w="1838"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Kinaza</w:t>
            </w:r>
          </w:p>
        </w:tc>
        <w:tc>
          <w:tcPr>
            <w:tcW w:w="3737"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Anticipirana učestalost kod melanoma sa pozitivnom V600 mutacijom</w:t>
            </w:r>
            <w:r w:rsidRPr="00611C50">
              <w:rPr>
                <w:sz w:val="22"/>
                <w:szCs w:val="22"/>
                <w:vertAlign w:val="superscript"/>
                <w:lang w:val="sr-Latn-ME" w:eastAsia="ja-JP"/>
              </w:rPr>
              <w:t>(t)</w:t>
            </w:r>
          </w:p>
        </w:tc>
        <w:tc>
          <w:tcPr>
            <w:tcW w:w="351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Inhibitorna koncentracija 50 (nM)</w:t>
            </w:r>
          </w:p>
        </w:tc>
      </w:tr>
      <w:tr w:rsidR="00806E4F" w:rsidRPr="00611C50" w:rsidTr="00806E4F">
        <w:tc>
          <w:tcPr>
            <w:tcW w:w="1838"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BRAF</w:t>
            </w:r>
            <w:r w:rsidRPr="00611C50">
              <w:rPr>
                <w:sz w:val="22"/>
                <w:szCs w:val="22"/>
                <w:vertAlign w:val="superscript"/>
                <w:lang w:val="sr-Latn-ME" w:eastAsia="ja-JP"/>
              </w:rPr>
              <w:t>V600E</w:t>
            </w:r>
          </w:p>
        </w:tc>
        <w:tc>
          <w:tcPr>
            <w:tcW w:w="3737"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87.3%</w:t>
            </w:r>
          </w:p>
        </w:tc>
        <w:tc>
          <w:tcPr>
            <w:tcW w:w="351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10</w:t>
            </w:r>
          </w:p>
        </w:tc>
      </w:tr>
      <w:tr w:rsidR="00806E4F" w:rsidRPr="00611C50" w:rsidTr="00806E4F">
        <w:tc>
          <w:tcPr>
            <w:tcW w:w="1838"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eastAsia="ja-JP"/>
              </w:rPr>
              <w:t>BRAF</w:t>
            </w:r>
            <w:r w:rsidRPr="00611C50">
              <w:rPr>
                <w:sz w:val="22"/>
                <w:szCs w:val="22"/>
                <w:vertAlign w:val="superscript"/>
                <w:lang w:val="sr-Latn-ME" w:eastAsia="ja-JP"/>
              </w:rPr>
              <w:t>V600K</w:t>
            </w:r>
          </w:p>
        </w:tc>
        <w:tc>
          <w:tcPr>
            <w:tcW w:w="3737"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7.9%</w:t>
            </w:r>
          </w:p>
        </w:tc>
        <w:tc>
          <w:tcPr>
            <w:tcW w:w="351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7</w:t>
            </w:r>
          </w:p>
        </w:tc>
      </w:tr>
      <w:tr w:rsidR="00806E4F" w:rsidRPr="00611C50" w:rsidTr="00806E4F">
        <w:tc>
          <w:tcPr>
            <w:tcW w:w="1838"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eastAsia="ja-JP"/>
              </w:rPr>
              <w:t>BRAF</w:t>
            </w:r>
            <w:r w:rsidRPr="00611C50">
              <w:rPr>
                <w:sz w:val="22"/>
                <w:szCs w:val="22"/>
                <w:vertAlign w:val="superscript"/>
                <w:lang w:val="sr-Latn-ME" w:eastAsia="ja-JP"/>
              </w:rPr>
              <w:t>V600R</w:t>
            </w:r>
          </w:p>
        </w:tc>
        <w:tc>
          <w:tcPr>
            <w:tcW w:w="3737"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1%</w:t>
            </w:r>
          </w:p>
        </w:tc>
        <w:tc>
          <w:tcPr>
            <w:tcW w:w="351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9</w:t>
            </w:r>
          </w:p>
        </w:tc>
      </w:tr>
      <w:tr w:rsidR="00806E4F" w:rsidRPr="00611C50" w:rsidTr="00806E4F">
        <w:tc>
          <w:tcPr>
            <w:tcW w:w="1838"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eastAsia="ja-JP"/>
              </w:rPr>
              <w:t>BRAF</w:t>
            </w:r>
            <w:r w:rsidRPr="00611C50">
              <w:rPr>
                <w:sz w:val="22"/>
                <w:szCs w:val="22"/>
                <w:vertAlign w:val="superscript"/>
                <w:lang w:val="sr-Latn-ME" w:eastAsia="ja-JP"/>
              </w:rPr>
              <w:t>V600D</w:t>
            </w:r>
          </w:p>
        </w:tc>
        <w:tc>
          <w:tcPr>
            <w:tcW w:w="3737"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˂0.2%</w:t>
            </w:r>
          </w:p>
        </w:tc>
        <w:tc>
          <w:tcPr>
            <w:tcW w:w="351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7</w:t>
            </w:r>
          </w:p>
        </w:tc>
      </w:tr>
      <w:tr w:rsidR="00806E4F" w:rsidRPr="00611C50" w:rsidTr="00806E4F">
        <w:tc>
          <w:tcPr>
            <w:tcW w:w="1838"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eastAsia="ja-JP"/>
              </w:rPr>
              <w:t>BRAF</w:t>
            </w:r>
            <w:r w:rsidRPr="00611C50">
              <w:rPr>
                <w:sz w:val="22"/>
                <w:szCs w:val="22"/>
                <w:vertAlign w:val="superscript"/>
                <w:lang w:val="sr-Latn-ME" w:eastAsia="ja-JP"/>
              </w:rPr>
              <w:t>V600G</w:t>
            </w:r>
          </w:p>
        </w:tc>
        <w:tc>
          <w:tcPr>
            <w:tcW w:w="3737"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eastAsia="ja-JP"/>
              </w:rPr>
              <w:t>˂0.1%</w:t>
            </w:r>
          </w:p>
        </w:tc>
        <w:tc>
          <w:tcPr>
            <w:tcW w:w="351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8</w:t>
            </w:r>
          </w:p>
        </w:tc>
      </w:tr>
      <w:tr w:rsidR="00806E4F" w:rsidRPr="00611C50" w:rsidTr="00806E4F">
        <w:tc>
          <w:tcPr>
            <w:tcW w:w="1838"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eastAsia="ja-JP"/>
              </w:rPr>
              <w:t>BRAF</w:t>
            </w:r>
            <w:r w:rsidRPr="00611C50">
              <w:rPr>
                <w:sz w:val="22"/>
                <w:szCs w:val="22"/>
                <w:vertAlign w:val="superscript"/>
                <w:lang w:val="sr-Latn-ME" w:eastAsia="ja-JP"/>
              </w:rPr>
              <w:t>V600M</w:t>
            </w:r>
          </w:p>
        </w:tc>
        <w:tc>
          <w:tcPr>
            <w:tcW w:w="3737"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eastAsia="ja-JP"/>
              </w:rPr>
              <w:t>˂0.1%</w:t>
            </w:r>
          </w:p>
        </w:tc>
        <w:tc>
          <w:tcPr>
            <w:tcW w:w="351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7</w:t>
            </w:r>
          </w:p>
        </w:tc>
      </w:tr>
      <w:tr w:rsidR="00806E4F" w:rsidRPr="00611C50" w:rsidTr="00806E4F">
        <w:tc>
          <w:tcPr>
            <w:tcW w:w="1838"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eastAsia="ja-JP"/>
              </w:rPr>
              <w:t>BRAF</w:t>
            </w:r>
            <w:r w:rsidRPr="00611C50">
              <w:rPr>
                <w:sz w:val="22"/>
                <w:szCs w:val="22"/>
                <w:vertAlign w:val="superscript"/>
                <w:lang w:val="sr-Latn-ME" w:eastAsia="ja-JP"/>
              </w:rPr>
              <w:t>V600A</w:t>
            </w:r>
          </w:p>
        </w:tc>
        <w:tc>
          <w:tcPr>
            <w:tcW w:w="3737"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˂0.1%</w:t>
            </w:r>
          </w:p>
        </w:tc>
        <w:tc>
          <w:tcPr>
            <w:tcW w:w="351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14</w:t>
            </w:r>
          </w:p>
        </w:tc>
      </w:tr>
      <w:tr w:rsidR="00806E4F" w:rsidRPr="00611C50" w:rsidTr="00806E4F">
        <w:tc>
          <w:tcPr>
            <w:tcW w:w="1838"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rPr>
            </w:pPr>
            <w:r w:rsidRPr="00611C50">
              <w:rPr>
                <w:sz w:val="22"/>
                <w:szCs w:val="22"/>
                <w:lang w:val="sr-Latn-ME" w:eastAsia="ja-JP"/>
              </w:rPr>
              <w:t>BRAF</w:t>
            </w:r>
            <w:r w:rsidRPr="00611C50">
              <w:rPr>
                <w:sz w:val="22"/>
                <w:szCs w:val="22"/>
                <w:vertAlign w:val="superscript"/>
                <w:lang w:val="sr-Latn-ME" w:eastAsia="ja-JP"/>
              </w:rPr>
              <w:t>WT</w:t>
            </w:r>
          </w:p>
        </w:tc>
        <w:tc>
          <w:tcPr>
            <w:tcW w:w="3737"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NA</w:t>
            </w:r>
          </w:p>
        </w:tc>
        <w:tc>
          <w:tcPr>
            <w:tcW w:w="351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39</w:t>
            </w:r>
          </w:p>
        </w:tc>
      </w:tr>
    </w:tbl>
    <w:p w:rsidR="00806E4F" w:rsidRPr="00611C50" w:rsidRDefault="00806E4F" w:rsidP="00AD0CC1">
      <w:pPr>
        <w:jc w:val="both"/>
        <w:rPr>
          <w:sz w:val="22"/>
          <w:szCs w:val="22"/>
          <w:lang w:val="sr-Latn-ME" w:eastAsia="ja-JP"/>
        </w:rPr>
      </w:pPr>
      <w:r w:rsidRPr="00611C50">
        <w:rPr>
          <w:sz w:val="22"/>
          <w:szCs w:val="22"/>
          <w:vertAlign w:val="superscript"/>
          <w:lang w:val="sr-Latn-ME" w:eastAsia="ja-JP"/>
        </w:rPr>
        <w:t>(t)</w:t>
      </w:r>
      <w:r w:rsidRPr="00611C50">
        <w:rPr>
          <w:sz w:val="22"/>
          <w:szCs w:val="22"/>
          <w:lang w:val="sr-Latn-ME" w:eastAsia="ja-JP"/>
        </w:rPr>
        <w:t xml:space="preserve"> Procjenjeno na osnovu 16403 melanoma sa označenom mutacijom BRAF kodona 600 u javnoj COSMIC bazi podataka, izvještaj 71 (novembar 2014.).</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lang w:val="sr-Latn-ME" w:eastAsia="ja-JP"/>
        </w:rPr>
      </w:pPr>
      <w:r w:rsidRPr="00611C50">
        <w:rPr>
          <w:sz w:val="22"/>
          <w:szCs w:val="22"/>
          <w:lang w:val="sr-Latn-ME" w:eastAsia="ja-JP"/>
        </w:rPr>
        <w:t>Ovaj inhibitorni efekat potvrđen je ERK fosforilacijom i ćelijskim antiproliferativnim testovima u dostupnim ćelijskim linijama melanoma koje ispoljavaju V600 mutirani BRAF. U ćelijskim antiproliferativnim testovima inhibitorna koncentracija lijeka koja postiže 50%-ni efekat (IC50) na V600 mutiranim ćelijskim linijama (V600E, V600R, V600D i V600K mutirane ćelijske linije) kretala se od 0.016 do 1.131 µM, dok je  IC</w:t>
      </w:r>
      <w:r w:rsidRPr="00611C50">
        <w:rPr>
          <w:sz w:val="22"/>
          <w:szCs w:val="22"/>
          <w:vertAlign w:val="subscript"/>
          <w:lang w:val="sr-Latn-ME" w:eastAsia="ja-JP"/>
        </w:rPr>
        <w:t xml:space="preserve">50  </w:t>
      </w:r>
      <w:r w:rsidRPr="00611C50">
        <w:rPr>
          <w:sz w:val="22"/>
          <w:szCs w:val="22"/>
          <w:lang w:val="sr-Latn-ME" w:eastAsia="ja-JP"/>
        </w:rPr>
        <w:t xml:space="preserve">na nemutirane BRAF ćelijske linije bila 12.06 i 14.32 µM, respektivno. </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u w:val="single"/>
          <w:lang w:val="sr-Latn-ME" w:eastAsia="ja-JP"/>
        </w:rPr>
      </w:pPr>
      <w:r w:rsidRPr="00611C50">
        <w:rPr>
          <w:sz w:val="22"/>
          <w:szCs w:val="22"/>
          <w:u w:val="single"/>
          <w:lang w:val="sr-Latn-ME" w:eastAsia="ja-JP"/>
        </w:rPr>
        <w:t>Određivanje BRAF mutacijskog statusa</w:t>
      </w:r>
    </w:p>
    <w:p w:rsidR="00806E4F" w:rsidRPr="00611C50" w:rsidRDefault="00806E4F" w:rsidP="00AD0CC1">
      <w:pPr>
        <w:jc w:val="both"/>
        <w:rPr>
          <w:sz w:val="22"/>
          <w:szCs w:val="22"/>
          <w:lang w:val="sr-Latn-ME" w:eastAsia="ja-JP"/>
        </w:rPr>
      </w:pPr>
      <w:r w:rsidRPr="00611C50">
        <w:rPr>
          <w:sz w:val="22"/>
          <w:szCs w:val="22"/>
          <w:lang w:val="sr-Latn-ME" w:eastAsia="ja-JP"/>
        </w:rPr>
        <w:t xml:space="preserve">Prije uzimanja vemurafeniba, pacijent mora da ima tumorski status pozitivan na BRAF V600 mutaciju, potvrđen validiranim testom. U kliničkim studijama faze II i III, raspoloživi pacijenti identifikovani su primjenom </w:t>
      </w:r>
      <w:r w:rsidRPr="00611C50">
        <w:rPr>
          <w:color w:val="000000"/>
          <w:sz w:val="22"/>
          <w:szCs w:val="22"/>
          <w:lang w:val="sr-Latn-ME" w:eastAsia="ja-JP"/>
        </w:rPr>
        <w:t>real-time</w:t>
      </w:r>
      <w:r w:rsidRPr="00611C50">
        <w:rPr>
          <w:sz w:val="22"/>
          <w:szCs w:val="22"/>
          <w:lang w:val="sr-Latn-ME" w:eastAsia="ja-JP"/>
        </w:rPr>
        <w:t xml:space="preserve"> testa reakcije lanaca polimeraze  (cobas® 4800 BRAF V600 Mutacija Test). Ovaj test ima CE znak, i koristi se za proc</w:t>
      </w:r>
      <w:r w:rsidR="00D80D1B">
        <w:rPr>
          <w:sz w:val="22"/>
          <w:szCs w:val="22"/>
          <w:lang w:val="sr-Latn-ME" w:eastAsia="ja-JP"/>
        </w:rPr>
        <w:t>j</w:t>
      </w:r>
      <w:r w:rsidRPr="00611C50">
        <w:rPr>
          <w:sz w:val="22"/>
          <w:szCs w:val="22"/>
          <w:lang w:val="sr-Latn-ME" w:eastAsia="ja-JP"/>
        </w:rPr>
        <w:t xml:space="preserve">enu BRAF mutacijskog statusa DNK izolovane iz tumorskog tkiva fiksiranog u formalinu, uronjenog u parafin. Dizajniran je tako da detektuje prvenstveno BRAF V600 mutacije sa visokom senzitivnošću (do 5% V600E sekvence u okruženju nemutirane sekvence iz FFPE-izvedene DNK). Nekliničke i kliničke studije retrospektivne sekvencionalne analize pokazale su da test detektuje i manje uobičajene BRAF V600D i V600K mutacije sa nižom osjetljivošću. Od uzoraka dostupnih iz nekliničkih i kliničkih studija (n=467), koji su bili pozitivni na mutacije prema cobas testu, i dodatno analiziranih sekvencioniranjem, nijedan uzorak nije identifikovan kao nemutirani tip, ni Sanger ni 454 sekvencioniranjem. </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u w:val="single"/>
          <w:lang w:val="sr-Latn-ME" w:eastAsia="ja-JP"/>
        </w:rPr>
      </w:pPr>
      <w:r w:rsidRPr="00611C50">
        <w:rPr>
          <w:sz w:val="22"/>
          <w:szCs w:val="22"/>
          <w:u w:val="single"/>
          <w:lang w:val="sr-Latn-ME" w:eastAsia="ja-JP"/>
        </w:rPr>
        <w:t>Klinička efikasnost i bezbjednost</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lang w:val="sr-Latn-ME" w:eastAsia="ja-JP"/>
        </w:rPr>
      </w:pPr>
      <w:r w:rsidRPr="00611C50">
        <w:rPr>
          <w:sz w:val="22"/>
          <w:szCs w:val="22"/>
          <w:lang w:val="sr-Latn-ME" w:eastAsia="ja-JP"/>
        </w:rPr>
        <w:t>Efikasnost vemurafeniba procjenjivana je na 336 pacijenata u kliničkoj studiji faze III (NO25026) i 278 pacijenta u dvije kliničke studije faze II (NP22657 i MO25743). Zaht</w:t>
      </w:r>
      <w:r w:rsidR="00D80D1B">
        <w:rPr>
          <w:sz w:val="22"/>
          <w:szCs w:val="22"/>
          <w:lang w:val="sr-Latn-ME" w:eastAsia="ja-JP"/>
        </w:rPr>
        <w:t>i</w:t>
      </w:r>
      <w:r w:rsidRPr="00611C50">
        <w:rPr>
          <w:sz w:val="22"/>
          <w:szCs w:val="22"/>
          <w:lang w:val="sr-Latn-ME" w:eastAsia="ja-JP"/>
        </w:rPr>
        <w:t xml:space="preserve">jevano je da svi pacijenti imaju </w:t>
      </w:r>
      <w:r w:rsidRPr="00611C50">
        <w:rPr>
          <w:sz w:val="22"/>
          <w:szCs w:val="22"/>
          <w:lang w:val="sr-Latn-ME" w:eastAsia="ja-JP"/>
        </w:rPr>
        <w:lastRenderedPageBreak/>
        <w:t xml:space="preserve">uznapredovali melanom sa BRAF V600 mutacijom, određenom sa cobas 4800 BRAF V600 Testom na mutacije.  </w:t>
      </w:r>
    </w:p>
    <w:p w:rsidR="00806E4F" w:rsidRPr="00611C50" w:rsidRDefault="00806E4F" w:rsidP="00AD0CC1">
      <w:pPr>
        <w:jc w:val="both"/>
        <w:rPr>
          <w:sz w:val="22"/>
          <w:szCs w:val="22"/>
          <w:lang w:val="sr-Latn-ME" w:eastAsia="ja-JP"/>
        </w:rPr>
      </w:pPr>
      <w:r w:rsidRPr="00611C50">
        <w:rPr>
          <w:sz w:val="22"/>
          <w:szCs w:val="22"/>
          <w:lang w:val="sr-Latn-ME" w:eastAsia="ja-JP"/>
        </w:rPr>
        <w:t xml:space="preserve"> </w:t>
      </w:r>
    </w:p>
    <w:p w:rsidR="00806E4F" w:rsidRPr="00611C50" w:rsidRDefault="00806E4F" w:rsidP="00AD0CC1">
      <w:pPr>
        <w:jc w:val="both"/>
        <w:rPr>
          <w:i/>
          <w:sz w:val="22"/>
          <w:szCs w:val="22"/>
          <w:lang w:val="sr-Latn-ME" w:eastAsia="ja-JP"/>
        </w:rPr>
      </w:pPr>
      <w:r w:rsidRPr="00611C50">
        <w:rPr>
          <w:i/>
          <w:sz w:val="22"/>
          <w:szCs w:val="22"/>
          <w:lang w:val="sr-Latn-ME" w:eastAsia="ja-JP"/>
        </w:rPr>
        <w:t>Rezultati studije faze III (NO25026) kod prethodno neliječenih pacijenata</w:t>
      </w:r>
    </w:p>
    <w:p w:rsidR="00806E4F" w:rsidRPr="00611C50" w:rsidRDefault="00806E4F" w:rsidP="00AD0CC1">
      <w:pPr>
        <w:jc w:val="both"/>
        <w:rPr>
          <w:sz w:val="22"/>
          <w:szCs w:val="22"/>
          <w:lang w:val="sr-Latn-ME" w:eastAsia="ja-JP"/>
        </w:rPr>
      </w:pPr>
      <w:r w:rsidRPr="00611C50">
        <w:rPr>
          <w:sz w:val="22"/>
          <w:szCs w:val="22"/>
          <w:lang w:val="sr-Latn-ME" w:eastAsia="ja-JP"/>
        </w:rPr>
        <w:t xml:space="preserve">Otvorena, multicentrična, internacionalna, randomizovana studija faze III podržava primjenu vemurafeniba kod prethodno neliječenih pacijenata sa neresektabilnim ili metastatskim melanomom sa pozitivnom BRAF V600 mutacijom. Pacijenti su randomizovani da dobijaju vemurafenib (960 mg dva puta dnevno) ili dakarbazin (1000 mg/m2 prvog dana svake 3 nedelje). </w:t>
      </w:r>
    </w:p>
    <w:p w:rsidR="00806E4F" w:rsidRPr="00611C50" w:rsidRDefault="00806E4F" w:rsidP="00AD0CC1">
      <w:pPr>
        <w:tabs>
          <w:tab w:val="left" w:pos="540"/>
          <w:tab w:val="left" w:pos="569"/>
        </w:tabs>
        <w:jc w:val="both"/>
        <w:rPr>
          <w:bCs/>
          <w:sz w:val="22"/>
          <w:szCs w:val="22"/>
          <w:lang w:val="sr-Latn-ME"/>
        </w:rPr>
      </w:pPr>
    </w:p>
    <w:p w:rsidR="00806E4F" w:rsidRPr="00611C50" w:rsidRDefault="00806E4F" w:rsidP="00AD0CC1">
      <w:pPr>
        <w:jc w:val="both"/>
        <w:rPr>
          <w:sz w:val="22"/>
          <w:szCs w:val="22"/>
          <w:lang w:val="sr-Latn-ME" w:eastAsia="ja-JP"/>
        </w:rPr>
      </w:pPr>
      <w:r w:rsidRPr="00611C50">
        <w:rPr>
          <w:sz w:val="22"/>
          <w:szCs w:val="22"/>
          <w:lang w:val="sr-Latn-ME" w:eastAsia="ja-JP"/>
        </w:rPr>
        <w:t>Ukupno 675 pacijenata randomizovano je da dobija vemurafenib (n=337) ili dakarbazin (n=338). Većina pacijenata bili su muškarci (56%) i b</w:t>
      </w:r>
      <w:r w:rsidR="00D80D1B">
        <w:rPr>
          <w:sz w:val="22"/>
          <w:szCs w:val="22"/>
          <w:lang w:val="sr-Latn-ME" w:eastAsia="ja-JP"/>
        </w:rPr>
        <w:t>i</w:t>
      </w:r>
      <w:r w:rsidRPr="00611C50">
        <w:rPr>
          <w:sz w:val="22"/>
          <w:szCs w:val="22"/>
          <w:lang w:val="sr-Latn-ME" w:eastAsia="ja-JP"/>
        </w:rPr>
        <w:t xml:space="preserve">jelci (99%), medijana starosti bila je 54 godine (24% bilo je  ≥ 65 godina), svi pacijenti imali su ECOG performans status 0 ili 1, i većina pacijenata imala je stadijum M1c bolesti (65%). Primarni ciljevi studije bili su ukupno preživljavanje (OS) i preživljavanje do progresije bolesti (PFS). </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lang w:val="sr-Latn-ME" w:eastAsia="ja-JP"/>
        </w:rPr>
      </w:pPr>
      <w:r w:rsidRPr="00611C50">
        <w:rPr>
          <w:sz w:val="22"/>
          <w:szCs w:val="22"/>
          <w:lang w:val="sr-Latn-ME" w:eastAsia="ja-JP"/>
        </w:rPr>
        <w:t xml:space="preserve">Prilikom prethodno planirane interim analize, sa 30. decembrom 2010. kao datumom presjeka, zabilježena su značajna poboljšanja u pogledu primarnih ciljeva – OS (p˂0.0001) i </w:t>
      </w:r>
      <w:smartTag w:uri="urn:schemas-microsoft-com:office:smarttags" w:element="stockticker">
        <w:r w:rsidRPr="00611C50">
          <w:rPr>
            <w:sz w:val="22"/>
            <w:szCs w:val="22"/>
            <w:lang w:val="sr-Latn-ME" w:eastAsia="ja-JP"/>
          </w:rPr>
          <w:t>PFS</w:t>
        </w:r>
      </w:smartTag>
      <w:r w:rsidRPr="00611C50">
        <w:rPr>
          <w:sz w:val="22"/>
          <w:szCs w:val="22"/>
          <w:lang w:val="sr-Latn-ME" w:eastAsia="ja-JP"/>
        </w:rPr>
        <w:t xml:space="preserve"> (p˂0.0001) (nestratifikovani log-rank test). Nakon preporuka Odbora za praćenje podataka o bezb</w:t>
      </w:r>
      <w:r w:rsidR="00D80D1B">
        <w:rPr>
          <w:sz w:val="22"/>
          <w:szCs w:val="22"/>
          <w:lang w:val="sr-Latn-ME" w:eastAsia="ja-JP"/>
        </w:rPr>
        <w:t>j</w:t>
      </w:r>
      <w:r w:rsidRPr="00611C50">
        <w:rPr>
          <w:sz w:val="22"/>
          <w:szCs w:val="22"/>
          <w:lang w:val="sr-Latn-ME" w:eastAsia="ja-JP"/>
        </w:rPr>
        <w:t>ednosti (DSMB - Data Safety Monitoring Board), ovi rezultati su objavljeni u januaru 2011. godine i studija je modifikovana da se dozvoli prelazak pacijentima liječenim dakarbazinom na terapiju vemurafenibom. Post-hoc analiza preživljavanja sprovedena je nakon toga, kao što je prikazano u Tabeli 7.</w:t>
      </w:r>
    </w:p>
    <w:p w:rsidR="00806E4F" w:rsidRPr="00611C50" w:rsidRDefault="00806E4F" w:rsidP="00AD0CC1">
      <w:pPr>
        <w:jc w:val="both"/>
        <w:rPr>
          <w:sz w:val="22"/>
          <w:szCs w:val="22"/>
          <w:lang w:val="sr-Latn-ME" w:eastAsia="ja-JP"/>
        </w:rPr>
      </w:pPr>
    </w:p>
    <w:p w:rsidR="00806E4F" w:rsidRPr="00611C50" w:rsidRDefault="00806E4F" w:rsidP="00AD0CC1">
      <w:pPr>
        <w:ind w:left="1080" w:hanging="1080"/>
        <w:jc w:val="both"/>
        <w:rPr>
          <w:b/>
          <w:sz w:val="22"/>
          <w:szCs w:val="22"/>
          <w:lang w:val="sr-Latn-ME" w:eastAsia="ja-JP"/>
        </w:rPr>
      </w:pPr>
      <w:r w:rsidRPr="00611C50">
        <w:rPr>
          <w:b/>
          <w:sz w:val="22"/>
          <w:szCs w:val="22"/>
          <w:lang w:val="sr-Latn-ME" w:eastAsia="ja-JP"/>
        </w:rPr>
        <w:t xml:space="preserve">Tabela 7: Ukupno preživljavanje prethodno neliječenih pacijenata sa melanomom pozitivnim na BRAF V600 mutaciju do datuma presjeka (N=338 dakarbazin, N=337 vemurafenib) </w:t>
      </w:r>
    </w:p>
    <w:p w:rsidR="00806E4F" w:rsidRPr="00611C50" w:rsidRDefault="00806E4F" w:rsidP="00AD0CC1">
      <w:pPr>
        <w:ind w:left="1080" w:hanging="1080"/>
        <w:jc w:val="both"/>
        <w:rPr>
          <w:sz w:val="22"/>
          <w:szCs w:val="22"/>
          <w:lang w:val="sr-Latn-ME" w:eastAsia="ja-JP"/>
        </w:rPr>
      </w:pPr>
      <w:r w:rsidRPr="00611C50">
        <w:rPr>
          <w:b/>
          <w:sz w:val="22"/>
          <w:szCs w:val="22"/>
          <w:lang w:val="sr-Latn-ME" w:eastAsia="ja-JP"/>
        </w:rPr>
        <w:tab/>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2044"/>
        <w:gridCol w:w="1770"/>
        <w:gridCol w:w="2005"/>
        <w:gridCol w:w="1890"/>
      </w:tblGrid>
      <w:tr w:rsidR="00806E4F" w:rsidRPr="00611C50" w:rsidTr="00806E4F">
        <w:trPr>
          <w:trHeight w:val="540"/>
          <w:jc w:val="center"/>
        </w:trPr>
        <w:tc>
          <w:tcPr>
            <w:tcW w:w="1646"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Datum presjeka</w:t>
            </w:r>
          </w:p>
          <w:p w:rsidR="00806E4F" w:rsidRPr="00611C50" w:rsidRDefault="00806E4F" w:rsidP="00AD0CC1">
            <w:pPr>
              <w:autoSpaceDE w:val="0"/>
              <w:autoSpaceDN w:val="0"/>
              <w:adjustRightInd w:val="0"/>
              <w:jc w:val="both"/>
              <w:rPr>
                <w:sz w:val="22"/>
                <w:szCs w:val="22"/>
                <w:lang w:val="sr-Latn-ME" w:eastAsia="ja-JP"/>
              </w:rPr>
            </w:pPr>
          </w:p>
        </w:tc>
        <w:tc>
          <w:tcPr>
            <w:tcW w:w="2044"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37551">
            <w:pPr>
              <w:autoSpaceDE w:val="0"/>
              <w:autoSpaceDN w:val="0"/>
              <w:adjustRightInd w:val="0"/>
              <w:jc w:val="center"/>
              <w:rPr>
                <w:sz w:val="22"/>
                <w:szCs w:val="22"/>
                <w:lang w:val="sr-Latn-ME" w:eastAsia="ja-JP"/>
              </w:rPr>
            </w:pPr>
            <w:r w:rsidRPr="00611C50">
              <w:rPr>
                <w:sz w:val="22"/>
                <w:szCs w:val="22"/>
                <w:lang w:val="sr-Latn-ME" w:eastAsia="ja-JP"/>
              </w:rPr>
              <w:t>Terapija</w:t>
            </w:r>
          </w:p>
        </w:tc>
        <w:tc>
          <w:tcPr>
            <w:tcW w:w="177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37551">
            <w:pPr>
              <w:autoSpaceDE w:val="0"/>
              <w:autoSpaceDN w:val="0"/>
              <w:adjustRightInd w:val="0"/>
              <w:jc w:val="center"/>
              <w:rPr>
                <w:sz w:val="22"/>
                <w:szCs w:val="22"/>
                <w:lang w:val="sr-Latn-ME" w:eastAsia="ja-JP"/>
              </w:rPr>
            </w:pPr>
            <w:r w:rsidRPr="00611C50">
              <w:rPr>
                <w:sz w:val="22"/>
                <w:szCs w:val="22"/>
                <w:lang w:val="sr-Latn-ME" w:eastAsia="ja-JP"/>
              </w:rPr>
              <w:t>Broj smrtnih slučajeva (%)</w:t>
            </w:r>
          </w:p>
        </w:tc>
        <w:tc>
          <w:tcPr>
            <w:tcW w:w="2005"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37551">
            <w:pPr>
              <w:autoSpaceDE w:val="0"/>
              <w:autoSpaceDN w:val="0"/>
              <w:adjustRightInd w:val="0"/>
              <w:jc w:val="center"/>
              <w:rPr>
                <w:sz w:val="22"/>
                <w:szCs w:val="22"/>
                <w:lang w:val="sr-Latn-ME" w:eastAsia="ja-JP"/>
              </w:rPr>
            </w:pPr>
            <w:r w:rsidRPr="00611C50">
              <w:rPr>
                <w:sz w:val="22"/>
                <w:szCs w:val="22"/>
                <w:lang w:val="sr-Latn-ME" w:eastAsia="ja-JP"/>
              </w:rPr>
              <w:t>Koeficijent hazardnosti - HR (95% CI)</w:t>
            </w:r>
          </w:p>
        </w:tc>
        <w:tc>
          <w:tcPr>
            <w:tcW w:w="189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37551">
            <w:pPr>
              <w:autoSpaceDE w:val="0"/>
              <w:autoSpaceDN w:val="0"/>
              <w:adjustRightInd w:val="0"/>
              <w:jc w:val="center"/>
              <w:rPr>
                <w:sz w:val="22"/>
                <w:szCs w:val="22"/>
                <w:lang w:val="sr-Latn-ME" w:eastAsia="ja-JP"/>
              </w:rPr>
            </w:pPr>
            <w:r w:rsidRPr="00611C50">
              <w:rPr>
                <w:sz w:val="22"/>
                <w:szCs w:val="22"/>
                <w:lang w:val="sr-Latn-ME" w:eastAsia="ja-JP"/>
              </w:rPr>
              <w:t>Broj pacijenata koji su prešli na terapiju vemurafenibom (%)</w:t>
            </w:r>
          </w:p>
        </w:tc>
      </w:tr>
      <w:tr w:rsidR="00806E4F" w:rsidRPr="00611C50" w:rsidTr="00806E4F">
        <w:trPr>
          <w:trHeight w:val="398"/>
          <w:jc w:val="center"/>
        </w:trPr>
        <w:tc>
          <w:tcPr>
            <w:tcW w:w="1646" w:type="dxa"/>
            <w:vMerge w:val="restart"/>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37551">
            <w:pPr>
              <w:autoSpaceDE w:val="0"/>
              <w:autoSpaceDN w:val="0"/>
              <w:adjustRightInd w:val="0"/>
              <w:ind w:left="360"/>
              <w:jc w:val="center"/>
              <w:rPr>
                <w:sz w:val="22"/>
                <w:szCs w:val="22"/>
                <w:lang w:val="sr-Latn-ME" w:eastAsia="ja-JP"/>
              </w:rPr>
            </w:pPr>
            <w:r w:rsidRPr="00611C50">
              <w:rPr>
                <w:sz w:val="22"/>
                <w:szCs w:val="22"/>
                <w:lang w:val="sr-Latn-ME" w:eastAsia="ja-JP"/>
              </w:rPr>
              <w:t>30. decembar 2010.</w:t>
            </w:r>
          </w:p>
        </w:tc>
        <w:tc>
          <w:tcPr>
            <w:tcW w:w="2044"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dakarbazin</w:t>
            </w:r>
          </w:p>
        </w:tc>
        <w:tc>
          <w:tcPr>
            <w:tcW w:w="177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75 (22)</w:t>
            </w:r>
          </w:p>
        </w:tc>
        <w:tc>
          <w:tcPr>
            <w:tcW w:w="2005" w:type="dxa"/>
            <w:vMerge w:val="restart"/>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0.37 (0.26, 0.55)</w:t>
            </w:r>
          </w:p>
        </w:tc>
        <w:tc>
          <w:tcPr>
            <w:tcW w:w="1890" w:type="dxa"/>
            <w:vMerge w:val="restart"/>
            <w:tcBorders>
              <w:top w:val="single" w:sz="4" w:space="0" w:color="auto"/>
              <w:left w:val="single" w:sz="4" w:space="0" w:color="auto"/>
              <w:bottom w:val="single" w:sz="4" w:space="0" w:color="auto"/>
              <w:right w:val="single" w:sz="4" w:space="0" w:color="auto"/>
            </w:tcBorders>
            <w:hideMark/>
          </w:tcPr>
          <w:p w:rsidR="00806E4F" w:rsidRPr="00611C50" w:rsidRDefault="00806E4F" w:rsidP="00A37551">
            <w:pPr>
              <w:autoSpaceDE w:val="0"/>
              <w:autoSpaceDN w:val="0"/>
              <w:adjustRightInd w:val="0"/>
              <w:rPr>
                <w:sz w:val="22"/>
                <w:szCs w:val="22"/>
                <w:lang w:val="sr-Latn-ME" w:eastAsia="ja-JP"/>
              </w:rPr>
            </w:pPr>
            <w:r w:rsidRPr="00611C50">
              <w:rPr>
                <w:sz w:val="22"/>
                <w:szCs w:val="22"/>
                <w:lang w:val="sr-Latn-ME" w:eastAsia="ja-JP"/>
              </w:rPr>
              <w:t>0 (nije primjenljivo)</w:t>
            </w:r>
          </w:p>
        </w:tc>
      </w:tr>
      <w:tr w:rsidR="00806E4F" w:rsidRPr="00611C50" w:rsidTr="00806E4F">
        <w:trPr>
          <w:trHeight w:val="398"/>
          <w:jc w:val="center"/>
        </w:trPr>
        <w:tc>
          <w:tcPr>
            <w:tcW w:w="1646" w:type="dxa"/>
            <w:vMerge/>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37551">
            <w:pPr>
              <w:jc w:val="center"/>
              <w:rPr>
                <w:sz w:val="22"/>
                <w:szCs w:val="22"/>
                <w:lang w:val="sr-Latn-ME" w:eastAsia="ja-JP"/>
              </w:rPr>
            </w:pPr>
          </w:p>
        </w:tc>
        <w:tc>
          <w:tcPr>
            <w:tcW w:w="2044"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vemurafenib</w:t>
            </w:r>
          </w:p>
        </w:tc>
        <w:tc>
          <w:tcPr>
            <w:tcW w:w="177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43 (13)</w:t>
            </w:r>
          </w:p>
        </w:tc>
        <w:tc>
          <w:tcPr>
            <w:tcW w:w="2005" w:type="dxa"/>
            <w:vMerge/>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eastAsia="ja-JP"/>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eastAsia="ja-JP"/>
              </w:rPr>
            </w:pPr>
          </w:p>
        </w:tc>
      </w:tr>
      <w:tr w:rsidR="00806E4F" w:rsidRPr="00611C50" w:rsidTr="00806E4F">
        <w:trPr>
          <w:trHeight w:val="398"/>
          <w:jc w:val="center"/>
        </w:trPr>
        <w:tc>
          <w:tcPr>
            <w:tcW w:w="1646" w:type="dxa"/>
            <w:vMerge w:val="restart"/>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37551">
            <w:pPr>
              <w:autoSpaceDE w:val="0"/>
              <w:autoSpaceDN w:val="0"/>
              <w:adjustRightInd w:val="0"/>
              <w:ind w:left="360"/>
              <w:jc w:val="center"/>
              <w:rPr>
                <w:sz w:val="22"/>
                <w:szCs w:val="22"/>
                <w:lang w:val="sr-Latn-ME" w:eastAsia="ja-JP"/>
              </w:rPr>
            </w:pPr>
            <w:r w:rsidRPr="00611C50">
              <w:rPr>
                <w:sz w:val="22"/>
                <w:szCs w:val="22"/>
                <w:lang w:val="sr-Latn-ME" w:eastAsia="ja-JP"/>
              </w:rPr>
              <w:t>31. mart 2011.</w:t>
            </w:r>
          </w:p>
        </w:tc>
        <w:tc>
          <w:tcPr>
            <w:tcW w:w="2044"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dakarbazin</w:t>
            </w:r>
          </w:p>
        </w:tc>
        <w:tc>
          <w:tcPr>
            <w:tcW w:w="177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122 (36)</w:t>
            </w:r>
          </w:p>
        </w:tc>
        <w:tc>
          <w:tcPr>
            <w:tcW w:w="2005" w:type="dxa"/>
            <w:vMerge w:val="restart"/>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 xml:space="preserve">0.44 (0.33, 0.59) </w:t>
            </w:r>
            <w:r w:rsidRPr="00611C50">
              <w:rPr>
                <w:sz w:val="22"/>
                <w:szCs w:val="22"/>
                <w:vertAlign w:val="superscript"/>
                <w:lang w:val="sr-Latn-ME" w:eastAsia="ja-JP"/>
              </w:rPr>
              <w:t>(w)</w:t>
            </w:r>
          </w:p>
        </w:tc>
        <w:tc>
          <w:tcPr>
            <w:tcW w:w="1890" w:type="dxa"/>
            <w:vMerge w:val="restart"/>
            <w:tcBorders>
              <w:top w:val="single" w:sz="4" w:space="0" w:color="auto"/>
              <w:left w:val="single" w:sz="4" w:space="0" w:color="auto"/>
              <w:bottom w:val="single" w:sz="4" w:space="0" w:color="auto"/>
              <w:right w:val="single" w:sz="4" w:space="0" w:color="auto"/>
            </w:tcBorders>
            <w:hideMark/>
          </w:tcPr>
          <w:p w:rsidR="00806E4F" w:rsidRPr="00611C50" w:rsidRDefault="00806E4F" w:rsidP="00A37551">
            <w:pPr>
              <w:autoSpaceDE w:val="0"/>
              <w:autoSpaceDN w:val="0"/>
              <w:adjustRightInd w:val="0"/>
              <w:rPr>
                <w:sz w:val="22"/>
                <w:szCs w:val="22"/>
                <w:lang w:val="sr-Latn-ME" w:eastAsia="ja-JP"/>
              </w:rPr>
            </w:pPr>
            <w:r w:rsidRPr="00611C50">
              <w:rPr>
                <w:sz w:val="22"/>
                <w:szCs w:val="22"/>
                <w:lang w:val="sr-Latn-ME" w:eastAsia="ja-JP"/>
              </w:rPr>
              <w:t>50 (15%)</w:t>
            </w:r>
            <w:r w:rsidRPr="00611C50">
              <w:rPr>
                <w:sz w:val="22"/>
                <w:szCs w:val="22"/>
                <w:lang w:val="sr-Latn-ME" w:eastAsia="ja-JP"/>
              </w:rPr>
              <w:br/>
            </w:r>
          </w:p>
        </w:tc>
      </w:tr>
      <w:tr w:rsidR="00806E4F" w:rsidRPr="00611C50" w:rsidTr="00806E4F">
        <w:trPr>
          <w:trHeight w:val="398"/>
          <w:jc w:val="center"/>
        </w:trPr>
        <w:tc>
          <w:tcPr>
            <w:tcW w:w="1646" w:type="dxa"/>
            <w:vMerge/>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37551">
            <w:pPr>
              <w:jc w:val="center"/>
              <w:rPr>
                <w:sz w:val="22"/>
                <w:szCs w:val="22"/>
                <w:lang w:val="sr-Latn-ME" w:eastAsia="ja-JP"/>
              </w:rPr>
            </w:pPr>
          </w:p>
        </w:tc>
        <w:tc>
          <w:tcPr>
            <w:tcW w:w="2044"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vemurafenib</w:t>
            </w:r>
          </w:p>
        </w:tc>
        <w:tc>
          <w:tcPr>
            <w:tcW w:w="177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78 (23)</w:t>
            </w:r>
          </w:p>
        </w:tc>
        <w:tc>
          <w:tcPr>
            <w:tcW w:w="2005" w:type="dxa"/>
            <w:vMerge/>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eastAsia="ja-JP"/>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eastAsia="ja-JP"/>
              </w:rPr>
            </w:pPr>
          </w:p>
        </w:tc>
      </w:tr>
      <w:tr w:rsidR="00806E4F" w:rsidRPr="00611C50" w:rsidTr="00806E4F">
        <w:trPr>
          <w:trHeight w:val="529"/>
          <w:jc w:val="center"/>
        </w:trPr>
        <w:tc>
          <w:tcPr>
            <w:tcW w:w="1646" w:type="dxa"/>
            <w:vMerge w:val="restart"/>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37551">
            <w:pPr>
              <w:autoSpaceDE w:val="0"/>
              <w:autoSpaceDN w:val="0"/>
              <w:adjustRightInd w:val="0"/>
              <w:ind w:left="360"/>
              <w:jc w:val="center"/>
              <w:rPr>
                <w:sz w:val="22"/>
                <w:szCs w:val="22"/>
                <w:lang w:val="sr-Latn-ME" w:eastAsia="ja-JP"/>
              </w:rPr>
            </w:pPr>
            <w:r w:rsidRPr="00611C50">
              <w:rPr>
                <w:sz w:val="22"/>
                <w:szCs w:val="22"/>
                <w:lang w:val="sr-Latn-ME" w:eastAsia="ja-JP"/>
              </w:rPr>
              <w:t>3. oktobar 2011.</w:t>
            </w:r>
          </w:p>
        </w:tc>
        <w:tc>
          <w:tcPr>
            <w:tcW w:w="2044"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dakarbazin</w:t>
            </w:r>
          </w:p>
        </w:tc>
        <w:tc>
          <w:tcPr>
            <w:tcW w:w="177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175 (52)</w:t>
            </w:r>
          </w:p>
        </w:tc>
        <w:tc>
          <w:tcPr>
            <w:tcW w:w="2005" w:type="dxa"/>
            <w:vMerge w:val="restart"/>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0.62 (0.49, 0.77)</w:t>
            </w:r>
            <w:r w:rsidRPr="00611C50">
              <w:rPr>
                <w:sz w:val="22"/>
                <w:szCs w:val="22"/>
                <w:vertAlign w:val="superscript"/>
                <w:lang w:val="sr-Latn-ME" w:eastAsia="ja-JP"/>
              </w:rPr>
              <w:t xml:space="preserve"> (w)</w:t>
            </w:r>
          </w:p>
        </w:tc>
        <w:tc>
          <w:tcPr>
            <w:tcW w:w="1890" w:type="dxa"/>
            <w:vMerge w:val="restart"/>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81 (24%)</w:t>
            </w:r>
          </w:p>
        </w:tc>
      </w:tr>
      <w:tr w:rsidR="00806E4F" w:rsidRPr="00611C50" w:rsidTr="00806E4F">
        <w:trPr>
          <w:trHeight w:val="528"/>
          <w:jc w:val="center"/>
        </w:trPr>
        <w:tc>
          <w:tcPr>
            <w:tcW w:w="1646" w:type="dxa"/>
            <w:vMerge/>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37551">
            <w:pPr>
              <w:jc w:val="center"/>
              <w:rPr>
                <w:sz w:val="22"/>
                <w:szCs w:val="22"/>
                <w:lang w:val="sr-Latn-ME" w:eastAsia="ja-JP"/>
              </w:rPr>
            </w:pPr>
          </w:p>
        </w:tc>
        <w:tc>
          <w:tcPr>
            <w:tcW w:w="2044"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vemurafenib</w:t>
            </w:r>
          </w:p>
        </w:tc>
        <w:tc>
          <w:tcPr>
            <w:tcW w:w="177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159 (47)</w:t>
            </w:r>
          </w:p>
        </w:tc>
        <w:tc>
          <w:tcPr>
            <w:tcW w:w="2005" w:type="dxa"/>
            <w:vMerge/>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eastAsia="ja-JP"/>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eastAsia="ja-JP"/>
              </w:rPr>
            </w:pPr>
          </w:p>
        </w:tc>
      </w:tr>
      <w:tr w:rsidR="00806E4F" w:rsidRPr="00611C50" w:rsidTr="00806E4F">
        <w:trPr>
          <w:trHeight w:val="528"/>
          <w:jc w:val="center"/>
        </w:trPr>
        <w:tc>
          <w:tcPr>
            <w:tcW w:w="1646" w:type="dxa"/>
            <w:vMerge w:val="restart"/>
            <w:tcBorders>
              <w:top w:val="single" w:sz="4" w:space="0" w:color="auto"/>
              <w:left w:val="single" w:sz="4" w:space="0" w:color="auto"/>
              <w:bottom w:val="single" w:sz="4" w:space="0" w:color="auto"/>
              <w:right w:val="single" w:sz="4" w:space="0" w:color="auto"/>
            </w:tcBorders>
          </w:tcPr>
          <w:p w:rsidR="00806E4F" w:rsidRPr="00611C50" w:rsidRDefault="00806E4F" w:rsidP="00A37551">
            <w:pPr>
              <w:autoSpaceDE w:val="0"/>
              <w:autoSpaceDN w:val="0"/>
              <w:adjustRightInd w:val="0"/>
              <w:ind w:left="360" w:hanging="360"/>
              <w:jc w:val="center"/>
              <w:rPr>
                <w:sz w:val="22"/>
                <w:szCs w:val="22"/>
                <w:lang w:val="sr-Latn-ME" w:eastAsia="ja-JP"/>
              </w:rPr>
            </w:pPr>
          </w:p>
          <w:p w:rsidR="00806E4F" w:rsidRPr="00611C50" w:rsidRDefault="00806E4F" w:rsidP="00A37551">
            <w:pPr>
              <w:jc w:val="center"/>
              <w:rPr>
                <w:sz w:val="22"/>
                <w:szCs w:val="22"/>
                <w:lang w:val="sr-Latn-ME" w:eastAsia="ja-JP"/>
              </w:rPr>
            </w:pPr>
          </w:p>
          <w:p w:rsidR="00806E4F" w:rsidRPr="00611C50" w:rsidRDefault="00806E4F" w:rsidP="00A37551">
            <w:pPr>
              <w:numPr>
                <w:ilvl w:val="0"/>
                <w:numId w:val="13"/>
              </w:numPr>
              <w:autoSpaceDE w:val="0"/>
              <w:autoSpaceDN w:val="0"/>
              <w:adjustRightInd w:val="0"/>
              <w:jc w:val="center"/>
              <w:rPr>
                <w:sz w:val="22"/>
                <w:szCs w:val="22"/>
                <w:lang w:val="sr-Latn-ME" w:eastAsia="ja-JP"/>
              </w:rPr>
            </w:pPr>
            <w:r w:rsidRPr="00611C50">
              <w:rPr>
                <w:sz w:val="22"/>
                <w:szCs w:val="22"/>
                <w:lang w:val="sr-Latn-ME" w:eastAsia="ja-JP"/>
              </w:rPr>
              <w:t>Februar 2012.</w:t>
            </w:r>
          </w:p>
        </w:tc>
        <w:tc>
          <w:tcPr>
            <w:tcW w:w="2044"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dakarbazin</w:t>
            </w:r>
          </w:p>
        </w:tc>
        <w:tc>
          <w:tcPr>
            <w:tcW w:w="1770"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autoSpaceDE w:val="0"/>
              <w:autoSpaceDN w:val="0"/>
              <w:adjustRightInd w:val="0"/>
              <w:jc w:val="both"/>
              <w:rPr>
                <w:sz w:val="22"/>
                <w:szCs w:val="22"/>
                <w:lang w:val="sr-Latn-ME" w:eastAsia="ja-JP"/>
              </w:rPr>
            </w:pPr>
          </w:p>
          <w:p w:rsidR="00806E4F" w:rsidRPr="00611C50" w:rsidRDefault="00806E4F" w:rsidP="00AD0CC1">
            <w:pPr>
              <w:autoSpaceDE w:val="0"/>
              <w:autoSpaceDN w:val="0"/>
              <w:adjustRightInd w:val="0"/>
              <w:jc w:val="both"/>
              <w:rPr>
                <w:b/>
                <w:sz w:val="22"/>
                <w:szCs w:val="22"/>
                <w:lang w:val="sr-Latn-ME" w:eastAsia="ja-JP"/>
              </w:rPr>
            </w:pPr>
            <w:r w:rsidRPr="00611C50">
              <w:rPr>
                <w:sz w:val="22"/>
                <w:szCs w:val="22"/>
                <w:lang w:val="sr-Latn-ME" w:eastAsia="ja-JP"/>
              </w:rPr>
              <w:t>200 (59)</w:t>
            </w:r>
          </w:p>
        </w:tc>
        <w:tc>
          <w:tcPr>
            <w:tcW w:w="2005" w:type="dxa"/>
            <w:vMerge w:val="restart"/>
            <w:tcBorders>
              <w:top w:val="single" w:sz="4" w:space="0" w:color="auto"/>
              <w:left w:val="single" w:sz="4" w:space="0" w:color="auto"/>
              <w:bottom w:val="single" w:sz="4" w:space="0" w:color="auto"/>
              <w:right w:val="single" w:sz="4" w:space="0" w:color="auto"/>
            </w:tcBorders>
            <w:vAlign w:val="bottom"/>
            <w:hideMark/>
          </w:tcPr>
          <w:p w:rsidR="00806E4F" w:rsidRPr="00611C50" w:rsidRDefault="00806E4F" w:rsidP="00AD0CC1">
            <w:pPr>
              <w:autoSpaceDE w:val="0"/>
              <w:autoSpaceDN w:val="0"/>
              <w:adjustRightInd w:val="0"/>
              <w:jc w:val="both"/>
              <w:rPr>
                <w:sz w:val="22"/>
                <w:szCs w:val="22"/>
                <w:vertAlign w:val="superscript"/>
                <w:lang w:val="sr-Latn-ME" w:eastAsia="ja-JP"/>
              </w:rPr>
            </w:pPr>
            <w:r w:rsidRPr="00611C50">
              <w:rPr>
                <w:sz w:val="22"/>
                <w:szCs w:val="22"/>
                <w:lang w:val="sr-Latn-ME" w:eastAsia="ja-JP"/>
              </w:rPr>
              <w:t>0.70 (0.57. 0.87)</w:t>
            </w:r>
            <w:r w:rsidRPr="00611C50">
              <w:rPr>
                <w:sz w:val="22"/>
                <w:szCs w:val="22"/>
                <w:vertAlign w:val="superscript"/>
                <w:lang w:val="sr-Latn-ME" w:eastAsia="ja-JP"/>
              </w:rPr>
              <w:t>(w)</w:t>
            </w:r>
          </w:p>
        </w:tc>
        <w:tc>
          <w:tcPr>
            <w:tcW w:w="1890" w:type="dxa"/>
            <w:vMerge w:val="restart"/>
            <w:tcBorders>
              <w:top w:val="single" w:sz="4" w:space="0" w:color="auto"/>
              <w:left w:val="single" w:sz="4" w:space="0" w:color="auto"/>
              <w:bottom w:val="single" w:sz="4" w:space="0" w:color="auto"/>
              <w:right w:val="single" w:sz="4" w:space="0" w:color="auto"/>
            </w:tcBorders>
            <w:vAlign w:val="bottom"/>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83(25%)</w:t>
            </w:r>
          </w:p>
        </w:tc>
      </w:tr>
      <w:tr w:rsidR="00806E4F" w:rsidRPr="00611C50" w:rsidTr="00806E4F">
        <w:trPr>
          <w:trHeight w:val="528"/>
          <w:jc w:val="center"/>
        </w:trPr>
        <w:tc>
          <w:tcPr>
            <w:tcW w:w="1646" w:type="dxa"/>
            <w:vMerge/>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37551">
            <w:pPr>
              <w:jc w:val="center"/>
              <w:rPr>
                <w:sz w:val="22"/>
                <w:szCs w:val="22"/>
                <w:lang w:val="sr-Latn-ME" w:eastAsia="ja-JP"/>
              </w:rPr>
            </w:pPr>
          </w:p>
        </w:tc>
        <w:tc>
          <w:tcPr>
            <w:tcW w:w="2044"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vemurafenib</w:t>
            </w:r>
          </w:p>
        </w:tc>
        <w:tc>
          <w:tcPr>
            <w:tcW w:w="177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199 (59)</w:t>
            </w:r>
          </w:p>
        </w:tc>
        <w:tc>
          <w:tcPr>
            <w:tcW w:w="2005" w:type="dxa"/>
            <w:vMerge/>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vertAlign w:val="superscript"/>
                <w:lang w:val="sr-Latn-ME" w:eastAsia="ja-JP"/>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eastAsia="ja-JP"/>
              </w:rPr>
            </w:pPr>
          </w:p>
        </w:tc>
      </w:tr>
      <w:tr w:rsidR="00806E4F" w:rsidRPr="00611C50" w:rsidTr="00806E4F">
        <w:trPr>
          <w:trHeight w:val="528"/>
          <w:jc w:val="center"/>
        </w:trPr>
        <w:tc>
          <w:tcPr>
            <w:tcW w:w="1646" w:type="dxa"/>
            <w:vMerge w:val="restart"/>
            <w:tcBorders>
              <w:top w:val="single" w:sz="4" w:space="0" w:color="auto"/>
              <w:left w:val="single" w:sz="4" w:space="0" w:color="auto"/>
              <w:bottom w:val="single" w:sz="4" w:space="0" w:color="auto"/>
              <w:right w:val="single" w:sz="4" w:space="0" w:color="auto"/>
            </w:tcBorders>
            <w:hideMark/>
          </w:tcPr>
          <w:p w:rsidR="00806E4F" w:rsidRPr="00611C50" w:rsidRDefault="00806E4F" w:rsidP="00A37551">
            <w:pPr>
              <w:autoSpaceDE w:val="0"/>
              <w:autoSpaceDN w:val="0"/>
              <w:adjustRightInd w:val="0"/>
              <w:ind w:left="360" w:hanging="360"/>
              <w:jc w:val="center"/>
              <w:rPr>
                <w:sz w:val="22"/>
                <w:szCs w:val="22"/>
                <w:lang w:val="sr-Latn-ME" w:eastAsia="ja-JP"/>
              </w:rPr>
            </w:pPr>
            <w:r w:rsidRPr="00611C50">
              <w:rPr>
                <w:sz w:val="22"/>
                <w:szCs w:val="22"/>
                <w:lang w:val="sr-Latn-ME" w:eastAsia="ja-JP"/>
              </w:rPr>
              <w:t>20. decembar         2012.</w:t>
            </w:r>
          </w:p>
        </w:tc>
        <w:tc>
          <w:tcPr>
            <w:tcW w:w="2044"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dakarbazin</w:t>
            </w:r>
          </w:p>
        </w:tc>
        <w:tc>
          <w:tcPr>
            <w:tcW w:w="177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236 (70)</w:t>
            </w:r>
          </w:p>
        </w:tc>
        <w:tc>
          <w:tcPr>
            <w:tcW w:w="2005" w:type="dxa"/>
            <w:vMerge w:val="restart"/>
            <w:tcBorders>
              <w:top w:val="single" w:sz="4" w:space="0" w:color="auto"/>
              <w:left w:val="single" w:sz="4" w:space="0" w:color="auto"/>
              <w:bottom w:val="single" w:sz="4" w:space="0" w:color="auto"/>
              <w:right w:val="single" w:sz="4" w:space="0" w:color="auto"/>
            </w:tcBorders>
            <w:vAlign w:val="bottom"/>
            <w:hideMark/>
          </w:tcPr>
          <w:p w:rsidR="00806E4F" w:rsidRPr="00611C50" w:rsidRDefault="00806E4F" w:rsidP="00AD0CC1">
            <w:pPr>
              <w:autoSpaceDE w:val="0"/>
              <w:autoSpaceDN w:val="0"/>
              <w:adjustRightInd w:val="0"/>
              <w:jc w:val="both"/>
              <w:rPr>
                <w:sz w:val="22"/>
                <w:szCs w:val="22"/>
                <w:vertAlign w:val="superscript"/>
                <w:lang w:val="sr-Latn-ME" w:eastAsia="ja-JP"/>
              </w:rPr>
            </w:pPr>
            <w:r w:rsidRPr="00611C50">
              <w:rPr>
                <w:sz w:val="22"/>
                <w:szCs w:val="22"/>
                <w:lang w:val="sr-Latn-ME" w:eastAsia="ja-JP"/>
              </w:rPr>
              <w:t>0.78 (0.64, 0.94)</w:t>
            </w:r>
            <w:r w:rsidRPr="00611C50">
              <w:rPr>
                <w:sz w:val="22"/>
                <w:szCs w:val="22"/>
                <w:vertAlign w:val="superscript"/>
                <w:lang w:val="sr-Latn-ME" w:eastAsia="ja-JP"/>
              </w:rPr>
              <w:t>(w)</w:t>
            </w:r>
          </w:p>
        </w:tc>
        <w:tc>
          <w:tcPr>
            <w:tcW w:w="1890" w:type="dxa"/>
            <w:vMerge w:val="restart"/>
            <w:tcBorders>
              <w:top w:val="single" w:sz="4" w:space="0" w:color="auto"/>
              <w:left w:val="single" w:sz="4" w:space="0" w:color="auto"/>
              <w:bottom w:val="single" w:sz="4" w:space="0" w:color="auto"/>
              <w:right w:val="single" w:sz="4" w:space="0" w:color="auto"/>
            </w:tcBorders>
            <w:vAlign w:val="bottom"/>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84(25%)</w:t>
            </w:r>
          </w:p>
        </w:tc>
      </w:tr>
      <w:tr w:rsidR="00806E4F" w:rsidRPr="00611C50" w:rsidTr="00806E4F">
        <w:trPr>
          <w:trHeight w:val="528"/>
          <w:jc w:val="center"/>
        </w:trPr>
        <w:tc>
          <w:tcPr>
            <w:tcW w:w="1646" w:type="dxa"/>
            <w:vMerge/>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eastAsia="ja-JP"/>
              </w:rPr>
            </w:pPr>
          </w:p>
        </w:tc>
        <w:tc>
          <w:tcPr>
            <w:tcW w:w="2044" w:type="dxa"/>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vemurafenib</w:t>
            </w:r>
          </w:p>
        </w:tc>
        <w:tc>
          <w:tcPr>
            <w:tcW w:w="1770"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autoSpaceDE w:val="0"/>
              <w:autoSpaceDN w:val="0"/>
              <w:adjustRightInd w:val="0"/>
              <w:jc w:val="both"/>
              <w:rPr>
                <w:sz w:val="22"/>
                <w:szCs w:val="22"/>
                <w:lang w:val="sr-Latn-ME" w:eastAsia="ja-JP"/>
              </w:rPr>
            </w:pPr>
            <w:r w:rsidRPr="00611C50">
              <w:rPr>
                <w:sz w:val="22"/>
                <w:szCs w:val="22"/>
                <w:lang w:val="sr-Latn-ME" w:eastAsia="ja-JP"/>
              </w:rPr>
              <w:t>242 (72)</w:t>
            </w:r>
          </w:p>
        </w:tc>
        <w:tc>
          <w:tcPr>
            <w:tcW w:w="2005" w:type="dxa"/>
            <w:vMerge/>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vertAlign w:val="superscript"/>
                <w:lang w:val="sr-Latn-ME" w:eastAsia="ja-JP"/>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806E4F" w:rsidRPr="00611C50" w:rsidRDefault="00806E4F" w:rsidP="00AD0CC1">
            <w:pPr>
              <w:jc w:val="both"/>
              <w:rPr>
                <w:sz w:val="22"/>
                <w:szCs w:val="22"/>
                <w:lang w:val="sr-Latn-ME" w:eastAsia="ja-JP"/>
              </w:rPr>
            </w:pPr>
          </w:p>
        </w:tc>
      </w:tr>
    </w:tbl>
    <w:p w:rsidR="00806E4F" w:rsidRPr="00611C50" w:rsidRDefault="00806E4F" w:rsidP="00AD0CC1">
      <w:pPr>
        <w:jc w:val="both"/>
        <w:rPr>
          <w:sz w:val="22"/>
          <w:szCs w:val="22"/>
          <w:lang w:val="sr-Latn-ME" w:eastAsia="ja-JP"/>
        </w:rPr>
      </w:pPr>
      <w:r w:rsidRPr="00611C50">
        <w:rPr>
          <w:sz w:val="22"/>
          <w:szCs w:val="22"/>
          <w:vertAlign w:val="superscript"/>
          <w:lang w:val="sr-Latn-ME" w:eastAsia="ja-JP"/>
        </w:rPr>
        <w:t>(w)</w:t>
      </w:r>
      <w:r w:rsidRPr="00611C50">
        <w:rPr>
          <w:sz w:val="22"/>
          <w:szCs w:val="22"/>
          <w:lang w:val="sr-Latn-ME" w:eastAsia="ja-JP"/>
        </w:rPr>
        <w:t xml:space="preserve"> Cenzurisani rezultati u vrijeme prelaska</w:t>
      </w:r>
    </w:p>
    <w:p w:rsidR="00806E4F" w:rsidRPr="00611C50" w:rsidRDefault="00806E4F" w:rsidP="00AD0CC1">
      <w:pPr>
        <w:jc w:val="both"/>
        <w:rPr>
          <w:sz w:val="22"/>
          <w:szCs w:val="22"/>
          <w:lang w:val="sr-Latn-ME" w:eastAsia="ja-JP"/>
        </w:rPr>
      </w:pPr>
      <w:r w:rsidRPr="00611C50">
        <w:rPr>
          <w:sz w:val="22"/>
          <w:szCs w:val="22"/>
          <w:lang w:val="sr-Latn-ME" w:eastAsia="ja-JP"/>
        </w:rPr>
        <w:t>Necenzurisani rezultati u vrijeme prelaska u drugu gru</w:t>
      </w:r>
      <w:r w:rsidR="00A37551">
        <w:rPr>
          <w:sz w:val="22"/>
          <w:szCs w:val="22"/>
          <w:lang w:val="sr-Latn-ME" w:eastAsia="ja-JP"/>
        </w:rPr>
        <w:t>p</w:t>
      </w:r>
      <w:r w:rsidRPr="00611C50">
        <w:rPr>
          <w:sz w:val="22"/>
          <w:szCs w:val="22"/>
          <w:lang w:val="sr-Latn-ME" w:eastAsia="ja-JP"/>
        </w:rPr>
        <w:t>u: 31. Mart 2011.: HR (95% CI) = 0.47 (0.35, 0.62); 3. Oktobar 2011.: HR (95% CI) = 0.67 (0.54, 0.84); 1.Februar 2012.: HR(95%CI) = 0.76 (0.63, 0.93): 20.Decembra 2012. : HR (95%CI) = 0.79 (0.66, 0.95)</w:t>
      </w:r>
    </w:p>
    <w:p w:rsidR="00806E4F" w:rsidRPr="00611C50" w:rsidRDefault="00806E4F" w:rsidP="00AD0CC1">
      <w:pPr>
        <w:jc w:val="both"/>
        <w:rPr>
          <w:sz w:val="22"/>
          <w:szCs w:val="22"/>
          <w:lang w:val="sr-Latn-ME" w:eastAsia="ja-JP"/>
        </w:rPr>
      </w:pPr>
    </w:p>
    <w:p w:rsidR="00806E4F" w:rsidRPr="00611C50" w:rsidRDefault="00806E4F" w:rsidP="00AD0CC1">
      <w:pPr>
        <w:keepNext/>
        <w:jc w:val="both"/>
        <w:rPr>
          <w:sz w:val="22"/>
          <w:szCs w:val="22"/>
          <w:lang w:val="sr-Latn-ME" w:eastAsia="ja-JP"/>
        </w:rPr>
      </w:pPr>
    </w:p>
    <w:p w:rsidR="00806E4F" w:rsidRPr="00611C50" w:rsidRDefault="00806E4F" w:rsidP="00AD0CC1">
      <w:pPr>
        <w:keepNext/>
        <w:jc w:val="both"/>
        <w:rPr>
          <w:b/>
          <w:sz w:val="22"/>
          <w:szCs w:val="22"/>
          <w:lang w:val="sr-Latn-ME" w:eastAsia="ja-JP"/>
        </w:rPr>
      </w:pPr>
      <w:r w:rsidRPr="00611C50">
        <w:rPr>
          <w:b/>
          <w:sz w:val="22"/>
          <w:szCs w:val="22"/>
          <w:lang w:val="sr-Latn-ME" w:eastAsia="ja-JP"/>
        </w:rPr>
        <w:t>Slika 1</w:t>
      </w:r>
      <w:r w:rsidRPr="00611C50">
        <w:rPr>
          <w:b/>
          <w:sz w:val="22"/>
          <w:szCs w:val="22"/>
          <w:lang w:val="sr-Latn-ME" w:eastAsia="ja-JP"/>
        </w:rPr>
        <w:tab/>
        <w:t>Kaplan-Meier kriva ukupnog preživljavanja – prethodno neliječeni pacijenti (datum presjeka20. Decembar 2012.)</w:t>
      </w: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r w:rsidRPr="00611C50">
        <w:rPr>
          <w:noProof/>
          <w:sz w:val="20"/>
          <w:szCs w:val="20"/>
        </w:rPr>
        <w:drawing>
          <wp:anchor distT="0" distB="0" distL="114300" distR="114300" simplePos="0" relativeHeight="251658240" behindDoc="1" locked="0" layoutInCell="1" allowOverlap="1">
            <wp:simplePos x="0" y="0"/>
            <wp:positionH relativeFrom="column">
              <wp:posOffset>10795</wp:posOffset>
            </wp:positionH>
            <wp:positionV relativeFrom="paragraph">
              <wp:posOffset>-284480</wp:posOffset>
            </wp:positionV>
            <wp:extent cx="5504180" cy="3333115"/>
            <wp:effectExtent l="0" t="0" r="1270" b="635"/>
            <wp:wrapNone/>
            <wp:docPr id="3" name="Picture 3" descr="Picture2 -umetnu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2 -umetnut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4180" cy="3333115"/>
                    </a:xfrm>
                    <a:prstGeom prst="rect">
                      <a:avLst/>
                    </a:prstGeom>
                    <a:noFill/>
                  </pic:spPr>
                </pic:pic>
              </a:graphicData>
            </a:graphic>
            <wp14:sizeRelH relativeFrom="page">
              <wp14:pctWidth>0</wp14:pctWidth>
            </wp14:sizeRelH>
            <wp14:sizeRelV relativeFrom="page">
              <wp14:pctHeight>0</wp14:pctHeight>
            </wp14:sizeRelV>
          </wp:anchor>
        </w:drawing>
      </w: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keepNext/>
        <w:jc w:val="both"/>
        <w:rPr>
          <w:b/>
          <w:sz w:val="22"/>
          <w:szCs w:val="22"/>
          <w:lang w:val="sr-Latn-ME" w:eastAsia="ja-JP"/>
        </w:rPr>
      </w:pPr>
    </w:p>
    <w:p w:rsidR="00806E4F" w:rsidRPr="00611C50" w:rsidRDefault="00806E4F" w:rsidP="00AD0CC1">
      <w:pPr>
        <w:jc w:val="both"/>
        <w:rPr>
          <w:sz w:val="22"/>
          <w:szCs w:val="22"/>
          <w:lang w:val="sr-Latn-ME" w:eastAsia="ja-JP"/>
        </w:rPr>
      </w:pPr>
      <w:r w:rsidRPr="00611C50">
        <w:rPr>
          <w:sz w:val="22"/>
          <w:szCs w:val="22"/>
          <w:lang w:val="sr-Latn-ME" w:eastAsia="ja-JP"/>
        </w:rPr>
        <w:t>Tabela 8 prikazuje terapijske efekte za sve prethodno određene varijable stratifikacije koje su ustanovljene kao prognostički faktori.</w:t>
      </w:r>
    </w:p>
    <w:p w:rsidR="00806E4F" w:rsidRPr="00611C50" w:rsidRDefault="00806E4F" w:rsidP="00AD0CC1">
      <w:pPr>
        <w:jc w:val="both"/>
        <w:rPr>
          <w:sz w:val="22"/>
          <w:szCs w:val="22"/>
          <w:lang w:val="sr-Latn-ME" w:eastAsia="ja-JP"/>
        </w:rPr>
      </w:pPr>
    </w:p>
    <w:p w:rsidR="00806E4F" w:rsidRPr="00611C50" w:rsidRDefault="00806E4F" w:rsidP="00AD0CC1">
      <w:pPr>
        <w:jc w:val="both"/>
        <w:rPr>
          <w:b/>
          <w:sz w:val="22"/>
          <w:szCs w:val="22"/>
          <w:lang w:val="sr-Latn-ME" w:eastAsia="ja-JP"/>
        </w:rPr>
      </w:pPr>
      <w:r w:rsidRPr="00611C50">
        <w:rPr>
          <w:b/>
          <w:sz w:val="22"/>
          <w:szCs w:val="22"/>
          <w:lang w:val="sr-Latn-ME" w:eastAsia="ja-JP"/>
        </w:rPr>
        <w:t>Tabela 8: Ukupno preživljavanje kod prethodno neliječenih pacijenata sa melanomom pozitivnim na BRAF V600 mutaciju u odnosu na LDH, stadijum tumora i ECOG status ( post-hoc analiza, 20. Decembra 2012. datum presjeka, cenzurisani rezultati u vrijeme prelaska)</w:t>
      </w:r>
    </w:p>
    <w:p w:rsidR="00806E4F" w:rsidRPr="00611C50" w:rsidRDefault="00806E4F" w:rsidP="00AD0CC1">
      <w:pPr>
        <w:jc w:val="both"/>
        <w:rPr>
          <w:sz w:val="22"/>
          <w:szCs w:val="22"/>
          <w:lang w:val="sr-Latn-ME"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979"/>
        <w:gridCol w:w="2263"/>
        <w:gridCol w:w="2264"/>
      </w:tblGrid>
      <w:tr w:rsidR="00806E4F" w:rsidRPr="00611C50" w:rsidTr="00806E4F">
        <w:trPr>
          <w:trHeight w:val="242"/>
        </w:trPr>
        <w:tc>
          <w:tcPr>
            <w:tcW w:w="2547"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Varijabla stratifikacije</w:t>
            </w:r>
          </w:p>
        </w:tc>
        <w:tc>
          <w:tcPr>
            <w:tcW w:w="197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N</w:t>
            </w:r>
          </w:p>
        </w:tc>
        <w:tc>
          <w:tcPr>
            <w:tcW w:w="2263"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Odnos rizika</w:t>
            </w:r>
          </w:p>
        </w:tc>
        <w:tc>
          <w:tcPr>
            <w:tcW w:w="2264"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95% Interval verenja</w:t>
            </w:r>
          </w:p>
        </w:tc>
      </w:tr>
      <w:tr w:rsidR="00806E4F" w:rsidRPr="00611C50" w:rsidTr="00806E4F">
        <w:trPr>
          <w:trHeight w:val="258"/>
        </w:trPr>
        <w:tc>
          <w:tcPr>
            <w:tcW w:w="2547"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LDH normalan</w:t>
            </w:r>
          </w:p>
        </w:tc>
        <w:tc>
          <w:tcPr>
            <w:tcW w:w="197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391</w:t>
            </w:r>
          </w:p>
        </w:tc>
        <w:tc>
          <w:tcPr>
            <w:tcW w:w="2263"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0.88</w:t>
            </w:r>
          </w:p>
        </w:tc>
        <w:tc>
          <w:tcPr>
            <w:tcW w:w="2264"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0.78; 1.16</w:t>
            </w:r>
          </w:p>
        </w:tc>
      </w:tr>
      <w:tr w:rsidR="00806E4F" w:rsidRPr="00611C50" w:rsidTr="00806E4F">
        <w:trPr>
          <w:trHeight w:val="242"/>
        </w:trPr>
        <w:tc>
          <w:tcPr>
            <w:tcW w:w="2547"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LDH ˃ ULN</w:t>
            </w:r>
          </w:p>
        </w:tc>
        <w:tc>
          <w:tcPr>
            <w:tcW w:w="197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284</w:t>
            </w:r>
          </w:p>
        </w:tc>
        <w:tc>
          <w:tcPr>
            <w:tcW w:w="2263"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0.57</w:t>
            </w:r>
          </w:p>
        </w:tc>
        <w:tc>
          <w:tcPr>
            <w:tcW w:w="2264"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0.44; 0.76</w:t>
            </w:r>
          </w:p>
        </w:tc>
      </w:tr>
      <w:tr w:rsidR="00806E4F" w:rsidRPr="00611C50" w:rsidTr="00806E4F">
        <w:trPr>
          <w:trHeight w:val="258"/>
        </w:trPr>
        <w:tc>
          <w:tcPr>
            <w:tcW w:w="2547"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Stadijum IIIc/M1A/M1B</w:t>
            </w:r>
          </w:p>
        </w:tc>
        <w:tc>
          <w:tcPr>
            <w:tcW w:w="197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234</w:t>
            </w:r>
          </w:p>
        </w:tc>
        <w:tc>
          <w:tcPr>
            <w:tcW w:w="2263"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1.05</w:t>
            </w:r>
          </w:p>
        </w:tc>
        <w:tc>
          <w:tcPr>
            <w:tcW w:w="2264"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0.73; 1.52</w:t>
            </w:r>
          </w:p>
        </w:tc>
      </w:tr>
      <w:tr w:rsidR="00806E4F" w:rsidRPr="00611C50" w:rsidTr="00806E4F">
        <w:trPr>
          <w:trHeight w:val="242"/>
        </w:trPr>
        <w:tc>
          <w:tcPr>
            <w:tcW w:w="2547"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Stadijum M1C</w:t>
            </w:r>
          </w:p>
        </w:tc>
        <w:tc>
          <w:tcPr>
            <w:tcW w:w="197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441</w:t>
            </w:r>
          </w:p>
        </w:tc>
        <w:tc>
          <w:tcPr>
            <w:tcW w:w="2263"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0.64</w:t>
            </w:r>
          </w:p>
        </w:tc>
        <w:tc>
          <w:tcPr>
            <w:tcW w:w="2264"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0.51; 0.81</w:t>
            </w:r>
          </w:p>
        </w:tc>
      </w:tr>
      <w:tr w:rsidR="00806E4F" w:rsidRPr="00611C50" w:rsidTr="00806E4F">
        <w:trPr>
          <w:trHeight w:val="258"/>
        </w:trPr>
        <w:tc>
          <w:tcPr>
            <w:tcW w:w="2547"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ECOG PS = 0</w:t>
            </w:r>
          </w:p>
        </w:tc>
        <w:tc>
          <w:tcPr>
            <w:tcW w:w="197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459</w:t>
            </w:r>
          </w:p>
        </w:tc>
        <w:tc>
          <w:tcPr>
            <w:tcW w:w="2263"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0.86</w:t>
            </w:r>
          </w:p>
        </w:tc>
        <w:tc>
          <w:tcPr>
            <w:tcW w:w="2264"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0.67; 1.10</w:t>
            </w:r>
          </w:p>
        </w:tc>
      </w:tr>
      <w:tr w:rsidR="00806E4F" w:rsidRPr="00611C50" w:rsidTr="00806E4F">
        <w:trPr>
          <w:trHeight w:val="258"/>
        </w:trPr>
        <w:tc>
          <w:tcPr>
            <w:tcW w:w="2547"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ECOG PS = 1</w:t>
            </w:r>
          </w:p>
        </w:tc>
        <w:tc>
          <w:tcPr>
            <w:tcW w:w="197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216</w:t>
            </w:r>
          </w:p>
        </w:tc>
        <w:tc>
          <w:tcPr>
            <w:tcW w:w="2263"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0.58</w:t>
            </w:r>
          </w:p>
        </w:tc>
        <w:tc>
          <w:tcPr>
            <w:tcW w:w="2264"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0.42; 0.9</w:t>
            </w:r>
          </w:p>
        </w:tc>
      </w:tr>
    </w:tbl>
    <w:p w:rsidR="00806E4F" w:rsidRPr="00611C50" w:rsidRDefault="00806E4F" w:rsidP="00AD0CC1">
      <w:pPr>
        <w:jc w:val="both"/>
        <w:rPr>
          <w:sz w:val="22"/>
          <w:szCs w:val="22"/>
          <w:lang w:val="sr-Latn-ME" w:eastAsia="ja-JP"/>
        </w:rPr>
      </w:pPr>
      <w:r w:rsidRPr="00611C50">
        <w:rPr>
          <w:sz w:val="22"/>
          <w:szCs w:val="22"/>
          <w:lang w:val="sr-Latn-ME" w:eastAsia="ja-JP"/>
        </w:rPr>
        <w:t xml:space="preserve">LDH: Laktat dehidrogenaza; ECOG PS: </w:t>
      </w:r>
      <w:r w:rsidRPr="00611C50">
        <w:rPr>
          <w:i/>
          <w:sz w:val="22"/>
          <w:szCs w:val="22"/>
          <w:lang w:val="sr-Latn-ME" w:eastAsia="ja-JP"/>
        </w:rPr>
        <w:t xml:space="preserve">Eastern Cooperative Oncology Group </w:t>
      </w:r>
      <w:r w:rsidRPr="00611C50">
        <w:rPr>
          <w:sz w:val="22"/>
          <w:szCs w:val="22"/>
          <w:lang w:val="sr-Latn-ME" w:eastAsia="ja-JP"/>
        </w:rPr>
        <w:t>Performans Status</w:t>
      </w:r>
    </w:p>
    <w:p w:rsidR="00806E4F" w:rsidRPr="00611C50" w:rsidRDefault="00806E4F" w:rsidP="00AD0CC1">
      <w:pPr>
        <w:jc w:val="both"/>
        <w:rPr>
          <w:i/>
          <w:sz w:val="22"/>
          <w:szCs w:val="22"/>
          <w:lang w:val="sr-Latn-ME" w:eastAsia="ja-JP"/>
        </w:rPr>
      </w:pPr>
    </w:p>
    <w:p w:rsidR="00806E4F" w:rsidRPr="00611C50" w:rsidRDefault="00806E4F" w:rsidP="00AD0CC1">
      <w:pPr>
        <w:jc w:val="both"/>
        <w:rPr>
          <w:sz w:val="22"/>
          <w:szCs w:val="22"/>
          <w:lang w:val="sr-Latn-ME" w:eastAsia="ja-JP"/>
        </w:rPr>
      </w:pPr>
      <w:r w:rsidRPr="00611C50">
        <w:rPr>
          <w:sz w:val="22"/>
          <w:szCs w:val="22"/>
          <w:lang w:val="sr-Latn-ME" w:eastAsia="ja-JP"/>
        </w:rPr>
        <w:t>Tabela 9 prikazuje ukupnu stopu preživljavanja i preživljavanje do progresije bolesti kod prethodno neliječenih pacijenata sa melanomom pozitivnim na BRAF V600 mutaciju.</w:t>
      </w:r>
    </w:p>
    <w:p w:rsidR="00806E4F" w:rsidRPr="00611C50" w:rsidRDefault="00806E4F" w:rsidP="00AD0CC1">
      <w:pPr>
        <w:jc w:val="both"/>
        <w:rPr>
          <w:sz w:val="22"/>
          <w:szCs w:val="22"/>
          <w:lang w:val="sr-Latn-ME" w:eastAsia="ja-JP"/>
        </w:rPr>
      </w:pPr>
    </w:p>
    <w:p w:rsidR="00806E4F" w:rsidRPr="00611C50" w:rsidRDefault="00806E4F" w:rsidP="00AD0CC1">
      <w:pPr>
        <w:jc w:val="both"/>
        <w:rPr>
          <w:b/>
          <w:sz w:val="22"/>
          <w:szCs w:val="22"/>
          <w:lang w:val="sr-Latn-ME" w:eastAsia="ja-JP"/>
        </w:rPr>
      </w:pPr>
      <w:r w:rsidRPr="00611C50">
        <w:rPr>
          <w:b/>
          <w:sz w:val="22"/>
          <w:szCs w:val="22"/>
          <w:lang w:val="sr-Latn-ME" w:eastAsia="ja-JP"/>
        </w:rPr>
        <w:t xml:space="preserve">Tabela 9: Ukupna stopa preživljavanja i preživljavanje do progresije bolesti kod prethodno neliječenih pacijenata sa melanomom pozitivnim na BRAF V600 mutaciju </w:t>
      </w:r>
    </w:p>
    <w:p w:rsidR="00806E4F" w:rsidRPr="00611C50" w:rsidRDefault="00806E4F" w:rsidP="00AD0CC1">
      <w:pPr>
        <w:jc w:val="both"/>
        <w:rPr>
          <w:sz w:val="22"/>
          <w:szCs w:val="22"/>
          <w:vertAlign w:val="superscript"/>
          <w:lang w:val="sr-Latn-ME" w:eastAsia="ja-JP"/>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2489"/>
        <w:gridCol w:w="2489"/>
        <w:gridCol w:w="1618"/>
      </w:tblGrid>
      <w:tr w:rsidR="00806E4F" w:rsidRPr="00611C50" w:rsidTr="00806E4F">
        <w:tc>
          <w:tcPr>
            <w:tcW w:w="2489"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sz w:val="22"/>
                <w:szCs w:val="22"/>
                <w:vertAlign w:val="superscript"/>
                <w:lang w:val="sr-Latn-ME" w:eastAsia="ja-JP"/>
              </w:rPr>
            </w:pPr>
          </w:p>
        </w:tc>
        <w:tc>
          <w:tcPr>
            <w:tcW w:w="248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ind w:firstLine="720"/>
              <w:jc w:val="both"/>
              <w:rPr>
                <w:sz w:val="22"/>
                <w:szCs w:val="22"/>
                <w:lang w:val="sr-Latn-ME" w:eastAsia="ja-JP"/>
              </w:rPr>
            </w:pPr>
            <w:r w:rsidRPr="00611C50">
              <w:rPr>
                <w:sz w:val="22"/>
                <w:szCs w:val="22"/>
                <w:lang w:val="sr-Latn-ME" w:eastAsia="ja-JP"/>
              </w:rPr>
              <w:t>vemurafenib</w:t>
            </w:r>
          </w:p>
        </w:tc>
        <w:tc>
          <w:tcPr>
            <w:tcW w:w="248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ind w:firstLine="720"/>
              <w:jc w:val="both"/>
              <w:rPr>
                <w:sz w:val="22"/>
                <w:szCs w:val="22"/>
                <w:lang w:val="sr-Latn-ME" w:eastAsia="ja-JP"/>
              </w:rPr>
            </w:pPr>
            <w:r w:rsidRPr="00611C50">
              <w:rPr>
                <w:sz w:val="22"/>
                <w:szCs w:val="22"/>
                <w:lang w:val="sr-Latn-ME" w:eastAsia="ja-JP"/>
              </w:rPr>
              <w:t>dakarbazin</w:t>
            </w:r>
          </w:p>
        </w:tc>
        <w:tc>
          <w:tcPr>
            <w:tcW w:w="1618"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ind w:firstLine="720"/>
              <w:jc w:val="both"/>
              <w:rPr>
                <w:sz w:val="22"/>
                <w:szCs w:val="22"/>
                <w:vertAlign w:val="superscript"/>
                <w:lang w:val="sr-Latn-ME" w:eastAsia="ja-JP"/>
              </w:rPr>
            </w:pPr>
            <w:r w:rsidRPr="00611C50">
              <w:rPr>
                <w:sz w:val="22"/>
                <w:szCs w:val="22"/>
                <w:lang w:val="sr-Latn-ME" w:eastAsia="ja-JP"/>
              </w:rPr>
              <w:t>p-vrijednost</w:t>
            </w:r>
            <w:r w:rsidRPr="00611C50">
              <w:rPr>
                <w:sz w:val="22"/>
                <w:szCs w:val="22"/>
                <w:vertAlign w:val="superscript"/>
                <w:lang w:val="sr-Latn-ME" w:eastAsia="ja-JP"/>
              </w:rPr>
              <w:t>(x)</w:t>
            </w:r>
          </w:p>
        </w:tc>
      </w:tr>
      <w:tr w:rsidR="00806E4F" w:rsidRPr="00611C50" w:rsidTr="00806E4F">
        <w:tc>
          <w:tcPr>
            <w:tcW w:w="9085" w:type="dxa"/>
            <w:gridSpan w:val="4"/>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tabs>
                <w:tab w:val="left" w:pos="1530"/>
              </w:tabs>
              <w:jc w:val="both"/>
              <w:rPr>
                <w:sz w:val="22"/>
                <w:szCs w:val="22"/>
                <w:vertAlign w:val="superscript"/>
                <w:lang w:val="sr-Latn-ME" w:eastAsia="ja-JP"/>
              </w:rPr>
            </w:pPr>
            <w:r w:rsidRPr="00611C50">
              <w:rPr>
                <w:sz w:val="22"/>
                <w:szCs w:val="22"/>
                <w:lang w:val="sr-Latn-ME" w:eastAsia="ja-JP"/>
              </w:rPr>
              <w:t>Datum presjeka 30. Decembar 2010.</w:t>
            </w:r>
            <w:r w:rsidRPr="00611C50">
              <w:rPr>
                <w:sz w:val="22"/>
                <w:szCs w:val="22"/>
                <w:vertAlign w:val="superscript"/>
                <w:lang w:val="sr-Latn-ME" w:eastAsia="ja-JP"/>
              </w:rPr>
              <w:t>(y)</w:t>
            </w:r>
          </w:p>
        </w:tc>
      </w:tr>
      <w:tr w:rsidR="00806E4F" w:rsidRPr="00611C50" w:rsidTr="00806E4F">
        <w:tc>
          <w:tcPr>
            <w:tcW w:w="248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Ukupna stopa odgovora</w:t>
            </w:r>
          </w:p>
          <w:p w:rsidR="00806E4F" w:rsidRPr="00611C50" w:rsidRDefault="00806E4F" w:rsidP="00AD0CC1">
            <w:pPr>
              <w:jc w:val="both"/>
              <w:rPr>
                <w:sz w:val="22"/>
                <w:szCs w:val="22"/>
                <w:lang w:val="sr-Latn-ME" w:eastAsia="ja-JP"/>
              </w:rPr>
            </w:pPr>
            <w:r w:rsidRPr="00611C50">
              <w:rPr>
                <w:sz w:val="22"/>
                <w:szCs w:val="22"/>
                <w:lang w:val="sr-Latn-ME" w:eastAsia="ja-JP"/>
              </w:rPr>
              <w:t>(95% CI)</w:t>
            </w:r>
          </w:p>
        </w:tc>
        <w:tc>
          <w:tcPr>
            <w:tcW w:w="2489"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sz w:val="22"/>
                <w:szCs w:val="22"/>
                <w:vertAlign w:val="superscript"/>
                <w:lang w:val="sr-Latn-ME" w:eastAsia="ja-JP"/>
              </w:rPr>
            </w:pPr>
          </w:p>
          <w:p w:rsidR="00806E4F" w:rsidRPr="00611C50" w:rsidRDefault="00806E4F" w:rsidP="00A37551">
            <w:pPr>
              <w:ind w:firstLine="720"/>
              <w:jc w:val="center"/>
              <w:rPr>
                <w:sz w:val="22"/>
                <w:szCs w:val="22"/>
                <w:lang w:val="sr-Latn-ME" w:eastAsia="ja-JP"/>
              </w:rPr>
            </w:pPr>
            <w:r w:rsidRPr="00611C50">
              <w:rPr>
                <w:sz w:val="22"/>
                <w:szCs w:val="22"/>
                <w:lang w:val="sr-Latn-ME" w:eastAsia="ja-JP"/>
              </w:rPr>
              <w:t>48,4%</w:t>
            </w:r>
          </w:p>
          <w:p w:rsidR="00806E4F" w:rsidRPr="00611C50" w:rsidRDefault="00806E4F" w:rsidP="00A37551">
            <w:pPr>
              <w:ind w:firstLine="720"/>
              <w:jc w:val="center"/>
              <w:rPr>
                <w:sz w:val="22"/>
                <w:szCs w:val="22"/>
                <w:lang w:val="sr-Latn-ME" w:eastAsia="ja-JP"/>
              </w:rPr>
            </w:pPr>
            <w:r w:rsidRPr="00611C50">
              <w:rPr>
                <w:sz w:val="22"/>
                <w:szCs w:val="22"/>
                <w:lang w:val="sr-Latn-ME" w:eastAsia="ja-JP"/>
              </w:rPr>
              <w:t>(41,6%, 55,2%)</w:t>
            </w:r>
          </w:p>
        </w:tc>
        <w:tc>
          <w:tcPr>
            <w:tcW w:w="2489"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sz w:val="22"/>
                <w:szCs w:val="22"/>
                <w:lang w:val="sr-Latn-ME" w:eastAsia="ja-JP"/>
              </w:rPr>
            </w:pPr>
          </w:p>
          <w:p w:rsidR="00806E4F" w:rsidRPr="00611C50" w:rsidRDefault="00806E4F" w:rsidP="00A37551">
            <w:pPr>
              <w:jc w:val="center"/>
              <w:rPr>
                <w:sz w:val="22"/>
                <w:szCs w:val="22"/>
                <w:lang w:val="sr-Latn-ME" w:eastAsia="ja-JP"/>
              </w:rPr>
            </w:pPr>
            <w:r w:rsidRPr="00611C50">
              <w:rPr>
                <w:sz w:val="22"/>
                <w:szCs w:val="22"/>
                <w:lang w:val="sr-Latn-ME" w:eastAsia="ja-JP"/>
              </w:rPr>
              <w:t>5.5%</w:t>
            </w:r>
          </w:p>
          <w:p w:rsidR="00806E4F" w:rsidRPr="00611C50" w:rsidRDefault="00806E4F" w:rsidP="00A37551">
            <w:pPr>
              <w:jc w:val="center"/>
              <w:rPr>
                <w:sz w:val="22"/>
                <w:szCs w:val="22"/>
                <w:lang w:val="sr-Latn-ME" w:eastAsia="ja-JP"/>
              </w:rPr>
            </w:pPr>
            <w:r w:rsidRPr="00611C50">
              <w:rPr>
                <w:sz w:val="22"/>
                <w:szCs w:val="22"/>
                <w:lang w:val="sr-Latn-ME" w:eastAsia="ja-JP"/>
              </w:rPr>
              <w:t>(2.8%, 9,3%)</w:t>
            </w:r>
          </w:p>
        </w:tc>
        <w:tc>
          <w:tcPr>
            <w:tcW w:w="1618"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sz w:val="22"/>
                <w:szCs w:val="22"/>
                <w:vertAlign w:val="superscript"/>
                <w:lang w:val="sr-Latn-ME" w:eastAsia="ja-JP"/>
              </w:rPr>
            </w:pPr>
          </w:p>
          <w:p w:rsidR="00806E4F" w:rsidRPr="00611C50" w:rsidRDefault="00806E4F" w:rsidP="00AD0CC1">
            <w:pPr>
              <w:jc w:val="both"/>
              <w:rPr>
                <w:sz w:val="22"/>
                <w:szCs w:val="22"/>
                <w:lang w:val="sr-Latn-ME" w:eastAsia="ja-JP"/>
              </w:rPr>
            </w:pPr>
          </w:p>
          <w:p w:rsidR="00806E4F" w:rsidRPr="00611C50" w:rsidRDefault="00806E4F" w:rsidP="00A37551">
            <w:pPr>
              <w:jc w:val="both"/>
              <w:rPr>
                <w:sz w:val="22"/>
                <w:szCs w:val="22"/>
                <w:lang w:val="sr-Latn-ME" w:eastAsia="ja-JP"/>
              </w:rPr>
            </w:pPr>
            <w:r w:rsidRPr="00611C50">
              <w:rPr>
                <w:sz w:val="22"/>
                <w:szCs w:val="22"/>
                <w:lang w:val="sr-Latn-ME" w:eastAsia="ja-JP"/>
              </w:rPr>
              <w:t>&lt;0.0001</w:t>
            </w:r>
          </w:p>
        </w:tc>
      </w:tr>
      <w:tr w:rsidR="00806E4F" w:rsidRPr="00611C50" w:rsidTr="00806E4F">
        <w:tc>
          <w:tcPr>
            <w:tcW w:w="2489"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sz w:val="22"/>
                <w:szCs w:val="22"/>
                <w:vertAlign w:val="superscript"/>
                <w:lang w:val="sr-Latn-ME" w:eastAsia="ja-JP"/>
              </w:rPr>
            </w:pPr>
          </w:p>
          <w:p w:rsidR="00806E4F" w:rsidRPr="00611C50" w:rsidRDefault="00806E4F" w:rsidP="00A37551">
            <w:pPr>
              <w:rPr>
                <w:sz w:val="22"/>
                <w:szCs w:val="22"/>
                <w:lang w:val="sr-Latn-ME" w:eastAsia="ja-JP"/>
              </w:rPr>
            </w:pPr>
            <w:r w:rsidRPr="00611C50">
              <w:rPr>
                <w:sz w:val="22"/>
                <w:szCs w:val="22"/>
                <w:lang w:val="sr-Latn-ME" w:eastAsia="ja-JP"/>
              </w:rPr>
              <w:lastRenderedPageBreak/>
              <w:t>Preživavljavanje do progresije bolesti</w:t>
            </w:r>
          </w:p>
          <w:p w:rsidR="00806E4F" w:rsidRPr="00611C50" w:rsidRDefault="00806E4F" w:rsidP="00A37551">
            <w:pPr>
              <w:rPr>
                <w:sz w:val="22"/>
                <w:szCs w:val="22"/>
                <w:lang w:val="sr-Latn-ME" w:eastAsia="ja-JP"/>
              </w:rPr>
            </w:pPr>
            <w:r w:rsidRPr="00611C50">
              <w:rPr>
                <w:sz w:val="22"/>
                <w:szCs w:val="22"/>
                <w:lang w:val="sr-Latn-ME" w:eastAsia="ja-JP"/>
              </w:rPr>
              <w:t>Koeficijent hazardnosti</w:t>
            </w:r>
          </w:p>
          <w:p w:rsidR="00806E4F" w:rsidRPr="00611C50" w:rsidRDefault="00806E4F" w:rsidP="00A37551">
            <w:pPr>
              <w:rPr>
                <w:sz w:val="22"/>
                <w:szCs w:val="22"/>
                <w:lang w:val="sr-Latn-ME" w:eastAsia="ja-JP"/>
              </w:rPr>
            </w:pPr>
            <w:r w:rsidRPr="00611C50">
              <w:rPr>
                <w:sz w:val="22"/>
                <w:szCs w:val="22"/>
                <w:lang w:val="sr-Latn-ME" w:eastAsia="ja-JP"/>
              </w:rPr>
              <w:t>(95% CI)</w:t>
            </w:r>
          </w:p>
        </w:tc>
        <w:tc>
          <w:tcPr>
            <w:tcW w:w="4978" w:type="dxa"/>
            <w:gridSpan w:val="2"/>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sz w:val="22"/>
                <w:szCs w:val="22"/>
                <w:vertAlign w:val="superscript"/>
                <w:lang w:val="sr-Latn-ME" w:eastAsia="ja-JP"/>
              </w:rPr>
            </w:pPr>
          </w:p>
          <w:p w:rsidR="00806E4F" w:rsidRPr="00611C50" w:rsidRDefault="00806E4F" w:rsidP="00AD0CC1">
            <w:pPr>
              <w:jc w:val="both"/>
              <w:rPr>
                <w:sz w:val="22"/>
                <w:szCs w:val="22"/>
                <w:lang w:val="sr-Latn-ME" w:eastAsia="ja-JP"/>
              </w:rPr>
            </w:pPr>
          </w:p>
          <w:p w:rsidR="00806E4F" w:rsidRPr="00611C50" w:rsidRDefault="00806E4F" w:rsidP="00A37551">
            <w:pPr>
              <w:jc w:val="center"/>
              <w:rPr>
                <w:sz w:val="22"/>
                <w:szCs w:val="22"/>
                <w:lang w:val="sr-Latn-ME" w:eastAsia="ja-JP"/>
              </w:rPr>
            </w:pPr>
            <w:r w:rsidRPr="00611C50">
              <w:rPr>
                <w:sz w:val="22"/>
                <w:szCs w:val="22"/>
                <w:lang w:val="sr-Latn-ME" w:eastAsia="ja-JP"/>
              </w:rPr>
              <w:lastRenderedPageBreak/>
              <w:t>0,26</w:t>
            </w:r>
          </w:p>
          <w:p w:rsidR="00806E4F" w:rsidRPr="00611C50" w:rsidRDefault="00806E4F" w:rsidP="00A37551">
            <w:pPr>
              <w:jc w:val="center"/>
              <w:rPr>
                <w:sz w:val="22"/>
                <w:szCs w:val="22"/>
                <w:lang w:val="sr-Latn-ME" w:eastAsia="ja-JP"/>
              </w:rPr>
            </w:pPr>
            <w:r w:rsidRPr="00611C50">
              <w:rPr>
                <w:sz w:val="22"/>
                <w:szCs w:val="22"/>
                <w:lang w:val="sr-Latn-ME" w:eastAsia="ja-JP"/>
              </w:rPr>
              <w:t>(0,20, 0,33)</w:t>
            </w:r>
          </w:p>
        </w:tc>
        <w:tc>
          <w:tcPr>
            <w:tcW w:w="1618"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sz w:val="22"/>
                <w:szCs w:val="22"/>
                <w:vertAlign w:val="superscript"/>
                <w:lang w:val="sr-Latn-ME" w:eastAsia="ja-JP"/>
              </w:rPr>
            </w:pP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lang w:val="sr-Latn-ME" w:eastAsia="ja-JP"/>
              </w:rPr>
            </w:pPr>
            <w:r w:rsidRPr="00611C50">
              <w:rPr>
                <w:sz w:val="22"/>
                <w:szCs w:val="22"/>
                <w:lang w:val="sr-Latn-ME" w:eastAsia="ja-JP"/>
              </w:rPr>
              <w:t>&lt;0.0001</w:t>
            </w:r>
          </w:p>
        </w:tc>
      </w:tr>
      <w:tr w:rsidR="00806E4F" w:rsidRPr="00611C50" w:rsidTr="00806E4F">
        <w:tc>
          <w:tcPr>
            <w:tcW w:w="248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lastRenderedPageBreak/>
              <w:t>Broj događaja (%)</w:t>
            </w:r>
          </w:p>
        </w:tc>
        <w:tc>
          <w:tcPr>
            <w:tcW w:w="248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ind w:firstLine="720"/>
              <w:jc w:val="both"/>
              <w:rPr>
                <w:sz w:val="22"/>
                <w:szCs w:val="22"/>
                <w:lang w:val="sr-Latn-ME" w:eastAsia="ja-JP"/>
              </w:rPr>
            </w:pPr>
            <w:r w:rsidRPr="00611C50">
              <w:rPr>
                <w:sz w:val="22"/>
                <w:szCs w:val="22"/>
                <w:lang w:val="sr-Latn-ME" w:eastAsia="ja-JP"/>
              </w:rPr>
              <w:t>104 (38%)</w:t>
            </w:r>
          </w:p>
        </w:tc>
        <w:tc>
          <w:tcPr>
            <w:tcW w:w="248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182 (66%)</w:t>
            </w:r>
          </w:p>
        </w:tc>
        <w:tc>
          <w:tcPr>
            <w:tcW w:w="1618"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sz w:val="22"/>
                <w:szCs w:val="22"/>
                <w:vertAlign w:val="superscript"/>
                <w:lang w:val="sr-Latn-ME" w:eastAsia="ja-JP"/>
              </w:rPr>
            </w:pPr>
          </w:p>
        </w:tc>
      </w:tr>
      <w:tr w:rsidR="00806E4F" w:rsidRPr="00611C50" w:rsidTr="00806E4F">
        <w:tc>
          <w:tcPr>
            <w:tcW w:w="248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 xml:space="preserve">Medijana PFS (mjeseci) </w:t>
            </w:r>
          </w:p>
          <w:p w:rsidR="00806E4F" w:rsidRPr="00611C50" w:rsidRDefault="00806E4F" w:rsidP="00AD0CC1">
            <w:pPr>
              <w:jc w:val="both"/>
              <w:rPr>
                <w:sz w:val="22"/>
                <w:szCs w:val="22"/>
                <w:lang w:val="sr-Latn-ME" w:eastAsia="ja-JP"/>
              </w:rPr>
            </w:pPr>
            <w:r w:rsidRPr="00611C50">
              <w:rPr>
                <w:sz w:val="22"/>
                <w:szCs w:val="22"/>
                <w:lang w:val="sr-Latn-ME" w:eastAsia="ja-JP"/>
              </w:rPr>
              <w:t>(95% CI)</w:t>
            </w:r>
          </w:p>
        </w:tc>
        <w:tc>
          <w:tcPr>
            <w:tcW w:w="2489" w:type="dxa"/>
            <w:tcBorders>
              <w:top w:val="single" w:sz="4" w:space="0" w:color="auto"/>
              <w:left w:val="single" w:sz="4" w:space="0" w:color="auto"/>
              <w:bottom w:val="single" w:sz="4" w:space="0" w:color="auto"/>
              <w:right w:val="single" w:sz="4" w:space="0" w:color="auto"/>
            </w:tcBorders>
          </w:tcPr>
          <w:p w:rsidR="00806E4F" w:rsidRPr="00611C50" w:rsidRDefault="00806E4F" w:rsidP="00A37551">
            <w:pPr>
              <w:jc w:val="center"/>
              <w:rPr>
                <w:sz w:val="22"/>
                <w:szCs w:val="22"/>
                <w:vertAlign w:val="superscript"/>
                <w:lang w:val="sr-Latn-ME" w:eastAsia="ja-JP"/>
              </w:rPr>
            </w:pPr>
          </w:p>
          <w:p w:rsidR="00806E4F" w:rsidRPr="00611C50" w:rsidRDefault="00806E4F" w:rsidP="00A37551">
            <w:pPr>
              <w:jc w:val="center"/>
              <w:rPr>
                <w:sz w:val="22"/>
                <w:szCs w:val="22"/>
                <w:lang w:val="sr-Latn-ME" w:eastAsia="ja-JP"/>
              </w:rPr>
            </w:pPr>
            <w:r w:rsidRPr="00611C50">
              <w:rPr>
                <w:sz w:val="22"/>
                <w:szCs w:val="22"/>
                <w:lang w:val="sr-Latn-ME" w:eastAsia="ja-JP"/>
              </w:rPr>
              <w:t>5,32</w:t>
            </w:r>
          </w:p>
          <w:p w:rsidR="00806E4F" w:rsidRPr="00611C50" w:rsidRDefault="00806E4F" w:rsidP="00A37551">
            <w:pPr>
              <w:jc w:val="center"/>
              <w:rPr>
                <w:sz w:val="22"/>
                <w:szCs w:val="22"/>
                <w:lang w:val="sr-Latn-ME" w:eastAsia="ja-JP"/>
              </w:rPr>
            </w:pPr>
            <w:r w:rsidRPr="00611C50">
              <w:rPr>
                <w:sz w:val="22"/>
                <w:szCs w:val="22"/>
                <w:lang w:val="sr-Latn-ME" w:eastAsia="ja-JP"/>
              </w:rPr>
              <w:t>(4.86, 6.57)</w:t>
            </w:r>
          </w:p>
        </w:tc>
        <w:tc>
          <w:tcPr>
            <w:tcW w:w="2489" w:type="dxa"/>
            <w:tcBorders>
              <w:top w:val="single" w:sz="4" w:space="0" w:color="auto"/>
              <w:left w:val="single" w:sz="4" w:space="0" w:color="auto"/>
              <w:bottom w:val="single" w:sz="4" w:space="0" w:color="auto"/>
              <w:right w:val="single" w:sz="4" w:space="0" w:color="auto"/>
            </w:tcBorders>
          </w:tcPr>
          <w:p w:rsidR="00806E4F" w:rsidRPr="00611C50" w:rsidRDefault="00806E4F" w:rsidP="00A37551">
            <w:pPr>
              <w:jc w:val="center"/>
              <w:rPr>
                <w:sz w:val="22"/>
                <w:szCs w:val="22"/>
                <w:lang w:val="sr-Latn-ME" w:eastAsia="ja-JP"/>
              </w:rPr>
            </w:pPr>
          </w:p>
          <w:p w:rsidR="00806E4F" w:rsidRPr="00611C50" w:rsidRDefault="00806E4F" w:rsidP="00A37551">
            <w:pPr>
              <w:jc w:val="center"/>
              <w:rPr>
                <w:sz w:val="22"/>
                <w:szCs w:val="22"/>
                <w:lang w:val="sr-Latn-ME" w:eastAsia="ja-JP"/>
              </w:rPr>
            </w:pPr>
            <w:r w:rsidRPr="00611C50">
              <w:rPr>
                <w:sz w:val="22"/>
                <w:szCs w:val="22"/>
                <w:lang w:val="sr-Latn-ME" w:eastAsia="ja-JP"/>
              </w:rPr>
              <w:t>1,61</w:t>
            </w:r>
          </w:p>
          <w:p w:rsidR="00806E4F" w:rsidRPr="00611C50" w:rsidRDefault="00806E4F" w:rsidP="00A37551">
            <w:pPr>
              <w:jc w:val="center"/>
              <w:rPr>
                <w:sz w:val="22"/>
                <w:szCs w:val="22"/>
                <w:lang w:val="sr-Latn-ME" w:eastAsia="ja-JP"/>
              </w:rPr>
            </w:pPr>
            <w:r w:rsidRPr="00611C50">
              <w:rPr>
                <w:sz w:val="22"/>
                <w:szCs w:val="22"/>
                <w:lang w:val="sr-Latn-ME" w:eastAsia="ja-JP"/>
              </w:rPr>
              <w:t>(1.58, 1.74)</w:t>
            </w:r>
          </w:p>
        </w:tc>
        <w:tc>
          <w:tcPr>
            <w:tcW w:w="1618"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sz w:val="22"/>
                <w:szCs w:val="22"/>
                <w:vertAlign w:val="superscript"/>
                <w:lang w:val="sr-Latn-ME" w:eastAsia="ja-JP"/>
              </w:rPr>
            </w:pPr>
          </w:p>
        </w:tc>
      </w:tr>
      <w:tr w:rsidR="00806E4F" w:rsidRPr="00611C50" w:rsidTr="00806E4F">
        <w:tc>
          <w:tcPr>
            <w:tcW w:w="9085" w:type="dxa"/>
            <w:gridSpan w:val="4"/>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vertAlign w:val="superscript"/>
                <w:lang w:val="sr-Latn-ME" w:eastAsia="ja-JP"/>
              </w:rPr>
            </w:pPr>
            <w:r w:rsidRPr="00611C50">
              <w:rPr>
                <w:sz w:val="22"/>
                <w:szCs w:val="22"/>
                <w:lang w:val="sr-Latn-ME" w:eastAsia="ja-JP"/>
              </w:rPr>
              <w:t>Podaci do presjeka 1. Februar 2012.</w:t>
            </w:r>
            <w:r w:rsidRPr="00611C50">
              <w:rPr>
                <w:sz w:val="22"/>
                <w:szCs w:val="22"/>
                <w:vertAlign w:val="superscript"/>
                <w:lang w:val="sr-Latn-ME" w:eastAsia="ja-JP"/>
              </w:rPr>
              <w:t>(z)</w:t>
            </w:r>
          </w:p>
        </w:tc>
      </w:tr>
      <w:tr w:rsidR="00806E4F" w:rsidRPr="00611C50" w:rsidTr="00806E4F">
        <w:tc>
          <w:tcPr>
            <w:tcW w:w="248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37551">
            <w:pPr>
              <w:rPr>
                <w:sz w:val="22"/>
                <w:szCs w:val="22"/>
                <w:lang w:val="sr-Latn-ME" w:eastAsia="ja-JP"/>
              </w:rPr>
            </w:pPr>
            <w:r w:rsidRPr="00611C50">
              <w:rPr>
                <w:sz w:val="22"/>
                <w:szCs w:val="22"/>
                <w:lang w:val="sr-Latn-ME" w:eastAsia="ja-JP"/>
              </w:rPr>
              <w:t>Preživavljavanje do progresije bolesti</w:t>
            </w:r>
          </w:p>
          <w:p w:rsidR="00806E4F" w:rsidRPr="00611C50" w:rsidRDefault="00806E4F" w:rsidP="00A37551">
            <w:pPr>
              <w:rPr>
                <w:sz w:val="22"/>
                <w:szCs w:val="22"/>
                <w:lang w:val="sr-Latn-ME" w:eastAsia="ja-JP"/>
              </w:rPr>
            </w:pPr>
            <w:r w:rsidRPr="00611C50">
              <w:rPr>
                <w:sz w:val="22"/>
                <w:szCs w:val="22"/>
                <w:lang w:val="sr-Latn-ME" w:eastAsia="ja-JP"/>
              </w:rPr>
              <w:t>Koeficijent hazardnosti</w:t>
            </w:r>
          </w:p>
          <w:p w:rsidR="00806E4F" w:rsidRPr="00611C50" w:rsidRDefault="00806E4F" w:rsidP="00A37551">
            <w:pPr>
              <w:rPr>
                <w:sz w:val="22"/>
                <w:szCs w:val="22"/>
                <w:lang w:val="sr-Latn-ME" w:eastAsia="ja-JP"/>
              </w:rPr>
            </w:pPr>
            <w:r w:rsidRPr="00611C50">
              <w:rPr>
                <w:sz w:val="22"/>
                <w:szCs w:val="22"/>
                <w:lang w:val="sr-Latn-ME" w:eastAsia="ja-JP"/>
              </w:rPr>
              <w:t>(95% CI)</w:t>
            </w:r>
          </w:p>
        </w:tc>
        <w:tc>
          <w:tcPr>
            <w:tcW w:w="4978" w:type="dxa"/>
            <w:gridSpan w:val="2"/>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lang w:val="sr-Latn-ME" w:eastAsia="ja-JP"/>
              </w:rPr>
            </w:pPr>
          </w:p>
          <w:p w:rsidR="00806E4F" w:rsidRPr="00611C50" w:rsidRDefault="00806E4F" w:rsidP="00A37551">
            <w:pPr>
              <w:jc w:val="center"/>
              <w:rPr>
                <w:sz w:val="22"/>
                <w:szCs w:val="22"/>
                <w:lang w:val="sr-Latn-ME" w:eastAsia="ja-JP"/>
              </w:rPr>
            </w:pPr>
            <w:r w:rsidRPr="00611C50">
              <w:rPr>
                <w:sz w:val="22"/>
                <w:szCs w:val="22"/>
                <w:lang w:val="sr-Latn-ME" w:eastAsia="ja-JP"/>
              </w:rPr>
              <w:t>0.38</w:t>
            </w:r>
          </w:p>
          <w:p w:rsidR="00806E4F" w:rsidRPr="00611C50" w:rsidRDefault="00806E4F" w:rsidP="00A37551">
            <w:pPr>
              <w:jc w:val="center"/>
              <w:rPr>
                <w:sz w:val="22"/>
                <w:szCs w:val="22"/>
                <w:lang w:val="sr-Latn-ME" w:eastAsia="ja-JP"/>
              </w:rPr>
            </w:pPr>
            <w:r w:rsidRPr="00611C50">
              <w:rPr>
                <w:sz w:val="22"/>
                <w:szCs w:val="22"/>
                <w:lang w:val="sr-Latn-ME" w:eastAsia="ja-JP"/>
              </w:rPr>
              <w:t>(0.32, 0.46)</w:t>
            </w:r>
          </w:p>
        </w:tc>
        <w:tc>
          <w:tcPr>
            <w:tcW w:w="1618"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sz w:val="22"/>
                <w:szCs w:val="22"/>
                <w:vertAlign w:val="superscript"/>
                <w:lang w:val="sr-Latn-ME" w:eastAsia="ja-JP"/>
              </w:rPr>
            </w:pP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lang w:val="sr-Latn-ME" w:eastAsia="ja-JP"/>
              </w:rPr>
            </w:pPr>
          </w:p>
          <w:p w:rsidR="00806E4F" w:rsidRPr="00611C50" w:rsidRDefault="00806E4F" w:rsidP="00A37551">
            <w:pPr>
              <w:jc w:val="both"/>
              <w:rPr>
                <w:sz w:val="22"/>
                <w:szCs w:val="22"/>
                <w:lang w:val="sr-Latn-ME" w:eastAsia="ja-JP"/>
              </w:rPr>
            </w:pPr>
            <w:r w:rsidRPr="00611C50">
              <w:rPr>
                <w:sz w:val="22"/>
                <w:szCs w:val="22"/>
                <w:lang w:val="sr-Latn-ME" w:eastAsia="ja-JP"/>
              </w:rPr>
              <w:t>&lt;0.0001</w:t>
            </w:r>
          </w:p>
        </w:tc>
      </w:tr>
      <w:tr w:rsidR="00806E4F" w:rsidRPr="00611C50" w:rsidTr="00806E4F">
        <w:tc>
          <w:tcPr>
            <w:tcW w:w="248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Broj događaja (%)</w:t>
            </w:r>
          </w:p>
        </w:tc>
        <w:tc>
          <w:tcPr>
            <w:tcW w:w="248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37551">
            <w:pPr>
              <w:jc w:val="center"/>
              <w:rPr>
                <w:sz w:val="22"/>
                <w:szCs w:val="22"/>
                <w:lang w:val="sr-Latn-ME" w:eastAsia="ja-JP"/>
              </w:rPr>
            </w:pPr>
            <w:r w:rsidRPr="00611C50">
              <w:rPr>
                <w:sz w:val="22"/>
                <w:szCs w:val="22"/>
                <w:lang w:val="sr-Latn-ME" w:eastAsia="ja-JP"/>
              </w:rPr>
              <w:t>277(82%)</w:t>
            </w:r>
          </w:p>
        </w:tc>
        <w:tc>
          <w:tcPr>
            <w:tcW w:w="248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37551">
            <w:pPr>
              <w:jc w:val="center"/>
              <w:rPr>
                <w:sz w:val="22"/>
                <w:szCs w:val="22"/>
                <w:lang w:val="sr-Latn-ME" w:eastAsia="ja-JP"/>
              </w:rPr>
            </w:pPr>
            <w:r w:rsidRPr="00611C50">
              <w:rPr>
                <w:sz w:val="22"/>
                <w:szCs w:val="22"/>
                <w:lang w:val="sr-Latn-ME" w:eastAsia="ja-JP"/>
              </w:rPr>
              <w:t>273(81%)</w:t>
            </w:r>
          </w:p>
        </w:tc>
        <w:tc>
          <w:tcPr>
            <w:tcW w:w="1618"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sz w:val="22"/>
                <w:szCs w:val="22"/>
                <w:vertAlign w:val="superscript"/>
                <w:lang w:val="sr-Latn-ME" w:eastAsia="ja-JP"/>
              </w:rPr>
            </w:pPr>
          </w:p>
        </w:tc>
      </w:tr>
      <w:tr w:rsidR="00806E4F" w:rsidRPr="00611C50" w:rsidTr="00806E4F">
        <w:tc>
          <w:tcPr>
            <w:tcW w:w="248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jc w:val="both"/>
              <w:rPr>
                <w:sz w:val="22"/>
                <w:szCs w:val="22"/>
                <w:lang w:val="sr-Latn-ME" w:eastAsia="ja-JP"/>
              </w:rPr>
            </w:pPr>
            <w:r w:rsidRPr="00611C50">
              <w:rPr>
                <w:sz w:val="22"/>
                <w:szCs w:val="22"/>
                <w:lang w:val="sr-Latn-ME" w:eastAsia="ja-JP"/>
              </w:rPr>
              <w:t xml:space="preserve">Medijana PFS (mjeseci) </w:t>
            </w:r>
          </w:p>
          <w:p w:rsidR="00806E4F" w:rsidRPr="00611C50" w:rsidRDefault="00806E4F" w:rsidP="00AD0CC1">
            <w:pPr>
              <w:jc w:val="both"/>
              <w:rPr>
                <w:sz w:val="22"/>
                <w:szCs w:val="22"/>
                <w:lang w:val="sr-Latn-ME" w:eastAsia="ja-JP"/>
              </w:rPr>
            </w:pPr>
            <w:r w:rsidRPr="00611C50">
              <w:rPr>
                <w:sz w:val="22"/>
                <w:szCs w:val="22"/>
                <w:lang w:val="sr-Latn-ME" w:eastAsia="ja-JP"/>
              </w:rPr>
              <w:t>(95% CI)</w:t>
            </w:r>
          </w:p>
        </w:tc>
        <w:tc>
          <w:tcPr>
            <w:tcW w:w="2489" w:type="dxa"/>
            <w:tcBorders>
              <w:top w:val="single" w:sz="4" w:space="0" w:color="auto"/>
              <w:left w:val="single" w:sz="4" w:space="0" w:color="auto"/>
              <w:bottom w:val="single" w:sz="4" w:space="0" w:color="auto"/>
              <w:right w:val="single" w:sz="4" w:space="0" w:color="auto"/>
            </w:tcBorders>
          </w:tcPr>
          <w:p w:rsidR="00806E4F" w:rsidRPr="00611C50" w:rsidRDefault="00806E4F" w:rsidP="00A37551">
            <w:pPr>
              <w:jc w:val="center"/>
              <w:rPr>
                <w:sz w:val="22"/>
                <w:szCs w:val="22"/>
                <w:lang w:val="sr-Latn-ME" w:eastAsia="ja-JP"/>
              </w:rPr>
            </w:pPr>
          </w:p>
          <w:p w:rsidR="00806E4F" w:rsidRPr="00611C50" w:rsidRDefault="00806E4F" w:rsidP="00A37551">
            <w:pPr>
              <w:jc w:val="center"/>
              <w:rPr>
                <w:sz w:val="22"/>
                <w:szCs w:val="22"/>
                <w:lang w:val="sr-Latn-ME" w:eastAsia="ja-JP"/>
              </w:rPr>
            </w:pPr>
            <w:r w:rsidRPr="00611C50">
              <w:rPr>
                <w:sz w:val="22"/>
                <w:szCs w:val="22"/>
                <w:lang w:val="sr-Latn-ME" w:eastAsia="ja-JP"/>
              </w:rPr>
              <w:t>6.87</w:t>
            </w:r>
          </w:p>
          <w:p w:rsidR="00806E4F" w:rsidRPr="00611C50" w:rsidRDefault="00806E4F" w:rsidP="00A37551">
            <w:pPr>
              <w:jc w:val="center"/>
              <w:rPr>
                <w:sz w:val="22"/>
                <w:szCs w:val="22"/>
                <w:lang w:val="sr-Latn-ME" w:eastAsia="ja-JP"/>
              </w:rPr>
            </w:pPr>
            <w:r w:rsidRPr="00611C50">
              <w:rPr>
                <w:sz w:val="22"/>
                <w:szCs w:val="22"/>
                <w:lang w:val="sr-Latn-ME" w:eastAsia="ja-JP"/>
              </w:rPr>
              <w:t>(6.14, 6.97)</w:t>
            </w:r>
          </w:p>
        </w:tc>
        <w:tc>
          <w:tcPr>
            <w:tcW w:w="2489" w:type="dxa"/>
            <w:tcBorders>
              <w:top w:val="single" w:sz="4" w:space="0" w:color="auto"/>
              <w:left w:val="single" w:sz="4" w:space="0" w:color="auto"/>
              <w:bottom w:val="single" w:sz="4" w:space="0" w:color="auto"/>
              <w:right w:val="single" w:sz="4" w:space="0" w:color="auto"/>
            </w:tcBorders>
          </w:tcPr>
          <w:p w:rsidR="00806E4F" w:rsidRPr="00611C50" w:rsidRDefault="00806E4F" w:rsidP="00A37551">
            <w:pPr>
              <w:jc w:val="center"/>
              <w:rPr>
                <w:sz w:val="22"/>
                <w:szCs w:val="22"/>
                <w:vertAlign w:val="superscript"/>
                <w:lang w:val="sr-Latn-ME" w:eastAsia="ja-JP"/>
              </w:rPr>
            </w:pPr>
          </w:p>
          <w:p w:rsidR="00806E4F" w:rsidRPr="00611C50" w:rsidRDefault="00806E4F" w:rsidP="00A37551">
            <w:pPr>
              <w:jc w:val="center"/>
              <w:rPr>
                <w:sz w:val="22"/>
                <w:szCs w:val="22"/>
                <w:lang w:val="sr-Latn-ME" w:eastAsia="ja-JP"/>
              </w:rPr>
            </w:pPr>
            <w:r w:rsidRPr="00611C50">
              <w:rPr>
                <w:sz w:val="22"/>
                <w:szCs w:val="22"/>
                <w:lang w:val="sr-Latn-ME" w:eastAsia="ja-JP"/>
              </w:rPr>
              <w:t>1.64</w:t>
            </w:r>
          </w:p>
          <w:p w:rsidR="00806E4F" w:rsidRPr="00611C50" w:rsidRDefault="00806E4F" w:rsidP="00A37551">
            <w:pPr>
              <w:jc w:val="center"/>
              <w:rPr>
                <w:sz w:val="22"/>
                <w:szCs w:val="22"/>
                <w:lang w:val="sr-Latn-ME" w:eastAsia="ja-JP"/>
              </w:rPr>
            </w:pPr>
            <w:r w:rsidRPr="00611C50">
              <w:rPr>
                <w:sz w:val="22"/>
                <w:szCs w:val="22"/>
                <w:lang w:val="sr-Latn-ME" w:eastAsia="ja-JP"/>
              </w:rPr>
              <w:t>(1.58, 2.07)</w:t>
            </w:r>
          </w:p>
        </w:tc>
        <w:tc>
          <w:tcPr>
            <w:tcW w:w="1618"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jc w:val="both"/>
              <w:rPr>
                <w:sz w:val="22"/>
                <w:szCs w:val="22"/>
                <w:vertAlign w:val="superscript"/>
                <w:lang w:val="sr-Latn-ME" w:eastAsia="ja-JP"/>
              </w:rPr>
            </w:pPr>
          </w:p>
        </w:tc>
      </w:tr>
    </w:tbl>
    <w:p w:rsidR="00806E4F" w:rsidRPr="00611C50" w:rsidRDefault="00806E4F" w:rsidP="00AD0CC1">
      <w:pPr>
        <w:jc w:val="both"/>
        <w:rPr>
          <w:sz w:val="22"/>
          <w:szCs w:val="22"/>
          <w:lang w:val="sr-Latn-ME" w:eastAsia="ja-JP"/>
        </w:rPr>
      </w:pPr>
      <w:r w:rsidRPr="00611C50">
        <w:rPr>
          <w:sz w:val="22"/>
          <w:szCs w:val="22"/>
          <w:vertAlign w:val="superscript"/>
          <w:lang w:val="sr-Latn-ME" w:eastAsia="ja-JP"/>
        </w:rPr>
        <w:t>(x)</w:t>
      </w:r>
      <w:r w:rsidRPr="00611C50">
        <w:rPr>
          <w:sz w:val="22"/>
          <w:szCs w:val="22"/>
          <w:lang w:val="sr-Latn-ME" w:eastAsia="ja-JP"/>
        </w:rPr>
        <w:t xml:space="preserve"> Nestratifikovan log-rank test za PFS i Ki-kvadrat test za Ukupnu stopu odgovora.</w:t>
      </w:r>
    </w:p>
    <w:p w:rsidR="00806E4F" w:rsidRPr="00611C50" w:rsidRDefault="00806E4F" w:rsidP="00AD0CC1">
      <w:pPr>
        <w:jc w:val="both"/>
        <w:rPr>
          <w:sz w:val="22"/>
          <w:szCs w:val="22"/>
          <w:lang w:val="sr-Latn-ME" w:eastAsia="ja-JP"/>
        </w:rPr>
      </w:pPr>
      <w:r w:rsidRPr="00611C50">
        <w:rPr>
          <w:sz w:val="22"/>
          <w:szCs w:val="22"/>
          <w:vertAlign w:val="superscript"/>
          <w:lang w:val="sr-Latn-ME" w:eastAsia="ja-JP"/>
        </w:rPr>
        <w:t>(y)</w:t>
      </w:r>
      <w:r w:rsidRPr="00611C50">
        <w:rPr>
          <w:sz w:val="22"/>
          <w:szCs w:val="22"/>
          <w:lang w:val="sr-Latn-ME" w:eastAsia="ja-JP"/>
        </w:rPr>
        <w:t>Od 30. Decembra 2010, ukupno je 549 pacijenata analizirano za PFS i 439 pacijenata za Ukupnu stopu odgovora.</w:t>
      </w:r>
    </w:p>
    <w:p w:rsidR="00806E4F" w:rsidRPr="00611C50" w:rsidRDefault="00806E4F" w:rsidP="00AD0CC1">
      <w:pPr>
        <w:jc w:val="both"/>
        <w:rPr>
          <w:sz w:val="22"/>
          <w:szCs w:val="22"/>
          <w:lang w:val="sr-Latn-ME" w:eastAsia="ja-JP"/>
        </w:rPr>
      </w:pPr>
      <w:r w:rsidRPr="00611C50">
        <w:rPr>
          <w:sz w:val="22"/>
          <w:szCs w:val="22"/>
          <w:vertAlign w:val="superscript"/>
          <w:lang w:val="sr-Latn-ME" w:eastAsia="ja-JP"/>
        </w:rPr>
        <w:t>(z)</w:t>
      </w:r>
      <w:r w:rsidRPr="00611C50">
        <w:rPr>
          <w:sz w:val="22"/>
          <w:szCs w:val="22"/>
          <w:lang w:val="sr-Latn-ME" w:eastAsia="ja-JP"/>
        </w:rPr>
        <w:t>Od 1. Februara 2012, ukupno je 675 pacijenata analizirano za post-hoc analizu ažuriranu za PFS.</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lang w:val="sr-Latn-ME" w:eastAsia="ja-JP"/>
        </w:rPr>
      </w:pPr>
      <w:r w:rsidRPr="00611C50">
        <w:rPr>
          <w:sz w:val="22"/>
          <w:szCs w:val="22"/>
          <w:lang w:val="sr-Latn-ME" w:eastAsia="ja-JP"/>
        </w:rPr>
        <w:t>Ukupno za 57 pacijenata, od 673 pacijenata čiji su tumori analizirani retrospektivnim sekvencioniranjem, je prijavljeno da ima melanom sa pozitivnom BRAF V600 mutacijom u studiji NO25026. Iako limitirana niskim brojem pacijenata, analiza efikasnosti među ovim pacijentima sa V600K pozitivnim tumorima ukazuje na korist od terapije vemurafenibom u smislu OS, PFS i potvrđenog boljeg ukupnog odgovora. Nisu dostupni podaci za pacijente sa melanomom koji ima druge BRAF V600 mutacije, osim V600E i V600 K.</w:t>
      </w:r>
    </w:p>
    <w:p w:rsidR="00806E4F" w:rsidRPr="00611C50" w:rsidRDefault="00806E4F" w:rsidP="00AD0CC1">
      <w:pPr>
        <w:jc w:val="both"/>
        <w:rPr>
          <w:sz w:val="22"/>
          <w:szCs w:val="22"/>
          <w:lang w:val="sr-Latn-ME" w:eastAsia="ja-JP"/>
        </w:rPr>
      </w:pPr>
    </w:p>
    <w:p w:rsidR="00806E4F" w:rsidRPr="00611C50" w:rsidRDefault="00806E4F" w:rsidP="00AD0CC1">
      <w:pPr>
        <w:jc w:val="both"/>
        <w:rPr>
          <w:i/>
          <w:sz w:val="22"/>
          <w:szCs w:val="22"/>
          <w:lang w:val="sr-Latn-ME" w:eastAsia="de-DE"/>
        </w:rPr>
      </w:pPr>
      <w:r w:rsidRPr="00611C50">
        <w:rPr>
          <w:i/>
          <w:sz w:val="22"/>
          <w:szCs w:val="22"/>
          <w:lang w:val="sr-Latn-ME" w:eastAsia="de-DE"/>
        </w:rPr>
        <w:t xml:space="preserve">Rezultati studije faze II (NP22657)kod pacijenata koji nisu odgovorili na bar jednu prethodnu terapiju </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lang w:val="sr-Latn-ME" w:eastAsia="ja-JP"/>
        </w:rPr>
      </w:pPr>
      <w:r w:rsidRPr="00611C50">
        <w:rPr>
          <w:sz w:val="22"/>
          <w:szCs w:val="22"/>
          <w:lang w:val="sr-Latn-ME" w:eastAsia="ja-JP"/>
        </w:rPr>
        <w:t>Multicentrična, multinacionalna studija faze</w:t>
      </w:r>
      <w:r w:rsidR="007F48B1" w:rsidRPr="00611C50">
        <w:rPr>
          <w:sz w:val="22"/>
          <w:szCs w:val="22"/>
          <w:lang w:val="sr-Latn-ME" w:eastAsia="ja-JP"/>
        </w:rPr>
        <w:t xml:space="preserve"> II</w:t>
      </w:r>
      <w:r w:rsidRPr="00611C50">
        <w:rPr>
          <w:sz w:val="22"/>
          <w:szCs w:val="22"/>
          <w:lang w:val="sr-Latn-ME" w:eastAsia="ja-JP"/>
        </w:rPr>
        <w:t xml:space="preserve">, sa jednom  grupom pacijenata, sprovedena je na 132 pacijenta koji su imali metastatski melanom pozitivan na BRAF V600 mutaciju prema cobas 4800 BRAF V600 testu na mutacije  i koji nisu odgovorili na barem jednu prethodnu terapiju.  Medijana starosti bila je 52 godine, sa 19% pacijenata starijih od 65 godina. Većina pacijenata bili su muškarci (61 %), belci (99 %), u stadijumu bolesti M1c (61%).  Četrdeset i devet odsto pacijenata prethodno nisu odgovorili na ≥ 2 terapije. </w:t>
      </w:r>
    </w:p>
    <w:p w:rsidR="00806E4F" w:rsidRPr="00611C50" w:rsidRDefault="00806E4F" w:rsidP="00AD0CC1">
      <w:pPr>
        <w:jc w:val="both"/>
        <w:rPr>
          <w:sz w:val="22"/>
          <w:szCs w:val="22"/>
          <w:lang w:val="sr-Latn-ME" w:eastAsia="ja-JP"/>
        </w:rPr>
      </w:pPr>
      <w:r w:rsidRPr="00611C50">
        <w:rPr>
          <w:sz w:val="22"/>
          <w:szCs w:val="22"/>
          <w:lang w:val="sr-Latn-ME" w:eastAsia="ja-JP"/>
        </w:rPr>
        <w:t xml:space="preserve">Sa medijanom praćenja od 12.9 mjeseci (opseg 0.6 do 20.1), primarni cilj potvrđene najbolje ukupne stope odgovora (CR+PR), a na osnovu procjene nezavisne komisije (IRC) bio je 53% (95% CI: 44%, 62%). Medijana ukupnog preživljavanja bila je 15.9 mjeseci (95% CI: 11.6, 18.3). Ukupna stopa preživljavanja nakon 6 mjeseci bila je 77% (95% CI: 70%, 85%), a nakon 12 mjeseci 58% (95% CI: 49%, 67%).  </w:t>
      </w:r>
    </w:p>
    <w:p w:rsidR="00806E4F" w:rsidRPr="00611C50" w:rsidRDefault="00806E4F" w:rsidP="00AD0CC1">
      <w:pPr>
        <w:jc w:val="both"/>
        <w:rPr>
          <w:sz w:val="22"/>
          <w:szCs w:val="22"/>
          <w:lang w:val="sr-Latn-ME" w:eastAsia="ja-JP"/>
        </w:rPr>
      </w:pPr>
      <w:r w:rsidRPr="00611C50">
        <w:rPr>
          <w:sz w:val="22"/>
          <w:szCs w:val="22"/>
          <w:lang w:val="sr-Latn-ME" w:eastAsia="ja-JP"/>
        </w:rPr>
        <w:t>Devet od 132 pacijenta uključenih u NP22657 imalo je tumor sa pozitivnom V600K mutacijom prema retrospektivnom Sanger sekvencioniranju. Među ovim pacijentima, 3 je imalo PR, 3 SD, 2 su imala PD i jedan nije procjenjivan.</w:t>
      </w:r>
    </w:p>
    <w:p w:rsidR="00806E4F" w:rsidRPr="00611C50" w:rsidRDefault="00806E4F" w:rsidP="00AD0CC1">
      <w:pPr>
        <w:jc w:val="both"/>
        <w:rPr>
          <w:sz w:val="22"/>
          <w:szCs w:val="22"/>
          <w:lang w:val="sr-Latn-ME"/>
        </w:rPr>
      </w:pPr>
    </w:p>
    <w:p w:rsidR="00806E4F" w:rsidRPr="00611C50" w:rsidRDefault="00806E4F" w:rsidP="00AD0CC1">
      <w:pPr>
        <w:jc w:val="both"/>
        <w:rPr>
          <w:i/>
          <w:sz w:val="22"/>
          <w:szCs w:val="22"/>
          <w:lang w:val="sr-Latn-ME"/>
        </w:rPr>
      </w:pPr>
      <w:r w:rsidRPr="00611C50">
        <w:rPr>
          <w:i/>
          <w:sz w:val="22"/>
          <w:szCs w:val="22"/>
          <w:lang w:val="sr-Latn-ME"/>
        </w:rPr>
        <w:t>Rezultati studije faze II (MO25743) kod pacijenata sa moždanim metastazama</w:t>
      </w:r>
    </w:p>
    <w:p w:rsidR="00806E4F" w:rsidRPr="00611C50" w:rsidRDefault="00806E4F" w:rsidP="00AD0CC1">
      <w:pPr>
        <w:jc w:val="both"/>
        <w:rPr>
          <w:sz w:val="22"/>
          <w:szCs w:val="22"/>
          <w:lang w:val="sr-Latn-ME"/>
        </w:rPr>
      </w:pPr>
    </w:p>
    <w:p w:rsidR="00806E4F" w:rsidRPr="00611C50" w:rsidRDefault="00806E4F" w:rsidP="00AD0CC1">
      <w:pPr>
        <w:jc w:val="both"/>
        <w:rPr>
          <w:sz w:val="22"/>
          <w:szCs w:val="22"/>
          <w:lang w:val="sr-Latn-ME"/>
        </w:rPr>
      </w:pPr>
      <w:r w:rsidRPr="00611C50">
        <w:rPr>
          <w:sz w:val="22"/>
          <w:szCs w:val="22"/>
          <w:lang w:val="sr-Latn-ME"/>
        </w:rPr>
        <w:t>Sprovedena je multicentrična studija vemurafeniba, sa jednom grupom (N =146), kod odraslih pacijenata s histološki potvrđenim metastatskim melanomom pozitivnim na mutaciju BRAF V600 (potvrđeno testom cobas 4800 BRAF V600 Mutation Test) i moždanim metastazama. U studiji su sudjelovale dvije kohorte u koje su se pacijenti uključivali istovremeno:</w:t>
      </w:r>
    </w:p>
    <w:p w:rsidR="00806E4F" w:rsidRPr="00611C50" w:rsidRDefault="00806E4F" w:rsidP="00AD0CC1">
      <w:pPr>
        <w:jc w:val="both"/>
        <w:rPr>
          <w:sz w:val="22"/>
          <w:szCs w:val="22"/>
          <w:lang w:val="sr-Latn-ME"/>
        </w:rPr>
      </w:pPr>
    </w:p>
    <w:p w:rsidR="00806E4F" w:rsidRPr="00611C50" w:rsidRDefault="00806E4F" w:rsidP="00AD0CC1">
      <w:pPr>
        <w:numPr>
          <w:ilvl w:val="0"/>
          <w:numId w:val="14"/>
        </w:numPr>
        <w:ind w:left="459" w:hanging="425"/>
        <w:jc w:val="both"/>
        <w:rPr>
          <w:sz w:val="22"/>
          <w:szCs w:val="22"/>
          <w:lang w:val="sr-Latn-ME"/>
        </w:rPr>
      </w:pPr>
      <w:r w:rsidRPr="00611C50">
        <w:rPr>
          <w:sz w:val="22"/>
          <w:szCs w:val="22"/>
          <w:lang w:val="sr-Latn-ME"/>
        </w:rPr>
        <w:t>Prvu kohortu činili su prethodno neliječeni pacijenti (N = 90): pacijenti koji prethodno nisu primili liječenje za moždane metastaze; bila je dopuštena prethodna sistemska terapija za metastatski melanom uz izuzetak BRAF inhibitora i MEK inhibitora.</w:t>
      </w:r>
    </w:p>
    <w:p w:rsidR="00806E4F" w:rsidRPr="00611C50" w:rsidRDefault="00806E4F" w:rsidP="00AD0CC1">
      <w:pPr>
        <w:jc w:val="both"/>
        <w:rPr>
          <w:sz w:val="22"/>
          <w:szCs w:val="22"/>
          <w:lang w:val="sr-Latn-ME"/>
        </w:rPr>
      </w:pPr>
    </w:p>
    <w:p w:rsidR="00806E4F" w:rsidRPr="00611C50" w:rsidRDefault="00806E4F" w:rsidP="00AD0CC1">
      <w:pPr>
        <w:numPr>
          <w:ilvl w:val="0"/>
          <w:numId w:val="14"/>
        </w:numPr>
        <w:ind w:left="459" w:hanging="425"/>
        <w:jc w:val="both"/>
        <w:rPr>
          <w:sz w:val="22"/>
          <w:szCs w:val="22"/>
          <w:lang w:val="sr-Latn-ME"/>
        </w:rPr>
      </w:pPr>
      <w:r w:rsidRPr="00611C50">
        <w:rPr>
          <w:sz w:val="22"/>
          <w:szCs w:val="22"/>
          <w:lang w:val="sr-Latn-ME"/>
        </w:rPr>
        <w:lastRenderedPageBreak/>
        <w:t>Drugu kohortu činili su prethodno liječeni pacijenti (N = 56): pacijenti koji su prethodno primili liječenje za moždane metastaze i kojima je bolest uznapredovala nakon tog liječenja. Pcijenti liječeni stereotaktičkom radioterapijom (SRT) ili hirurškim zahvatom morali su da imaju novu moždanu leziju mjerljivu prema RECIST kriterijima, koja se razvila nakon te prethodne terapije.</w:t>
      </w:r>
    </w:p>
    <w:p w:rsidR="00806E4F" w:rsidRPr="00611C50" w:rsidRDefault="00806E4F" w:rsidP="00AD0CC1">
      <w:pPr>
        <w:pStyle w:val="ListParagraph"/>
        <w:rPr>
          <w:sz w:val="22"/>
          <w:szCs w:val="22"/>
          <w:lang w:val="sr-Latn-ME"/>
        </w:rPr>
      </w:pPr>
    </w:p>
    <w:p w:rsidR="00806E4F" w:rsidRPr="00611C50" w:rsidRDefault="00806E4F" w:rsidP="00AD0CC1">
      <w:pPr>
        <w:jc w:val="both"/>
        <w:rPr>
          <w:sz w:val="22"/>
          <w:szCs w:val="22"/>
          <w:lang w:val="sr-Latn-ME"/>
        </w:rPr>
      </w:pPr>
      <w:r w:rsidRPr="00611C50">
        <w:rPr>
          <w:sz w:val="22"/>
          <w:szCs w:val="22"/>
          <w:lang w:val="sr-Latn-ME"/>
        </w:rPr>
        <w:t>U studiju je bilo uključeno ukupno 146 pacijenata. Većina pacijenata je bila muškog pola (61,6%) i bijele rase (92,5%), a medijana uzrasta iznosila je 54 godine (raspon: 26 do 83 godine); pacijenti su bili ravnomjerno raspodijeljeni uizmeđu dvije kohorte. Medijana broja ciljnih moždanih lezija na početku studije iznosila je 2 (raspon: 1 do 5) u obje kohorte.</w:t>
      </w:r>
    </w:p>
    <w:p w:rsidR="007F48B1" w:rsidRPr="00611C50" w:rsidRDefault="007F48B1" w:rsidP="00AD0CC1">
      <w:pPr>
        <w:jc w:val="both"/>
        <w:rPr>
          <w:sz w:val="22"/>
          <w:szCs w:val="22"/>
          <w:lang w:val="sr-Latn-ME"/>
        </w:rPr>
      </w:pPr>
    </w:p>
    <w:p w:rsidR="00806E4F" w:rsidRPr="00611C50" w:rsidRDefault="00806E4F" w:rsidP="00AD0CC1">
      <w:pPr>
        <w:jc w:val="both"/>
        <w:rPr>
          <w:sz w:val="22"/>
          <w:szCs w:val="22"/>
          <w:lang w:val="sr-Latn-ME"/>
        </w:rPr>
      </w:pPr>
      <w:r w:rsidRPr="00611C50">
        <w:rPr>
          <w:sz w:val="22"/>
          <w:szCs w:val="22"/>
          <w:lang w:val="sr-Latn-ME"/>
        </w:rPr>
        <w:t>Primarna mjera ishoda za efikasnost u studiji je bila stopa najboljeg ukupnog odgovora (engl. best overall response rate, BORR) u mozgu pacijenata sa metastatskim melanomom i prethodno neliječenim moždanim metastazama, prema ocjeni nezavisnog ocjenjivačkog tijela..</w:t>
      </w:r>
    </w:p>
    <w:p w:rsidR="00806E4F" w:rsidRPr="00611C50" w:rsidRDefault="00806E4F" w:rsidP="00AD0CC1">
      <w:pPr>
        <w:jc w:val="both"/>
        <w:rPr>
          <w:sz w:val="22"/>
          <w:szCs w:val="22"/>
          <w:lang w:val="sr-Latn-ME"/>
        </w:rPr>
      </w:pPr>
      <w:r w:rsidRPr="00611C50">
        <w:rPr>
          <w:sz w:val="22"/>
          <w:szCs w:val="22"/>
          <w:lang w:val="sr-Latn-ME"/>
        </w:rPr>
        <w:t>Sekundarne mjere ishoda uključivale su ocjenjivanje efikasnosti vemurafeniba na osnovu BORR a u mozgu prethodno liječenih pacijenata, trajanje odgovora, preživljavanje bez progresije bolesti (engl. progression-free survival, PFS) i ukupno preživljavanje (engl. overall survival, OS) kod pacijenata sa melanomom koji je metastazirao u mozak (vidjeti tabelu 10).</w:t>
      </w:r>
    </w:p>
    <w:p w:rsidR="00806E4F" w:rsidRPr="00611C50" w:rsidRDefault="00806E4F" w:rsidP="00AD0CC1">
      <w:pPr>
        <w:jc w:val="both"/>
        <w:rPr>
          <w:sz w:val="22"/>
          <w:szCs w:val="22"/>
          <w:lang w:val="sr-Latn-ME"/>
        </w:rPr>
      </w:pPr>
    </w:p>
    <w:p w:rsidR="00806E4F" w:rsidRPr="00611C50" w:rsidRDefault="00806E4F" w:rsidP="00AD0CC1">
      <w:pPr>
        <w:jc w:val="both"/>
        <w:rPr>
          <w:b/>
          <w:sz w:val="22"/>
          <w:szCs w:val="22"/>
          <w:lang w:val="sr-Latn-ME" w:eastAsia="ja-JP"/>
        </w:rPr>
      </w:pPr>
      <w:r w:rsidRPr="00611C50">
        <w:rPr>
          <w:b/>
          <w:sz w:val="22"/>
          <w:szCs w:val="22"/>
          <w:lang w:val="sr-Latn-ME" w:eastAsia="ja-JP"/>
        </w:rPr>
        <w:t>Tabela 10: Efikasnost vemurafeniba kod pacijenata sa moždanim metastazama</w:t>
      </w:r>
    </w:p>
    <w:p w:rsidR="00806E4F" w:rsidRPr="00611C50" w:rsidRDefault="00806E4F" w:rsidP="00AD0CC1">
      <w:pPr>
        <w:jc w:val="both"/>
        <w:rPr>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1706"/>
        <w:gridCol w:w="1559"/>
        <w:gridCol w:w="1476"/>
      </w:tblGrid>
      <w:tr w:rsidR="00806E4F" w:rsidRPr="00611C50" w:rsidTr="00806E4F">
        <w:trPr>
          <w:cantSplit/>
          <w:jc w:val="center"/>
        </w:trPr>
        <w:tc>
          <w:tcPr>
            <w:tcW w:w="1899" w:type="dxa"/>
            <w:tcBorders>
              <w:top w:val="single" w:sz="4" w:space="0" w:color="auto"/>
              <w:left w:val="single" w:sz="4" w:space="0" w:color="auto"/>
              <w:bottom w:val="single" w:sz="4" w:space="0" w:color="auto"/>
              <w:right w:val="single" w:sz="4" w:space="0" w:color="auto"/>
            </w:tcBorders>
          </w:tcPr>
          <w:p w:rsidR="00806E4F" w:rsidRPr="00611C50" w:rsidRDefault="00806E4F" w:rsidP="00AD0CC1">
            <w:pPr>
              <w:keepNext/>
              <w:jc w:val="both"/>
              <w:rPr>
                <w:color w:val="000000"/>
                <w:sz w:val="22"/>
                <w:szCs w:val="22"/>
                <w:lang w:val="sr-Latn-ME" w:eastAsia="zh-TW"/>
              </w:rPr>
            </w:pPr>
          </w:p>
        </w:tc>
        <w:tc>
          <w:tcPr>
            <w:tcW w:w="1706"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37551">
            <w:pPr>
              <w:keepNext/>
              <w:jc w:val="center"/>
              <w:rPr>
                <w:color w:val="000000"/>
                <w:sz w:val="22"/>
                <w:szCs w:val="22"/>
                <w:lang w:val="sr-Latn-ME" w:eastAsia="zh-TW"/>
              </w:rPr>
            </w:pPr>
            <w:r w:rsidRPr="00611C50">
              <w:rPr>
                <w:color w:val="000000"/>
                <w:sz w:val="22"/>
                <w:szCs w:val="22"/>
                <w:lang w:val="sr-Latn-ME" w:eastAsia="zh-TW"/>
              </w:rPr>
              <w:t>1. kohorta</w:t>
            </w:r>
          </w:p>
          <w:p w:rsidR="00806E4F" w:rsidRPr="00611C50" w:rsidRDefault="00806E4F" w:rsidP="00A37551">
            <w:pPr>
              <w:keepNext/>
              <w:jc w:val="center"/>
              <w:rPr>
                <w:color w:val="000000"/>
                <w:sz w:val="22"/>
                <w:szCs w:val="22"/>
                <w:lang w:val="sr-Latn-ME" w:eastAsia="zh-TW"/>
              </w:rPr>
            </w:pPr>
            <w:r w:rsidRPr="00611C50">
              <w:rPr>
                <w:color w:val="000000"/>
                <w:sz w:val="22"/>
                <w:szCs w:val="22"/>
                <w:lang w:val="sr-Latn-ME" w:eastAsia="zh-TW"/>
              </w:rPr>
              <w:t>Bez prethodnog liječenja</w:t>
            </w: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zh-TW"/>
              </w:rPr>
              <w:t xml:space="preserve">n = </w:t>
            </w:r>
            <w:r w:rsidRPr="00611C50">
              <w:rPr>
                <w:color w:val="000000"/>
                <w:sz w:val="22"/>
                <w:szCs w:val="22"/>
                <w:lang w:val="sr-Latn-ME" w:eastAsia="de-DE"/>
              </w:rPr>
              <w:t>90</w:t>
            </w:r>
          </w:p>
        </w:tc>
        <w:tc>
          <w:tcPr>
            <w:tcW w:w="155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37551">
            <w:pPr>
              <w:keepNext/>
              <w:jc w:val="center"/>
              <w:rPr>
                <w:color w:val="000000"/>
                <w:sz w:val="22"/>
                <w:szCs w:val="22"/>
                <w:lang w:val="sr-Latn-ME" w:eastAsia="zh-TW"/>
              </w:rPr>
            </w:pPr>
            <w:r w:rsidRPr="00611C50">
              <w:rPr>
                <w:color w:val="000000"/>
                <w:sz w:val="22"/>
                <w:szCs w:val="22"/>
                <w:lang w:val="sr-Latn-ME" w:eastAsia="zh-TW"/>
              </w:rPr>
              <w:t>2. kohorta</w:t>
            </w: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Prethodno liječeni</w:t>
            </w: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n = 56</w:t>
            </w:r>
          </w:p>
        </w:tc>
        <w:tc>
          <w:tcPr>
            <w:tcW w:w="1476" w:type="dxa"/>
            <w:tcBorders>
              <w:top w:val="single" w:sz="4" w:space="0" w:color="auto"/>
              <w:left w:val="single" w:sz="4" w:space="0" w:color="auto"/>
              <w:bottom w:val="single" w:sz="4" w:space="0" w:color="auto"/>
              <w:right w:val="single" w:sz="4" w:space="0" w:color="auto"/>
            </w:tcBorders>
          </w:tcPr>
          <w:p w:rsidR="00806E4F" w:rsidRPr="00611C50" w:rsidRDefault="00806E4F" w:rsidP="00A37551">
            <w:pPr>
              <w:keepNext/>
              <w:jc w:val="center"/>
              <w:rPr>
                <w:color w:val="000000"/>
                <w:sz w:val="22"/>
                <w:szCs w:val="22"/>
                <w:lang w:val="sr-Latn-ME" w:eastAsia="zh-TW"/>
              </w:rPr>
            </w:pPr>
            <w:r w:rsidRPr="00611C50">
              <w:rPr>
                <w:color w:val="000000"/>
                <w:sz w:val="22"/>
                <w:szCs w:val="22"/>
                <w:lang w:val="sr-Latn-ME" w:eastAsia="zh-TW"/>
              </w:rPr>
              <w:t>Ukupno</w:t>
            </w:r>
          </w:p>
          <w:p w:rsidR="00806E4F" w:rsidRPr="00611C50" w:rsidRDefault="00806E4F" w:rsidP="00A37551">
            <w:pPr>
              <w:keepNext/>
              <w:jc w:val="center"/>
              <w:rPr>
                <w:color w:val="000000"/>
                <w:sz w:val="22"/>
                <w:szCs w:val="22"/>
                <w:lang w:val="sr-Latn-ME" w:eastAsia="zh-TW"/>
              </w:rPr>
            </w:pPr>
          </w:p>
          <w:p w:rsidR="00806E4F" w:rsidRPr="00611C50" w:rsidRDefault="00806E4F" w:rsidP="00A37551">
            <w:pPr>
              <w:keepNext/>
              <w:jc w:val="center"/>
              <w:rPr>
                <w:color w:val="000000"/>
                <w:sz w:val="22"/>
                <w:szCs w:val="22"/>
                <w:lang w:val="sr-Latn-ME" w:eastAsia="zh-TW"/>
              </w:rPr>
            </w:pP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zh-TW"/>
              </w:rPr>
              <w:t xml:space="preserve">n =  </w:t>
            </w:r>
            <w:r w:rsidRPr="00611C50">
              <w:rPr>
                <w:color w:val="000000"/>
                <w:sz w:val="22"/>
                <w:szCs w:val="22"/>
                <w:lang w:val="sr-Latn-ME" w:eastAsia="de-DE"/>
              </w:rPr>
              <w:t>146</w:t>
            </w:r>
          </w:p>
        </w:tc>
      </w:tr>
      <w:tr w:rsidR="00806E4F" w:rsidRPr="00611C50" w:rsidTr="00806E4F">
        <w:trPr>
          <w:cantSplit/>
          <w:jc w:val="center"/>
        </w:trPr>
        <w:tc>
          <w:tcPr>
            <w:tcW w:w="189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37551">
            <w:pPr>
              <w:keepNext/>
              <w:rPr>
                <w:color w:val="000000"/>
                <w:sz w:val="22"/>
                <w:szCs w:val="22"/>
                <w:lang w:val="sr-Latn-ME" w:eastAsia="zh-TW"/>
              </w:rPr>
            </w:pPr>
            <w:r w:rsidRPr="00611C50">
              <w:rPr>
                <w:color w:val="000000"/>
                <w:sz w:val="22"/>
                <w:szCs w:val="22"/>
                <w:lang w:val="sr-Latn-ME" w:eastAsia="zh-TW"/>
              </w:rPr>
              <w:t>BORR</w:t>
            </w:r>
            <w:r w:rsidRPr="00611C50">
              <w:rPr>
                <w:color w:val="000000"/>
                <w:sz w:val="22"/>
                <w:szCs w:val="22"/>
                <w:vertAlign w:val="superscript"/>
                <w:lang w:val="sr-Latn-ME" w:eastAsia="zh-TW"/>
              </w:rPr>
              <w:t>a</w:t>
            </w:r>
            <w:r w:rsidRPr="00611C50">
              <w:rPr>
                <w:color w:val="000000"/>
                <w:sz w:val="22"/>
                <w:szCs w:val="22"/>
                <w:lang w:val="sr-Latn-ME" w:eastAsia="zh-TW"/>
              </w:rPr>
              <w:t xml:space="preserve"> u mozgu</w:t>
            </w:r>
          </w:p>
          <w:p w:rsidR="00806E4F" w:rsidRPr="00611C50" w:rsidRDefault="00806E4F" w:rsidP="00A37551">
            <w:pPr>
              <w:keepNext/>
              <w:rPr>
                <w:color w:val="000000"/>
                <w:sz w:val="22"/>
                <w:szCs w:val="22"/>
                <w:lang w:val="sr-Latn-ME" w:eastAsia="zh-TW"/>
              </w:rPr>
            </w:pPr>
            <w:r w:rsidRPr="00611C50">
              <w:rPr>
                <w:color w:val="000000"/>
                <w:sz w:val="22"/>
                <w:szCs w:val="22"/>
                <w:lang w:val="sr-Latn-ME" w:eastAsia="zh-TW"/>
              </w:rPr>
              <w:t>Pacijenti sa odgovorom, n (%)</w:t>
            </w:r>
          </w:p>
          <w:p w:rsidR="00806E4F" w:rsidRPr="00611C50" w:rsidRDefault="00806E4F" w:rsidP="00A37551">
            <w:pPr>
              <w:keepNext/>
              <w:rPr>
                <w:color w:val="000000"/>
                <w:sz w:val="22"/>
                <w:szCs w:val="22"/>
                <w:lang w:val="sr-Latn-ME" w:eastAsia="zh-TW"/>
              </w:rPr>
            </w:pPr>
            <w:r w:rsidRPr="00611C50">
              <w:rPr>
                <w:color w:val="000000"/>
                <w:sz w:val="22"/>
                <w:szCs w:val="22"/>
                <w:lang w:val="sr-Latn-ME" w:eastAsia="de-DE"/>
              </w:rPr>
              <w:t>(95% CI)</w:t>
            </w:r>
            <w:r w:rsidRPr="00611C50">
              <w:rPr>
                <w:color w:val="000000"/>
                <w:sz w:val="22"/>
                <w:szCs w:val="22"/>
                <w:vertAlign w:val="superscript"/>
                <w:lang w:val="sr-Latn-ME" w:eastAsia="zh-TW"/>
              </w:rPr>
              <w:t>b</w:t>
            </w:r>
          </w:p>
        </w:tc>
        <w:tc>
          <w:tcPr>
            <w:tcW w:w="1706" w:type="dxa"/>
            <w:tcBorders>
              <w:top w:val="single" w:sz="4" w:space="0" w:color="auto"/>
              <w:left w:val="single" w:sz="4" w:space="0" w:color="auto"/>
              <w:bottom w:val="single" w:sz="4" w:space="0" w:color="auto"/>
              <w:right w:val="single" w:sz="4" w:space="0" w:color="auto"/>
            </w:tcBorders>
            <w:vAlign w:val="bottom"/>
          </w:tcPr>
          <w:p w:rsidR="00806E4F" w:rsidRPr="00611C50" w:rsidRDefault="00806E4F" w:rsidP="00A37551">
            <w:pPr>
              <w:keepNext/>
              <w:jc w:val="center"/>
              <w:rPr>
                <w:color w:val="000000"/>
                <w:sz w:val="22"/>
                <w:szCs w:val="22"/>
                <w:lang w:val="sr-Latn-ME" w:eastAsia="de-DE"/>
              </w:rPr>
            </w:pP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16 (17,8%)</w:t>
            </w:r>
          </w:p>
          <w:p w:rsidR="00806E4F" w:rsidRPr="00611C50" w:rsidRDefault="00806E4F" w:rsidP="00A37551">
            <w:pPr>
              <w:keepNext/>
              <w:jc w:val="center"/>
              <w:rPr>
                <w:color w:val="000000"/>
                <w:sz w:val="22"/>
                <w:szCs w:val="22"/>
                <w:lang w:val="sr-Latn-ME" w:eastAsia="zh-TW"/>
              </w:rPr>
            </w:pPr>
            <w:r w:rsidRPr="00611C50">
              <w:rPr>
                <w:color w:val="000000"/>
                <w:sz w:val="22"/>
                <w:szCs w:val="22"/>
                <w:lang w:val="sr-Latn-ME" w:eastAsia="de-DE"/>
              </w:rPr>
              <w:t>(10,5; 27,3)</w:t>
            </w:r>
          </w:p>
        </w:tc>
        <w:tc>
          <w:tcPr>
            <w:tcW w:w="1559" w:type="dxa"/>
            <w:tcBorders>
              <w:top w:val="single" w:sz="4" w:space="0" w:color="auto"/>
              <w:left w:val="single" w:sz="4" w:space="0" w:color="auto"/>
              <w:bottom w:val="single" w:sz="4" w:space="0" w:color="auto"/>
              <w:right w:val="single" w:sz="4" w:space="0" w:color="auto"/>
            </w:tcBorders>
            <w:vAlign w:val="bottom"/>
          </w:tcPr>
          <w:p w:rsidR="00806E4F" w:rsidRPr="00611C50" w:rsidRDefault="00806E4F" w:rsidP="00A37551">
            <w:pPr>
              <w:keepNext/>
              <w:jc w:val="center"/>
              <w:rPr>
                <w:color w:val="000000"/>
                <w:sz w:val="22"/>
                <w:szCs w:val="22"/>
                <w:lang w:val="sr-Latn-ME" w:eastAsia="de-DE"/>
              </w:rPr>
            </w:pP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10 (17,9%)</w:t>
            </w:r>
          </w:p>
          <w:p w:rsidR="00806E4F" w:rsidRPr="00611C50" w:rsidRDefault="00806E4F" w:rsidP="00A37551">
            <w:pPr>
              <w:keepNext/>
              <w:jc w:val="center"/>
              <w:rPr>
                <w:color w:val="000000"/>
                <w:sz w:val="22"/>
                <w:szCs w:val="22"/>
                <w:lang w:val="sr-Latn-ME" w:eastAsia="zh-TW"/>
              </w:rPr>
            </w:pPr>
            <w:r w:rsidRPr="00611C50">
              <w:rPr>
                <w:color w:val="000000"/>
                <w:sz w:val="22"/>
                <w:szCs w:val="22"/>
                <w:lang w:val="sr-Latn-ME" w:eastAsia="de-DE"/>
              </w:rPr>
              <w:t>(8,9; 30,4)</w:t>
            </w:r>
          </w:p>
        </w:tc>
        <w:tc>
          <w:tcPr>
            <w:tcW w:w="1476" w:type="dxa"/>
            <w:tcBorders>
              <w:top w:val="single" w:sz="4" w:space="0" w:color="auto"/>
              <w:left w:val="single" w:sz="4" w:space="0" w:color="auto"/>
              <w:bottom w:val="single" w:sz="4" w:space="0" w:color="auto"/>
              <w:right w:val="single" w:sz="4" w:space="0" w:color="auto"/>
            </w:tcBorders>
            <w:vAlign w:val="bottom"/>
          </w:tcPr>
          <w:p w:rsidR="00806E4F" w:rsidRPr="00611C50" w:rsidRDefault="00806E4F" w:rsidP="00A37551">
            <w:pPr>
              <w:keepNext/>
              <w:jc w:val="center"/>
              <w:rPr>
                <w:color w:val="000000"/>
                <w:sz w:val="22"/>
                <w:szCs w:val="22"/>
                <w:lang w:val="sr-Latn-ME" w:eastAsia="de-DE"/>
              </w:rPr>
            </w:pP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26 (17,8%)</w:t>
            </w:r>
          </w:p>
          <w:p w:rsidR="00806E4F" w:rsidRPr="00611C50" w:rsidRDefault="00806E4F" w:rsidP="00A37551">
            <w:pPr>
              <w:keepNext/>
              <w:jc w:val="center"/>
              <w:rPr>
                <w:color w:val="000000"/>
                <w:sz w:val="22"/>
                <w:szCs w:val="22"/>
                <w:lang w:val="sr-Latn-ME" w:eastAsia="zh-TW"/>
              </w:rPr>
            </w:pPr>
            <w:r w:rsidRPr="00611C50">
              <w:rPr>
                <w:color w:val="000000"/>
                <w:sz w:val="22"/>
                <w:szCs w:val="22"/>
                <w:lang w:val="sr-Latn-ME" w:eastAsia="zh-TW"/>
              </w:rPr>
              <w:t>(</w:t>
            </w:r>
            <w:r w:rsidRPr="00611C50">
              <w:rPr>
                <w:color w:val="000000"/>
                <w:sz w:val="22"/>
                <w:szCs w:val="22"/>
                <w:lang w:val="sr-Latn-ME" w:eastAsia="de-DE"/>
              </w:rPr>
              <w:t>12,0; 25,0)</w:t>
            </w:r>
          </w:p>
        </w:tc>
      </w:tr>
      <w:tr w:rsidR="00806E4F" w:rsidRPr="00611C50" w:rsidTr="00806E4F">
        <w:trPr>
          <w:cantSplit/>
          <w:jc w:val="center"/>
        </w:trPr>
        <w:tc>
          <w:tcPr>
            <w:tcW w:w="189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keepNext/>
              <w:jc w:val="both"/>
              <w:rPr>
                <w:color w:val="000000"/>
                <w:sz w:val="22"/>
                <w:szCs w:val="22"/>
                <w:lang w:val="sr-Latn-ME" w:eastAsia="zh-TW"/>
              </w:rPr>
            </w:pPr>
            <w:r w:rsidRPr="00611C50">
              <w:rPr>
                <w:color w:val="000000"/>
                <w:sz w:val="22"/>
                <w:szCs w:val="22"/>
                <w:lang w:val="sr-Latn-ME" w:eastAsia="zh-TW"/>
              </w:rPr>
              <w:t>Trajanje odgovora</w:t>
            </w:r>
            <w:r w:rsidRPr="00611C50">
              <w:rPr>
                <w:color w:val="000000"/>
                <w:sz w:val="22"/>
                <w:szCs w:val="22"/>
                <w:vertAlign w:val="superscript"/>
                <w:lang w:val="sr-Latn-ME" w:eastAsia="zh-TW"/>
              </w:rPr>
              <w:t>c</w:t>
            </w:r>
            <w:r w:rsidRPr="00611C50">
              <w:rPr>
                <w:color w:val="000000"/>
                <w:sz w:val="22"/>
                <w:szCs w:val="22"/>
                <w:lang w:val="sr-Latn-ME" w:eastAsia="zh-TW"/>
              </w:rPr>
              <w:t xml:space="preserve"> u mozgu (n)</w:t>
            </w:r>
          </w:p>
          <w:p w:rsidR="00806E4F" w:rsidRPr="00611C50" w:rsidRDefault="00806E4F" w:rsidP="00AD0CC1">
            <w:pPr>
              <w:keepNext/>
              <w:jc w:val="both"/>
              <w:rPr>
                <w:color w:val="000000"/>
                <w:sz w:val="22"/>
                <w:szCs w:val="22"/>
                <w:lang w:val="sr-Latn-ME" w:eastAsia="zh-TW"/>
              </w:rPr>
            </w:pPr>
            <w:r w:rsidRPr="00611C50">
              <w:rPr>
                <w:color w:val="000000"/>
                <w:sz w:val="22"/>
                <w:szCs w:val="22"/>
                <w:lang w:val="sr-Latn-ME" w:eastAsia="zh-TW"/>
              </w:rPr>
              <w:t>Medijana (mjeseci)</w:t>
            </w:r>
          </w:p>
          <w:p w:rsidR="00806E4F" w:rsidRPr="00611C50" w:rsidRDefault="00806E4F" w:rsidP="00AD0CC1">
            <w:pPr>
              <w:keepNext/>
              <w:jc w:val="both"/>
              <w:rPr>
                <w:color w:val="000000"/>
                <w:sz w:val="22"/>
                <w:szCs w:val="22"/>
                <w:lang w:val="sr-Latn-ME" w:eastAsia="zh-TW"/>
              </w:rPr>
            </w:pPr>
            <w:r w:rsidRPr="00611C50">
              <w:rPr>
                <w:color w:val="000000"/>
                <w:sz w:val="22"/>
                <w:szCs w:val="22"/>
                <w:lang w:val="sr-Latn-ME" w:eastAsia="de-DE"/>
              </w:rPr>
              <w:t>(95% CI)</w:t>
            </w:r>
            <w:r w:rsidRPr="00611C50">
              <w:rPr>
                <w:color w:val="000000"/>
                <w:sz w:val="22"/>
                <w:szCs w:val="22"/>
                <w:vertAlign w:val="superscript"/>
                <w:lang w:val="sr-Latn-ME" w:eastAsia="de-DE"/>
              </w:rPr>
              <w:t>d</w:t>
            </w:r>
          </w:p>
        </w:tc>
        <w:tc>
          <w:tcPr>
            <w:tcW w:w="1706" w:type="dxa"/>
            <w:tcBorders>
              <w:top w:val="single" w:sz="4" w:space="0" w:color="auto"/>
              <w:left w:val="single" w:sz="4" w:space="0" w:color="auto"/>
              <w:bottom w:val="single" w:sz="4" w:space="0" w:color="auto"/>
              <w:right w:val="single" w:sz="4" w:space="0" w:color="auto"/>
            </w:tcBorders>
            <w:vAlign w:val="bottom"/>
            <w:hideMark/>
          </w:tcPr>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(n = 16)</w:t>
            </w: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4,6</w:t>
            </w: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(2,9; 6,2)</w:t>
            </w:r>
          </w:p>
        </w:tc>
        <w:tc>
          <w:tcPr>
            <w:tcW w:w="1559" w:type="dxa"/>
            <w:tcBorders>
              <w:top w:val="single" w:sz="4" w:space="0" w:color="auto"/>
              <w:left w:val="single" w:sz="4" w:space="0" w:color="auto"/>
              <w:bottom w:val="single" w:sz="4" w:space="0" w:color="auto"/>
              <w:right w:val="single" w:sz="4" w:space="0" w:color="auto"/>
            </w:tcBorders>
            <w:vAlign w:val="bottom"/>
            <w:hideMark/>
          </w:tcPr>
          <w:p w:rsidR="00806E4F" w:rsidRPr="00611C50" w:rsidRDefault="00806E4F" w:rsidP="00A37551">
            <w:pPr>
              <w:keepNext/>
              <w:jc w:val="center"/>
              <w:rPr>
                <w:snapToGrid w:val="0"/>
                <w:color w:val="000000"/>
                <w:sz w:val="22"/>
                <w:szCs w:val="22"/>
                <w:lang w:val="sr-Latn-ME" w:eastAsia="de-DE"/>
              </w:rPr>
            </w:pPr>
            <w:r w:rsidRPr="00611C50">
              <w:rPr>
                <w:color w:val="000000"/>
                <w:sz w:val="22"/>
                <w:szCs w:val="22"/>
                <w:lang w:val="sr-Latn-ME" w:eastAsia="de-DE"/>
              </w:rPr>
              <w:t xml:space="preserve">(n = </w:t>
            </w:r>
            <w:r w:rsidRPr="00611C50">
              <w:rPr>
                <w:snapToGrid w:val="0"/>
                <w:color w:val="000000"/>
                <w:sz w:val="22"/>
                <w:szCs w:val="22"/>
                <w:lang w:val="sr-Latn-ME" w:eastAsia="de-DE"/>
              </w:rPr>
              <w:t>10)</w:t>
            </w:r>
          </w:p>
          <w:p w:rsidR="00806E4F" w:rsidRPr="00611C50" w:rsidRDefault="00806E4F" w:rsidP="00A37551">
            <w:pPr>
              <w:keepNext/>
              <w:jc w:val="center"/>
              <w:rPr>
                <w:snapToGrid w:val="0"/>
                <w:color w:val="000000"/>
                <w:sz w:val="22"/>
                <w:szCs w:val="22"/>
                <w:lang w:val="sr-Latn-ME" w:eastAsia="de-DE"/>
              </w:rPr>
            </w:pPr>
            <w:r w:rsidRPr="00611C50">
              <w:rPr>
                <w:snapToGrid w:val="0"/>
                <w:color w:val="000000"/>
                <w:sz w:val="22"/>
                <w:szCs w:val="22"/>
                <w:lang w:val="sr-Latn-ME" w:eastAsia="de-DE"/>
              </w:rPr>
              <w:t>6,6</w:t>
            </w:r>
          </w:p>
          <w:p w:rsidR="00806E4F" w:rsidRPr="00611C50" w:rsidRDefault="00806E4F" w:rsidP="00A37551">
            <w:pPr>
              <w:keepNext/>
              <w:jc w:val="center"/>
              <w:rPr>
                <w:color w:val="000000"/>
                <w:sz w:val="22"/>
                <w:szCs w:val="22"/>
                <w:lang w:val="sr-Latn-ME" w:eastAsia="de-DE"/>
              </w:rPr>
            </w:pPr>
            <w:r w:rsidRPr="00611C50">
              <w:rPr>
                <w:snapToGrid w:val="0"/>
                <w:color w:val="000000"/>
                <w:sz w:val="22"/>
                <w:szCs w:val="22"/>
                <w:lang w:val="sr-Latn-ME" w:eastAsia="de-DE"/>
              </w:rPr>
              <w:t>(2,8; 10,7)</w:t>
            </w:r>
          </w:p>
        </w:tc>
        <w:tc>
          <w:tcPr>
            <w:tcW w:w="1476" w:type="dxa"/>
            <w:tcBorders>
              <w:top w:val="single" w:sz="4" w:space="0" w:color="auto"/>
              <w:left w:val="single" w:sz="4" w:space="0" w:color="auto"/>
              <w:bottom w:val="single" w:sz="4" w:space="0" w:color="auto"/>
              <w:right w:val="single" w:sz="4" w:space="0" w:color="auto"/>
            </w:tcBorders>
            <w:vAlign w:val="bottom"/>
            <w:hideMark/>
          </w:tcPr>
          <w:p w:rsidR="00806E4F" w:rsidRPr="00611C50" w:rsidRDefault="00806E4F" w:rsidP="00A37551">
            <w:pPr>
              <w:keepNext/>
              <w:jc w:val="center"/>
              <w:rPr>
                <w:snapToGrid w:val="0"/>
                <w:color w:val="000000"/>
                <w:sz w:val="22"/>
                <w:szCs w:val="22"/>
                <w:lang w:val="sr-Latn-ME" w:eastAsia="de-DE"/>
              </w:rPr>
            </w:pPr>
            <w:r w:rsidRPr="00611C50">
              <w:rPr>
                <w:color w:val="000000"/>
                <w:sz w:val="22"/>
                <w:szCs w:val="22"/>
                <w:lang w:val="sr-Latn-ME" w:eastAsia="de-DE"/>
              </w:rPr>
              <w:t xml:space="preserve">(n = </w:t>
            </w:r>
            <w:r w:rsidRPr="00611C50">
              <w:rPr>
                <w:snapToGrid w:val="0"/>
                <w:color w:val="000000"/>
                <w:sz w:val="22"/>
                <w:szCs w:val="22"/>
                <w:lang w:val="sr-Latn-ME" w:eastAsia="de-DE"/>
              </w:rPr>
              <w:t>26)</w:t>
            </w:r>
          </w:p>
          <w:p w:rsidR="00806E4F" w:rsidRPr="00611C50" w:rsidRDefault="00806E4F" w:rsidP="00A37551">
            <w:pPr>
              <w:keepNext/>
              <w:jc w:val="center"/>
              <w:rPr>
                <w:snapToGrid w:val="0"/>
                <w:color w:val="000000"/>
                <w:sz w:val="22"/>
                <w:szCs w:val="22"/>
                <w:lang w:val="sr-Latn-ME" w:eastAsia="de-DE"/>
              </w:rPr>
            </w:pPr>
            <w:r w:rsidRPr="00611C50">
              <w:rPr>
                <w:snapToGrid w:val="0"/>
                <w:color w:val="000000"/>
                <w:sz w:val="22"/>
                <w:szCs w:val="22"/>
                <w:lang w:val="sr-Latn-ME" w:eastAsia="de-DE"/>
              </w:rPr>
              <w:t>5,0</w:t>
            </w: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w:t>
            </w:r>
            <w:r w:rsidRPr="00611C50">
              <w:rPr>
                <w:snapToGrid w:val="0"/>
                <w:color w:val="000000"/>
                <w:sz w:val="22"/>
                <w:szCs w:val="22"/>
                <w:lang w:val="sr-Latn-ME" w:eastAsia="de-DE"/>
              </w:rPr>
              <w:t>3,7; 6,6)</w:t>
            </w:r>
          </w:p>
        </w:tc>
      </w:tr>
      <w:tr w:rsidR="00806E4F" w:rsidRPr="00611C50" w:rsidTr="00806E4F">
        <w:trPr>
          <w:cantSplit/>
          <w:jc w:val="center"/>
        </w:trPr>
        <w:tc>
          <w:tcPr>
            <w:tcW w:w="189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keepNext/>
              <w:jc w:val="both"/>
              <w:rPr>
                <w:color w:val="000000"/>
                <w:sz w:val="22"/>
                <w:szCs w:val="22"/>
                <w:lang w:val="sr-Latn-ME" w:eastAsia="zh-TW"/>
              </w:rPr>
            </w:pPr>
            <w:r w:rsidRPr="00611C50">
              <w:rPr>
                <w:color w:val="000000"/>
                <w:sz w:val="22"/>
                <w:szCs w:val="22"/>
                <w:lang w:val="sr-Latn-ME" w:eastAsia="zh-TW"/>
              </w:rPr>
              <w:t>BORR ekstrakranijalni, n (%)</w:t>
            </w:r>
            <w:r w:rsidRPr="00611C50">
              <w:rPr>
                <w:color w:val="000000"/>
                <w:sz w:val="22"/>
                <w:szCs w:val="22"/>
                <w:vertAlign w:val="superscript"/>
                <w:lang w:val="sr-Latn-ME" w:eastAsia="zh-TW"/>
              </w:rPr>
              <w:t>a</w:t>
            </w:r>
          </w:p>
        </w:tc>
        <w:tc>
          <w:tcPr>
            <w:tcW w:w="1706" w:type="dxa"/>
            <w:tcBorders>
              <w:top w:val="single" w:sz="4" w:space="0" w:color="auto"/>
              <w:left w:val="single" w:sz="4" w:space="0" w:color="auto"/>
              <w:bottom w:val="single" w:sz="4" w:space="0" w:color="auto"/>
              <w:right w:val="single" w:sz="4" w:space="0" w:color="auto"/>
            </w:tcBorders>
            <w:vAlign w:val="bottom"/>
            <w:hideMark/>
          </w:tcPr>
          <w:p w:rsidR="00806E4F" w:rsidRPr="00611C50" w:rsidRDefault="00806E4F" w:rsidP="00A37551">
            <w:pPr>
              <w:keepNext/>
              <w:jc w:val="center"/>
              <w:rPr>
                <w:color w:val="000000"/>
                <w:sz w:val="22"/>
                <w:szCs w:val="22"/>
                <w:lang w:val="sr-Latn-ME" w:eastAsia="de-DE"/>
              </w:rPr>
            </w:pPr>
            <w:r w:rsidRPr="00611C50">
              <w:rPr>
                <w:sz w:val="22"/>
                <w:szCs w:val="22"/>
                <w:lang w:val="sr-Latn-ME" w:eastAsia="zh-TW"/>
              </w:rPr>
              <w:t>26 (32,9%)</w:t>
            </w:r>
          </w:p>
        </w:tc>
        <w:tc>
          <w:tcPr>
            <w:tcW w:w="1559" w:type="dxa"/>
            <w:tcBorders>
              <w:top w:val="single" w:sz="4" w:space="0" w:color="auto"/>
              <w:left w:val="single" w:sz="4" w:space="0" w:color="auto"/>
              <w:bottom w:val="single" w:sz="4" w:space="0" w:color="auto"/>
              <w:right w:val="single" w:sz="4" w:space="0" w:color="auto"/>
            </w:tcBorders>
            <w:vAlign w:val="bottom"/>
            <w:hideMark/>
          </w:tcPr>
          <w:p w:rsidR="00806E4F" w:rsidRPr="00611C50" w:rsidRDefault="00806E4F" w:rsidP="00A37551">
            <w:pPr>
              <w:keepNext/>
              <w:jc w:val="center"/>
              <w:rPr>
                <w:snapToGrid w:val="0"/>
                <w:color w:val="000000"/>
                <w:sz w:val="22"/>
                <w:szCs w:val="22"/>
                <w:lang w:val="sr-Latn-ME" w:eastAsia="de-DE"/>
              </w:rPr>
            </w:pPr>
            <w:r w:rsidRPr="00611C50">
              <w:rPr>
                <w:sz w:val="22"/>
                <w:szCs w:val="22"/>
                <w:lang w:val="sr-Latn-ME" w:eastAsia="zh-TW"/>
              </w:rPr>
              <w:t>9 (22,5%)</w:t>
            </w:r>
          </w:p>
        </w:tc>
        <w:tc>
          <w:tcPr>
            <w:tcW w:w="1476" w:type="dxa"/>
            <w:tcBorders>
              <w:top w:val="single" w:sz="4" w:space="0" w:color="auto"/>
              <w:left w:val="single" w:sz="4" w:space="0" w:color="auto"/>
              <w:bottom w:val="single" w:sz="4" w:space="0" w:color="auto"/>
              <w:right w:val="single" w:sz="4" w:space="0" w:color="auto"/>
            </w:tcBorders>
            <w:vAlign w:val="bottom"/>
            <w:hideMark/>
          </w:tcPr>
          <w:p w:rsidR="00806E4F" w:rsidRPr="00611C50" w:rsidRDefault="00806E4F" w:rsidP="00A37551">
            <w:pPr>
              <w:keepNext/>
              <w:jc w:val="center"/>
              <w:rPr>
                <w:snapToGrid w:val="0"/>
                <w:color w:val="000000"/>
                <w:sz w:val="22"/>
                <w:szCs w:val="22"/>
                <w:lang w:val="sr-Latn-ME" w:eastAsia="de-DE"/>
              </w:rPr>
            </w:pPr>
            <w:r w:rsidRPr="00611C50">
              <w:rPr>
                <w:sz w:val="22"/>
                <w:szCs w:val="22"/>
                <w:lang w:val="sr-Latn-ME" w:eastAsia="zh-TW"/>
              </w:rPr>
              <w:t>35 (29,4%)</w:t>
            </w:r>
          </w:p>
        </w:tc>
      </w:tr>
      <w:tr w:rsidR="00806E4F" w:rsidRPr="00611C50" w:rsidTr="00806E4F">
        <w:trPr>
          <w:cantSplit/>
          <w:jc w:val="center"/>
        </w:trPr>
        <w:tc>
          <w:tcPr>
            <w:tcW w:w="189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keepNext/>
              <w:jc w:val="both"/>
              <w:rPr>
                <w:color w:val="000000"/>
                <w:sz w:val="22"/>
                <w:szCs w:val="22"/>
                <w:lang w:val="sr-Latn-ME" w:eastAsia="de-DE"/>
              </w:rPr>
            </w:pPr>
            <w:r w:rsidRPr="00611C50">
              <w:rPr>
                <w:color w:val="000000"/>
                <w:sz w:val="22"/>
                <w:szCs w:val="22"/>
                <w:lang w:val="sr-Latn-ME" w:eastAsia="de-DE"/>
              </w:rPr>
              <w:t xml:space="preserve">PFS – ukupno </w:t>
            </w:r>
          </w:p>
          <w:p w:rsidR="00806E4F" w:rsidRPr="00611C50" w:rsidRDefault="00806E4F" w:rsidP="00AD0CC1">
            <w:pPr>
              <w:keepNext/>
              <w:jc w:val="both"/>
              <w:rPr>
                <w:color w:val="000000"/>
                <w:sz w:val="22"/>
                <w:szCs w:val="22"/>
                <w:lang w:val="sr-Latn-ME" w:eastAsia="de-DE"/>
              </w:rPr>
            </w:pPr>
            <w:r w:rsidRPr="00611C50">
              <w:rPr>
                <w:color w:val="000000"/>
                <w:sz w:val="22"/>
                <w:szCs w:val="22"/>
                <w:lang w:val="sr-Latn-ME" w:eastAsia="de-DE"/>
              </w:rPr>
              <w:t>Medijana (mjeseci)</w:t>
            </w:r>
            <w:r w:rsidRPr="00611C50">
              <w:rPr>
                <w:color w:val="000000"/>
                <w:sz w:val="22"/>
                <w:szCs w:val="22"/>
                <w:vertAlign w:val="superscript"/>
                <w:lang w:val="sr-Latn-ME" w:eastAsia="de-DE"/>
              </w:rPr>
              <w:t>e</w:t>
            </w:r>
          </w:p>
          <w:p w:rsidR="00806E4F" w:rsidRPr="00611C50" w:rsidRDefault="00806E4F" w:rsidP="00AD0CC1">
            <w:pPr>
              <w:keepNext/>
              <w:jc w:val="both"/>
              <w:rPr>
                <w:color w:val="000000"/>
                <w:sz w:val="22"/>
                <w:szCs w:val="22"/>
                <w:lang w:val="sr-Latn-ME" w:eastAsia="de-DE"/>
              </w:rPr>
            </w:pPr>
            <w:r w:rsidRPr="00611C50">
              <w:rPr>
                <w:color w:val="000000"/>
                <w:sz w:val="22"/>
                <w:szCs w:val="22"/>
                <w:lang w:val="sr-Latn-ME" w:eastAsia="de-DE"/>
              </w:rPr>
              <w:t>(95% CI)</w:t>
            </w:r>
            <w:r w:rsidRPr="00611C50">
              <w:rPr>
                <w:color w:val="000000"/>
                <w:sz w:val="22"/>
                <w:szCs w:val="22"/>
                <w:vertAlign w:val="superscript"/>
                <w:lang w:val="sr-Latn-ME" w:eastAsia="de-DE"/>
              </w:rPr>
              <w:t>d</w:t>
            </w:r>
          </w:p>
        </w:tc>
        <w:tc>
          <w:tcPr>
            <w:tcW w:w="1706" w:type="dxa"/>
            <w:tcBorders>
              <w:top w:val="single" w:sz="4" w:space="0" w:color="auto"/>
              <w:left w:val="single" w:sz="4" w:space="0" w:color="auto"/>
              <w:bottom w:val="single" w:sz="4" w:space="0" w:color="auto"/>
              <w:right w:val="single" w:sz="4" w:space="0" w:color="auto"/>
            </w:tcBorders>
            <w:vAlign w:val="center"/>
          </w:tcPr>
          <w:p w:rsidR="00806E4F" w:rsidRPr="00611C50" w:rsidRDefault="00806E4F" w:rsidP="00A37551">
            <w:pPr>
              <w:keepNext/>
              <w:jc w:val="center"/>
              <w:rPr>
                <w:color w:val="000000"/>
                <w:sz w:val="22"/>
                <w:szCs w:val="22"/>
                <w:lang w:val="sr-Latn-ME" w:eastAsia="de-DE"/>
              </w:rPr>
            </w:pP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3,7</w:t>
            </w: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(3,6; 3,7)</w:t>
            </w:r>
          </w:p>
        </w:tc>
        <w:tc>
          <w:tcPr>
            <w:tcW w:w="1559" w:type="dxa"/>
            <w:tcBorders>
              <w:top w:val="single" w:sz="4" w:space="0" w:color="auto"/>
              <w:left w:val="single" w:sz="4" w:space="0" w:color="auto"/>
              <w:bottom w:val="single" w:sz="4" w:space="0" w:color="auto"/>
              <w:right w:val="single" w:sz="4" w:space="0" w:color="auto"/>
            </w:tcBorders>
            <w:vAlign w:val="center"/>
          </w:tcPr>
          <w:p w:rsidR="00806E4F" w:rsidRPr="00611C50" w:rsidRDefault="00806E4F" w:rsidP="00A37551">
            <w:pPr>
              <w:keepNext/>
              <w:jc w:val="center"/>
              <w:rPr>
                <w:snapToGrid w:val="0"/>
                <w:color w:val="000000"/>
                <w:sz w:val="22"/>
                <w:szCs w:val="22"/>
                <w:lang w:val="sr-Latn-ME" w:eastAsia="de-DE"/>
              </w:rPr>
            </w:pPr>
          </w:p>
          <w:p w:rsidR="00806E4F" w:rsidRPr="00611C50" w:rsidRDefault="00806E4F" w:rsidP="00A37551">
            <w:pPr>
              <w:keepNext/>
              <w:jc w:val="center"/>
              <w:rPr>
                <w:snapToGrid w:val="0"/>
                <w:color w:val="000000"/>
                <w:sz w:val="22"/>
                <w:szCs w:val="22"/>
                <w:lang w:val="sr-Latn-ME" w:eastAsia="de-DE"/>
              </w:rPr>
            </w:pPr>
            <w:r w:rsidRPr="00611C50">
              <w:rPr>
                <w:snapToGrid w:val="0"/>
                <w:color w:val="000000"/>
                <w:sz w:val="22"/>
                <w:szCs w:val="22"/>
                <w:lang w:val="sr-Latn-ME" w:eastAsia="de-DE"/>
              </w:rPr>
              <w:t>3,7</w:t>
            </w:r>
          </w:p>
          <w:p w:rsidR="00806E4F" w:rsidRPr="00611C50" w:rsidRDefault="00806E4F" w:rsidP="00A37551">
            <w:pPr>
              <w:keepNext/>
              <w:jc w:val="center"/>
              <w:rPr>
                <w:snapToGrid w:val="0"/>
                <w:color w:val="000000"/>
                <w:sz w:val="22"/>
                <w:szCs w:val="22"/>
                <w:lang w:val="sr-Latn-ME" w:eastAsia="de-DE"/>
              </w:rPr>
            </w:pPr>
            <w:r w:rsidRPr="00611C50">
              <w:rPr>
                <w:snapToGrid w:val="0"/>
                <w:color w:val="000000"/>
                <w:sz w:val="22"/>
                <w:szCs w:val="22"/>
                <w:lang w:val="sr-Latn-ME" w:eastAsia="de-DE"/>
              </w:rPr>
              <w:t>(3,6; 5,5)</w:t>
            </w:r>
          </w:p>
        </w:tc>
        <w:tc>
          <w:tcPr>
            <w:tcW w:w="1476" w:type="dxa"/>
            <w:tcBorders>
              <w:top w:val="single" w:sz="4" w:space="0" w:color="auto"/>
              <w:left w:val="single" w:sz="4" w:space="0" w:color="auto"/>
              <w:bottom w:val="single" w:sz="4" w:space="0" w:color="auto"/>
              <w:right w:val="single" w:sz="4" w:space="0" w:color="auto"/>
            </w:tcBorders>
            <w:vAlign w:val="center"/>
          </w:tcPr>
          <w:p w:rsidR="00806E4F" w:rsidRPr="00611C50" w:rsidRDefault="00806E4F" w:rsidP="00A37551">
            <w:pPr>
              <w:keepNext/>
              <w:jc w:val="center"/>
              <w:rPr>
                <w:snapToGrid w:val="0"/>
                <w:color w:val="000000"/>
                <w:sz w:val="22"/>
                <w:szCs w:val="22"/>
                <w:lang w:val="sr-Latn-ME" w:eastAsia="de-DE"/>
              </w:rPr>
            </w:pPr>
          </w:p>
          <w:p w:rsidR="00806E4F" w:rsidRPr="00611C50" w:rsidRDefault="00806E4F" w:rsidP="00A37551">
            <w:pPr>
              <w:keepNext/>
              <w:jc w:val="center"/>
              <w:rPr>
                <w:snapToGrid w:val="0"/>
                <w:color w:val="000000"/>
                <w:sz w:val="22"/>
                <w:szCs w:val="22"/>
                <w:lang w:val="sr-Latn-ME" w:eastAsia="de-DE"/>
              </w:rPr>
            </w:pPr>
            <w:r w:rsidRPr="00611C50">
              <w:rPr>
                <w:snapToGrid w:val="0"/>
                <w:color w:val="000000"/>
                <w:sz w:val="22"/>
                <w:szCs w:val="22"/>
                <w:lang w:val="sr-Latn-ME" w:eastAsia="de-DE"/>
              </w:rPr>
              <w:t>3,7</w:t>
            </w:r>
          </w:p>
          <w:p w:rsidR="00806E4F" w:rsidRPr="00611C50" w:rsidRDefault="00806E4F" w:rsidP="00A37551">
            <w:pPr>
              <w:keepNext/>
              <w:jc w:val="center"/>
              <w:rPr>
                <w:snapToGrid w:val="0"/>
                <w:color w:val="000000"/>
                <w:sz w:val="22"/>
                <w:szCs w:val="22"/>
                <w:lang w:val="sr-Latn-ME" w:eastAsia="de-DE"/>
              </w:rPr>
            </w:pPr>
            <w:r w:rsidRPr="00611C50">
              <w:rPr>
                <w:snapToGrid w:val="0"/>
                <w:color w:val="000000"/>
                <w:sz w:val="22"/>
                <w:szCs w:val="22"/>
                <w:lang w:val="sr-Latn-ME" w:eastAsia="de-DE"/>
              </w:rPr>
              <w:t>(3,6; 3,7)</w:t>
            </w:r>
          </w:p>
        </w:tc>
      </w:tr>
      <w:tr w:rsidR="00806E4F" w:rsidRPr="00611C50" w:rsidTr="00806E4F">
        <w:trPr>
          <w:cantSplit/>
          <w:jc w:val="center"/>
        </w:trPr>
        <w:tc>
          <w:tcPr>
            <w:tcW w:w="189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keepNext/>
              <w:jc w:val="both"/>
              <w:rPr>
                <w:color w:val="000000"/>
                <w:sz w:val="22"/>
                <w:szCs w:val="22"/>
                <w:lang w:val="sr-Latn-ME" w:eastAsia="de-DE"/>
              </w:rPr>
            </w:pPr>
            <w:r w:rsidRPr="00611C50">
              <w:rPr>
                <w:color w:val="000000"/>
                <w:sz w:val="22"/>
                <w:szCs w:val="22"/>
                <w:lang w:val="sr-Latn-ME" w:eastAsia="de-DE"/>
              </w:rPr>
              <w:t xml:space="preserve">PFS – samo mozak </w:t>
            </w:r>
          </w:p>
          <w:p w:rsidR="00806E4F" w:rsidRPr="00611C50" w:rsidRDefault="00806E4F" w:rsidP="00AD0CC1">
            <w:pPr>
              <w:keepNext/>
              <w:jc w:val="both"/>
              <w:rPr>
                <w:color w:val="000000"/>
                <w:sz w:val="22"/>
                <w:szCs w:val="22"/>
                <w:lang w:val="sr-Latn-ME" w:eastAsia="de-DE"/>
              </w:rPr>
            </w:pPr>
            <w:r w:rsidRPr="00611C50">
              <w:rPr>
                <w:color w:val="000000"/>
                <w:sz w:val="22"/>
                <w:szCs w:val="22"/>
                <w:lang w:val="sr-Latn-ME" w:eastAsia="de-DE"/>
              </w:rPr>
              <w:t>Medijana (mjeseci)</w:t>
            </w:r>
            <w:r w:rsidRPr="00611C50">
              <w:rPr>
                <w:color w:val="000000"/>
                <w:sz w:val="22"/>
                <w:szCs w:val="22"/>
                <w:vertAlign w:val="superscript"/>
                <w:lang w:val="sr-Latn-ME" w:eastAsia="de-DE"/>
              </w:rPr>
              <w:t xml:space="preserve">e  </w:t>
            </w:r>
          </w:p>
          <w:p w:rsidR="00806E4F" w:rsidRPr="00611C50" w:rsidRDefault="00806E4F" w:rsidP="00AD0CC1">
            <w:pPr>
              <w:keepNext/>
              <w:jc w:val="both"/>
              <w:rPr>
                <w:color w:val="000000"/>
                <w:sz w:val="22"/>
                <w:szCs w:val="22"/>
                <w:lang w:val="sr-Latn-ME" w:eastAsia="zh-TW"/>
              </w:rPr>
            </w:pPr>
            <w:r w:rsidRPr="00611C50">
              <w:rPr>
                <w:color w:val="000000"/>
                <w:sz w:val="22"/>
                <w:szCs w:val="22"/>
                <w:lang w:val="sr-Latn-ME" w:eastAsia="de-DE"/>
              </w:rPr>
              <w:t>(95% CI)</w:t>
            </w:r>
            <w:r w:rsidRPr="00611C50">
              <w:rPr>
                <w:color w:val="000000"/>
                <w:sz w:val="22"/>
                <w:szCs w:val="22"/>
                <w:vertAlign w:val="superscript"/>
                <w:lang w:val="sr-Latn-ME" w:eastAsia="de-DE"/>
              </w:rPr>
              <w:t>d</w:t>
            </w:r>
          </w:p>
        </w:tc>
        <w:tc>
          <w:tcPr>
            <w:tcW w:w="1706" w:type="dxa"/>
            <w:tcBorders>
              <w:top w:val="single" w:sz="4" w:space="0" w:color="auto"/>
              <w:left w:val="single" w:sz="4" w:space="0" w:color="auto"/>
              <w:bottom w:val="single" w:sz="4" w:space="0" w:color="auto"/>
              <w:right w:val="single" w:sz="4" w:space="0" w:color="auto"/>
            </w:tcBorders>
            <w:vAlign w:val="bottom"/>
          </w:tcPr>
          <w:p w:rsidR="00806E4F" w:rsidRPr="00611C50" w:rsidRDefault="00806E4F" w:rsidP="00A37551">
            <w:pPr>
              <w:keepNext/>
              <w:jc w:val="center"/>
              <w:rPr>
                <w:color w:val="000000"/>
                <w:sz w:val="22"/>
                <w:szCs w:val="22"/>
                <w:lang w:val="sr-Latn-ME" w:eastAsia="de-DE"/>
              </w:rPr>
            </w:pP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3,7</w:t>
            </w: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(3,6; 4,0)</w:t>
            </w:r>
          </w:p>
        </w:tc>
        <w:tc>
          <w:tcPr>
            <w:tcW w:w="1559" w:type="dxa"/>
            <w:tcBorders>
              <w:top w:val="single" w:sz="4" w:space="0" w:color="auto"/>
              <w:left w:val="single" w:sz="4" w:space="0" w:color="auto"/>
              <w:bottom w:val="single" w:sz="4" w:space="0" w:color="auto"/>
              <w:right w:val="single" w:sz="4" w:space="0" w:color="auto"/>
            </w:tcBorders>
            <w:vAlign w:val="bottom"/>
          </w:tcPr>
          <w:p w:rsidR="00806E4F" w:rsidRPr="00611C50" w:rsidRDefault="00806E4F" w:rsidP="00A37551">
            <w:pPr>
              <w:keepNext/>
              <w:jc w:val="center"/>
              <w:rPr>
                <w:color w:val="000000"/>
                <w:sz w:val="22"/>
                <w:szCs w:val="22"/>
                <w:lang w:val="sr-Latn-ME" w:eastAsia="de-DE"/>
              </w:rPr>
            </w:pP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4,0</w:t>
            </w: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(3,6; 5,5)</w:t>
            </w:r>
          </w:p>
        </w:tc>
        <w:tc>
          <w:tcPr>
            <w:tcW w:w="1476" w:type="dxa"/>
            <w:tcBorders>
              <w:top w:val="single" w:sz="4" w:space="0" w:color="auto"/>
              <w:left w:val="single" w:sz="4" w:space="0" w:color="auto"/>
              <w:bottom w:val="single" w:sz="4" w:space="0" w:color="auto"/>
              <w:right w:val="single" w:sz="4" w:space="0" w:color="auto"/>
            </w:tcBorders>
            <w:vAlign w:val="bottom"/>
          </w:tcPr>
          <w:p w:rsidR="00806E4F" w:rsidRPr="00611C50" w:rsidRDefault="00806E4F" w:rsidP="00A37551">
            <w:pPr>
              <w:keepNext/>
              <w:jc w:val="center"/>
              <w:rPr>
                <w:color w:val="000000"/>
                <w:sz w:val="22"/>
                <w:szCs w:val="22"/>
                <w:lang w:val="sr-Latn-ME" w:eastAsia="de-DE"/>
              </w:rPr>
            </w:pP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3,7</w:t>
            </w: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(3,6; 4,2)</w:t>
            </w:r>
          </w:p>
        </w:tc>
      </w:tr>
      <w:tr w:rsidR="00806E4F" w:rsidRPr="00611C50" w:rsidTr="00806E4F">
        <w:trPr>
          <w:cantSplit/>
          <w:jc w:val="center"/>
        </w:trPr>
        <w:tc>
          <w:tcPr>
            <w:tcW w:w="1899" w:type="dxa"/>
            <w:tcBorders>
              <w:top w:val="single" w:sz="4" w:space="0" w:color="auto"/>
              <w:left w:val="single" w:sz="4" w:space="0" w:color="auto"/>
              <w:bottom w:val="single" w:sz="4" w:space="0" w:color="auto"/>
              <w:right w:val="single" w:sz="4" w:space="0" w:color="auto"/>
            </w:tcBorders>
            <w:hideMark/>
          </w:tcPr>
          <w:p w:rsidR="00806E4F" w:rsidRPr="00611C50" w:rsidRDefault="00806E4F" w:rsidP="00AD0CC1">
            <w:pPr>
              <w:keepNext/>
              <w:jc w:val="both"/>
              <w:rPr>
                <w:color w:val="000000"/>
                <w:sz w:val="22"/>
                <w:szCs w:val="22"/>
                <w:lang w:val="sr-Latn-ME" w:eastAsia="zh-TW"/>
              </w:rPr>
            </w:pPr>
            <w:r w:rsidRPr="00611C50">
              <w:rPr>
                <w:color w:val="000000"/>
                <w:sz w:val="22"/>
                <w:szCs w:val="22"/>
                <w:lang w:val="sr-Latn-ME" w:eastAsia="zh-TW"/>
              </w:rPr>
              <w:t>OS</w:t>
            </w:r>
          </w:p>
          <w:p w:rsidR="00806E4F" w:rsidRPr="00611C50" w:rsidRDefault="00806E4F" w:rsidP="00AD0CC1">
            <w:pPr>
              <w:keepNext/>
              <w:jc w:val="both"/>
              <w:rPr>
                <w:color w:val="000000"/>
                <w:sz w:val="22"/>
                <w:szCs w:val="22"/>
                <w:lang w:val="sr-Latn-ME" w:eastAsia="zh-TW"/>
              </w:rPr>
            </w:pPr>
            <w:r w:rsidRPr="00611C50">
              <w:rPr>
                <w:color w:val="000000"/>
                <w:sz w:val="22"/>
                <w:szCs w:val="22"/>
                <w:lang w:val="sr-Latn-ME" w:eastAsia="zh-TW"/>
              </w:rPr>
              <w:t>Medijana (mjeseci)</w:t>
            </w:r>
          </w:p>
          <w:p w:rsidR="00806E4F" w:rsidRPr="00611C50" w:rsidRDefault="00806E4F" w:rsidP="00AD0CC1">
            <w:pPr>
              <w:keepNext/>
              <w:jc w:val="both"/>
              <w:rPr>
                <w:color w:val="000000"/>
                <w:sz w:val="22"/>
                <w:szCs w:val="22"/>
                <w:lang w:val="sr-Latn-ME" w:eastAsia="zh-TW"/>
              </w:rPr>
            </w:pPr>
            <w:r w:rsidRPr="00611C50">
              <w:rPr>
                <w:color w:val="000000"/>
                <w:sz w:val="22"/>
                <w:szCs w:val="22"/>
                <w:lang w:val="sr-Latn-ME" w:eastAsia="zh-TW"/>
              </w:rPr>
              <w:t>(95% CI)</w:t>
            </w:r>
            <w:r w:rsidRPr="00611C50">
              <w:rPr>
                <w:color w:val="000000"/>
                <w:sz w:val="22"/>
                <w:szCs w:val="22"/>
                <w:vertAlign w:val="superscript"/>
                <w:lang w:val="sr-Latn-ME" w:eastAsia="zh-TW"/>
              </w:rPr>
              <w:t>d</w:t>
            </w:r>
          </w:p>
        </w:tc>
        <w:tc>
          <w:tcPr>
            <w:tcW w:w="1706" w:type="dxa"/>
            <w:tcBorders>
              <w:top w:val="single" w:sz="4" w:space="0" w:color="auto"/>
              <w:left w:val="single" w:sz="4" w:space="0" w:color="auto"/>
              <w:bottom w:val="single" w:sz="4" w:space="0" w:color="auto"/>
              <w:right w:val="single" w:sz="4" w:space="0" w:color="auto"/>
            </w:tcBorders>
            <w:vAlign w:val="center"/>
          </w:tcPr>
          <w:p w:rsidR="00806E4F" w:rsidRPr="00611C50" w:rsidRDefault="00806E4F" w:rsidP="00A37551">
            <w:pPr>
              <w:keepNext/>
              <w:jc w:val="center"/>
              <w:rPr>
                <w:color w:val="000000"/>
                <w:sz w:val="22"/>
                <w:szCs w:val="22"/>
                <w:lang w:val="sr-Latn-ME" w:eastAsia="de-DE"/>
              </w:rPr>
            </w:pP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8,9</w:t>
            </w:r>
          </w:p>
          <w:p w:rsidR="00806E4F" w:rsidRPr="00611C50" w:rsidRDefault="00806E4F" w:rsidP="00A37551">
            <w:pPr>
              <w:keepNext/>
              <w:jc w:val="center"/>
              <w:rPr>
                <w:color w:val="000000"/>
                <w:sz w:val="22"/>
                <w:szCs w:val="22"/>
                <w:lang w:val="sr-Latn-ME" w:eastAsia="zh-TW"/>
              </w:rPr>
            </w:pPr>
            <w:r w:rsidRPr="00611C50">
              <w:rPr>
                <w:color w:val="000000"/>
                <w:sz w:val="22"/>
                <w:szCs w:val="22"/>
                <w:lang w:val="sr-Latn-ME" w:eastAsia="de-DE"/>
              </w:rPr>
              <w:t>(</w:t>
            </w:r>
            <w:r w:rsidRPr="00611C50">
              <w:rPr>
                <w:snapToGrid w:val="0"/>
                <w:color w:val="000000"/>
                <w:sz w:val="22"/>
                <w:szCs w:val="22"/>
                <w:lang w:val="sr-Latn-ME" w:eastAsia="de-DE"/>
              </w:rPr>
              <w:t>6,1; 11,5)</w:t>
            </w:r>
          </w:p>
        </w:tc>
        <w:tc>
          <w:tcPr>
            <w:tcW w:w="1559" w:type="dxa"/>
            <w:tcBorders>
              <w:top w:val="single" w:sz="4" w:space="0" w:color="auto"/>
              <w:left w:val="single" w:sz="4" w:space="0" w:color="auto"/>
              <w:bottom w:val="single" w:sz="4" w:space="0" w:color="auto"/>
              <w:right w:val="single" w:sz="4" w:space="0" w:color="auto"/>
            </w:tcBorders>
            <w:vAlign w:val="center"/>
          </w:tcPr>
          <w:p w:rsidR="00806E4F" w:rsidRPr="00611C50" w:rsidRDefault="00806E4F" w:rsidP="00A37551">
            <w:pPr>
              <w:keepNext/>
              <w:jc w:val="center"/>
              <w:rPr>
                <w:color w:val="000000"/>
                <w:sz w:val="22"/>
                <w:szCs w:val="22"/>
                <w:lang w:val="sr-Latn-ME" w:eastAsia="de-DE"/>
              </w:rPr>
            </w:pP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9,6</w:t>
            </w:r>
          </w:p>
          <w:p w:rsidR="00806E4F" w:rsidRPr="00611C50" w:rsidRDefault="00806E4F" w:rsidP="00A37551">
            <w:pPr>
              <w:keepNext/>
              <w:jc w:val="center"/>
              <w:rPr>
                <w:color w:val="000000"/>
                <w:sz w:val="22"/>
                <w:szCs w:val="22"/>
                <w:lang w:val="sr-Latn-ME" w:eastAsia="zh-TW"/>
              </w:rPr>
            </w:pPr>
            <w:r w:rsidRPr="00611C50">
              <w:rPr>
                <w:color w:val="000000"/>
                <w:sz w:val="22"/>
                <w:szCs w:val="22"/>
                <w:lang w:val="sr-Latn-ME" w:eastAsia="de-DE"/>
              </w:rPr>
              <w:t>(</w:t>
            </w:r>
            <w:r w:rsidRPr="00611C50">
              <w:rPr>
                <w:snapToGrid w:val="0"/>
                <w:color w:val="000000"/>
                <w:sz w:val="22"/>
                <w:szCs w:val="22"/>
                <w:lang w:val="sr-Latn-ME" w:eastAsia="de-DE"/>
              </w:rPr>
              <w:t>6,4; 13,9)</w:t>
            </w:r>
          </w:p>
        </w:tc>
        <w:tc>
          <w:tcPr>
            <w:tcW w:w="1476" w:type="dxa"/>
            <w:tcBorders>
              <w:top w:val="single" w:sz="4" w:space="0" w:color="auto"/>
              <w:left w:val="single" w:sz="4" w:space="0" w:color="auto"/>
              <w:bottom w:val="single" w:sz="4" w:space="0" w:color="auto"/>
              <w:right w:val="single" w:sz="4" w:space="0" w:color="auto"/>
            </w:tcBorders>
            <w:vAlign w:val="center"/>
          </w:tcPr>
          <w:p w:rsidR="00806E4F" w:rsidRPr="00611C50" w:rsidRDefault="00806E4F" w:rsidP="00A37551">
            <w:pPr>
              <w:keepNext/>
              <w:jc w:val="center"/>
              <w:rPr>
                <w:color w:val="000000"/>
                <w:sz w:val="22"/>
                <w:szCs w:val="22"/>
                <w:lang w:val="sr-Latn-ME" w:eastAsia="de-DE"/>
              </w:rPr>
            </w:pPr>
          </w:p>
          <w:p w:rsidR="00806E4F" w:rsidRPr="00611C50" w:rsidRDefault="00806E4F" w:rsidP="00A37551">
            <w:pPr>
              <w:keepNext/>
              <w:jc w:val="center"/>
              <w:rPr>
                <w:color w:val="000000"/>
                <w:sz w:val="22"/>
                <w:szCs w:val="22"/>
                <w:lang w:val="sr-Latn-ME" w:eastAsia="de-DE"/>
              </w:rPr>
            </w:pPr>
            <w:r w:rsidRPr="00611C50">
              <w:rPr>
                <w:color w:val="000000"/>
                <w:sz w:val="22"/>
                <w:szCs w:val="22"/>
                <w:lang w:val="sr-Latn-ME" w:eastAsia="de-DE"/>
              </w:rPr>
              <w:t>9,6</w:t>
            </w:r>
          </w:p>
          <w:p w:rsidR="00806E4F" w:rsidRPr="00611C50" w:rsidRDefault="00806E4F" w:rsidP="00A37551">
            <w:pPr>
              <w:keepNext/>
              <w:jc w:val="center"/>
              <w:rPr>
                <w:color w:val="000000"/>
                <w:sz w:val="22"/>
                <w:szCs w:val="22"/>
                <w:lang w:val="sr-Latn-ME" w:eastAsia="zh-TW"/>
              </w:rPr>
            </w:pPr>
            <w:r w:rsidRPr="00611C50">
              <w:rPr>
                <w:color w:val="000000"/>
                <w:sz w:val="22"/>
                <w:szCs w:val="22"/>
                <w:lang w:val="sr-Latn-ME" w:eastAsia="de-DE"/>
              </w:rPr>
              <w:t>(</w:t>
            </w:r>
            <w:r w:rsidRPr="00611C50">
              <w:rPr>
                <w:snapToGrid w:val="0"/>
                <w:color w:val="000000"/>
                <w:sz w:val="22"/>
                <w:szCs w:val="22"/>
                <w:lang w:val="sr-Latn-ME" w:eastAsia="de-DE"/>
              </w:rPr>
              <w:t>6,9; 11,5)</w:t>
            </w:r>
          </w:p>
        </w:tc>
      </w:tr>
    </w:tbl>
    <w:p w:rsidR="00806E4F" w:rsidRPr="00611C50" w:rsidRDefault="00806E4F" w:rsidP="00AD0CC1">
      <w:pPr>
        <w:keepNext/>
        <w:keepLines/>
        <w:ind w:left="142" w:hanging="113"/>
        <w:jc w:val="both"/>
        <w:rPr>
          <w:rFonts w:eastAsia="SimSun"/>
          <w:color w:val="000000"/>
          <w:sz w:val="22"/>
          <w:szCs w:val="22"/>
          <w:lang w:val="sr-Latn-ME" w:eastAsia="zh-CN"/>
        </w:rPr>
      </w:pPr>
      <w:r w:rsidRPr="00611C50">
        <w:rPr>
          <w:rFonts w:eastAsia="SimSun"/>
          <w:color w:val="000000"/>
          <w:sz w:val="22"/>
          <w:szCs w:val="22"/>
          <w:vertAlign w:val="superscript"/>
          <w:lang w:val="sr-Latn-ME" w:eastAsia="zh-CN"/>
        </w:rPr>
        <w:t>a</w:t>
      </w:r>
      <w:r w:rsidRPr="00611C50">
        <w:rPr>
          <w:rFonts w:eastAsia="SimSun"/>
          <w:color w:val="000000"/>
          <w:sz w:val="22"/>
          <w:szCs w:val="22"/>
          <w:lang w:val="sr-Latn-ME" w:eastAsia="zh-CN"/>
        </w:rPr>
        <w:tab/>
        <w:t>Stopa najboljeg ukupnog potvrđenog odgovora prema ocjeni nezavisnog  ocjenjivačkog tijela, broj pacijenata sa odgovorom, n (%)</w:t>
      </w:r>
    </w:p>
    <w:p w:rsidR="00806E4F" w:rsidRPr="00611C50" w:rsidRDefault="00806E4F" w:rsidP="00AD0CC1">
      <w:pPr>
        <w:keepNext/>
        <w:keepLines/>
        <w:ind w:left="142" w:hanging="113"/>
        <w:jc w:val="both"/>
        <w:rPr>
          <w:rFonts w:eastAsia="SimSun"/>
          <w:color w:val="000000"/>
          <w:sz w:val="22"/>
          <w:szCs w:val="22"/>
          <w:lang w:val="sr-Latn-ME" w:eastAsia="zh-CN"/>
        </w:rPr>
      </w:pPr>
      <w:r w:rsidRPr="00611C50">
        <w:rPr>
          <w:rFonts w:eastAsia="SimSun"/>
          <w:color w:val="000000"/>
          <w:sz w:val="22"/>
          <w:szCs w:val="22"/>
          <w:vertAlign w:val="superscript"/>
          <w:lang w:val="sr-Latn-ME" w:eastAsia="zh-CN"/>
        </w:rPr>
        <w:t>b</w:t>
      </w:r>
      <w:r w:rsidRPr="00611C50">
        <w:rPr>
          <w:rFonts w:eastAsia="SimSun"/>
          <w:color w:val="000000"/>
          <w:sz w:val="22"/>
          <w:szCs w:val="22"/>
          <w:lang w:val="sr-Latn-ME" w:eastAsia="zh-CN"/>
        </w:rPr>
        <w:t xml:space="preserve"> Dvostrani Clopper-Pearsonov interval pouzdanosti (CI) od 95%</w:t>
      </w:r>
    </w:p>
    <w:p w:rsidR="00806E4F" w:rsidRPr="00611C50" w:rsidRDefault="00806E4F" w:rsidP="00AD0CC1">
      <w:pPr>
        <w:keepNext/>
        <w:keepLines/>
        <w:ind w:left="142" w:hanging="113"/>
        <w:jc w:val="both"/>
        <w:rPr>
          <w:rFonts w:eastAsia="SimSun"/>
          <w:color w:val="000000"/>
          <w:sz w:val="22"/>
          <w:szCs w:val="22"/>
          <w:lang w:val="sr-Latn-ME" w:eastAsia="zh-CN"/>
        </w:rPr>
      </w:pPr>
      <w:r w:rsidRPr="00611C50">
        <w:rPr>
          <w:rFonts w:eastAsia="SimSun"/>
          <w:color w:val="000000"/>
          <w:sz w:val="22"/>
          <w:szCs w:val="22"/>
          <w:vertAlign w:val="superscript"/>
          <w:lang w:val="sr-Latn-ME" w:eastAsia="zh-CN"/>
        </w:rPr>
        <w:t>c</w:t>
      </w:r>
      <w:r w:rsidRPr="00611C50">
        <w:rPr>
          <w:rFonts w:eastAsia="SimSun"/>
          <w:color w:val="000000"/>
          <w:sz w:val="22"/>
          <w:szCs w:val="22"/>
          <w:lang w:val="sr-Latn-ME" w:eastAsia="zh-CN"/>
        </w:rPr>
        <w:t xml:space="preserve"> Trajanje odgovora prema ocjeni nezavisnog ocjenjivačkog tijela</w:t>
      </w:r>
    </w:p>
    <w:p w:rsidR="00806E4F" w:rsidRPr="00611C50" w:rsidRDefault="00806E4F" w:rsidP="00AD0CC1">
      <w:pPr>
        <w:keepNext/>
        <w:keepLines/>
        <w:ind w:left="142" w:hanging="113"/>
        <w:jc w:val="both"/>
        <w:rPr>
          <w:rFonts w:eastAsia="SimSun"/>
          <w:color w:val="000000"/>
          <w:sz w:val="22"/>
          <w:szCs w:val="22"/>
          <w:lang w:val="sr-Latn-ME" w:eastAsia="zh-CN"/>
        </w:rPr>
      </w:pPr>
      <w:r w:rsidRPr="00611C50">
        <w:rPr>
          <w:rFonts w:eastAsia="SimSun"/>
          <w:color w:val="000000"/>
          <w:sz w:val="22"/>
          <w:szCs w:val="22"/>
          <w:vertAlign w:val="superscript"/>
          <w:lang w:val="sr-Latn-ME" w:eastAsia="zh-CN"/>
        </w:rPr>
        <w:t>d</w:t>
      </w:r>
      <w:r w:rsidRPr="00611C50">
        <w:rPr>
          <w:rFonts w:eastAsia="SimSun"/>
          <w:color w:val="000000"/>
          <w:sz w:val="22"/>
          <w:szCs w:val="22"/>
          <w:lang w:val="sr-Latn-ME" w:eastAsia="zh-CN"/>
        </w:rPr>
        <w:t xml:space="preserve"> Procjena prema Kaplan-Meierovoj metodi</w:t>
      </w:r>
    </w:p>
    <w:p w:rsidR="00806E4F" w:rsidRPr="00611C50" w:rsidRDefault="00806E4F" w:rsidP="00AD0CC1">
      <w:pPr>
        <w:jc w:val="both"/>
        <w:rPr>
          <w:snapToGrid w:val="0"/>
          <w:sz w:val="22"/>
          <w:szCs w:val="22"/>
          <w:lang w:val="sr-Latn-ME"/>
        </w:rPr>
      </w:pPr>
      <w:r w:rsidRPr="00611C50">
        <w:rPr>
          <w:rFonts w:eastAsia="SimSun"/>
          <w:color w:val="000000"/>
          <w:sz w:val="22"/>
          <w:szCs w:val="22"/>
          <w:vertAlign w:val="superscript"/>
          <w:lang w:val="sr-Latn-ME" w:eastAsia="zh-CN"/>
        </w:rPr>
        <w:t>e</w:t>
      </w:r>
      <w:r w:rsidRPr="00611C50">
        <w:rPr>
          <w:rFonts w:eastAsia="SimSun"/>
          <w:color w:val="000000"/>
          <w:sz w:val="22"/>
          <w:szCs w:val="22"/>
          <w:lang w:val="sr-Latn-ME" w:eastAsia="zh-CN"/>
        </w:rPr>
        <w:t xml:space="preserve"> Ocijenio ispitivač</w:t>
      </w:r>
    </w:p>
    <w:p w:rsidR="008E09B6" w:rsidRDefault="008E09B6" w:rsidP="00AD0CC1">
      <w:pPr>
        <w:jc w:val="both"/>
        <w:rPr>
          <w:sz w:val="22"/>
          <w:szCs w:val="22"/>
          <w:lang w:val="sr-Latn-ME"/>
        </w:rPr>
      </w:pPr>
    </w:p>
    <w:p w:rsidR="008E09B6" w:rsidRPr="00611C50" w:rsidRDefault="008E09B6" w:rsidP="00AD0CC1">
      <w:pPr>
        <w:jc w:val="both"/>
        <w:rPr>
          <w:sz w:val="22"/>
          <w:szCs w:val="22"/>
          <w:lang w:val="sr-Latn-ME"/>
        </w:rPr>
      </w:pPr>
      <w:bookmarkStart w:id="1" w:name="_GoBack"/>
      <w:bookmarkEnd w:id="1"/>
    </w:p>
    <w:p w:rsidR="00806E4F" w:rsidRPr="00611C50" w:rsidRDefault="00806E4F" w:rsidP="00AD0CC1">
      <w:pPr>
        <w:jc w:val="both"/>
        <w:rPr>
          <w:sz w:val="22"/>
          <w:szCs w:val="22"/>
          <w:u w:val="single"/>
          <w:lang w:val="sr-Latn-ME"/>
        </w:rPr>
      </w:pPr>
      <w:r w:rsidRPr="00611C50">
        <w:rPr>
          <w:sz w:val="22"/>
          <w:szCs w:val="22"/>
          <w:u w:val="single"/>
          <w:lang w:val="sr-Latn-ME"/>
        </w:rPr>
        <w:lastRenderedPageBreak/>
        <w:t>Pedijatrijska populacija</w:t>
      </w:r>
    </w:p>
    <w:p w:rsidR="00806E4F" w:rsidRPr="00611C50" w:rsidRDefault="00806E4F" w:rsidP="00AD0CC1">
      <w:pPr>
        <w:jc w:val="both"/>
        <w:rPr>
          <w:sz w:val="22"/>
          <w:szCs w:val="22"/>
          <w:lang w:val="sr-Latn-ME"/>
        </w:rPr>
      </w:pPr>
    </w:p>
    <w:p w:rsidR="00806E4F" w:rsidRPr="00611C50" w:rsidRDefault="00806E4F" w:rsidP="00AD0CC1">
      <w:pPr>
        <w:jc w:val="both"/>
        <w:rPr>
          <w:i/>
          <w:sz w:val="22"/>
          <w:szCs w:val="22"/>
          <w:lang w:val="sr-Latn-ME"/>
        </w:rPr>
      </w:pPr>
      <w:r w:rsidRPr="00611C50">
        <w:rPr>
          <w:i/>
          <w:sz w:val="22"/>
          <w:szCs w:val="22"/>
          <w:lang w:val="sr-Latn-ME"/>
        </w:rPr>
        <w:t>Rezultati iz studije faze I (NO25390) kod  pedijatrijskih pacijenata</w:t>
      </w:r>
    </w:p>
    <w:p w:rsidR="00806E4F" w:rsidRPr="00611C50" w:rsidRDefault="00806E4F" w:rsidP="00AD0CC1">
      <w:pPr>
        <w:jc w:val="both"/>
        <w:rPr>
          <w:sz w:val="22"/>
          <w:szCs w:val="22"/>
          <w:lang w:val="sr-Latn-ME"/>
        </w:rPr>
      </w:pPr>
    </w:p>
    <w:p w:rsidR="00806E4F" w:rsidRPr="00611C50" w:rsidRDefault="00806E4F" w:rsidP="00AD0CC1">
      <w:pPr>
        <w:jc w:val="both"/>
        <w:rPr>
          <w:sz w:val="22"/>
          <w:szCs w:val="22"/>
          <w:lang w:val="sr-Latn-ME"/>
        </w:rPr>
      </w:pPr>
      <w:r w:rsidRPr="00611C50">
        <w:rPr>
          <w:sz w:val="22"/>
          <w:szCs w:val="22"/>
          <w:lang w:val="sr-Latn-ME"/>
        </w:rPr>
        <w:t>Sprovedena je studija povećanja doze faze I u kojoj se ocjenjivala primjena vemurafeniba kod šest adolescentnih pacijenata sa  melanomom stadijuma IIIC ili IV sa pozitivnom BRAF mutacijom V600. Svi liječeni pacijenti imali su najmanje 15 godina i najmanje 45 kg tjelesne težine. Tri pacijenta su  liječena vemurafenibom u dozi od 720 mg dvaput na dan, a tri pacijenta vemurafenibom u dozi od 960 mg dvaput na dan. Maksimalna podnošljiva doza nije se mogla utvrditi. Iako su primijećeni slučajevi prolazne regresije tumora, stepen najboljeg ukupnog odgovora (BORR) iznosio je 0% (95% CI: 0%, 46%) na osnovu  protvrđenih odgovora. Studija je prekinuta zbog slabog uključivanja pacijenata. Vidjeti dio 4.2 za informacije o pedijatrijskoj primjeni.</w:t>
      </w:r>
    </w:p>
    <w:p w:rsidR="002E37A5" w:rsidRPr="00611C50" w:rsidRDefault="002E37A5" w:rsidP="00AD0CC1">
      <w:pPr>
        <w:tabs>
          <w:tab w:val="left" w:pos="540"/>
          <w:tab w:val="left" w:pos="569"/>
        </w:tabs>
        <w:jc w:val="both"/>
        <w:rPr>
          <w:b/>
          <w:bCs/>
          <w:sz w:val="22"/>
          <w:szCs w:val="22"/>
          <w:lang w:val="sr-Latn-ME"/>
        </w:rPr>
      </w:pPr>
    </w:p>
    <w:p w:rsidR="0072020E" w:rsidRPr="00611C50" w:rsidRDefault="0072020E" w:rsidP="00AD0CC1">
      <w:pPr>
        <w:tabs>
          <w:tab w:val="left" w:pos="540"/>
          <w:tab w:val="left" w:pos="569"/>
        </w:tabs>
        <w:jc w:val="both"/>
        <w:rPr>
          <w:b/>
          <w:bCs/>
          <w:sz w:val="22"/>
          <w:szCs w:val="22"/>
          <w:lang w:val="sr-Latn-ME"/>
        </w:rPr>
      </w:pPr>
      <w:r w:rsidRPr="00611C50">
        <w:rPr>
          <w:b/>
          <w:bCs/>
          <w:sz w:val="22"/>
          <w:szCs w:val="22"/>
          <w:lang w:val="sr-Latn-ME"/>
        </w:rPr>
        <w:t xml:space="preserve">5.2. </w:t>
      </w:r>
      <w:r w:rsidR="00480FB1" w:rsidRPr="00611C50">
        <w:rPr>
          <w:b/>
          <w:bCs/>
          <w:sz w:val="22"/>
          <w:szCs w:val="22"/>
          <w:lang w:val="sr-Latn-ME"/>
        </w:rPr>
        <w:tab/>
      </w:r>
      <w:r w:rsidRPr="00611C50">
        <w:rPr>
          <w:b/>
          <w:bCs/>
          <w:sz w:val="22"/>
          <w:szCs w:val="22"/>
          <w:lang w:val="sr-Latn-ME"/>
        </w:rPr>
        <w:t>Farmakokinetički podaci</w:t>
      </w:r>
      <w:r w:rsidR="003A7059" w:rsidRPr="00611C50">
        <w:rPr>
          <w:b/>
          <w:bCs/>
          <w:sz w:val="22"/>
          <w:szCs w:val="22"/>
          <w:lang w:val="sr-Latn-ME"/>
        </w:rPr>
        <w:t xml:space="preserve"> </w:t>
      </w:r>
    </w:p>
    <w:p w:rsidR="00806E4F" w:rsidRPr="00611C50" w:rsidRDefault="00806E4F" w:rsidP="00AD0CC1">
      <w:pPr>
        <w:tabs>
          <w:tab w:val="left" w:pos="540"/>
          <w:tab w:val="left" w:pos="569"/>
        </w:tabs>
        <w:jc w:val="both"/>
        <w:rPr>
          <w:b/>
          <w:bCs/>
          <w:sz w:val="22"/>
          <w:szCs w:val="22"/>
          <w:lang w:val="sr-Latn-ME"/>
        </w:rPr>
      </w:pPr>
    </w:p>
    <w:p w:rsidR="00806E4F" w:rsidRPr="00611C50" w:rsidRDefault="00806E4F" w:rsidP="00AD0CC1">
      <w:pPr>
        <w:jc w:val="both"/>
        <w:rPr>
          <w:sz w:val="22"/>
          <w:szCs w:val="22"/>
          <w:lang w:val="sr-Latn-ME" w:eastAsia="ja-JP"/>
        </w:rPr>
      </w:pPr>
      <w:r w:rsidRPr="00611C50">
        <w:rPr>
          <w:sz w:val="22"/>
          <w:szCs w:val="22"/>
          <w:lang w:val="sr-Latn-ME" w:eastAsia="ja-JP"/>
        </w:rPr>
        <w:t xml:space="preserve">Vemurafenib je supstanca klase IV (niske rastvorljivosti i propustljivosti), prema kriterijumima opisanim u Biofarmaceutskom sistemu klasifikacije. Farmakokinetički parametri vemurafeniba određeni su primjenom ne-kompartmentske analize u studijama faze I i III (20 pacijenata nakon 15 dana primjene 960 mg dva puta dnevno, i 204 pacijenta u stabilnom stanju  22. dana), kao i populacionom FK analizom korišćenjem zbirnih podataka od 458 pacijenata. Među ovim pacijentima, 457 bili su bjelci. </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u w:val="single"/>
          <w:lang w:val="sr-Latn-ME" w:eastAsia="ja-JP"/>
        </w:rPr>
      </w:pPr>
      <w:r w:rsidRPr="00611C50">
        <w:rPr>
          <w:sz w:val="22"/>
          <w:szCs w:val="22"/>
          <w:u w:val="single"/>
          <w:lang w:val="sr-Latn-ME" w:eastAsia="ja-JP"/>
        </w:rPr>
        <w:t>Resorpcija</w:t>
      </w:r>
    </w:p>
    <w:p w:rsidR="00806E4F" w:rsidRPr="00611C50" w:rsidRDefault="00806E4F" w:rsidP="00AD0CC1">
      <w:pPr>
        <w:jc w:val="both"/>
        <w:rPr>
          <w:sz w:val="22"/>
          <w:szCs w:val="22"/>
          <w:lang w:val="sr-Latn-ME" w:eastAsia="ja-JP"/>
        </w:rPr>
      </w:pPr>
      <w:r w:rsidRPr="00611C50">
        <w:rPr>
          <w:sz w:val="22"/>
          <w:szCs w:val="22"/>
          <w:lang w:val="sr-Latn-ME" w:eastAsia="ja-JP"/>
        </w:rPr>
        <w:t>U studiji faze I u kojojse  nije kontrolisala primjena lijeka u odnosu na unos hrane, kod četiri bolesnika koji su imali malignu bolest sa pozitivnom BRAF V600 mutacijom, bioraspoloživost vemurafeniba u stanju dinamičke ravnoteže kretala se u rasponu od 32% do 115% (srednja vrijednost 64%) u odnosu na intravensku mikrodozu.</w:t>
      </w:r>
    </w:p>
    <w:p w:rsidR="00806E4F" w:rsidRPr="00611C50" w:rsidRDefault="00806E4F" w:rsidP="00AD0CC1">
      <w:pPr>
        <w:jc w:val="both"/>
        <w:rPr>
          <w:sz w:val="22"/>
          <w:szCs w:val="22"/>
          <w:lang w:val="sr-Latn-ME" w:eastAsia="ja-JP"/>
        </w:rPr>
      </w:pPr>
      <w:r w:rsidRPr="00611C50">
        <w:rPr>
          <w:sz w:val="22"/>
          <w:szCs w:val="22"/>
          <w:lang w:val="sr-Latn-ME" w:eastAsia="ja-JP"/>
        </w:rPr>
        <w:t xml:space="preserve"> </w:t>
      </w:r>
    </w:p>
    <w:p w:rsidR="00806E4F" w:rsidRPr="00611C50" w:rsidRDefault="00806E4F" w:rsidP="00AD0CC1">
      <w:pPr>
        <w:jc w:val="both"/>
        <w:rPr>
          <w:sz w:val="22"/>
          <w:szCs w:val="22"/>
          <w:lang w:val="sr-Latn-ME" w:eastAsia="ja-JP"/>
        </w:rPr>
      </w:pPr>
      <w:r w:rsidRPr="00611C50">
        <w:rPr>
          <w:sz w:val="22"/>
          <w:szCs w:val="22"/>
          <w:lang w:val="sr-Latn-ME" w:eastAsia="ja-JP"/>
        </w:rPr>
        <w:t>Nakon jednokratne doze od 960mg (4 tablete od 240mg) vemurafenib se resorbuje sa medijanom Tmax od oko 4 sata. Vemurafenib ispoljava visoku varijabilnost između pacijenata. U studiji faze II PIK</w:t>
      </w:r>
      <w:r w:rsidRPr="00611C50">
        <w:rPr>
          <w:sz w:val="22"/>
          <w:szCs w:val="22"/>
          <w:vertAlign w:val="subscript"/>
          <w:lang w:val="sr-Latn-ME" w:eastAsia="ja-JP"/>
        </w:rPr>
        <w:t>0-8h</w:t>
      </w:r>
      <w:r w:rsidRPr="00611C50">
        <w:rPr>
          <w:sz w:val="22"/>
          <w:szCs w:val="22"/>
          <w:lang w:val="sr-Latn-ME" w:eastAsia="ja-JP"/>
        </w:rPr>
        <w:t xml:space="preserve"> i C</w:t>
      </w:r>
      <w:r w:rsidRPr="00611C50">
        <w:rPr>
          <w:sz w:val="22"/>
          <w:szCs w:val="22"/>
          <w:vertAlign w:val="subscript"/>
          <w:lang w:val="sr-Latn-ME" w:eastAsia="ja-JP"/>
        </w:rPr>
        <w:t xml:space="preserve">max </w:t>
      </w:r>
      <w:r w:rsidRPr="00611C50">
        <w:rPr>
          <w:sz w:val="22"/>
          <w:szCs w:val="22"/>
          <w:lang w:val="sr-Latn-ME" w:eastAsia="ja-JP"/>
        </w:rPr>
        <w:t>prvog dana bili su 22.1±12.7 µg.h/mL i 4.1±2.3µg/mL. Akumulacija se javlja nakon višestrukog doziranja dva puta dnevno. U ne-kompartment analizi, nakon doze od 960 mg vemurafeniba dva puta dnevno odnos 15.dan/1. dan je u opsegu 15 do 17 puta za PIK, i 13 do 14 puta za C</w:t>
      </w:r>
      <w:r w:rsidRPr="00611C50">
        <w:rPr>
          <w:sz w:val="22"/>
          <w:szCs w:val="22"/>
          <w:vertAlign w:val="subscript"/>
          <w:lang w:val="sr-Latn-ME" w:eastAsia="ja-JP"/>
        </w:rPr>
        <w:t>max</w:t>
      </w:r>
      <w:r w:rsidRPr="00611C50">
        <w:rPr>
          <w:sz w:val="22"/>
          <w:szCs w:val="22"/>
          <w:lang w:val="sr-Latn-ME" w:eastAsia="ja-JP"/>
        </w:rPr>
        <w:t>, a PIK</w:t>
      </w:r>
      <w:r w:rsidRPr="00611C50">
        <w:rPr>
          <w:sz w:val="22"/>
          <w:szCs w:val="22"/>
          <w:vertAlign w:val="subscript"/>
          <w:lang w:val="sr-Latn-ME" w:eastAsia="ja-JP"/>
        </w:rPr>
        <w:t>0-8h</w:t>
      </w:r>
      <w:r w:rsidRPr="00611C50">
        <w:rPr>
          <w:sz w:val="22"/>
          <w:szCs w:val="22"/>
          <w:lang w:val="sr-Latn-ME" w:eastAsia="ja-JP"/>
        </w:rPr>
        <w:t xml:space="preserve"> i C</w:t>
      </w:r>
      <w:r w:rsidRPr="00611C50">
        <w:rPr>
          <w:sz w:val="22"/>
          <w:szCs w:val="22"/>
          <w:vertAlign w:val="subscript"/>
          <w:lang w:val="sr-Latn-ME" w:eastAsia="ja-JP"/>
        </w:rPr>
        <w:t xml:space="preserve">max </w:t>
      </w:r>
      <w:r w:rsidRPr="00611C50">
        <w:rPr>
          <w:sz w:val="22"/>
          <w:szCs w:val="22"/>
          <w:lang w:val="sr-Latn-ME" w:eastAsia="ja-JP"/>
        </w:rPr>
        <w:t xml:space="preserve">su 380.2±  143.6 µg.h/mL i 56.7 ± 21.8 µg/mL, respektivno, pri uslovima u stanju ravnoteže. </w:t>
      </w:r>
    </w:p>
    <w:p w:rsidR="00806E4F" w:rsidRPr="00611C50" w:rsidRDefault="00806E4F" w:rsidP="00AD0CC1">
      <w:pPr>
        <w:jc w:val="both"/>
        <w:rPr>
          <w:sz w:val="22"/>
          <w:szCs w:val="22"/>
          <w:lang w:val="sr-Latn-ME" w:eastAsia="ja-JP"/>
        </w:rPr>
      </w:pPr>
      <w:r w:rsidRPr="00611C50">
        <w:rPr>
          <w:sz w:val="22"/>
          <w:szCs w:val="22"/>
          <w:lang w:val="sr-Latn-ME" w:eastAsia="ja-JP"/>
        </w:rPr>
        <w:t>Hrana (veoma mas</w:t>
      </w:r>
      <w:r w:rsidR="00D80D1B">
        <w:rPr>
          <w:sz w:val="22"/>
          <w:szCs w:val="22"/>
          <w:lang w:val="sr-Latn-ME" w:eastAsia="ja-JP"/>
        </w:rPr>
        <w:t>t</w:t>
      </w:r>
      <w:r w:rsidRPr="00611C50">
        <w:rPr>
          <w:sz w:val="22"/>
          <w:szCs w:val="22"/>
          <w:lang w:val="sr-Latn-ME" w:eastAsia="ja-JP"/>
        </w:rPr>
        <w:t>an obrok) povećava relativnu bioraspoloživost pojedinačne doze od 960mg vemurafeniba. Prosječni geometrijski odnos između stanja na gladno i sito (fed and fasted states) za C</w:t>
      </w:r>
      <w:r w:rsidRPr="00611C50">
        <w:rPr>
          <w:sz w:val="22"/>
          <w:szCs w:val="22"/>
          <w:vertAlign w:val="subscript"/>
          <w:lang w:val="sr-Latn-ME" w:eastAsia="ja-JP"/>
        </w:rPr>
        <w:t>max</w:t>
      </w:r>
      <w:r w:rsidRPr="00611C50">
        <w:rPr>
          <w:sz w:val="22"/>
          <w:szCs w:val="22"/>
          <w:lang w:val="sr-Latn-ME" w:eastAsia="ja-JP"/>
        </w:rPr>
        <w:t xml:space="preserve"> i PIK je 2.5 i 4.6 do 5.1 puta, respektivno. Medijana T</w:t>
      </w:r>
      <w:r w:rsidRPr="00611C50">
        <w:rPr>
          <w:sz w:val="22"/>
          <w:szCs w:val="22"/>
          <w:vertAlign w:val="subscript"/>
          <w:lang w:val="sr-Latn-ME" w:eastAsia="ja-JP"/>
        </w:rPr>
        <w:t>max</w:t>
      </w:r>
      <w:r w:rsidRPr="00611C50">
        <w:rPr>
          <w:sz w:val="22"/>
          <w:szCs w:val="22"/>
          <w:lang w:val="sr-Latn-ME" w:eastAsia="ja-JP"/>
        </w:rPr>
        <w:t xml:space="preserve"> je povećana sa 4 na 7.5 sati kada je pojedinačna doza vemurafeniba uzeta sa hranom. </w:t>
      </w:r>
    </w:p>
    <w:p w:rsidR="00806E4F" w:rsidRPr="00611C50" w:rsidRDefault="00806E4F" w:rsidP="00AD0CC1">
      <w:pPr>
        <w:jc w:val="both"/>
        <w:rPr>
          <w:sz w:val="22"/>
          <w:szCs w:val="22"/>
          <w:lang w:val="sr-Latn-ME" w:eastAsia="ja-JP"/>
        </w:rPr>
      </w:pPr>
      <w:r w:rsidRPr="00611C50">
        <w:rPr>
          <w:sz w:val="22"/>
          <w:szCs w:val="22"/>
          <w:lang w:val="sr-Latn-ME" w:eastAsia="ja-JP"/>
        </w:rPr>
        <w:t xml:space="preserve">Uticaj hrane na stanje ravnoteže vemurafeniba trenutno nije poznato. Konzistentno uzimanje vemurafeniba na prazan želudac može dovesti do značajnog smanjena stanja ravnoteže u odnosu na konzistentan uzimanje vemurafeniba sa obrokom ili u kratkom vremenu nakon obroka. Povremeno uzimanje vemurafeniba na prazan želudac, očekuje se da će imati limitaran uticaj na stanje ravnoteže zbog visoke akumulacije vemurafeniba u stanju ravnoteže.  Podaci o bezbjednosti i efikasnosti prikupljeni su iz pivotalnih studija od pacijenata koji su uzimali vemurafenib sa ili bez hrane.Varijabilnost u koncentraciji može se takođe javiti zbog razlika u sadržaju gastrointestinalne tečnosti, volumenu, pH, motilitetu i vremenu prolaska i sastavu žuči. </w:t>
      </w:r>
    </w:p>
    <w:p w:rsidR="00806E4F" w:rsidRPr="00611C50" w:rsidRDefault="00806E4F" w:rsidP="00AD0CC1">
      <w:pPr>
        <w:jc w:val="both"/>
        <w:rPr>
          <w:sz w:val="22"/>
          <w:szCs w:val="22"/>
          <w:lang w:val="sr-Latn-ME" w:eastAsia="ja-JP"/>
        </w:rPr>
      </w:pPr>
      <w:r w:rsidRPr="00611C50">
        <w:rPr>
          <w:sz w:val="22"/>
          <w:szCs w:val="22"/>
          <w:lang w:val="sr-Latn-ME" w:eastAsia="ja-JP"/>
        </w:rPr>
        <w:t>U stanju ravnoteže, srednja koncentracija vemurafeniba u plazmi je stabilna tokom 24-časovnog intervala, kao što je navedeno srednjim odnosom od 1.13 između koncentracije u plazmi prije i 2-4 sata nakon jutarnje doze.</w:t>
      </w:r>
    </w:p>
    <w:p w:rsidR="00806E4F" w:rsidRPr="00611C50" w:rsidRDefault="00806E4F" w:rsidP="00AD0CC1">
      <w:pPr>
        <w:jc w:val="both"/>
        <w:rPr>
          <w:sz w:val="22"/>
          <w:szCs w:val="22"/>
          <w:lang w:val="sr-Latn-ME" w:eastAsia="ja-JP"/>
        </w:rPr>
      </w:pPr>
      <w:r w:rsidRPr="00611C50">
        <w:rPr>
          <w:sz w:val="22"/>
          <w:szCs w:val="22"/>
          <w:lang w:val="sr-Latn-ME" w:eastAsia="ja-JP"/>
        </w:rPr>
        <w:t>Nakon oralne primjene, procjenjuje se da je stepen resorpcije konstantan za populaciju pacijenata sa metastatskim melanomom 0.19 hr</w:t>
      </w:r>
      <w:r w:rsidRPr="00611C50">
        <w:rPr>
          <w:sz w:val="22"/>
          <w:szCs w:val="22"/>
          <w:vertAlign w:val="superscript"/>
          <w:lang w:val="sr-Latn-ME" w:eastAsia="ja-JP"/>
        </w:rPr>
        <w:t>-1</w:t>
      </w:r>
      <w:r w:rsidRPr="00611C50">
        <w:rPr>
          <w:sz w:val="22"/>
          <w:szCs w:val="22"/>
          <w:lang w:val="sr-Latn-ME" w:eastAsia="ja-JP"/>
        </w:rPr>
        <w:t xml:space="preserve"> (sa 101% varijabilnosti između pacijenata).</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u w:val="single"/>
          <w:lang w:val="sr-Latn-ME" w:eastAsia="ja-JP"/>
        </w:rPr>
      </w:pPr>
      <w:r w:rsidRPr="00611C50">
        <w:rPr>
          <w:sz w:val="22"/>
          <w:szCs w:val="22"/>
          <w:u w:val="single"/>
          <w:lang w:val="sr-Latn-ME" w:eastAsia="ja-JP"/>
        </w:rPr>
        <w:t>Distribucija</w:t>
      </w:r>
    </w:p>
    <w:p w:rsidR="00806E4F" w:rsidRPr="00611C50" w:rsidRDefault="00806E4F" w:rsidP="00AD0CC1">
      <w:pPr>
        <w:jc w:val="both"/>
        <w:rPr>
          <w:sz w:val="22"/>
          <w:szCs w:val="22"/>
          <w:lang w:val="sr-Latn-ME" w:eastAsia="ja-JP"/>
        </w:rPr>
      </w:pPr>
      <w:r w:rsidRPr="00611C50">
        <w:rPr>
          <w:sz w:val="22"/>
          <w:szCs w:val="22"/>
          <w:lang w:val="sr-Latn-ME" w:eastAsia="ja-JP"/>
        </w:rPr>
        <w:t xml:space="preserve">Procjenjuje se da je populacioni volumen distribucije vemurafeniba kod pacijenata sa metastatskim melanomom 91 L (sa 64.8% varijabilnosti između pacijenata). </w:t>
      </w:r>
      <w:r w:rsidRPr="00611C50">
        <w:rPr>
          <w:i/>
          <w:sz w:val="22"/>
          <w:szCs w:val="22"/>
          <w:lang w:val="sr-Latn-ME" w:eastAsia="ja-JP"/>
        </w:rPr>
        <w:t>In vitro</w:t>
      </w:r>
      <w:r w:rsidRPr="00611C50">
        <w:rPr>
          <w:sz w:val="22"/>
          <w:szCs w:val="22"/>
          <w:lang w:val="sr-Latn-ME" w:eastAsia="ja-JP"/>
        </w:rPr>
        <w:t xml:space="preserve"> se vemurafenib u velikoj mjeri vezuje za proteine plazme (&gt;99%). </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u w:val="single"/>
          <w:lang w:val="sr-Latn-ME" w:eastAsia="ja-JP"/>
        </w:rPr>
      </w:pPr>
      <w:r w:rsidRPr="00611C50">
        <w:rPr>
          <w:sz w:val="22"/>
          <w:szCs w:val="22"/>
          <w:u w:val="single"/>
          <w:lang w:val="sr-Latn-ME" w:eastAsia="ja-JP"/>
        </w:rPr>
        <w:t xml:space="preserve">Biotransformacija </w:t>
      </w:r>
    </w:p>
    <w:p w:rsidR="00806E4F" w:rsidRPr="00611C50" w:rsidRDefault="00806E4F" w:rsidP="00AD0CC1">
      <w:pPr>
        <w:jc w:val="both"/>
        <w:rPr>
          <w:sz w:val="22"/>
          <w:szCs w:val="22"/>
          <w:lang w:val="sr-Latn-ME" w:eastAsia="ja-JP"/>
        </w:rPr>
      </w:pPr>
      <w:r w:rsidRPr="00611C50">
        <w:rPr>
          <w:sz w:val="22"/>
          <w:szCs w:val="22"/>
          <w:lang w:val="sr-Latn-ME" w:eastAsia="ja-JP"/>
        </w:rPr>
        <w:lastRenderedPageBreak/>
        <w:t>Relativni odnos vemurafeniba i njegovih metabolita procjenjivan je u studiji balansa mase na ljudima, sa pojedinačnom dozom oralno datog</w:t>
      </w:r>
      <w:r w:rsidRPr="00611C50">
        <w:rPr>
          <w:sz w:val="22"/>
          <w:szCs w:val="22"/>
          <w:vertAlign w:val="superscript"/>
          <w:lang w:val="sr-Latn-ME" w:eastAsia="ja-JP"/>
        </w:rPr>
        <w:t xml:space="preserve"> 14</w:t>
      </w:r>
      <w:r w:rsidRPr="00611C50">
        <w:rPr>
          <w:sz w:val="22"/>
          <w:szCs w:val="22"/>
          <w:lang w:val="sr-Latn-ME" w:eastAsia="ja-JP"/>
        </w:rPr>
        <w:t xml:space="preserve">C-markiranog vemurafeniba. CYP3A4 je primarni enzim odgovoran za metabolizam vemurafeniba </w:t>
      </w:r>
      <w:r w:rsidRPr="00611C50">
        <w:rPr>
          <w:i/>
          <w:sz w:val="22"/>
          <w:szCs w:val="22"/>
          <w:lang w:val="sr-Latn-ME" w:eastAsia="ja-JP"/>
        </w:rPr>
        <w:t>in vitro</w:t>
      </w:r>
      <w:r w:rsidRPr="00611C50">
        <w:rPr>
          <w:sz w:val="22"/>
          <w:szCs w:val="22"/>
          <w:lang w:val="sr-Latn-ME" w:eastAsia="ja-JP"/>
        </w:rPr>
        <w:t xml:space="preserve">. Konjugovani metaboliti (glukuronidacija i glikozilacija) takođe su identifikovani kod ljudi. Ipak, predominantno se u plazmi nalazio polazni molekul (95%).  Iako se čini da metabolizam ne dovodi do relevantnih količina metabolita u plazmi, značaj metabolizma za ekskreciju ne može se isključiti. </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u w:val="single"/>
          <w:lang w:val="sr-Latn-ME" w:eastAsia="ja-JP"/>
        </w:rPr>
      </w:pPr>
      <w:r w:rsidRPr="00611C50">
        <w:rPr>
          <w:sz w:val="22"/>
          <w:szCs w:val="22"/>
          <w:u w:val="single"/>
          <w:lang w:val="sr-Latn-ME" w:eastAsia="ja-JP"/>
        </w:rPr>
        <w:t>Eliminacija</w:t>
      </w:r>
    </w:p>
    <w:p w:rsidR="00806E4F" w:rsidRPr="00611C50" w:rsidRDefault="00806E4F" w:rsidP="00AD0CC1">
      <w:pPr>
        <w:jc w:val="both"/>
        <w:rPr>
          <w:sz w:val="22"/>
          <w:szCs w:val="22"/>
          <w:lang w:val="sr-Latn-ME" w:eastAsia="ja-JP"/>
        </w:rPr>
      </w:pPr>
      <w:r w:rsidRPr="00611C50">
        <w:rPr>
          <w:sz w:val="22"/>
          <w:szCs w:val="22"/>
          <w:lang w:val="sr-Latn-ME" w:eastAsia="ja-JP"/>
        </w:rPr>
        <w:t>Procenjuje se da je populacioni klirens vemurafeniba kod pacijenata sa metastatskim melanomom 29.3 L/dan (sa 31.9% varijabilnosti između pacijenata). Populaciono poluvrijeme eliminacije procjenjeno populacionom FK analizom za vemurafenib iznosi 51.6 sati (procjenjuje se da su 5. i 95. percentil opsega za individualno poluvrijeme eliminacije 29.8 – 119.5 sati).</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lang w:val="sr-Latn-ME" w:eastAsia="ja-JP"/>
        </w:rPr>
      </w:pPr>
      <w:r w:rsidRPr="00611C50">
        <w:rPr>
          <w:sz w:val="22"/>
          <w:szCs w:val="22"/>
          <w:lang w:val="sr-Latn-ME" w:eastAsia="ja-JP"/>
        </w:rPr>
        <w:t xml:space="preserve">U studiji balansa tjelesne mase, kod ljudi sa oralno primjenjenim vemurafenibom, prosječno 95% doze se izluči tokom18 dana. Većina materija koji potiče od vemurafeniba (94%) izluči se fecesom, a ˂1% urinom. Čini se da bubrežna ekskrecija nije od značaja za eliminaciju vemurafeniba, dok bilijarna ekskrecija nepromjenjene supstance može biti važan put eliminacije. Vemurafenib je supstrat i inhibitor P-gp </w:t>
      </w:r>
      <w:r w:rsidRPr="00611C50">
        <w:rPr>
          <w:i/>
          <w:sz w:val="22"/>
          <w:szCs w:val="22"/>
          <w:lang w:val="sr-Latn-ME" w:eastAsia="ja-JP"/>
        </w:rPr>
        <w:t>in vitro</w:t>
      </w:r>
      <w:r w:rsidRPr="00611C50">
        <w:rPr>
          <w:sz w:val="22"/>
          <w:szCs w:val="22"/>
          <w:lang w:val="sr-Latn-ME" w:eastAsia="ja-JP"/>
        </w:rPr>
        <w:t xml:space="preserve">.   </w:t>
      </w:r>
    </w:p>
    <w:p w:rsidR="00806E4F" w:rsidRPr="00611C50" w:rsidRDefault="00806E4F" w:rsidP="00AD0CC1">
      <w:pPr>
        <w:jc w:val="both"/>
        <w:rPr>
          <w:sz w:val="22"/>
          <w:szCs w:val="22"/>
          <w:lang w:val="sr-Latn-ME" w:eastAsia="ja-JP"/>
        </w:rPr>
      </w:pPr>
    </w:p>
    <w:p w:rsidR="00806E4F" w:rsidRPr="00611C50" w:rsidRDefault="00806E4F" w:rsidP="00AD0CC1">
      <w:pPr>
        <w:keepNext/>
        <w:jc w:val="both"/>
        <w:rPr>
          <w:sz w:val="22"/>
          <w:szCs w:val="22"/>
          <w:u w:val="single"/>
          <w:lang w:val="sr-Latn-ME" w:eastAsia="ja-JP"/>
        </w:rPr>
      </w:pPr>
      <w:r w:rsidRPr="00611C50">
        <w:rPr>
          <w:sz w:val="22"/>
          <w:szCs w:val="22"/>
          <w:u w:val="single"/>
          <w:lang w:val="sr-Latn-ME" w:eastAsia="ja-JP"/>
        </w:rPr>
        <w:t>Posebne grupe pacijenata</w:t>
      </w:r>
    </w:p>
    <w:p w:rsidR="00806E4F" w:rsidRPr="00611C50" w:rsidRDefault="00806E4F" w:rsidP="00AD0CC1">
      <w:pPr>
        <w:keepNext/>
        <w:jc w:val="both"/>
        <w:rPr>
          <w:i/>
          <w:sz w:val="22"/>
          <w:szCs w:val="22"/>
          <w:lang w:val="sr-Latn-ME" w:eastAsia="ja-JP"/>
        </w:rPr>
      </w:pPr>
    </w:p>
    <w:p w:rsidR="00806E4F" w:rsidRPr="00611C50" w:rsidRDefault="00806E4F" w:rsidP="00AD0CC1">
      <w:pPr>
        <w:keepNext/>
        <w:jc w:val="both"/>
        <w:rPr>
          <w:i/>
          <w:sz w:val="22"/>
          <w:szCs w:val="22"/>
          <w:lang w:val="sr-Latn-ME" w:eastAsia="ja-JP"/>
        </w:rPr>
      </w:pPr>
      <w:r w:rsidRPr="00611C50">
        <w:rPr>
          <w:i/>
          <w:sz w:val="22"/>
          <w:szCs w:val="22"/>
          <w:lang w:val="sr-Latn-ME" w:eastAsia="ja-JP"/>
        </w:rPr>
        <w:t>Stariji</w:t>
      </w:r>
    </w:p>
    <w:p w:rsidR="00806E4F" w:rsidRPr="00611C50" w:rsidRDefault="00806E4F" w:rsidP="00AD0CC1">
      <w:pPr>
        <w:jc w:val="both"/>
        <w:rPr>
          <w:sz w:val="22"/>
          <w:szCs w:val="22"/>
          <w:lang w:val="sr-Latn-ME" w:eastAsia="ja-JP"/>
        </w:rPr>
      </w:pPr>
      <w:r w:rsidRPr="00611C50">
        <w:rPr>
          <w:sz w:val="22"/>
          <w:szCs w:val="22"/>
          <w:lang w:val="sr-Latn-ME" w:eastAsia="ja-JP"/>
        </w:rPr>
        <w:t>Na osnovu populacione FK analize, starost nema statistički značajan efekat na farmakokinetiku vemurafeniba.</w:t>
      </w:r>
    </w:p>
    <w:p w:rsidR="00806E4F" w:rsidRPr="00611C50" w:rsidRDefault="00806E4F" w:rsidP="00AD0CC1">
      <w:pPr>
        <w:jc w:val="both"/>
        <w:rPr>
          <w:sz w:val="22"/>
          <w:szCs w:val="22"/>
          <w:lang w:val="sr-Latn-ME" w:eastAsia="ja-JP"/>
        </w:rPr>
      </w:pPr>
    </w:p>
    <w:p w:rsidR="00806E4F" w:rsidRPr="00611C50" w:rsidRDefault="00806E4F" w:rsidP="00AD0CC1">
      <w:pPr>
        <w:jc w:val="both"/>
        <w:rPr>
          <w:i/>
          <w:sz w:val="22"/>
          <w:szCs w:val="22"/>
          <w:lang w:val="sr-Latn-ME" w:eastAsia="ja-JP"/>
        </w:rPr>
      </w:pPr>
      <w:r w:rsidRPr="00611C50">
        <w:rPr>
          <w:i/>
          <w:sz w:val="22"/>
          <w:szCs w:val="22"/>
          <w:lang w:val="sr-Latn-ME" w:eastAsia="ja-JP"/>
        </w:rPr>
        <w:t>Pol</w:t>
      </w:r>
    </w:p>
    <w:p w:rsidR="00806E4F" w:rsidRPr="00611C50" w:rsidRDefault="00806E4F" w:rsidP="00AD0CC1">
      <w:pPr>
        <w:jc w:val="both"/>
        <w:rPr>
          <w:sz w:val="22"/>
          <w:szCs w:val="22"/>
          <w:lang w:val="sr-Latn-ME" w:eastAsia="ja-JP"/>
        </w:rPr>
      </w:pPr>
      <w:r w:rsidRPr="00611C50">
        <w:rPr>
          <w:sz w:val="22"/>
          <w:szCs w:val="22"/>
          <w:lang w:val="sr-Latn-ME" w:eastAsia="ja-JP"/>
        </w:rPr>
        <w:t>Populaciona farmakokinetička analiza pokazala je da je vidljivi klirens (CL/F) 17% veći, a vidljivi  volumen distribucije (V/F) 48% veći kod muškaraca nego kod žena. Nije jasno da li je u pitanju efekat pola ili veličine tjela. Ipak, razlike u koncentraciji nisu dovoljno velike da opravdaju prilagođavanje doze na osnovu veličine tla ili pola.</w:t>
      </w:r>
    </w:p>
    <w:p w:rsidR="00806E4F" w:rsidRPr="00611C50" w:rsidRDefault="00806E4F" w:rsidP="00AD0CC1">
      <w:pPr>
        <w:jc w:val="both"/>
        <w:rPr>
          <w:sz w:val="22"/>
          <w:szCs w:val="22"/>
          <w:lang w:val="sr-Latn-ME" w:eastAsia="ja-JP"/>
        </w:rPr>
      </w:pPr>
      <w:r w:rsidRPr="00611C50">
        <w:rPr>
          <w:i/>
          <w:sz w:val="22"/>
          <w:szCs w:val="22"/>
          <w:lang w:val="sr-Latn-ME" w:eastAsia="ja-JP"/>
        </w:rPr>
        <w:t xml:space="preserve"> </w:t>
      </w:r>
    </w:p>
    <w:p w:rsidR="00806E4F" w:rsidRPr="00611C50" w:rsidRDefault="00806E4F" w:rsidP="00AD0CC1">
      <w:pPr>
        <w:jc w:val="both"/>
        <w:rPr>
          <w:i/>
          <w:sz w:val="22"/>
          <w:szCs w:val="22"/>
          <w:lang w:val="sr-Latn-ME" w:eastAsia="ja-JP"/>
        </w:rPr>
      </w:pPr>
      <w:r w:rsidRPr="00611C50">
        <w:rPr>
          <w:i/>
          <w:sz w:val="22"/>
          <w:szCs w:val="22"/>
          <w:lang w:val="sr-Latn-ME" w:eastAsia="ja-JP"/>
        </w:rPr>
        <w:t>Oštećenja bubrega</w:t>
      </w:r>
    </w:p>
    <w:p w:rsidR="00806E4F" w:rsidRPr="00611C50" w:rsidRDefault="00806E4F" w:rsidP="00AD0CC1">
      <w:pPr>
        <w:jc w:val="both"/>
        <w:rPr>
          <w:sz w:val="22"/>
          <w:szCs w:val="22"/>
          <w:lang w:val="sr-Latn-ME" w:eastAsia="ja-JP"/>
        </w:rPr>
      </w:pPr>
      <w:r w:rsidRPr="00611C50">
        <w:rPr>
          <w:sz w:val="22"/>
          <w:szCs w:val="22"/>
          <w:lang w:val="sr-Latn-ME" w:eastAsia="ja-JP"/>
        </w:rPr>
        <w:t>U populacionoj farmakokinetičkoj analizi korišćenjem podataka iz kliničkih studija sa pacijentima sa metastatskim melanomom, blago i umjereno oštećenje bubrega nije imalo uticaja na vidljivi klirens vemurafeniba (klirens kreatinina ˃40ml/min). Ne postoje podaci za pacijente sa ozbiljnim oštećenjem bubrega (vidjeti dio 4.2 i 4.4).</w:t>
      </w:r>
    </w:p>
    <w:p w:rsidR="00806E4F" w:rsidRPr="00611C50" w:rsidRDefault="00806E4F" w:rsidP="00AD0CC1">
      <w:pPr>
        <w:jc w:val="both"/>
        <w:rPr>
          <w:sz w:val="22"/>
          <w:szCs w:val="22"/>
          <w:lang w:val="sr-Latn-ME" w:eastAsia="ja-JP"/>
        </w:rPr>
      </w:pPr>
    </w:p>
    <w:p w:rsidR="00806E4F" w:rsidRPr="00611C50" w:rsidRDefault="00806E4F" w:rsidP="00AD0CC1">
      <w:pPr>
        <w:jc w:val="both"/>
        <w:rPr>
          <w:bCs/>
          <w:i/>
          <w:sz w:val="22"/>
          <w:szCs w:val="22"/>
          <w:lang w:val="sr-Latn-ME" w:eastAsia="ja-JP"/>
        </w:rPr>
      </w:pPr>
      <w:r w:rsidRPr="00611C50">
        <w:rPr>
          <w:bCs/>
          <w:i/>
          <w:sz w:val="22"/>
          <w:szCs w:val="22"/>
          <w:lang w:val="sr-Latn-ME" w:eastAsia="ja-JP"/>
        </w:rPr>
        <w:t>Oštećenje jetre</w:t>
      </w:r>
    </w:p>
    <w:p w:rsidR="00806E4F" w:rsidRPr="00611C50" w:rsidRDefault="00806E4F" w:rsidP="00AD0CC1">
      <w:pPr>
        <w:jc w:val="both"/>
        <w:rPr>
          <w:sz w:val="22"/>
          <w:szCs w:val="22"/>
          <w:lang w:val="sr-Latn-ME" w:eastAsia="ja-JP"/>
        </w:rPr>
      </w:pPr>
      <w:r w:rsidRPr="00611C50">
        <w:rPr>
          <w:sz w:val="22"/>
          <w:szCs w:val="22"/>
          <w:lang w:val="sr-Latn-ME" w:eastAsia="ja-JP"/>
        </w:rPr>
        <w:t xml:space="preserve">Na osnovu pretkliničkih podataka i studije balansa tjelesne mase, najveći deo vemurafeniba se eliminiše preko jetre. U populacionoj farmakokinetičkoj analizi korišćenjem podataka iz kliničkih studija sa pacijentima sa metastatskim melanomom, povećanja ALT i AST do tri puta u odnosu na gornju granicu nije imalo uticaja na  vidljivi klirens vemurafeniba. Podaci nisu dovoljni da se procjeni efekat metaboličkih ili ekskretornih hepatičkih oštećenja na farmakokinetiku vemurafeniba (vidjeti dio 4.2 i 4.4). </w:t>
      </w:r>
    </w:p>
    <w:p w:rsidR="00806E4F" w:rsidRPr="00611C50" w:rsidRDefault="00806E4F" w:rsidP="00AD0CC1">
      <w:pPr>
        <w:jc w:val="both"/>
        <w:rPr>
          <w:sz w:val="22"/>
          <w:szCs w:val="22"/>
          <w:lang w:val="sr-Latn-ME" w:eastAsia="ja-JP"/>
        </w:rPr>
      </w:pPr>
    </w:p>
    <w:p w:rsidR="00806E4F" w:rsidRPr="00611C50" w:rsidRDefault="00806E4F" w:rsidP="00AD0CC1">
      <w:pPr>
        <w:jc w:val="both"/>
        <w:rPr>
          <w:i/>
          <w:sz w:val="22"/>
          <w:szCs w:val="22"/>
          <w:lang w:val="sr-Latn-ME" w:eastAsia="ja-JP"/>
        </w:rPr>
      </w:pPr>
      <w:r w:rsidRPr="00611C50">
        <w:rPr>
          <w:i/>
          <w:sz w:val="22"/>
          <w:szCs w:val="22"/>
          <w:lang w:val="sr-Latn-ME" w:eastAsia="ja-JP"/>
        </w:rPr>
        <w:t>Pedijatrijski pacijenti</w:t>
      </w:r>
    </w:p>
    <w:p w:rsidR="0072020E" w:rsidRPr="00611C50" w:rsidRDefault="00806E4F" w:rsidP="00AD0CC1">
      <w:pPr>
        <w:tabs>
          <w:tab w:val="left" w:pos="540"/>
          <w:tab w:val="left" w:pos="569"/>
        </w:tabs>
        <w:jc w:val="both"/>
        <w:rPr>
          <w:sz w:val="22"/>
          <w:szCs w:val="22"/>
          <w:lang w:val="sr-Latn-ME" w:eastAsia="ja-JP"/>
        </w:rPr>
      </w:pPr>
      <w:r w:rsidRPr="00611C50">
        <w:rPr>
          <w:sz w:val="22"/>
          <w:szCs w:val="22"/>
          <w:lang w:val="sr-Latn-ME" w:eastAsia="ja-JP"/>
        </w:rPr>
        <w:t>Ograničeni farmakokinetički podaci prikupljeni kod šest adolescentnih pacijenata uzrasta između 15 i 17 godina sa melanomom stadija IIIC ili IV sa pozitivniom na BRAF mutacijuom V600 ukazuju na to da su farmakokinetičke karakteristike vemurafeniba kod adolescenata u načelu slične onima kod odraslih. Vidjeti dio 4.2 za informacije o pedijatrijskoj primjeni.</w:t>
      </w:r>
    </w:p>
    <w:p w:rsidR="00806E4F" w:rsidRPr="00611C50" w:rsidRDefault="00806E4F" w:rsidP="00AD0CC1">
      <w:pPr>
        <w:tabs>
          <w:tab w:val="left" w:pos="540"/>
          <w:tab w:val="left" w:pos="569"/>
        </w:tabs>
        <w:jc w:val="both"/>
        <w:rPr>
          <w:bCs/>
          <w:sz w:val="22"/>
          <w:szCs w:val="22"/>
          <w:lang w:val="sr-Latn-ME"/>
        </w:rPr>
      </w:pPr>
    </w:p>
    <w:p w:rsidR="0072020E" w:rsidRPr="00611C50" w:rsidRDefault="0072020E" w:rsidP="00AD0CC1">
      <w:pPr>
        <w:tabs>
          <w:tab w:val="left" w:pos="540"/>
          <w:tab w:val="left" w:pos="569"/>
        </w:tabs>
        <w:jc w:val="both"/>
        <w:rPr>
          <w:b/>
          <w:bCs/>
          <w:sz w:val="22"/>
          <w:szCs w:val="22"/>
          <w:lang w:val="sr-Latn-ME"/>
        </w:rPr>
      </w:pPr>
      <w:r w:rsidRPr="00611C50">
        <w:rPr>
          <w:b/>
          <w:bCs/>
          <w:sz w:val="22"/>
          <w:szCs w:val="22"/>
          <w:lang w:val="sr-Latn-ME"/>
        </w:rPr>
        <w:t xml:space="preserve">5.3. </w:t>
      </w:r>
      <w:r w:rsidR="00480FB1" w:rsidRPr="00611C50">
        <w:rPr>
          <w:b/>
          <w:bCs/>
          <w:sz w:val="22"/>
          <w:szCs w:val="22"/>
          <w:lang w:val="sr-Latn-ME"/>
        </w:rPr>
        <w:tab/>
      </w:r>
      <w:r w:rsidRPr="00611C50">
        <w:rPr>
          <w:b/>
          <w:bCs/>
          <w:sz w:val="22"/>
          <w:szCs w:val="22"/>
          <w:lang w:val="sr-Latn-ME"/>
        </w:rPr>
        <w:t xml:space="preserve">Pretklinički podaci o bezbjednosti </w:t>
      </w:r>
    </w:p>
    <w:p w:rsidR="00836B35" w:rsidRPr="00611C50" w:rsidRDefault="00836B35" w:rsidP="00AD0CC1">
      <w:pPr>
        <w:tabs>
          <w:tab w:val="left" w:pos="540"/>
          <w:tab w:val="left" w:pos="569"/>
        </w:tabs>
        <w:jc w:val="both"/>
        <w:rPr>
          <w:bCs/>
          <w:sz w:val="22"/>
          <w:szCs w:val="22"/>
          <w:lang w:val="sr-Latn-ME"/>
        </w:rPr>
      </w:pPr>
    </w:p>
    <w:p w:rsidR="00806E4F" w:rsidRPr="00611C50" w:rsidRDefault="00806E4F" w:rsidP="00AD0CC1">
      <w:pPr>
        <w:jc w:val="both"/>
        <w:rPr>
          <w:sz w:val="22"/>
          <w:szCs w:val="22"/>
          <w:lang w:val="sr-Latn-ME" w:eastAsia="ja-JP"/>
        </w:rPr>
      </w:pPr>
      <w:r w:rsidRPr="00611C50">
        <w:rPr>
          <w:sz w:val="22"/>
          <w:szCs w:val="22"/>
          <w:lang w:val="sr-Latn-ME" w:eastAsia="ja-JP"/>
        </w:rPr>
        <w:t xml:space="preserve">Pretklinički bezbjedonosni profil vemurafeniba procjenjivan je na pacovima, psima i zečevima.  </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lang w:val="sr-Latn-ME" w:eastAsia="ja-JP"/>
        </w:rPr>
      </w:pPr>
      <w:r w:rsidRPr="00611C50">
        <w:rPr>
          <w:sz w:val="22"/>
          <w:szCs w:val="22"/>
          <w:lang w:val="sr-Latn-ME" w:eastAsia="ja-JP"/>
        </w:rPr>
        <w:t xml:space="preserve">Toksikološke studije ponovljenih doza identifikovale su jetru i kostnu srž kao ciljne organe kod pasa. Reverzibilni toksični efekti (hepatocelularna nekroza i degeneracija) na jetru pri koncentracijama ispod </w:t>
      </w:r>
      <w:r w:rsidRPr="00611C50">
        <w:rPr>
          <w:sz w:val="22"/>
          <w:szCs w:val="22"/>
          <w:lang w:val="sr-Latn-ME" w:eastAsia="ja-JP"/>
        </w:rPr>
        <w:lastRenderedPageBreak/>
        <w:t xml:space="preserve">anticipirane kliničke koncentracije (na osnovu poređenja PIK) zabilježeni su u 13-nedjeljnoj studiji na psima. Fokalna nekroza kostne srži zabilježena je kod jednog psa u prijevremeno završenoj 39-nedjeljnoj studiji primjene lijeka dva puta dnevno na psima, pri koncentracijama sličnim anticipiranim kliničkim koncentracijama (na osnovu poređenja PIK). U </w:t>
      </w:r>
      <w:r w:rsidRPr="00611C50">
        <w:rPr>
          <w:i/>
          <w:sz w:val="22"/>
          <w:szCs w:val="22"/>
          <w:lang w:val="sr-Latn-ME" w:eastAsia="ja-JP"/>
        </w:rPr>
        <w:t>in vitro</w:t>
      </w:r>
      <w:r w:rsidRPr="00611C50">
        <w:rPr>
          <w:sz w:val="22"/>
          <w:szCs w:val="22"/>
          <w:lang w:val="sr-Latn-ME" w:eastAsia="ja-JP"/>
        </w:rPr>
        <w:t xml:space="preserve"> studiji citotoksičnosti na kostnu srž, blaga citotoksičnost primjećena je kod nekih limfo-hematopoetskih ćelijskih populacija kod pacova, pasa i ljudi u klinički relevantnim koncentracijama. </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lang w:val="sr-Latn-ME" w:eastAsia="ja-JP"/>
        </w:rPr>
      </w:pPr>
      <w:r w:rsidRPr="00611C50">
        <w:rPr>
          <w:sz w:val="22"/>
          <w:szCs w:val="22"/>
          <w:lang w:val="sr-Latn-ME" w:eastAsia="ja-JP"/>
        </w:rPr>
        <w:t xml:space="preserve">Vemurafenib je ispoljio fototoksičnost, </w:t>
      </w:r>
      <w:r w:rsidRPr="00611C50">
        <w:rPr>
          <w:i/>
          <w:sz w:val="22"/>
          <w:szCs w:val="22"/>
          <w:lang w:val="sr-Latn-ME" w:eastAsia="ja-JP"/>
        </w:rPr>
        <w:t>in vitro</w:t>
      </w:r>
      <w:r w:rsidRPr="00611C50">
        <w:rPr>
          <w:sz w:val="22"/>
          <w:szCs w:val="22"/>
          <w:lang w:val="sr-Latn-ME" w:eastAsia="ja-JP"/>
        </w:rPr>
        <w:t xml:space="preserve">, na kulturi murino fibroblasta nakon UVA zračenja, ali ne i </w:t>
      </w:r>
      <w:r w:rsidRPr="00611C50">
        <w:rPr>
          <w:i/>
          <w:sz w:val="22"/>
          <w:szCs w:val="22"/>
          <w:lang w:val="sr-Latn-ME" w:eastAsia="ja-JP"/>
        </w:rPr>
        <w:t>in vivo</w:t>
      </w:r>
      <w:r w:rsidRPr="00611C50">
        <w:rPr>
          <w:sz w:val="22"/>
          <w:szCs w:val="22"/>
          <w:lang w:val="sr-Latn-ME" w:eastAsia="ja-JP"/>
        </w:rPr>
        <w:t xml:space="preserve"> u studiji na pacovima u dozi do 450 mg/kg/dan (pri koncentracijama ispod anticipirane kliničke koncentracije (na osnovu poređenja PIK).</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lang w:val="sr-Latn-ME" w:eastAsia="ja-JP"/>
        </w:rPr>
      </w:pPr>
      <w:r w:rsidRPr="00611C50">
        <w:rPr>
          <w:sz w:val="22"/>
          <w:szCs w:val="22"/>
          <w:lang w:val="sr-Latn-ME" w:eastAsia="ja-JP"/>
        </w:rPr>
        <w:t>Nisu sprovođene specifične studije na životinjama sa vemurafenibom u cilju procjene uticaja  na fertilitet. Ipak, u toksikološkim studijama ponovljenih doza nisu nađeni histopatološki nalazi na reproduktivnim organima kod mužjaka i ženki pacova i pasa u dozama do 450 mg/kg/dan (pri koncentracijama ispod anticipirane kliničke koncentracije na osnovu poređenja PIK). Nije zabilježena teratogenost u studijama embriofetalnog razvoja kod pacova i zečeva u dozama do respektivno 250 mg/kg/dan i 450 mg/kg/dan koje dovode do koncentracija ispod anticipirane kliničke koncentracije (na osnovu poređenja PIK). Ipak, koncentracije u studijama embriofetalnog razvoja bile su ispod kliničkih koncentracija na osnovu poređenja PIK, pa je stoga teško definisati u kojoj mjeri ovi rezultati mogu biti ekstrapolirani na ljude. Stoga efekat vemurafeniba na fetus ne može biti isključen. Studije prije- i postnatalnog razvoja nisu sprovođene.</w:t>
      </w:r>
    </w:p>
    <w:p w:rsidR="00806E4F" w:rsidRPr="00611C50" w:rsidRDefault="00806E4F" w:rsidP="00AD0CC1">
      <w:pPr>
        <w:jc w:val="both"/>
        <w:rPr>
          <w:sz w:val="22"/>
          <w:szCs w:val="22"/>
          <w:lang w:val="sr-Latn-ME" w:eastAsia="ja-JP"/>
        </w:rPr>
      </w:pPr>
      <w:r w:rsidRPr="00611C50">
        <w:rPr>
          <w:sz w:val="22"/>
          <w:szCs w:val="22"/>
          <w:lang w:val="sr-Latn-ME" w:eastAsia="ja-JP"/>
        </w:rPr>
        <w:t xml:space="preserve">  </w:t>
      </w:r>
    </w:p>
    <w:p w:rsidR="00806E4F" w:rsidRPr="00611C50" w:rsidRDefault="00806E4F" w:rsidP="00AD0CC1">
      <w:pPr>
        <w:jc w:val="both"/>
        <w:rPr>
          <w:sz w:val="22"/>
          <w:szCs w:val="22"/>
          <w:lang w:val="sr-Latn-ME" w:eastAsia="ja-JP"/>
        </w:rPr>
      </w:pPr>
      <w:r w:rsidRPr="00611C50">
        <w:rPr>
          <w:sz w:val="22"/>
          <w:szCs w:val="22"/>
          <w:lang w:val="sr-Latn-ME" w:eastAsia="ja-JP"/>
        </w:rPr>
        <w:t xml:space="preserve">Znaci genotoksičnosti nisu nađeni u </w:t>
      </w:r>
      <w:r w:rsidRPr="00611C50">
        <w:rPr>
          <w:i/>
          <w:sz w:val="22"/>
          <w:szCs w:val="22"/>
          <w:lang w:val="sr-Latn-ME" w:eastAsia="ja-JP"/>
        </w:rPr>
        <w:t>in vitro</w:t>
      </w:r>
      <w:r w:rsidRPr="00611C50">
        <w:rPr>
          <w:sz w:val="22"/>
          <w:szCs w:val="22"/>
          <w:lang w:val="sr-Latn-ME" w:eastAsia="ja-JP"/>
        </w:rPr>
        <w:t xml:space="preserve"> testovima (bakterijska mutacija [AMES test], aberacija humanih limfocitnih hromozoma), niti u </w:t>
      </w:r>
      <w:r w:rsidRPr="00611C50">
        <w:rPr>
          <w:i/>
          <w:sz w:val="22"/>
          <w:szCs w:val="22"/>
          <w:lang w:val="sr-Latn-ME" w:eastAsia="ja-JP"/>
        </w:rPr>
        <w:t>in vivo</w:t>
      </w:r>
      <w:r w:rsidRPr="00611C50">
        <w:rPr>
          <w:sz w:val="22"/>
          <w:szCs w:val="22"/>
          <w:lang w:val="sr-Latn-ME" w:eastAsia="ja-JP"/>
        </w:rPr>
        <w:t xml:space="preserve"> mikronucleus testu kostne srži pacova sprovedenom sa vemurafenibom. </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lang w:val="sr-Latn-ME" w:eastAsia="ja-JP"/>
        </w:rPr>
      </w:pPr>
      <w:r w:rsidRPr="00611C50">
        <w:rPr>
          <w:sz w:val="22"/>
          <w:szCs w:val="22"/>
          <w:lang w:val="sr-Latn-ME" w:eastAsia="ja-JP"/>
        </w:rPr>
        <w:t>Studije karcinogenosti nisu sprovođene sa vemurafenibom.</w:t>
      </w:r>
    </w:p>
    <w:p w:rsidR="00396DFD" w:rsidRPr="00611C50" w:rsidRDefault="00396DFD" w:rsidP="00AD0CC1">
      <w:pPr>
        <w:tabs>
          <w:tab w:val="left" w:pos="540"/>
          <w:tab w:val="left" w:pos="569"/>
        </w:tabs>
        <w:jc w:val="both"/>
        <w:rPr>
          <w:b/>
          <w:bCs/>
          <w:sz w:val="22"/>
          <w:szCs w:val="22"/>
          <w:lang w:val="sr-Latn-ME"/>
        </w:rPr>
      </w:pPr>
    </w:p>
    <w:p w:rsidR="0026073F" w:rsidRPr="00611C50" w:rsidRDefault="0026073F" w:rsidP="00AD0CC1">
      <w:pPr>
        <w:tabs>
          <w:tab w:val="left" w:pos="540"/>
          <w:tab w:val="left" w:pos="569"/>
        </w:tabs>
        <w:jc w:val="both"/>
        <w:rPr>
          <w:b/>
          <w:bCs/>
          <w:sz w:val="22"/>
          <w:szCs w:val="22"/>
          <w:lang w:val="sr-Latn-ME"/>
        </w:rPr>
      </w:pPr>
    </w:p>
    <w:p w:rsidR="0072020E" w:rsidRPr="00611C50" w:rsidRDefault="0072020E" w:rsidP="00AD0CC1">
      <w:pPr>
        <w:tabs>
          <w:tab w:val="left" w:pos="540"/>
          <w:tab w:val="left" w:pos="569"/>
        </w:tabs>
        <w:jc w:val="both"/>
        <w:rPr>
          <w:b/>
          <w:bCs/>
          <w:sz w:val="22"/>
          <w:szCs w:val="22"/>
          <w:lang w:val="sr-Latn-ME"/>
        </w:rPr>
      </w:pPr>
      <w:r w:rsidRPr="00611C50">
        <w:rPr>
          <w:b/>
          <w:bCs/>
          <w:sz w:val="22"/>
          <w:szCs w:val="22"/>
          <w:lang w:val="sr-Latn-ME"/>
        </w:rPr>
        <w:t xml:space="preserve">6. </w:t>
      </w:r>
      <w:r w:rsidR="00480FB1" w:rsidRPr="00611C50">
        <w:rPr>
          <w:b/>
          <w:bCs/>
          <w:sz w:val="22"/>
          <w:szCs w:val="22"/>
          <w:lang w:val="sr-Latn-ME"/>
        </w:rPr>
        <w:tab/>
      </w:r>
      <w:r w:rsidRPr="00611C50">
        <w:rPr>
          <w:b/>
          <w:bCs/>
          <w:sz w:val="22"/>
          <w:szCs w:val="22"/>
          <w:lang w:val="sr-Latn-ME"/>
        </w:rPr>
        <w:t>FARMACEUTSKI PODACI</w:t>
      </w:r>
    </w:p>
    <w:p w:rsidR="00836B35" w:rsidRPr="00611C50" w:rsidRDefault="00836B35" w:rsidP="00AD0CC1">
      <w:pPr>
        <w:tabs>
          <w:tab w:val="left" w:pos="540"/>
          <w:tab w:val="left" w:pos="569"/>
        </w:tabs>
        <w:jc w:val="both"/>
        <w:rPr>
          <w:bCs/>
          <w:sz w:val="22"/>
          <w:szCs w:val="22"/>
          <w:lang w:val="sr-Latn-ME"/>
        </w:rPr>
      </w:pPr>
    </w:p>
    <w:p w:rsidR="0072020E" w:rsidRPr="00611C50" w:rsidRDefault="0072020E" w:rsidP="00AD0CC1">
      <w:pPr>
        <w:tabs>
          <w:tab w:val="left" w:pos="540"/>
          <w:tab w:val="left" w:pos="569"/>
        </w:tabs>
        <w:jc w:val="both"/>
        <w:rPr>
          <w:b/>
          <w:bCs/>
          <w:sz w:val="22"/>
          <w:szCs w:val="22"/>
          <w:lang w:val="sr-Latn-ME"/>
        </w:rPr>
      </w:pPr>
      <w:r w:rsidRPr="00611C50">
        <w:rPr>
          <w:b/>
          <w:bCs/>
          <w:sz w:val="22"/>
          <w:szCs w:val="22"/>
          <w:lang w:val="sr-Latn-ME"/>
        </w:rPr>
        <w:t xml:space="preserve">6.1. </w:t>
      </w:r>
      <w:r w:rsidR="00480FB1" w:rsidRPr="00611C50">
        <w:rPr>
          <w:b/>
          <w:bCs/>
          <w:sz w:val="22"/>
          <w:szCs w:val="22"/>
          <w:lang w:val="sr-Latn-ME"/>
        </w:rPr>
        <w:tab/>
      </w:r>
      <w:r w:rsidRPr="00611C50">
        <w:rPr>
          <w:b/>
          <w:bCs/>
          <w:sz w:val="22"/>
          <w:szCs w:val="22"/>
          <w:lang w:val="sr-Latn-ME"/>
        </w:rPr>
        <w:t>Lista pomoćnih supstanci</w:t>
      </w:r>
      <w:r w:rsidR="002E0135" w:rsidRPr="00611C50">
        <w:rPr>
          <w:b/>
          <w:bCs/>
          <w:sz w:val="22"/>
          <w:szCs w:val="22"/>
          <w:lang w:val="sr-Latn-ME"/>
        </w:rPr>
        <w:t xml:space="preserve"> (ekscipijenasa)</w:t>
      </w:r>
    </w:p>
    <w:p w:rsidR="0072020E" w:rsidRPr="00611C50" w:rsidRDefault="0072020E" w:rsidP="00AD0CC1">
      <w:pPr>
        <w:tabs>
          <w:tab w:val="left" w:pos="540"/>
          <w:tab w:val="left" w:pos="569"/>
        </w:tabs>
        <w:jc w:val="both"/>
        <w:rPr>
          <w:bCs/>
          <w:sz w:val="22"/>
          <w:szCs w:val="22"/>
          <w:lang w:val="sr-Latn-ME"/>
        </w:rPr>
      </w:pPr>
    </w:p>
    <w:p w:rsidR="00806E4F" w:rsidRPr="00611C50" w:rsidRDefault="00806E4F" w:rsidP="00AD0CC1">
      <w:pPr>
        <w:jc w:val="both"/>
        <w:rPr>
          <w:sz w:val="22"/>
          <w:szCs w:val="22"/>
          <w:u w:val="single"/>
          <w:lang w:val="sr-Latn-ME" w:eastAsia="ja-JP"/>
        </w:rPr>
      </w:pPr>
      <w:r w:rsidRPr="00611C50">
        <w:rPr>
          <w:sz w:val="22"/>
          <w:szCs w:val="22"/>
          <w:u w:val="single"/>
          <w:lang w:val="sr-Latn-ME" w:eastAsia="ja-JP"/>
        </w:rPr>
        <w:t>Jezgro tablete</w:t>
      </w:r>
    </w:p>
    <w:p w:rsidR="00806E4F" w:rsidRPr="00611C50" w:rsidRDefault="00806E4F" w:rsidP="00AD0CC1">
      <w:pPr>
        <w:jc w:val="both"/>
        <w:rPr>
          <w:sz w:val="22"/>
          <w:szCs w:val="22"/>
          <w:lang w:val="sr-Latn-ME" w:eastAsia="ja-JP"/>
        </w:rPr>
      </w:pPr>
      <w:r w:rsidRPr="00611C50">
        <w:rPr>
          <w:sz w:val="22"/>
          <w:szCs w:val="22"/>
          <w:lang w:val="sr-Latn-ME" w:eastAsia="ja-JP"/>
        </w:rPr>
        <w:t>Kroskarmeloza natrijum</w:t>
      </w:r>
    </w:p>
    <w:p w:rsidR="00806E4F" w:rsidRPr="00611C50" w:rsidRDefault="00806E4F" w:rsidP="00AD0CC1">
      <w:pPr>
        <w:jc w:val="both"/>
        <w:rPr>
          <w:sz w:val="22"/>
          <w:szCs w:val="22"/>
          <w:lang w:val="sr-Latn-ME" w:eastAsia="ja-JP"/>
        </w:rPr>
      </w:pPr>
      <w:r w:rsidRPr="00611C50">
        <w:rPr>
          <w:sz w:val="22"/>
          <w:szCs w:val="22"/>
          <w:lang w:val="sr-Latn-ME" w:eastAsia="ja-JP"/>
        </w:rPr>
        <w:t xml:space="preserve">Silicijum dioksid,  koloidni, </w:t>
      </w:r>
      <w:r w:rsidR="00E33CE6">
        <w:rPr>
          <w:sz w:val="22"/>
          <w:szCs w:val="22"/>
          <w:lang w:val="sr-Latn-ME" w:eastAsia="ja-JP"/>
        </w:rPr>
        <w:t>bezvodn</w:t>
      </w:r>
      <w:r w:rsidRPr="00611C50">
        <w:rPr>
          <w:sz w:val="22"/>
          <w:szCs w:val="22"/>
          <w:lang w:val="sr-Latn-ME" w:eastAsia="ja-JP"/>
        </w:rPr>
        <w:t>i</w:t>
      </w:r>
    </w:p>
    <w:p w:rsidR="00806E4F" w:rsidRPr="00611C50" w:rsidRDefault="00806E4F" w:rsidP="00AD0CC1">
      <w:pPr>
        <w:jc w:val="both"/>
        <w:rPr>
          <w:sz w:val="22"/>
          <w:szCs w:val="22"/>
          <w:lang w:val="sr-Latn-ME" w:eastAsia="ja-JP"/>
        </w:rPr>
      </w:pPr>
      <w:r w:rsidRPr="00611C50">
        <w:rPr>
          <w:sz w:val="22"/>
          <w:szCs w:val="22"/>
          <w:lang w:val="sr-Latn-ME" w:eastAsia="ja-JP"/>
        </w:rPr>
        <w:t>Magnezijum stearat</w:t>
      </w:r>
    </w:p>
    <w:p w:rsidR="00806E4F" w:rsidRPr="00611C50" w:rsidRDefault="00806E4F" w:rsidP="00AD0CC1">
      <w:pPr>
        <w:jc w:val="both"/>
        <w:rPr>
          <w:sz w:val="22"/>
          <w:szCs w:val="22"/>
          <w:lang w:val="sr-Latn-ME" w:eastAsia="ja-JP"/>
        </w:rPr>
      </w:pPr>
      <w:r w:rsidRPr="00611C50">
        <w:rPr>
          <w:sz w:val="22"/>
          <w:szCs w:val="22"/>
          <w:lang w:val="sr-Latn-ME" w:eastAsia="ja-JP"/>
        </w:rPr>
        <w:t>Hidrokspropilceluloza</w:t>
      </w:r>
    </w:p>
    <w:p w:rsidR="00806E4F" w:rsidRPr="00611C50" w:rsidRDefault="00806E4F" w:rsidP="00AD0CC1">
      <w:pPr>
        <w:jc w:val="both"/>
        <w:rPr>
          <w:sz w:val="22"/>
          <w:szCs w:val="22"/>
          <w:lang w:val="sr-Latn-ME" w:eastAsia="ja-JP"/>
        </w:rPr>
      </w:pPr>
    </w:p>
    <w:p w:rsidR="00806E4F" w:rsidRPr="00611C50" w:rsidRDefault="00806E4F" w:rsidP="00AD0CC1">
      <w:pPr>
        <w:jc w:val="both"/>
        <w:rPr>
          <w:sz w:val="22"/>
          <w:szCs w:val="22"/>
          <w:u w:val="single"/>
          <w:lang w:val="sr-Latn-ME" w:eastAsia="ja-JP"/>
        </w:rPr>
      </w:pPr>
      <w:r w:rsidRPr="00611C50">
        <w:rPr>
          <w:sz w:val="22"/>
          <w:szCs w:val="22"/>
          <w:u w:val="single"/>
          <w:lang w:val="sr-Latn-ME" w:eastAsia="ja-JP"/>
        </w:rPr>
        <w:t>Film obloga</w:t>
      </w:r>
    </w:p>
    <w:p w:rsidR="00806E4F" w:rsidRPr="00611C50" w:rsidRDefault="00806E4F" w:rsidP="00AD0CC1">
      <w:pPr>
        <w:jc w:val="both"/>
        <w:rPr>
          <w:sz w:val="22"/>
          <w:szCs w:val="22"/>
          <w:lang w:val="sr-Latn-ME" w:eastAsia="ja-JP"/>
        </w:rPr>
      </w:pPr>
      <w:r w:rsidRPr="00611C50">
        <w:rPr>
          <w:sz w:val="22"/>
          <w:szCs w:val="22"/>
          <w:lang w:val="sr-Latn-ME" w:eastAsia="ja-JP"/>
        </w:rPr>
        <w:t>Polivinil alkohol</w:t>
      </w:r>
    </w:p>
    <w:p w:rsidR="00806E4F" w:rsidRPr="00611C50" w:rsidRDefault="00806E4F" w:rsidP="00AD0CC1">
      <w:pPr>
        <w:jc w:val="both"/>
        <w:rPr>
          <w:sz w:val="22"/>
          <w:szCs w:val="22"/>
          <w:lang w:val="sr-Latn-ME" w:eastAsia="ja-JP"/>
        </w:rPr>
      </w:pPr>
      <w:r w:rsidRPr="00611C50">
        <w:rPr>
          <w:sz w:val="22"/>
          <w:szCs w:val="22"/>
          <w:lang w:val="sr-Latn-ME" w:eastAsia="ja-JP"/>
        </w:rPr>
        <w:t>Titan dioksid (E171)</w:t>
      </w:r>
    </w:p>
    <w:p w:rsidR="00806E4F" w:rsidRPr="00611C50" w:rsidRDefault="00806E4F" w:rsidP="00AD0CC1">
      <w:pPr>
        <w:jc w:val="both"/>
        <w:rPr>
          <w:sz w:val="22"/>
          <w:szCs w:val="22"/>
          <w:lang w:val="sr-Latn-ME" w:eastAsia="ja-JP"/>
        </w:rPr>
      </w:pPr>
      <w:r w:rsidRPr="00611C50">
        <w:rPr>
          <w:sz w:val="22"/>
          <w:szCs w:val="22"/>
          <w:lang w:val="sr-Latn-ME" w:eastAsia="ja-JP"/>
        </w:rPr>
        <w:t>Makrogol 3350</w:t>
      </w:r>
    </w:p>
    <w:p w:rsidR="00806E4F" w:rsidRPr="00611C50" w:rsidRDefault="00806E4F" w:rsidP="00AD0CC1">
      <w:pPr>
        <w:jc w:val="both"/>
        <w:rPr>
          <w:sz w:val="22"/>
          <w:szCs w:val="22"/>
          <w:lang w:val="sr-Latn-ME" w:eastAsia="ja-JP"/>
        </w:rPr>
      </w:pPr>
      <w:r w:rsidRPr="00611C50">
        <w:rPr>
          <w:sz w:val="22"/>
          <w:szCs w:val="22"/>
          <w:lang w:val="sr-Latn-ME" w:eastAsia="ja-JP"/>
        </w:rPr>
        <w:t>Talk</w:t>
      </w:r>
    </w:p>
    <w:p w:rsidR="00806E4F" w:rsidRPr="00611C50" w:rsidRDefault="00E33CE6" w:rsidP="00AD0CC1">
      <w:pPr>
        <w:jc w:val="both"/>
        <w:rPr>
          <w:iCs/>
          <w:sz w:val="22"/>
          <w:szCs w:val="22"/>
          <w:lang w:val="sr-Latn-ME" w:eastAsia="ja-JP"/>
        </w:rPr>
      </w:pPr>
      <w:r>
        <w:rPr>
          <w:sz w:val="22"/>
          <w:szCs w:val="22"/>
          <w:lang w:val="sr-Latn-ME" w:eastAsia="ja-JP"/>
        </w:rPr>
        <w:t>G</w:t>
      </w:r>
      <w:r w:rsidR="00806E4F" w:rsidRPr="00611C50">
        <w:rPr>
          <w:sz w:val="22"/>
          <w:szCs w:val="22"/>
          <w:lang w:val="sr-Latn-ME" w:eastAsia="ja-JP"/>
        </w:rPr>
        <w:t>vožđe oksid</w:t>
      </w:r>
      <w:r>
        <w:rPr>
          <w:sz w:val="22"/>
          <w:szCs w:val="22"/>
          <w:lang w:val="sr-Latn-ME" w:eastAsia="ja-JP"/>
        </w:rPr>
        <w:t>, crveni</w:t>
      </w:r>
      <w:r w:rsidR="00806E4F" w:rsidRPr="00611C50">
        <w:rPr>
          <w:sz w:val="22"/>
          <w:szCs w:val="22"/>
          <w:lang w:val="sr-Latn-ME" w:eastAsia="ja-JP"/>
        </w:rPr>
        <w:t xml:space="preserve"> (E172)</w:t>
      </w:r>
    </w:p>
    <w:p w:rsidR="00806E4F" w:rsidRPr="00611C50" w:rsidRDefault="00806E4F" w:rsidP="00AD0CC1">
      <w:pPr>
        <w:tabs>
          <w:tab w:val="left" w:pos="540"/>
          <w:tab w:val="left" w:pos="569"/>
        </w:tabs>
        <w:jc w:val="both"/>
        <w:rPr>
          <w:bCs/>
          <w:sz w:val="22"/>
          <w:szCs w:val="22"/>
          <w:lang w:val="sr-Latn-ME"/>
        </w:rPr>
      </w:pPr>
    </w:p>
    <w:p w:rsidR="0072020E" w:rsidRPr="00611C50" w:rsidRDefault="0072020E" w:rsidP="00AD0CC1">
      <w:pPr>
        <w:tabs>
          <w:tab w:val="left" w:pos="540"/>
          <w:tab w:val="left" w:pos="569"/>
        </w:tabs>
        <w:jc w:val="both"/>
        <w:rPr>
          <w:b/>
          <w:bCs/>
          <w:sz w:val="22"/>
          <w:szCs w:val="22"/>
          <w:lang w:val="sr-Latn-ME"/>
        </w:rPr>
      </w:pPr>
      <w:r w:rsidRPr="00611C50">
        <w:rPr>
          <w:b/>
          <w:bCs/>
          <w:sz w:val="22"/>
          <w:szCs w:val="22"/>
          <w:lang w:val="sr-Latn-ME"/>
        </w:rPr>
        <w:t xml:space="preserve">6.2. </w:t>
      </w:r>
      <w:r w:rsidR="00480FB1" w:rsidRPr="00611C50">
        <w:rPr>
          <w:b/>
          <w:bCs/>
          <w:sz w:val="22"/>
          <w:szCs w:val="22"/>
          <w:lang w:val="sr-Latn-ME"/>
        </w:rPr>
        <w:tab/>
      </w:r>
      <w:r w:rsidRPr="00611C50">
        <w:rPr>
          <w:b/>
          <w:bCs/>
          <w:sz w:val="22"/>
          <w:szCs w:val="22"/>
          <w:lang w:val="sr-Latn-ME"/>
        </w:rPr>
        <w:t>Inkompatibilnost</w:t>
      </w:r>
      <w:r w:rsidR="002846DB" w:rsidRPr="00611C50">
        <w:rPr>
          <w:b/>
          <w:bCs/>
          <w:sz w:val="22"/>
          <w:szCs w:val="22"/>
          <w:lang w:val="sr-Latn-ME"/>
        </w:rPr>
        <w:t>i</w:t>
      </w:r>
    </w:p>
    <w:p w:rsidR="00806E4F" w:rsidRPr="00611C50" w:rsidRDefault="00806E4F" w:rsidP="00AD0CC1">
      <w:pPr>
        <w:tabs>
          <w:tab w:val="left" w:pos="540"/>
          <w:tab w:val="left" w:pos="569"/>
        </w:tabs>
        <w:jc w:val="both"/>
        <w:rPr>
          <w:b/>
          <w:bCs/>
          <w:sz w:val="22"/>
          <w:szCs w:val="22"/>
          <w:lang w:val="sr-Latn-ME"/>
        </w:rPr>
      </w:pPr>
    </w:p>
    <w:p w:rsidR="00806E4F" w:rsidRPr="00611C50" w:rsidRDefault="00806E4F" w:rsidP="00AD0CC1">
      <w:pPr>
        <w:jc w:val="both"/>
        <w:rPr>
          <w:sz w:val="22"/>
          <w:szCs w:val="22"/>
          <w:lang w:val="sr-Latn-ME" w:eastAsia="ja-JP"/>
        </w:rPr>
      </w:pPr>
      <w:r w:rsidRPr="00611C50">
        <w:rPr>
          <w:sz w:val="22"/>
          <w:szCs w:val="22"/>
          <w:lang w:val="sr-Latn-ME" w:eastAsia="ja-JP"/>
        </w:rPr>
        <w:t xml:space="preserve">Nije </w:t>
      </w:r>
      <w:r w:rsidR="0026073F" w:rsidRPr="00611C50">
        <w:rPr>
          <w:sz w:val="22"/>
          <w:szCs w:val="22"/>
          <w:lang w:val="sr-Latn-ME" w:eastAsia="ja-JP"/>
        </w:rPr>
        <w:t>primjenljivo</w:t>
      </w:r>
      <w:r w:rsidRPr="00611C50">
        <w:rPr>
          <w:sz w:val="22"/>
          <w:szCs w:val="22"/>
          <w:lang w:val="sr-Latn-ME" w:eastAsia="ja-JP"/>
        </w:rPr>
        <w:t xml:space="preserve">. </w:t>
      </w:r>
    </w:p>
    <w:p w:rsidR="0072020E" w:rsidRPr="00611C50" w:rsidRDefault="0072020E" w:rsidP="00AD0CC1">
      <w:pPr>
        <w:tabs>
          <w:tab w:val="left" w:pos="540"/>
          <w:tab w:val="left" w:pos="569"/>
        </w:tabs>
        <w:jc w:val="both"/>
        <w:rPr>
          <w:bCs/>
          <w:sz w:val="22"/>
          <w:szCs w:val="22"/>
          <w:lang w:val="sr-Latn-ME"/>
        </w:rPr>
      </w:pPr>
    </w:p>
    <w:p w:rsidR="0072020E" w:rsidRPr="00611C50" w:rsidRDefault="0072020E" w:rsidP="00AD0CC1">
      <w:pPr>
        <w:tabs>
          <w:tab w:val="left" w:pos="540"/>
          <w:tab w:val="left" w:pos="569"/>
        </w:tabs>
        <w:jc w:val="both"/>
        <w:rPr>
          <w:b/>
          <w:bCs/>
          <w:sz w:val="22"/>
          <w:szCs w:val="22"/>
          <w:lang w:val="sr-Latn-ME"/>
        </w:rPr>
      </w:pPr>
      <w:r w:rsidRPr="00611C50">
        <w:rPr>
          <w:b/>
          <w:bCs/>
          <w:sz w:val="22"/>
          <w:szCs w:val="22"/>
          <w:lang w:val="sr-Latn-ME"/>
        </w:rPr>
        <w:t>6.3.</w:t>
      </w:r>
      <w:r w:rsidR="00C05DF8" w:rsidRPr="00611C50">
        <w:rPr>
          <w:b/>
          <w:bCs/>
          <w:sz w:val="22"/>
          <w:szCs w:val="22"/>
          <w:lang w:val="sr-Latn-ME"/>
        </w:rPr>
        <w:t xml:space="preserve"> </w:t>
      </w:r>
      <w:r w:rsidR="00480FB1" w:rsidRPr="00611C50">
        <w:rPr>
          <w:b/>
          <w:bCs/>
          <w:sz w:val="22"/>
          <w:szCs w:val="22"/>
          <w:lang w:val="sr-Latn-ME"/>
        </w:rPr>
        <w:tab/>
      </w:r>
      <w:r w:rsidRPr="00611C50">
        <w:rPr>
          <w:b/>
          <w:bCs/>
          <w:sz w:val="22"/>
          <w:szCs w:val="22"/>
          <w:lang w:val="sr-Latn-ME"/>
        </w:rPr>
        <w:t>Rok upotrebe</w:t>
      </w:r>
    </w:p>
    <w:p w:rsidR="00806E4F" w:rsidRPr="00611C50" w:rsidRDefault="00806E4F" w:rsidP="00AD0CC1">
      <w:pPr>
        <w:tabs>
          <w:tab w:val="left" w:pos="540"/>
          <w:tab w:val="left" w:pos="569"/>
        </w:tabs>
        <w:jc w:val="both"/>
        <w:rPr>
          <w:b/>
          <w:bCs/>
          <w:sz w:val="22"/>
          <w:szCs w:val="22"/>
          <w:lang w:val="sr-Latn-ME"/>
        </w:rPr>
      </w:pPr>
    </w:p>
    <w:p w:rsidR="00806E4F" w:rsidRPr="00611C50" w:rsidRDefault="00806E4F" w:rsidP="00AD0CC1">
      <w:pPr>
        <w:jc w:val="both"/>
        <w:rPr>
          <w:sz w:val="22"/>
          <w:szCs w:val="22"/>
          <w:lang w:val="sr-Latn-ME" w:eastAsia="ja-JP"/>
        </w:rPr>
      </w:pPr>
      <w:r w:rsidRPr="00611C50">
        <w:rPr>
          <w:sz w:val="22"/>
          <w:szCs w:val="22"/>
          <w:lang w:val="sr-Latn-ME" w:eastAsia="ja-JP"/>
        </w:rPr>
        <w:t>3 godine</w:t>
      </w:r>
      <w:r w:rsidR="00E33CE6">
        <w:rPr>
          <w:sz w:val="22"/>
          <w:szCs w:val="22"/>
          <w:lang w:val="sr-Latn-ME" w:eastAsia="ja-JP"/>
        </w:rPr>
        <w:t>.</w:t>
      </w:r>
    </w:p>
    <w:p w:rsidR="0072020E" w:rsidRPr="00611C50" w:rsidRDefault="0072020E" w:rsidP="00AD0CC1">
      <w:pPr>
        <w:tabs>
          <w:tab w:val="left" w:pos="540"/>
          <w:tab w:val="left" w:pos="569"/>
        </w:tabs>
        <w:jc w:val="both"/>
        <w:rPr>
          <w:bCs/>
          <w:sz w:val="22"/>
          <w:szCs w:val="22"/>
          <w:lang w:val="sr-Latn-ME"/>
        </w:rPr>
      </w:pPr>
    </w:p>
    <w:p w:rsidR="0072020E" w:rsidRPr="00611C50" w:rsidRDefault="0072020E" w:rsidP="00AD0CC1">
      <w:pPr>
        <w:tabs>
          <w:tab w:val="left" w:pos="540"/>
          <w:tab w:val="left" w:pos="569"/>
        </w:tabs>
        <w:jc w:val="both"/>
        <w:rPr>
          <w:b/>
          <w:bCs/>
          <w:sz w:val="22"/>
          <w:szCs w:val="22"/>
          <w:lang w:val="sr-Latn-ME"/>
        </w:rPr>
      </w:pPr>
      <w:r w:rsidRPr="00611C50">
        <w:rPr>
          <w:b/>
          <w:bCs/>
          <w:sz w:val="22"/>
          <w:szCs w:val="22"/>
          <w:lang w:val="sr-Latn-ME"/>
        </w:rPr>
        <w:t xml:space="preserve">6.4. </w:t>
      </w:r>
      <w:r w:rsidR="00480FB1" w:rsidRPr="00611C50">
        <w:rPr>
          <w:b/>
          <w:bCs/>
          <w:sz w:val="22"/>
          <w:szCs w:val="22"/>
          <w:lang w:val="sr-Latn-ME"/>
        </w:rPr>
        <w:tab/>
      </w:r>
      <w:r w:rsidRPr="00611C50">
        <w:rPr>
          <w:b/>
          <w:bCs/>
          <w:sz w:val="22"/>
          <w:szCs w:val="22"/>
          <w:lang w:val="sr-Latn-ME"/>
        </w:rPr>
        <w:t>Posebne mjere upozorenja pri čuvanju</w:t>
      </w:r>
      <w:r w:rsidR="00F8570A" w:rsidRPr="00611C50">
        <w:rPr>
          <w:b/>
          <w:bCs/>
          <w:sz w:val="22"/>
          <w:szCs w:val="22"/>
          <w:lang w:val="sr-Latn-ME"/>
        </w:rPr>
        <w:t xml:space="preserve"> lijeka</w:t>
      </w:r>
    </w:p>
    <w:p w:rsidR="00EC2532" w:rsidRPr="00611C50" w:rsidRDefault="00EC2532" w:rsidP="00AD0CC1">
      <w:pPr>
        <w:tabs>
          <w:tab w:val="left" w:pos="540"/>
          <w:tab w:val="left" w:pos="569"/>
        </w:tabs>
        <w:jc w:val="both"/>
        <w:rPr>
          <w:bCs/>
          <w:sz w:val="22"/>
          <w:szCs w:val="22"/>
          <w:lang w:val="sr-Latn-ME"/>
        </w:rPr>
      </w:pPr>
    </w:p>
    <w:p w:rsidR="00806E4F" w:rsidRPr="00611C50" w:rsidRDefault="00806E4F" w:rsidP="00AD0CC1">
      <w:pPr>
        <w:tabs>
          <w:tab w:val="left" w:pos="540"/>
          <w:tab w:val="left" w:pos="569"/>
        </w:tabs>
        <w:jc w:val="both"/>
        <w:rPr>
          <w:sz w:val="22"/>
          <w:szCs w:val="22"/>
          <w:lang w:val="sr-Latn-ME" w:eastAsia="ja-JP"/>
        </w:rPr>
      </w:pPr>
      <w:r w:rsidRPr="00611C50">
        <w:rPr>
          <w:sz w:val="22"/>
          <w:szCs w:val="22"/>
          <w:lang w:val="sr-Latn-ME" w:eastAsia="ja-JP"/>
        </w:rPr>
        <w:t>Čuvati u originalnom pakovanju, radi zaštite od vlage.</w:t>
      </w:r>
    </w:p>
    <w:p w:rsidR="00806E4F" w:rsidRPr="00611C50" w:rsidRDefault="00806E4F" w:rsidP="00AD0CC1">
      <w:pPr>
        <w:tabs>
          <w:tab w:val="left" w:pos="540"/>
          <w:tab w:val="left" w:pos="569"/>
        </w:tabs>
        <w:jc w:val="both"/>
        <w:rPr>
          <w:bCs/>
          <w:sz w:val="22"/>
          <w:szCs w:val="22"/>
          <w:lang w:val="sr-Latn-ME"/>
        </w:rPr>
      </w:pPr>
    </w:p>
    <w:p w:rsidR="0072020E" w:rsidRPr="00611C50" w:rsidRDefault="0072020E" w:rsidP="00AD0CC1">
      <w:pPr>
        <w:tabs>
          <w:tab w:val="left" w:pos="540"/>
          <w:tab w:val="left" w:pos="569"/>
        </w:tabs>
        <w:jc w:val="both"/>
        <w:rPr>
          <w:b/>
          <w:bCs/>
          <w:sz w:val="22"/>
          <w:szCs w:val="22"/>
          <w:lang w:val="sr-Latn-ME"/>
        </w:rPr>
      </w:pPr>
      <w:r w:rsidRPr="00611C50">
        <w:rPr>
          <w:b/>
          <w:bCs/>
          <w:sz w:val="22"/>
          <w:szCs w:val="22"/>
          <w:lang w:val="sr-Latn-ME"/>
        </w:rPr>
        <w:t xml:space="preserve">6.5. </w:t>
      </w:r>
      <w:r w:rsidR="00480FB1" w:rsidRPr="00611C50">
        <w:rPr>
          <w:b/>
          <w:bCs/>
          <w:sz w:val="22"/>
          <w:szCs w:val="22"/>
          <w:lang w:val="sr-Latn-ME"/>
        </w:rPr>
        <w:tab/>
      </w:r>
      <w:r w:rsidR="002846DB" w:rsidRPr="00611C50">
        <w:rPr>
          <w:b/>
          <w:bCs/>
          <w:sz w:val="22"/>
          <w:szCs w:val="22"/>
          <w:lang w:val="sr-Latn-ME"/>
        </w:rPr>
        <w:t xml:space="preserve">Vrsta i sadržaj </w:t>
      </w:r>
      <w:r w:rsidR="00F8570A" w:rsidRPr="00611C50">
        <w:rPr>
          <w:b/>
          <w:bCs/>
          <w:sz w:val="22"/>
          <w:szCs w:val="22"/>
          <w:lang w:val="sr-Latn-ME"/>
        </w:rPr>
        <w:t>pakovanja</w:t>
      </w:r>
      <w:r w:rsidR="00C06864" w:rsidRPr="00611C50">
        <w:rPr>
          <w:b/>
          <w:bCs/>
          <w:sz w:val="22"/>
          <w:szCs w:val="22"/>
          <w:lang w:val="sr-Latn-ME"/>
        </w:rPr>
        <w:t xml:space="preserve"> </w:t>
      </w:r>
    </w:p>
    <w:p w:rsidR="00806E4F" w:rsidRPr="00611C50" w:rsidRDefault="00806E4F" w:rsidP="00AD0CC1">
      <w:pPr>
        <w:tabs>
          <w:tab w:val="left" w:pos="540"/>
          <w:tab w:val="left" w:pos="569"/>
        </w:tabs>
        <w:jc w:val="both"/>
        <w:rPr>
          <w:b/>
          <w:bCs/>
          <w:sz w:val="22"/>
          <w:szCs w:val="22"/>
          <w:lang w:val="sr-Latn-ME"/>
        </w:rPr>
      </w:pPr>
    </w:p>
    <w:p w:rsidR="00806E4F" w:rsidRPr="00611C50" w:rsidRDefault="00E33CE6" w:rsidP="00AD0CC1">
      <w:pPr>
        <w:jc w:val="both"/>
        <w:rPr>
          <w:sz w:val="22"/>
          <w:szCs w:val="22"/>
          <w:lang w:val="sr-Latn-ME" w:eastAsia="ja-JP"/>
        </w:rPr>
      </w:pPr>
      <w:r>
        <w:rPr>
          <w:sz w:val="22"/>
          <w:szCs w:val="22"/>
          <w:lang w:val="sr-Latn-ME" w:eastAsia="ja-JP"/>
        </w:rPr>
        <w:t xml:space="preserve">Unutrašnje pakovanje je </w:t>
      </w:r>
      <w:r w:rsidR="00806E4F" w:rsidRPr="00611C50">
        <w:rPr>
          <w:sz w:val="22"/>
          <w:szCs w:val="22"/>
          <w:lang w:val="sr-Latn-ME" w:eastAsia="ja-JP"/>
        </w:rPr>
        <w:t>Aluminijum/Aluminijum perforirani blister</w:t>
      </w:r>
      <w:r w:rsidR="00C80AC1">
        <w:rPr>
          <w:sz w:val="22"/>
          <w:szCs w:val="22"/>
          <w:lang w:val="sr-Latn-ME" w:eastAsia="ja-JP"/>
        </w:rPr>
        <w:t>, djeljiv na pojedinačne doze,</w:t>
      </w:r>
      <w:r w:rsidR="00806E4F" w:rsidRPr="00611C50">
        <w:rPr>
          <w:sz w:val="22"/>
          <w:szCs w:val="22"/>
          <w:lang w:val="sr-Latn-ME" w:eastAsia="ja-JP"/>
        </w:rPr>
        <w:t xml:space="preserve"> sa </w:t>
      </w:r>
      <w:r>
        <w:rPr>
          <w:sz w:val="22"/>
          <w:szCs w:val="22"/>
          <w:lang w:val="sr-Latn-ME" w:eastAsia="ja-JP"/>
        </w:rPr>
        <w:t>8 film tableta</w:t>
      </w:r>
      <w:r w:rsidR="0026073F" w:rsidRPr="00611C50">
        <w:rPr>
          <w:sz w:val="22"/>
          <w:szCs w:val="22"/>
          <w:lang w:val="sr-Latn-ME" w:eastAsia="ja-JP"/>
        </w:rPr>
        <w:t>.</w:t>
      </w:r>
      <w:r w:rsidR="00806E4F" w:rsidRPr="00611C50">
        <w:rPr>
          <w:sz w:val="22"/>
          <w:szCs w:val="22"/>
          <w:lang w:val="sr-Latn-ME" w:eastAsia="ja-JP"/>
        </w:rPr>
        <w:t xml:space="preserve"> </w:t>
      </w:r>
    </w:p>
    <w:p w:rsidR="0072020E" w:rsidRPr="00611C50" w:rsidRDefault="00E33CE6" w:rsidP="00AD0CC1">
      <w:pPr>
        <w:tabs>
          <w:tab w:val="left" w:pos="540"/>
          <w:tab w:val="left" w:pos="569"/>
        </w:tabs>
        <w:jc w:val="both"/>
        <w:rPr>
          <w:sz w:val="22"/>
          <w:szCs w:val="22"/>
          <w:lang w:val="sr-Latn-ME" w:eastAsia="ja-JP"/>
        </w:rPr>
      </w:pPr>
      <w:r>
        <w:rPr>
          <w:sz w:val="22"/>
          <w:szCs w:val="22"/>
          <w:lang w:val="sr-Latn-ME" w:eastAsia="ja-JP"/>
        </w:rPr>
        <w:t>Spoljnje pakovanje je složiva kartonska kutija u kojoj se nalazi 7 blistera sa po 8</w:t>
      </w:r>
      <w:r w:rsidR="00806E4F" w:rsidRPr="00611C50">
        <w:rPr>
          <w:sz w:val="22"/>
          <w:szCs w:val="22"/>
          <w:lang w:val="sr-Latn-ME" w:eastAsia="ja-JP"/>
        </w:rPr>
        <w:t xml:space="preserve"> film tableta (</w:t>
      </w:r>
      <w:r>
        <w:rPr>
          <w:sz w:val="22"/>
          <w:szCs w:val="22"/>
          <w:lang w:val="sr-Latn-ME" w:eastAsia="ja-JP"/>
        </w:rPr>
        <w:t>ukupno 56 film</w:t>
      </w:r>
      <w:r w:rsidR="00806E4F" w:rsidRPr="00611C50">
        <w:rPr>
          <w:sz w:val="22"/>
          <w:szCs w:val="22"/>
          <w:lang w:val="sr-Latn-ME" w:eastAsia="ja-JP"/>
        </w:rPr>
        <w:t xml:space="preserve"> tableta)</w:t>
      </w:r>
      <w:r>
        <w:rPr>
          <w:sz w:val="22"/>
          <w:szCs w:val="22"/>
          <w:lang w:val="sr-Latn-ME" w:eastAsia="ja-JP"/>
        </w:rPr>
        <w:t xml:space="preserve"> i Uputstvo za lijek.</w:t>
      </w:r>
    </w:p>
    <w:p w:rsidR="00806E4F" w:rsidRPr="00611C50" w:rsidRDefault="00806E4F" w:rsidP="00AD0CC1">
      <w:pPr>
        <w:tabs>
          <w:tab w:val="left" w:pos="540"/>
          <w:tab w:val="left" w:pos="569"/>
        </w:tabs>
        <w:jc w:val="both"/>
        <w:rPr>
          <w:bCs/>
          <w:sz w:val="22"/>
          <w:szCs w:val="22"/>
          <w:lang w:val="sr-Latn-ME"/>
        </w:rPr>
      </w:pPr>
    </w:p>
    <w:p w:rsidR="002846DB" w:rsidRPr="00611C50" w:rsidRDefault="0072020E" w:rsidP="00AD0CC1">
      <w:pPr>
        <w:tabs>
          <w:tab w:val="left" w:pos="540"/>
          <w:tab w:val="left" w:pos="569"/>
        </w:tabs>
        <w:jc w:val="both"/>
        <w:rPr>
          <w:b/>
          <w:bCs/>
          <w:sz w:val="22"/>
          <w:szCs w:val="22"/>
          <w:lang w:val="sr-Latn-ME"/>
        </w:rPr>
      </w:pPr>
      <w:r w:rsidRPr="00611C50">
        <w:rPr>
          <w:b/>
          <w:bCs/>
          <w:sz w:val="22"/>
          <w:szCs w:val="22"/>
          <w:lang w:val="sr-Latn-ME"/>
        </w:rPr>
        <w:t xml:space="preserve">6.6. </w:t>
      </w:r>
      <w:r w:rsidR="00480FB1" w:rsidRPr="00611C50">
        <w:rPr>
          <w:b/>
          <w:bCs/>
          <w:sz w:val="22"/>
          <w:szCs w:val="22"/>
          <w:lang w:val="sr-Latn-ME"/>
        </w:rPr>
        <w:tab/>
      </w:r>
      <w:r w:rsidRPr="00611C50">
        <w:rPr>
          <w:b/>
          <w:bCs/>
          <w:color w:val="000000"/>
          <w:sz w:val="22"/>
          <w:szCs w:val="22"/>
          <w:lang w:val="sr-Latn-ME"/>
        </w:rPr>
        <w:t>Posebne mjere opreza pri odlaganju materijala koji treba odbaciti nakon primjene lijeka</w:t>
      </w:r>
      <w:r w:rsidRPr="00611C50">
        <w:rPr>
          <w:b/>
          <w:bCs/>
          <w:sz w:val="22"/>
          <w:szCs w:val="22"/>
          <w:lang w:val="sr-Latn-ME"/>
        </w:rPr>
        <w:t xml:space="preserve"> </w:t>
      </w:r>
      <w:r w:rsidR="00310F03" w:rsidRPr="00611C50">
        <w:rPr>
          <w:b/>
          <w:bCs/>
          <w:sz w:val="22"/>
          <w:szCs w:val="22"/>
          <w:lang w:val="sr-Latn-ME"/>
        </w:rPr>
        <w:t xml:space="preserve">(i druga uputsva za rukovanje lijekom) </w:t>
      </w:r>
    </w:p>
    <w:p w:rsidR="00B66A70" w:rsidRPr="00611C50" w:rsidRDefault="00B66A70" w:rsidP="00AD0CC1">
      <w:pPr>
        <w:tabs>
          <w:tab w:val="left" w:pos="540"/>
          <w:tab w:val="left" w:pos="569"/>
        </w:tabs>
        <w:jc w:val="both"/>
        <w:rPr>
          <w:b/>
          <w:bCs/>
          <w:sz w:val="22"/>
          <w:szCs w:val="22"/>
          <w:lang w:val="sr-Latn-ME"/>
        </w:rPr>
      </w:pPr>
    </w:p>
    <w:p w:rsidR="00806E4F" w:rsidRPr="00611C50" w:rsidRDefault="00806E4F" w:rsidP="00AD0CC1">
      <w:pPr>
        <w:jc w:val="both"/>
        <w:rPr>
          <w:sz w:val="22"/>
          <w:szCs w:val="22"/>
          <w:lang w:val="sr-Latn-ME" w:eastAsia="ja-JP"/>
        </w:rPr>
      </w:pPr>
      <w:r w:rsidRPr="00611C50">
        <w:rPr>
          <w:sz w:val="22"/>
          <w:szCs w:val="22"/>
          <w:lang w:val="sr-Latn-ME" w:eastAsia="ja-JP"/>
        </w:rPr>
        <w:t>Neupotr</w:t>
      </w:r>
      <w:r w:rsidR="00D80D1B">
        <w:rPr>
          <w:sz w:val="22"/>
          <w:szCs w:val="22"/>
          <w:lang w:val="sr-Latn-ME" w:eastAsia="ja-JP"/>
        </w:rPr>
        <w:t>ij</w:t>
      </w:r>
      <w:r w:rsidRPr="00611C50">
        <w:rPr>
          <w:sz w:val="22"/>
          <w:szCs w:val="22"/>
          <w:lang w:val="sr-Latn-ME" w:eastAsia="ja-JP"/>
        </w:rPr>
        <w:t xml:space="preserve">ebljeni lijek uništava se u skladu sa važećim propisima. </w:t>
      </w:r>
    </w:p>
    <w:p w:rsidR="0072020E" w:rsidRPr="00611C50" w:rsidRDefault="0072020E" w:rsidP="00AD0CC1">
      <w:pPr>
        <w:tabs>
          <w:tab w:val="left" w:pos="540"/>
          <w:tab w:val="left" w:pos="569"/>
        </w:tabs>
        <w:jc w:val="both"/>
        <w:rPr>
          <w:bCs/>
          <w:sz w:val="22"/>
          <w:szCs w:val="22"/>
          <w:lang w:val="sr-Latn-ME"/>
        </w:rPr>
      </w:pPr>
    </w:p>
    <w:p w:rsidR="0026073F" w:rsidRPr="00611C50" w:rsidRDefault="0026073F" w:rsidP="00AD0CC1">
      <w:pPr>
        <w:tabs>
          <w:tab w:val="left" w:pos="540"/>
          <w:tab w:val="left" w:pos="569"/>
        </w:tabs>
        <w:jc w:val="both"/>
        <w:rPr>
          <w:bCs/>
          <w:sz w:val="22"/>
          <w:szCs w:val="22"/>
          <w:lang w:val="sr-Latn-ME"/>
        </w:rPr>
      </w:pPr>
    </w:p>
    <w:p w:rsidR="00F8570A" w:rsidRPr="00611C50" w:rsidRDefault="0072020E" w:rsidP="00AD0CC1">
      <w:pPr>
        <w:tabs>
          <w:tab w:val="left" w:pos="540"/>
          <w:tab w:val="left" w:pos="569"/>
        </w:tabs>
        <w:jc w:val="both"/>
        <w:rPr>
          <w:b/>
          <w:bCs/>
          <w:sz w:val="22"/>
          <w:szCs w:val="22"/>
          <w:lang w:val="sr-Latn-ME"/>
        </w:rPr>
      </w:pPr>
      <w:r w:rsidRPr="00611C50">
        <w:rPr>
          <w:b/>
          <w:bCs/>
          <w:sz w:val="22"/>
          <w:szCs w:val="22"/>
          <w:lang w:val="sr-Latn-ME"/>
        </w:rPr>
        <w:t xml:space="preserve">7. </w:t>
      </w:r>
      <w:r w:rsidR="00480FB1" w:rsidRPr="00611C50">
        <w:rPr>
          <w:b/>
          <w:bCs/>
          <w:sz w:val="22"/>
          <w:szCs w:val="22"/>
          <w:lang w:val="sr-Latn-ME"/>
        </w:rPr>
        <w:tab/>
      </w:r>
      <w:r w:rsidRPr="00611C50">
        <w:rPr>
          <w:b/>
          <w:bCs/>
          <w:sz w:val="22"/>
          <w:szCs w:val="22"/>
          <w:lang w:val="sr-Latn-ME"/>
        </w:rPr>
        <w:t>NOSILAC DOZVOLE</w:t>
      </w:r>
      <w:r w:rsidR="00483928" w:rsidRPr="00611C50">
        <w:rPr>
          <w:b/>
          <w:bCs/>
          <w:sz w:val="22"/>
          <w:szCs w:val="22"/>
          <w:lang w:val="sr-Latn-ME"/>
        </w:rPr>
        <w:t xml:space="preserve"> </w:t>
      </w:r>
    </w:p>
    <w:p w:rsidR="0026073F" w:rsidRPr="00611C50" w:rsidRDefault="0026073F" w:rsidP="00AD0CC1">
      <w:pPr>
        <w:widowControl w:val="0"/>
        <w:autoSpaceDE w:val="0"/>
        <w:autoSpaceDN w:val="0"/>
        <w:jc w:val="both"/>
        <w:rPr>
          <w:bCs/>
          <w:sz w:val="22"/>
          <w:szCs w:val="22"/>
          <w:lang w:val="sr-Latn-ME"/>
        </w:rPr>
      </w:pPr>
    </w:p>
    <w:p w:rsidR="00806E4F" w:rsidRPr="00611C50" w:rsidRDefault="00806E4F" w:rsidP="00AD0CC1">
      <w:pPr>
        <w:widowControl w:val="0"/>
        <w:autoSpaceDE w:val="0"/>
        <w:autoSpaceDN w:val="0"/>
        <w:jc w:val="both"/>
        <w:rPr>
          <w:sz w:val="22"/>
          <w:szCs w:val="22"/>
          <w:lang w:val="sr-Latn-ME"/>
        </w:rPr>
      </w:pPr>
      <w:r w:rsidRPr="00611C50">
        <w:rPr>
          <w:bCs/>
          <w:sz w:val="22"/>
          <w:szCs w:val="22"/>
          <w:lang w:val="sr-Latn-ME"/>
        </w:rPr>
        <w:t>Hoffmann – La Roche Ltd. dio stranog društva Podgorica</w:t>
      </w:r>
      <w:r w:rsidRPr="00611C50">
        <w:rPr>
          <w:sz w:val="22"/>
          <w:szCs w:val="22"/>
          <w:lang w:val="sr-Latn-ME"/>
        </w:rPr>
        <w:t xml:space="preserve"> </w:t>
      </w:r>
    </w:p>
    <w:p w:rsidR="00806E4F" w:rsidRPr="00611C50" w:rsidRDefault="00BC0851" w:rsidP="00AD0CC1">
      <w:pPr>
        <w:widowControl w:val="0"/>
        <w:autoSpaceDE w:val="0"/>
        <w:autoSpaceDN w:val="0"/>
        <w:jc w:val="both"/>
        <w:rPr>
          <w:sz w:val="22"/>
          <w:szCs w:val="22"/>
          <w:lang w:val="sr-Latn-ME"/>
        </w:rPr>
      </w:pPr>
      <w:r>
        <w:rPr>
          <w:bCs/>
          <w:sz w:val="22"/>
          <w:szCs w:val="22"/>
          <w:lang w:val="sr-Latn-ME"/>
        </w:rPr>
        <w:t xml:space="preserve">ul. </w:t>
      </w:r>
      <w:r w:rsidR="00806E4F" w:rsidRPr="00611C50">
        <w:rPr>
          <w:bCs/>
          <w:sz w:val="22"/>
          <w:szCs w:val="22"/>
          <w:lang w:val="sr-Latn-ME"/>
        </w:rPr>
        <w:t>Cetinjska 11, 81000 Podgorica, Crna Gora</w:t>
      </w:r>
      <w:r w:rsidR="00806E4F" w:rsidRPr="00611C50">
        <w:rPr>
          <w:sz w:val="22"/>
          <w:szCs w:val="22"/>
          <w:lang w:val="sr-Latn-ME"/>
        </w:rPr>
        <w:t xml:space="preserve"> </w:t>
      </w:r>
    </w:p>
    <w:p w:rsidR="00C37FD7" w:rsidRPr="00611C50" w:rsidRDefault="00C37FD7" w:rsidP="00AD0CC1">
      <w:pPr>
        <w:tabs>
          <w:tab w:val="left" w:pos="540"/>
          <w:tab w:val="left" w:pos="569"/>
        </w:tabs>
        <w:jc w:val="both"/>
        <w:rPr>
          <w:bCs/>
          <w:sz w:val="22"/>
          <w:szCs w:val="22"/>
          <w:lang w:val="sr-Latn-ME"/>
        </w:rPr>
      </w:pPr>
    </w:p>
    <w:p w:rsidR="0026073F" w:rsidRPr="00611C50" w:rsidRDefault="0026073F" w:rsidP="00AD0CC1">
      <w:pPr>
        <w:tabs>
          <w:tab w:val="left" w:pos="540"/>
          <w:tab w:val="left" w:pos="569"/>
        </w:tabs>
        <w:jc w:val="both"/>
        <w:rPr>
          <w:bCs/>
          <w:sz w:val="22"/>
          <w:szCs w:val="22"/>
          <w:lang w:val="sr-Latn-ME"/>
        </w:rPr>
      </w:pPr>
    </w:p>
    <w:p w:rsidR="0072020E" w:rsidRPr="00611C50" w:rsidRDefault="0072020E" w:rsidP="00AD0CC1">
      <w:pPr>
        <w:tabs>
          <w:tab w:val="left" w:pos="540"/>
          <w:tab w:val="left" w:pos="569"/>
        </w:tabs>
        <w:jc w:val="both"/>
        <w:rPr>
          <w:b/>
          <w:bCs/>
          <w:sz w:val="22"/>
          <w:szCs w:val="22"/>
          <w:lang w:val="sr-Latn-ME"/>
        </w:rPr>
      </w:pPr>
      <w:r w:rsidRPr="00611C50">
        <w:rPr>
          <w:b/>
          <w:bCs/>
          <w:sz w:val="22"/>
          <w:szCs w:val="22"/>
          <w:lang w:val="sr-Latn-ME"/>
        </w:rPr>
        <w:t xml:space="preserve">8. </w:t>
      </w:r>
      <w:r w:rsidR="00480FB1" w:rsidRPr="00611C50">
        <w:rPr>
          <w:b/>
          <w:bCs/>
          <w:sz w:val="22"/>
          <w:szCs w:val="22"/>
          <w:lang w:val="sr-Latn-ME"/>
        </w:rPr>
        <w:tab/>
      </w:r>
      <w:r w:rsidRPr="00611C50">
        <w:rPr>
          <w:b/>
          <w:bCs/>
          <w:sz w:val="22"/>
          <w:szCs w:val="22"/>
          <w:lang w:val="sr-Latn-ME"/>
        </w:rPr>
        <w:t>BROJ DOZVOLE</w:t>
      </w:r>
      <w:r w:rsidR="008A6D43" w:rsidRPr="00611C50">
        <w:rPr>
          <w:b/>
          <w:bCs/>
          <w:sz w:val="22"/>
          <w:szCs w:val="22"/>
          <w:lang w:val="sr-Latn-ME"/>
        </w:rPr>
        <w:t xml:space="preserve"> ZA STAVLJANJE LIJEKA U PROMET</w:t>
      </w:r>
    </w:p>
    <w:p w:rsidR="0026073F" w:rsidRPr="00611C50" w:rsidRDefault="0026073F" w:rsidP="00AD0CC1">
      <w:pPr>
        <w:tabs>
          <w:tab w:val="left" w:pos="540"/>
          <w:tab w:val="left" w:pos="569"/>
        </w:tabs>
        <w:jc w:val="both"/>
        <w:rPr>
          <w:sz w:val="22"/>
          <w:szCs w:val="22"/>
          <w:lang w:val="sr-Latn-ME"/>
        </w:rPr>
      </w:pPr>
    </w:p>
    <w:p w:rsidR="00F45F77" w:rsidRPr="00611C50" w:rsidRDefault="00A37551" w:rsidP="00AD0CC1">
      <w:pPr>
        <w:tabs>
          <w:tab w:val="left" w:pos="540"/>
          <w:tab w:val="left" w:pos="569"/>
        </w:tabs>
        <w:jc w:val="both"/>
        <w:rPr>
          <w:bCs/>
          <w:sz w:val="22"/>
          <w:szCs w:val="22"/>
          <w:lang w:val="sr-Latn-ME"/>
        </w:rPr>
      </w:pPr>
      <w:r>
        <w:rPr>
          <w:bCs/>
          <w:sz w:val="22"/>
          <w:szCs w:val="22"/>
          <w:lang w:val="sr-Latn-ME"/>
        </w:rPr>
        <w:t>2030/24/2787 - 6621</w:t>
      </w:r>
    </w:p>
    <w:p w:rsidR="0026073F" w:rsidRPr="00611C50" w:rsidRDefault="0026073F" w:rsidP="00AD0CC1">
      <w:pPr>
        <w:tabs>
          <w:tab w:val="left" w:pos="540"/>
          <w:tab w:val="left" w:pos="569"/>
        </w:tabs>
        <w:jc w:val="both"/>
        <w:rPr>
          <w:bCs/>
          <w:sz w:val="22"/>
          <w:szCs w:val="22"/>
          <w:lang w:val="sr-Latn-ME"/>
        </w:rPr>
      </w:pPr>
    </w:p>
    <w:p w:rsidR="0072020E" w:rsidRPr="00611C50" w:rsidRDefault="0072020E" w:rsidP="00AD0CC1">
      <w:pPr>
        <w:tabs>
          <w:tab w:val="left" w:pos="540"/>
          <w:tab w:val="left" w:pos="569"/>
        </w:tabs>
        <w:jc w:val="both"/>
        <w:rPr>
          <w:b/>
          <w:bCs/>
          <w:sz w:val="22"/>
          <w:szCs w:val="22"/>
          <w:lang w:val="sr-Latn-ME"/>
        </w:rPr>
      </w:pPr>
      <w:r w:rsidRPr="00611C50">
        <w:rPr>
          <w:b/>
          <w:bCs/>
          <w:sz w:val="22"/>
          <w:szCs w:val="22"/>
          <w:lang w:val="sr-Latn-ME"/>
        </w:rPr>
        <w:t xml:space="preserve">9. </w:t>
      </w:r>
      <w:r w:rsidR="00480FB1" w:rsidRPr="00611C50">
        <w:rPr>
          <w:b/>
          <w:bCs/>
          <w:sz w:val="22"/>
          <w:szCs w:val="22"/>
          <w:lang w:val="sr-Latn-ME"/>
        </w:rPr>
        <w:tab/>
      </w:r>
      <w:r w:rsidRPr="00611C50">
        <w:rPr>
          <w:b/>
          <w:bCs/>
          <w:sz w:val="22"/>
          <w:szCs w:val="22"/>
          <w:lang w:val="sr-Latn-ME"/>
        </w:rPr>
        <w:t xml:space="preserve">DATUM </w:t>
      </w:r>
      <w:r w:rsidR="00C05DF8" w:rsidRPr="00611C50">
        <w:rPr>
          <w:b/>
          <w:bCs/>
          <w:sz w:val="22"/>
          <w:szCs w:val="22"/>
          <w:lang w:val="sr-Latn-ME"/>
        </w:rPr>
        <w:t xml:space="preserve">PRVE </w:t>
      </w:r>
      <w:r w:rsidR="008A6D43" w:rsidRPr="00611C50">
        <w:rPr>
          <w:b/>
          <w:bCs/>
          <w:sz w:val="22"/>
          <w:szCs w:val="22"/>
          <w:lang w:val="sr-Latn-ME"/>
        </w:rPr>
        <w:t>DOZVOLE</w:t>
      </w:r>
      <w:r w:rsidR="00C05DF8" w:rsidRPr="00611C50">
        <w:rPr>
          <w:b/>
          <w:bCs/>
          <w:sz w:val="22"/>
          <w:szCs w:val="22"/>
          <w:lang w:val="sr-Latn-ME"/>
        </w:rPr>
        <w:t>/OBNOVE DOZVOLE</w:t>
      </w:r>
      <w:r w:rsidR="008A6D43" w:rsidRPr="00611C50">
        <w:rPr>
          <w:b/>
          <w:bCs/>
          <w:sz w:val="22"/>
          <w:szCs w:val="22"/>
          <w:lang w:val="sr-Latn-ME"/>
        </w:rPr>
        <w:t xml:space="preserve"> ZA STAVLJANJE LIJEKA U PROMET</w:t>
      </w:r>
    </w:p>
    <w:p w:rsidR="0026073F" w:rsidRPr="00611C50" w:rsidRDefault="0026073F" w:rsidP="00AD0CC1">
      <w:pPr>
        <w:tabs>
          <w:tab w:val="left" w:pos="540"/>
          <w:tab w:val="left" w:pos="569"/>
        </w:tabs>
        <w:jc w:val="both"/>
        <w:rPr>
          <w:sz w:val="22"/>
          <w:szCs w:val="22"/>
          <w:lang w:val="sr-Latn-ME"/>
        </w:rPr>
      </w:pPr>
    </w:p>
    <w:p w:rsidR="0072020E" w:rsidRDefault="00E33CE6" w:rsidP="00AD0CC1">
      <w:pPr>
        <w:tabs>
          <w:tab w:val="left" w:pos="540"/>
          <w:tab w:val="left" w:pos="569"/>
        </w:tabs>
        <w:jc w:val="both"/>
        <w:rPr>
          <w:sz w:val="22"/>
          <w:szCs w:val="22"/>
          <w:lang w:val="sr-Latn-ME"/>
        </w:rPr>
      </w:pPr>
      <w:r>
        <w:rPr>
          <w:sz w:val="22"/>
          <w:szCs w:val="22"/>
          <w:lang w:val="sr-Latn-ME"/>
        </w:rPr>
        <w:t xml:space="preserve">Datum prve dozvole: </w:t>
      </w:r>
      <w:r w:rsidR="00806E4F" w:rsidRPr="00611C50">
        <w:rPr>
          <w:sz w:val="22"/>
          <w:szCs w:val="22"/>
          <w:lang w:val="sr-Latn-ME"/>
        </w:rPr>
        <w:t>27.06.2013. godine</w:t>
      </w:r>
    </w:p>
    <w:p w:rsidR="00E33CE6" w:rsidRDefault="00E33CE6" w:rsidP="00AD0CC1">
      <w:pPr>
        <w:tabs>
          <w:tab w:val="left" w:pos="540"/>
          <w:tab w:val="left" w:pos="569"/>
        </w:tabs>
        <w:jc w:val="both"/>
        <w:rPr>
          <w:sz w:val="22"/>
          <w:szCs w:val="22"/>
          <w:lang w:val="sr-Latn-ME"/>
        </w:rPr>
      </w:pPr>
      <w:r>
        <w:rPr>
          <w:sz w:val="22"/>
          <w:szCs w:val="22"/>
          <w:lang w:val="sr-Latn-ME"/>
        </w:rPr>
        <w:t>Datum poslednje obnove dozvole:</w:t>
      </w:r>
      <w:r w:rsidR="00A37551">
        <w:rPr>
          <w:sz w:val="22"/>
          <w:szCs w:val="22"/>
          <w:lang w:val="sr-Latn-ME"/>
        </w:rPr>
        <w:t xml:space="preserve"> 27.05.2024. godine</w:t>
      </w:r>
    </w:p>
    <w:p w:rsidR="00E33CE6" w:rsidRPr="00611C50" w:rsidRDefault="00E33CE6" w:rsidP="00AD0CC1">
      <w:pPr>
        <w:tabs>
          <w:tab w:val="left" w:pos="540"/>
          <w:tab w:val="left" w:pos="569"/>
        </w:tabs>
        <w:jc w:val="both"/>
        <w:rPr>
          <w:bCs/>
          <w:sz w:val="22"/>
          <w:szCs w:val="22"/>
          <w:lang w:val="sr-Latn-ME"/>
        </w:rPr>
      </w:pPr>
    </w:p>
    <w:p w:rsidR="00836B35" w:rsidRPr="00611C50" w:rsidRDefault="00836B35" w:rsidP="00AD0CC1">
      <w:pPr>
        <w:tabs>
          <w:tab w:val="left" w:pos="540"/>
          <w:tab w:val="left" w:pos="569"/>
        </w:tabs>
        <w:jc w:val="both"/>
        <w:rPr>
          <w:bCs/>
          <w:sz w:val="22"/>
          <w:szCs w:val="22"/>
          <w:lang w:val="sr-Latn-ME"/>
        </w:rPr>
      </w:pPr>
    </w:p>
    <w:p w:rsidR="003F6A59" w:rsidRPr="00611C50" w:rsidRDefault="0072020E" w:rsidP="00AD0CC1">
      <w:pPr>
        <w:tabs>
          <w:tab w:val="left" w:pos="540"/>
          <w:tab w:val="left" w:pos="569"/>
        </w:tabs>
        <w:ind w:left="540" w:hanging="540"/>
        <w:jc w:val="both"/>
        <w:rPr>
          <w:b/>
          <w:bCs/>
          <w:sz w:val="22"/>
          <w:szCs w:val="22"/>
          <w:lang w:val="sr-Latn-ME"/>
        </w:rPr>
      </w:pPr>
      <w:r w:rsidRPr="00611C50">
        <w:rPr>
          <w:b/>
          <w:bCs/>
          <w:sz w:val="22"/>
          <w:szCs w:val="22"/>
          <w:lang w:val="sr-Latn-ME"/>
        </w:rPr>
        <w:t xml:space="preserve">10. </w:t>
      </w:r>
      <w:r w:rsidR="00480FB1" w:rsidRPr="00611C50">
        <w:rPr>
          <w:b/>
          <w:bCs/>
          <w:sz w:val="22"/>
          <w:szCs w:val="22"/>
          <w:lang w:val="sr-Latn-ME"/>
        </w:rPr>
        <w:tab/>
      </w:r>
      <w:r w:rsidR="002846DB" w:rsidRPr="00611C50">
        <w:rPr>
          <w:b/>
          <w:bCs/>
          <w:sz w:val="22"/>
          <w:szCs w:val="22"/>
          <w:lang w:val="sr-Latn-ME"/>
        </w:rPr>
        <w:t>D</w:t>
      </w:r>
      <w:r w:rsidR="00EC2532" w:rsidRPr="00611C50">
        <w:rPr>
          <w:b/>
          <w:bCs/>
          <w:sz w:val="22"/>
          <w:szCs w:val="22"/>
          <w:lang w:val="sr-Latn-ME"/>
        </w:rPr>
        <w:t xml:space="preserve">ATUM REVIZIJE TEKSTA </w:t>
      </w:r>
    </w:p>
    <w:p w:rsidR="007F48B1" w:rsidRPr="00611C50" w:rsidRDefault="007F48B1" w:rsidP="00AD0CC1">
      <w:pPr>
        <w:tabs>
          <w:tab w:val="left" w:pos="540"/>
          <w:tab w:val="left" w:pos="569"/>
        </w:tabs>
        <w:ind w:left="540" w:hanging="540"/>
        <w:jc w:val="both"/>
        <w:rPr>
          <w:bCs/>
          <w:sz w:val="22"/>
          <w:szCs w:val="22"/>
          <w:lang w:val="sr-Latn-ME"/>
        </w:rPr>
      </w:pPr>
    </w:p>
    <w:p w:rsidR="008A6D43" w:rsidRPr="00611C50" w:rsidRDefault="00EB0562" w:rsidP="00AD0CC1">
      <w:pPr>
        <w:tabs>
          <w:tab w:val="left" w:pos="540"/>
          <w:tab w:val="left" w:pos="569"/>
        </w:tabs>
        <w:jc w:val="both"/>
        <w:rPr>
          <w:bCs/>
          <w:sz w:val="22"/>
          <w:szCs w:val="22"/>
          <w:lang w:val="sr-Latn-ME"/>
        </w:rPr>
      </w:pPr>
      <w:r>
        <w:rPr>
          <w:bCs/>
          <w:sz w:val="22"/>
          <w:szCs w:val="22"/>
          <w:lang w:val="sr-Latn-ME"/>
        </w:rPr>
        <w:t>Oktobar</w:t>
      </w:r>
      <w:r w:rsidR="00A37551">
        <w:rPr>
          <w:bCs/>
          <w:sz w:val="22"/>
          <w:szCs w:val="22"/>
          <w:lang w:val="sr-Latn-ME"/>
        </w:rPr>
        <w:t>, 20</w:t>
      </w:r>
      <w:r>
        <w:rPr>
          <w:bCs/>
          <w:sz w:val="22"/>
          <w:szCs w:val="22"/>
          <w:lang w:val="sr-Latn-ME"/>
        </w:rPr>
        <w:t>2</w:t>
      </w:r>
      <w:r w:rsidR="00A37551">
        <w:rPr>
          <w:bCs/>
          <w:sz w:val="22"/>
          <w:szCs w:val="22"/>
          <w:lang w:val="sr-Latn-ME"/>
        </w:rPr>
        <w:t>4. godine</w:t>
      </w:r>
    </w:p>
    <w:p w:rsidR="003F6A59" w:rsidRPr="00611C50" w:rsidRDefault="003F6A59" w:rsidP="00AD0CC1">
      <w:pPr>
        <w:jc w:val="both"/>
        <w:rPr>
          <w:sz w:val="22"/>
          <w:szCs w:val="22"/>
          <w:lang w:val="sr-Latn-ME"/>
        </w:rPr>
      </w:pPr>
    </w:p>
    <w:sectPr w:rsidR="003F6A59" w:rsidRPr="00611C50" w:rsidSect="00EF3B86">
      <w:footerReference w:type="default" r:id="rId1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D3D" w:rsidRDefault="00112D3D">
      <w:r>
        <w:separator/>
      </w:r>
    </w:p>
  </w:endnote>
  <w:endnote w:type="continuationSeparator" w:id="0">
    <w:p w:rsidR="00112D3D" w:rsidRDefault="0011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CC1" w:rsidRPr="00B23F69" w:rsidRDefault="00AD0CC1"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E09B6">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E09B6">
      <w:rPr>
        <w:noProof/>
        <w:sz w:val="22"/>
        <w:szCs w:val="22"/>
      </w:rPr>
      <w:t>22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D3D" w:rsidRDefault="00112D3D">
      <w:r>
        <w:separator/>
      </w:r>
    </w:p>
  </w:footnote>
  <w:footnote w:type="continuationSeparator" w:id="0">
    <w:p w:rsidR="00112D3D" w:rsidRDefault="00112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6pt;height:14.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AFD2AB6"/>
    <w:multiLevelType w:val="hybridMultilevel"/>
    <w:tmpl w:val="89F05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A3E6A"/>
    <w:multiLevelType w:val="hybridMultilevel"/>
    <w:tmpl w:val="4560CFA8"/>
    <w:lvl w:ilvl="0" w:tplc="88CC77E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2"/>
  </w:num>
  <w:num w:numId="11">
    <w:abstractNumId w:val="5"/>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76726"/>
    <w:rsid w:val="00080303"/>
    <w:rsid w:val="00085DEF"/>
    <w:rsid w:val="00090E88"/>
    <w:rsid w:val="000A3F58"/>
    <w:rsid w:val="000D2343"/>
    <w:rsid w:val="000D3449"/>
    <w:rsid w:val="000D425A"/>
    <w:rsid w:val="000D60CC"/>
    <w:rsid w:val="000E2084"/>
    <w:rsid w:val="000E3627"/>
    <w:rsid w:val="000E3C2C"/>
    <w:rsid w:val="000E6F55"/>
    <w:rsid w:val="000F77FA"/>
    <w:rsid w:val="00107BF7"/>
    <w:rsid w:val="00112D3D"/>
    <w:rsid w:val="00113BD0"/>
    <w:rsid w:val="00126F53"/>
    <w:rsid w:val="00140ED9"/>
    <w:rsid w:val="0014766D"/>
    <w:rsid w:val="001536CC"/>
    <w:rsid w:val="00155BA3"/>
    <w:rsid w:val="00163FBA"/>
    <w:rsid w:val="001A3FBA"/>
    <w:rsid w:val="001A5518"/>
    <w:rsid w:val="001A6F3C"/>
    <w:rsid w:val="001B1C6A"/>
    <w:rsid w:val="001C1263"/>
    <w:rsid w:val="001C1417"/>
    <w:rsid w:val="001E390B"/>
    <w:rsid w:val="001F42FB"/>
    <w:rsid w:val="001F719A"/>
    <w:rsid w:val="002031B3"/>
    <w:rsid w:val="00215931"/>
    <w:rsid w:val="00227BDB"/>
    <w:rsid w:val="00234CB1"/>
    <w:rsid w:val="002352F8"/>
    <w:rsid w:val="00246925"/>
    <w:rsid w:val="002510A5"/>
    <w:rsid w:val="00254A0A"/>
    <w:rsid w:val="0026073F"/>
    <w:rsid w:val="00266046"/>
    <w:rsid w:val="002846DB"/>
    <w:rsid w:val="00284CCD"/>
    <w:rsid w:val="002A62DB"/>
    <w:rsid w:val="002C6637"/>
    <w:rsid w:val="002E0135"/>
    <w:rsid w:val="002E37A5"/>
    <w:rsid w:val="00310F03"/>
    <w:rsid w:val="00316120"/>
    <w:rsid w:val="003247D2"/>
    <w:rsid w:val="003445C1"/>
    <w:rsid w:val="00345549"/>
    <w:rsid w:val="00355B61"/>
    <w:rsid w:val="0036215E"/>
    <w:rsid w:val="00362686"/>
    <w:rsid w:val="00371510"/>
    <w:rsid w:val="00396DFD"/>
    <w:rsid w:val="003A7059"/>
    <w:rsid w:val="003B7A36"/>
    <w:rsid w:val="003C17AB"/>
    <w:rsid w:val="003C7823"/>
    <w:rsid w:val="003E1DCC"/>
    <w:rsid w:val="003F6A59"/>
    <w:rsid w:val="004065C8"/>
    <w:rsid w:val="00411B4B"/>
    <w:rsid w:val="00415BEE"/>
    <w:rsid w:val="00427F85"/>
    <w:rsid w:val="00433945"/>
    <w:rsid w:val="00436F42"/>
    <w:rsid w:val="004378B4"/>
    <w:rsid w:val="00451314"/>
    <w:rsid w:val="00452E9D"/>
    <w:rsid w:val="004534C7"/>
    <w:rsid w:val="004671AA"/>
    <w:rsid w:val="00472149"/>
    <w:rsid w:val="00480FB1"/>
    <w:rsid w:val="00483928"/>
    <w:rsid w:val="004C5369"/>
    <w:rsid w:val="004D6103"/>
    <w:rsid w:val="004E3BCE"/>
    <w:rsid w:val="004F0E97"/>
    <w:rsid w:val="00515C21"/>
    <w:rsid w:val="00530BD7"/>
    <w:rsid w:val="00533E44"/>
    <w:rsid w:val="00545CD2"/>
    <w:rsid w:val="005476F3"/>
    <w:rsid w:val="00572527"/>
    <w:rsid w:val="00573E40"/>
    <w:rsid w:val="00576348"/>
    <w:rsid w:val="005A0B2E"/>
    <w:rsid w:val="005A23D2"/>
    <w:rsid w:val="005A36CB"/>
    <w:rsid w:val="005B49B8"/>
    <w:rsid w:val="005C0741"/>
    <w:rsid w:val="005C5EF4"/>
    <w:rsid w:val="005E2E0B"/>
    <w:rsid w:val="005E7A7D"/>
    <w:rsid w:val="00611C50"/>
    <w:rsid w:val="00615A2A"/>
    <w:rsid w:val="00646BD1"/>
    <w:rsid w:val="006561C2"/>
    <w:rsid w:val="00671CB3"/>
    <w:rsid w:val="00674BAF"/>
    <w:rsid w:val="00682200"/>
    <w:rsid w:val="006A1497"/>
    <w:rsid w:val="006B0BD1"/>
    <w:rsid w:val="006D20A5"/>
    <w:rsid w:val="006D37BF"/>
    <w:rsid w:val="00702E22"/>
    <w:rsid w:val="0072020E"/>
    <w:rsid w:val="00732F6F"/>
    <w:rsid w:val="00786071"/>
    <w:rsid w:val="007A3ECB"/>
    <w:rsid w:val="007A4491"/>
    <w:rsid w:val="007F48B1"/>
    <w:rsid w:val="00806E4F"/>
    <w:rsid w:val="00824AB9"/>
    <w:rsid w:val="00836B35"/>
    <w:rsid w:val="008420D7"/>
    <w:rsid w:val="00843BDE"/>
    <w:rsid w:val="008547F7"/>
    <w:rsid w:val="0088389B"/>
    <w:rsid w:val="0089705C"/>
    <w:rsid w:val="008A6D43"/>
    <w:rsid w:val="008B491E"/>
    <w:rsid w:val="008C1A28"/>
    <w:rsid w:val="008C2E98"/>
    <w:rsid w:val="008E09B6"/>
    <w:rsid w:val="008E49BD"/>
    <w:rsid w:val="008E53E9"/>
    <w:rsid w:val="008E5771"/>
    <w:rsid w:val="00940B9B"/>
    <w:rsid w:val="0095676E"/>
    <w:rsid w:val="00956983"/>
    <w:rsid w:val="00963CF0"/>
    <w:rsid w:val="00964BB1"/>
    <w:rsid w:val="00973113"/>
    <w:rsid w:val="009775D9"/>
    <w:rsid w:val="00980C04"/>
    <w:rsid w:val="00997175"/>
    <w:rsid w:val="009A1564"/>
    <w:rsid w:val="009A1847"/>
    <w:rsid w:val="009B062A"/>
    <w:rsid w:val="009D4A73"/>
    <w:rsid w:val="009E7C6F"/>
    <w:rsid w:val="009F1793"/>
    <w:rsid w:val="009F2D23"/>
    <w:rsid w:val="00A01D69"/>
    <w:rsid w:val="00A02335"/>
    <w:rsid w:val="00A37551"/>
    <w:rsid w:val="00A46C9A"/>
    <w:rsid w:val="00A619F3"/>
    <w:rsid w:val="00A62A73"/>
    <w:rsid w:val="00A87FF6"/>
    <w:rsid w:val="00AA0A3B"/>
    <w:rsid w:val="00AA327E"/>
    <w:rsid w:val="00AA5A0B"/>
    <w:rsid w:val="00AB0F30"/>
    <w:rsid w:val="00AB50CA"/>
    <w:rsid w:val="00AC53CE"/>
    <w:rsid w:val="00AD0CC1"/>
    <w:rsid w:val="00AD2193"/>
    <w:rsid w:val="00AD3364"/>
    <w:rsid w:val="00AF2AC7"/>
    <w:rsid w:val="00AF5291"/>
    <w:rsid w:val="00AF74CE"/>
    <w:rsid w:val="00B208DB"/>
    <w:rsid w:val="00B23F69"/>
    <w:rsid w:val="00B60619"/>
    <w:rsid w:val="00B66A70"/>
    <w:rsid w:val="00B67366"/>
    <w:rsid w:val="00B80EE1"/>
    <w:rsid w:val="00B84135"/>
    <w:rsid w:val="00BA4A6C"/>
    <w:rsid w:val="00BC0851"/>
    <w:rsid w:val="00BF3952"/>
    <w:rsid w:val="00C04D34"/>
    <w:rsid w:val="00C05DF8"/>
    <w:rsid w:val="00C06864"/>
    <w:rsid w:val="00C10F54"/>
    <w:rsid w:val="00C23D8D"/>
    <w:rsid w:val="00C37AA3"/>
    <w:rsid w:val="00C37FD7"/>
    <w:rsid w:val="00C43419"/>
    <w:rsid w:val="00C44CF3"/>
    <w:rsid w:val="00C60F64"/>
    <w:rsid w:val="00C61BE0"/>
    <w:rsid w:val="00C70B0E"/>
    <w:rsid w:val="00C773CA"/>
    <w:rsid w:val="00C80AC1"/>
    <w:rsid w:val="00C83785"/>
    <w:rsid w:val="00C94C0D"/>
    <w:rsid w:val="00CA1FEB"/>
    <w:rsid w:val="00CD4F85"/>
    <w:rsid w:val="00CD6F02"/>
    <w:rsid w:val="00CE246D"/>
    <w:rsid w:val="00CF07A0"/>
    <w:rsid w:val="00CF3E03"/>
    <w:rsid w:val="00CF7C94"/>
    <w:rsid w:val="00D0082A"/>
    <w:rsid w:val="00D21455"/>
    <w:rsid w:val="00D47634"/>
    <w:rsid w:val="00D709B3"/>
    <w:rsid w:val="00D80D1B"/>
    <w:rsid w:val="00DA2ED6"/>
    <w:rsid w:val="00DB76B8"/>
    <w:rsid w:val="00DC2EA1"/>
    <w:rsid w:val="00DD6AAF"/>
    <w:rsid w:val="00DE3F5C"/>
    <w:rsid w:val="00DF1D20"/>
    <w:rsid w:val="00E15F33"/>
    <w:rsid w:val="00E21324"/>
    <w:rsid w:val="00E246B9"/>
    <w:rsid w:val="00E27DAE"/>
    <w:rsid w:val="00E31FEA"/>
    <w:rsid w:val="00E33CE6"/>
    <w:rsid w:val="00E45169"/>
    <w:rsid w:val="00E47787"/>
    <w:rsid w:val="00E51C30"/>
    <w:rsid w:val="00E64180"/>
    <w:rsid w:val="00E74AEE"/>
    <w:rsid w:val="00E868E5"/>
    <w:rsid w:val="00E9237A"/>
    <w:rsid w:val="00E939FA"/>
    <w:rsid w:val="00EA5765"/>
    <w:rsid w:val="00EB0562"/>
    <w:rsid w:val="00EC2532"/>
    <w:rsid w:val="00ED7812"/>
    <w:rsid w:val="00EF3B86"/>
    <w:rsid w:val="00F02359"/>
    <w:rsid w:val="00F317E9"/>
    <w:rsid w:val="00F34554"/>
    <w:rsid w:val="00F45F77"/>
    <w:rsid w:val="00F5167F"/>
    <w:rsid w:val="00F52258"/>
    <w:rsid w:val="00F82442"/>
    <w:rsid w:val="00F8570A"/>
    <w:rsid w:val="00F91C7B"/>
    <w:rsid w:val="00FB11D0"/>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E72673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F82442"/>
    <w:rPr>
      <w:sz w:val="24"/>
      <w:szCs w:val="24"/>
      <w:lang w:val="en-US" w:eastAsia="en-US"/>
    </w:rPr>
  </w:style>
  <w:style w:type="paragraph" w:styleId="ListParagraph">
    <w:name w:val="List Paragraph"/>
    <w:basedOn w:val="Normal"/>
    <w:qFormat/>
    <w:rsid w:val="00806E4F"/>
    <w:pPr>
      <w:tabs>
        <w:tab w:val="left" w:pos="284"/>
      </w:tabs>
      <w:ind w:left="720"/>
      <w:jc w:val="both"/>
    </w:pPr>
    <w:rPr>
      <w:rFonts w:ascii="Humanist777" w:hAnsi="Humanist777"/>
    </w:rPr>
  </w:style>
  <w:style w:type="character" w:styleId="Hyperlink">
    <w:name w:val="Hyperlink"/>
    <w:basedOn w:val="DefaultParagraphFont"/>
    <w:rsid w:val="00E27DAE"/>
    <w:rPr>
      <w:color w:val="0563C1" w:themeColor="hyperlink"/>
      <w:u w:val="single"/>
    </w:rPr>
  </w:style>
  <w:style w:type="paragraph" w:styleId="Revision">
    <w:name w:val="Revision"/>
    <w:hidden/>
    <w:uiPriority w:val="99"/>
    <w:semiHidden/>
    <w:rsid w:val="00533E4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1671">
      <w:bodyDiv w:val="1"/>
      <w:marLeft w:val="0"/>
      <w:marRight w:val="0"/>
      <w:marTop w:val="0"/>
      <w:marBottom w:val="0"/>
      <w:divBdr>
        <w:top w:val="none" w:sz="0" w:space="0" w:color="auto"/>
        <w:left w:val="none" w:sz="0" w:space="0" w:color="auto"/>
        <w:bottom w:val="none" w:sz="0" w:space="0" w:color="auto"/>
        <w:right w:val="none" w:sz="0" w:space="0" w:color="auto"/>
      </w:divBdr>
    </w:div>
    <w:div w:id="37438725">
      <w:bodyDiv w:val="1"/>
      <w:marLeft w:val="0"/>
      <w:marRight w:val="0"/>
      <w:marTop w:val="0"/>
      <w:marBottom w:val="0"/>
      <w:divBdr>
        <w:top w:val="none" w:sz="0" w:space="0" w:color="auto"/>
        <w:left w:val="none" w:sz="0" w:space="0" w:color="auto"/>
        <w:bottom w:val="none" w:sz="0" w:space="0" w:color="auto"/>
        <w:right w:val="none" w:sz="0" w:space="0" w:color="auto"/>
      </w:divBdr>
    </w:div>
    <w:div w:id="87308850">
      <w:bodyDiv w:val="1"/>
      <w:marLeft w:val="0"/>
      <w:marRight w:val="0"/>
      <w:marTop w:val="0"/>
      <w:marBottom w:val="0"/>
      <w:divBdr>
        <w:top w:val="none" w:sz="0" w:space="0" w:color="auto"/>
        <w:left w:val="none" w:sz="0" w:space="0" w:color="auto"/>
        <w:bottom w:val="none" w:sz="0" w:space="0" w:color="auto"/>
        <w:right w:val="none" w:sz="0" w:space="0" w:color="auto"/>
      </w:divBdr>
    </w:div>
    <w:div w:id="140079683">
      <w:bodyDiv w:val="1"/>
      <w:marLeft w:val="0"/>
      <w:marRight w:val="0"/>
      <w:marTop w:val="0"/>
      <w:marBottom w:val="0"/>
      <w:divBdr>
        <w:top w:val="none" w:sz="0" w:space="0" w:color="auto"/>
        <w:left w:val="none" w:sz="0" w:space="0" w:color="auto"/>
        <w:bottom w:val="none" w:sz="0" w:space="0" w:color="auto"/>
        <w:right w:val="none" w:sz="0" w:space="0" w:color="auto"/>
      </w:divBdr>
    </w:div>
    <w:div w:id="205919159">
      <w:bodyDiv w:val="1"/>
      <w:marLeft w:val="0"/>
      <w:marRight w:val="0"/>
      <w:marTop w:val="0"/>
      <w:marBottom w:val="0"/>
      <w:divBdr>
        <w:top w:val="none" w:sz="0" w:space="0" w:color="auto"/>
        <w:left w:val="none" w:sz="0" w:space="0" w:color="auto"/>
        <w:bottom w:val="none" w:sz="0" w:space="0" w:color="auto"/>
        <w:right w:val="none" w:sz="0" w:space="0" w:color="auto"/>
      </w:divBdr>
    </w:div>
    <w:div w:id="477772165">
      <w:bodyDiv w:val="1"/>
      <w:marLeft w:val="0"/>
      <w:marRight w:val="0"/>
      <w:marTop w:val="0"/>
      <w:marBottom w:val="0"/>
      <w:divBdr>
        <w:top w:val="none" w:sz="0" w:space="0" w:color="auto"/>
        <w:left w:val="none" w:sz="0" w:space="0" w:color="auto"/>
        <w:bottom w:val="none" w:sz="0" w:space="0" w:color="auto"/>
        <w:right w:val="none" w:sz="0" w:space="0" w:color="auto"/>
      </w:divBdr>
    </w:div>
    <w:div w:id="486216141">
      <w:bodyDiv w:val="1"/>
      <w:marLeft w:val="0"/>
      <w:marRight w:val="0"/>
      <w:marTop w:val="0"/>
      <w:marBottom w:val="0"/>
      <w:divBdr>
        <w:top w:val="none" w:sz="0" w:space="0" w:color="auto"/>
        <w:left w:val="none" w:sz="0" w:space="0" w:color="auto"/>
        <w:bottom w:val="none" w:sz="0" w:space="0" w:color="auto"/>
        <w:right w:val="none" w:sz="0" w:space="0" w:color="auto"/>
      </w:divBdr>
    </w:div>
    <w:div w:id="498616418">
      <w:bodyDiv w:val="1"/>
      <w:marLeft w:val="0"/>
      <w:marRight w:val="0"/>
      <w:marTop w:val="0"/>
      <w:marBottom w:val="0"/>
      <w:divBdr>
        <w:top w:val="none" w:sz="0" w:space="0" w:color="auto"/>
        <w:left w:val="none" w:sz="0" w:space="0" w:color="auto"/>
        <w:bottom w:val="none" w:sz="0" w:space="0" w:color="auto"/>
        <w:right w:val="none" w:sz="0" w:space="0" w:color="auto"/>
      </w:divBdr>
    </w:div>
    <w:div w:id="518355279">
      <w:bodyDiv w:val="1"/>
      <w:marLeft w:val="0"/>
      <w:marRight w:val="0"/>
      <w:marTop w:val="0"/>
      <w:marBottom w:val="0"/>
      <w:divBdr>
        <w:top w:val="none" w:sz="0" w:space="0" w:color="auto"/>
        <w:left w:val="none" w:sz="0" w:space="0" w:color="auto"/>
        <w:bottom w:val="none" w:sz="0" w:space="0" w:color="auto"/>
        <w:right w:val="none" w:sz="0" w:space="0" w:color="auto"/>
      </w:divBdr>
    </w:div>
    <w:div w:id="553662652">
      <w:bodyDiv w:val="1"/>
      <w:marLeft w:val="0"/>
      <w:marRight w:val="0"/>
      <w:marTop w:val="0"/>
      <w:marBottom w:val="0"/>
      <w:divBdr>
        <w:top w:val="none" w:sz="0" w:space="0" w:color="auto"/>
        <w:left w:val="none" w:sz="0" w:space="0" w:color="auto"/>
        <w:bottom w:val="none" w:sz="0" w:space="0" w:color="auto"/>
        <w:right w:val="none" w:sz="0" w:space="0" w:color="auto"/>
      </w:divBdr>
    </w:div>
    <w:div w:id="567768920">
      <w:bodyDiv w:val="1"/>
      <w:marLeft w:val="0"/>
      <w:marRight w:val="0"/>
      <w:marTop w:val="0"/>
      <w:marBottom w:val="0"/>
      <w:divBdr>
        <w:top w:val="none" w:sz="0" w:space="0" w:color="auto"/>
        <w:left w:val="none" w:sz="0" w:space="0" w:color="auto"/>
        <w:bottom w:val="none" w:sz="0" w:space="0" w:color="auto"/>
        <w:right w:val="none" w:sz="0" w:space="0" w:color="auto"/>
      </w:divBdr>
    </w:div>
    <w:div w:id="625160350">
      <w:bodyDiv w:val="1"/>
      <w:marLeft w:val="0"/>
      <w:marRight w:val="0"/>
      <w:marTop w:val="0"/>
      <w:marBottom w:val="0"/>
      <w:divBdr>
        <w:top w:val="none" w:sz="0" w:space="0" w:color="auto"/>
        <w:left w:val="none" w:sz="0" w:space="0" w:color="auto"/>
        <w:bottom w:val="none" w:sz="0" w:space="0" w:color="auto"/>
        <w:right w:val="none" w:sz="0" w:space="0" w:color="auto"/>
      </w:divBdr>
    </w:div>
    <w:div w:id="697781472">
      <w:bodyDiv w:val="1"/>
      <w:marLeft w:val="0"/>
      <w:marRight w:val="0"/>
      <w:marTop w:val="0"/>
      <w:marBottom w:val="0"/>
      <w:divBdr>
        <w:top w:val="none" w:sz="0" w:space="0" w:color="auto"/>
        <w:left w:val="none" w:sz="0" w:space="0" w:color="auto"/>
        <w:bottom w:val="none" w:sz="0" w:space="0" w:color="auto"/>
        <w:right w:val="none" w:sz="0" w:space="0" w:color="auto"/>
      </w:divBdr>
    </w:div>
    <w:div w:id="791703077">
      <w:bodyDiv w:val="1"/>
      <w:marLeft w:val="0"/>
      <w:marRight w:val="0"/>
      <w:marTop w:val="0"/>
      <w:marBottom w:val="0"/>
      <w:divBdr>
        <w:top w:val="none" w:sz="0" w:space="0" w:color="auto"/>
        <w:left w:val="none" w:sz="0" w:space="0" w:color="auto"/>
        <w:bottom w:val="none" w:sz="0" w:space="0" w:color="auto"/>
        <w:right w:val="none" w:sz="0" w:space="0" w:color="auto"/>
      </w:divBdr>
    </w:div>
    <w:div w:id="811098356">
      <w:bodyDiv w:val="1"/>
      <w:marLeft w:val="0"/>
      <w:marRight w:val="0"/>
      <w:marTop w:val="0"/>
      <w:marBottom w:val="0"/>
      <w:divBdr>
        <w:top w:val="none" w:sz="0" w:space="0" w:color="auto"/>
        <w:left w:val="none" w:sz="0" w:space="0" w:color="auto"/>
        <w:bottom w:val="none" w:sz="0" w:space="0" w:color="auto"/>
        <w:right w:val="none" w:sz="0" w:space="0" w:color="auto"/>
      </w:divBdr>
    </w:div>
    <w:div w:id="999307019">
      <w:bodyDiv w:val="1"/>
      <w:marLeft w:val="0"/>
      <w:marRight w:val="0"/>
      <w:marTop w:val="0"/>
      <w:marBottom w:val="0"/>
      <w:divBdr>
        <w:top w:val="none" w:sz="0" w:space="0" w:color="auto"/>
        <w:left w:val="none" w:sz="0" w:space="0" w:color="auto"/>
        <w:bottom w:val="none" w:sz="0" w:space="0" w:color="auto"/>
        <w:right w:val="none" w:sz="0" w:space="0" w:color="auto"/>
      </w:divBdr>
    </w:div>
    <w:div w:id="1035350103">
      <w:bodyDiv w:val="1"/>
      <w:marLeft w:val="0"/>
      <w:marRight w:val="0"/>
      <w:marTop w:val="0"/>
      <w:marBottom w:val="0"/>
      <w:divBdr>
        <w:top w:val="none" w:sz="0" w:space="0" w:color="auto"/>
        <w:left w:val="none" w:sz="0" w:space="0" w:color="auto"/>
        <w:bottom w:val="none" w:sz="0" w:space="0" w:color="auto"/>
        <w:right w:val="none" w:sz="0" w:space="0" w:color="auto"/>
      </w:divBdr>
    </w:div>
    <w:div w:id="1048530685">
      <w:bodyDiv w:val="1"/>
      <w:marLeft w:val="0"/>
      <w:marRight w:val="0"/>
      <w:marTop w:val="0"/>
      <w:marBottom w:val="0"/>
      <w:divBdr>
        <w:top w:val="none" w:sz="0" w:space="0" w:color="auto"/>
        <w:left w:val="none" w:sz="0" w:space="0" w:color="auto"/>
        <w:bottom w:val="none" w:sz="0" w:space="0" w:color="auto"/>
        <w:right w:val="none" w:sz="0" w:space="0" w:color="auto"/>
      </w:divBdr>
    </w:div>
    <w:div w:id="1064448177">
      <w:bodyDiv w:val="1"/>
      <w:marLeft w:val="0"/>
      <w:marRight w:val="0"/>
      <w:marTop w:val="0"/>
      <w:marBottom w:val="0"/>
      <w:divBdr>
        <w:top w:val="none" w:sz="0" w:space="0" w:color="auto"/>
        <w:left w:val="none" w:sz="0" w:space="0" w:color="auto"/>
        <w:bottom w:val="none" w:sz="0" w:space="0" w:color="auto"/>
        <w:right w:val="none" w:sz="0" w:space="0" w:color="auto"/>
      </w:divBdr>
    </w:div>
    <w:div w:id="1070467816">
      <w:bodyDiv w:val="1"/>
      <w:marLeft w:val="0"/>
      <w:marRight w:val="0"/>
      <w:marTop w:val="0"/>
      <w:marBottom w:val="0"/>
      <w:divBdr>
        <w:top w:val="none" w:sz="0" w:space="0" w:color="auto"/>
        <w:left w:val="none" w:sz="0" w:space="0" w:color="auto"/>
        <w:bottom w:val="none" w:sz="0" w:space="0" w:color="auto"/>
        <w:right w:val="none" w:sz="0" w:space="0" w:color="auto"/>
      </w:divBdr>
    </w:div>
    <w:div w:id="1073315350">
      <w:bodyDiv w:val="1"/>
      <w:marLeft w:val="0"/>
      <w:marRight w:val="0"/>
      <w:marTop w:val="0"/>
      <w:marBottom w:val="0"/>
      <w:divBdr>
        <w:top w:val="none" w:sz="0" w:space="0" w:color="auto"/>
        <w:left w:val="none" w:sz="0" w:space="0" w:color="auto"/>
        <w:bottom w:val="none" w:sz="0" w:space="0" w:color="auto"/>
        <w:right w:val="none" w:sz="0" w:space="0" w:color="auto"/>
      </w:divBdr>
    </w:div>
    <w:div w:id="1111971871">
      <w:bodyDiv w:val="1"/>
      <w:marLeft w:val="0"/>
      <w:marRight w:val="0"/>
      <w:marTop w:val="0"/>
      <w:marBottom w:val="0"/>
      <w:divBdr>
        <w:top w:val="none" w:sz="0" w:space="0" w:color="auto"/>
        <w:left w:val="none" w:sz="0" w:space="0" w:color="auto"/>
        <w:bottom w:val="none" w:sz="0" w:space="0" w:color="auto"/>
        <w:right w:val="none" w:sz="0" w:space="0" w:color="auto"/>
      </w:divBdr>
    </w:div>
    <w:div w:id="1145274021">
      <w:bodyDiv w:val="1"/>
      <w:marLeft w:val="0"/>
      <w:marRight w:val="0"/>
      <w:marTop w:val="0"/>
      <w:marBottom w:val="0"/>
      <w:divBdr>
        <w:top w:val="none" w:sz="0" w:space="0" w:color="auto"/>
        <w:left w:val="none" w:sz="0" w:space="0" w:color="auto"/>
        <w:bottom w:val="none" w:sz="0" w:space="0" w:color="auto"/>
        <w:right w:val="none" w:sz="0" w:space="0" w:color="auto"/>
      </w:divBdr>
    </w:div>
    <w:div w:id="1343168682">
      <w:bodyDiv w:val="1"/>
      <w:marLeft w:val="0"/>
      <w:marRight w:val="0"/>
      <w:marTop w:val="0"/>
      <w:marBottom w:val="0"/>
      <w:divBdr>
        <w:top w:val="none" w:sz="0" w:space="0" w:color="auto"/>
        <w:left w:val="none" w:sz="0" w:space="0" w:color="auto"/>
        <w:bottom w:val="none" w:sz="0" w:space="0" w:color="auto"/>
        <w:right w:val="none" w:sz="0" w:space="0" w:color="auto"/>
      </w:divBdr>
    </w:div>
    <w:div w:id="1346133845">
      <w:bodyDiv w:val="1"/>
      <w:marLeft w:val="0"/>
      <w:marRight w:val="0"/>
      <w:marTop w:val="0"/>
      <w:marBottom w:val="0"/>
      <w:divBdr>
        <w:top w:val="none" w:sz="0" w:space="0" w:color="auto"/>
        <w:left w:val="none" w:sz="0" w:space="0" w:color="auto"/>
        <w:bottom w:val="none" w:sz="0" w:space="0" w:color="auto"/>
        <w:right w:val="none" w:sz="0" w:space="0" w:color="auto"/>
      </w:divBdr>
    </w:div>
    <w:div w:id="1557886784">
      <w:bodyDiv w:val="1"/>
      <w:marLeft w:val="0"/>
      <w:marRight w:val="0"/>
      <w:marTop w:val="0"/>
      <w:marBottom w:val="0"/>
      <w:divBdr>
        <w:top w:val="none" w:sz="0" w:space="0" w:color="auto"/>
        <w:left w:val="none" w:sz="0" w:space="0" w:color="auto"/>
        <w:bottom w:val="none" w:sz="0" w:space="0" w:color="auto"/>
        <w:right w:val="none" w:sz="0" w:space="0" w:color="auto"/>
      </w:divBdr>
    </w:div>
    <w:div w:id="1638608455">
      <w:bodyDiv w:val="1"/>
      <w:marLeft w:val="0"/>
      <w:marRight w:val="0"/>
      <w:marTop w:val="0"/>
      <w:marBottom w:val="0"/>
      <w:divBdr>
        <w:top w:val="none" w:sz="0" w:space="0" w:color="auto"/>
        <w:left w:val="none" w:sz="0" w:space="0" w:color="auto"/>
        <w:bottom w:val="none" w:sz="0" w:space="0" w:color="auto"/>
        <w:right w:val="none" w:sz="0" w:space="0" w:color="auto"/>
      </w:divBdr>
    </w:div>
    <w:div w:id="1670330602">
      <w:bodyDiv w:val="1"/>
      <w:marLeft w:val="0"/>
      <w:marRight w:val="0"/>
      <w:marTop w:val="0"/>
      <w:marBottom w:val="0"/>
      <w:divBdr>
        <w:top w:val="none" w:sz="0" w:space="0" w:color="auto"/>
        <w:left w:val="none" w:sz="0" w:space="0" w:color="auto"/>
        <w:bottom w:val="none" w:sz="0" w:space="0" w:color="auto"/>
        <w:right w:val="none" w:sz="0" w:space="0" w:color="auto"/>
      </w:divBdr>
    </w:div>
    <w:div w:id="1717776067">
      <w:bodyDiv w:val="1"/>
      <w:marLeft w:val="0"/>
      <w:marRight w:val="0"/>
      <w:marTop w:val="0"/>
      <w:marBottom w:val="0"/>
      <w:divBdr>
        <w:top w:val="none" w:sz="0" w:space="0" w:color="auto"/>
        <w:left w:val="none" w:sz="0" w:space="0" w:color="auto"/>
        <w:bottom w:val="none" w:sz="0" w:space="0" w:color="auto"/>
        <w:right w:val="none" w:sz="0" w:space="0" w:color="auto"/>
      </w:divBdr>
    </w:div>
    <w:div w:id="1726291095">
      <w:bodyDiv w:val="1"/>
      <w:marLeft w:val="0"/>
      <w:marRight w:val="0"/>
      <w:marTop w:val="0"/>
      <w:marBottom w:val="0"/>
      <w:divBdr>
        <w:top w:val="none" w:sz="0" w:space="0" w:color="auto"/>
        <w:left w:val="none" w:sz="0" w:space="0" w:color="auto"/>
        <w:bottom w:val="none" w:sz="0" w:space="0" w:color="auto"/>
        <w:right w:val="none" w:sz="0" w:space="0" w:color="auto"/>
      </w:divBdr>
    </w:div>
    <w:div w:id="1770390772">
      <w:bodyDiv w:val="1"/>
      <w:marLeft w:val="0"/>
      <w:marRight w:val="0"/>
      <w:marTop w:val="0"/>
      <w:marBottom w:val="0"/>
      <w:divBdr>
        <w:top w:val="none" w:sz="0" w:space="0" w:color="auto"/>
        <w:left w:val="none" w:sz="0" w:space="0" w:color="auto"/>
        <w:bottom w:val="none" w:sz="0" w:space="0" w:color="auto"/>
        <w:right w:val="none" w:sz="0" w:space="0" w:color="auto"/>
      </w:divBdr>
    </w:div>
    <w:div w:id="1945724298">
      <w:bodyDiv w:val="1"/>
      <w:marLeft w:val="0"/>
      <w:marRight w:val="0"/>
      <w:marTop w:val="0"/>
      <w:marBottom w:val="0"/>
      <w:divBdr>
        <w:top w:val="none" w:sz="0" w:space="0" w:color="auto"/>
        <w:left w:val="none" w:sz="0" w:space="0" w:color="auto"/>
        <w:bottom w:val="none" w:sz="0" w:space="0" w:color="auto"/>
        <w:right w:val="none" w:sz="0" w:space="0" w:color="auto"/>
      </w:divBdr>
    </w:div>
    <w:div w:id="2057121792">
      <w:bodyDiv w:val="1"/>
      <w:marLeft w:val="0"/>
      <w:marRight w:val="0"/>
      <w:marTop w:val="0"/>
      <w:marBottom w:val="0"/>
      <w:divBdr>
        <w:top w:val="none" w:sz="0" w:space="0" w:color="auto"/>
        <w:left w:val="none" w:sz="0" w:space="0" w:color="auto"/>
        <w:bottom w:val="none" w:sz="0" w:space="0" w:color="auto"/>
        <w:right w:val="none" w:sz="0" w:space="0" w:color="auto"/>
      </w:divBdr>
    </w:div>
    <w:div w:id="2073190061">
      <w:bodyDiv w:val="1"/>
      <w:marLeft w:val="0"/>
      <w:marRight w:val="0"/>
      <w:marTop w:val="0"/>
      <w:marBottom w:val="0"/>
      <w:divBdr>
        <w:top w:val="none" w:sz="0" w:space="0" w:color="auto"/>
        <w:left w:val="none" w:sz="0" w:space="0" w:color="auto"/>
        <w:bottom w:val="none" w:sz="0" w:space="0" w:color="auto"/>
        <w:right w:val="none" w:sz="0" w:space="0" w:color="auto"/>
      </w:divBdr>
    </w:div>
    <w:div w:id="208702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EDC69-120A-402A-91FB-C7422A92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9323</Words>
  <Characters>53146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62345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Berina Ljuca</cp:lastModifiedBy>
  <cp:revision>2</cp:revision>
  <cp:lastPrinted>2024-06-04T11:23:00Z</cp:lastPrinted>
  <dcterms:created xsi:type="dcterms:W3CDTF">2024-10-03T06:22:00Z</dcterms:created>
  <dcterms:modified xsi:type="dcterms:W3CDTF">2024-10-03T06:22:00Z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