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F508A" w14:textId="77777777" w:rsidR="001A5518" w:rsidRPr="009602D1" w:rsidRDefault="001A5518" w:rsidP="001A5518">
      <w:pPr>
        <w:rPr>
          <w:b/>
          <w:bCs/>
          <w:i/>
          <w:iCs/>
          <w:sz w:val="22"/>
          <w:szCs w:val="22"/>
          <w:u w:val="single"/>
          <w:lang w:val="sr-Latn-ME"/>
        </w:rPr>
      </w:pPr>
    </w:p>
    <w:p w14:paraId="407F508B" w14:textId="77777777" w:rsidR="00F91C7B" w:rsidRPr="009602D1" w:rsidRDefault="00F91C7B" w:rsidP="001A5518">
      <w:pPr>
        <w:rPr>
          <w:b/>
          <w:bCs/>
          <w:i/>
          <w:iCs/>
          <w:sz w:val="22"/>
          <w:szCs w:val="22"/>
          <w:u w:val="single"/>
          <w:lang w:val="sr-Latn-ME"/>
        </w:rPr>
      </w:pPr>
    </w:p>
    <w:p w14:paraId="407F508C" w14:textId="77777777" w:rsidR="002510A5" w:rsidRPr="009602D1" w:rsidRDefault="002510A5" w:rsidP="002510A5">
      <w:pPr>
        <w:jc w:val="center"/>
        <w:rPr>
          <w:b/>
          <w:bCs/>
          <w:iCs/>
          <w:sz w:val="22"/>
          <w:szCs w:val="22"/>
          <w:u w:val="single"/>
          <w:lang w:val="sr-Latn-ME"/>
        </w:rPr>
      </w:pPr>
      <w:r w:rsidRPr="009602D1">
        <w:rPr>
          <w:b/>
          <w:bCs/>
          <w:iCs/>
          <w:sz w:val="22"/>
          <w:szCs w:val="22"/>
          <w:u w:val="single"/>
          <w:lang w:val="sr-Latn-ME"/>
        </w:rPr>
        <w:t>SAŽETAK KARAKTERISTIKA LIJEKA</w:t>
      </w:r>
    </w:p>
    <w:p w14:paraId="407F508D" w14:textId="77777777" w:rsidR="002510A5" w:rsidRPr="009602D1" w:rsidRDefault="002510A5" w:rsidP="002510A5">
      <w:pPr>
        <w:rPr>
          <w:b/>
          <w:bCs/>
          <w:i/>
          <w:iCs/>
          <w:sz w:val="22"/>
          <w:szCs w:val="22"/>
          <w:u w:val="single"/>
          <w:lang w:val="sr-Latn-ME"/>
        </w:rPr>
      </w:pPr>
    </w:p>
    <w:p w14:paraId="407F5090" w14:textId="77777777" w:rsidR="003C17AB" w:rsidRPr="009602D1" w:rsidRDefault="003C17AB" w:rsidP="00F5167F">
      <w:pPr>
        <w:tabs>
          <w:tab w:val="left" w:pos="540"/>
          <w:tab w:val="left" w:pos="569"/>
        </w:tabs>
        <w:rPr>
          <w:noProof/>
          <w:sz w:val="22"/>
          <w:szCs w:val="22"/>
          <w:lang w:val="sr-Latn-ME"/>
        </w:rPr>
      </w:pPr>
    </w:p>
    <w:p w14:paraId="407F5091" w14:textId="77777777" w:rsidR="00C37FD7" w:rsidRPr="009602D1" w:rsidRDefault="00C37FD7" w:rsidP="00F5167F">
      <w:pPr>
        <w:tabs>
          <w:tab w:val="left" w:pos="540"/>
          <w:tab w:val="left" w:pos="569"/>
        </w:tabs>
        <w:rPr>
          <w:bCs/>
          <w:sz w:val="22"/>
          <w:szCs w:val="22"/>
          <w:lang w:val="sr-Latn-ME"/>
        </w:rPr>
      </w:pPr>
    </w:p>
    <w:p w14:paraId="407F5092" w14:textId="77777777" w:rsidR="00411B4B" w:rsidRPr="009602D1" w:rsidRDefault="00411B4B" w:rsidP="00F5167F">
      <w:pPr>
        <w:tabs>
          <w:tab w:val="left" w:pos="540"/>
          <w:tab w:val="left" w:pos="569"/>
        </w:tabs>
        <w:rPr>
          <w:b/>
          <w:bCs/>
          <w:sz w:val="22"/>
          <w:szCs w:val="22"/>
          <w:lang w:val="sr-Latn-ME"/>
        </w:rPr>
      </w:pPr>
      <w:r w:rsidRPr="009602D1">
        <w:rPr>
          <w:b/>
          <w:bCs/>
          <w:sz w:val="22"/>
          <w:szCs w:val="22"/>
          <w:lang w:val="sr-Latn-ME"/>
        </w:rPr>
        <w:t>1.</w:t>
      </w:r>
      <w:r w:rsidR="00F5167F" w:rsidRPr="009602D1">
        <w:rPr>
          <w:b/>
          <w:bCs/>
          <w:sz w:val="22"/>
          <w:szCs w:val="22"/>
          <w:lang w:val="sr-Latn-ME"/>
        </w:rPr>
        <w:tab/>
      </w:r>
      <w:r w:rsidR="002846DB" w:rsidRPr="009602D1">
        <w:rPr>
          <w:b/>
          <w:bCs/>
          <w:sz w:val="22"/>
          <w:szCs w:val="22"/>
          <w:lang w:val="sr-Latn-ME"/>
        </w:rPr>
        <w:t xml:space="preserve">NAZIV </w:t>
      </w:r>
      <w:r w:rsidRPr="009602D1">
        <w:rPr>
          <w:b/>
          <w:bCs/>
          <w:sz w:val="22"/>
          <w:szCs w:val="22"/>
          <w:lang w:val="sr-Latn-ME"/>
        </w:rPr>
        <w:t>LIJEKA</w:t>
      </w:r>
    </w:p>
    <w:p w14:paraId="407F5093" w14:textId="77777777" w:rsidR="00EC2532" w:rsidRPr="009602D1" w:rsidRDefault="00EC2532">
      <w:pPr>
        <w:rPr>
          <w:sz w:val="22"/>
          <w:szCs w:val="22"/>
          <w:lang w:val="sr-Latn-ME"/>
        </w:rPr>
      </w:pPr>
    </w:p>
    <w:p w14:paraId="407F5094" w14:textId="20E85E1C" w:rsidR="00107BF7" w:rsidRPr="009602D1" w:rsidRDefault="00C33F48">
      <w:pPr>
        <w:rPr>
          <w:color w:val="808080"/>
          <w:sz w:val="22"/>
          <w:szCs w:val="22"/>
          <w:lang w:val="sr-Latn-ME"/>
        </w:rPr>
      </w:pPr>
      <w:r w:rsidRPr="009602D1">
        <w:rPr>
          <w:sz w:val="22"/>
          <w:szCs w:val="22"/>
          <w:lang w:val="sr-Latn-ME"/>
        </w:rPr>
        <w:t>Panadol Advance,</w:t>
      </w:r>
      <w:r w:rsidRPr="009602D1">
        <w:rPr>
          <w:i/>
          <w:iCs/>
          <w:color w:val="808080"/>
          <w:sz w:val="22"/>
          <w:szCs w:val="22"/>
          <w:lang w:val="sr-Latn-ME"/>
        </w:rPr>
        <w:t xml:space="preserve"> </w:t>
      </w:r>
      <w:r w:rsidRPr="009602D1">
        <w:rPr>
          <w:sz w:val="22"/>
          <w:szCs w:val="22"/>
          <w:lang w:val="sr-Latn-ME"/>
        </w:rPr>
        <w:t>500 mg, film tableta</w:t>
      </w:r>
    </w:p>
    <w:p w14:paraId="407F5095" w14:textId="77777777" w:rsidR="000D425A" w:rsidRPr="009602D1" w:rsidRDefault="000D425A">
      <w:pPr>
        <w:rPr>
          <w:bCs/>
          <w:sz w:val="22"/>
          <w:szCs w:val="22"/>
          <w:lang w:val="sr-Latn-ME"/>
        </w:rPr>
      </w:pPr>
    </w:p>
    <w:p w14:paraId="407F5096" w14:textId="7D68546F" w:rsidR="006D20A5" w:rsidRPr="009602D1" w:rsidRDefault="006D20A5" w:rsidP="006D20A5">
      <w:pPr>
        <w:rPr>
          <w:sz w:val="22"/>
          <w:szCs w:val="22"/>
          <w:lang w:val="sr-Latn-ME"/>
        </w:rPr>
      </w:pPr>
      <w:r w:rsidRPr="009602D1">
        <w:rPr>
          <w:sz w:val="22"/>
          <w:szCs w:val="22"/>
          <w:lang w:val="sr-Latn-ME"/>
        </w:rPr>
        <w:t>INN:</w:t>
      </w:r>
      <w:r w:rsidR="00C33F48" w:rsidRPr="009602D1">
        <w:rPr>
          <w:sz w:val="22"/>
          <w:szCs w:val="22"/>
          <w:lang w:val="sr-Latn-ME"/>
        </w:rPr>
        <w:t xml:space="preserve"> paracetamol</w:t>
      </w:r>
    </w:p>
    <w:p w14:paraId="407F5097" w14:textId="77777777" w:rsidR="006D20A5" w:rsidRPr="009602D1" w:rsidRDefault="006D20A5">
      <w:pPr>
        <w:rPr>
          <w:bCs/>
          <w:sz w:val="22"/>
          <w:szCs w:val="22"/>
          <w:lang w:val="sr-Latn-ME"/>
        </w:rPr>
      </w:pPr>
    </w:p>
    <w:p w14:paraId="407F5098" w14:textId="77777777" w:rsidR="00530BD7" w:rsidRPr="009602D1" w:rsidRDefault="00530BD7">
      <w:pPr>
        <w:rPr>
          <w:bCs/>
          <w:sz w:val="22"/>
          <w:szCs w:val="22"/>
          <w:lang w:val="sr-Latn-ME"/>
        </w:rPr>
      </w:pPr>
    </w:p>
    <w:p w14:paraId="407F5099" w14:textId="3986CFD2" w:rsidR="00411B4B" w:rsidRPr="009602D1" w:rsidRDefault="00411B4B" w:rsidP="00F5167F">
      <w:pPr>
        <w:tabs>
          <w:tab w:val="left" w:pos="540"/>
          <w:tab w:val="left" w:pos="569"/>
        </w:tabs>
        <w:rPr>
          <w:b/>
          <w:bCs/>
          <w:sz w:val="22"/>
          <w:szCs w:val="22"/>
          <w:lang w:val="sr-Latn-ME"/>
        </w:rPr>
      </w:pPr>
      <w:r w:rsidRPr="009602D1">
        <w:rPr>
          <w:b/>
          <w:bCs/>
          <w:sz w:val="22"/>
          <w:szCs w:val="22"/>
          <w:lang w:val="sr-Latn-ME"/>
        </w:rPr>
        <w:t xml:space="preserve">2. </w:t>
      </w:r>
      <w:r w:rsidR="00F5167F" w:rsidRPr="009602D1">
        <w:rPr>
          <w:b/>
          <w:bCs/>
          <w:sz w:val="22"/>
          <w:szCs w:val="22"/>
          <w:lang w:val="sr-Latn-ME"/>
        </w:rPr>
        <w:tab/>
      </w:r>
      <w:r w:rsidRPr="009602D1">
        <w:rPr>
          <w:b/>
          <w:bCs/>
          <w:sz w:val="22"/>
          <w:szCs w:val="22"/>
          <w:lang w:val="sr-Latn-ME"/>
        </w:rPr>
        <w:t>KVALITATIVNI I KVANTITATIVNI SASTAV</w:t>
      </w:r>
    </w:p>
    <w:p w14:paraId="03DF8CB3" w14:textId="32256799" w:rsidR="00C33F48" w:rsidRPr="009602D1" w:rsidRDefault="00C33F48" w:rsidP="00F5167F">
      <w:pPr>
        <w:tabs>
          <w:tab w:val="left" w:pos="540"/>
          <w:tab w:val="left" w:pos="569"/>
        </w:tabs>
        <w:rPr>
          <w:b/>
          <w:bCs/>
          <w:sz w:val="22"/>
          <w:szCs w:val="22"/>
          <w:lang w:val="sr-Latn-ME"/>
        </w:rPr>
      </w:pPr>
    </w:p>
    <w:p w14:paraId="1CDB41BA" w14:textId="77777777" w:rsidR="00C33F48" w:rsidRPr="009602D1" w:rsidRDefault="00C33F48" w:rsidP="00C33F48">
      <w:pPr>
        <w:tabs>
          <w:tab w:val="right" w:pos="5040"/>
        </w:tabs>
        <w:rPr>
          <w:b/>
          <w:bCs/>
          <w:sz w:val="22"/>
          <w:szCs w:val="22"/>
          <w:lang w:val="sr-Latn-ME"/>
        </w:rPr>
      </w:pPr>
      <w:r w:rsidRPr="009602D1">
        <w:rPr>
          <w:sz w:val="22"/>
          <w:szCs w:val="22"/>
          <w:lang w:val="sr-Latn-ME"/>
        </w:rPr>
        <w:t>Svaka film tableta sadrži 500 mg paracetamola.</w:t>
      </w:r>
    </w:p>
    <w:p w14:paraId="407F509A" w14:textId="77777777" w:rsidR="005A0B2E" w:rsidRPr="009602D1" w:rsidRDefault="005A0B2E">
      <w:pPr>
        <w:rPr>
          <w:sz w:val="22"/>
          <w:szCs w:val="22"/>
          <w:lang w:val="sr-Latn-ME"/>
        </w:rPr>
      </w:pPr>
    </w:p>
    <w:p w14:paraId="407F509B" w14:textId="78582E63" w:rsidR="0003793F" w:rsidRPr="009602D1" w:rsidRDefault="0003793F">
      <w:pPr>
        <w:rPr>
          <w:sz w:val="22"/>
          <w:szCs w:val="22"/>
          <w:lang w:val="sr-Latn-ME"/>
        </w:rPr>
      </w:pPr>
      <w:r w:rsidRPr="009602D1">
        <w:rPr>
          <w:sz w:val="22"/>
          <w:szCs w:val="22"/>
          <w:lang w:val="sr-Latn-ME"/>
        </w:rPr>
        <w:t xml:space="preserve">Za spisak svih </w:t>
      </w:r>
      <w:r w:rsidR="002E1AFC" w:rsidRPr="009602D1">
        <w:rPr>
          <w:sz w:val="22"/>
          <w:szCs w:val="22"/>
          <w:lang w:val="sr-Latn-ME"/>
        </w:rPr>
        <w:t>ekscipijenasa</w:t>
      </w:r>
      <w:r w:rsidRPr="009602D1">
        <w:rPr>
          <w:sz w:val="22"/>
          <w:szCs w:val="22"/>
          <w:lang w:val="sr-Latn-ME"/>
        </w:rPr>
        <w:t>, pogledati</w:t>
      </w:r>
      <w:r w:rsidR="00251E98" w:rsidRPr="009602D1">
        <w:rPr>
          <w:sz w:val="22"/>
          <w:szCs w:val="22"/>
          <w:lang w:val="sr-Latn-ME"/>
        </w:rPr>
        <w:t xml:space="preserve"> </w:t>
      </w:r>
      <w:r w:rsidR="002E1AFC" w:rsidRPr="009602D1">
        <w:rPr>
          <w:sz w:val="22"/>
          <w:szCs w:val="22"/>
          <w:lang w:val="sr-Latn-ME"/>
        </w:rPr>
        <w:t>dio</w:t>
      </w:r>
      <w:r w:rsidRPr="009602D1">
        <w:rPr>
          <w:sz w:val="22"/>
          <w:szCs w:val="22"/>
          <w:lang w:val="sr-Latn-ME"/>
        </w:rPr>
        <w:t xml:space="preserve"> 6.1.</w:t>
      </w:r>
    </w:p>
    <w:p w14:paraId="407F509C" w14:textId="77777777" w:rsidR="0003793F" w:rsidRPr="009602D1" w:rsidRDefault="0003793F">
      <w:pPr>
        <w:rPr>
          <w:sz w:val="22"/>
          <w:szCs w:val="22"/>
          <w:lang w:val="sr-Latn-ME"/>
        </w:rPr>
      </w:pPr>
    </w:p>
    <w:p w14:paraId="407F509D" w14:textId="77777777" w:rsidR="00C37FD7" w:rsidRPr="009602D1" w:rsidRDefault="00C37FD7">
      <w:pPr>
        <w:rPr>
          <w:sz w:val="22"/>
          <w:szCs w:val="22"/>
          <w:lang w:val="sr-Latn-ME"/>
        </w:rPr>
      </w:pPr>
    </w:p>
    <w:p w14:paraId="407F509E" w14:textId="77777777" w:rsidR="00411B4B" w:rsidRPr="009602D1" w:rsidRDefault="00411B4B" w:rsidP="00F5167F">
      <w:pPr>
        <w:tabs>
          <w:tab w:val="left" w:pos="540"/>
          <w:tab w:val="left" w:pos="569"/>
        </w:tabs>
        <w:rPr>
          <w:b/>
          <w:bCs/>
          <w:sz w:val="22"/>
          <w:szCs w:val="22"/>
          <w:lang w:val="sr-Latn-ME"/>
        </w:rPr>
      </w:pPr>
      <w:r w:rsidRPr="009602D1">
        <w:rPr>
          <w:b/>
          <w:bCs/>
          <w:sz w:val="22"/>
          <w:szCs w:val="22"/>
          <w:lang w:val="sr-Latn-ME"/>
        </w:rPr>
        <w:t xml:space="preserve">3. </w:t>
      </w:r>
      <w:r w:rsidR="00F5167F" w:rsidRPr="009602D1">
        <w:rPr>
          <w:b/>
          <w:bCs/>
          <w:sz w:val="22"/>
          <w:szCs w:val="22"/>
          <w:lang w:val="sr-Latn-ME"/>
        </w:rPr>
        <w:tab/>
      </w:r>
      <w:r w:rsidRPr="009602D1">
        <w:rPr>
          <w:b/>
          <w:bCs/>
          <w:sz w:val="22"/>
          <w:szCs w:val="22"/>
          <w:lang w:val="sr-Latn-ME"/>
        </w:rPr>
        <w:t>FARMACEUTSKI OBLIK</w:t>
      </w:r>
      <w:r w:rsidR="009F2D23" w:rsidRPr="009602D1">
        <w:rPr>
          <w:b/>
          <w:bCs/>
          <w:sz w:val="22"/>
          <w:szCs w:val="22"/>
          <w:lang w:val="sr-Latn-ME"/>
        </w:rPr>
        <w:t xml:space="preserve"> </w:t>
      </w:r>
    </w:p>
    <w:p w14:paraId="20D1DFAE" w14:textId="77777777" w:rsidR="00C33F48" w:rsidRPr="009602D1" w:rsidRDefault="00C33F48" w:rsidP="00C33F48">
      <w:pPr>
        <w:ind w:right="279"/>
        <w:rPr>
          <w:sz w:val="22"/>
          <w:szCs w:val="22"/>
          <w:lang w:val="sr-Latn-ME"/>
        </w:rPr>
      </w:pPr>
    </w:p>
    <w:p w14:paraId="05F2495D" w14:textId="5681F809" w:rsidR="00C33F48" w:rsidRPr="009602D1" w:rsidRDefault="00C33F48" w:rsidP="00015FE6">
      <w:pPr>
        <w:ind w:right="279"/>
        <w:jc w:val="both"/>
        <w:rPr>
          <w:sz w:val="22"/>
          <w:szCs w:val="22"/>
          <w:lang w:val="sr-Latn-ME"/>
        </w:rPr>
      </w:pPr>
      <w:r w:rsidRPr="009602D1">
        <w:rPr>
          <w:sz w:val="22"/>
          <w:szCs w:val="22"/>
          <w:lang w:val="sr-Latn-ME"/>
        </w:rPr>
        <w:t>Film tableta, bijele do skoro bijele film tablete oblika kapsule</w:t>
      </w:r>
      <w:r w:rsidR="00015FE6" w:rsidRPr="009602D1">
        <w:rPr>
          <w:sz w:val="22"/>
          <w:szCs w:val="22"/>
          <w:lang w:val="sr-Latn-ME"/>
        </w:rPr>
        <w:t>, sa konveksnim ivicama.</w:t>
      </w:r>
      <w:r w:rsidRPr="009602D1">
        <w:rPr>
          <w:sz w:val="22"/>
          <w:szCs w:val="22"/>
          <w:lang w:val="sr-Latn-ME"/>
        </w:rPr>
        <w:t xml:space="preserve"> </w:t>
      </w:r>
      <w:r w:rsidR="00015FE6" w:rsidRPr="009602D1">
        <w:rPr>
          <w:sz w:val="22"/>
          <w:szCs w:val="22"/>
          <w:lang w:val="sr-Latn-ME"/>
        </w:rPr>
        <w:t>N</w:t>
      </w:r>
      <w:r w:rsidRPr="009602D1">
        <w:rPr>
          <w:sz w:val="22"/>
          <w:szCs w:val="22"/>
          <w:lang w:val="sr-Latn-ME"/>
        </w:rPr>
        <w:t>a jednoj strani</w:t>
      </w:r>
      <w:r w:rsidR="00015FE6" w:rsidRPr="009602D1">
        <w:rPr>
          <w:sz w:val="22"/>
          <w:szCs w:val="22"/>
          <w:lang w:val="sr-Latn-ME"/>
        </w:rPr>
        <w:t xml:space="preserve"> film tablete</w:t>
      </w:r>
      <w:r w:rsidRPr="009602D1">
        <w:rPr>
          <w:sz w:val="22"/>
          <w:szCs w:val="22"/>
          <w:lang w:val="sr-Latn-ME"/>
        </w:rPr>
        <w:t xml:space="preserve"> utisnut </w:t>
      </w:r>
      <w:r w:rsidR="00015FE6" w:rsidRPr="009602D1">
        <w:rPr>
          <w:sz w:val="22"/>
          <w:szCs w:val="22"/>
          <w:lang w:val="sr-Latn-ME"/>
        </w:rPr>
        <w:t xml:space="preserve">je </w:t>
      </w:r>
      <w:r w:rsidRPr="009602D1">
        <w:rPr>
          <w:sz w:val="22"/>
          <w:szCs w:val="22"/>
          <w:lang w:val="sr-Latn-ME"/>
        </w:rPr>
        <w:t xml:space="preserve">krug i oznaka </w:t>
      </w:r>
      <w:r w:rsidR="00015FE6" w:rsidRPr="009602D1">
        <w:rPr>
          <w:sz w:val="22"/>
          <w:szCs w:val="22"/>
          <w:lang w:val="sr-Latn-ME"/>
        </w:rPr>
        <w:t>„</w:t>
      </w:r>
      <w:r w:rsidRPr="009602D1">
        <w:rPr>
          <w:sz w:val="22"/>
          <w:szCs w:val="22"/>
          <w:lang w:val="sr-Latn-ME"/>
        </w:rPr>
        <w:t xml:space="preserve">P” unutar kruga, na drugoj strani je podiona </w:t>
      </w:r>
      <w:r w:rsidR="00015FE6" w:rsidRPr="009602D1">
        <w:rPr>
          <w:sz w:val="22"/>
          <w:szCs w:val="22"/>
          <w:lang w:val="sr-Latn-ME"/>
        </w:rPr>
        <w:t>linija i sa obije strane podione linije utisnuta je oznaka „-”</w:t>
      </w:r>
      <w:r w:rsidRPr="009602D1">
        <w:rPr>
          <w:sz w:val="22"/>
          <w:szCs w:val="22"/>
          <w:lang w:val="sr-Latn-ME"/>
        </w:rPr>
        <w:t xml:space="preserve">. Tableta se može podijeliti na jednake </w:t>
      </w:r>
      <w:r w:rsidR="00015FE6" w:rsidRPr="009602D1">
        <w:rPr>
          <w:sz w:val="22"/>
          <w:szCs w:val="22"/>
          <w:lang w:val="sr-Latn-ME"/>
        </w:rPr>
        <w:t>doze</w:t>
      </w:r>
      <w:r w:rsidRPr="009602D1">
        <w:rPr>
          <w:sz w:val="22"/>
          <w:szCs w:val="22"/>
          <w:lang w:val="sr-Latn-ME"/>
        </w:rPr>
        <w:t>.</w:t>
      </w:r>
    </w:p>
    <w:p w14:paraId="407F509F" w14:textId="77777777" w:rsidR="00411B4B" w:rsidRPr="009602D1" w:rsidRDefault="00411B4B">
      <w:pPr>
        <w:rPr>
          <w:bCs/>
          <w:sz w:val="22"/>
          <w:szCs w:val="22"/>
          <w:lang w:val="sr-Latn-ME"/>
        </w:rPr>
      </w:pPr>
    </w:p>
    <w:p w14:paraId="407F50A0" w14:textId="77777777" w:rsidR="00EC2532" w:rsidRPr="009602D1" w:rsidRDefault="00EC2532">
      <w:pPr>
        <w:rPr>
          <w:bCs/>
          <w:sz w:val="22"/>
          <w:szCs w:val="22"/>
          <w:lang w:val="sr-Latn-ME"/>
        </w:rPr>
      </w:pPr>
    </w:p>
    <w:p w14:paraId="407F50A1" w14:textId="77777777" w:rsidR="00411B4B" w:rsidRPr="009602D1" w:rsidRDefault="00411B4B" w:rsidP="004018B4">
      <w:pPr>
        <w:tabs>
          <w:tab w:val="left" w:pos="540"/>
          <w:tab w:val="left" w:pos="569"/>
        </w:tabs>
        <w:ind w:right="1"/>
        <w:jc w:val="both"/>
        <w:rPr>
          <w:b/>
          <w:bCs/>
          <w:sz w:val="22"/>
          <w:szCs w:val="22"/>
          <w:lang w:val="sr-Latn-ME"/>
        </w:rPr>
      </w:pPr>
      <w:r w:rsidRPr="009602D1">
        <w:rPr>
          <w:b/>
          <w:bCs/>
          <w:sz w:val="22"/>
          <w:szCs w:val="22"/>
          <w:lang w:val="sr-Latn-ME"/>
        </w:rPr>
        <w:t xml:space="preserve">4. </w:t>
      </w:r>
      <w:r w:rsidR="00480FB1" w:rsidRPr="009602D1">
        <w:rPr>
          <w:b/>
          <w:bCs/>
          <w:sz w:val="22"/>
          <w:szCs w:val="22"/>
          <w:lang w:val="sr-Latn-ME"/>
        </w:rPr>
        <w:tab/>
      </w:r>
      <w:r w:rsidRPr="009602D1">
        <w:rPr>
          <w:b/>
          <w:bCs/>
          <w:sz w:val="22"/>
          <w:szCs w:val="22"/>
          <w:lang w:val="sr-Latn-ME"/>
        </w:rPr>
        <w:t>KLINIČKI PODACI</w:t>
      </w:r>
    </w:p>
    <w:p w14:paraId="407F50A2" w14:textId="77777777" w:rsidR="00CD6F02" w:rsidRPr="009602D1" w:rsidRDefault="00CD6F02" w:rsidP="004018B4">
      <w:pPr>
        <w:tabs>
          <w:tab w:val="left" w:pos="540"/>
          <w:tab w:val="left" w:pos="569"/>
        </w:tabs>
        <w:ind w:right="1"/>
        <w:jc w:val="both"/>
        <w:rPr>
          <w:bCs/>
          <w:sz w:val="22"/>
          <w:szCs w:val="22"/>
          <w:lang w:val="sr-Latn-ME"/>
        </w:rPr>
      </w:pPr>
    </w:p>
    <w:p w14:paraId="407F50A3" w14:textId="6D9803BE" w:rsidR="00411B4B" w:rsidRPr="009602D1" w:rsidRDefault="00411B4B" w:rsidP="004018B4">
      <w:pPr>
        <w:tabs>
          <w:tab w:val="left" w:pos="540"/>
          <w:tab w:val="left" w:pos="569"/>
        </w:tabs>
        <w:ind w:right="1"/>
        <w:jc w:val="both"/>
        <w:rPr>
          <w:b/>
          <w:bCs/>
          <w:sz w:val="22"/>
          <w:szCs w:val="22"/>
          <w:lang w:val="sr-Latn-ME"/>
        </w:rPr>
      </w:pPr>
      <w:r w:rsidRPr="009602D1">
        <w:rPr>
          <w:b/>
          <w:bCs/>
          <w:sz w:val="22"/>
          <w:szCs w:val="22"/>
          <w:lang w:val="sr-Latn-ME"/>
        </w:rPr>
        <w:t xml:space="preserve">4.1. </w:t>
      </w:r>
      <w:r w:rsidR="00480FB1" w:rsidRPr="009602D1">
        <w:rPr>
          <w:b/>
          <w:bCs/>
          <w:sz w:val="22"/>
          <w:szCs w:val="22"/>
          <w:lang w:val="sr-Latn-ME"/>
        </w:rPr>
        <w:tab/>
      </w:r>
      <w:r w:rsidRPr="009602D1">
        <w:rPr>
          <w:b/>
          <w:bCs/>
          <w:sz w:val="22"/>
          <w:szCs w:val="22"/>
          <w:lang w:val="sr-Latn-ME"/>
        </w:rPr>
        <w:t>Terapijske indikacije</w:t>
      </w:r>
    </w:p>
    <w:p w14:paraId="7BD4807D" w14:textId="77777777" w:rsidR="00C33F48" w:rsidRPr="009602D1" w:rsidRDefault="00C33F48" w:rsidP="004018B4">
      <w:pPr>
        <w:tabs>
          <w:tab w:val="left" w:pos="540"/>
          <w:tab w:val="left" w:pos="569"/>
        </w:tabs>
        <w:ind w:right="1"/>
        <w:jc w:val="both"/>
        <w:rPr>
          <w:b/>
          <w:bCs/>
          <w:sz w:val="22"/>
          <w:szCs w:val="22"/>
          <w:lang w:val="sr-Latn-ME"/>
        </w:rPr>
      </w:pPr>
    </w:p>
    <w:p w14:paraId="51E6ACC8" w14:textId="22004E79" w:rsidR="00C33F48" w:rsidRPr="009602D1" w:rsidRDefault="00C33F48" w:rsidP="004018B4">
      <w:pPr>
        <w:ind w:right="1"/>
        <w:jc w:val="both"/>
        <w:rPr>
          <w:bCs/>
          <w:noProof/>
          <w:sz w:val="22"/>
          <w:szCs w:val="22"/>
          <w:lang w:val="sr-Latn-ME"/>
        </w:rPr>
      </w:pPr>
      <w:r w:rsidRPr="009602D1">
        <w:rPr>
          <w:sz w:val="22"/>
          <w:szCs w:val="22"/>
          <w:lang w:val="sr-Latn-ME"/>
        </w:rPr>
        <w:t>Lijek Panadol</w:t>
      </w:r>
      <w:r w:rsidRPr="009602D1">
        <w:rPr>
          <w:bCs/>
          <w:noProof/>
          <w:sz w:val="22"/>
          <w:szCs w:val="22"/>
          <w:lang w:val="sr-Latn-ME"/>
        </w:rPr>
        <w:t xml:space="preserve"> Advance je blag analgetik i antipiretik. </w:t>
      </w:r>
      <w:r w:rsidR="00251E98" w:rsidRPr="009602D1">
        <w:rPr>
          <w:bCs/>
          <w:noProof/>
          <w:sz w:val="22"/>
          <w:szCs w:val="22"/>
          <w:lang w:val="sr-Latn-ME"/>
        </w:rPr>
        <w:t>Upotreba lijeka preporučuje se za kratkotrajno liječenje glavobolje, bolova u kostima i mišićima, menstrualnih bolova, zubobolje i za liječenje simptoma prehlade i gripa.  Lijek Panadol Advance se može koristiti i kod blagih do umjerenih bolova povezanih sa osteoartritisom, dijagnostikovanim od strane ljekara</w:t>
      </w:r>
      <w:r w:rsidRPr="009602D1">
        <w:rPr>
          <w:bCs/>
          <w:noProof/>
          <w:sz w:val="22"/>
          <w:szCs w:val="22"/>
          <w:lang w:val="sr-Latn-ME"/>
        </w:rPr>
        <w:t>.</w:t>
      </w:r>
    </w:p>
    <w:p w14:paraId="407F50A4" w14:textId="77777777" w:rsidR="00411B4B" w:rsidRPr="009602D1" w:rsidRDefault="00411B4B" w:rsidP="004018B4">
      <w:pPr>
        <w:tabs>
          <w:tab w:val="left" w:pos="540"/>
          <w:tab w:val="left" w:pos="569"/>
        </w:tabs>
        <w:ind w:right="1"/>
        <w:jc w:val="both"/>
        <w:rPr>
          <w:b/>
          <w:sz w:val="22"/>
          <w:szCs w:val="22"/>
          <w:lang w:val="sr-Latn-ME"/>
        </w:rPr>
      </w:pPr>
    </w:p>
    <w:p w14:paraId="407F50A5" w14:textId="77777777" w:rsidR="00411B4B" w:rsidRPr="009602D1" w:rsidRDefault="00411B4B" w:rsidP="004018B4">
      <w:pPr>
        <w:tabs>
          <w:tab w:val="left" w:pos="540"/>
          <w:tab w:val="left" w:pos="569"/>
        </w:tabs>
        <w:ind w:right="1"/>
        <w:jc w:val="both"/>
        <w:rPr>
          <w:b/>
          <w:bCs/>
          <w:sz w:val="22"/>
          <w:szCs w:val="22"/>
          <w:lang w:val="sr-Latn-ME"/>
        </w:rPr>
      </w:pPr>
      <w:r w:rsidRPr="009602D1">
        <w:rPr>
          <w:b/>
          <w:bCs/>
          <w:sz w:val="22"/>
          <w:szCs w:val="22"/>
          <w:lang w:val="sr-Latn-ME"/>
        </w:rPr>
        <w:t xml:space="preserve">4.2. </w:t>
      </w:r>
      <w:r w:rsidR="00480FB1" w:rsidRPr="009602D1">
        <w:rPr>
          <w:b/>
          <w:bCs/>
          <w:sz w:val="22"/>
          <w:szCs w:val="22"/>
          <w:lang w:val="sr-Latn-ME"/>
        </w:rPr>
        <w:tab/>
      </w:r>
      <w:r w:rsidRPr="009602D1">
        <w:rPr>
          <w:b/>
          <w:bCs/>
          <w:sz w:val="22"/>
          <w:szCs w:val="22"/>
          <w:lang w:val="sr-Latn-ME"/>
        </w:rPr>
        <w:t>Doziranje i način primjene</w:t>
      </w:r>
    </w:p>
    <w:p w14:paraId="0492563E" w14:textId="77777777" w:rsidR="00EE07B1" w:rsidRPr="009602D1" w:rsidRDefault="00EE07B1" w:rsidP="004018B4">
      <w:pPr>
        <w:tabs>
          <w:tab w:val="left" w:pos="540"/>
          <w:tab w:val="left" w:pos="569"/>
        </w:tabs>
        <w:ind w:right="1"/>
        <w:jc w:val="both"/>
        <w:rPr>
          <w:bCs/>
          <w:sz w:val="22"/>
          <w:szCs w:val="22"/>
          <w:lang w:val="sr-Latn-ME"/>
        </w:rPr>
      </w:pPr>
    </w:p>
    <w:p w14:paraId="6A3378EE" w14:textId="00CF49B5" w:rsidR="00EE07B1" w:rsidRPr="009602D1" w:rsidRDefault="00EE07B1" w:rsidP="004018B4">
      <w:pPr>
        <w:tabs>
          <w:tab w:val="left" w:pos="540"/>
          <w:tab w:val="left" w:pos="569"/>
        </w:tabs>
        <w:ind w:right="1"/>
        <w:jc w:val="both"/>
        <w:rPr>
          <w:bCs/>
          <w:sz w:val="22"/>
          <w:szCs w:val="22"/>
          <w:lang w:val="sr-Latn-ME"/>
        </w:rPr>
      </w:pPr>
      <w:r w:rsidRPr="009602D1">
        <w:rPr>
          <w:bCs/>
          <w:sz w:val="22"/>
          <w:szCs w:val="22"/>
          <w:u w:val="single"/>
          <w:lang w:val="sr-Latn-ME"/>
        </w:rPr>
        <w:t>Doziranje</w:t>
      </w:r>
    </w:p>
    <w:p w14:paraId="2DBA7E07" w14:textId="77777777" w:rsidR="00C33F48" w:rsidRPr="009602D1" w:rsidRDefault="00C33F48" w:rsidP="004018B4">
      <w:pPr>
        <w:ind w:right="1"/>
        <w:jc w:val="both"/>
        <w:rPr>
          <w:sz w:val="22"/>
          <w:szCs w:val="22"/>
          <w:u w:val="single"/>
          <w:lang w:val="sr-Latn-ME"/>
        </w:rPr>
      </w:pPr>
    </w:p>
    <w:p w14:paraId="66818F4F" w14:textId="752FE932" w:rsidR="00C33F48" w:rsidRPr="009602D1" w:rsidRDefault="00C33F48" w:rsidP="004018B4">
      <w:pPr>
        <w:ind w:right="1"/>
        <w:jc w:val="both"/>
        <w:rPr>
          <w:b/>
          <w:noProof/>
          <w:sz w:val="22"/>
          <w:szCs w:val="22"/>
          <w:u w:val="single"/>
          <w:lang w:val="sr-Latn-ME"/>
        </w:rPr>
      </w:pPr>
      <w:r w:rsidRPr="009602D1">
        <w:rPr>
          <w:b/>
          <w:noProof/>
          <w:sz w:val="22"/>
          <w:szCs w:val="22"/>
          <w:u w:val="single"/>
          <w:lang w:val="sr-Latn-ME"/>
        </w:rPr>
        <w:t>Odrasli (uključujući i starije)</w:t>
      </w:r>
      <w:r w:rsidR="00605645" w:rsidRPr="009602D1">
        <w:rPr>
          <w:b/>
          <w:noProof/>
          <w:sz w:val="22"/>
          <w:szCs w:val="22"/>
          <w:u w:val="single"/>
          <w:lang w:val="sr-Latn-ME"/>
        </w:rPr>
        <w:t xml:space="preserve"> i djeca uzrasta 16 ili više godina</w:t>
      </w:r>
      <w:r w:rsidRPr="009602D1">
        <w:rPr>
          <w:b/>
          <w:noProof/>
          <w:sz w:val="22"/>
          <w:szCs w:val="22"/>
          <w:u w:val="single"/>
          <w:lang w:val="sr-Latn-ME"/>
        </w:rPr>
        <w:t>:</w:t>
      </w:r>
    </w:p>
    <w:p w14:paraId="1363AF74" w14:textId="77777777" w:rsidR="00C33F48" w:rsidRPr="009602D1" w:rsidRDefault="00C33F48" w:rsidP="004018B4">
      <w:pPr>
        <w:ind w:right="1"/>
        <w:jc w:val="both"/>
        <w:rPr>
          <w:bCs/>
          <w:noProof/>
          <w:sz w:val="22"/>
          <w:szCs w:val="22"/>
          <w:lang w:val="sr-Latn-ME"/>
        </w:rPr>
      </w:pPr>
    </w:p>
    <w:p w14:paraId="724EC23D" w14:textId="125AB9B4" w:rsidR="00C33F48" w:rsidRPr="009602D1" w:rsidRDefault="00251E98" w:rsidP="004018B4">
      <w:pPr>
        <w:ind w:right="1"/>
        <w:jc w:val="both"/>
        <w:rPr>
          <w:bCs/>
          <w:noProof/>
          <w:sz w:val="22"/>
          <w:szCs w:val="22"/>
          <w:lang w:val="sr-Latn-ME"/>
        </w:rPr>
      </w:pPr>
      <w:r w:rsidRPr="009602D1">
        <w:rPr>
          <w:bCs/>
          <w:noProof/>
          <w:sz w:val="22"/>
          <w:szCs w:val="22"/>
          <w:lang w:val="sr-Latn-ME"/>
        </w:rPr>
        <w:t>Jedna do dvije</w:t>
      </w:r>
      <w:r w:rsidR="00EE07B1" w:rsidRPr="009602D1">
        <w:rPr>
          <w:bCs/>
          <w:noProof/>
          <w:sz w:val="22"/>
          <w:szCs w:val="22"/>
          <w:lang w:val="sr-Latn-ME"/>
        </w:rPr>
        <w:t xml:space="preserve"> </w:t>
      </w:r>
      <w:r w:rsidR="00C33F48" w:rsidRPr="009602D1">
        <w:rPr>
          <w:bCs/>
          <w:noProof/>
          <w:sz w:val="22"/>
          <w:szCs w:val="22"/>
          <w:lang w:val="sr-Latn-ME"/>
        </w:rPr>
        <w:t xml:space="preserve">tablete </w:t>
      </w:r>
      <w:r w:rsidR="00605645" w:rsidRPr="009602D1">
        <w:rPr>
          <w:bCs/>
          <w:noProof/>
          <w:sz w:val="22"/>
          <w:szCs w:val="22"/>
          <w:lang w:val="sr-Latn-ME"/>
        </w:rPr>
        <w:t xml:space="preserve">najviše </w:t>
      </w:r>
      <w:r w:rsidR="00C33F48" w:rsidRPr="009602D1">
        <w:rPr>
          <w:bCs/>
          <w:noProof/>
          <w:sz w:val="22"/>
          <w:szCs w:val="22"/>
          <w:lang w:val="sr-Latn-ME"/>
        </w:rPr>
        <w:t>4 puta dnevno</w:t>
      </w:r>
      <w:r w:rsidR="00D314DB" w:rsidRPr="009602D1">
        <w:rPr>
          <w:bCs/>
          <w:noProof/>
          <w:sz w:val="22"/>
          <w:szCs w:val="22"/>
          <w:lang w:val="sr-Latn-ME"/>
        </w:rPr>
        <w:t xml:space="preserve">, </w:t>
      </w:r>
      <w:r w:rsidR="00605645" w:rsidRPr="009602D1">
        <w:rPr>
          <w:bCs/>
          <w:noProof/>
          <w:sz w:val="22"/>
          <w:szCs w:val="22"/>
          <w:lang w:val="sr-Latn-ME"/>
        </w:rPr>
        <w:t>po potrebi</w:t>
      </w:r>
      <w:r w:rsidR="00C33F48" w:rsidRPr="009602D1">
        <w:rPr>
          <w:bCs/>
          <w:noProof/>
          <w:sz w:val="22"/>
          <w:szCs w:val="22"/>
          <w:lang w:val="sr-Latn-ME"/>
        </w:rPr>
        <w:t>.</w:t>
      </w:r>
    </w:p>
    <w:p w14:paraId="527E9AD7" w14:textId="77777777" w:rsidR="00C33F48" w:rsidRPr="009602D1" w:rsidRDefault="00C33F48" w:rsidP="004018B4">
      <w:pPr>
        <w:ind w:right="1"/>
        <w:jc w:val="both"/>
        <w:rPr>
          <w:bCs/>
          <w:noProof/>
          <w:sz w:val="22"/>
          <w:szCs w:val="22"/>
          <w:lang w:val="sr-Latn-ME"/>
        </w:rPr>
      </w:pPr>
    </w:p>
    <w:p w14:paraId="5E070D89" w14:textId="5D03724A" w:rsidR="00C33F48" w:rsidRPr="009602D1" w:rsidRDefault="00C33F48" w:rsidP="004018B4">
      <w:pPr>
        <w:ind w:right="1"/>
        <w:jc w:val="both"/>
        <w:rPr>
          <w:b/>
          <w:noProof/>
          <w:sz w:val="22"/>
          <w:szCs w:val="22"/>
          <w:u w:val="single"/>
          <w:lang w:val="sr-Latn-ME"/>
        </w:rPr>
      </w:pPr>
      <w:r w:rsidRPr="009602D1">
        <w:rPr>
          <w:b/>
          <w:noProof/>
          <w:sz w:val="22"/>
          <w:szCs w:val="22"/>
          <w:u w:val="single"/>
          <w:lang w:val="sr-Latn-ME"/>
        </w:rPr>
        <w:t xml:space="preserve">Djeca od </w:t>
      </w:r>
      <w:r w:rsidR="00605645" w:rsidRPr="009602D1">
        <w:rPr>
          <w:b/>
          <w:noProof/>
          <w:sz w:val="22"/>
          <w:szCs w:val="22"/>
          <w:u w:val="single"/>
          <w:lang w:val="sr-Latn-ME"/>
        </w:rPr>
        <w:t>10</w:t>
      </w:r>
      <w:r w:rsidRPr="009602D1">
        <w:rPr>
          <w:b/>
          <w:noProof/>
          <w:sz w:val="22"/>
          <w:szCs w:val="22"/>
          <w:u w:val="single"/>
          <w:lang w:val="sr-Latn-ME"/>
        </w:rPr>
        <w:t xml:space="preserve"> do </w:t>
      </w:r>
      <w:r w:rsidR="00605645" w:rsidRPr="009602D1">
        <w:rPr>
          <w:b/>
          <w:noProof/>
          <w:sz w:val="22"/>
          <w:szCs w:val="22"/>
          <w:u w:val="single"/>
          <w:lang w:val="sr-Latn-ME"/>
        </w:rPr>
        <w:t xml:space="preserve">15 </w:t>
      </w:r>
      <w:r w:rsidRPr="009602D1">
        <w:rPr>
          <w:b/>
          <w:noProof/>
          <w:sz w:val="22"/>
          <w:szCs w:val="22"/>
          <w:u w:val="single"/>
          <w:lang w:val="sr-Latn-ME"/>
        </w:rPr>
        <w:t xml:space="preserve">godina: </w:t>
      </w:r>
    </w:p>
    <w:p w14:paraId="3E2D98EE" w14:textId="77777777" w:rsidR="00605645" w:rsidRPr="009602D1" w:rsidRDefault="00605645" w:rsidP="004018B4">
      <w:pPr>
        <w:ind w:right="1"/>
        <w:jc w:val="both"/>
        <w:rPr>
          <w:bCs/>
          <w:noProof/>
          <w:sz w:val="22"/>
          <w:szCs w:val="22"/>
          <w:lang w:val="sr-Latn-ME"/>
        </w:rPr>
      </w:pPr>
    </w:p>
    <w:p w14:paraId="260341E3" w14:textId="30E91E8C" w:rsidR="00C33F48" w:rsidRPr="009602D1" w:rsidRDefault="00C33F48" w:rsidP="004018B4">
      <w:pPr>
        <w:ind w:right="1"/>
        <w:jc w:val="both"/>
        <w:rPr>
          <w:bCs/>
          <w:noProof/>
          <w:sz w:val="22"/>
          <w:szCs w:val="22"/>
          <w:lang w:val="sr-Latn-ME"/>
        </w:rPr>
      </w:pPr>
      <w:r w:rsidRPr="009602D1">
        <w:rPr>
          <w:bCs/>
          <w:noProof/>
          <w:sz w:val="22"/>
          <w:szCs w:val="22"/>
          <w:lang w:val="sr-Latn-ME"/>
        </w:rPr>
        <w:t>1 tableta</w:t>
      </w:r>
      <w:r w:rsidR="00605645" w:rsidRPr="009602D1">
        <w:rPr>
          <w:bCs/>
          <w:noProof/>
          <w:sz w:val="22"/>
          <w:szCs w:val="22"/>
          <w:lang w:val="sr-Latn-ME"/>
        </w:rPr>
        <w:t xml:space="preserve">, najviše </w:t>
      </w:r>
      <w:r w:rsidRPr="009602D1">
        <w:rPr>
          <w:bCs/>
          <w:noProof/>
          <w:sz w:val="22"/>
          <w:szCs w:val="22"/>
          <w:lang w:val="sr-Latn-ME"/>
        </w:rPr>
        <w:t>4 puta dnevno</w:t>
      </w:r>
      <w:r w:rsidR="00605645" w:rsidRPr="009602D1">
        <w:rPr>
          <w:bCs/>
          <w:noProof/>
          <w:sz w:val="22"/>
          <w:szCs w:val="22"/>
          <w:lang w:val="sr-Latn-ME"/>
        </w:rPr>
        <w:t xml:space="preserve">, po potrebi. </w:t>
      </w:r>
    </w:p>
    <w:p w14:paraId="7A45ABA3" w14:textId="77777777" w:rsidR="00EE07B1" w:rsidRPr="009602D1" w:rsidRDefault="00EE07B1" w:rsidP="004018B4">
      <w:pPr>
        <w:ind w:right="1"/>
        <w:jc w:val="both"/>
        <w:rPr>
          <w:bCs/>
          <w:noProof/>
          <w:sz w:val="22"/>
          <w:szCs w:val="22"/>
          <w:lang w:val="sr-Latn-ME"/>
        </w:rPr>
      </w:pPr>
    </w:p>
    <w:p w14:paraId="109E7E51" w14:textId="28DD8A8B" w:rsidR="00605645" w:rsidRPr="009602D1" w:rsidRDefault="00251E98" w:rsidP="004018B4">
      <w:pPr>
        <w:ind w:right="1"/>
        <w:jc w:val="both"/>
        <w:rPr>
          <w:sz w:val="22"/>
          <w:szCs w:val="22"/>
          <w:lang w:val="sr-Latn-ME"/>
        </w:rPr>
      </w:pPr>
      <w:r w:rsidRPr="009602D1">
        <w:rPr>
          <w:sz w:val="22"/>
          <w:szCs w:val="22"/>
          <w:lang w:val="sr-Latn-ME"/>
        </w:rPr>
        <w:t xml:space="preserve">Ne treba </w:t>
      </w:r>
      <w:r w:rsidR="00EE07B1" w:rsidRPr="009602D1">
        <w:rPr>
          <w:sz w:val="22"/>
          <w:szCs w:val="22"/>
          <w:lang w:val="sr-Latn-ME"/>
        </w:rPr>
        <w:t>davati djeci</w:t>
      </w:r>
      <w:r w:rsidRPr="009602D1">
        <w:rPr>
          <w:sz w:val="22"/>
          <w:szCs w:val="22"/>
          <w:lang w:val="sr-Latn-ME"/>
        </w:rPr>
        <w:t xml:space="preserve"> lijek Panadol Advance duže od 3 dana u kontinuitetu, bez prethodne konsultacije sa ljekarom.</w:t>
      </w:r>
    </w:p>
    <w:p w14:paraId="012B0A09" w14:textId="77777777" w:rsidR="00605645" w:rsidRPr="009602D1" w:rsidRDefault="00605645" w:rsidP="004018B4">
      <w:pPr>
        <w:ind w:right="1"/>
        <w:jc w:val="both"/>
        <w:rPr>
          <w:bCs/>
          <w:noProof/>
          <w:sz w:val="22"/>
          <w:szCs w:val="22"/>
          <w:lang w:val="sr-Latn-ME"/>
        </w:rPr>
      </w:pPr>
    </w:p>
    <w:p w14:paraId="2E509480" w14:textId="6523A9CB" w:rsidR="00C33F48" w:rsidRPr="009602D1" w:rsidRDefault="00EE07B1" w:rsidP="004018B4">
      <w:pPr>
        <w:ind w:right="1"/>
        <w:jc w:val="both"/>
        <w:rPr>
          <w:sz w:val="22"/>
          <w:szCs w:val="22"/>
          <w:lang w:val="sr-Latn-ME"/>
        </w:rPr>
      </w:pPr>
      <w:r w:rsidRPr="009602D1">
        <w:rPr>
          <w:sz w:val="22"/>
          <w:szCs w:val="22"/>
          <w:lang w:val="sr-Latn-ME"/>
        </w:rPr>
        <w:t>Upotreba l</w:t>
      </w:r>
      <w:r w:rsidR="00251E98" w:rsidRPr="009602D1">
        <w:rPr>
          <w:sz w:val="22"/>
          <w:szCs w:val="22"/>
          <w:lang w:val="sr-Latn-ME"/>
        </w:rPr>
        <w:t>ijek</w:t>
      </w:r>
      <w:r w:rsidRPr="009602D1">
        <w:rPr>
          <w:sz w:val="22"/>
          <w:szCs w:val="22"/>
          <w:lang w:val="sr-Latn-ME"/>
        </w:rPr>
        <w:t>a</w:t>
      </w:r>
      <w:r w:rsidR="00251E98" w:rsidRPr="009602D1">
        <w:rPr>
          <w:sz w:val="22"/>
          <w:szCs w:val="22"/>
          <w:lang w:val="sr-Latn-ME"/>
        </w:rPr>
        <w:t xml:space="preserve"> Panadol Advance</w:t>
      </w:r>
      <w:r w:rsidRPr="009602D1">
        <w:rPr>
          <w:sz w:val="22"/>
          <w:szCs w:val="22"/>
          <w:lang w:val="sr-Latn-ME"/>
        </w:rPr>
        <w:t xml:space="preserve"> nije preporučena</w:t>
      </w:r>
      <w:r w:rsidR="00251E98" w:rsidRPr="009602D1">
        <w:rPr>
          <w:sz w:val="22"/>
          <w:szCs w:val="22"/>
          <w:lang w:val="sr-Latn-ME"/>
        </w:rPr>
        <w:t xml:space="preserve"> kod djece mlađe od</w:t>
      </w:r>
      <w:r w:rsidR="00C33F48" w:rsidRPr="009602D1">
        <w:rPr>
          <w:sz w:val="22"/>
          <w:szCs w:val="22"/>
          <w:lang w:val="sr-Latn-ME"/>
        </w:rPr>
        <w:t xml:space="preserve"> od </w:t>
      </w:r>
      <w:r w:rsidR="00605645" w:rsidRPr="009602D1">
        <w:rPr>
          <w:sz w:val="22"/>
          <w:szCs w:val="22"/>
          <w:lang w:val="sr-Latn-ME"/>
        </w:rPr>
        <w:t xml:space="preserve">10 </w:t>
      </w:r>
      <w:r w:rsidR="00C33F48" w:rsidRPr="009602D1">
        <w:rPr>
          <w:sz w:val="22"/>
          <w:szCs w:val="22"/>
          <w:lang w:val="sr-Latn-ME"/>
        </w:rPr>
        <w:t>godina.</w:t>
      </w:r>
    </w:p>
    <w:p w14:paraId="645DC811" w14:textId="77777777" w:rsidR="00C33F48" w:rsidRPr="009602D1" w:rsidRDefault="00C33F48" w:rsidP="004018B4">
      <w:pPr>
        <w:ind w:right="1"/>
        <w:jc w:val="both"/>
        <w:rPr>
          <w:sz w:val="22"/>
          <w:szCs w:val="22"/>
          <w:lang w:val="sr-Latn-ME"/>
        </w:rPr>
      </w:pPr>
    </w:p>
    <w:p w14:paraId="7CD11EA5" w14:textId="77777777" w:rsidR="00C33F48" w:rsidRPr="009602D1" w:rsidRDefault="00C33F48" w:rsidP="004018B4">
      <w:pPr>
        <w:ind w:right="1"/>
        <w:jc w:val="both"/>
        <w:rPr>
          <w:sz w:val="22"/>
          <w:szCs w:val="22"/>
          <w:lang w:val="sr-Latn-ME"/>
        </w:rPr>
      </w:pPr>
      <w:r w:rsidRPr="009602D1">
        <w:rPr>
          <w:sz w:val="22"/>
          <w:szCs w:val="22"/>
          <w:lang w:val="sr-Latn-ME"/>
        </w:rPr>
        <w:t>Dozu je potrebno primjenjivati sa razmakom od najmanje 4 sata, a ne smiju se prekoračiti 4 doze tokom 24 časa.</w:t>
      </w:r>
    </w:p>
    <w:p w14:paraId="7D91A469" w14:textId="77777777" w:rsidR="00C33F48" w:rsidRPr="009602D1" w:rsidRDefault="00C33F48" w:rsidP="004018B4">
      <w:pPr>
        <w:ind w:right="1"/>
        <w:jc w:val="both"/>
        <w:rPr>
          <w:sz w:val="22"/>
          <w:szCs w:val="22"/>
          <w:lang w:val="sr-Latn-ME"/>
        </w:rPr>
      </w:pPr>
    </w:p>
    <w:p w14:paraId="76D5FE6F" w14:textId="2435C569" w:rsidR="00251E98" w:rsidRPr="009602D1" w:rsidRDefault="00C33F48" w:rsidP="004018B4">
      <w:pPr>
        <w:ind w:right="1"/>
        <w:jc w:val="both"/>
        <w:rPr>
          <w:sz w:val="22"/>
          <w:szCs w:val="22"/>
          <w:lang w:val="sr-Latn-ME"/>
        </w:rPr>
      </w:pPr>
      <w:r w:rsidRPr="009602D1">
        <w:rPr>
          <w:sz w:val="22"/>
          <w:szCs w:val="22"/>
          <w:lang w:val="sr-Latn-ME"/>
        </w:rPr>
        <w:t>Treba primijeniti najnižu dozu kojom se postiže efekat.</w:t>
      </w:r>
    </w:p>
    <w:p w14:paraId="63A94BB5" w14:textId="2AA194F6" w:rsidR="00251E98" w:rsidRPr="009602D1" w:rsidRDefault="00251E98" w:rsidP="004018B4">
      <w:pPr>
        <w:ind w:right="1"/>
        <w:jc w:val="both"/>
        <w:rPr>
          <w:b/>
          <w:bCs/>
          <w:sz w:val="22"/>
          <w:szCs w:val="22"/>
          <w:u w:val="single"/>
          <w:lang w:val="sr-Latn-ME"/>
        </w:rPr>
      </w:pPr>
      <w:r w:rsidRPr="009602D1">
        <w:rPr>
          <w:b/>
          <w:bCs/>
          <w:sz w:val="22"/>
          <w:szCs w:val="22"/>
          <w:u w:val="single"/>
          <w:lang w:val="sr-Latn-ME"/>
        </w:rPr>
        <w:lastRenderedPageBreak/>
        <w:t>Način primjene</w:t>
      </w:r>
    </w:p>
    <w:p w14:paraId="13DC75AA" w14:textId="0B2DAD1C" w:rsidR="00251E98" w:rsidRPr="009602D1" w:rsidRDefault="00251E98" w:rsidP="004018B4">
      <w:pPr>
        <w:ind w:right="1"/>
        <w:jc w:val="both"/>
        <w:rPr>
          <w:b/>
          <w:bCs/>
          <w:sz w:val="22"/>
          <w:szCs w:val="22"/>
          <w:u w:val="single"/>
          <w:lang w:val="sr-Latn-ME"/>
        </w:rPr>
      </w:pPr>
    </w:p>
    <w:p w14:paraId="7256CE9B" w14:textId="38100E83" w:rsidR="00251E98" w:rsidRPr="009602D1" w:rsidRDefault="00251E98" w:rsidP="004018B4">
      <w:pPr>
        <w:ind w:right="1"/>
        <w:jc w:val="both"/>
        <w:rPr>
          <w:sz w:val="22"/>
          <w:szCs w:val="22"/>
          <w:lang w:val="sr-Latn-ME"/>
        </w:rPr>
      </w:pPr>
      <w:r w:rsidRPr="009602D1">
        <w:rPr>
          <w:sz w:val="22"/>
          <w:szCs w:val="22"/>
          <w:lang w:val="sr-Latn-ME"/>
        </w:rPr>
        <w:t>Lijek Panadol Advance namijenjen je za oralnu upotrebu.</w:t>
      </w:r>
    </w:p>
    <w:p w14:paraId="407F50AA" w14:textId="77777777" w:rsidR="00452E9D" w:rsidRPr="009602D1" w:rsidRDefault="00452E9D" w:rsidP="004018B4">
      <w:pPr>
        <w:tabs>
          <w:tab w:val="left" w:pos="540"/>
          <w:tab w:val="left" w:pos="569"/>
        </w:tabs>
        <w:ind w:right="1"/>
        <w:jc w:val="both"/>
        <w:rPr>
          <w:bCs/>
          <w:sz w:val="22"/>
          <w:szCs w:val="22"/>
          <w:lang w:val="sr-Latn-ME"/>
        </w:rPr>
      </w:pPr>
    </w:p>
    <w:p w14:paraId="407F50AB" w14:textId="1141AF74" w:rsidR="00411B4B" w:rsidRPr="009602D1" w:rsidRDefault="00411B4B" w:rsidP="004018B4">
      <w:pPr>
        <w:tabs>
          <w:tab w:val="left" w:pos="540"/>
          <w:tab w:val="left" w:pos="569"/>
        </w:tabs>
        <w:ind w:right="1"/>
        <w:jc w:val="both"/>
        <w:rPr>
          <w:b/>
          <w:bCs/>
          <w:sz w:val="22"/>
          <w:szCs w:val="22"/>
          <w:lang w:val="sr-Latn-ME"/>
        </w:rPr>
      </w:pPr>
      <w:r w:rsidRPr="009602D1">
        <w:rPr>
          <w:b/>
          <w:bCs/>
          <w:sz w:val="22"/>
          <w:szCs w:val="22"/>
          <w:lang w:val="sr-Latn-ME"/>
        </w:rPr>
        <w:t xml:space="preserve">4.3. </w:t>
      </w:r>
      <w:r w:rsidR="00480FB1" w:rsidRPr="009602D1">
        <w:rPr>
          <w:b/>
          <w:bCs/>
          <w:sz w:val="22"/>
          <w:szCs w:val="22"/>
          <w:lang w:val="sr-Latn-ME"/>
        </w:rPr>
        <w:tab/>
      </w:r>
      <w:r w:rsidRPr="009602D1">
        <w:rPr>
          <w:b/>
          <w:bCs/>
          <w:sz w:val="22"/>
          <w:szCs w:val="22"/>
          <w:lang w:val="sr-Latn-ME"/>
        </w:rPr>
        <w:t>Kontraindikacije</w:t>
      </w:r>
    </w:p>
    <w:p w14:paraId="1FF4BCED" w14:textId="77777777" w:rsidR="00C33F48" w:rsidRPr="009602D1" w:rsidRDefault="00C33F48" w:rsidP="004018B4">
      <w:pPr>
        <w:tabs>
          <w:tab w:val="left" w:pos="540"/>
          <w:tab w:val="left" w:pos="569"/>
        </w:tabs>
        <w:ind w:right="1"/>
        <w:jc w:val="both"/>
        <w:rPr>
          <w:b/>
          <w:bCs/>
          <w:sz w:val="22"/>
          <w:szCs w:val="22"/>
          <w:lang w:val="sr-Latn-ME"/>
        </w:rPr>
      </w:pPr>
    </w:p>
    <w:p w14:paraId="36ACA13E" w14:textId="3A741B43" w:rsidR="00C33F48" w:rsidRPr="009602D1" w:rsidRDefault="00C33F48" w:rsidP="004018B4">
      <w:pPr>
        <w:ind w:right="1"/>
        <w:jc w:val="both"/>
        <w:rPr>
          <w:sz w:val="22"/>
          <w:szCs w:val="22"/>
          <w:lang w:val="sr-Latn-ME"/>
        </w:rPr>
      </w:pPr>
      <w:r w:rsidRPr="009602D1">
        <w:rPr>
          <w:sz w:val="22"/>
          <w:szCs w:val="22"/>
          <w:lang w:val="sr-Latn-ME"/>
        </w:rPr>
        <w:t>Preosjetljivost na paracetamol</w:t>
      </w:r>
      <w:r w:rsidR="00251E98" w:rsidRPr="009602D1">
        <w:rPr>
          <w:sz w:val="22"/>
          <w:szCs w:val="22"/>
          <w:lang w:val="sr-Latn-ME"/>
        </w:rPr>
        <w:t xml:space="preserve"> ili na bilo koju od pomoćnih supstanci navedenih u </w:t>
      </w:r>
      <w:r w:rsidR="00EE07B1" w:rsidRPr="009602D1">
        <w:rPr>
          <w:sz w:val="22"/>
          <w:szCs w:val="22"/>
          <w:lang w:val="sr-Latn-ME"/>
        </w:rPr>
        <w:t>dijelu</w:t>
      </w:r>
      <w:r w:rsidR="00251E98" w:rsidRPr="009602D1">
        <w:rPr>
          <w:sz w:val="22"/>
          <w:szCs w:val="22"/>
          <w:lang w:val="sr-Latn-ME"/>
        </w:rPr>
        <w:t xml:space="preserve"> 6.1.</w:t>
      </w:r>
    </w:p>
    <w:p w14:paraId="407F50AC" w14:textId="77777777" w:rsidR="0072020E" w:rsidRPr="009602D1" w:rsidRDefault="0072020E" w:rsidP="004018B4">
      <w:pPr>
        <w:tabs>
          <w:tab w:val="left" w:pos="540"/>
          <w:tab w:val="left" w:pos="569"/>
        </w:tabs>
        <w:ind w:right="1"/>
        <w:jc w:val="both"/>
        <w:rPr>
          <w:bCs/>
          <w:sz w:val="22"/>
          <w:szCs w:val="22"/>
          <w:lang w:val="sr-Latn-ME"/>
        </w:rPr>
      </w:pPr>
    </w:p>
    <w:p w14:paraId="20C1C590" w14:textId="13469A61" w:rsidR="00513F24" w:rsidRPr="009602D1" w:rsidRDefault="00411B4B" w:rsidP="004018B4">
      <w:pPr>
        <w:tabs>
          <w:tab w:val="left" w:pos="540"/>
          <w:tab w:val="left" w:pos="569"/>
        </w:tabs>
        <w:ind w:right="1"/>
        <w:jc w:val="both"/>
        <w:rPr>
          <w:lang w:val="sr-Latn-ME"/>
        </w:rPr>
      </w:pPr>
      <w:r w:rsidRPr="009602D1">
        <w:rPr>
          <w:b/>
          <w:bCs/>
          <w:sz w:val="22"/>
          <w:szCs w:val="22"/>
          <w:lang w:val="sr-Latn-ME"/>
        </w:rPr>
        <w:t xml:space="preserve">4.4. </w:t>
      </w:r>
      <w:r w:rsidR="00480FB1" w:rsidRPr="009602D1">
        <w:rPr>
          <w:b/>
          <w:bCs/>
          <w:sz w:val="22"/>
          <w:szCs w:val="22"/>
          <w:lang w:val="sr-Latn-ME"/>
        </w:rPr>
        <w:tab/>
      </w:r>
      <w:r w:rsidRPr="009602D1">
        <w:rPr>
          <w:b/>
          <w:bCs/>
          <w:sz w:val="22"/>
          <w:szCs w:val="22"/>
          <w:lang w:val="sr-Latn-ME"/>
        </w:rPr>
        <w:t>Posebna upozorenja i mjere opreza pri upotrebi lijeka</w:t>
      </w:r>
    </w:p>
    <w:p w14:paraId="331795EC" w14:textId="27C37CC9" w:rsidR="00C33F48" w:rsidRPr="009602D1" w:rsidRDefault="00C33F48" w:rsidP="004018B4">
      <w:pPr>
        <w:pStyle w:val="Header"/>
        <w:tabs>
          <w:tab w:val="left" w:pos="284"/>
        </w:tabs>
        <w:spacing w:before="80" w:after="80"/>
        <w:ind w:right="1"/>
        <w:jc w:val="both"/>
        <w:rPr>
          <w:bCs/>
          <w:sz w:val="22"/>
          <w:szCs w:val="22"/>
          <w:lang w:val="sr-Latn-ME"/>
        </w:rPr>
      </w:pPr>
      <w:r w:rsidRPr="009602D1">
        <w:rPr>
          <w:bCs/>
          <w:sz w:val="22"/>
          <w:szCs w:val="22"/>
          <w:lang w:val="sr-Latn-ME"/>
        </w:rPr>
        <w:t xml:space="preserve">Lijek Panadol Advance sadrži paracetamol. </w:t>
      </w:r>
      <w:r w:rsidR="00062018" w:rsidRPr="009602D1">
        <w:rPr>
          <w:bCs/>
          <w:sz w:val="22"/>
          <w:szCs w:val="22"/>
          <w:lang w:val="sr-Latn-ME"/>
        </w:rPr>
        <w:t>T</w:t>
      </w:r>
      <w:r w:rsidRPr="009602D1">
        <w:rPr>
          <w:bCs/>
          <w:sz w:val="22"/>
          <w:szCs w:val="22"/>
          <w:lang w:val="sr-Latn-ME"/>
        </w:rPr>
        <w:t xml:space="preserve">reba </w:t>
      </w:r>
      <w:r w:rsidR="00062018" w:rsidRPr="009602D1">
        <w:rPr>
          <w:bCs/>
          <w:sz w:val="22"/>
          <w:szCs w:val="22"/>
          <w:lang w:val="sr-Latn-ME"/>
        </w:rPr>
        <w:t>izbjegavati</w:t>
      </w:r>
      <w:r w:rsidRPr="009602D1">
        <w:rPr>
          <w:bCs/>
          <w:sz w:val="22"/>
          <w:szCs w:val="22"/>
          <w:lang w:val="sr-Latn-ME"/>
        </w:rPr>
        <w:t xml:space="preserve"> istovremen</w:t>
      </w:r>
      <w:r w:rsidR="00062018" w:rsidRPr="009602D1">
        <w:rPr>
          <w:bCs/>
          <w:sz w:val="22"/>
          <w:szCs w:val="22"/>
          <w:lang w:val="sr-Latn-ME"/>
        </w:rPr>
        <w:t>u upotrebu</w:t>
      </w:r>
      <w:r w:rsidRPr="009602D1">
        <w:rPr>
          <w:bCs/>
          <w:sz w:val="22"/>
          <w:szCs w:val="22"/>
          <w:lang w:val="sr-Latn-ME"/>
        </w:rPr>
        <w:t xml:space="preserve"> sa drugim ljekovima koji sadrže paracetamol. Istovremena upotreba sa drugim ljekovima koji sadrže paracetamol, može dovesti do predoziranja. Predoziranje paracetamolom može </w:t>
      </w:r>
      <w:r w:rsidR="00062018" w:rsidRPr="009602D1">
        <w:rPr>
          <w:bCs/>
          <w:sz w:val="22"/>
          <w:szCs w:val="22"/>
          <w:lang w:val="sr-Latn-ME"/>
        </w:rPr>
        <w:t xml:space="preserve">da </w:t>
      </w:r>
      <w:r w:rsidRPr="009602D1">
        <w:rPr>
          <w:bCs/>
          <w:sz w:val="22"/>
          <w:szCs w:val="22"/>
          <w:lang w:val="sr-Latn-ME"/>
        </w:rPr>
        <w:t>izaz</w:t>
      </w:r>
      <w:r w:rsidR="00062018" w:rsidRPr="009602D1">
        <w:rPr>
          <w:bCs/>
          <w:sz w:val="22"/>
          <w:szCs w:val="22"/>
          <w:lang w:val="sr-Latn-ME"/>
        </w:rPr>
        <w:t>ove</w:t>
      </w:r>
      <w:r w:rsidRPr="009602D1">
        <w:rPr>
          <w:bCs/>
          <w:sz w:val="22"/>
          <w:szCs w:val="22"/>
          <w:lang w:val="sr-Latn-ME"/>
        </w:rPr>
        <w:t xml:space="preserve"> </w:t>
      </w:r>
      <w:r w:rsidR="00EE07B1" w:rsidRPr="009602D1">
        <w:rPr>
          <w:bCs/>
          <w:sz w:val="22"/>
          <w:szCs w:val="22"/>
          <w:lang w:val="sr-Latn-ME"/>
        </w:rPr>
        <w:t>insuficijenciju</w:t>
      </w:r>
      <w:r w:rsidRPr="009602D1">
        <w:rPr>
          <w:bCs/>
          <w:sz w:val="22"/>
          <w:szCs w:val="22"/>
          <w:lang w:val="sr-Latn-ME"/>
        </w:rPr>
        <w:t xml:space="preserve"> jetre koj</w:t>
      </w:r>
      <w:r w:rsidR="00EE07B1" w:rsidRPr="009602D1">
        <w:rPr>
          <w:bCs/>
          <w:sz w:val="22"/>
          <w:szCs w:val="22"/>
          <w:lang w:val="sr-Latn-ME"/>
        </w:rPr>
        <w:t>a</w:t>
      </w:r>
      <w:r w:rsidRPr="009602D1">
        <w:rPr>
          <w:bCs/>
          <w:sz w:val="22"/>
          <w:szCs w:val="22"/>
          <w:lang w:val="sr-Latn-ME"/>
        </w:rPr>
        <w:t xml:space="preserve"> može d</w:t>
      </w:r>
      <w:r w:rsidR="00062018" w:rsidRPr="009602D1">
        <w:rPr>
          <w:bCs/>
          <w:sz w:val="22"/>
          <w:szCs w:val="22"/>
          <w:lang w:val="sr-Latn-ME"/>
        </w:rPr>
        <w:t>a zahtijeva</w:t>
      </w:r>
      <w:r w:rsidRPr="009602D1">
        <w:rPr>
          <w:bCs/>
          <w:sz w:val="22"/>
          <w:szCs w:val="22"/>
          <w:lang w:val="sr-Latn-ME"/>
        </w:rPr>
        <w:t xml:space="preserve"> transplantacij</w:t>
      </w:r>
      <w:r w:rsidR="00062018" w:rsidRPr="009602D1">
        <w:rPr>
          <w:bCs/>
          <w:sz w:val="22"/>
          <w:szCs w:val="22"/>
          <w:lang w:val="sr-Latn-ME"/>
        </w:rPr>
        <w:t>u</w:t>
      </w:r>
      <w:r w:rsidRPr="009602D1">
        <w:rPr>
          <w:bCs/>
          <w:sz w:val="22"/>
          <w:szCs w:val="22"/>
          <w:lang w:val="sr-Latn-ME"/>
        </w:rPr>
        <w:t xml:space="preserve"> jetre ili </w:t>
      </w:r>
      <w:r w:rsidR="00EE07B1" w:rsidRPr="009602D1">
        <w:rPr>
          <w:bCs/>
          <w:sz w:val="22"/>
          <w:szCs w:val="22"/>
          <w:lang w:val="sr-Latn-ME"/>
        </w:rPr>
        <w:t xml:space="preserve">da </w:t>
      </w:r>
      <w:r w:rsidR="00062018" w:rsidRPr="009602D1">
        <w:rPr>
          <w:bCs/>
          <w:sz w:val="22"/>
          <w:szCs w:val="22"/>
          <w:lang w:val="sr-Latn-ME"/>
        </w:rPr>
        <w:t xml:space="preserve">izazove </w:t>
      </w:r>
      <w:r w:rsidRPr="009602D1">
        <w:rPr>
          <w:bCs/>
          <w:sz w:val="22"/>
          <w:szCs w:val="22"/>
          <w:lang w:val="sr-Latn-ME"/>
        </w:rPr>
        <w:t xml:space="preserve">smrt.  </w:t>
      </w:r>
    </w:p>
    <w:p w14:paraId="5324F3A2" w14:textId="30B36EFF" w:rsidR="00D46FD4" w:rsidRPr="009602D1" w:rsidRDefault="00C33F48" w:rsidP="004018B4">
      <w:pPr>
        <w:pStyle w:val="Header"/>
        <w:tabs>
          <w:tab w:val="left" w:pos="284"/>
        </w:tabs>
        <w:spacing w:before="80" w:after="80"/>
        <w:ind w:right="1"/>
        <w:jc w:val="both"/>
        <w:rPr>
          <w:bCs/>
          <w:sz w:val="22"/>
          <w:szCs w:val="22"/>
          <w:lang w:val="sr-Latn-ME"/>
        </w:rPr>
      </w:pPr>
      <w:r w:rsidRPr="009602D1">
        <w:rPr>
          <w:bCs/>
          <w:sz w:val="22"/>
          <w:szCs w:val="22"/>
          <w:lang w:val="sr-Latn-ME"/>
        </w:rPr>
        <w:t>Postojeća oboljenja jetre povećavaju rizik od nastanka oštećenja jetre, koje je povezano sa upotrebom paracetamola. Pacijenti kod kojih je dijagnostikovano oštećenje jetre ili bubrega, moraju potražiti savjet ljekara prije uzimanja ovog lijeka.</w:t>
      </w:r>
    </w:p>
    <w:p w14:paraId="6EB5F0D2" w14:textId="77777777" w:rsidR="00E0522C" w:rsidRPr="009602D1" w:rsidRDefault="00E0522C" w:rsidP="00704CD8">
      <w:pPr>
        <w:pStyle w:val="Header"/>
        <w:tabs>
          <w:tab w:val="left" w:pos="284"/>
        </w:tabs>
        <w:ind w:right="1"/>
        <w:jc w:val="both"/>
        <w:rPr>
          <w:bCs/>
          <w:sz w:val="22"/>
          <w:szCs w:val="22"/>
          <w:lang w:val="sr-Latn-ME"/>
        </w:rPr>
      </w:pPr>
    </w:p>
    <w:p w14:paraId="2ADF3DC0" w14:textId="53F1ED05" w:rsidR="00C33F48" w:rsidRPr="009602D1" w:rsidRDefault="00D46FD4" w:rsidP="00704CD8">
      <w:pPr>
        <w:pStyle w:val="Header"/>
        <w:jc w:val="both"/>
        <w:rPr>
          <w:sz w:val="22"/>
          <w:szCs w:val="22"/>
          <w:lang w:val="sr-Latn-ME"/>
        </w:rPr>
      </w:pPr>
      <w:r w:rsidRPr="009602D1">
        <w:rPr>
          <w:sz w:val="22"/>
          <w:szCs w:val="22"/>
          <w:lang w:val="sr-Latn-ME"/>
        </w:rPr>
        <w:t>Oprez se savjetuje kod pacijenata koji koriste paracetamol istovremeno sa</w:t>
      </w:r>
      <w:r w:rsidRPr="009602D1">
        <w:rPr>
          <w:rFonts w:ascii="Roboto" w:hAnsi="Roboto"/>
          <w:color w:val="5F6368"/>
          <w:sz w:val="22"/>
          <w:szCs w:val="22"/>
          <w:shd w:val="clear" w:color="auto" w:fill="F5F5F5"/>
          <w:lang w:val="sr-Latn-ME"/>
        </w:rPr>
        <w:t xml:space="preserve"> </w:t>
      </w:r>
      <w:r w:rsidRPr="009602D1">
        <w:rPr>
          <w:sz w:val="22"/>
          <w:szCs w:val="22"/>
          <w:lang w:val="sr-Latn-ME"/>
        </w:rPr>
        <w:t>flukloksacilinom zbog povećanog rizika od metaboličke acidoze sa povećanim anjonskim zjapom (eng</w:t>
      </w:r>
      <w:r w:rsidRPr="009602D1">
        <w:rPr>
          <w:i/>
          <w:iCs/>
          <w:sz w:val="22"/>
          <w:szCs w:val="22"/>
          <w:lang w:val="sr-Latn-ME"/>
        </w:rPr>
        <w:t xml:space="preserve">: high anion gap metabolic acidosis; </w:t>
      </w:r>
      <w:r w:rsidRPr="009602D1">
        <w:rPr>
          <w:sz w:val="22"/>
          <w:szCs w:val="22"/>
          <w:lang w:val="sr-Latn-ME"/>
        </w:rPr>
        <w:t>HAGMA), posebno kod pacijenata sa teškim oštećenjem bubrega, sepsom, malnutricijom i drugim stanjima koja dovode do nedostatka glutationa (npr. hronični alkoholizam), kao i kod onih pacijenata koji koriste maksimalne dnevne doze paracetamola. Preporučuje se pažljivo praćenje, uključujući mjerenje 5-oksoprolina u urinu.</w:t>
      </w:r>
    </w:p>
    <w:p w14:paraId="275BED54" w14:textId="77777777" w:rsidR="00D46FD4" w:rsidRPr="009602D1" w:rsidRDefault="00D46FD4" w:rsidP="00045774">
      <w:pPr>
        <w:pStyle w:val="Header"/>
        <w:rPr>
          <w:lang w:val="sr-Latn-ME"/>
        </w:rPr>
      </w:pPr>
    </w:p>
    <w:p w14:paraId="5150BF5F" w14:textId="018F0DBA" w:rsidR="00C33F48" w:rsidRPr="009602D1" w:rsidRDefault="00C33F48" w:rsidP="004018B4">
      <w:pPr>
        <w:pStyle w:val="Header"/>
        <w:tabs>
          <w:tab w:val="left" w:pos="284"/>
        </w:tabs>
        <w:spacing w:before="80" w:after="80"/>
        <w:ind w:right="1"/>
        <w:jc w:val="both"/>
        <w:rPr>
          <w:bCs/>
          <w:sz w:val="22"/>
          <w:szCs w:val="22"/>
          <w:lang w:val="sr-Latn-ME"/>
        </w:rPr>
      </w:pPr>
      <w:r w:rsidRPr="009602D1">
        <w:rPr>
          <w:bCs/>
          <w:sz w:val="22"/>
          <w:szCs w:val="22"/>
          <w:lang w:val="sr-Latn-ME"/>
        </w:rPr>
        <w:t>Bili su prijavljeni slučajevi disfunkcije/</w:t>
      </w:r>
      <w:r w:rsidR="00EE07B1" w:rsidRPr="009602D1">
        <w:rPr>
          <w:bCs/>
          <w:sz w:val="22"/>
          <w:szCs w:val="22"/>
          <w:lang w:val="sr-Latn-ME"/>
        </w:rPr>
        <w:t>insuficijencije</w:t>
      </w:r>
      <w:r w:rsidRPr="009602D1">
        <w:rPr>
          <w:bCs/>
          <w:sz w:val="22"/>
          <w:szCs w:val="22"/>
          <w:lang w:val="sr-Latn-ME"/>
        </w:rPr>
        <w:t xml:space="preserve"> jetre kod pacijenata sa smanjenim nivoima glutationa, kao što su pacijenti sa teškom malnutricijom, anoreksijom, pacijenti koji imaju mali indeks tjelesne mase ili pacijenti </w:t>
      </w:r>
      <w:r w:rsidR="00062018" w:rsidRPr="009602D1">
        <w:rPr>
          <w:bCs/>
          <w:sz w:val="22"/>
          <w:szCs w:val="22"/>
          <w:lang w:val="sr-Latn-ME"/>
        </w:rPr>
        <w:t>koji hronično konzumiraju alkohol</w:t>
      </w:r>
      <w:r w:rsidRPr="009602D1">
        <w:rPr>
          <w:bCs/>
          <w:sz w:val="22"/>
          <w:szCs w:val="22"/>
          <w:lang w:val="sr-Latn-ME"/>
        </w:rPr>
        <w:t>.</w:t>
      </w:r>
    </w:p>
    <w:p w14:paraId="2BA7511D" w14:textId="680E3E8F" w:rsidR="00EE07B1" w:rsidRPr="009602D1" w:rsidRDefault="00C33F48" w:rsidP="004018B4">
      <w:pPr>
        <w:pStyle w:val="Header"/>
        <w:tabs>
          <w:tab w:val="left" w:pos="284"/>
        </w:tabs>
        <w:ind w:right="1"/>
        <w:jc w:val="both"/>
        <w:rPr>
          <w:bCs/>
          <w:sz w:val="22"/>
          <w:szCs w:val="22"/>
          <w:lang w:val="sr-Latn-ME"/>
        </w:rPr>
      </w:pPr>
      <w:r w:rsidRPr="009602D1">
        <w:rPr>
          <w:bCs/>
          <w:sz w:val="22"/>
          <w:szCs w:val="22"/>
          <w:lang w:val="sr-Latn-ME"/>
        </w:rPr>
        <w:t>Potreban je oprez kod pacijenata sa smanjenim nivoom glutationa, kao što je sepsa: upotreba paracetamola može povećati rizik od metaboličke acidoze.</w:t>
      </w:r>
    </w:p>
    <w:p w14:paraId="722DA5E1" w14:textId="77777777" w:rsidR="00C33F48" w:rsidRPr="009602D1" w:rsidRDefault="00C33F48" w:rsidP="004018B4">
      <w:pPr>
        <w:pStyle w:val="Header"/>
        <w:tabs>
          <w:tab w:val="left" w:pos="284"/>
        </w:tabs>
        <w:ind w:right="1"/>
        <w:jc w:val="both"/>
        <w:rPr>
          <w:bCs/>
          <w:sz w:val="22"/>
          <w:szCs w:val="22"/>
          <w:lang w:val="sr-Latn-ME"/>
        </w:rPr>
      </w:pPr>
    </w:p>
    <w:p w14:paraId="5C41959C" w14:textId="001B9305" w:rsidR="00C33F48" w:rsidRPr="009602D1" w:rsidRDefault="00C33F48" w:rsidP="004018B4">
      <w:pPr>
        <w:pStyle w:val="Header"/>
        <w:tabs>
          <w:tab w:val="left" w:pos="284"/>
        </w:tabs>
        <w:ind w:right="1"/>
        <w:jc w:val="both"/>
        <w:rPr>
          <w:bCs/>
          <w:sz w:val="22"/>
          <w:szCs w:val="22"/>
          <w:lang w:val="sr-Latn-ME"/>
        </w:rPr>
      </w:pPr>
      <w:r w:rsidRPr="009602D1">
        <w:rPr>
          <w:bCs/>
          <w:sz w:val="22"/>
          <w:szCs w:val="22"/>
          <w:lang w:val="sr-Latn-ME"/>
        </w:rPr>
        <w:t>Ne smije se prekoračiti preporučena doza.</w:t>
      </w:r>
    </w:p>
    <w:p w14:paraId="3CE3DFFD" w14:textId="122B3D09" w:rsidR="00062018" w:rsidRPr="009602D1" w:rsidRDefault="00062018" w:rsidP="004018B4">
      <w:pPr>
        <w:pStyle w:val="Header"/>
        <w:tabs>
          <w:tab w:val="left" w:pos="284"/>
        </w:tabs>
        <w:ind w:right="1"/>
        <w:jc w:val="both"/>
        <w:rPr>
          <w:bCs/>
          <w:sz w:val="22"/>
          <w:szCs w:val="22"/>
          <w:lang w:val="sr-Latn-ME"/>
        </w:rPr>
      </w:pPr>
    </w:p>
    <w:p w14:paraId="47D23DD1" w14:textId="10B14AAF" w:rsidR="00062018" w:rsidRPr="009602D1" w:rsidRDefault="00062018" w:rsidP="004018B4">
      <w:pPr>
        <w:pStyle w:val="Header"/>
        <w:tabs>
          <w:tab w:val="left" w:pos="284"/>
        </w:tabs>
        <w:ind w:right="1"/>
        <w:jc w:val="both"/>
        <w:rPr>
          <w:bCs/>
          <w:sz w:val="22"/>
          <w:szCs w:val="22"/>
          <w:lang w:val="sr-Latn-ME"/>
        </w:rPr>
      </w:pPr>
      <w:r w:rsidRPr="009602D1">
        <w:rPr>
          <w:bCs/>
          <w:sz w:val="22"/>
          <w:szCs w:val="22"/>
          <w:lang w:val="sr-Latn-ME"/>
        </w:rPr>
        <w:t>Ukoliko se simptomi ne povuku, konsultujte svog ljekara. Produžena upotreba, osim ako je pod medicinskim nadzorom, može biti štetna.</w:t>
      </w:r>
    </w:p>
    <w:p w14:paraId="43699237" w14:textId="0582D151" w:rsidR="00EC145B" w:rsidRPr="009602D1" w:rsidRDefault="00062018" w:rsidP="004018B4">
      <w:pPr>
        <w:pStyle w:val="Header"/>
        <w:tabs>
          <w:tab w:val="left" w:pos="284"/>
        </w:tabs>
        <w:ind w:right="1"/>
        <w:jc w:val="both"/>
        <w:rPr>
          <w:sz w:val="22"/>
          <w:szCs w:val="22"/>
          <w:lang w:val="sr-Latn-ME"/>
        </w:rPr>
      </w:pPr>
      <w:r w:rsidRPr="009602D1">
        <w:rPr>
          <w:bCs/>
          <w:sz w:val="22"/>
          <w:szCs w:val="22"/>
          <w:lang w:val="sr-Latn-ME"/>
        </w:rPr>
        <w:t>Ovaj lijek treba koristiti samo onda kad je neophodno.</w:t>
      </w:r>
    </w:p>
    <w:p w14:paraId="157265E3" w14:textId="06A4B572" w:rsidR="00C33F48" w:rsidRPr="009602D1" w:rsidRDefault="00C33F48" w:rsidP="004018B4">
      <w:pPr>
        <w:pStyle w:val="Header"/>
        <w:tabs>
          <w:tab w:val="left" w:pos="284"/>
        </w:tabs>
        <w:ind w:right="1"/>
        <w:jc w:val="both"/>
        <w:rPr>
          <w:bCs/>
          <w:sz w:val="22"/>
          <w:szCs w:val="22"/>
          <w:lang w:val="sr-Latn-ME"/>
        </w:rPr>
      </w:pPr>
    </w:p>
    <w:p w14:paraId="1295C1A1" w14:textId="77D17F8C" w:rsidR="00C33F48" w:rsidRPr="009602D1" w:rsidRDefault="00062018" w:rsidP="004018B4">
      <w:pPr>
        <w:pStyle w:val="Header"/>
        <w:tabs>
          <w:tab w:val="left" w:pos="284"/>
        </w:tabs>
        <w:ind w:right="1"/>
        <w:jc w:val="both"/>
        <w:rPr>
          <w:bCs/>
          <w:sz w:val="22"/>
          <w:szCs w:val="22"/>
          <w:lang w:val="sr-Latn-ME"/>
        </w:rPr>
      </w:pPr>
      <w:r w:rsidRPr="009602D1">
        <w:rPr>
          <w:bCs/>
          <w:sz w:val="22"/>
          <w:szCs w:val="22"/>
          <w:lang w:val="sr-Latn-ME"/>
        </w:rPr>
        <w:t>Lijek</w:t>
      </w:r>
      <w:r w:rsidR="00EC145B" w:rsidRPr="009602D1">
        <w:rPr>
          <w:bCs/>
          <w:sz w:val="22"/>
          <w:szCs w:val="22"/>
          <w:lang w:val="sr-Latn-ME"/>
        </w:rPr>
        <w:t xml:space="preserve"> </w:t>
      </w:r>
      <w:r w:rsidRPr="009602D1">
        <w:rPr>
          <w:bCs/>
          <w:sz w:val="22"/>
          <w:szCs w:val="22"/>
          <w:lang w:val="sr-Latn-ME"/>
        </w:rPr>
        <w:t>d</w:t>
      </w:r>
      <w:r w:rsidR="00C33F48" w:rsidRPr="009602D1">
        <w:rPr>
          <w:bCs/>
          <w:sz w:val="22"/>
          <w:szCs w:val="22"/>
          <w:lang w:val="sr-Latn-ME"/>
        </w:rPr>
        <w:t>ržati van domašaja i vidokruga djece.</w:t>
      </w:r>
    </w:p>
    <w:p w14:paraId="407F50B0" w14:textId="77777777" w:rsidR="00057E35" w:rsidRPr="009602D1" w:rsidRDefault="00057E35" w:rsidP="004018B4">
      <w:pPr>
        <w:tabs>
          <w:tab w:val="left" w:pos="540"/>
          <w:tab w:val="left" w:pos="569"/>
        </w:tabs>
        <w:jc w:val="both"/>
        <w:rPr>
          <w:bCs/>
          <w:sz w:val="22"/>
          <w:szCs w:val="22"/>
          <w:lang w:val="sr-Latn-ME"/>
        </w:rPr>
      </w:pPr>
    </w:p>
    <w:p w14:paraId="407F50B1" w14:textId="77777777" w:rsidR="00411B4B" w:rsidRPr="009602D1" w:rsidRDefault="00411B4B" w:rsidP="004018B4">
      <w:pPr>
        <w:tabs>
          <w:tab w:val="left" w:pos="540"/>
          <w:tab w:val="left" w:pos="569"/>
        </w:tabs>
        <w:jc w:val="both"/>
        <w:rPr>
          <w:b/>
          <w:bCs/>
          <w:sz w:val="22"/>
          <w:szCs w:val="22"/>
          <w:lang w:val="sr-Latn-ME"/>
        </w:rPr>
      </w:pPr>
      <w:r w:rsidRPr="009602D1">
        <w:rPr>
          <w:b/>
          <w:bCs/>
          <w:sz w:val="22"/>
          <w:szCs w:val="22"/>
          <w:lang w:val="sr-Latn-ME"/>
        </w:rPr>
        <w:t>4.5.</w:t>
      </w:r>
      <w:r w:rsidR="000D60CC" w:rsidRPr="009602D1">
        <w:rPr>
          <w:b/>
          <w:bCs/>
          <w:sz w:val="22"/>
          <w:szCs w:val="22"/>
          <w:lang w:val="sr-Latn-ME"/>
        </w:rPr>
        <w:tab/>
      </w:r>
      <w:r w:rsidRPr="009602D1">
        <w:rPr>
          <w:b/>
          <w:bCs/>
          <w:sz w:val="22"/>
          <w:szCs w:val="22"/>
          <w:lang w:val="sr-Latn-ME"/>
        </w:rPr>
        <w:t>Interakcije sa drugim ljekovima i druge vrste interakcija</w:t>
      </w:r>
    </w:p>
    <w:p w14:paraId="1F16D579" w14:textId="77777777" w:rsidR="00C33F48" w:rsidRPr="009602D1" w:rsidRDefault="00C33F48" w:rsidP="004018B4">
      <w:pPr>
        <w:tabs>
          <w:tab w:val="left" w:pos="540"/>
          <w:tab w:val="left" w:pos="569"/>
        </w:tabs>
        <w:jc w:val="both"/>
        <w:rPr>
          <w:bCs/>
          <w:sz w:val="22"/>
          <w:szCs w:val="22"/>
          <w:lang w:val="sr-Latn-ME"/>
        </w:rPr>
      </w:pPr>
    </w:p>
    <w:p w14:paraId="1FB92D95" w14:textId="7E5507BD" w:rsidR="00C33F48" w:rsidRPr="009602D1" w:rsidRDefault="00C33F48" w:rsidP="004018B4">
      <w:pPr>
        <w:tabs>
          <w:tab w:val="left" w:pos="540"/>
          <w:tab w:val="left" w:pos="569"/>
        </w:tabs>
        <w:jc w:val="both"/>
        <w:rPr>
          <w:bCs/>
          <w:sz w:val="22"/>
          <w:szCs w:val="22"/>
          <w:lang w:val="sr-Latn-ME"/>
        </w:rPr>
      </w:pPr>
      <w:r w:rsidRPr="009602D1">
        <w:rPr>
          <w:bCs/>
          <w:sz w:val="22"/>
          <w:szCs w:val="22"/>
          <w:lang w:val="sr-Latn-ME"/>
        </w:rPr>
        <w:t xml:space="preserve">Metoklopromid ili domperidon mogu povećati brzinu resorpcije paracetamola, a holestiramin može smanjiti resorpciju. Antikoagulantno dejstvo varfarina i drugih kumarinskih derivata može biti pojačano produženom redovnom upotrebom paracetamola, dovodeći do povećanog rizika od krvarenja. Povremeno uzimanje lijeka nema nikakvog značajnog efekta.  </w:t>
      </w:r>
    </w:p>
    <w:p w14:paraId="659B428B" w14:textId="77777777" w:rsidR="00D46FD4" w:rsidRPr="009602D1" w:rsidRDefault="00D46FD4" w:rsidP="004018B4">
      <w:pPr>
        <w:tabs>
          <w:tab w:val="left" w:pos="540"/>
          <w:tab w:val="left" w:pos="569"/>
        </w:tabs>
        <w:jc w:val="both"/>
        <w:rPr>
          <w:bCs/>
          <w:sz w:val="22"/>
          <w:szCs w:val="22"/>
          <w:lang w:val="sr-Latn-ME"/>
        </w:rPr>
      </w:pPr>
    </w:p>
    <w:p w14:paraId="08AFC983" w14:textId="58CF4FE2" w:rsidR="00D46FD4" w:rsidRPr="009602D1" w:rsidRDefault="00D46FD4" w:rsidP="00704CD8">
      <w:pPr>
        <w:jc w:val="both"/>
        <w:rPr>
          <w:sz w:val="22"/>
          <w:szCs w:val="22"/>
          <w:lang w:val="sr-Latn-ME"/>
        </w:rPr>
      </w:pPr>
      <w:r w:rsidRPr="009602D1">
        <w:rPr>
          <w:sz w:val="22"/>
          <w:szCs w:val="22"/>
          <w:lang w:val="sr-Latn-ME"/>
        </w:rPr>
        <w:t>Oprez se savjetuje kod pacijenata koji koriste paracetamol istovremeno sa flukloksacilinom zbog povećanog rizika od metaboličke acidoze sa povećanim anjonskim zjapom, naročito kod pacijenata sa faktorima rizika (vid</w:t>
      </w:r>
      <w:r w:rsidR="007859B5" w:rsidRPr="009602D1">
        <w:rPr>
          <w:sz w:val="22"/>
          <w:szCs w:val="22"/>
          <w:lang w:val="sr-Latn-ME"/>
        </w:rPr>
        <w:t>j</w:t>
      </w:r>
      <w:r w:rsidRPr="009602D1">
        <w:rPr>
          <w:sz w:val="22"/>
          <w:szCs w:val="22"/>
          <w:lang w:val="sr-Latn-ME"/>
        </w:rPr>
        <w:t xml:space="preserve">eti </w:t>
      </w:r>
      <w:r w:rsidR="00E0522C" w:rsidRPr="009602D1">
        <w:rPr>
          <w:sz w:val="22"/>
          <w:szCs w:val="22"/>
          <w:lang w:val="sr-Latn-ME"/>
        </w:rPr>
        <w:t>dio</w:t>
      </w:r>
      <w:r w:rsidRPr="009602D1">
        <w:rPr>
          <w:sz w:val="22"/>
          <w:szCs w:val="22"/>
          <w:lang w:val="sr-Latn-ME"/>
        </w:rPr>
        <w:t xml:space="preserve"> 4.4.)</w:t>
      </w:r>
    </w:p>
    <w:p w14:paraId="407F50B2" w14:textId="77777777" w:rsidR="0072020E" w:rsidRPr="009602D1" w:rsidRDefault="0072020E" w:rsidP="004018B4">
      <w:pPr>
        <w:tabs>
          <w:tab w:val="left" w:pos="540"/>
          <w:tab w:val="left" w:pos="569"/>
        </w:tabs>
        <w:jc w:val="both"/>
        <w:rPr>
          <w:bCs/>
          <w:sz w:val="22"/>
          <w:szCs w:val="22"/>
          <w:lang w:val="sr-Latn-ME"/>
        </w:rPr>
      </w:pPr>
    </w:p>
    <w:p w14:paraId="407F50B3" w14:textId="77777777" w:rsidR="0072020E" w:rsidRPr="009602D1" w:rsidRDefault="0072020E" w:rsidP="004018B4">
      <w:pPr>
        <w:tabs>
          <w:tab w:val="left" w:pos="540"/>
          <w:tab w:val="left" w:pos="569"/>
        </w:tabs>
        <w:jc w:val="both"/>
        <w:rPr>
          <w:b/>
          <w:sz w:val="22"/>
          <w:szCs w:val="22"/>
          <w:lang w:val="sr-Latn-ME"/>
        </w:rPr>
      </w:pPr>
      <w:r w:rsidRPr="009602D1">
        <w:rPr>
          <w:b/>
          <w:bCs/>
          <w:sz w:val="22"/>
          <w:szCs w:val="22"/>
          <w:lang w:val="sr-Latn-ME"/>
        </w:rPr>
        <w:t xml:space="preserve">4.6. </w:t>
      </w:r>
      <w:r w:rsidR="00480FB1" w:rsidRPr="009602D1">
        <w:rPr>
          <w:b/>
          <w:bCs/>
          <w:sz w:val="22"/>
          <w:szCs w:val="22"/>
          <w:lang w:val="sr-Latn-ME"/>
        </w:rPr>
        <w:tab/>
      </w:r>
      <w:r w:rsidR="006D20A5" w:rsidRPr="009602D1">
        <w:rPr>
          <w:b/>
          <w:sz w:val="22"/>
          <w:szCs w:val="22"/>
          <w:lang w:val="sr-Latn-ME"/>
        </w:rPr>
        <w:t>Plodnost, trudnoća i dojenje</w:t>
      </w:r>
    </w:p>
    <w:p w14:paraId="407F50B4" w14:textId="7D29DF60" w:rsidR="002031B3" w:rsidRPr="009602D1" w:rsidRDefault="002031B3" w:rsidP="004018B4">
      <w:pPr>
        <w:tabs>
          <w:tab w:val="left" w:pos="540"/>
          <w:tab w:val="left" w:pos="569"/>
        </w:tabs>
        <w:jc w:val="both"/>
        <w:rPr>
          <w:sz w:val="22"/>
          <w:szCs w:val="22"/>
          <w:u w:val="single"/>
          <w:lang w:val="sr-Latn-ME"/>
        </w:rPr>
      </w:pPr>
    </w:p>
    <w:p w14:paraId="4A6B66D4" w14:textId="72EFFBF4" w:rsidR="006801F3" w:rsidRPr="009602D1" w:rsidRDefault="006801F3" w:rsidP="004018B4">
      <w:pPr>
        <w:tabs>
          <w:tab w:val="left" w:pos="540"/>
          <w:tab w:val="left" w:pos="569"/>
        </w:tabs>
        <w:jc w:val="both"/>
        <w:rPr>
          <w:sz w:val="22"/>
          <w:szCs w:val="22"/>
          <w:u w:val="single"/>
          <w:lang w:val="sr-Latn-ME"/>
        </w:rPr>
      </w:pPr>
      <w:r w:rsidRPr="009602D1">
        <w:rPr>
          <w:sz w:val="22"/>
          <w:szCs w:val="22"/>
          <w:u w:val="single"/>
          <w:lang w:val="sr-Latn-ME"/>
        </w:rPr>
        <w:t>Trudnoća</w:t>
      </w:r>
    </w:p>
    <w:p w14:paraId="4D558CF4" w14:textId="780E0C72" w:rsidR="00E65A5B" w:rsidRPr="009602D1" w:rsidRDefault="00E65A5B" w:rsidP="004018B4">
      <w:pPr>
        <w:pStyle w:val="Header"/>
        <w:tabs>
          <w:tab w:val="left" w:pos="284"/>
        </w:tabs>
        <w:spacing w:before="80" w:after="80"/>
        <w:jc w:val="both"/>
        <w:rPr>
          <w:bCs/>
          <w:sz w:val="22"/>
          <w:szCs w:val="22"/>
          <w:lang w:val="sr-Latn-ME"/>
        </w:rPr>
      </w:pPr>
      <w:r w:rsidRPr="009602D1">
        <w:rPr>
          <w:bCs/>
          <w:sz w:val="22"/>
          <w:szCs w:val="22"/>
          <w:lang w:val="sr-Latn-ME"/>
        </w:rPr>
        <w:t>Mnogobrojni podaci na trudnicama govore da ne postoje malformacije, niti feto/nenonat</w:t>
      </w:r>
      <w:r w:rsidR="00062018" w:rsidRPr="009602D1">
        <w:rPr>
          <w:bCs/>
          <w:sz w:val="22"/>
          <w:szCs w:val="22"/>
          <w:lang w:val="sr-Latn-ME"/>
        </w:rPr>
        <w:t>a</w:t>
      </w:r>
      <w:r w:rsidRPr="009602D1">
        <w:rPr>
          <w:bCs/>
          <w:sz w:val="22"/>
          <w:szCs w:val="22"/>
          <w:lang w:val="sr-Latn-ME"/>
        </w:rPr>
        <w:t xml:space="preserve">lna toksičnost. Epidemiološke studije o uticaju na razvoj nervnog sistema kod djece </w:t>
      </w:r>
      <w:r w:rsidR="00E82CB2" w:rsidRPr="009602D1">
        <w:rPr>
          <w:bCs/>
          <w:sz w:val="22"/>
          <w:szCs w:val="22"/>
          <w:lang w:val="sr-Latn-ME"/>
        </w:rPr>
        <w:t>izložene</w:t>
      </w:r>
      <w:r w:rsidRPr="009602D1">
        <w:rPr>
          <w:bCs/>
          <w:sz w:val="22"/>
          <w:szCs w:val="22"/>
          <w:lang w:val="sr-Latn-ME"/>
        </w:rPr>
        <w:t xml:space="preserve"> paracetamol</w:t>
      </w:r>
      <w:r w:rsidR="00E82CB2" w:rsidRPr="009602D1">
        <w:rPr>
          <w:bCs/>
          <w:sz w:val="22"/>
          <w:szCs w:val="22"/>
          <w:lang w:val="sr-Latn-ME"/>
        </w:rPr>
        <w:t>u</w:t>
      </w:r>
      <w:r w:rsidRPr="009602D1">
        <w:rPr>
          <w:bCs/>
          <w:sz w:val="22"/>
          <w:szCs w:val="22"/>
          <w:lang w:val="sr-Latn-ME"/>
        </w:rPr>
        <w:t xml:space="preserve"> </w:t>
      </w:r>
      <w:r w:rsidRPr="009602D1">
        <w:rPr>
          <w:bCs/>
          <w:i/>
          <w:iCs/>
          <w:sz w:val="22"/>
          <w:szCs w:val="22"/>
          <w:lang w:val="sr-Latn-ME"/>
        </w:rPr>
        <w:t>in utero</w:t>
      </w:r>
      <w:r w:rsidRPr="009602D1">
        <w:rPr>
          <w:bCs/>
          <w:sz w:val="22"/>
          <w:szCs w:val="22"/>
          <w:lang w:val="sr-Latn-ME"/>
        </w:rPr>
        <w:t xml:space="preserve"> pokazuj</w:t>
      </w:r>
      <w:r w:rsidR="00E82CB2" w:rsidRPr="009602D1">
        <w:rPr>
          <w:bCs/>
          <w:sz w:val="22"/>
          <w:szCs w:val="22"/>
          <w:lang w:val="sr-Latn-ME"/>
        </w:rPr>
        <w:t>u</w:t>
      </w:r>
      <w:r w:rsidRPr="009602D1">
        <w:rPr>
          <w:bCs/>
          <w:sz w:val="22"/>
          <w:szCs w:val="22"/>
          <w:lang w:val="sr-Latn-ME"/>
        </w:rPr>
        <w:t xml:space="preserve"> neubjedljive rezultate. Ako je klinički neophodno, paracetamol se može koristiti tokom </w:t>
      </w:r>
      <w:r w:rsidRPr="009602D1">
        <w:rPr>
          <w:bCs/>
          <w:sz w:val="22"/>
          <w:szCs w:val="22"/>
          <w:lang w:val="sr-Latn-ME"/>
        </w:rPr>
        <w:lastRenderedPageBreak/>
        <w:t xml:space="preserve">trudnoće, međutim, trebalo bi da se koristi u najmanjoj efikasnoj dozi tokom najkraćeg mogućeg perioda i sa najmanjom učestalošću. </w:t>
      </w:r>
    </w:p>
    <w:p w14:paraId="2D450AF6" w14:textId="65244E59" w:rsidR="006801F3" w:rsidRPr="009602D1" w:rsidRDefault="006801F3" w:rsidP="004018B4">
      <w:pPr>
        <w:pStyle w:val="Header"/>
        <w:tabs>
          <w:tab w:val="left" w:pos="284"/>
        </w:tabs>
        <w:spacing w:before="80" w:after="80"/>
        <w:jc w:val="both"/>
        <w:rPr>
          <w:bCs/>
          <w:sz w:val="22"/>
          <w:szCs w:val="22"/>
          <w:lang w:val="sr-Latn-ME"/>
        </w:rPr>
      </w:pPr>
      <w:r w:rsidRPr="009602D1">
        <w:rPr>
          <w:bCs/>
          <w:sz w:val="22"/>
          <w:szCs w:val="22"/>
          <w:lang w:val="sr-Latn-ME"/>
        </w:rPr>
        <w:t>Dojenje</w:t>
      </w:r>
    </w:p>
    <w:p w14:paraId="63B76403" w14:textId="3F8428EB" w:rsidR="00C33F48" w:rsidRPr="009602D1" w:rsidRDefault="00C33F48" w:rsidP="004018B4">
      <w:pPr>
        <w:pStyle w:val="Header"/>
        <w:tabs>
          <w:tab w:val="left" w:pos="284"/>
        </w:tabs>
        <w:spacing w:before="80" w:after="80"/>
        <w:jc w:val="both"/>
        <w:rPr>
          <w:bCs/>
          <w:sz w:val="22"/>
          <w:szCs w:val="22"/>
          <w:lang w:val="sr-Latn-ME"/>
        </w:rPr>
      </w:pPr>
      <w:r w:rsidRPr="009602D1">
        <w:rPr>
          <w:bCs/>
          <w:sz w:val="22"/>
          <w:szCs w:val="22"/>
          <w:lang w:val="sr-Latn-ME"/>
        </w:rPr>
        <w:t>Paracetamol se izlučuje u mlijeko</w:t>
      </w:r>
      <w:r w:rsidR="00062018" w:rsidRPr="009602D1">
        <w:rPr>
          <w:bCs/>
          <w:sz w:val="22"/>
          <w:szCs w:val="22"/>
          <w:lang w:val="sr-Latn-ME"/>
        </w:rPr>
        <w:t>. Međutim, koncentracija prisutnog paracetamola u mlijeku se ne smatra štetnom</w:t>
      </w:r>
      <w:r w:rsidRPr="009602D1">
        <w:rPr>
          <w:bCs/>
          <w:sz w:val="22"/>
          <w:szCs w:val="22"/>
          <w:lang w:val="sr-Latn-ME"/>
        </w:rPr>
        <w:t xml:space="preserve">. </w:t>
      </w:r>
      <w:r w:rsidR="00936DAD" w:rsidRPr="009602D1">
        <w:rPr>
          <w:bCs/>
          <w:sz w:val="22"/>
          <w:szCs w:val="22"/>
          <w:lang w:val="sr-Latn-ME"/>
        </w:rPr>
        <w:t xml:space="preserve"> Dostupni objavljeni podaci pokazuju da dojenje nije kontraindikacija za prim</w:t>
      </w:r>
      <w:r w:rsidR="00513F24" w:rsidRPr="009602D1">
        <w:rPr>
          <w:bCs/>
          <w:sz w:val="22"/>
          <w:szCs w:val="22"/>
          <w:lang w:val="sr-Latn-ME"/>
        </w:rPr>
        <w:t>j</w:t>
      </w:r>
      <w:r w:rsidR="00936DAD" w:rsidRPr="009602D1">
        <w:rPr>
          <w:bCs/>
          <w:sz w:val="22"/>
          <w:szCs w:val="22"/>
          <w:lang w:val="sr-Latn-ME"/>
        </w:rPr>
        <w:t xml:space="preserve">enu lijeka. </w:t>
      </w:r>
    </w:p>
    <w:p w14:paraId="6E0D82EB" w14:textId="77777777" w:rsidR="00C33F48" w:rsidRPr="009602D1" w:rsidRDefault="00C33F48" w:rsidP="004018B4">
      <w:pPr>
        <w:tabs>
          <w:tab w:val="left" w:pos="540"/>
          <w:tab w:val="left" w:pos="569"/>
        </w:tabs>
        <w:ind w:left="540" w:hanging="540"/>
        <w:jc w:val="both"/>
        <w:rPr>
          <w:b/>
          <w:bCs/>
          <w:sz w:val="22"/>
          <w:szCs w:val="22"/>
          <w:lang w:val="sr-Latn-ME"/>
        </w:rPr>
      </w:pPr>
    </w:p>
    <w:p w14:paraId="407F50BB" w14:textId="3E7BF00D" w:rsidR="0072020E" w:rsidRPr="009602D1" w:rsidRDefault="0072020E" w:rsidP="004018B4">
      <w:pPr>
        <w:tabs>
          <w:tab w:val="left" w:pos="540"/>
          <w:tab w:val="left" w:pos="569"/>
        </w:tabs>
        <w:ind w:left="540" w:hanging="540"/>
        <w:jc w:val="both"/>
        <w:rPr>
          <w:b/>
          <w:bCs/>
          <w:sz w:val="22"/>
          <w:szCs w:val="22"/>
          <w:lang w:val="sr-Latn-ME"/>
        </w:rPr>
      </w:pPr>
      <w:r w:rsidRPr="009602D1">
        <w:rPr>
          <w:b/>
          <w:bCs/>
          <w:sz w:val="22"/>
          <w:szCs w:val="22"/>
          <w:lang w:val="sr-Latn-ME"/>
        </w:rPr>
        <w:t xml:space="preserve">4.7. </w:t>
      </w:r>
      <w:r w:rsidR="00480FB1" w:rsidRPr="009602D1">
        <w:rPr>
          <w:b/>
          <w:bCs/>
          <w:sz w:val="22"/>
          <w:szCs w:val="22"/>
          <w:lang w:val="sr-Latn-ME"/>
        </w:rPr>
        <w:tab/>
      </w:r>
      <w:r w:rsidRPr="009602D1">
        <w:rPr>
          <w:b/>
          <w:bCs/>
          <w:sz w:val="22"/>
          <w:szCs w:val="22"/>
          <w:lang w:val="sr-Latn-ME"/>
        </w:rPr>
        <w:t xml:space="preserve">Uticaj na </w:t>
      </w:r>
      <w:r w:rsidR="002031B3" w:rsidRPr="009602D1">
        <w:rPr>
          <w:b/>
          <w:bCs/>
          <w:sz w:val="22"/>
          <w:szCs w:val="22"/>
          <w:lang w:val="sr-Latn-ME"/>
        </w:rPr>
        <w:t xml:space="preserve">sposobnost </w:t>
      </w:r>
      <w:r w:rsidR="00F34554" w:rsidRPr="009602D1">
        <w:rPr>
          <w:b/>
          <w:bCs/>
          <w:sz w:val="22"/>
          <w:szCs w:val="22"/>
          <w:lang w:val="sr-Latn-ME"/>
        </w:rPr>
        <w:t>upravljanja vozili</w:t>
      </w:r>
      <w:r w:rsidRPr="009602D1">
        <w:rPr>
          <w:b/>
          <w:bCs/>
          <w:sz w:val="22"/>
          <w:szCs w:val="22"/>
          <w:lang w:val="sr-Latn-ME"/>
        </w:rPr>
        <w:t>m</w:t>
      </w:r>
      <w:r w:rsidR="00F34554" w:rsidRPr="009602D1">
        <w:rPr>
          <w:b/>
          <w:bCs/>
          <w:sz w:val="22"/>
          <w:szCs w:val="22"/>
          <w:lang w:val="sr-Latn-ME"/>
        </w:rPr>
        <w:t>a</w:t>
      </w:r>
      <w:r w:rsidRPr="009602D1">
        <w:rPr>
          <w:b/>
          <w:bCs/>
          <w:sz w:val="22"/>
          <w:szCs w:val="22"/>
          <w:lang w:val="sr-Latn-ME"/>
        </w:rPr>
        <w:t xml:space="preserve"> i </w:t>
      </w:r>
      <w:r w:rsidR="000D3449" w:rsidRPr="009602D1">
        <w:rPr>
          <w:b/>
          <w:bCs/>
          <w:sz w:val="22"/>
          <w:szCs w:val="22"/>
          <w:lang w:val="sr-Latn-ME"/>
        </w:rPr>
        <w:t xml:space="preserve">rukovanje </w:t>
      </w:r>
      <w:r w:rsidRPr="009602D1">
        <w:rPr>
          <w:b/>
          <w:bCs/>
          <w:sz w:val="22"/>
          <w:szCs w:val="22"/>
          <w:lang w:val="sr-Latn-ME"/>
        </w:rPr>
        <w:t>mašinama</w:t>
      </w:r>
    </w:p>
    <w:p w14:paraId="713C7A22" w14:textId="77777777" w:rsidR="00C33F48" w:rsidRPr="009602D1" w:rsidRDefault="00C33F48" w:rsidP="004018B4">
      <w:pPr>
        <w:tabs>
          <w:tab w:val="left" w:pos="540"/>
          <w:tab w:val="left" w:pos="569"/>
        </w:tabs>
        <w:jc w:val="both"/>
        <w:rPr>
          <w:sz w:val="22"/>
          <w:szCs w:val="22"/>
          <w:lang w:val="sr-Latn-ME"/>
        </w:rPr>
      </w:pPr>
    </w:p>
    <w:p w14:paraId="38265ECA" w14:textId="4C22A220" w:rsidR="00C33F48" w:rsidRPr="009602D1" w:rsidRDefault="00C33F48" w:rsidP="004018B4">
      <w:pPr>
        <w:tabs>
          <w:tab w:val="left" w:pos="540"/>
          <w:tab w:val="left" w:pos="569"/>
        </w:tabs>
        <w:ind w:left="540" w:hanging="540"/>
        <w:jc w:val="both"/>
        <w:rPr>
          <w:b/>
          <w:bCs/>
          <w:sz w:val="22"/>
          <w:szCs w:val="22"/>
          <w:lang w:val="sr-Latn-ME"/>
        </w:rPr>
      </w:pPr>
      <w:r w:rsidRPr="009602D1">
        <w:rPr>
          <w:sz w:val="22"/>
          <w:szCs w:val="22"/>
          <w:lang w:val="sr-Latn-ME"/>
        </w:rPr>
        <w:t>Ne postoj</w:t>
      </w:r>
      <w:r w:rsidR="00062018" w:rsidRPr="009602D1">
        <w:rPr>
          <w:sz w:val="22"/>
          <w:szCs w:val="22"/>
          <w:lang w:val="sr-Latn-ME"/>
        </w:rPr>
        <w:t>e podaci o uticaju lijeka na sposobnost upravljanja vozilima i rukovanja mašinama.</w:t>
      </w:r>
    </w:p>
    <w:p w14:paraId="407F50BC" w14:textId="77777777" w:rsidR="0072020E" w:rsidRPr="009602D1" w:rsidRDefault="0072020E" w:rsidP="004018B4">
      <w:pPr>
        <w:tabs>
          <w:tab w:val="left" w:pos="540"/>
          <w:tab w:val="left" w:pos="569"/>
        </w:tabs>
        <w:jc w:val="both"/>
        <w:rPr>
          <w:b/>
          <w:bCs/>
          <w:sz w:val="22"/>
          <w:szCs w:val="22"/>
          <w:lang w:val="sr-Latn-ME"/>
        </w:rPr>
      </w:pPr>
    </w:p>
    <w:p w14:paraId="407F50BD" w14:textId="3AE4DEE9" w:rsidR="0072020E" w:rsidRPr="009602D1" w:rsidRDefault="0072020E" w:rsidP="004018B4">
      <w:pPr>
        <w:tabs>
          <w:tab w:val="left" w:pos="540"/>
          <w:tab w:val="left" w:pos="569"/>
        </w:tabs>
        <w:jc w:val="both"/>
        <w:rPr>
          <w:b/>
          <w:bCs/>
          <w:sz w:val="22"/>
          <w:szCs w:val="22"/>
          <w:lang w:val="sr-Latn-ME"/>
        </w:rPr>
      </w:pPr>
      <w:r w:rsidRPr="009602D1">
        <w:rPr>
          <w:b/>
          <w:bCs/>
          <w:sz w:val="22"/>
          <w:szCs w:val="22"/>
          <w:lang w:val="sr-Latn-ME"/>
        </w:rPr>
        <w:t xml:space="preserve">4.8. </w:t>
      </w:r>
      <w:r w:rsidR="00480FB1" w:rsidRPr="009602D1">
        <w:rPr>
          <w:b/>
          <w:bCs/>
          <w:sz w:val="22"/>
          <w:szCs w:val="22"/>
          <w:lang w:val="sr-Latn-ME"/>
        </w:rPr>
        <w:tab/>
      </w:r>
      <w:r w:rsidRPr="009602D1">
        <w:rPr>
          <w:b/>
          <w:bCs/>
          <w:sz w:val="22"/>
          <w:szCs w:val="22"/>
          <w:lang w:val="sr-Latn-ME"/>
        </w:rPr>
        <w:t>Neželjena dejstva</w:t>
      </w:r>
    </w:p>
    <w:p w14:paraId="03686FF4" w14:textId="77777777" w:rsidR="00243DB6" w:rsidRPr="009602D1" w:rsidRDefault="00243DB6" w:rsidP="004018B4">
      <w:pPr>
        <w:tabs>
          <w:tab w:val="left" w:pos="540"/>
          <w:tab w:val="left" w:pos="569"/>
        </w:tabs>
        <w:jc w:val="both"/>
        <w:rPr>
          <w:b/>
          <w:bCs/>
          <w:sz w:val="22"/>
          <w:szCs w:val="22"/>
          <w:lang w:val="sr-Latn-ME"/>
        </w:rPr>
      </w:pPr>
    </w:p>
    <w:p w14:paraId="5A9A86A3" w14:textId="5F6F42F2" w:rsidR="00062018" w:rsidRPr="009602D1" w:rsidRDefault="00062018" w:rsidP="004018B4">
      <w:pPr>
        <w:pStyle w:val="Header"/>
        <w:tabs>
          <w:tab w:val="left" w:pos="284"/>
        </w:tabs>
        <w:jc w:val="both"/>
        <w:rPr>
          <w:sz w:val="22"/>
          <w:szCs w:val="22"/>
          <w:lang w:val="sr-Latn-ME"/>
        </w:rPr>
      </w:pPr>
      <w:r w:rsidRPr="009602D1">
        <w:rPr>
          <w:bCs/>
          <w:sz w:val="22"/>
          <w:szCs w:val="22"/>
          <w:lang w:val="sr-Latn-ME"/>
        </w:rPr>
        <w:t>U tabeli ispod su prikazana neželjena dejstva povezana sa uzimanjem l</w:t>
      </w:r>
      <w:r w:rsidR="00874554" w:rsidRPr="009602D1">
        <w:rPr>
          <w:bCs/>
          <w:sz w:val="22"/>
          <w:szCs w:val="22"/>
          <w:lang w:val="sr-Latn-ME"/>
        </w:rPr>
        <w:t>ij</w:t>
      </w:r>
      <w:r w:rsidRPr="009602D1">
        <w:rPr>
          <w:bCs/>
          <w:sz w:val="22"/>
          <w:szCs w:val="22"/>
          <w:lang w:val="sr-Latn-ME"/>
        </w:rPr>
        <w:t>eka klasifikovana po sistemima organa i učestalosti javljanja, zab</w:t>
      </w:r>
      <w:r w:rsidR="00874554" w:rsidRPr="009602D1">
        <w:rPr>
          <w:bCs/>
          <w:sz w:val="22"/>
          <w:szCs w:val="22"/>
          <w:lang w:val="sr-Latn-ME"/>
        </w:rPr>
        <w:t>ilj</w:t>
      </w:r>
      <w:r w:rsidRPr="009602D1">
        <w:rPr>
          <w:bCs/>
          <w:sz w:val="22"/>
          <w:szCs w:val="22"/>
          <w:lang w:val="sr-Latn-ME"/>
        </w:rPr>
        <w:t>ežena u postmarketinškom praćenju prim</w:t>
      </w:r>
      <w:r w:rsidR="00874554" w:rsidRPr="009602D1">
        <w:rPr>
          <w:bCs/>
          <w:sz w:val="22"/>
          <w:szCs w:val="22"/>
          <w:lang w:val="sr-Latn-ME"/>
        </w:rPr>
        <w:t>j</w:t>
      </w:r>
      <w:r w:rsidRPr="009602D1">
        <w:rPr>
          <w:bCs/>
          <w:sz w:val="22"/>
          <w:szCs w:val="22"/>
          <w:lang w:val="sr-Latn-ME"/>
        </w:rPr>
        <w:t>ene paracetamola u preporučenim terapijskim dozama.</w:t>
      </w:r>
    </w:p>
    <w:p w14:paraId="35076968" w14:textId="1297CC60" w:rsidR="006801F3" w:rsidRPr="009602D1" w:rsidRDefault="00062018" w:rsidP="004018B4">
      <w:pPr>
        <w:pStyle w:val="Header"/>
        <w:tabs>
          <w:tab w:val="left" w:pos="284"/>
        </w:tabs>
        <w:jc w:val="both"/>
        <w:rPr>
          <w:bCs/>
          <w:sz w:val="22"/>
          <w:szCs w:val="22"/>
          <w:lang w:val="sr-Latn-ME"/>
        </w:rPr>
      </w:pPr>
      <w:r w:rsidRPr="009602D1">
        <w:rPr>
          <w:bCs/>
          <w:sz w:val="22"/>
          <w:szCs w:val="22"/>
          <w:lang w:val="sr-Latn-ME"/>
        </w:rPr>
        <w:t>Učestalost prijavljivanja neželjenih reakcija na l</w:t>
      </w:r>
      <w:r w:rsidR="006801F3" w:rsidRPr="009602D1">
        <w:rPr>
          <w:bCs/>
          <w:sz w:val="22"/>
          <w:szCs w:val="22"/>
          <w:lang w:val="sr-Latn-ME"/>
        </w:rPr>
        <w:t>ij</w:t>
      </w:r>
      <w:r w:rsidRPr="009602D1">
        <w:rPr>
          <w:bCs/>
          <w:sz w:val="22"/>
          <w:szCs w:val="22"/>
          <w:lang w:val="sr-Latn-ME"/>
        </w:rPr>
        <w:t>ek označena je kao: veoma čest</w:t>
      </w:r>
      <w:r w:rsidR="006801F3" w:rsidRPr="009602D1">
        <w:rPr>
          <w:bCs/>
          <w:sz w:val="22"/>
          <w:szCs w:val="22"/>
          <w:lang w:val="sr-Latn-ME"/>
        </w:rPr>
        <w:t>o</w:t>
      </w:r>
      <w:r w:rsidRPr="009602D1">
        <w:rPr>
          <w:bCs/>
          <w:sz w:val="22"/>
          <w:szCs w:val="22"/>
          <w:lang w:val="sr-Latn-ME"/>
        </w:rPr>
        <w:t xml:space="preserve"> </w:t>
      </w:r>
      <w:r w:rsidRPr="009602D1">
        <w:rPr>
          <w:color w:val="000000"/>
          <w:sz w:val="22"/>
          <w:szCs w:val="22"/>
          <w:lang w:val="sr-Latn-ME"/>
        </w:rPr>
        <w:t>(</w:t>
      </w:r>
      <w:r w:rsidRPr="009602D1">
        <w:rPr>
          <w:noProof/>
          <w:color w:val="000000"/>
          <w:sz w:val="22"/>
          <w:szCs w:val="22"/>
        </w:rPr>
        <w:drawing>
          <wp:inline distT="0" distB="0" distL="0" distR="0" wp14:anchorId="08EDEBB2" wp14:editId="2A77D0D3">
            <wp:extent cx="114300" cy="114300"/>
            <wp:effectExtent l="0" t="0" r="0" b="0"/>
            <wp:docPr id="5" name="Picture 5"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THAN OR EQUAL TO (88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602D1">
        <w:rPr>
          <w:color w:val="000000"/>
          <w:sz w:val="22"/>
          <w:szCs w:val="22"/>
          <w:lang w:val="sr-Latn-ME"/>
        </w:rPr>
        <w:t>1/10),</w:t>
      </w:r>
      <w:r w:rsidRPr="009602D1">
        <w:rPr>
          <w:bCs/>
          <w:sz w:val="22"/>
          <w:szCs w:val="22"/>
          <w:lang w:val="sr-Latn-ME"/>
        </w:rPr>
        <w:t xml:space="preserve"> čest</w:t>
      </w:r>
      <w:r w:rsidR="006801F3" w:rsidRPr="009602D1">
        <w:rPr>
          <w:bCs/>
          <w:sz w:val="22"/>
          <w:szCs w:val="22"/>
          <w:lang w:val="sr-Latn-ME"/>
        </w:rPr>
        <w:t>o</w:t>
      </w:r>
      <w:r w:rsidRPr="009602D1">
        <w:rPr>
          <w:bCs/>
          <w:sz w:val="22"/>
          <w:szCs w:val="22"/>
          <w:lang w:val="sr-Latn-ME"/>
        </w:rPr>
        <w:t xml:space="preserve"> </w:t>
      </w:r>
      <w:r w:rsidRPr="009602D1">
        <w:rPr>
          <w:color w:val="000000"/>
          <w:sz w:val="22"/>
          <w:szCs w:val="22"/>
          <w:lang w:val="sr-Latn-ME"/>
        </w:rPr>
        <w:t>(</w:t>
      </w:r>
      <w:r w:rsidRPr="009602D1">
        <w:rPr>
          <w:noProof/>
          <w:color w:val="000000"/>
          <w:sz w:val="22"/>
          <w:szCs w:val="22"/>
        </w:rPr>
        <w:drawing>
          <wp:inline distT="0" distB="0" distL="0" distR="0" wp14:anchorId="5192FB3A" wp14:editId="0EBCD257">
            <wp:extent cx="114300" cy="114300"/>
            <wp:effectExtent l="0" t="0" r="0" b="0"/>
            <wp:docPr id="4" name="Picture 4"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ER-THAN OR EQUAL TO (88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602D1">
        <w:rPr>
          <w:color w:val="000000"/>
          <w:sz w:val="22"/>
          <w:szCs w:val="22"/>
          <w:lang w:val="sr-Latn-ME"/>
        </w:rPr>
        <w:t>1/100, &lt;1/10),</w:t>
      </w:r>
      <w:r w:rsidRPr="009602D1">
        <w:rPr>
          <w:bCs/>
          <w:sz w:val="22"/>
          <w:szCs w:val="22"/>
          <w:lang w:val="sr-Latn-ME"/>
        </w:rPr>
        <w:t xml:space="preserve"> povremen</w:t>
      </w:r>
      <w:r w:rsidR="006801F3" w:rsidRPr="009602D1">
        <w:rPr>
          <w:bCs/>
          <w:sz w:val="22"/>
          <w:szCs w:val="22"/>
          <w:lang w:val="sr-Latn-ME"/>
        </w:rPr>
        <w:t>o</w:t>
      </w:r>
      <w:r w:rsidRPr="009602D1">
        <w:rPr>
          <w:bCs/>
          <w:sz w:val="22"/>
          <w:szCs w:val="22"/>
          <w:lang w:val="sr-Latn-ME"/>
        </w:rPr>
        <w:t xml:space="preserve"> </w:t>
      </w:r>
      <w:r w:rsidRPr="009602D1">
        <w:rPr>
          <w:color w:val="000000"/>
          <w:sz w:val="22"/>
          <w:szCs w:val="22"/>
          <w:lang w:val="sr-Latn-ME"/>
        </w:rPr>
        <w:t>(</w:t>
      </w:r>
      <w:r w:rsidRPr="009602D1">
        <w:rPr>
          <w:noProof/>
          <w:color w:val="000000"/>
          <w:sz w:val="22"/>
          <w:szCs w:val="22"/>
        </w:rPr>
        <w:drawing>
          <wp:inline distT="0" distB="0" distL="0" distR="0" wp14:anchorId="7CDE0727" wp14:editId="6CC5622B">
            <wp:extent cx="114300" cy="114300"/>
            <wp:effectExtent l="0" t="0" r="0" b="0"/>
            <wp:docPr id="3" name="Picture 3"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ATER-THAN OR EQUAL TO (88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602D1">
        <w:rPr>
          <w:color w:val="000000"/>
          <w:sz w:val="22"/>
          <w:szCs w:val="22"/>
          <w:lang w:val="sr-Latn-ME"/>
        </w:rPr>
        <w:t>1/1000, &lt;1/100)</w:t>
      </w:r>
      <w:r w:rsidRPr="009602D1">
        <w:rPr>
          <w:bCs/>
          <w:sz w:val="22"/>
          <w:szCs w:val="22"/>
          <w:lang w:val="sr-Latn-ME"/>
        </w:rPr>
        <w:t>, r</w:t>
      </w:r>
      <w:r w:rsidR="00874554" w:rsidRPr="009602D1">
        <w:rPr>
          <w:bCs/>
          <w:sz w:val="22"/>
          <w:szCs w:val="22"/>
          <w:lang w:val="sr-Latn-ME"/>
        </w:rPr>
        <w:t>ij</w:t>
      </w:r>
      <w:r w:rsidRPr="009602D1">
        <w:rPr>
          <w:bCs/>
          <w:sz w:val="22"/>
          <w:szCs w:val="22"/>
          <w:lang w:val="sr-Latn-ME"/>
        </w:rPr>
        <w:t>etk</w:t>
      </w:r>
      <w:r w:rsidR="006801F3" w:rsidRPr="009602D1">
        <w:rPr>
          <w:bCs/>
          <w:sz w:val="22"/>
          <w:szCs w:val="22"/>
          <w:lang w:val="sr-Latn-ME"/>
        </w:rPr>
        <w:t>o</w:t>
      </w:r>
      <w:r w:rsidRPr="009602D1">
        <w:rPr>
          <w:bCs/>
          <w:sz w:val="22"/>
          <w:szCs w:val="22"/>
          <w:lang w:val="sr-Latn-ME"/>
        </w:rPr>
        <w:t xml:space="preserve"> </w:t>
      </w:r>
      <w:r w:rsidRPr="009602D1">
        <w:rPr>
          <w:color w:val="000000"/>
          <w:sz w:val="22"/>
          <w:szCs w:val="22"/>
          <w:lang w:val="sr-Latn-ME"/>
        </w:rPr>
        <w:t>(</w:t>
      </w:r>
      <w:r w:rsidRPr="009602D1">
        <w:rPr>
          <w:noProof/>
          <w:color w:val="000000"/>
          <w:sz w:val="22"/>
          <w:szCs w:val="22"/>
        </w:rPr>
        <w:drawing>
          <wp:inline distT="0" distB="0" distL="0" distR="0" wp14:anchorId="6B540753" wp14:editId="11A9F729">
            <wp:extent cx="114300" cy="114300"/>
            <wp:effectExtent l="0" t="0" r="0" b="0"/>
            <wp:docPr id="1" name="Picture 1"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ATER-THAN OR EQUAL TO (88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602D1">
        <w:rPr>
          <w:color w:val="000000"/>
          <w:sz w:val="22"/>
          <w:szCs w:val="22"/>
          <w:lang w:val="sr-Latn-ME"/>
        </w:rPr>
        <w:t>1/10000, &lt;1/1000)</w:t>
      </w:r>
      <w:r w:rsidRPr="009602D1">
        <w:rPr>
          <w:bCs/>
          <w:sz w:val="22"/>
          <w:szCs w:val="22"/>
          <w:lang w:val="sr-Latn-ME"/>
        </w:rPr>
        <w:t>, veoma r</w:t>
      </w:r>
      <w:r w:rsidR="00874554" w:rsidRPr="009602D1">
        <w:rPr>
          <w:bCs/>
          <w:sz w:val="22"/>
          <w:szCs w:val="22"/>
          <w:lang w:val="sr-Latn-ME"/>
        </w:rPr>
        <w:t>ij</w:t>
      </w:r>
      <w:r w:rsidRPr="009602D1">
        <w:rPr>
          <w:bCs/>
          <w:sz w:val="22"/>
          <w:szCs w:val="22"/>
          <w:lang w:val="sr-Latn-ME"/>
        </w:rPr>
        <w:t>etk</w:t>
      </w:r>
      <w:r w:rsidR="006801F3" w:rsidRPr="009602D1">
        <w:rPr>
          <w:bCs/>
          <w:sz w:val="22"/>
          <w:szCs w:val="22"/>
          <w:lang w:val="sr-Latn-ME"/>
        </w:rPr>
        <w:t>o</w:t>
      </w:r>
      <w:r w:rsidRPr="009602D1">
        <w:rPr>
          <w:bCs/>
          <w:sz w:val="22"/>
          <w:szCs w:val="22"/>
          <w:lang w:val="sr-Latn-ME"/>
        </w:rPr>
        <w:t xml:space="preserve"> </w:t>
      </w:r>
      <w:r w:rsidRPr="009602D1">
        <w:rPr>
          <w:color w:val="000000"/>
          <w:sz w:val="22"/>
          <w:szCs w:val="22"/>
          <w:lang w:val="sr-Latn-ME"/>
        </w:rPr>
        <w:t>(&lt;1/10000)</w:t>
      </w:r>
      <w:r w:rsidRPr="009602D1">
        <w:rPr>
          <w:bCs/>
          <w:sz w:val="22"/>
          <w:szCs w:val="22"/>
          <w:lang w:val="sr-Latn-ME"/>
        </w:rPr>
        <w:t xml:space="preserve"> i nepoznat</w:t>
      </w:r>
      <w:r w:rsidR="006801F3" w:rsidRPr="009602D1">
        <w:rPr>
          <w:bCs/>
          <w:sz w:val="22"/>
          <w:szCs w:val="22"/>
          <w:lang w:val="sr-Latn-ME"/>
        </w:rPr>
        <w:t>o</w:t>
      </w:r>
      <w:r w:rsidRPr="009602D1">
        <w:rPr>
          <w:bCs/>
          <w:sz w:val="22"/>
          <w:szCs w:val="22"/>
          <w:lang w:val="sr-Latn-ME"/>
        </w:rPr>
        <w:t xml:space="preserve"> (učestalost na osnovu dostupnih podataka nije moguće odrediti).</w:t>
      </w:r>
    </w:p>
    <w:p w14:paraId="31E67173" w14:textId="77777777" w:rsidR="00062018" w:rsidRPr="009602D1" w:rsidRDefault="00062018" w:rsidP="004018B4">
      <w:pPr>
        <w:pStyle w:val="Header"/>
        <w:tabs>
          <w:tab w:val="left" w:pos="284"/>
        </w:tabs>
        <w:jc w:val="both"/>
        <w:rPr>
          <w:bCs/>
          <w:sz w:val="22"/>
          <w:szCs w:val="22"/>
          <w:lang w:val="sr-Latn-ME"/>
        </w:rPr>
      </w:pPr>
    </w:p>
    <w:p w14:paraId="2FC2BB13" w14:textId="1844674F" w:rsidR="00874554" w:rsidRPr="009602D1" w:rsidRDefault="00062018" w:rsidP="004018B4">
      <w:pPr>
        <w:pStyle w:val="Header"/>
        <w:tabs>
          <w:tab w:val="left" w:pos="284"/>
        </w:tabs>
        <w:jc w:val="both"/>
        <w:rPr>
          <w:bCs/>
          <w:sz w:val="22"/>
          <w:szCs w:val="22"/>
          <w:lang w:val="sr-Latn-ME"/>
        </w:rPr>
      </w:pPr>
      <w:r w:rsidRPr="009602D1">
        <w:rPr>
          <w:bCs/>
          <w:sz w:val="22"/>
          <w:szCs w:val="22"/>
          <w:lang w:val="sr-Latn-ME"/>
        </w:rPr>
        <w:t>Učestalost prijavljivanja određena je na osnovu podataka dobijenih spontanim prijavljivanjem u postmarketinškom periodu.</w:t>
      </w:r>
    </w:p>
    <w:p w14:paraId="133BF6FA" w14:textId="77777777" w:rsidR="00A32915" w:rsidRPr="009602D1" w:rsidRDefault="00A32915" w:rsidP="004018B4">
      <w:pPr>
        <w:pStyle w:val="Header"/>
        <w:tabs>
          <w:tab w:val="left" w:pos="284"/>
        </w:tabs>
        <w:ind w:right="296"/>
        <w:jc w:val="both"/>
        <w:rPr>
          <w:sz w:val="22"/>
          <w:szCs w:val="22"/>
          <w:lang w:val="sr-Latn-M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6"/>
        <w:gridCol w:w="3135"/>
        <w:gridCol w:w="3212"/>
      </w:tblGrid>
      <w:tr w:rsidR="00874554" w:rsidRPr="009602D1" w14:paraId="4C334183" w14:textId="77777777" w:rsidTr="002D3AFD">
        <w:trPr>
          <w:trHeight w:val="253"/>
        </w:trPr>
        <w:tc>
          <w:tcPr>
            <w:tcW w:w="3286" w:type="dxa"/>
            <w:tcBorders>
              <w:top w:val="single" w:sz="4" w:space="0" w:color="000000"/>
              <w:left w:val="single" w:sz="4" w:space="0" w:color="000000"/>
              <w:bottom w:val="single" w:sz="4" w:space="0" w:color="000000"/>
              <w:right w:val="single" w:sz="4" w:space="0" w:color="000000"/>
            </w:tcBorders>
            <w:hideMark/>
          </w:tcPr>
          <w:p w14:paraId="6279775E" w14:textId="77777777" w:rsidR="00874554" w:rsidRPr="009602D1" w:rsidRDefault="00874554" w:rsidP="004018B4">
            <w:pPr>
              <w:pStyle w:val="Header"/>
              <w:tabs>
                <w:tab w:val="left" w:pos="284"/>
              </w:tabs>
              <w:ind w:right="279"/>
              <w:jc w:val="both"/>
              <w:rPr>
                <w:b/>
                <w:bCs/>
                <w:sz w:val="22"/>
                <w:szCs w:val="22"/>
                <w:lang w:val="sr-Latn-ME"/>
              </w:rPr>
            </w:pPr>
            <w:r w:rsidRPr="009602D1">
              <w:rPr>
                <w:b/>
                <w:bCs/>
                <w:sz w:val="22"/>
                <w:szCs w:val="22"/>
                <w:lang w:val="sr-Latn-ME"/>
              </w:rPr>
              <w:t xml:space="preserve">Klasifikacija sistema organa    </w:t>
            </w:r>
          </w:p>
        </w:tc>
        <w:tc>
          <w:tcPr>
            <w:tcW w:w="3135" w:type="dxa"/>
            <w:tcBorders>
              <w:top w:val="single" w:sz="4" w:space="0" w:color="000000"/>
              <w:left w:val="single" w:sz="4" w:space="0" w:color="000000"/>
              <w:bottom w:val="single" w:sz="4" w:space="0" w:color="000000"/>
              <w:right w:val="single" w:sz="4" w:space="0" w:color="000000"/>
            </w:tcBorders>
            <w:hideMark/>
          </w:tcPr>
          <w:p w14:paraId="68E53D7E" w14:textId="77777777" w:rsidR="00874554" w:rsidRPr="009602D1" w:rsidRDefault="00874554" w:rsidP="004018B4">
            <w:pPr>
              <w:pStyle w:val="Header"/>
              <w:tabs>
                <w:tab w:val="left" w:pos="284"/>
              </w:tabs>
              <w:ind w:right="279"/>
              <w:jc w:val="both"/>
              <w:rPr>
                <w:b/>
                <w:bCs/>
                <w:sz w:val="22"/>
                <w:szCs w:val="22"/>
                <w:lang w:val="sr-Latn-ME"/>
              </w:rPr>
            </w:pPr>
            <w:r w:rsidRPr="009602D1">
              <w:rPr>
                <w:b/>
                <w:bCs/>
                <w:sz w:val="22"/>
                <w:szCs w:val="22"/>
                <w:lang w:val="sr-Latn-ME"/>
              </w:rPr>
              <w:t>Neželjeno dejstvo</w:t>
            </w:r>
          </w:p>
        </w:tc>
        <w:tc>
          <w:tcPr>
            <w:tcW w:w="3212" w:type="dxa"/>
            <w:tcBorders>
              <w:top w:val="single" w:sz="4" w:space="0" w:color="000000"/>
              <w:left w:val="single" w:sz="4" w:space="0" w:color="000000"/>
              <w:bottom w:val="single" w:sz="4" w:space="0" w:color="000000"/>
              <w:right w:val="single" w:sz="4" w:space="0" w:color="000000"/>
            </w:tcBorders>
            <w:hideMark/>
          </w:tcPr>
          <w:p w14:paraId="3D74FDA4" w14:textId="77777777" w:rsidR="00874554" w:rsidRPr="009602D1" w:rsidRDefault="00874554" w:rsidP="004018B4">
            <w:pPr>
              <w:pStyle w:val="Header"/>
              <w:tabs>
                <w:tab w:val="left" w:pos="284"/>
              </w:tabs>
              <w:ind w:right="279"/>
              <w:jc w:val="both"/>
              <w:rPr>
                <w:b/>
                <w:bCs/>
                <w:sz w:val="22"/>
                <w:szCs w:val="22"/>
                <w:lang w:val="sr-Latn-ME"/>
              </w:rPr>
            </w:pPr>
            <w:r w:rsidRPr="009602D1">
              <w:rPr>
                <w:b/>
                <w:bCs/>
                <w:sz w:val="22"/>
                <w:szCs w:val="22"/>
                <w:lang w:val="sr-Latn-ME"/>
              </w:rPr>
              <w:t>Učestalost prijavljivanja</w:t>
            </w:r>
          </w:p>
        </w:tc>
      </w:tr>
      <w:tr w:rsidR="00874554" w:rsidRPr="009602D1" w14:paraId="7307FE63" w14:textId="77777777" w:rsidTr="002D3AFD">
        <w:trPr>
          <w:trHeight w:val="253"/>
        </w:trPr>
        <w:tc>
          <w:tcPr>
            <w:tcW w:w="9633" w:type="dxa"/>
            <w:gridSpan w:val="3"/>
            <w:tcBorders>
              <w:top w:val="single" w:sz="4" w:space="0" w:color="000000"/>
              <w:left w:val="single" w:sz="4" w:space="0" w:color="000000"/>
              <w:bottom w:val="single" w:sz="4" w:space="0" w:color="000000"/>
              <w:right w:val="single" w:sz="4" w:space="0" w:color="000000"/>
            </w:tcBorders>
            <w:hideMark/>
          </w:tcPr>
          <w:p w14:paraId="65651C9F" w14:textId="77777777" w:rsidR="00874554" w:rsidRPr="009602D1" w:rsidRDefault="00874554" w:rsidP="004018B4">
            <w:pPr>
              <w:pStyle w:val="Header"/>
              <w:tabs>
                <w:tab w:val="left" w:pos="284"/>
              </w:tabs>
              <w:ind w:right="279"/>
              <w:jc w:val="both"/>
              <w:rPr>
                <w:b/>
                <w:bCs/>
                <w:sz w:val="22"/>
                <w:szCs w:val="22"/>
                <w:lang w:val="sr-Latn-ME"/>
              </w:rPr>
            </w:pPr>
            <w:r w:rsidRPr="009602D1">
              <w:rPr>
                <w:b/>
                <w:bCs/>
                <w:sz w:val="22"/>
                <w:szCs w:val="22"/>
                <w:lang w:val="sr-Latn-ME"/>
              </w:rPr>
              <w:t xml:space="preserve">                Paracetamol</w:t>
            </w:r>
          </w:p>
        </w:tc>
      </w:tr>
      <w:tr w:rsidR="00874554" w:rsidRPr="009602D1" w14:paraId="474D677E" w14:textId="77777777" w:rsidTr="002D3AFD">
        <w:trPr>
          <w:trHeight w:val="506"/>
        </w:trPr>
        <w:tc>
          <w:tcPr>
            <w:tcW w:w="3286" w:type="dxa"/>
            <w:tcBorders>
              <w:top w:val="single" w:sz="4" w:space="0" w:color="000000"/>
              <w:left w:val="single" w:sz="4" w:space="0" w:color="000000"/>
              <w:bottom w:val="single" w:sz="4" w:space="0" w:color="000000"/>
              <w:right w:val="single" w:sz="4" w:space="0" w:color="000000"/>
            </w:tcBorders>
            <w:hideMark/>
          </w:tcPr>
          <w:p w14:paraId="14B71B1F" w14:textId="77777777" w:rsidR="00874554" w:rsidRPr="009602D1" w:rsidRDefault="00874554" w:rsidP="004018B4">
            <w:pPr>
              <w:pStyle w:val="Header"/>
              <w:tabs>
                <w:tab w:val="left" w:pos="284"/>
              </w:tabs>
              <w:ind w:right="279"/>
              <w:jc w:val="both"/>
              <w:rPr>
                <w:bCs/>
                <w:sz w:val="22"/>
                <w:szCs w:val="22"/>
                <w:lang w:val="sr-Latn-ME"/>
              </w:rPr>
            </w:pPr>
            <w:r w:rsidRPr="009602D1">
              <w:rPr>
                <w:bCs/>
                <w:sz w:val="22"/>
                <w:szCs w:val="22"/>
                <w:lang w:val="sr-Latn-ME"/>
              </w:rPr>
              <w:t>Poremećaji krvi i limfnog sistema</w:t>
            </w:r>
          </w:p>
        </w:tc>
        <w:tc>
          <w:tcPr>
            <w:tcW w:w="3135" w:type="dxa"/>
            <w:tcBorders>
              <w:top w:val="single" w:sz="4" w:space="0" w:color="000000"/>
              <w:left w:val="single" w:sz="4" w:space="0" w:color="000000"/>
              <w:bottom w:val="single" w:sz="4" w:space="0" w:color="000000"/>
              <w:right w:val="single" w:sz="4" w:space="0" w:color="000000"/>
            </w:tcBorders>
            <w:hideMark/>
          </w:tcPr>
          <w:p w14:paraId="4F98312E" w14:textId="77777777" w:rsidR="00874554" w:rsidRPr="009602D1" w:rsidRDefault="00874554" w:rsidP="004018B4">
            <w:pPr>
              <w:pStyle w:val="Header"/>
              <w:tabs>
                <w:tab w:val="left" w:pos="284"/>
              </w:tabs>
              <w:ind w:right="279"/>
              <w:jc w:val="both"/>
              <w:rPr>
                <w:bCs/>
                <w:sz w:val="22"/>
                <w:szCs w:val="22"/>
                <w:lang w:val="sr-Latn-ME"/>
              </w:rPr>
            </w:pPr>
            <w:r w:rsidRPr="009602D1">
              <w:rPr>
                <w:bCs/>
                <w:sz w:val="22"/>
                <w:szCs w:val="22"/>
                <w:lang w:val="sr-Latn-ME"/>
              </w:rPr>
              <w:t>Trombocitopenija</w:t>
            </w:r>
          </w:p>
        </w:tc>
        <w:tc>
          <w:tcPr>
            <w:tcW w:w="3212" w:type="dxa"/>
            <w:tcBorders>
              <w:top w:val="single" w:sz="4" w:space="0" w:color="000000"/>
              <w:left w:val="single" w:sz="4" w:space="0" w:color="000000"/>
              <w:bottom w:val="single" w:sz="4" w:space="0" w:color="000000"/>
              <w:right w:val="single" w:sz="4" w:space="0" w:color="000000"/>
            </w:tcBorders>
            <w:hideMark/>
          </w:tcPr>
          <w:p w14:paraId="1CA37F0A" w14:textId="0A749362" w:rsidR="00874554" w:rsidRPr="009602D1" w:rsidRDefault="00874554" w:rsidP="004018B4">
            <w:pPr>
              <w:pStyle w:val="Header"/>
              <w:tabs>
                <w:tab w:val="left" w:pos="284"/>
              </w:tabs>
              <w:ind w:right="279"/>
              <w:jc w:val="both"/>
              <w:rPr>
                <w:bCs/>
                <w:sz w:val="22"/>
                <w:szCs w:val="22"/>
                <w:lang w:val="sr-Latn-ME"/>
              </w:rPr>
            </w:pPr>
            <w:r w:rsidRPr="009602D1">
              <w:rPr>
                <w:bCs/>
                <w:sz w:val="22"/>
                <w:szCs w:val="22"/>
                <w:lang w:val="sr-Latn-ME"/>
              </w:rPr>
              <w:t>Veoma rijetko</w:t>
            </w:r>
          </w:p>
        </w:tc>
      </w:tr>
      <w:tr w:rsidR="00874554" w:rsidRPr="009602D1" w14:paraId="27B06F3C" w14:textId="77777777" w:rsidTr="002D3AFD">
        <w:trPr>
          <w:trHeight w:val="2797"/>
        </w:trPr>
        <w:tc>
          <w:tcPr>
            <w:tcW w:w="3286" w:type="dxa"/>
            <w:tcBorders>
              <w:top w:val="single" w:sz="4" w:space="0" w:color="000000"/>
              <w:left w:val="single" w:sz="4" w:space="0" w:color="000000"/>
              <w:bottom w:val="single" w:sz="4" w:space="0" w:color="000000"/>
              <w:right w:val="single" w:sz="4" w:space="0" w:color="000000"/>
            </w:tcBorders>
            <w:hideMark/>
          </w:tcPr>
          <w:p w14:paraId="7F8823D6" w14:textId="6488399E" w:rsidR="00874554" w:rsidRPr="009602D1" w:rsidRDefault="00874554" w:rsidP="004018B4">
            <w:pPr>
              <w:pStyle w:val="Header"/>
              <w:tabs>
                <w:tab w:val="left" w:pos="284"/>
              </w:tabs>
              <w:ind w:right="279"/>
              <w:jc w:val="both"/>
              <w:rPr>
                <w:bCs/>
                <w:sz w:val="22"/>
                <w:szCs w:val="22"/>
                <w:lang w:val="sr-Latn-ME"/>
              </w:rPr>
            </w:pPr>
            <w:r w:rsidRPr="009602D1">
              <w:rPr>
                <w:bCs/>
                <w:sz w:val="22"/>
                <w:szCs w:val="22"/>
                <w:lang w:val="sr-Latn-ME"/>
              </w:rPr>
              <w:t>Poremećaji imunog sistema</w:t>
            </w:r>
          </w:p>
        </w:tc>
        <w:tc>
          <w:tcPr>
            <w:tcW w:w="3135" w:type="dxa"/>
            <w:tcBorders>
              <w:top w:val="single" w:sz="4" w:space="0" w:color="000000"/>
              <w:left w:val="single" w:sz="4" w:space="0" w:color="000000"/>
              <w:bottom w:val="single" w:sz="4" w:space="0" w:color="000000"/>
              <w:right w:val="single" w:sz="4" w:space="0" w:color="000000"/>
            </w:tcBorders>
          </w:tcPr>
          <w:p w14:paraId="24D3CB7E" w14:textId="08ACD16C" w:rsidR="00874554" w:rsidRPr="009602D1" w:rsidRDefault="00874554" w:rsidP="004018B4">
            <w:pPr>
              <w:pStyle w:val="Header"/>
              <w:tabs>
                <w:tab w:val="left" w:pos="284"/>
              </w:tabs>
              <w:ind w:right="279"/>
              <w:jc w:val="both"/>
              <w:rPr>
                <w:bCs/>
                <w:sz w:val="22"/>
                <w:szCs w:val="22"/>
                <w:lang w:val="sr-Latn-ME"/>
              </w:rPr>
            </w:pPr>
            <w:r w:rsidRPr="009602D1">
              <w:rPr>
                <w:bCs/>
                <w:sz w:val="22"/>
                <w:szCs w:val="22"/>
                <w:lang w:val="sr-Latn-ME"/>
              </w:rPr>
              <w:t xml:space="preserve">Anafilaksa, reakcije preosjetljivosti kože, uključujući između ostalih, osip kože, angioedem, </w:t>
            </w:r>
            <w:r w:rsidRPr="009602D1">
              <w:rPr>
                <w:bCs/>
                <w:i/>
                <w:sz w:val="22"/>
                <w:szCs w:val="22"/>
                <w:lang w:val="sr-Latn-ME"/>
              </w:rPr>
              <w:t>Stevens Johnson-</w:t>
            </w:r>
            <w:r w:rsidRPr="009602D1">
              <w:rPr>
                <w:bCs/>
                <w:sz w:val="22"/>
                <w:szCs w:val="22"/>
                <w:lang w:val="sr-Latn-ME"/>
              </w:rPr>
              <w:t>ov sindrom i toksičnu epidermalnu nekrolizu.</w:t>
            </w:r>
          </w:p>
          <w:p w14:paraId="6C327943" w14:textId="77777777" w:rsidR="00874554" w:rsidRPr="009602D1" w:rsidRDefault="00874554" w:rsidP="004018B4">
            <w:pPr>
              <w:pStyle w:val="Header"/>
              <w:tabs>
                <w:tab w:val="left" w:pos="284"/>
              </w:tabs>
              <w:ind w:right="279"/>
              <w:jc w:val="both"/>
              <w:rPr>
                <w:bCs/>
                <w:sz w:val="22"/>
                <w:szCs w:val="22"/>
                <w:lang w:val="sr-Latn-ME"/>
              </w:rPr>
            </w:pPr>
          </w:p>
          <w:p w14:paraId="6762ED08" w14:textId="0B0B56C9" w:rsidR="00874554" w:rsidRPr="009602D1" w:rsidRDefault="00874554" w:rsidP="004018B4">
            <w:pPr>
              <w:pStyle w:val="Header"/>
              <w:tabs>
                <w:tab w:val="left" w:pos="284"/>
              </w:tabs>
              <w:ind w:right="279"/>
              <w:jc w:val="both"/>
              <w:rPr>
                <w:bCs/>
                <w:sz w:val="22"/>
                <w:szCs w:val="22"/>
                <w:lang w:val="sr-Latn-ME"/>
              </w:rPr>
            </w:pPr>
            <w:r w:rsidRPr="009602D1">
              <w:rPr>
                <w:bCs/>
                <w:sz w:val="22"/>
                <w:szCs w:val="22"/>
                <w:lang w:val="sr-Latn-ME"/>
              </w:rPr>
              <w:t>Prijavljeni su veoma rijetki slučajevi ozbiljnih reakcija na koži</w:t>
            </w:r>
          </w:p>
          <w:p w14:paraId="592C491C" w14:textId="77777777" w:rsidR="00874554" w:rsidRPr="009602D1" w:rsidRDefault="00874554" w:rsidP="004018B4">
            <w:pPr>
              <w:pStyle w:val="Header"/>
              <w:tabs>
                <w:tab w:val="left" w:pos="284"/>
              </w:tabs>
              <w:ind w:right="279"/>
              <w:jc w:val="both"/>
              <w:rPr>
                <w:bCs/>
                <w:sz w:val="22"/>
                <w:szCs w:val="22"/>
                <w:lang w:val="sr-Latn-ME"/>
              </w:rPr>
            </w:pPr>
          </w:p>
        </w:tc>
        <w:tc>
          <w:tcPr>
            <w:tcW w:w="3212" w:type="dxa"/>
            <w:tcBorders>
              <w:top w:val="single" w:sz="4" w:space="0" w:color="000000"/>
              <w:left w:val="single" w:sz="4" w:space="0" w:color="000000"/>
              <w:bottom w:val="single" w:sz="4" w:space="0" w:color="000000"/>
              <w:right w:val="single" w:sz="4" w:space="0" w:color="000000"/>
            </w:tcBorders>
            <w:hideMark/>
          </w:tcPr>
          <w:p w14:paraId="12FDA505" w14:textId="10450F82" w:rsidR="00874554" w:rsidRPr="009602D1" w:rsidRDefault="00874554" w:rsidP="004018B4">
            <w:pPr>
              <w:pStyle w:val="Header"/>
              <w:tabs>
                <w:tab w:val="left" w:pos="284"/>
              </w:tabs>
              <w:ind w:right="279"/>
              <w:jc w:val="both"/>
              <w:rPr>
                <w:bCs/>
                <w:sz w:val="22"/>
                <w:szCs w:val="22"/>
                <w:lang w:val="sr-Latn-ME"/>
              </w:rPr>
            </w:pPr>
            <w:r w:rsidRPr="009602D1">
              <w:rPr>
                <w:bCs/>
                <w:sz w:val="22"/>
                <w:szCs w:val="22"/>
                <w:lang w:val="sr-Latn-ME"/>
              </w:rPr>
              <w:t>Veoma rijetko</w:t>
            </w:r>
          </w:p>
        </w:tc>
      </w:tr>
      <w:tr w:rsidR="00874554" w:rsidRPr="009602D1" w14:paraId="7E4B30CC" w14:textId="77777777" w:rsidTr="002D3AFD">
        <w:trPr>
          <w:trHeight w:val="759"/>
        </w:trPr>
        <w:tc>
          <w:tcPr>
            <w:tcW w:w="3286" w:type="dxa"/>
            <w:tcBorders>
              <w:top w:val="single" w:sz="4" w:space="0" w:color="000000"/>
              <w:left w:val="single" w:sz="4" w:space="0" w:color="000000"/>
              <w:bottom w:val="single" w:sz="4" w:space="0" w:color="000000"/>
              <w:right w:val="single" w:sz="4" w:space="0" w:color="000000"/>
            </w:tcBorders>
            <w:hideMark/>
          </w:tcPr>
          <w:p w14:paraId="36A8100A" w14:textId="77777777" w:rsidR="00874554" w:rsidRPr="009602D1" w:rsidRDefault="00874554" w:rsidP="004018B4">
            <w:pPr>
              <w:pStyle w:val="Header"/>
              <w:tabs>
                <w:tab w:val="left" w:pos="284"/>
              </w:tabs>
              <w:ind w:right="279"/>
              <w:jc w:val="both"/>
              <w:rPr>
                <w:bCs/>
                <w:sz w:val="22"/>
                <w:szCs w:val="22"/>
                <w:lang w:val="sr-Latn-ME"/>
              </w:rPr>
            </w:pPr>
            <w:r w:rsidRPr="009602D1">
              <w:rPr>
                <w:bCs/>
                <w:sz w:val="22"/>
                <w:szCs w:val="22"/>
                <w:lang w:val="sr-Latn-ME"/>
              </w:rPr>
              <w:t>Respiratorni, torakalni i medijastinalni poremećaji</w:t>
            </w:r>
          </w:p>
        </w:tc>
        <w:tc>
          <w:tcPr>
            <w:tcW w:w="3135" w:type="dxa"/>
            <w:tcBorders>
              <w:top w:val="single" w:sz="4" w:space="0" w:color="000000"/>
              <w:left w:val="single" w:sz="4" w:space="0" w:color="000000"/>
              <w:bottom w:val="single" w:sz="4" w:space="0" w:color="000000"/>
              <w:right w:val="single" w:sz="4" w:space="0" w:color="000000"/>
            </w:tcBorders>
            <w:hideMark/>
          </w:tcPr>
          <w:p w14:paraId="687C0ECC" w14:textId="3DBF9B8B" w:rsidR="00874554" w:rsidRPr="009602D1" w:rsidRDefault="00874554" w:rsidP="004018B4">
            <w:pPr>
              <w:pStyle w:val="Header"/>
              <w:tabs>
                <w:tab w:val="left" w:pos="284"/>
              </w:tabs>
              <w:ind w:right="279"/>
              <w:jc w:val="both"/>
              <w:rPr>
                <w:bCs/>
                <w:sz w:val="22"/>
                <w:szCs w:val="22"/>
                <w:lang w:val="sr-Latn-ME"/>
              </w:rPr>
            </w:pPr>
            <w:r w:rsidRPr="009602D1">
              <w:rPr>
                <w:bCs/>
                <w:sz w:val="22"/>
                <w:szCs w:val="22"/>
                <w:lang w:val="sr-Latn-ME"/>
              </w:rPr>
              <w:t>Bronhospazam kod pacijenata osjetljivih na acetilsalicilnu kiselinu i druge NSAIL</w:t>
            </w:r>
          </w:p>
        </w:tc>
        <w:tc>
          <w:tcPr>
            <w:tcW w:w="3212" w:type="dxa"/>
            <w:tcBorders>
              <w:top w:val="single" w:sz="4" w:space="0" w:color="000000"/>
              <w:left w:val="single" w:sz="4" w:space="0" w:color="000000"/>
              <w:bottom w:val="single" w:sz="4" w:space="0" w:color="000000"/>
              <w:right w:val="single" w:sz="4" w:space="0" w:color="000000"/>
            </w:tcBorders>
            <w:hideMark/>
          </w:tcPr>
          <w:p w14:paraId="7A5086AA" w14:textId="5B9A01BE" w:rsidR="00874554" w:rsidRPr="009602D1" w:rsidRDefault="00874554" w:rsidP="004018B4">
            <w:pPr>
              <w:pStyle w:val="Header"/>
              <w:tabs>
                <w:tab w:val="left" w:pos="284"/>
              </w:tabs>
              <w:ind w:right="279"/>
              <w:jc w:val="both"/>
              <w:rPr>
                <w:bCs/>
                <w:sz w:val="22"/>
                <w:szCs w:val="22"/>
                <w:lang w:val="sr-Latn-ME"/>
              </w:rPr>
            </w:pPr>
            <w:r w:rsidRPr="009602D1">
              <w:rPr>
                <w:bCs/>
                <w:sz w:val="22"/>
                <w:szCs w:val="22"/>
                <w:lang w:val="sr-Latn-ME"/>
              </w:rPr>
              <w:t>Veoma rijetko</w:t>
            </w:r>
          </w:p>
        </w:tc>
      </w:tr>
      <w:tr w:rsidR="00874554" w:rsidRPr="009602D1" w14:paraId="0239E82C" w14:textId="77777777" w:rsidTr="002D3AFD">
        <w:trPr>
          <w:trHeight w:val="241"/>
        </w:trPr>
        <w:tc>
          <w:tcPr>
            <w:tcW w:w="3286" w:type="dxa"/>
            <w:tcBorders>
              <w:top w:val="single" w:sz="4" w:space="0" w:color="000000"/>
              <w:left w:val="single" w:sz="4" w:space="0" w:color="000000"/>
              <w:bottom w:val="single" w:sz="4" w:space="0" w:color="000000"/>
              <w:right w:val="single" w:sz="4" w:space="0" w:color="000000"/>
            </w:tcBorders>
            <w:hideMark/>
          </w:tcPr>
          <w:p w14:paraId="259C0ADB" w14:textId="77777777" w:rsidR="00874554" w:rsidRPr="009602D1" w:rsidRDefault="00874554" w:rsidP="004018B4">
            <w:pPr>
              <w:pStyle w:val="Header"/>
              <w:tabs>
                <w:tab w:val="left" w:pos="284"/>
              </w:tabs>
              <w:ind w:right="279"/>
              <w:jc w:val="both"/>
              <w:rPr>
                <w:bCs/>
                <w:sz w:val="22"/>
                <w:szCs w:val="22"/>
                <w:lang w:val="sr-Latn-ME"/>
              </w:rPr>
            </w:pPr>
            <w:r w:rsidRPr="009602D1">
              <w:rPr>
                <w:bCs/>
                <w:sz w:val="22"/>
                <w:szCs w:val="22"/>
                <w:lang w:val="sr-Latn-ME"/>
              </w:rPr>
              <w:t>Hepatobilijarni poremećaji</w:t>
            </w:r>
          </w:p>
        </w:tc>
        <w:tc>
          <w:tcPr>
            <w:tcW w:w="3135" w:type="dxa"/>
            <w:tcBorders>
              <w:top w:val="single" w:sz="4" w:space="0" w:color="000000"/>
              <w:left w:val="single" w:sz="4" w:space="0" w:color="000000"/>
              <w:bottom w:val="single" w:sz="4" w:space="0" w:color="000000"/>
              <w:right w:val="single" w:sz="4" w:space="0" w:color="000000"/>
            </w:tcBorders>
            <w:hideMark/>
          </w:tcPr>
          <w:p w14:paraId="6E593A10" w14:textId="77777777" w:rsidR="00874554" w:rsidRPr="009602D1" w:rsidRDefault="00874554" w:rsidP="004018B4">
            <w:pPr>
              <w:pStyle w:val="Header"/>
              <w:tabs>
                <w:tab w:val="left" w:pos="284"/>
              </w:tabs>
              <w:ind w:right="279"/>
              <w:jc w:val="both"/>
              <w:rPr>
                <w:bCs/>
                <w:sz w:val="22"/>
                <w:szCs w:val="22"/>
                <w:lang w:val="sr-Latn-ME"/>
              </w:rPr>
            </w:pPr>
            <w:r w:rsidRPr="009602D1">
              <w:rPr>
                <w:bCs/>
                <w:sz w:val="22"/>
                <w:szCs w:val="22"/>
                <w:lang w:val="sr-Latn-ME"/>
              </w:rPr>
              <w:t>Poremećaj funkcije jetre</w:t>
            </w:r>
          </w:p>
        </w:tc>
        <w:tc>
          <w:tcPr>
            <w:tcW w:w="3212" w:type="dxa"/>
            <w:tcBorders>
              <w:top w:val="single" w:sz="4" w:space="0" w:color="000000"/>
              <w:left w:val="single" w:sz="4" w:space="0" w:color="000000"/>
              <w:bottom w:val="single" w:sz="4" w:space="0" w:color="000000"/>
              <w:right w:val="single" w:sz="4" w:space="0" w:color="000000"/>
            </w:tcBorders>
            <w:hideMark/>
          </w:tcPr>
          <w:p w14:paraId="70157517" w14:textId="413BD5F2" w:rsidR="00874554" w:rsidRPr="009602D1" w:rsidRDefault="00874554" w:rsidP="004018B4">
            <w:pPr>
              <w:pStyle w:val="Header"/>
              <w:tabs>
                <w:tab w:val="left" w:pos="284"/>
              </w:tabs>
              <w:ind w:right="279"/>
              <w:jc w:val="both"/>
              <w:rPr>
                <w:bCs/>
                <w:sz w:val="22"/>
                <w:szCs w:val="22"/>
                <w:lang w:val="sr-Latn-ME"/>
              </w:rPr>
            </w:pPr>
            <w:r w:rsidRPr="009602D1">
              <w:rPr>
                <w:bCs/>
                <w:sz w:val="22"/>
                <w:szCs w:val="22"/>
                <w:lang w:val="sr-Latn-ME"/>
              </w:rPr>
              <w:t>Veoma rijetko</w:t>
            </w:r>
          </w:p>
        </w:tc>
      </w:tr>
    </w:tbl>
    <w:p w14:paraId="3361EBE9" w14:textId="77777777" w:rsidR="006801F3" w:rsidRPr="009602D1" w:rsidRDefault="006801F3" w:rsidP="004018B4">
      <w:pPr>
        <w:pStyle w:val="Header"/>
        <w:tabs>
          <w:tab w:val="left" w:pos="284"/>
        </w:tabs>
        <w:ind w:right="296"/>
        <w:jc w:val="both"/>
        <w:rPr>
          <w:i/>
          <w:sz w:val="22"/>
          <w:szCs w:val="22"/>
          <w:lang w:val="sr-Latn-ME"/>
        </w:rPr>
      </w:pPr>
    </w:p>
    <w:p w14:paraId="407F50BE" w14:textId="77777777" w:rsidR="004E70AD" w:rsidRPr="009602D1" w:rsidRDefault="004E70AD" w:rsidP="004018B4">
      <w:pPr>
        <w:pStyle w:val="Header"/>
        <w:tabs>
          <w:tab w:val="left" w:pos="284"/>
        </w:tabs>
        <w:ind w:right="296"/>
        <w:jc w:val="both"/>
        <w:rPr>
          <w:lang w:val="sr-Latn-ME"/>
        </w:rPr>
      </w:pPr>
    </w:p>
    <w:p w14:paraId="407F50BF" w14:textId="77777777" w:rsidR="005A23D2" w:rsidRPr="009602D1" w:rsidRDefault="005A23D2" w:rsidP="004018B4">
      <w:pPr>
        <w:spacing w:after="200" w:line="276" w:lineRule="auto"/>
        <w:jc w:val="both"/>
        <w:rPr>
          <w:rFonts w:eastAsia="Calibri"/>
          <w:sz w:val="22"/>
          <w:szCs w:val="22"/>
          <w:u w:val="single"/>
          <w:lang w:val="sr-Latn-ME"/>
        </w:rPr>
      </w:pPr>
      <w:r w:rsidRPr="009602D1">
        <w:rPr>
          <w:rFonts w:eastAsia="Calibri"/>
          <w:sz w:val="22"/>
          <w:szCs w:val="22"/>
          <w:u w:val="single"/>
          <w:lang w:val="sr-Latn-ME"/>
        </w:rPr>
        <w:t>Prijavljivanje sumnji na neželjena dejstva</w:t>
      </w:r>
    </w:p>
    <w:p w14:paraId="407F50C0" w14:textId="77777777" w:rsidR="005A23D2" w:rsidRPr="009602D1" w:rsidRDefault="005A23D2" w:rsidP="00EE07B1">
      <w:pPr>
        <w:spacing w:after="200"/>
        <w:jc w:val="both"/>
        <w:rPr>
          <w:rFonts w:eastAsia="Calibri"/>
          <w:sz w:val="22"/>
          <w:szCs w:val="22"/>
          <w:lang w:val="sr-Latn-ME"/>
        </w:rPr>
      </w:pPr>
      <w:r w:rsidRPr="009602D1">
        <w:rPr>
          <w:rFonts w:eastAsia="Calibri"/>
          <w:sz w:val="22"/>
          <w:szCs w:val="22"/>
          <w:lang w:val="sr-Latn-ME"/>
        </w:rPr>
        <w:t>Prijavljivanje neželjenih dejstava nakon dobijanja dozvole je od velikog značaja jer obezbjeđuje kont</w:t>
      </w:r>
      <w:r w:rsidR="00EA5765" w:rsidRPr="009602D1">
        <w:rPr>
          <w:rFonts w:eastAsia="Calibri"/>
          <w:sz w:val="22"/>
          <w:szCs w:val="22"/>
          <w:lang w:val="sr-Latn-ME"/>
        </w:rPr>
        <w:t>inuirano praćenje odnosa korist</w:t>
      </w:r>
      <w:r w:rsidRPr="009602D1">
        <w:rPr>
          <w:rFonts w:eastAsia="Calibri"/>
          <w:sz w:val="22"/>
          <w:szCs w:val="22"/>
          <w:lang w:val="sr-Latn-ME"/>
        </w:rPr>
        <w:t>/rizik primjene lijeka. Zdravstveni radnici treba da prijave svaku sumnju na neželjeno</w:t>
      </w:r>
      <w:r w:rsidR="009B062A" w:rsidRPr="009602D1">
        <w:rPr>
          <w:rFonts w:eastAsia="Calibri"/>
          <w:sz w:val="22"/>
          <w:szCs w:val="22"/>
          <w:lang w:val="sr-Latn-ME"/>
        </w:rPr>
        <w:t xml:space="preserve"> </w:t>
      </w:r>
      <w:r w:rsidRPr="009602D1">
        <w:rPr>
          <w:rFonts w:eastAsia="Calibri"/>
          <w:sz w:val="22"/>
          <w:szCs w:val="22"/>
          <w:lang w:val="sr-Latn-ME"/>
        </w:rPr>
        <w:t xml:space="preserve">dejstvo ovog lijeka </w:t>
      </w:r>
      <w:r w:rsidR="004E70AD" w:rsidRPr="009602D1">
        <w:rPr>
          <w:rFonts w:eastAsia="Calibri"/>
          <w:sz w:val="22"/>
          <w:szCs w:val="22"/>
          <w:lang w:val="sr-Latn-ME"/>
        </w:rPr>
        <w:t>Institutu</w:t>
      </w:r>
      <w:r w:rsidRPr="009602D1">
        <w:rPr>
          <w:rFonts w:eastAsia="Calibri"/>
          <w:sz w:val="22"/>
          <w:szCs w:val="22"/>
          <w:lang w:val="sr-Latn-ME"/>
        </w:rPr>
        <w:t xml:space="preserve"> za ljekove i medicinska sredstva</w:t>
      </w:r>
      <w:r w:rsidR="004E70AD" w:rsidRPr="009602D1">
        <w:rPr>
          <w:rFonts w:eastAsia="Calibri"/>
          <w:sz w:val="22"/>
          <w:szCs w:val="22"/>
          <w:lang w:val="sr-Latn-ME"/>
        </w:rPr>
        <w:t xml:space="preserve"> </w:t>
      </w:r>
      <w:r w:rsidRPr="009602D1">
        <w:rPr>
          <w:rFonts w:eastAsia="Calibri"/>
          <w:sz w:val="22"/>
          <w:szCs w:val="22"/>
          <w:lang w:val="sr-Latn-ME"/>
        </w:rPr>
        <w:t>(</w:t>
      </w:r>
      <w:r w:rsidR="004E70AD" w:rsidRPr="009602D1">
        <w:rPr>
          <w:rFonts w:eastAsia="Calibri"/>
          <w:sz w:val="22"/>
          <w:szCs w:val="22"/>
          <w:lang w:val="sr-Latn-ME"/>
        </w:rPr>
        <w:t>CInMED</w:t>
      </w:r>
      <w:r w:rsidRPr="009602D1">
        <w:rPr>
          <w:rFonts w:eastAsia="Calibri"/>
          <w:sz w:val="22"/>
          <w:szCs w:val="22"/>
          <w:lang w:val="sr-Latn-ME"/>
        </w:rPr>
        <w:t>):</w:t>
      </w:r>
    </w:p>
    <w:p w14:paraId="407F50C1" w14:textId="77777777" w:rsidR="005A23D2" w:rsidRPr="009602D1" w:rsidRDefault="004E70AD" w:rsidP="00EE07B1">
      <w:pPr>
        <w:pStyle w:val="NoSpacing"/>
        <w:jc w:val="both"/>
        <w:rPr>
          <w:rFonts w:eastAsia="Calibri"/>
          <w:sz w:val="22"/>
          <w:szCs w:val="22"/>
          <w:lang w:val="sr-Latn-ME"/>
        </w:rPr>
      </w:pPr>
      <w:r w:rsidRPr="009602D1">
        <w:rPr>
          <w:rFonts w:eastAsia="Calibri"/>
          <w:sz w:val="22"/>
          <w:szCs w:val="22"/>
          <w:lang w:val="sr-Latn-ME"/>
        </w:rPr>
        <w:t xml:space="preserve">Institut </w:t>
      </w:r>
      <w:r w:rsidR="005A23D2" w:rsidRPr="009602D1">
        <w:rPr>
          <w:rFonts w:eastAsia="Calibri"/>
          <w:sz w:val="22"/>
          <w:szCs w:val="22"/>
          <w:lang w:val="sr-Latn-ME"/>
        </w:rPr>
        <w:t xml:space="preserve">za ljekove i medicinska sredstva </w:t>
      </w:r>
    </w:p>
    <w:p w14:paraId="407F50C2" w14:textId="77777777" w:rsidR="005A23D2" w:rsidRPr="009602D1" w:rsidRDefault="005A23D2" w:rsidP="00EE07B1">
      <w:pPr>
        <w:pStyle w:val="NoSpacing"/>
        <w:jc w:val="both"/>
        <w:rPr>
          <w:rFonts w:eastAsia="Calibri"/>
          <w:sz w:val="22"/>
          <w:szCs w:val="22"/>
          <w:lang w:val="sr-Latn-ME"/>
        </w:rPr>
      </w:pPr>
      <w:r w:rsidRPr="009602D1">
        <w:rPr>
          <w:rFonts w:eastAsia="Calibri"/>
          <w:sz w:val="22"/>
          <w:szCs w:val="22"/>
          <w:lang w:val="sr-Latn-ME"/>
        </w:rPr>
        <w:t>Odjeljenje za farmakovigilancu</w:t>
      </w:r>
    </w:p>
    <w:p w14:paraId="407F50C3" w14:textId="77777777" w:rsidR="00EA5765" w:rsidRPr="009602D1" w:rsidRDefault="005A23D2">
      <w:pPr>
        <w:pStyle w:val="NoSpacing"/>
        <w:jc w:val="both"/>
        <w:rPr>
          <w:rFonts w:eastAsia="Calibri"/>
          <w:sz w:val="22"/>
          <w:szCs w:val="22"/>
          <w:lang w:val="sr-Latn-ME"/>
        </w:rPr>
      </w:pPr>
      <w:r w:rsidRPr="009602D1">
        <w:rPr>
          <w:rFonts w:eastAsia="Calibri"/>
          <w:sz w:val="22"/>
          <w:szCs w:val="22"/>
          <w:lang w:val="sr-Latn-ME"/>
        </w:rPr>
        <w:t>Bulevar Ivana Crnojevića 64a, 81000 Podgorica</w:t>
      </w:r>
    </w:p>
    <w:p w14:paraId="407F50C4" w14:textId="77777777" w:rsidR="00EA5765" w:rsidRPr="009602D1" w:rsidRDefault="00EA5765" w:rsidP="004018B4">
      <w:pPr>
        <w:pStyle w:val="NoSpacing"/>
        <w:jc w:val="both"/>
        <w:rPr>
          <w:rFonts w:eastAsia="Calibri"/>
          <w:sz w:val="22"/>
          <w:szCs w:val="22"/>
          <w:lang w:val="sr-Latn-ME"/>
        </w:rPr>
      </w:pPr>
    </w:p>
    <w:p w14:paraId="407F50C5" w14:textId="77777777" w:rsidR="005A23D2" w:rsidRPr="009602D1" w:rsidRDefault="005A23D2" w:rsidP="00EE07B1">
      <w:pPr>
        <w:pStyle w:val="NoSpacing"/>
        <w:jc w:val="both"/>
        <w:rPr>
          <w:rFonts w:eastAsia="Calibri"/>
          <w:sz w:val="22"/>
          <w:szCs w:val="22"/>
          <w:lang w:val="sr-Latn-ME"/>
        </w:rPr>
      </w:pPr>
      <w:r w:rsidRPr="009602D1">
        <w:rPr>
          <w:rFonts w:eastAsia="Calibri"/>
          <w:sz w:val="22"/>
          <w:szCs w:val="22"/>
          <w:lang w:val="sr-Latn-ME"/>
        </w:rPr>
        <w:t>tel: +382 (0) 20 310 280</w:t>
      </w:r>
    </w:p>
    <w:p w14:paraId="407F50C6" w14:textId="77777777" w:rsidR="00EA5765" w:rsidRPr="009602D1" w:rsidRDefault="005A23D2" w:rsidP="00EE07B1">
      <w:pPr>
        <w:pStyle w:val="NoSpacing"/>
        <w:jc w:val="both"/>
        <w:rPr>
          <w:rFonts w:eastAsia="Calibri"/>
          <w:sz w:val="22"/>
          <w:szCs w:val="22"/>
          <w:lang w:val="sr-Latn-ME"/>
        </w:rPr>
      </w:pPr>
      <w:r w:rsidRPr="009602D1">
        <w:rPr>
          <w:rFonts w:eastAsia="Calibri"/>
          <w:sz w:val="22"/>
          <w:szCs w:val="22"/>
          <w:lang w:val="sr-Latn-ME"/>
        </w:rPr>
        <w:lastRenderedPageBreak/>
        <w:t>fax:</w:t>
      </w:r>
      <w:r w:rsidR="00EA5765" w:rsidRPr="009602D1">
        <w:rPr>
          <w:rFonts w:eastAsia="Calibri"/>
          <w:sz w:val="22"/>
          <w:szCs w:val="22"/>
          <w:lang w:val="sr-Latn-ME"/>
        </w:rPr>
        <w:t xml:space="preserve"> </w:t>
      </w:r>
      <w:r w:rsidRPr="009602D1">
        <w:rPr>
          <w:rFonts w:eastAsia="Calibri"/>
          <w:sz w:val="22"/>
          <w:szCs w:val="22"/>
          <w:lang w:val="sr-Latn-ME"/>
        </w:rPr>
        <w:t>+382 (0) 20 310 581</w:t>
      </w:r>
    </w:p>
    <w:p w14:paraId="407F50C7" w14:textId="26B2FEB5" w:rsidR="005A23D2" w:rsidRPr="009602D1" w:rsidRDefault="00FD4DD6" w:rsidP="00EE07B1">
      <w:pPr>
        <w:pStyle w:val="NoSpacing"/>
        <w:jc w:val="both"/>
        <w:rPr>
          <w:rFonts w:eastAsia="Calibri"/>
          <w:sz w:val="22"/>
          <w:szCs w:val="22"/>
          <w:lang w:val="sr-Latn-ME"/>
        </w:rPr>
      </w:pPr>
      <w:hyperlink r:id="rId12" w:history="1">
        <w:r w:rsidR="004E70AD" w:rsidRPr="009602D1">
          <w:rPr>
            <w:rStyle w:val="Hyperlink"/>
            <w:rFonts w:eastAsia="Calibri"/>
            <w:sz w:val="22"/>
            <w:szCs w:val="22"/>
            <w:lang w:val="sr-Latn-ME"/>
          </w:rPr>
          <w:t>www.cinmed.me</w:t>
        </w:r>
      </w:hyperlink>
    </w:p>
    <w:p w14:paraId="407F50C8" w14:textId="3BE229DD" w:rsidR="00EA5765" w:rsidRPr="009602D1" w:rsidRDefault="00FD4DD6" w:rsidP="00EE07B1">
      <w:pPr>
        <w:pStyle w:val="NoSpacing"/>
        <w:jc w:val="both"/>
        <w:rPr>
          <w:rFonts w:eastAsia="Calibri"/>
          <w:color w:val="0000FF"/>
          <w:sz w:val="22"/>
          <w:szCs w:val="22"/>
          <w:u w:val="single"/>
          <w:lang w:val="sr-Latn-ME"/>
        </w:rPr>
      </w:pPr>
      <w:hyperlink r:id="rId13" w:history="1">
        <w:r w:rsidR="004E70AD" w:rsidRPr="009602D1">
          <w:rPr>
            <w:rStyle w:val="Hyperlink"/>
            <w:rFonts w:eastAsia="Calibri"/>
            <w:sz w:val="22"/>
            <w:szCs w:val="22"/>
            <w:lang w:val="sr-Latn-ME"/>
          </w:rPr>
          <w:t>nezeljenadejstva@cinmed.me</w:t>
        </w:r>
      </w:hyperlink>
    </w:p>
    <w:p w14:paraId="407F50C9" w14:textId="437DD1F7" w:rsidR="005A23D2" w:rsidRPr="009602D1" w:rsidRDefault="005A23D2" w:rsidP="00611D25">
      <w:pPr>
        <w:pStyle w:val="NoSpacing"/>
        <w:jc w:val="both"/>
        <w:rPr>
          <w:rFonts w:eastAsia="Calibri"/>
          <w:sz w:val="22"/>
          <w:szCs w:val="22"/>
          <w:lang w:val="sr-Latn-ME"/>
        </w:rPr>
      </w:pPr>
      <w:r w:rsidRPr="009602D1">
        <w:rPr>
          <w:rFonts w:eastAsia="Calibri"/>
          <w:sz w:val="22"/>
          <w:szCs w:val="22"/>
          <w:lang w:val="sr-Latn-ME"/>
        </w:rPr>
        <w:t>putem IS zdravstvene zaštite</w:t>
      </w:r>
    </w:p>
    <w:p w14:paraId="420738C7" w14:textId="77777777" w:rsidR="006801F3" w:rsidRPr="009602D1" w:rsidRDefault="006801F3" w:rsidP="006801F3">
      <w:pPr>
        <w:pStyle w:val="NoSpacing"/>
        <w:jc w:val="both"/>
        <w:rPr>
          <w:rFonts w:eastAsia="Calibri"/>
          <w:sz w:val="22"/>
          <w:szCs w:val="22"/>
          <w:lang w:val="sr-Latn-ME"/>
        </w:rPr>
      </w:pPr>
      <w:r w:rsidRPr="009602D1">
        <w:rPr>
          <w:rFonts w:eastAsia="Calibri"/>
          <w:sz w:val="22"/>
          <w:szCs w:val="22"/>
          <w:lang w:val="sr-Latn-ME"/>
        </w:rPr>
        <w:t>QR kod za online prijavu sumnje na neželjeno dejstvo lijeka:</w:t>
      </w:r>
    </w:p>
    <w:p w14:paraId="2A1A0841" w14:textId="77777777" w:rsidR="006801F3" w:rsidRPr="009602D1" w:rsidRDefault="006801F3" w:rsidP="006801F3">
      <w:pPr>
        <w:pStyle w:val="NoSpacing"/>
        <w:jc w:val="both"/>
        <w:rPr>
          <w:rFonts w:eastAsia="Calibri"/>
          <w:sz w:val="22"/>
          <w:szCs w:val="22"/>
          <w:lang w:val="sr-Latn-ME"/>
        </w:rPr>
      </w:pPr>
    </w:p>
    <w:p w14:paraId="43BB76E9" w14:textId="77777777" w:rsidR="006801F3" w:rsidRPr="009602D1" w:rsidRDefault="006801F3" w:rsidP="006801F3">
      <w:pPr>
        <w:pStyle w:val="NoSpacing"/>
        <w:rPr>
          <w:rFonts w:eastAsia="Calibri"/>
          <w:sz w:val="22"/>
          <w:szCs w:val="22"/>
          <w:lang w:val="sr-Latn-ME"/>
        </w:rPr>
      </w:pPr>
      <w:r w:rsidRPr="009602D1">
        <w:rPr>
          <w:noProof/>
        </w:rPr>
        <w:drawing>
          <wp:inline distT="0" distB="0" distL="0" distR="0" wp14:anchorId="09CDA58F" wp14:editId="31551B6B">
            <wp:extent cx="971550" cy="971550"/>
            <wp:effectExtent l="0" t="0" r="0" b="0"/>
            <wp:docPr id="2" name="Picture 2" descr="https://cinmed.me/wp-content/uploads/2022/11/Online-prijava-NDL-QR-code-300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CECC27A" w14:textId="77777777" w:rsidR="006801F3" w:rsidRPr="009602D1" w:rsidRDefault="006801F3" w:rsidP="00611D25">
      <w:pPr>
        <w:pStyle w:val="NoSpacing"/>
        <w:jc w:val="both"/>
        <w:rPr>
          <w:rFonts w:eastAsia="Calibri"/>
          <w:sz w:val="22"/>
          <w:szCs w:val="22"/>
          <w:lang w:val="sr-Latn-ME"/>
        </w:rPr>
      </w:pPr>
    </w:p>
    <w:p w14:paraId="67A25867" w14:textId="77777777" w:rsidR="006801F3" w:rsidRPr="009602D1" w:rsidRDefault="006801F3" w:rsidP="004018B4">
      <w:pPr>
        <w:tabs>
          <w:tab w:val="left" w:pos="540"/>
          <w:tab w:val="left" w:pos="569"/>
        </w:tabs>
        <w:jc w:val="both"/>
        <w:rPr>
          <w:b/>
          <w:bCs/>
          <w:sz w:val="22"/>
          <w:szCs w:val="22"/>
          <w:lang w:val="sr-Latn-ME"/>
        </w:rPr>
      </w:pPr>
    </w:p>
    <w:p w14:paraId="407F50CB" w14:textId="77777777" w:rsidR="00CD6F02" w:rsidRPr="009602D1" w:rsidRDefault="0072020E" w:rsidP="004018B4">
      <w:pPr>
        <w:tabs>
          <w:tab w:val="left" w:pos="540"/>
          <w:tab w:val="left" w:pos="569"/>
        </w:tabs>
        <w:jc w:val="both"/>
        <w:rPr>
          <w:b/>
          <w:bCs/>
          <w:sz w:val="22"/>
          <w:szCs w:val="22"/>
          <w:lang w:val="sr-Latn-ME"/>
        </w:rPr>
      </w:pPr>
      <w:r w:rsidRPr="009602D1">
        <w:rPr>
          <w:b/>
          <w:bCs/>
          <w:sz w:val="22"/>
          <w:szCs w:val="22"/>
          <w:lang w:val="sr-Latn-ME"/>
        </w:rPr>
        <w:t xml:space="preserve">4.9. </w:t>
      </w:r>
      <w:r w:rsidR="00480FB1" w:rsidRPr="009602D1">
        <w:rPr>
          <w:b/>
          <w:bCs/>
          <w:sz w:val="22"/>
          <w:szCs w:val="22"/>
          <w:lang w:val="sr-Latn-ME"/>
        </w:rPr>
        <w:tab/>
      </w:r>
      <w:r w:rsidRPr="009602D1">
        <w:rPr>
          <w:b/>
          <w:bCs/>
          <w:sz w:val="22"/>
          <w:szCs w:val="22"/>
          <w:lang w:val="sr-Latn-ME"/>
        </w:rPr>
        <w:t>Predoziranje</w:t>
      </w:r>
      <w:r w:rsidR="002846DB" w:rsidRPr="009602D1">
        <w:rPr>
          <w:b/>
          <w:bCs/>
          <w:sz w:val="22"/>
          <w:szCs w:val="22"/>
          <w:lang w:val="sr-Latn-ME"/>
        </w:rPr>
        <w:t xml:space="preserve"> </w:t>
      </w:r>
    </w:p>
    <w:p w14:paraId="601BF4D7" w14:textId="749129B3" w:rsidR="00874554" w:rsidRPr="009602D1" w:rsidRDefault="00C33F48" w:rsidP="004018B4">
      <w:pPr>
        <w:pStyle w:val="Header"/>
        <w:tabs>
          <w:tab w:val="left" w:pos="284"/>
          <w:tab w:val="left" w:pos="8505"/>
        </w:tabs>
        <w:spacing w:before="80" w:after="80"/>
        <w:ind w:right="1"/>
        <w:jc w:val="both"/>
        <w:rPr>
          <w:bCs/>
          <w:sz w:val="22"/>
          <w:szCs w:val="22"/>
          <w:lang w:val="sr-Latn-ME"/>
        </w:rPr>
      </w:pPr>
      <w:r w:rsidRPr="009602D1">
        <w:rPr>
          <w:bCs/>
          <w:sz w:val="22"/>
          <w:szCs w:val="22"/>
          <w:lang w:val="sr-Latn-ME"/>
        </w:rPr>
        <w:t xml:space="preserve">Predoziranje paracetamolom može izazvati </w:t>
      </w:r>
      <w:r w:rsidR="006801F3" w:rsidRPr="009602D1">
        <w:rPr>
          <w:bCs/>
          <w:sz w:val="22"/>
          <w:szCs w:val="22"/>
          <w:lang w:val="sr-Latn-ME"/>
        </w:rPr>
        <w:t>insuficijenciju</w:t>
      </w:r>
      <w:r w:rsidRPr="009602D1">
        <w:rPr>
          <w:bCs/>
          <w:sz w:val="22"/>
          <w:szCs w:val="22"/>
          <w:lang w:val="sr-Latn-ME"/>
        </w:rPr>
        <w:t xml:space="preserve"> jetre koj</w:t>
      </w:r>
      <w:r w:rsidR="006801F3" w:rsidRPr="009602D1">
        <w:rPr>
          <w:bCs/>
          <w:sz w:val="22"/>
          <w:szCs w:val="22"/>
          <w:lang w:val="sr-Latn-ME"/>
        </w:rPr>
        <w:t>a</w:t>
      </w:r>
      <w:r w:rsidRPr="009602D1">
        <w:rPr>
          <w:bCs/>
          <w:sz w:val="22"/>
          <w:szCs w:val="22"/>
          <w:lang w:val="sr-Latn-ME"/>
        </w:rPr>
        <w:t xml:space="preserve"> može</w:t>
      </w:r>
      <w:r w:rsidR="00874554" w:rsidRPr="009602D1">
        <w:rPr>
          <w:bCs/>
          <w:sz w:val="22"/>
          <w:szCs w:val="22"/>
          <w:lang w:val="sr-Latn-ME"/>
        </w:rPr>
        <w:t xml:space="preserve"> zahtijevati</w:t>
      </w:r>
      <w:r w:rsidRPr="009602D1">
        <w:rPr>
          <w:bCs/>
          <w:sz w:val="22"/>
          <w:szCs w:val="22"/>
          <w:lang w:val="sr-Latn-ME"/>
        </w:rPr>
        <w:t xml:space="preserve"> transplantacij</w:t>
      </w:r>
      <w:r w:rsidR="00874554" w:rsidRPr="009602D1">
        <w:rPr>
          <w:bCs/>
          <w:sz w:val="22"/>
          <w:szCs w:val="22"/>
          <w:lang w:val="sr-Latn-ME"/>
        </w:rPr>
        <w:t>u</w:t>
      </w:r>
      <w:r w:rsidRPr="009602D1">
        <w:rPr>
          <w:bCs/>
          <w:sz w:val="22"/>
          <w:szCs w:val="22"/>
          <w:lang w:val="sr-Latn-ME"/>
        </w:rPr>
        <w:t xml:space="preserve"> jetre ili </w:t>
      </w:r>
      <w:r w:rsidR="00E82CB2" w:rsidRPr="009602D1">
        <w:rPr>
          <w:bCs/>
          <w:sz w:val="22"/>
          <w:szCs w:val="22"/>
          <w:lang w:val="sr-Latn-ME"/>
        </w:rPr>
        <w:t xml:space="preserve">može imati </w:t>
      </w:r>
      <w:r w:rsidRPr="009602D1">
        <w:rPr>
          <w:bCs/>
          <w:sz w:val="22"/>
          <w:szCs w:val="22"/>
          <w:lang w:val="sr-Latn-ME"/>
        </w:rPr>
        <w:t>smrt</w:t>
      </w:r>
      <w:r w:rsidR="00874554" w:rsidRPr="009602D1">
        <w:rPr>
          <w:bCs/>
          <w:sz w:val="22"/>
          <w:szCs w:val="22"/>
          <w:lang w:val="sr-Latn-ME"/>
        </w:rPr>
        <w:t>ni ishod</w:t>
      </w:r>
      <w:r w:rsidR="006801F3" w:rsidRPr="009602D1">
        <w:rPr>
          <w:bCs/>
          <w:sz w:val="22"/>
          <w:szCs w:val="22"/>
          <w:lang w:val="sr-Latn-ME"/>
        </w:rPr>
        <w:t>.</w:t>
      </w:r>
      <w:r w:rsidRPr="009602D1">
        <w:rPr>
          <w:bCs/>
          <w:sz w:val="22"/>
          <w:szCs w:val="22"/>
          <w:lang w:val="sr-Latn-ME"/>
        </w:rPr>
        <w:t xml:space="preserve"> </w:t>
      </w:r>
      <w:r w:rsidR="00513F24" w:rsidRPr="009602D1">
        <w:rPr>
          <w:bCs/>
          <w:sz w:val="22"/>
          <w:szCs w:val="22"/>
          <w:lang w:val="sr-Latn-ME"/>
        </w:rPr>
        <w:t xml:space="preserve">Zabilježeni su slučajevi akutnog pankreatitisa, obično praćeni disfunkcijom jetre i toksičnim oštećenjem jetre. </w:t>
      </w:r>
    </w:p>
    <w:p w14:paraId="647D90B4" w14:textId="1C4C852B" w:rsidR="00874554" w:rsidRPr="009602D1" w:rsidRDefault="00874554" w:rsidP="004018B4">
      <w:pPr>
        <w:jc w:val="both"/>
        <w:rPr>
          <w:sz w:val="22"/>
          <w:szCs w:val="22"/>
          <w:lang w:val="sr-Latn-ME"/>
        </w:rPr>
      </w:pPr>
      <w:r w:rsidRPr="009602D1">
        <w:rPr>
          <w:sz w:val="22"/>
          <w:szCs w:val="22"/>
          <w:lang w:val="sr-Latn-ME"/>
        </w:rPr>
        <w:t xml:space="preserve">Postoji rizik od trovanja paracetamolom naročito kod starijih osoba, mlađe djece, pacijenata sa oboljenjem jetre, kod slučajeva hroničnog alkoholizma i kod pacijenata sa hroničnom malnutricijom. U ovim slučajevima predoziranje može dovesti do smrtnog ishoda. </w:t>
      </w:r>
    </w:p>
    <w:p w14:paraId="3E9D7E1D" w14:textId="77777777" w:rsidR="006801F3" w:rsidRPr="009602D1" w:rsidRDefault="006801F3" w:rsidP="004018B4">
      <w:pPr>
        <w:jc w:val="both"/>
        <w:rPr>
          <w:sz w:val="22"/>
          <w:szCs w:val="22"/>
          <w:lang w:val="sr-Latn-ME"/>
        </w:rPr>
      </w:pPr>
    </w:p>
    <w:p w14:paraId="5CFD18DD" w14:textId="2ABE79F1" w:rsidR="006801F3" w:rsidRPr="009602D1" w:rsidRDefault="00874554" w:rsidP="004018B4">
      <w:pPr>
        <w:jc w:val="both"/>
        <w:rPr>
          <w:sz w:val="22"/>
          <w:szCs w:val="22"/>
          <w:lang w:val="sr-Latn-ME"/>
        </w:rPr>
      </w:pPr>
      <w:r w:rsidRPr="009602D1">
        <w:rPr>
          <w:sz w:val="22"/>
          <w:szCs w:val="22"/>
          <w:lang w:val="sr-Latn-ME"/>
        </w:rPr>
        <w:t xml:space="preserve">Simptomi predoziranja se obično javljaju unutar prvih 24 sata i mogu uključiti: mučninu, povraćanje, anoreksiju, bledilo i bol u abdomenu, ili pacijenti mogu biti bez simptoma. </w:t>
      </w:r>
    </w:p>
    <w:p w14:paraId="2449DF47" w14:textId="24031436" w:rsidR="006801F3" w:rsidRPr="009602D1" w:rsidRDefault="006801F3" w:rsidP="004018B4">
      <w:pPr>
        <w:jc w:val="both"/>
        <w:rPr>
          <w:sz w:val="22"/>
          <w:szCs w:val="22"/>
          <w:lang w:val="sr-Latn-ME"/>
        </w:rPr>
      </w:pPr>
    </w:p>
    <w:p w14:paraId="75BCB725" w14:textId="6858CC05" w:rsidR="00874554" w:rsidRPr="009602D1" w:rsidRDefault="00874554" w:rsidP="004018B4">
      <w:pPr>
        <w:jc w:val="both"/>
        <w:rPr>
          <w:sz w:val="22"/>
          <w:szCs w:val="22"/>
          <w:lang w:val="sr-Latn-ME"/>
        </w:rPr>
      </w:pPr>
      <w:r w:rsidRPr="009602D1">
        <w:rPr>
          <w:sz w:val="22"/>
          <w:szCs w:val="22"/>
          <w:lang w:val="sr-Latn-ME"/>
        </w:rPr>
        <w:t>Predoziranje paracetamolom pri pojedinačnoj upotrebi, kod odraslih i djece, može izazavati nekrozu ćelija jetre, sa mogućnošću izazivanja kompletne i ireverzibilne nekroze, koja dovodi do hepatocelularne insuficijencije, metaboličke acidoze i encefalopatije a koje mogu izazvati komu i smrt. Istovremeno, uočene su povećane koncentracije transaminaza jetre (AST, ALT), laktat dehidrogenaze i bilirubina zajedno sa povećanim koncentracijama protrombina koji mogu da se jave 12 do 48 sati nakon upotrebe lijeka. Oštećenje jetre se može očekivati kod odraslih osoba koje su uzele više od preporučene doze paracetamola. Smatra se da se prevelike količine toksičnih metabolita (koji se obično adekvatno detoksikuju pomoću glutationa u slučaju kad su uzete normalne doze paracetamola), ireverzibilno vezuju za tkivo jetre.</w:t>
      </w:r>
    </w:p>
    <w:p w14:paraId="63CB0A63" w14:textId="77777777" w:rsidR="00874554" w:rsidRPr="009602D1" w:rsidRDefault="00874554" w:rsidP="004018B4">
      <w:pPr>
        <w:jc w:val="both"/>
        <w:rPr>
          <w:sz w:val="22"/>
          <w:szCs w:val="22"/>
          <w:lang w:val="sr-Latn-ME"/>
        </w:rPr>
      </w:pPr>
    </w:p>
    <w:p w14:paraId="7F5A7338" w14:textId="77777777" w:rsidR="00874554" w:rsidRPr="009602D1" w:rsidRDefault="00874554" w:rsidP="004018B4">
      <w:pPr>
        <w:jc w:val="both"/>
        <w:rPr>
          <w:sz w:val="22"/>
          <w:szCs w:val="22"/>
          <w:lang w:val="sr-Latn-ME"/>
        </w:rPr>
      </w:pPr>
      <w:r w:rsidRPr="009602D1">
        <w:rPr>
          <w:sz w:val="22"/>
          <w:szCs w:val="22"/>
          <w:lang w:val="sr-Latn-ME"/>
        </w:rPr>
        <w:t>Neki pacijenti mogu biti u povećanom riziku za oštećenje jetre uzrokovane intoksikacijom paracetamolom. Faktori rizika uključuju:</w:t>
      </w:r>
    </w:p>
    <w:p w14:paraId="4C0323D4" w14:textId="77777777" w:rsidR="00874554" w:rsidRPr="009602D1" w:rsidRDefault="00874554" w:rsidP="004018B4">
      <w:pPr>
        <w:jc w:val="both"/>
        <w:rPr>
          <w:sz w:val="22"/>
          <w:szCs w:val="22"/>
          <w:lang w:val="sr-Latn-ME"/>
        </w:rPr>
      </w:pPr>
    </w:p>
    <w:p w14:paraId="2F8258DA" w14:textId="6B760699" w:rsidR="00874554" w:rsidRPr="009602D1" w:rsidRDefault="00874554" w:rsidP="00EE07B1">
      <w:pPr>
        <w:pStyle w:val="ListParagraph"/>
        <w:numPr>
          <w:ilvl w:val="0"/>
          <w:numId w:val="13"/>
        </w:numPr>
        <w:rPr>
          <w:szCs w:val="22"/>
          <w:lang w:val="sr-Latn-ME"/>
        </w:rPr>
      </w:pPr>
      <w:r w:rsidRPr="009602D1">
        <w:rPr>
          <w:szCs w:val="22"/>
          <w:lang w:val="sr-Latn-ME"/>
        </w:rPr>
        <w:t>pacijente na dugotrajnoj terapiji karbamazepinom, fenobarbitonom, fenitoinom, pirimidonom, rifampicinom, kantarionom ili nekim drugim l</w:t>
      </w:r>
      <w:r w:rsidR="006801F3" w:rsidRPr="009602D1">
        <w:rPr>
          <w:szCs w:val="22"/>
          <w:lang w:val="sr-Latn-ME"/>
        </w:rPr>
        <w:t>j</w:t>
      </w:r>
      <w:r w:rsidRPr="009602D1">
        <w:rPr>
          <w:szCs w:val="22"/>
          <w:lang w:val="sr-Latn-ME"/>
        </w:rPr>
        <w:t xml:space="preserve">ekovima koji indukuju enzime jetre </w:t>
      </w:r>
    </w:p>
    <w:p w14:paraId="36977F0F" w14:textId="77777777" w:rsidR="00874554" w:rsidRPr="009602D1" w:rsidRDefault="00874554" w:rsidP="00EE07B1">
      <w:pPr>
        <w:pStyle w:val="ListParagraph"/>
        <w:numPr>
          <w:ilvl w:val="0"/>
          <w:numId w:val="13"/>
        </w:numPr>
        <w:rPr>
          <w:szCs w:val="22"/>
          <w:lang w:val="sr-Latn-ME"/>
        </w:rPr>
      </w:pPr>
      <w:r w:rsidRPr="009602D1">
        <w:rPr>
          <w:szCs w:val="22"/>
          <w:lang w:val="sr-Latn-ME"/>
        </w:rPr>
        <w:t>pacijente koji redovno konzumiraju etanol u većim količinama</w:t>
      </w:r>
    </w:p>
    <w:p w14:paraId="6CF23072" w14:textId="420DAA37" w:rsidR="00874554" w:rsidRPr="009602D1" w:rsidRDefault="00874554" w:rsidP="00EE07B1">
      <w:pPr>
        <w:pStyle w:val="ListParagraph"/>
        <w:numPr>
          <w:ilvl w:val="0"/>
          <w:numId w:val="13"/>
        </w:numPr>
        <w:rPr>
          <w:szCs w:val="22"/>
          <w:lang w:val="sr-Latn-ME"/>
        </w:rPr>
      </w:pPr>
      <w:r w:rsidRPr="009602D1">
        <w:rPr>
          <w:szCs w:val="22"/>
          <w:lang w:val="sr-Latn-ME"/>
        </w:rPr>
        <w:t>postojanje v</w:t>
      </w:r>
      <w:r w:rsidR="006801F3" w:rsidRPr="009602D1">
        <w:rPr>
          <w:szCs w:val="22"/>
          <w:lang w:val="sr-Latn-ME"/>
        </w:rPr>
        <w:t>j</w:t>
      </w:r>
      <w:r w:rsidRPr="009602D1">
        <w:rPr>
          <w:szCs w:val="22"/>
          <w:lang w:val="sr-Latn-ME"/>
        </w:rPr>
        <w:t>erovatnoće da pacijent ima manjak glutationa, npr. zbog poremećaja ishrane, cistične fibroze, HIV infekcije, izgladnjivanja, kaheksije.</w:t>
      </w:r>
    </w:p>
    <w:p w14:paraId="223988FE" w14:textId="77777777" w:rsidR="00874554" w:rsidRPr="009602D1" w:rsidRDefault="00874554" w:rsidP="004018B4">
      <w:pPr>
        <w:jc w:val="both"/>
        <w:rPr>
          <w:sz w:val="22"/>
          <w:szCs w:val="22"/>
          <w:u w:val="single"/>
          <w:lang w:val="sr-Latn-ME"/>
        </w:rPr>
      </w:pPr>
    </w:p>
    <w:p w14:paraId="14492A41" w14:textId="77777777" w:rsidR="00874554" w:rsidRPr="009602D1" w:rsidRDefault="00874554" w:rsidP="004018B4">
      <w:pPr>
        <w:jc w:val="both"/>
        <w:rPr>
          <w:sz w:val="22"/>
          <w:szCs w:val="22"/>
          <w:u w:val="single"/>
          <w:lang w:val="sr-Latn-ME"/>
        </w:rPr>
      </w:pPr>
      <w:r w:rsidRPr="009602D1">
        <w:rPr>
          <w:sz w:val="22"/>
          <w:szCs w:val="22"/>
          <w:u w:val="single"/>
          <w:lang w:val="sr-Latn-ME"/>
        </w:rPr>
        <w:t>Hitni postupci:</w:t>
      </w:r>
    </w:p>
    <w:p w14:paraId="55E6B902" w14:textId="77777777" w:rsidR="00874554" w:rsidRPr="009602D1" w:rsidRDefault="00874554" w:rsidP="004018B4">
      <w:pPr>
        <w:jc w:val="both"/>
        <w:rPr>
          <w:sz w:val="22"/>
          <w:szCs w:val="22"/>
          <w:lang w:val="sr-Latn-ME"/>
        </w:rPr>
      </w:pPr>
    </w:p>
    <w:p w14:paraId="0F5460D0" w14:textId="049281B6" w:rsidR="00874554" w:rsidRPr="009602D1" w:rsidRDefault="00874554" w:rsidP="004018B4">
      <w:pPr>
        <w:jc w:val="both"/>
        <w:rPr>
          <w:sz w:val="22"/>
          <w:szCs w:val="22"/>
          <w:lang w:val="sr-Latn-ME"/>
        </w:rPr>
      </w:pPr>
      <w:r w:rsidRPr="009602D1">
        <w:rPr>
          <w:sz w:val="22"/>
          <w:szCs w:val="22"/>
          <w:lang w:val="sr-Latn-ME"/>
        </w:rPr>
        <w:t>Neophodno je hitno slanje na bolničko liječenje.</w:t>
      </w:r>
    </w:p>
    <w:p w14:paraId="3312D24C" w14:textId="77777777" w:rsidR="00874554" w:rsidRPr="009602D1" w:rsidRDefault="00874554" w:rsidP="004018B4">
      <w:pPr>
        <w:jc w:val="both"/>
        <w:rPr>
          <w:sz w:val="22"/>
          <w:szCs w:val="22"/>
          <w:lang w:val="sr-Latn-ME"/>
        </w:rPr>
      </w:pPr>
      <w:r w:rsidRPr="009602D1">
        <w:rPr>
          <w:sz w:val="22"/>
          <w:szCs w:val="22"/>
          <w:lang w:val="sr-Latn-ME"/>
        </w:rPr>
        <w:t>Potrebno je uzeti uzorak krvi radi određivanja početne koncentracije paracetamola u plazmi. U slučaju pojedinačnog akutnog predoziranja, potrebno je odrediti koncentraciju paracetamola u plazmi 4 sata nakon uzimanja doze.</w:t>
      </w:r>
    </w:p>
    <w:p w14:paraId="741A7311" w14:textId="58F492C3" w:rsidR="00874554" w:rsidRPr="009602D1" w:rsidRDefault="00874554" w:rsidP="004018B4">
      <w:pPr>
        <w:jc w:val="both"/>
        <w:rPr>
          <w:sz w:val="22"/>
          <w:szCs w:val="22"/>
          <w:lang w:val="sr-Latn-ME"/>
        </w:rPr>
      </w:pPr>
      <w:r w:rsidRPr="009602D1">
        <w:rPr>
          <w:sz w:val="22"/>
          <w:szCs w:val="22"/>
          <w:lang w:val="sr-Latn-ME"/>
        </w:rPr>
        <w:t xml:space="preserve">Treba razmotriti terapiju aktivnim ugljem ukoliko je doza od &gt; 150 mg/kg paracetamola uzeta prije najviše jednog sata. </w:t>
      </w:r>
    </w:p>
    <w:p w14:paraId="35BD3BA0" w14:textId="77777777" w:rsidR="00874554" w:rsidRPr="009602D1" w:rsidRDefault="00874554" w:rsidP="004018B4">
      <w:pPr>
        <w:jc w:val="both"/>
        <w:rPr>
          <w:sz w:val="22"/>
          <w:szCs w:val="22"/>
          <w:lang w:val="sr-Latn-ME"/>
        </w:rPr>
      </w:pPr>
    </w:p>
    <w:p w14:paraId="37A54B0F" w14:textId="20795CD7" w:rsidR="00874554" w:rsidRPr="009602D1" w:rsidRDefault="00874554" w:rsidP="004018B4">
      <w:pPr>
        <w:jc w:val="both"/>
        <w:rPr>
          <w:sz w:val="22"/>
          <w:szCs w:val="22"/>
          <w:lang w:val="sr-Latn-ME"/>
        </w:rPr>
      </w:pPr>
      <w:r w:rsidRPr="009602D1">
        <w:rPr>
          <w:sz w:val="22"/>
          <w:szCs w:val="22"/>
          <w:lang w:val="sr-Latn-ME"/>
        </w:rPr>
        <w:t>Antidot</w:t>
      </w:r>
      <w:r w:rsidR="00E82CB2" w:rsidRPr="009602D1">
        <w:rPr>
          <w:sz w:val="22"/>
          <w:szCs w:val="22"/>
          <w:lang w:val="sr-Latn-ME"/>
        </w:rPr>
        <w:t>,</w:t>
      </w:r>
      <w:r w:rsidRPr="009602D1">
        <w:rPr>
          <w:sz w:val="22"/>
          <w:szCs w:val="22"/>
          <w:lang w:val="sr-Latn-ME"/>
        </w:rPr>
        <w:t xml:space="preserve"> N-acetilcistein treba prim</w:t>
      </w:r>
      <w:r w:rsidR="00E82CB2" w:rsidRPr="009602D1">
        <w:rPr>
          <w:sz w:val="22"/>
          <w:szCs w:val="22"/>
          <w:lang w:val="sr-Latn-ME"/>
        </w:rPr>
        <w:t>i</w:t>
      </w:r>
      <w:r w:rsidRPr="009602D1">
        <w:rPr>
          <w:sz w:val="22"/>
          <w:szCs w:val="22"/>
          <w:lang w:val="sr-Latn-ME"/>
        </w:rPr>
        <w:t>jeniti što je pr</w:t>
      </w:r>
      <w:r w:rsidR="00611D25" w:rsidRPr="009602D1">
        <w:rPr>
          <w:sz w:val="22"/>
          <w:szCs w:val="22"/>
          <w:lang w:val="sr-Latn-ME"/>
        </w:rPr>
        <w:t>ij</w:t>
      </w:r>
      <w:r w:rsidRPr="009602D1">
        <w:rPr>
          <w:sz w:val="22"/>
          <w:szCs w:val="22"/>
          <w:lang w:val="sr-Latn-ME"/>
        </w:rPr>
        <w:t>e moguće, u skladu sa smernicama Nacionalnog vodiča za liječenje.</w:t>
      </w:r>
    </w:p>
    <w:p w14:paraId="4605909F" w14:textId="77777777" w:rsidR="00611D25" w:rsidRPr="009602D1" w:rsidRDefault="00611D25" w:rsidP="004018B4">
      <w:pPr>
        <w:jc w:val="both"/>
        <w:rPr>
          <w:sz w:val="22"/>
          <w:szCs w:val="22"/>
          <w:lang w:val="sr-Latn-ME"/>
        </w:rPr>
      </w:pPr>
    </w:p>
    <w:p w14:paraId="407F50CC" w14:textId="28D58D26" w:rsidR="00CD6F02" w:rsidRPr="009602D1" w:rsidRDefault="00874554" w:rsidP="004018B4">
      <w:pPr>
        <w:tabs>
          <w:tab w:val="left" w:pos="540"/>
          <w:tab w:val="left" w:pos="569"/>
        </w:tabs>
        <w:jc w:val="both"/>
        <w:rPr>
          <w:b/>
          <w:bCs/>
          <w:sz w:val="22"/>
          <w:szCs w:val="22"/>
          <w:lang w:val="sr-Latn-ME"/>
        </w:rPr>
      </w:pPr>
      <w:r w:rsidRPr="009602D1">
        <w:rPr>
          <w:sz w:val="22"/>
          <w:szCs w:val="22"/>
          <w:lang w:val="sr-Latn-ME"/>
        </w:rPr>
        <w:lastRenderedPageBreak/>
        <w:t>Treba sprovesti simptomatsko liječenje.</w:t>
      </w:r>
    </w:p>
    <w:p w14:paraId="407F50CD" w14:textId="67923927" w:rsidR="00227BDB" w:rsidRPr="009602D1" w:rsidRDefault="00227BDB" w:rsidP="004018B4">
      <w:pPr>
        <w:tabs>
          <w:tab w:val="left" w:pos="540"/>
          <w:tab w:val="left" w:pos="569"/>
        </w:tabs>
        <w:jc w:val="both"/>
        <w:rPr>
          <w:b/>
          <w:bCs/>
          <w:sz w:val="22"/>
          <w:szCs w:val="22"/>
          <w:lang w:val="sr-Latn-ME"/>
        </w:rPr>
      </w:pPr>
    </w:p>
    <w:p w14:paraId="6FA77D68" w14:textId="77777777" w:rsidR="00911EA3" w:rsidRPr="009602D1" w:rsidRDefault="00911EA3" w:rsidP="004018B4">
      <w:pPr>
        <w:tabs>
          <w:tab w:val="left" w:pos="540"/>
          <w:tab w:val="left" w:pos="569"/>
        </w:tabs>
        <w:jc w:val="both"/>
        <w:rPr>
          <w:b/>
          <w:bCs/>
          <w:sz w:val="22"/>
          <w:szCs w:val="22"/>
          <w:lang w:val="sr-Latn-ME"/>
        </w:rPr>
      </w:pPr>
    </w:p>
    <w:p w14:paraId="407F50CE" w14:textId="77777777" w:rsidR="0072020E" w:rsidRPr="009602D1" w:rsidRDefault="0072020E" w:rsidP="004018B4">
      <w:pPr>
        <w:tabs>
          <w:tab w:val="left" w:pos="540"/>
          <w:tab w:val="left" w:pos="569"/>
        </w:tabs>
        <w:jc w:val="both"/>
        <w:rPr>
          <w:b/>
          <w:bCs/>
          <w:sz w:val="22"/>
          <w:szCs w:val="22"/>
          <w:lang w:val="sr-Latn-ME"/>
        </w:rPr>
      </w:pPr>
      <w:r w:rsidRPr="009602D1">
        <w:rPr>
          <w:b/>
          <w:bCs/>
          <w:sz w:val="22"/>
          <w:szCs w:val="22"/>
          <w:lang w:val="sr-Latn-ME"/>
        </w:rPr>
        <w:t xml:space="preserve">5. </w:t>
      </w:r>
      <w:r w:rsidR="00480FB1" w:rsidRPr="009602D1">
        <w:rPr>
          <w:b/>
          <w:bCs/>
          <w:sz w:val="22"/>
          <w:szCs w:val="22"/>
          <w:lang w:val="sr-Latn-ME"/>
        </w:rPr>
        <w:tab/>
      </w:r>
      <w:r w:rsidRPr="009602D1">
        <w:rPr>
          <w:b/>
          <w:bCs/>
          <w:sz w:val="22"/>
          <w:szCs w:val="22"/>
          <w:lang w:val="sr-Latn-ME"/>
        </w:rPr>
        <w:t>FARMAKOLOŠK</w:t>
      </w:r>
      <w:r w:rsidR="000D425A" w:rsidRPr="009602D1">
        <w:rPr>
          <w:b/>
          <w:bCs/>
          <w:sz w:val="22"/>
          <w:szCs w:val="22"/>
          <w:lang w:val="sr-Latn-ME"/>
        </w:rPr>
        <w:t>I</w:t>
      </w:r>
      <w:r w:rsidRPr="009602D1">
        <w:rPr>
          <w:b/>
          <w:bCs/>
          <w:sz w:val="22"/>
          <w:szCs w:val="22"/>
          <w:lang w:val="sr-Latn-ME"/>
        </w:rPr>
        <w:t xml:space="preserve"> PODACI</w:t>
      </w:r>
    </w:p>
    <w:p w14:paraId="407F50CF" w14:textId="77777777" w:rsidR="0072020E" w:rsidRPr="009602D1" w:rsidRDefault="0072020E" w:rsidP="004018B4">
      <w:pPr>
        <w:tabs>
          <w:tab w:val="left" w:pos="540"/>
          <w:tab w:val="left" w:pos="569"/>
        </w:tabs>
        <w:jc w:val="both"/>
        <w:rPr>
          <w:b/>
          <w:bCs/>
          <w:sz w:val="22"/>
          <w:szCs w:val="22"/>
          <w:lang w:val="sr-Latn-ME"/>
        </w:rPr>
      </w:pPr>
    </w:p>
    <w:p w14:paraId="407F50D0" w14:textId="77777777" w:rsidR="0072020E" w:rsidRPr="009602D1" w:rsidRDefault="0072020E" w:rsidP="004018B4">
      <w:pPr>
        <w:tabs>
          <w:tab w:val="left" w:pos="540"/>
          <w:tab w:val="left" w:pos="569"/>
        </w:tabs>
        <w:jc w:val="both"/>
        <w:rPr>
          <w:b/>
          <w:bCs/>
          <w:sz w:val="22"/>
          <w:szCs w:val="22"/>
          <w:lang w:val="sr-Latn-ME"/>
        </w:rPr>
      </w:pPr>
      <w:r w:rsidRPr="009602D1">
        <w:rPr>
          <w:b/>
          <w:bCs/>
          <w:sz w:val="22"/>
          <w:szCs w:val="22"/>
          <w:lang w:val="sr-Latn-ME"/>
        </w:rPr>
        <w:t xml:space="preserve">5.1. </w:t>
      </w:r>
      <w:r w:rsidR="00480FB1" w:rsidRPr="009602D1">
        <w:rPr>
          <w:b/>
          <w:bCs/>
          <w:sz w:val="22"/>
          <w:szCs w:val="22"/>
          <w:lang w:val="sr-Latn-ME"/>
        </w:rPr>
        <w:tab/>
      </w:r>
      <w:r w:rsidRPr="009602D1">
        <w:rPr>
          <w:b/>
          <w:bCs/>
          <w:sz w:val="22"/>
          <w:szCs w:val="22"/>
          <w:lang w:val="sr-Latn-ME"/>
        </w:rPr>
        <w:t>Farmakodinamski podaci</w:t>
      </w:r>
      <w:r w:rsidR="003A7059" w:rsidRPr="009602D1">
        <w:rPr>
          <w:b/>
          <w:bCs/>
          <w:sz w:val="22"/>
          <w:szCs w:val="22"/>
          <w:lang w:val="sr-Latn-ME"/>
        </w:rPr>
        <w:t xml:space="preserve"> </w:t>
      </w:r>
    </w:p>
    <w:p w14:paraId="66FDF38A" w14:textId="77777777" w:rsidR="00C33F48" w:rsidRPr="009602D1" w:rsidRDefault="00C33F48" w:rsidP="004018B4">
      <w:pPr>
        <w:tabs>
          <w:tab w:val="left" w:pos="540"/>
          <w:tab w:val="left" w:pos="569"/>
        </w:tabs>
        <w:jc w:val="both"/>
        <w:rPr>
          <w:b/>
          <w:bCs/>
          <w:sz w:val="22"/>
          <w:szCs w:val="22"/>
          <w:lang w:val="sr-Latn-ME"/>
        </w:rPr>
      </w:pPr>
    </w:p>
    <w:p w14:paraId="3774F32A" w14:textId="2394B3F0" w:rsidR="00C33F48" w:rsidRPr="009602D1" w:rsidRDefault="00C33F48" w:rsidP="004018B4">
      <w:pPr>
        <w:tabs>
          <w:tab w:val="left" w:pos="540"/>
          <w:tab w:val="left" w:pos="569"/>
        </w:tabs>
        <w:jc w:val="both"/>
        <w:rPr>
          <w:bCs/>
          <w:sz w:val="22"/>
          <w:szCs w:val="22"/>
          <w:lang w:val="sr-Latn-ME"/>
        </w:rPr>
      </w:pPr>
      <w:r w:rsidRPr="009602D1">
        <w:rPr>
          <w:b/>
          <w:sz w:val="22"/>
          <w:szCs w:val="22"/>
          <w:lang w:val="sr-Latn-ME"/>
        </w:rPr>
        <w:t>Farmakoterapijska grupa</w:t>
      </w:r>
      <w:r w:rsidRPr="009602D1">
        <w:rPr>
          <w:bCs/>
          <w:sz w:val="22"/>
          <w:szCs w:val="22"/>
          <w:lang w:val="sr-Latn-ME"/>
        </w:rPr>
        <w:t xml:space="preserve">: </w:t>
      </w:r>
      <w:r w:rsidR="00874554" w:rsidRPr="009602D1">
        <w:rPr>
          <w:bCs/>
          <w:sz w:val="22"/>
          <w:szCs w:val="22"/>
          <w:lang w:val="sr-Latn-ME"/>
        </w:rPr>
        <w:t>Ostali analgetici i antipiretici, anilidi</w:t>
      </w:r>
    </w:p>
    <w:p w14:paraId="1CA159AB" w14:textId="77777777" w:rsidR="00C33F48" w:rsidRPr="009602D1" w:rsidRDefault="00C33F48" w:rsidP="004018B4">
      <w:pPr>
        <w:tabs>
          <w:tab w:val="left" w:pos="540"/>
          <w:tab w:val="left" w:pos="569"/>
        </w:tabs>
        <w:jc w:val="both"/>
        <w:rPr>
          <w:bCs/>
          <w:sz w:val="22"/>
          <w:szCs w:val="22"/>
          <w:lang w:val="sr-Latn-ME"/>
        </w:rPr>
      </w:pPr>
    </w:p>
    <w:p w14:paraId="74F9AC91" w14:textId="77777777" w:rsidR="00C33F48" w:rsidRPr="009602D1" w:rsidRDefault="00C33F48" w:rsidP="004018B4">
      <w:pPr>
        <w:tabs>
          <w:tab w:val="left" w:pos="540"/>
          <w:tab w:val="left" w:pos="569"/>
        </w:tabs>
        <w:jc w:val="both"/>
        <w:rPr>
          <w:bCs/>
          <w:sz w:val="22"/>
          <w:szCs w:val="22"/>
          <w:lang w:val="sr-Latn-ME"/>
        </w:rPr>
      </w:pPr>
      <w:r w:rsidRPr="009602D1">
        <w:rPr>
          <w:bCs/>
          <w:sz w:val="22"/>
          <w:szCs w:val="22"/>
          <w:lang w:val="sr-Latn-ME"/>
        </w:rPr>
        <w:t>ATC kod:</w:t>
      </w:r>
      <w:r w:rsidRPr="009602D1">
        <w:rPr>
          <w:b/>
          <w:bCs/>
          <w:sz w:val="22"/>
          <w:szCs w:val="22"/>
          <w:lang w:val="sr-Latn-ME"/>
        </w:rPr>
        <w:t xml:space="preserve"> </w:t>
      </w:r>
      <w:r w:rsidRPr="009602D1">
        <w:rPr>
          <w:bCs/>
          <w:sz w:val="22"/>
          <w:szCs w:val="22"/>
          <w:lang w:val="sr-Latn-ME"/>
        </w:rPr>
        <w:t>N02BE01</w:t>
      </w:r>
    </w:p>
    <w:p w14:paraId="693E0CCF" w14:textId="232AC651" w:rsidR="008A5B3C" w:rsidRPr="009602D1" w:rsidRDefault="008A5B3C" w:rsidP="004018B4">
      <w:pPr>
        <w:pStyle w:val="Header"/>
        <w:tabs>
          <w:tab w:val="left" w:pos="284"/>
        </w:tabs>
        <w:spacing w:before="80" w:after="80"/>
        <w:ind w:right="279"/>
        <w:jc w:val="both"/>
        <w:rPr>
          <w:bCs/>
          <w:sz w:val="22"/>
          <w:szCs w:val="22"/>
          <w:lang w:val="sr-Latn-ME"/>
        </w:rPr>
      </w:pPr>
      <w:r w:rsidRPr="009602D1">
        <w:rPr>
          <w:bCs/>
          <w:sz w:val="22"/>
          <w:szCs w:val="22"/>
          <w:lang w:val="sr-Latn-ME"/>
        </w:rPr>
        <w:t>Paracetamol je poznati analgetik i antipiretik.</w:t>
      </w:r>
    </w:p>
    <w:p w14:paraId="5D0244EA" w14:textId="77777777" w:rsidR="008A5B3C" w:rsidRPr="009602D1" w:rsidRDefault="008A5B3C" w:rsidP="004018B4">
      <w:pPr>
        <w:jc w:val="both"/>
        <w:rPr>
          <w:sz w:val="22"/>
          <w:szCs w:val="22"/>
          <w:lang w:val="sr-Latn-ME"/>
        </w:rPr>
      </w:pPr>
    </w:p>
    <w:p w14:paraId="3B1ABB8C" w14:textId="6EC10E71" w:rsidR="008A5B3C" w:rsidRPr="009602D1" w:rsidRDefault="008A5B3C" w:rsidP="004018B4">
      <w:pPr>
        <w:jc w:val="both"/>
        <w:rPr>
          <w:sz w:val="22"/>
          <w:szCs w:val="22"/>
          <w:lang w:val="sr-Latn-ME"/>
        </w:rPr>
      </w:pPr>
      <w:r w:rsidRPr="009602D1">
        <w:rPr>
          <w:sz w:val="22"/>
          <w:szCs w:val="22"/>
          <w:lang w:val="sr-Latn-ME"/>
        </w:rPr>
        <w:t>U studijama u kojima je ispitivan intenzitet analgetskog djelovanja u postoperativnom periodu u stomatologiji, pokazano je da se olakšanje od bola javlja nakon 15 minuta (medijana) od primjene 1000 mg l</w:t>
      </w:r>
      <w:r w:rsidR="00611D25" w:rsidRPr="009602D1">
        <w:rPr>
          <w:sz w:val="22"/>
          <w:szCs w:val="22"/>
          <w:lang w:val="sr-Latn-ME"/>
        </w:rPr>
        <w:t>ij</w:t>
      </w:r>
      <w:r w:rsidRPr="009602D1">
        <w:rPr>
          <w:sz w:val="22"/>
          <w:szCs w:val="22"/>
          <w:lang w:val="sr-Latn-ME"/>
        </w:rPr>
        <w:t>eka Panadol Advance.</w:t>
      </w:r>
    </w:p>
    <w:p w14:paraId="0B99AAFA" w14:textId="77777777" w:rsidR="008A5B3C" w:rsidRPr="009602D1" w:rsidRDefault="008A5B3C" w:rsidP="004018B4">
      <w:pPr>
        <w:jc w:val="both"/>
        <w:rPr>
          <w:sz w:val="22"/>
          <w:szCs w:val="22"/>
          <w:lang w:val="sr-Latn-ME"/>
        </w:rPr>
      </w:pPr>
    </w:p>
    <w:p w14:paraId="7BAF8934" w14:textId="51739BD2" w:rsidR="00C33F48" w:rsidRPr="009602D1" w:rsidRDefault="008A5B3C" w:rsidP="004018B4">
      <w:pPr>
        <w:pStyle w:val="Header"/>
        <w:tabs>
          <w:tab w:val="left" w:pos="284"/>
          <w:tab w:val="left" w:pos="8505"/>
        </w:tabs>
        <w:spacing w:before="80" w:after="80"/>
        <w:ind w:right="1"/>
        <w:jc w:val="both"/>
        <w:rPr>
          <w:bCs/>
          <w:sz w:val="22"/>
          <w:szCs w:val="22"/>
          <w:lang w:val="sr-Latn-ME"/>
        </w:rPr>
      </w:pPr>
      <w:r w:rsidRPr="009602D1">
        <w:rPr>
          <w:sz w:val="22"/>
          <w:szCs w:val="22"/>
          <w:lang w:val="sr-Latn-ME"/>
        </w:rPr>
        <w:t>Lijek Panadol Advance primijenjen u dozi od 1000 mg, pokazao je značajnije ublažavanje bola u poređenju sa dozom od 500 mg, kao i u odnosu na placebo. Lijek Panadol Advance, primijenjen u dozi od 500 mg, takođe je pokazao značajnije ublažavanje bola u odnosu na placebo.</w:t>
      </w:r>
      <w:r w:rsidRPr="009602D1" w:rsidDel="008A5B3C">
        <w:rPr>
          <w:bCs/>
          <w:sz w:val="22"/>
          <w:szCs w:val="22"/>
          <w:lang w:val="sr-Latn-ME"/>
        </w:rPr>
        <w:t xml:space="preserve"> </w:t>
      </w:r>
    </w:p>
    <w:p w14:paraId="407F50D5" w14:textId="77777777" w:rsidR="002E37A5" w:rsidRPr="009602D1" w:rsidRDefault="002E37A5" w:rsidP="004018B4">
      <w:pPr>
        <w:tabs>
          <w:tab w:val="left" w:pos="540"/>
          <w:tab w:val="left" w:pos="569"/>
        </w:tabs>
        <w:jc w:val="both"/>
        <w:rPr>
          <w:b/>
          <w:bCs/>
          <w:sz w:val="22"/>
          <w:szCs w:val="22"/>
          <w:lang w:val="sr-Latn-ME"/>
        </w:rPr>
      </w:pPr>
    </w:p>
    <w:p w14:paraId="407F50D6" w14:textId="77777777" w:rsidR="0072020E" w:rsidRPr="009602D1" w:rsidRDefault="0072020E" w:rsidP="004018B4">
      <w:pPr>
        <w:tabs>
          <w:tab w:val="left" w:pos="540"/>
          <w:tab w:val="left" w:pos="569"/>
        </w:tabs>
        <w:jc w:val="both"/>
        <w:rPr>
          <w:b/>
          <w:bCs/>
          <w:sz w:val="22"/>
          <w:szCs w:val="22"/>
          <w:lang w:val="sr-Latn-ME"/>
        </w:rPr>
      </w:pPr>
      <w:r w:rsidRPr="009602D1">
        <w:rPr>
          <w:b/>
          <w:bCs/>
          <w:sz w:val="22"/>
          <w:szCs w:val="22"/>
          <w:lang w:val="sr-Latn-ME"/>
        </w:rPr>
        <w:t xml:space="preserve">5.2. </w:t>
      </w:r>
      <w:r w:rsidR="00480FB1" w:rsidRPr="009602D1">
        <w:rPr>
          <w:b/>
          <w:bCs/>
          <w:sz w:val="22"/>
          <w:szCs w:val="22"/>
          <w:lang w:val="sr-Latn-ME"/>
        </w:rPr>
        <w:tab/>
      </w:r>
      <w:r w:rsidRPr="009602D1">
        <w:rPr>
          <w:b/>
          <w:bCs/>
          <w:sz w:val="22"/>
          <w:szCs w:val="22"/>
          <w:lang w:val="sr-Latn-ME"/>
        </w:rPr>
        <w:t>Farmakokinetički podaci</w:t>
      </w:r>
      <w:r w:rsidR="003A7059" w:rsidRPr="009602D1">
        <w:rPr>
          <w:b/>
          <w:bCs/>
          <w:sz w:val="22"/>
          <w:szCs w:val="22"/>
          <w:lang w:val="sr-Latn-ME"/>
        </w:rPr>
        <w:t xml:space="preserve"> </w:t>
      </w:r>
    </w:p>
    <w:p w14:paraId="08A30E22" w14:textId="77777777" w:rsidR="00CB796B" w:rsidRPr="009602D1" w:rsidRDefault="00CB796B" w:rsidP="004018B4">
      <w:pPr>
        <w:tabs>
          <w:tab w:val="left" w:pos="720"/>
        </w:tabs>
        <w:jc w:val="both"/>
        <w:rPr>
          <w:sz w:val="22"/>
          <w:szCs w:val="22"/>
          <w:lang w:val="sr-Latn-ME"/>
        </w:rPr>
      </w:pPr>
    </w:p>
    <w:p w14:paraId="1AF90C47" w14:textId="77777777" w:rsidR="008A5B3C" w:rsidRPr="009602D1" w:rsidRDefault="00CB796B" w:rsidP="004018B4">
      <w:pPr>
        <w:tabs>
          <w:tab w:val="left" w:pos="720"/>
        </w:tabs>
        <w:jc w:val="both"/>
        <w:rPr>
          <w:sz w:val="22"/>
          <w:szCs w:val="22"/>
          <w:lang w:val="sr-Latn-ME"/>
        </w:rPr>
      </w:pPr>
      <w:r w:rsidRPr="009602D1">
        <w:rPr>
          <w:sz w:val="22"/>
          <w:szCs w:val="22"/>
          <w:lang w:val="sr-Latn-ME"/>
        </w:rPr>
        <w:t xml:space="preserve">Paracetamol se brzo i u potpunosti resorbuje iz digestivnog trakta. </w:t>
      </w:r>
    </w:p>
    <w:p w14:paraId="09325825" w14:textId="77777777" w:rsidR="008A5B3C" w:rsidRPr="009602D1" w:rsidRDefault="008A5B3C" w:rsidP="004018B4">
      <w:pPr>
        <w:tabs>
          <w:tab w:val="left" w:pos="720"/>
        </w:tabs>
        <w:jc w:val="both"/>
        <w:rPr>
          <w:sz w:val="22"/>
          <w:szCs w:val="22"/>
          <w:lang w:val="sr-Latn-ME"/>
        </w:rPr>
      </w:pPr>
    </w:p>
    <w:p w14:paraId="5851BF75" w14:textId="77777777" w:rsidR="008A5B3C" w:rsidRPr="009602D1" w:rsidRDefault="008A5B3C" w:rsidP="004018B4">
      <w:pPr>
        <w:jc w:val="both"/>
        <w:rPr>
          <w:sz w:val="22"/>
          <w:szCs w:val="22"/>
          <w:lang w:val="sr-Latn-ME"/>
        </w:rPr>
      </w:pPr>
      <w:r w:rsidRPr="009602D1">
        <w:rPr>
          <w:sz w:val="22"/>
          <w:szCs w:val="22"/>
          <w:lang w:val="sr-Latn-ME"/>
        </w:rPr>
        <w:t>Rezultati farmakokinetičkih studija kod ljudi pokazuju da je resorpcija paracetamola u ranim fazama (frakcija doze koja se resorbuje u prvih 60 minuta) za 32 % veća iz tableta Panadol Advance u poređenju sa standardnim tabletama paracetamola (p&lt;0,0001). Takođe, nakon uzimanja tableta Panadol Advance u ranim fazama resorpcije, značajno je manja intraindividualna varijabilnost koncentracija u poređenju sa standardnim tabletama paracetamola (p&lt;0,0001).</w:t>
      </w:r>
    </w:p>
    <w:p w14:paraId="532ACFC2" w14:textId="77777777" w:rsidR="008A5B3C" w:rsidRPr="009602D1" w:rsidRDefault="008A5B3C" w:rsidP="004018B4">
      <w:pPr>
        <w:jc w:val="both"/>
        <w:rPr>
          <w:sz w:val="22"/>
          <w:szCs w:val="22"/>
          <w:lang w:val="sr-Latn-ME"/>
        </w:rPr>
      </w:pPr>
    </w:p>
    <w:p w14:paraId="2C7120AA" w14:textId="6AC6F155" w:rsidR="008A5B3C" w:rsidRPr="009602D1" w:rsidRDefault="008A5B3C" w:rsidP="004018B4">
      <w:pPr>
        <w:jc w:val="both"/>
        <w:rPr>
          <w:sz w:val="22"/>
          <w:szCs w:val="22"/>
          <w:lang w:val="sr-Latn-ME"/>
        </w:rPr>
      </w:pPr>
      <w:r w:rsidRPr="009602D1">
        <w:rPr>
          <w:sz w:val="22"/>
          <w:szCs w:val="22"/>
          <w:lang w:val="sr-Latn-ME"/>
        </w:rPr>
        <w:t>Podaci iz farmakokinetičkih studija kod ljudi pokazuju da se maksimalna vrijednost koncentracije paracetamola u plazmi postiže nakon uzimanja l</w:t>
      </w:r>
      <w:r w:rsidR="00611D25" w:rsidRPr="009602D1">
        <w:rPr>
          <w:sz w:val="22"/>
          <w:szCs w:val="22"/>
          <w:lang w:val="sr-Latn-ME"/>
        </w:rPr>
        <w:t>ij</w:t>
      </w:r>
      <w:r w:rsidRPr="009602D1">
        <w:rPr>
          <w:sz w:val="22"/>
          <w:szCs w:val="22"/>
          <w:lang w:val="sr-Latn-ME"/>
        </w:rPr>
        <w:t>eka natašte ili posl</w:t>
      </w:r>
      <w:r w:rsidR="008E65C6" w:rsidRPr="009602D1">
        <w:rPr>
          <w:sz w:val="22"/>
          <w:szCs w:val="22"/>
          <w:lang w:val="sr-Latn-ME"/>
        </w:rPr>
        <w:t>ij</w:t>
      </w:r>
      <w:r w:rsidRPr="009602D1">
        <w:rPr>
          <w:sz w:val="22"/>
          <w:szCs w:val="22"/>
          <w:lang w:val="sr-Latn-ME"/>
        </w:rPr>
        <w:t>e obroka, bar 25 % brže nakon uzimanja tableta Panadol Advance u odnosu na standardne tablete paracetamola (p&lt;0,01).</w:t>
      </w:r>
    </w:p>
    <w:p w14:paraId="0AFEF5C6" w14:textId="77777777" w:rsidR="008A5B3C" w:rsidRPr="009602D1" w:rsidRDefault="008A5B3C" w:rsidP="004018B4">
      <w:pPr>
        <w:jc w:val="both"/>
        <w:rPr>
          <w:sz w:val="22"/>
          <w:szCs w:val="22"/>
          <w:lang w:val="sr-Latn-ME"/>
        </w:rPr>
      </w:pPr>
    </w:p>
    <w:p w14:paraId="72276280" w14:textId="22BAC5E9" w:rsidR="008A5B3C" w:rsidRPr="009602D1" w:rsidRDefault="008A5B3C" w:rsidP="004018B4">
      <w:pPr>
        <w:jc w:val="both"/>
        <w:rPr>
          <w:sz w:val="22"/>
          <w:szCs w:val="22"/>
          <w:lang w:val="sr-Latn-ME"/>
        </w:rPr>
      </w:pPr>
      <w:r w:rsidRPr="009602D1">
        <w:rPr>
          <w:sz w:val="22"/>
          <w:szCs w:val="22"/>
          <w:lang w:val="sr-Latn-ME"/>
        </w:rPr>
        <w:t>Stepen resorpcije paracetamola nakon uzimanja tableta lijeka Panadol Advance ekvivalentan je stepenu resorpcije paracetamola nakon uzimanja standardne tablete paracetamola.</w:t>
      </w:r>
    </w:p>
    <w:p w14:paraId="6BFAC3D4" w14:textId="77777777" w:rsidR="008A5B3C" w:rsidRPr="009602D1" w:rsidRDefault="008A5B3C" w:rsidP="004018B4">
      <w:pPr>
        <w:jc w:val="both"/>
        <w:rPr>
          <w:sz w:val="22"/>
          <w:szCs w:val="22"/>
          <w:lang w:val="sr-Latn-ME"/>
        </w:rPr>
      </w:pPr>
    </w:p>
    <w:p w14:paraId="0E379B9F" w14:textId="3778399F" w:rsidR="008A5B3C" w:rsidRPr="009602D1" w:rsidRDefault="008A5B3C" w:rsidP="004018B4">
      <w:pPr>
        <w:jc w:val="both"/>
        <w:rPr>
          <w:sz w:val="22"/>
          <w:szCs w:val="22"/>
          <w:lang w:val="sr-Latn-ME"/>
        </w:rPr>
      </w:pPr>
      <w:r w:rsidRPr="009602D1">
        <w:rPr>
          <w:sz w:val="22"/>
          <w:szCs w:val="22"/>
          <w:lang w:val="sr-Latn-ME"/>
        </w:rPr>
        <w:t>Podaci scintigrafijskih studija kod ljudi ukazuju da tablete lijeka Panadol Advance počinju da se dezintegrišu već 5 minuta nakon prim</w:t>
      </w:r>
      <w:r w:rsidR="00611D25" w:rsidRPr="009602D1">
        <w:rPr>
          <w:sz w:val="22"/>
          <w:szCs w:val="22"/>
          <w:lang w:val="sr-Latn-ME"/>
        </w:rPr>
        <w:t>j</w:t>
      </w:r>
      <w:r w:rsidRPr="009602D1">
        <w:rPr>
          <w:sz w:val="22"/>
          <w:szCs w:val="22"/>
          <w:lang w:val="sr-Latn-ME"/>
        </w:rPr>
        <w:t>ene doze. Farmakokinetička istraživanja ukazuju da se mjerljive koncetracije paracetamola javljaju u krvi već 10 minuta od uzimanja lijeka.</w:t>
      </w:r>
    </w:p>
    <w:p w14:paraId="0659E321" w14:textId="77777777" w:rsidR="008A5B3C" w:rsidRPr="009602D1" w:rsidRDefault="008A5B3C" w:rsidP="004018B4">
      <w:pPr>
        <w:jc w:val="both"/>
        <w:rPr>
          <w:sz w:val="22"/>
          <w:szCs w:val="22"/>
          <w:lang w:val="sr-Latn-ME"/>
        </w:rPr>
      </w:pPr>
    </w:p>
    <w:p w14:paraId="416B1D97" w14:textId="27C5BD13" w:rsidR="008A5B3C" w:rsidRPr="009602D1" w:rsidRDefault="008A5B3C" w:rsidP="004018B4">
      <w:pPr>
        <w:jc w:val="both"/>
        <w:rPr>
          <w:sz w:val="22"/>
          <w:szCs w:val="22"/>
          <w:lang w:val="sr-Latn-ME"/>
        </w:rPr>
      </w:pPr>
      <w:r w:rsidRPr="009602D1">
        <w:rPr>
          <w:sz w:val="22"/>
          <w:szCs w:val="22"/>
          <w:lang w:val="sr-Latn-ME"/>
        </w:rPr>
        <w:t>Maksimalna vrijednost koncentracije paracetamola u plazmi javlja se 30-60 minuta nakon uzimanja lijeka Panadol Advance. Vezivanje za proteine plazme je varijabilno. Poluvr</w:t>
      </w:r>
      <w:r w:rsidR="00611D25" w:rsidRPr="009602D1">
        <w:rPr>
          <w:sz w:val="22"/>
          <w:szCs w:val="22"/>
          <w:lang w:val="sr-Latn-ME"/>
        </w:rPr>
        <w:t>ij</w:t>
      </w:r>
      <w:r w:rsidRPr="009602D1">
        <w:rPr>
          <w:sz w:val="22"/>
          <w:szCs w:val="22"/>
          <w:lang w:val="sr-Latn-ME"/>
        </w:rPr>
        <w:t>eme eliminacije iznosi 1-4 sata. Maksimalna vr</w:t>
      </w:r>
      <w:r w:rsidR="00611D25" w:rsidRPr="009602D1">
        <w:rPr>
          <w:sz w:val="22"/>
          <w:szCs w:val="22"/>
          <w:lang w:val="sr-Latn-ME"/>
        </w:rPr>
        <w:t>ij</w:t>
      </w:r>
      <w:r w:rsidRPr="009602D1">
        <w:rPr>
          <w:sz w:val="22"/>
          <w:szCs w:val="22"/>
          <w:lang w:val="sr-Latn-ME"/>
        </w:rPr>
        <w:t>ednost koncentracije paracetamola u plazmi, nakon uzimanja lijeka natašte ili posl</w:t>
      </w:r>
      <w:r w:rsidR="008E65C6" w:rsidRPr="009602D1">
        <w:rPr>
          <w:sz w:val="22"/>
          <w:szCs w:val="22"/>
          <w:lang w:val="sr-Latn-ME"/>
        </w:rPr>
        <w:t>ij</w:t>
      </w:r>
      <w:r w:rsidRPr="009602D1">
        <w:rPr>
          <w:sz w:val="22"/>
          <w:szCs w:val="22"/>
          <w:lang w:val="sr-Latn-ME"/>
        </w:rPr>
        <w:t>e obroka se postiže brže kod lijeka Panadol Advance u poređenju sa standardnim, tabletama paracetamola (p&lt;0,01).</w:t>
      </w:r>
    </w:p>
    <w:p w14:paraId="455AF0F6" w14:textId="77777777" w:rsidR="008A5B3C" w:rsidRPr="009602D1" w:rsidRDefault="008A5B3C" w:rsidP="004018B4">
      <w:pPr>
        <w:jc w:val="both"/>
        <w:rPr>
          <w:sz w:val="22"/>
          <w:szCs w:val="22"/>
          <w:lang w:val="sr-Latn-ME"/>
        </w:rPr>
      </w:pPr>
    </w:p>
    <w:p w14:paraId="4CDAF5AB" w14:textId="34EC5ADB" w:rsidR="008A5B3C" w:rsidRPr="009602D1" w:rsidRDefault="008A5B3C" w:rsidP="004018B4">
      <w:pPr>
        <w:jc w:val="both"/>
        <w:rPr>
          <w:sz w:val="22"/>
          <w:szCs w:val="22"/>
          <w:lang w:val="sr-Latn-ME"/>
        </w:rPr>
      </w:pPr>
      <w:r w:rsidRPr="009602D1">
        <w:rPr>
          <w:sz w:val="22"/>
          <w:szCs w:val="22"/>
          <w:lang w:val="sr-Latn-ME"/>
        </w:rPr>
        <w:t>Paracetamol se relativno ravnomjerno raspodjeljuje putem skoro svih tjelesnih tečnosti.</w:t>
      </w:r>
    </w:p>
    <w:p w14:paraId="070F74F8" w14:textId="77777777" w:rsidR="008A5B3C" w:rsidRPr="009602D1" w:rsidRDefault="008A5B3C" w:rsidP="004018B4">
      <w:pPr>
        <w:jc w:val="both"/>
        <w:rPr>
          <w:sz w:val="22"/>
          <w:szCs w:val="22"/>
          <w:lang w:val="sr-Latn-ME"/>
        </w:rPr>
      </w:pPr>
    </w:p>
    <w:p w14:paraId="442DFEEA" w14:textId="36386F84" w:rsidR="00CB796B" w:rsidRPr="009602D1" w:rsidRDefault="008A5B3C" w:rsidP="004018B4">
      <w:pPr>
        <w:tabs>
          <w:tab w:val="left" w:pos="720"/>
        </w:tabs>
        <w:jc w:val="both"/>
        <w:rPr>
          <w:sz w:val="22"/>
          <w:szCs w:val="22"/>
          <w:lang w:val="sr-Latn-ME"/>
        </w:rPr>
      </w:pPr>
      <w:r w:rsidRPr="009602D1">
        <w:rPr>
          <w:sz w:val="22"/>
          <w:szCs w:val="22"/>
          <w:lang w:val="sr-Latn-ME"/>
        </w:rPr>
        <w:t>Paracetamol se izlučuje skoro potpuno putem bubrega u obliku konjugovanih metabolita</w:t>
      </w:r>
    </w:p>
    <w:p w14:paraId="407F50D7" w14:textId="77777777" w:rsidR="0072020E" w:rsidRPr="009602D1" w:rsidRDefault="0072020E" w:rsidP="004018B4">
      <w:pPr>
        <w:tabs>
          <w:tab w:val="left" w:pos="540"/>
          <w:tab w:val="left" w:pos="569"/>
        </w:tabs>
        <w:jc w:val="both"/>
        <w:rPr>
          <w:bCs/>
          <w:sz w:val="22"/>
          <w:szCs w:val="22"/>
          <w:lang w:val="sr-Latn-ME"/>
        </w:rPr>
      </w:pPr>
    </w:p>
    <w:p w14:paraId="407F50D8" w14:textId="45641BBE" w:rsidR="0072020E" w:rsidRPr="009602D1" w:rsidRDefault="0072020E" w:rsidP="004018B4">
      <w:pPr>
        <w:tabs>
          <w:tab w:val="left" w:pos="540"/>
          <w:tab w:val="left" w:pos="569"/>
        </w:tabs>
        <w:jc w:val="both"/>
        <w:rPr>
          <w:b/>
          <w:bCs/>
          <w:sz w:val="22"/>
          <w:szCs w:val="22"/>
          <w:lang w:val="sr-Latn-ME"/>
        </w:rPr>
      </w:pPr>
      <w:r w:rsidRPr="009602D1">
        <w:rPr>
          <w:b/>
          <w:bCs/>
          <w:sz w:val="22"/>
          <w:szCs w:val="22"/>
          <w:lang w:val="sr-Latn-ME"/>
        </w:rPr>
        <w:t xml:space="preserve">5.3. </w:t>
      </w:r>
      <w:r w:rsidR="00480FB1" w:rsidRPr="009602D1">
        <w:rPr>
          <w:b/>
          <w:bCs/>
          <w:sz w:val="22"/>
          <w:szCs w:val="22"/>
          <w:lang w:val="sr-Latn-ME"/>
        </w:rPr>
        <w:tab/>
      </w:r>
      <w:r w:rsidRPr="009602D1">
        <w:rPr>
          <w:b/>
          <w:bCs/>
          <w:sz w:val="22"/>
          <w:szCs w:val="22"/>
          <w:lang w:val="sr-Latn-ME"/>
        </w:rPr>
        <w:t xml:space="preserve">Pretklinički podaci o bezbjednosti </w:t>
      </w:r>
    </w:p>
    <w:p w14:paraId="407F50D9" w14:textId="77777777" w:rsidR="00836B35" w:rsidRPr="009602D1" w:rsidRDefault="00836B35" w:rsidP="004018B4">
      <w:pPr>
        <w:tabs>
          <w:tab w:val="left" w:pos="540"/>
          <w:tab w:val="left" w:pos="569"/>
        </w:tabs>
        <w:jc w:val="both"/>
        <w:rPr>
          <w:bCs/>
          <w:sz w:val="22"/>
          <w:szCs w:val="22"/>
          <w:lang w:val="sr-Latn-ME"/>
        </w:rPr>
      </w:pPr>
    </w:p>
    <w:p w14:paraId="23EB0509" w14:textId="57F7AA8E" w:rsidR="00E65A5B" w:rsidRPr="009602D1" w:rsidRDefault="00E65A5B" w:rsidP="00EE07B1">
      <w:pPr>
        <w:tabs>
          <w:tab w:val="left" w:pos="284"/>
        </w:tabs>
        <w:jc w:val="both"/>
        <w:rPr>
          <w:sz w:val="22"/>
          <w:szCs w:val="22"/>
          <w:lang w:val="sr-Latn-ME"/>
        </w:rPr>
      </w:pPr>
      <w:r w:rsidRPr="009602D1">
        <w:rPr>
          <w:sz w:val="22"/>
          <w:szCs w:val="22"/>
          <w:lang w:val="sr-Latn-ME"/>
        </w:rPr>
        <w:t xml:space="preserve"> Konvencionalne studije koje koriste trenutno odobreni standard za evaluaciju toksičnosti na reprodukciju i razvoj ni</w:t>
      </w:r>
      <w:r w:rsidR="00611D25" w:rsidRPr="009602D1">
        <w:rPr>
          <w:sz w:val="22"/>
          <w:szCs w:val="22"/>
          <w:lang w:val="sr-Latn-ME"/>
        </w:rPr>
        <w:t>je</w:t>
      </w:r>
      <w:r w:rsidRPr="009602D1">
        <w:rPr>
          <w:sz w:val="22"/>
          <w:szCs w:val="22"/>
          <w:lang w:val="sr-Latn-ME"/>
        </w:rPr>
        <w:t xml:space="preserve">su dostupne.  </w:t>
      </w:r>
    </w:p>
    <w:p w14:paraId="407F50DA" w14:textId="25A45A88" w:rsidR="00396DFD" w:rsidRPr="009602D1" w:rsidRDefault="00396DFD" w:rsidP="004018B4">
      <w:pPr>
        <w:tabs>
          <w:tab w:val="left" w:pos="540"/>
          <w:tab w:val="left" w:pos="569"/>
        </w:tabs>
        <w:jc w:val="both"/>
        <w:rPr>
          <w:b/>
          <w:bCs/>
          <w:sz w:val="22"/>
          <w:szCs w:val="22"/>
          <w:lang w:val="sr-Latn-ME"/>
        </w:rPr>
      </w:pPr>
    </w:p>
    <w:p w14:paraId="2D31DCCD" w14:textId="77777777" w:rsidR="00911EA3" w:rsidRPr="009602D1" w:rsidRDefault="00911EA3" w:rsidP="004018B4">
      <w:pPr>
        <w:tabs>
          <w:tab w:val="left" w:pos="540"/>
          <w:tab w:val="left" w:pos="569"/>
        </w:tabs>
        <w:jc w:val="both"/>
        <w:rPr>
          <w:b/>
          <w:bCs/>
          <w:sz w:val="22"/>
          <w:szCs w:val="22"/>
          <w:lang w:val="sr-Latn-ME"/>
        </w:rPr>
      </w:pPr>
    </w:p>
    <w:p w14:paraId="407F50DB" w14:textId="77777777" w:rsidR="0072020E" w:rsidRPr="009602D1" w:rsidRDefault="0072020E" w:rsidP="00480FB1">
      <w:pPr>
        <w:tabs>
          <w:tab w:val="left" w:pos="540"/>
          <w:tab w:val="left" w:pos="569"/>
        </w:tabs>
        <w:rPr>
          <w:b/>
          <w:bCs/>
          <w:sz w:val="22"/>
          <w:szCs w:val="22"/>
          <w:lang w:val="sr-Latn-ME"/>
        </w:rPr>
      </w:pPr>
      <w:r w:rsidRPr="009602D1">
        <w:rPr>
          <w:b/>
          <w:bCs/>
          <w:sz w:val="22"/>
          <w:szCs w:val="22"/>
          <w:lang w:val="sr-Latn-ME"/>
        </w:rPr>
        <w:t xml:space="preserve">6. </w:t>
      </w:r>
      <w:r w:rsidR="00480FB1" w:rsidRPr="009602D1">
        <w:rPr>
          <w:b/>
          <w:bCs/>
          <w:sz w:val="22"/>
          <w:szCs w:val="22"/>
          <w:lang w:val="sr-Latn-ME"/>
        </w:rPr>
        <w:tab/>
      </w:r>
      <w:r w:rsidRPr="009602D1">
        <w:rPr>
          <w:b/>
          <w:bCs/>
          <w:sz w:val="22"/>
          <w:szCs w:val="22"/>
          <w:lang w:val="sr-Latn-ME"/>
        </w:rPr>
        <w:t>FARMACEUTSKI PODACI</w:t>
      </w:r>
    </w:p>
    <w:p w14:paraId="407F50DC" w14:textId="77777777" w:rsidR="00836B35" w:rsidRPr="009602D1" w:rsidRDefault="00836B35" w:rsidP="00480FB1">
      <w:pPr>
        <w:tabs>
          <w:tab w:val="left" w:pos="540"/>
          <w:tab w:val="left" w:pos="569"/>
        </w:tabs>
        <w:rPr>
          <w:bCs/>
          <w:sz w:val="22"/>
          <w:szCs w:val="22"/>
          <w:lang w:val="sr-Latn-ME"/>
        </w:rPr>
      </w:pPr>
    </w:p>
    <w:p w14:paraId="407F50DD" w14:textId="03519490" w:rsidR="0072020E" w:rsidRPr="009602D1" w:rsidRDefault="0072020E" w:rsidP="00480FB1">
      <w:pPr>
        <w:tabs>
          <w:tab w:val="left" w:pos="540"/>
          <w:tab w:val="left" w:pos="569"/>
        </w:tabs>
        <w:rPr>
          <w:b/>
          <w:bCs/>
          <w:sz w:val="22"/>
          <w:szCs w:val="22"/>
          <w:lang w:val="sr-Latn-ME"/>
        </w:rPr>
      </w:pPr>
      <w:r w:rsidRPr="009602D1">
        <w:rPr>
          <w:b/>
          <w:bCs/>
          <w:sz w:val="22"/>
          <w:szCs w:val="22"/>
          <w:lang w:val="sr-Latn-ME"/>
        </w:rPr>
        <w:t xml:space="preserve">6.1. </w:t>
      </w:r>
      <w:r w:rsidR="00480FB1" w:rsidRPr="009602D1">
        <w:rPr>
          <w:b/>
          <w:bCs/>
          <w:sz w:val="22"/>
          <w:szCs w:val="22"/>
          <w:lang w:val="sr-Latn-ME"/>
        </w:rPr>
        <w:tab/>
      </w:r>
      <w:r w:rsidRPr="009602D1">
        <w:rPr>
          <w:b/>
          <w:bCs/>
          <w:sz w:val="22"/>
          <w:szCs w:val="22"/>
          <w:lang w:val="sr-Latn-ME"/>
        </w:rPr>
        <w:t>Lista pomoćnih supstanci</w:t>
      </w:r>
      <w:r w:rsidR="002E0135" w:rsidRPr="009602D1">
        <w:rPr>
          <w:b/>
          <w:bCs/>
          <w:sz w:val="22"/>
          <w:szCs w:val="22"/>
          <w:lang w:val="sr-Latn-ME"/>
        </w:rPr>
        <w:t xml:space="preserve"> (ekscipijenasa)</w:t>
      </w:r>
    </w:p>
    <w:p w14:paraId="6BBD093D" w14:textId="77777777" w:rsidR="00C33F48" w:rsidRPr="009602D1" w:rsidRDefault="00C33F48" w:rsidP="00480FB1">
      <w:pPr>
        <w:tabs>
          <w:tab w:val="left" w:pos="540"/>
          <w:tab w:val="left" w:pos="569"/>
        </w:tabs>
        <w:rPr>
          <w:b/>
          <w:bCs/>
          <w:sz w:val="22"/>
          <w:szCs w:val="22"/>
          <w:lang w:val="sr-Latn-ME"/>
        </w:rPr>
      </w:pPr>
    </w:p>
    <w:p w14:paraId="780558BB" w14:textId="77777777" w:rsidR="008A5B3C" w:rsidRPr="009602D1" w:rsidRDefault="008A5B3C" w:rsidP="008A5B3C">
      <w:pPr>
        <w:rPr>
          <w:sz w:val="22"/>
          <w:szCs w:val="22"/>
          <w:lang w:val="sr-Latn-ME"/>
        </w:rPr>
      </w:pPr>
      <w:r w:rsidRPr="009602D1">
        <w:rPr>
          <w:sz w:val="22"/>
          <w:szCs w:val="22"/>
          <w:u w:val="single"/>
          <w:lang w:val="sr-Latn-ME"/>
        </w:rPr>
        <w:t>Jezgro tablete</w:t>
      </w:r>
    </w:p>
    <w:p w14:paraId="002A033C" w14:textId="5028EF1A" w:rsidR="008A5B3C" w:rsidRPr="009602D1" w:rsidRDefault="008A5B3C" w:rsidP="008A5B3C">
      <w:pPr>
        <w:pStyle w:val="Header"/>
        <w:tabs>
          <w:tab w:val="left" w:pos="284"/>
        </w:tabs>
        <w:rPr>
          <w:bCs/>
          <w:sz w:val="22"/>
          <w:szCs w:val="22"/>
          <w:lang w:val="sr-Latn-ME"/>
        </w:rPr>
      </w:pPr>
      <w:r w:rsidRPr="009602D1">
        <w:rPr>
          <w:bCs/>
          <w:sz w:val="22"/>
          <w:szCs w:val="22"/>
          <w:lang w:val="sr-Latn-ME"/>
        </w:rPr>
        <w:t>skrob, preželatinizovan</w:t>
      </w:r>
      <w:r w:rsidR="00911EA3" w:rsidRPr="009602D1">
        <w:rPr>
          <w:bCs/>
          <w:sz w:val="22"/>
          <w:szCs w:val="22"/>
          <w:lang w:val="sr-Latn-ME"/>
        </w:rPr>
        <w:t>i</w:t>
      </w:r>
    </w:p>
    <w:p w14:paraId="66CACDAA" w14:textId="3197C1DF" w:rsidR="008A5B3C" w:rsidRPr="009602D1" w:rsidRDefault="008A5B3C" w:rsidP="008A5B3C">
      <w:pPr>
        <w:pStyle w:val="Header"/>
        <w:tabs>
          <w:tab w:val="left" w:pos="284"/>
        </w:tabs>
        <w:rPr>
          <w:bCs/>
          <w:sz w:val="22"/>
          <w:szCs w:val="22"/>
          <w:lang w:val="sr-Latn-ME"/>
        </w:rPr>
      </w:pPr>
      <w:r w:rsidRPr="009602D1">
        <w:rPr>
          <w:bCs/>
          <w:sz w:val="22"/>
          <w:szCs w:val="22"/>
          <w:lang w:val="sr-Latn-ME"/>
        </w:rPr>
        <w:t>kalcijum</w:t>
      </w:r>
      <w:r w:rsidR="00911EA3" w:rsidRPr="009602D1">
        <w:rPr>
          <w:bCs/>
          <w:sz w:val="22"/>
          <w:szCs w:val="22"/>
          <w:lang w:val="sr-Latn-ME"/>
        </w:rPr>
        <w:t xml:space="preserve"> </w:t>
      </w:r>
      <w:r w:rsidRPr="009602D1">
        <w:rPr>
          <w:bCs/>
          <w:sz w:val="22"/>
          <w:szCs w:val="22"/>
          <w:lang w:val="sr-Latn-ME"/>
        </w:rPr>
        <w:t xml:space="preserve">karbonat </w:t>
      </w:r>
    </w:p>
    <w:p w14:paraId="0D40EDCC" w14:textId="77777777" w:rsidR="008A5B3C" w:rsidRPr="009602D1" w:rsidRDefault="008A5B3C" w:rsidP="008A5B3C">
      <w:pPr>
        <w:pStyle w:val="Header"/>
        <w:tabs>
          <w:tab w:val="left" w:pos="284"/>
        </w:tabs>
        <w:rPr>
          <w:bCs/>
          <w:sz w:val="22"/>
          <w:szCs w:val="22"/>
          <w:lang w:val="sr-Latn-ME"/>
        </w:rPr>
      </w:pPr>
      <w:r w:rsidRPr="009602D1">
        <w:rPr>
          <w:bCs/>
          <w:sz w:val="22"/>
          <w:szCs w:val="22"/>
          <w:lang w:val="sr-Latn-ME"/>
        </w:rPr>
        <w:t>alginska kiselina</w:t>
      </w:r>
    </w:p>
    <w:p w14:paraId="0EEF505A" w14:textId="77777777" w:rsidR="008A5B3C" w:rsidRPr="009602D1" w:rsidRDefault="008A5B3C" w:rsidP="008A5B3C">
      <w:pPr>
        <w:pStyle w:val="Header"/>
        <w:tabs>
          <w:tab w:val="left" w:pos="284"/>
        </w:tabs>
        <w:rPr>
          <w:bCs/>
          <w:sz w:val="22"/>
          <w:szCs w:val="22"/>
          <w:lang w:val="sr-Latn-ME"/>
        </w:rPr>
      </w:pPr>
      <w:r w:rsidRPr="009602D1">
        <w:rPr>
          <w:bCs/>
          <w:sz w:val="22"/>
          <w:szCs w:val="22"/>
          <w:lang w:val="sr-Latn-ME"/>
        </w:rPr>
        <w:t>krospovidon</w:t>
      </w:r>
    </w:p>
    <w:p w14:paraId="0DEA4ABD" w14:textId="77777777" w:rsidR="008A5B3C" w:rsidRPr="009602D1" w:rsidRDefault="008A5B3C" w:rsidP="008A5B3C">
      <w:pPr>
        <w:pStyle w:val="Header"/>
        <w:tabs>
          <w:tab w:val="left" w:pos="284"/>
        </w:tabs>
        <w:rPr>
          <w:bCs/>
          <w:sz w:val="22"/>
          <w:szCs w:val="22"/>
          <w:lang w:val="sr-Latn-ME"/>
        </w:rPr>
      </w:pPr>
      <w:r w:rsidRPr="009602D1">
        <w:rPr>
          <w:bCs/>
          <w:sz w:val="22"/>
          <w:szCs w:val="22"/>
          <w:lang w:val="sr-Latn-ME"/>
        </w:rPr>
        <w:t>povidon (K-25)</w:t>
      </w:r>
    </w:p>
    <w:p w14:paraId="7041F76B" w14:textId="25F54AA0" w:rsidR="008A5B3C" w:rsidRPr="009602D1" w:rsidRDefault="008A5B3C" w:rsidP="008A5B3C">
      <w:pPr>
        <w:pStyle w:val="Header"/>
        <w:tabs>
          <w:tab w:val="left" w:pos="284"/>
        </w:tabs>
        <w:rPr>
          <w:bCs/>
          <w:sz w:val="22"/>
          <w:szCs w:val="22"/>
          <w:lang w:val="sr-Latn-ME"/>
        </w:rPr>
      </w:pPr>
      <w:r w:rsidRPr="009602D1">
        <w:rPr>
          <w:bCs/>
          <w:sz w:val="22"/>
          <w:szCs w:val="22"/>
          <w:lang w:val="sr-Latn-ME"/>
        </w:rPr>
        <w:t>magnezijum</w:t>
      </w:r>
      <w:r w:rsidR="00911EA3" w:rsidRPr="009602D1">
        <w:rPr>
          <w:bCs/>
          <w:sz w:val="22"/>
          <w:szCs w:val="22"/>
          <w:lang w:val="sr-Latn-ME"/>
        </w:rPr>
        <w:t xml:space="preserve"> </w:t>
      </w:r>
      <w:r w:rsidRPr="009602D1">
        <w:rPr>
          <w:bCs/>
          <w:sz w:val="22"/>
          <w:szCs w:val="22"/>
          <w:lang w:val="sr-Latn-ME"/>
        </w:rPr>
        <w:t xml:space="preserve">stearat </w:t>
      </w:r>
    </w:p>
    <w:p w14:paraId="2DBDBE01" w14:textId="4E3CA1F5" w:rsidR="008A5B3C" w:rsidRPr="009602D1" w:rsidRDefault="008A5B3C" w:rsidP="008A5B3C">
      <w:pPr>
        <w:rPr>
          <w:bCs/>
          <w:sz w:val="22"/>
          <w:szCs w:val="22"/>
          <w:lang w:val="sr-Latn-ME"/>
        </w:rPr>
      </w:pPr>
      <w:r w:rsidRPr="009602D1">
        <w:rPr>
          <w:bCs/>
          <w:sz w:val="22"/>
          <w:szCs w:val="22"/>
          <w:lang w:val="sr-Latn-ME"/>
        </w:rPr>
        <w:t>silicijum</w:t>
      </w:r>
      <w:r w:rsidR="00911EA3" w:rsidRPr="009602D1">
        <w:rPr>
          <w:bCs/>
          <w:sz w:val="22"/>
          <w:szCs w:val="22"/>
          <w:lang w:val="sr-Latn-ME"/>
        </w:rPr>
        <w:t xml:space="preserve"> </w:t>
      </w:r>
      <w:r w:rsidRPr="009602D1">
        <w:rPr>
          <w:bCs/>
          <w:sz w:val="22"/>
          <w:szCs w:val="22"/>
          <w:lang w:val="sr-Latn-ME"/>
        </w:rPr>
        <w:t>dioksid, koloidni, bezvodni</w:t>
      </w:r>
    </w:p>
    <w:p w14:paraId="632F0933" w14:textId="77777777" w:rsidR="008A5B3C" w:rsidRPr="009602D1" w:rsidRDefault="008A5B3C" w:rsidP="008A5B3C">
      <w:pPr>
        <w:pStyle w:val="Header"/>
        <w:tabs>
          <w:tab w:val="left" w:pos="284"/>
        </w:tabs>
        <w:rPr>
          <w:bCs/>
          <w:sz w:val="22"/>
          <w:szCs w:val="22"/>
          <w:u w:val="single"/>
          <w:lang w:val="sr-Latn-ME"/>
        </w:rPr>
      </w:pPr>
    </w:p>
    <w:p w14:paraId="1E80C564" w14:textId="77777777" w:rsidR="008A5B3C" w:rsidRPr="009602D1" w:rsidRDefault="008A5B3C" w:rsidP="008A5B3C">
      <w:pPr>
        <w:pStyle w:val="Header"/>
        <w:tabs>
          <w:tab w:val="left" w:pos="284"/>
        </w:tabs>
        <w:rPr>
          <w:bCs/>
          <w:sz w:val="22"/>
          <w:szCs w:val="22"/>
          <w:u w:val="single"/>
          <w:lang w:val="sr-Latn-ME"/>
        </w:rPr>
      </w:pPr>
      <w:r w:rsidRPr="009602D1">
        <w:rPr>
          <w:bCs/>
          <w:sz w:val="22"/>
          <w:szCs w:val="22"/>
          <w:u w:val="single"/>
          <w:lang w:val="sr-Latn-ME"/>
        </w:rPr>
        <w:t>Film obloga tablete</w:t>
      </w:r>
    </w:p>
    <w:p w14:paraId="4D215B54" w14:textId="77777777" w:rsidR="008A5B3C" w:rsidRPr="009602D1" w:rsidRDefault="008A5B3C" w:rsidP="008A5B3C">
      <w:pPr>
        <w:pStyle w:val="Header"/>
        <w:tabs>
          <w:tab w:val="left" w:pos="284"/>
        </w:tabs>
        <w:rPr>
          <w:bCs/>
          <w:sz w:val="22"/>
          <w:szCs w:val="22"/>
          <w:lang w:val="sr-Latn-ME"/>
        </w:rPr>
      </w:pPr>
      <w:r w:rsidRPr="009602D1">
        <w:rPr>
          <w:bCs/>
          <w:sz w:val="22"/>
          <w:szCs w:val="22"/>
          <w:lang w:val="sr-Latn-ME"/>
        </w:rPr>
        <w:t>karnauba vosak</w:t>
      </w:r>
    </w:p>
    <w:p w14:paraId="4ED8F1E9" w14:textId="28AF5601" w:rsidR="008A5B3C" w:rsidRPr="009602D1" w:rsidRDefault="008A5B3C" w:rsidP="008A5B3C">
      <w:pPr>
        <w:pStyle w:val="Header"/>
        <w:tabs>
          <w:tab w:val="left" w:pos="284"/>
        </w:tabs>
        <w:rPr>
          <w:bCs/>
          <w:lang w:val="sr-Latn-ME"/>
        </w:rPr>
      </w:pPr>
      <w:r w:rsidRPr="009602D1">
        <w:rPr>
          <w:bCs/>
          <w:i/>
          <w:iCs/>
          <w:sz w:val="22"/>
          <w:szCs w:val="22"/>
          <w:lang w:val="sr-Latn-ME"/>
        </w:rPr>
        <w:t>Opadry White (YS-1-7003):</w:t>
      </w:r>
      <w:r w:rsidR="00911EA3" w:rsidRPr="009602D1">
        <w:rPr>
          <w:bCs/>
          <w:sz w:val="22"/>
          <w:szCs w:val="22"/>
          <w:lang w:val="sr-Latn-ME"/>
        </w:rPr>
        <w:t xml:space="preserve"> </w:t>
      </w:r>
      <w:r w:rsidRPr="009602D1">
        <w:rPr>
          <w:bCs/>
          <w:sz w:val="22"/>
          <w:szCs w:val="22"/>
          <w:lang w:val="sr-Latn-ME"/>
        </w:rPr>
        <w:t>titan</w:t>
      </w:r>
      <w:r w:rsidR="00911EA3" w:rsidRPr="009602D1">
        <w:rPr>
          <w:bCs/>
          <w:sz w:val="22"/>
          <w:szCs w:val="22"/>
          <w:lang w:val="sr-Latn-ME"/>
        </w:rPr>
        <w:t xml:space="preserve"> </w:t>
      </w:r>
      <w:r w:rsidRPr="009602D1">
        <w:rPr>
          <w:bCs/>
          <w:sz w:val="22"/>
          <w:szCs w:val="22"/>
          <w:lang w:val="sr-Latn-ME"/>
        </w:rPr>
        <w:t>dioksid, hipromeloza, makrogol, polisorbat 80</w:t>
      </w:r>
      <w:r w:rsidRPr="009602D1">
        <w:rPr>
          <w:bCs/>
          <w:lang w:val="sr-Latn-ME"/>
        </w:rPr>
        <w:t xml:space="preserve">. </w:t>
      </w:r>
    </w:p>
    <w:p w14:paraId="407F50DE" w14:textId="77777777" w:rsidR="0072020E" w:rsidRPr="009602D1" w:rsidRDefault="0072020E" w:rsidP="00480FB1">
      <w:pPr>
        <w:tabs>
          <w:tab w:val="left" w:pos="540"/>
          <w:tab w:val="left" w:pos="569"/>
        </w:tabs>
        <w:rPr>
          <w:bCs/>
          <w:sz w:val="22"/>
          <w:szCs w:val="22"/>
          <w:lang w:val="sr-Latn-ME"/>
        </w:rPr>
      </w:pPr>
    </w:p>
    <w:p w14:paraId="407F50DF" w14:textId="77777777" w:rsidR="0072020E" w:rsidRPr="009602D1" w:rsidRDefault="0072020E" w:rsidP="00480FB1">
      <w:pPr>
        <w:tabs>
          <w:tab w:val="left" w:pos="540"/>
          <w:tab w:val="left" w:pos="569"/>
        </w:tabs>
        <w:rPr>
          <w:b/>
          <w:bCs/>
          <w:sz w:val="22"/>
          <w:szCs w:val="22"/>
          <w:lang w:val="sr-Latn-ME"/>
        </w:rPr>
      </w:pPr>
      <w:r w:rsidRPr="009602D1">
        <w:rPr>
          <w:b/>
          <w:bCs/>
          <w:sz w:val="22"/>
          <w:szCs w:val="22"/>
          <w:lang w:val="sr-Latn-ME"/>
        </w:rPr>
        <w:t xml:space="preserve">6.2. </w:t>
      </w:r>
      <w:r w:rsidR="00480FB1" w:rsidRPr="009602D1">
        <w:rPr>
          <w:b/>
          <w:bCs/>
          <w:sz w:val="22"/>
          <w:szCs w:val="22"/>
          <w:lang w:val="sr-Latn-ME"/>
        </w:rPr>
        <w:tab/>
      </w:r>
      <w:r w:rsidRPr="009602D1">
        <w:rPr>
          <w:b/>
          <w:bCs/>
          <w:sz w:val="22"/>
          <w:szCs w:val="22"/>
          <w:lang w:val="sr-Latn-ME"/>
        </w:rPr>
        <w:t>Inkompatibilnost</w:t>
      </w:r>
      <w:r w:rsidR="002846DB" w:rsidRPr="009602D1">
        <w:rPr>
          <w:b/>
          <w:bCs/>
          <w:sz w:val="22"/>
          <w:szCs w:val="22"/>
          <w:lang w:val="sr-Latn-ME"/>
        </w:rPr>
        <w:t>i</w:t>
      </w:r>
    </w:p>
    <w:p w14:paraId="407F50E0" w14:textId="1752F746" w:rsidR="0072020E" w:rsidRPr="009602D1" w:rsidRDefault="0072020E" w:rsidP="00480FB1">
      <w:pPr>
        <w:tabs>
          <w:tab w:val="left" w:pos="540"/>
          <w:tab w:val="left" w:pos="569"/>
        </w:tabs>
        <w:rPr>
          <w:bCs/>
          <w:sz w:val="22"/>
          <w:szCs w:val="22"/>
          <w:lang w:val="sr-Latn-ME"/>
        </w:rPr>
      </w:pPr>
    </w:p>
    <w:p w14:paraId="3F040064" w14:textId="65BA9ED4" w:rsidR="00C33F48" w:rsidRPr="009602D1" w:rsidRDefault="00C33F48" w:rsidP="00C33F48">
      <w:pPr>
        <w:ind w:right="279"/>
        <w:rPr>
          <w:noProof/>
          <w:sz w:val="22"/>
          <w:szCs w:val="22"/>
          <w:lang w:val="sr-Latn-ME"/>
        </w:rPr>
      </w:pPr>
      <w:r w:rsidRPr="009602D1">
        <w:rPr>
          <w:noProof/>
          <w:sz w:val="22"/>
          <w:szCs w:val="22"/>
          <w:lang w:val="sr-Latn-ME"/>
        </w:rPr>
        <w:t>N</w:t>
      </w:r>
      <w:r w:rsidR="00911EA3" w:rsidRPr="009602D1">
        <w:rPr>
          <w:noProof/>
          <w:sz w:val="22"/>
          <w:szCs w:val="22"/>
          <w:lang w:val="sr-Latn-ME"/>
        </w:rPr>
        <w:t>ije</w:t>
      </w:r>
      <w:r w:rsidRPr="009602D1">
        <w:rPr>
          <w:noProof/>
          <w:sz w:val="22"/>
          <w:szCs w:val="22"/>
          <w:lang w:val="sr-Latn-ME"/>
        </w:rPr>
        <w:t xml:space="preserve"> p</w:t>
      </w:r>
      <w:r w:rsidR="00911EA3" w:rsidRPr="009602D1">
        <w:rPr>
          <w:noProof/>
          <w:sz w:val="22"/>
          <w:szCs w:val="22"/>
          <w:lang w:val="sr-Latn-ME"/>
        </w:rPr>
        <w:t>rimjenljivo.</w:t>
      </w:r>
    </w:p>
    <w:p w14:paraId="64E4F7D1" w14:textId="77777777" w:rsidR="00C33F48" w:rsidRPr="009602D1" w:rsidRDefault="00C33F48" w:rsidP="00480FB1">
      <w:pPr>
        <w:tabs>
          <w:tab w:val="left" w:pos="540"/>
          <w:tab w:val="left" w:pos="569"/>
        </w:tabs>
        <w:rPr>
          <w:bCs/>
          <w:sz w:val="22"/>
          <w:szCs w:val="22"/>
          <w:lang w:val="sr-Latn-ME"/>
        </w:rPr>
      </w:pPr>
    </w:p>
    <w:p w14:paraId="407F50E1" w14:textId="77777777" w:rsidR="0072020E" w:rsidRPr="009602D1" w:rsidRDefault="0072020E" w:rsidP="00480FB1">
      <w:pPr>
        <w:tabs>
          <w:tab w:val="left" w:pos="540"/>
          <w:tab w:val="left" w:pos="569"/>
        </w:tabs>
        <w:rPr>
          <w:b/>
          <w:bCs/>
          <w:sz w:val="22"/>
          <w:szCs w:val="22"/>
          <w:lang w:val="sr-Latn-ME"/>
        </w:rPr>
      </w:pPr>
      <w:r w:rsidRPr="009602D1">
        <w:rPr>
          <w:b/>
          <w:bCs/>
          <w:sz w:val="22"/>
          <w:szCs w:val="22"/>
          <w:lang w:val="sr-Latn-ME"/>
        </w:rPr>
        <w:t>6.3.</w:t>
      </w:r>
      <w:r w:rsidR="00C05DF8" w:rsidRPr="009602D1">
        <w:rPr>
          <w:b/>
          <w:bCs/>
          <w:sz w:val="22"/>
          <w:szCs w:val="22"/>
          <w:lang w:val="sr-Latn-ME"/>
        </w:rPr>
        <w:t xml:space="preserve"> </w:t>
      </w:r>
      <w:r w:rsidR="00480FB1" w:rsidRPr="009602D1">
        <w:rPr>
          <w:b/>
          <w:bCs/>
          <w:sz w:val="22"/>
          <w:szCs w:val="22"/>
          <w:lang w:val="sr-Latn-ME"/>
        </w:rPr>
        <w:tab/>
      </w:r>
      <w:r w:rsidRPr="009602D1">
        <w:rPr>
          <w:b/>
          <w:bCs/>
          <w:sz w:val="22"/>
          <w:szCs w:val="22"/>
          <w:lang w:val="sr-Latn-ME"/>
        </w:rPr>
        <w:t>Rok upotrebe</w:t>
      </w:r>
    </w:p>
    <w:p w14:paraId="407F50E2" w14:textId="4D199B5B" w:rsidR="0072020E" w:rsidRPr="009602D1" w:rsidRDefault="0072020E" w:rsidP="00480FB1">
      <w:pPr>
        <w:tabs>
          <w:tab w:val="left" w:pos="540"/>
          <w:tab w:val="left" w:pos="569"/>
        </w:tabs>
        <w:rPr>
          <w:bCs/>
          <w:sz w:val="22"/>
          <w:szCs w:val="22"/>
          <w:lang w:val="sr-Latn-ME"/>
        </w:rPr>
      </w:pPr>
    </w:p>
    <w:p w14:paraId="77D70730" w14:textId="77777777" w:rsidR="00C33F48" w:rsidRPr="009602D1" w:rsidRDefault="00C33F48" w:rsidP="00C33F48">
      <w:pPr>
        <w:tabs>
          <w:tab w:val="left" w:pos="540"/>
          <w:tab w:val="left" w:pos="569"/>
        </w:tabs>
        <w:rPr>
          <w:b/>
          <w:bCs/>
          <w:sz w:val="22"/>
          <w:szCs w:val="22"/>
          <w:lang w:val="sr-Latn-ME"/>
        </w:rPr>
      </w:pPr>
      <w:r w:rsidRPr="009602D1">
        <w:rPr>
          <w:sz w:val="22"/>
          <w:szCs w:val="22"/>
          <w:lang w:val="sr-Latn-ME"/>
        </w:rPr>
        <w:t>3 godine.</w:t>
      </w:r>
    </w:p>
    <w:p w14:paraId="6A69CC7F" w14:textId="77777777" w:rsidR="00C33F48" w:rsidRPr="009602D1" w:rsidRDefault="00C33F48" w:rsidP="00480FB1">
      <w:pPr>
        <w:tabs>
          <w:tab w:val="left" w:pos="540"/>
          <w:tab w:val="left" w:pos="569"/>
        </w:tabs>
        <w:rPr>
          <w:bCs/>
          <w:sz w:val="22"/>
          <w:szCs w:val="22"/>
          <w:lang w:val="sr-Latn-ME"/>
        </w:rPr>
      </w:pPr>
    </w:p>
    <w:p w14:paraId="047A3265" w14:textId="6CA93F66" w:rsidR="00C33F48" w:rsidRPr="009602D1" w:rsidRDefault="0072020E" w:rsidP="00480FB1">
      <w:pPr>
        <w:tabs>
          <w:tab w:val="left" w:pos="540"/>
          <w:tab w:val="left" w:pos="569"/>
        </w:tabs>
        <w:rPr>
          <w:b/>
          <w:bCs/>
          <w:sz w:val="22"/>
          <w:szCs w:val="22"/>
          <w:lang w:val="sr-Latn-ME"/>
        </w:rPr>
      </w:pPr>
      <w:r w:rsidRPr="009602D1">
        <w:rPr>
          <w:b/>
          <w:bCs/>
          <w:sz w:val="22"/>
          <w:szCs w:val="22"/>
          <w:lang w:val="sr-Latn-ME"/>
        </w:rPr>
        <w:t xml:space="preserve">6.4. </w:t>
      </w:r>
      <w:r w:rsidR="00480FB1" w:rsidRPr="009602D1">
        <w:rPr>
          <w:b/>
          <w:bCs/>
          <w:sz w:val="22"/>
          <w:szCs w:val="22"/>
          <w:lang w:val="sr-Latn-ME"/>
        </w:rPr>
        <w:tab/>
      </w:r>
      <w:r w:rsidRPr="009602D1">
        <w:rPr>
          <w:b/>
          <w:bCs/>
          <w:sz w:val="22"/>
          <w:szCs w:val="22"/>
          <w:lang w:val="sr-Latn-ME"/>
        </w:rPr>
        <w:t>Posebne mjere upozorenja pri čuvanju</w:t>
      </w:r>
      <w:r w:rsidR="00F8570A" w:rsidRPr="009602D1">
        <w:rPr>
          <w:b/>
          <w:bCs/>
          <w:sz w:val="22"/>
          <w:szCs w:val="22"/>
          <w:lang w:val="sr-Latn-ME"/>
        </w:rPr>
        <w:t xml:space="preserve"> lijeka</w:t>
      </w:r>
    </w:p>
    <w:p w14:paraId="2398907D" w14:textId="77777777" w:rsidR="00C33F48" w:rsidRPr="009602D1" w:rsidRDefault="00C33F48" w:rsidP="00C33F48">
      <w:pPr>
        <w:tabs>
          <w:tab w:val="left" w:pos="540"/>
          <w:tab w:val="left" w:pos="569"/>
        </w:tabs>
        <w:rPr>
          <w:b/>
          <w:bCs/>
          <w:sz w:val="22"/>
          <w:szCs w:val="22"/>
          <w:lang w:val="sr-Latn-ME"/>
        </w:rPr>
      </w:pPr>
    </w:p>
    <w:p w14:paraId="2A733DAD" w14:textId="22481421" w:rsidR="00C33F48" w:rsidRPr="009602D1" w:rsidRDefault="00C35EDF" w:rsidP="00C33F48">
      <w:pPr>
        <w:tabs>
          <w:tab w:val="left" w:pos="540"/>
          <w:tab w:val="left" w:pos="569"/>
        </w:tabs>
        <w:rPr>
          <w:b/>
          <w:bCs/>
          <w:sz w:val="22"/>
          <w:szCs w:val="22"/>
          <w:lang w:val="sr-Latn-ME"/>
        </w:rPr>
      </w:pPr>
      <w:r w:rsidRPr="009602D1">
        <w:rPr>
          <w:sz w:val="22"/>
          <w:szCs w:val="22"/>
          <w:lang w:val="sr-Latn-ME"/>
        </w:rPr>
        <w:t>Lijek č</w:t>
      </w:r>
      <w:r w:rsidR="00696678" w:rsidRPr="009602D1">
        <w:rPr>
          <w:sz w:val="22"/>
          <w:szCs w:val="22"/>
          <w:lang w:val="sr-Latn-ME"/>
        </w:rPr>
        <w:t>uvati na temperaturi do 30</w:t>
      </w:r>
      <w:r w:rsidR="002B2025" w:rsidRPr="009602D1">
        <w:rPr>
          <w:sz w:val="22"/>
          <w:szCs w:val="22"/>
          <w:vertAlign w:val="superscript"/>
          <w:lang w:val="sr-Latn-ME"/>
        </w:rPr>
        <w:t>⁰</w:t>
      </w:r>
      <w:r w:rsidR="00696678" w:rsidRPr="009602D1">
        <w:rPr>
          <w:sz w:val="22"/>
          <w:szCs w:val="22"/>
          <w:lang w:val="sr-Latn-ME"/>
        </w:rPr>
        <w:t xml:space="preserve">C. </w:t>
      </w:r>
    </w:p>
    <w:p w14:paraId="2164658D" w14:textId="77777777" w:rsidR="00C33F48" w:rsidRPr="009602D1" w:rsidRDefault="00C33F48" w:rsidP="00480FB1">
      <w:pPr>
        <w:tabs>
          <w:tab w:val="left" w:pos="540"/>
          <w:tab w:val="left" w:pos="569"/>
        </w:tabs>
        <w:rPr>
          <w:b/>
          <w:bCs/>
          <w:sz w:val="22"/>
          <w:szCs w:val="22"/>
          <w:lang w:val="sr-Latn-ME"/>
        </w:rPr>
      </w:pPr>
    </w:p>
    <w:p w14:paraId="407F50E5" w14:textId="77777777" w:rsidR="0072020E" w:rsidRPr="009602D1" w:rsidRDefault="0072020E" w:rsidP="00480FB1">
      <w:pPr>
        <w:tabs>
          <w:tab w:val="left" w:pos="540"/>
          <w:tab w:val="left" w:pos="569"/>
        </w:tabs>
        <w:rPr>
          <w:b/>
          <w:bCs/>
          <w:sz w:val="22"/>
          <w:szCs w:val="22"/>
          <w:lang w:val="sr-Latn-ME"/>
        </w:rPr>
      </w:pPr>
      <w:r w:rsidRPr="009602D1">
        <w:rPr>
          <w:b/>
          <w:bCs/>
          <w:sz w:val="22"/>
          <w:szCs w:val="22"/>
          <w:lang w:val="sr-Latn-ME"/>
        </w:rPr>
        <w:t xml:space="preserve">6.5. </w:t>
      </w:r>
      <w:r w:rsidR="00480FB1" w:rsidRPr="009602D1">
        <w:rPr>
          <w:b/>
          <w:bCs/>
          <w:sz w:val="22"/>
          <w:szCs w:val="22"/>
          <w:lang w:val="sr-Latn-ME"/>
        </w:rPr>
        <w:tab/>
      </w:r>
      <w:r w:rsidR="002846DB" w:rsidRPr="009602D1">
        <w:rPr>
          <w:b/>
          <w:bCs/>
          <w:sz w:val="22"/>
          <w:szCs w:val="22"/>
          <w:lang w:val="sr-Latn-ME"/>
        </w:rPr>
        <w:t xml:space="preserve">Vrsta i sadržaj </w:t>
      </w:r>
      <w:r w:rsidR="00F8570A" w:rsidRPr="009602D1">
        <w:rPr>
          <w:b/>
          <w:bCs/>
          <w:sz w:val="22"/>
          <w:szCs w:val="22"/>
          <w:lang w:val="sr-Latn-ME"/>
        </w:rPr>
        <w:t>pakovanja</w:t>
      </w:r>
      <w:r w:rsidR="00C06864" w:rsidRPr="009602D1">
        <w:rPr>
          <w:b/>
          <w:bCs/>
          <w:sz w:val="22"/>
          <w:szCs w:val="22"/>
          <w:lang w:val="sr-Latn-ME"/>
        </w:rPr>
        <w:t xml:space="preserve"> </w:t>
      </w:r>
    </w:p>
    <w:p w14:paraId="407F50E6" w14:textId="6900DB1B" w:rsidR="0072020E" w:rsidRPr="009602D1" w:rsidRDefault="0072020E" w:rsidP="00480FB1">
      <w:pPr>
        <w:tabs>
          <w:tab w:val="left" w:pos="540"/>
          <w:tab w:val="left" w:pos="569"/>
        </w:tabs>
        <w:rPr>
          <w:bCs/>
          <w:sz w:val="22"/>
          <w:szCs w:val="22"/>
          <w:lang w:val="sr-Latn-ME"/>
        </w:rPr>
      </w:pPr>
    </w:p>
    <w:p w14:paraId="65CAD713" w14:textId="6B4EDB5E" w:rsidR="008A5B3C" w:rsidRPr="009602D1" w:rsidRDefault="008A5B3C" w:rsidP="008A5B3C">
      <w:pPr>
        <w:rPr>
          <w:sz w:val="22"/>
          <w:szCs w:val="22"/>
          <w:lang w:val="sr-Latn-ME"/>
        </w:rPr>
      </w:pPr>
      <w:r w:rsidRPr="009602D1">
        <w:rPr>
          <w:sz w:val="22"/>
          <w:szCs w:val="22"/>
          <w:lang w:val="sr-Latn-ME"/>
        </w:rPr>
        <w:t>Unutrašnje pakovanje je providni ili neprovidni blister od PVC folije i Al folije ili neprovidni blister sa zaštitom za djecu od PVC folije i Al folije ili providni ili neprovidni blister sa zaštitom za d</w:t>
      </w:r>
      <w:r w:rsidR="002B2025" w:rsidRPr="009602D1">
        <w:rPr>
          <w:sz w:val="22"/>
          <w:szCs w:val="22"/>
          <w:lang w:val="sr-Latn-ME"/>
        </w:rPr>
        <w:t>j</w:t>
      </w:r>
      <w:r w:rsidRPr="009602D1">
        <w:rPr>
          <w:sz w:val="22"/>
          <w:szCs w:val="22"/>
          <w:lang w:val="sr-Latn-ME"/>
        </w:rPr>
        <w:t>ecu od PVC folije i Al/PET folije u kome se nalazi 12 film tableta.</w:t>
      </w:r>
    </w:p>
    <w:p w14:paraId="31A9ECD6" w14:textId="190A7558" w:rsidR="008A5B3C" w:rsidRPr="009602D1" w:rsidRDefault="008A5B3C" w:rsidP="008A5B3C">
      <w:pPr>
        <w:rPr>
          <w:sz w:val="22"/>
          <w:szCs w:val="22"/>
          <w:lang w:val="sr-Latn-ME"/>
        </w:rPr>
      </w:pPr>
      <w:r w:rsidRPr="009602D1">
        <w:rPr>
          <w:sz w:val="22"/>
          <w:szCs w:val="22"/>
          <w:lang w:val="sr-Latn-ME"/>
        </w:rPr>
        <w:t>Spoljašnje pakovanje je složiva kartonska klutija u kojoj se nalaz</w:t>
      </w:r>
      <w:r w:rsidR="002B2025" w:rsidRPr="009602D1">
        <w:rPr>
          <w:sz w:val="22"/>
          <w:szCs w:val="22"/>
          <w:lang w:val="sr-Latn-ME"/>
        </w:rPr>
        <w:t>i</w:t>
      </w:r>
      <w:r w:rsidRPr="009602D1">
        <w:rPr>
          <w:sz w:val="22"/>
          <w:szCs w:val="22"/>
          <w:lang w:val="sr-Latn-ME"/>
        </w:rPr>
        <w:t xml:space="preserve"> jedan blister sa 12 film tableta (ukupno 12 film tableta) i Uputstvo za lijek.</w:t>
      </w:r>
    </w:p>
    <w:p w14:paraId="60E2898D" w14:textId="77777777" w:rsidR="00C33F48" w:rsidRPr="009602D1" w:rsidRDefault="00C33F48" w:rsidP="00480FB1">
      <w:pPr>
        <w:tabs>
          <w:tab w:val="left" w:pos="540"/>
          <w:tab w:val="left" w:pos="569"/>
        </w:tabs>
        <w:rPr>
          <w:bCs/>
          <w:sz w:val="22"/>
          <w:szCs w:val="22"/>
          <w:lang w:val="sr-Latn-ME"/>
        </w:rPr>
      </w:pPr>
    </w:p>
    <w:p w14:paraId="407F50E7" w14:textId="66C6AE15" w:rsidR="002846DB" w:rsidRPr="009602D1" w:rsidRDefault="0072020E" w:rsidP="00480FB1">
      <w:pPr>
        <w:tabs>
          <w:tab w:val="left" w:pos="540"/>
          <w:tab w:val="left" w:pos="569"/>
        </w:tabs>
        <w:rPr>
          <w:b/>
          <w:bCs/>
          <w:sz w:val="22"/>
          <w:szCs w:val="22"/>
          <w:lang w:val="sr-Latn-ME"/>
        </w:rPr>
      </w:pPr>
      <w:r w:rsidRPr="009602D1">
        <w:rPr>
          <w:b/>
          <w:bCs/>
          <w:sz w:val="22"/>
          <w:szCs w:val="22"/>
          <w:lang w:val="sr-Latn-ME"/>
        </w:rPr>
        <w:t xml:space="preserve">6.6. </w:t>
      </w:r>
      <w:r w:rsidR="00480FB1" w:rsidRPr="009602D1">
        <w:rPr>
          <w:b/>
          <w:bCs/>
          <w:sz w:val="22"/>
          <w:szCs w:val="22"/>
          <w:lang w:val="sr-Latn-ME"/>
        </w:rPr>
        <w:tab/>
      </w:r>
      <w:r w:rsidRPr="009602D1">
        <w:rPr>
          <w:b/>
          <w:bCs/>
          <w:color w:val="000000"/>
          <w:sz w:val="22"/>
          <w:szCs w:val="22"/>
          <w:lang w:val="sr-Latn-ME"/>
        </w:rPr>
        <w:t>Posebne mjere opreza pri odlaganju materijala koji treba odbaciti nakon primjene lijeka</w:t>
      </w:r>
      <w:r w:rsidRPr="009602D1">
        <w:rPr>
          <w:b/>
          <w:bCs/>
          <w:sz w:val="22"/>
          <w:szCs w:val="22"/>
          <w:lang w:val="sr-Latn-ME"/>
        </w:rPr>
        <w:t xml:space="preserve"> </w:t>
      </w:r>
    </w:p>
    <w:p w14:paraId="1C7900DD" w14:textId="77777777" w:rsidR="00C33F48" w:rsidRPr="009602D1" w:rsidRDefault="00C33F48" w:rsidP="00C33F48">
      <w:pPr>
        <w:tabs>
          <w:tab w:val="left" w:pos="540"/>
          <w:tab w:val="left" w:pos="569"/>
        </w:tabs>
        <w:rPr>
          <w:b/>
          <w:bCs/>
          <w:sz w:val="22"/>
          <w:szCs w:val="22"/>
          <w:lang w:val="sr-Latn-ME"/>
        </w:rPr>
      </w:pPr>
    </w:p>
    <w:p w14:paraId="73144741" w14:textId="11D1D167" w:rsidR="008A5B3C" w:rsidRPr="009602D1" w:rsidRDefault="008A5B3C" w:rsidP="008A5B3C">
      <w:pPr>
        <w:rPr>
          <w:lang w:val="sr-Latn-ME"/>
        </w:rPr>
      </w:pPr>
      <w:r w:rsidRPr="009602D1">
        <w:rPr>
          <w:sz w:val="22"/>
          <w:szCs w:val="22"/>
          <w:lang w:val="sr-Latn-ME"/>
        </w:rPr>
        <w:t>Svu neiskorišćenu količinu l</w:t>
      </w:r>
      <w:r w:rsidR="00A30B4A" w:rsidRPr="009602D1">
        <w:rPr>
          <w:sz w:val="22"/>
          <w:szCs w:val="22"/>
          <w:lang w:val="sr-Latn-ME"/>
        </w:rPr>
        <w:t>ij</w:t>
      </w:r>
      <w:r w:rsidRPr="009602D1">
        <w:rPr>
          <w:sz w:val="22"/>
          <w:szCs w:val="22"/>
          <w:lang w:val="sr-Latn-ME"/>
        </w:rPr>
        <w:t>eka ili otpadnog materijala nakon njegove upotrebe treba ukloniti u skladu sa važećim propisima</w:t>
      </w:r>
      <w:r w:rsidRPr="009602D1">
        <w:rPr>
          <w:lang w:val="sr-Latn-ME"/>
        </w:rPr>
        <w:t xml:space="preserve">. </w:t>
      </w:r>
    </w:p>
    <w:p w14:paraId="407F50E9" w14:textId="11314DFE" w:rsidR="0072020E" w:rsidRPr="009602D1" w:rsidRDefault="0072020E" w:rsidP="00480FB1">
      <w:pPr>
        <w:tabs>
          <w:tab w:val="left" w:pos="540"/>
          <w:tab w:val="left" w:pos="569"/>
        </w:tabs>
        <w:rPr>
          <w:bCs/>
          <w:sz w:val="22"/>
          <w:szCs w:val="22"/>
          <w:lang w:val="sr-Latn-ME"/>
        </w:rPr>
      </w:pPr>
    </w:p>
    <w:p w14:paraId="2B89C345" w14:textId="77777777" w:rsidR="002B2025" w:rsidRPr="009602D1" w:rsidRDefault="002B2025" w:rsidP="00480FB1">
      <w:pPr>
        <w:tabs>
          <w:tab w:val="left" w:pos="540"/>
          <w:tab w:val="left" w:pos="569"/>
        </w:tabs>
        <w:rPr>
          <w:bCs/>
          <w:sz w:val="22"/>
          <w:szCs w:val="22"/>
          <w:lang w:val="sr-Latn-ME"/>
        </w:rPr>
      </w:pPr>
    </w:p>
    <w:p w14:paraId="407F50EA" w14:textId="77777777" w:rsidR="00F8570A" w:rsidRPr="009602D1" w:rsidRDefault="0072020E" w:rsidP="00480FB1">
      <w:pPr>
        <w:tabs>
          <w:tab w:val="left" w:pos="540"/>
          <w:tab w:val="left" w:pos="569"/>
        </w:tabs>
        <w:rPr>
          <w:b/>
          <w:bCs/>
          <w:sz w:val="22"/>
          <w:szCs w:val="22"/>
          <w:lang w:val="sr-Latn-ME"/>
        </w:rPr>
      </w:pPr>
      <w:r w:rsidRPr="009602D1">
        <w:rPr>
          <w:b/>
          <w:bCs/>
          <w:sz w:val="22"/>
          <w:szCs w:val="22"/>
          <w:lang w:val="sr-Latn-ME"/>
        </w:rPr>
        <w:t xml:space="preserve">7. </w:t>
      </w:r>
      <w:r w:rsidR="00480FB1" w:rsidRPr="009602D1">
        <w:rPr>
          <w:b/>
          <w:bCs/>
          <w:sz w:val="22"/>
          <w:szCs w:val="22"/>
          <w:lang w:val="sr-Latn-ME"/>
        </w:rPr>
        <w:tab/>
      </w:r>
      <w:r w:rsidRPr="009602D1">
        <w:rPr>
          <w:b/>
          <w:bCs/>
          <w:sz w:val="22"/>
          <w:szCs w:val="22"/>
          <w:lang w:val="sr-Latn-ME"/>
        </w:rPr>
        <w:t>NOSILAC DOZVOLE</w:t>
      </w:r>
      <w:r w:rsidR="00483928" w:rsidRPr="009602D1">
        <w:rPr>
          <w:b/>
          <w:bCs/>
          <w:sz w:val="22"/>
          <w:szCs w:val="22"/>
          <w:lang w:val="sr-Latn-ME"/>
        </w:rPr>
        <w:t xml:space="preserve"> </w:t>
      </w:r>
    </w:p>
    <w:p w14:paraId="407F50EB" w14:textId="3B717729" w:rsidR="00C61BE0" w:rsidRPr="009602D1" w:rsidRDefault="00C61BE0" w:rsidP="00480FB1">
      <w:pPr>
        <w:tabs>
          <w:tab w:val="left" w:pos="540"/>
          <w:tab w:val="left" w:pos="569"/>
        </w:tabs>
        <w:rPr>
          <w:bCs/>
          <w:sz w:val="22"/>
          <w:szCs w:val="22"/>
          <w:lang w:val="sr-Latn-ME"/>
        </w:rPr>
      </w:pPr>
    </w:p>
    <w:p w14:paraId="50807DA6" w14:textId="41445E87" w:rsidR="00163FA0" w:rsidRPr="009602D1" w:rsidRDefault="00163FA0" w:rsidP="004018B4">
      <w:pPr>
        <w:tabs>
          <w:tab w:val="left" w:pos="540"/>
          <w:tab w:val="left" w:pos="569"/>
        </w:tabs>
        <w:jc w:val="both"/>
        <w:rPr>
          <w:bCs/>
          <w:sz w:val="22"/>
          <w:szCs w:val="22"/>
          <w:lang w:val="sr-Latn-ME"/>
        </w:rPr>
      </w:pPr>
      <w:r w:rsidRPr="009602D1">
        <w:rPr>
          <w:bCs/>
          <w:sz w:val="22"/>
          <w:szCs w:val="22"/>
          <w:lang w:val="sr-Latn-ME"/>
        </w:rPr>
        <w:t xml:space="preserve">DIO STRANOG DRUŠTVA ''CLINRES FARMACIJA'' D.O.O. </w:t>
      </w:r>
      <w:r w:rsidR="002B2025" w:rsidRPr="009602D1">
        <w:rPr>
          <w:bCs/>
          <w:sz w:val="22"/>
          <w:szCs w:val="22"/>
          <w:lang w:val="sr-Latn-ME"/>
        </w:rPr>
        <w:t>-</w:t>
      </w:r>
      <w:r w:rsidRPr="009602D1">
        <w:rPr>
          <w:bCs/>
          <w:sz w:val="22"/>
          <w:szCs w:val="22"/>
          <w:lang w:val="sr-Latn-ME"/>
        </w:rPr>
        <w:t xml:space="preserve"> PREDSTAVNIŠTVO PODGORICA</w:t>
      </w:r>
    </w:p>
    <w:p w14:paraId="0AF53923" w14:textId="76EB254D" w:rsidR="00C33F48" w:rsidRPr="009602D1" w:rsidRDefault="00163FA0" w:rsidP="00163FA0">
      <w:pPr>
        <w:tabs>
          <w:tab w:val="left" w:pos="540"/>
          <w:tab w:val="left" w:pos="569"/>
        </w:tabs>
        <w:rPr>
          <w:bCs/>
          <w:sz w:val="22"/>
          <w:szCs w:val="22"/>
          <w:lang w:val="sr-Latn-ME"/>
        </w:rPr>
      </w:pPr>
      <w:r w:rsidRPr="009602D1">
        <w:rPr>
          <w:bCs/>
          <w:sz w:val="22"/>
          <w:szCs w:val="22"/>
          <w:lang w:val="sr-Latn-ME"/>
        </w:rPr>
        <w:t>Bul</w:t>
      </w:r>
      <w:r w:rsidR="002B2025" w:rsidRPr="009602D1">
        <w:rPr>
          <w:bCs/>
          <w:sz w:val="22"/>
          <w:szCs w:val="22"/>
          <w:lang w:val="sr-Latn-ME"/>
        </w:rPr>
        <w:t>evar</w:t>
      </w:r>
      <w:r w:rsidRPr="009602D1">
        <w:rPr>
          <w:bCs/>
          <w:sz w:val="22"/>
          <w:szCs w:val="22"/>
          <w:lang w:val="sr-Latn-ME"/>
        </w:rPr>
        <w:t xml:space="preserve"> Svetog Petra Cetinjskog 114/I, 81000 Podgorica</w:t>
      </w:r>
      <w:r w:rsidR="002B2025" w:rsidRPr="009602D1">
        <w:rPr>
          <w:bCs/>
          <w:sz w:val="22"/>
          <w:szCs w:val="22"/>
          <w:lang w:val="sr-Latn-ME"/>
        </w:rPr>
        <w:t>, Crna Gora</w:t>
      </w:r>
    </w:p>
    <w:p w14:paraId="407F50EC" w14:textId="49364E57" w:rsidR="00C37FD7" w:rsidRPr="009602D1" w:rsidRDefault="00C37FD7" w:rsidP="00480FB1">
      <w:pPr>
        <w:tabs>
          <w:tab w:val="left" w:pos="540"/>
          <w:tab w:val="left" w:pos="569"/>
        </w:tabs>
        <w:rPr>
          <w:bCs/>
          <w:sz w:val="22"/>
          <w:szCs w:val="22"/>
          <w:lang w:val="sr-Latn-ME"/>
        </w:rPr>
      </w:pPr>
    </w:p>
    <w:p w14:paraId="43684AE7" w14:textId="77777777" w:rsidR="002B2025" w:rsidRPr="009602D1" w:rsidRDefault="002B2025" w:rsidP="00480FB1">
      <w:pPr>
        <w:tabs>
          <w:tab w:val="left" w:pos="540"/>
          <w:tab w:val="left" w:pos="569"/>
        </w:tabs>
        <w:rPr>
          <w:bCs/>
          <w:sz w:val="22"/>
          <w:szCs w:val="22"/>
          <w:lang w:val="sr-Latn-ME"/>
        </w:rPr>
      </w:pPr>
    </w:p>
    <w:p w14:paraId="407F50ED" w14:textId="77777777" w:rsidR="0072020E" w:rsidRPr="009602D1" w:rsidRDefault="0072020E" w:rsidP="00480FB1">
      <w:pPr>
        <w:tabs>
          <w:tab w:val="left" w:pos="540"/>
          <w:tab w:val="left" w:pos="569"/>
        </w:tabs>
        <w:rPr>
          <w:b/>
          <w:bCs/>
          <w:sz w:val="22"/>
          <w:szCs w:val="22"/>
          <w:lang w:val="sr-Latn-ME"/>
        </w:rPr>
      </w:pPr>
      <w:r w:rsidRPr="009602D1">
        <w:rPr>
          <w:b/>
          <w:bCs/>
          <w:sz w:val="22"/>
          <w:szCs w:val="22"/>
          <w:lang w:val="sr-Latn-ME"/>
        </w:rPr>
        <w:t xml:space="preserve">8. </w:t>
      </w:r>
      <w:r w:rsidR="00480FB1" w:rsidRPr="009602D1">
        <w:rPr>
          <w:b/>
          <w:bCs/>
          <w:sz w:val="22"/>
          <w:szCs w:val="22"/>
          <w:lang w:val="sr-Latn-ME"/>
        </w:rPr>
        <w:tab/>
      </w:r>
      <w:r w:rsidRPr="009602D1">
        <w:rPr>
          <w:b/>
          <w:bCs/>
          <w:sz w:val="22"/>
          <w:szCs w:val="22"/>
          <w:lang w:val="sr-Latn-ME"/>
        </w:rPr>
        <w:t>BROJ DOZVOLE</w:t>
      </w:r>
      <w:r w:rsidR="008A6D43" w:rsidRPr="009602D1">
        <w:rPr>
          <w:b/>
          <w:bCs/>
          <w:sz w:val="22"/>
          <w:szCs w:val="22"/>
          <w:lang w:val="sr-Latn-ME"/>
        </w:rPr>
        <w:t xml:space="preserve"> ZA STAVLJANJE LIJEKA U PROMET</w:t>
      </w:r>
    </w:p>
    <w:p w14:paraId="407F50EE" w14:textId="053210F0" w:rsidR="0072020E" w:rsidRPr="009602D1" w:rsidRDefault="0072020E" w:rsidP="00480FB1">
      <w:pPr>
        <w:tabs>
          <w:tab w:val="left" w:pos="540"/>
          <w:tab w:val="left" w:pos="569"/>
        </w:tabs>
        <w:rPr>
          <w:bCs/>
          <w:sz w:val="22"/>
          <w:szCs w:val="22"/>
          <w:lang w:val="sr-Latn-ME"/>
        </w:rPr>
      </w:pPr>
    </w:p>
    <w:p w14:paraId="31F1BD9E" w14:textId="6B6DA2DC" w:rsidR="00AE70C1" w:rsidRPr="009602D1" w:rsidRDefault="00AE70C1" w:rsidP="00480FB1">
      <w:pPr>
        <w:tabs>
          <w:tab w:val="left" w:pos="540"/>
          <w:tab w:val="left" w:pos="569"/>
        </w:tabs>
        <w:rPr>
          <w:bCs/>
          <w:sz w:val="22"/>
          <w:szCs w:val="22"/>
          <w:lang w:val="sr-Latn-ME"/>
        </w:rPr>
      </w:pPr>
      <w:r w:rsidRPr="009602D1">
        <w:rPr>
          <w:bCs/>
          <w:sz w:val="22"/>
          <w:szCs w:val="22"/>
          <w:lang w:val="sr-Latn-ME"/>
        </w:rPr>
        <w:t xml:space="preserve">2030/24/3330 </w:t>
      </w:r>
      <w:r w:rsidR="00704CD8" w:rsidRPr="009602D1">
        <w:rPr>
          <w:bCs/>
          <w:sz w:val="22"/>
          <w:szCs w:val="22"/>
          <w:lang w:val="sr-Latn-ME"/>
        </w:rPr>
        <w:t>–</w:t>
      </w:r>
      <w:r w:rsidRPr="009602D1">
        <w:rPr>
          <w:bCs/>
          <w:sz w:val="22"/>
          <w:szCs w:val="22"/>
          <w:lang w:val="sr-Latn-ME"/>
        </w:rPr>
        <w:t xml:space="preserve"> 2789</w:t>
      </w:r>
    </w:p>
    <w:p w14:paraId="022932FD" w14:textId="77777777" w:rsidR="00704CD8" w:rsidRPr="009602D1" w:rsidRDefault="00704CD8" w:rsidP="00480FB1">
      <w:pPr>
        <w:tabs>
          <w:tab w:val="left" w:pos="540"/>
          <w:tab w:val="left" w:pos="569"/>
        </w:tabs>
        <w:rPr>
          <w:bCs/>
          <w:sz w:val="22"/>
          <w:szCs w:val="22"/>
          <w:lang w:val="sr-Latn-ME"/>
        </w:rPr>
      </w:pPr>
    </w:p>
    <w:p w14:paraId="60CFC6C4" w14:textId="2BFF9608" w:rsidR="001930FF" w:rsidRPr="009602D1" w:rsidRDefault="001930FF" w:rsidP="001930FF">
      <w:pPr>
        <w:pStyle w:val="Header"/>
        <w:tabs>
          <w:tab w:val="left" w:pos="284"/>
        </w:tabs>
        <w:ind w:right="279"/>
        <w:rPr>
          <w:sz w:val="22"/>
          <w:szCs w:val="22"/>
          <w:lang w:val="sr-Latn-ME"/>
        </w:rPr>
      </w:pPr>
    </w:p>
    <w:p w14:paraId="407F50EF" w14:textId="77777777" w:rsidR="00F45F77" w:rsidRPr="009602D1" w:rsidRDefault="00F45F77" w:rsidP="00480FB1">
      <w:pPr>
        <w:tabs>
          <w:tab w:val="left" w:pos="540"/>
          <w:tab w:val="left" w:pos="569"/>
        </w:tabs>
        <w:rPr>
          <w:bCs/>
          <w:sz w:val="22"/>
          <w:szCs w:val="22"/>
          <w:lang w:val="sr-Latn-ME"/>
        </w:rPr>
      </w:pPr>
    </w:p>
    <w:p w14:paraId="407F50F0" w14:textId="77777777" w:rsidR="0072020E" w:rsidRPr="009602D1" w:rsidRDefault="0072020E" w:rsidP="00480FB1">
      <w:pPr>
        <w:tabs>
          <w:tab w:val="left" w:pos="540"/>
          <w:tab w:val="left" w:pos="569"/>
        </w:tabs>
        <w:rPr>
          <w:b/>
          <w:bCs/>
          <w:sz w:val="22"/>
          <w:szCs w:val="22"/>
          <w:lang w:val="sr-Latn-ME"/>
        </w:rPr>
      </w:pPr>
      <w:r w:rsidRPr="009602D1">
        <w:rPr>
          <w:b/>
          <w:bCs/>
          <w:sz w:val="22"/>
          <w:szCs w:val="22"/>
          <w:lang w:val="sr-Latn-ME"/>
        </w:rPr>
        <w:lastRenderedPageBreak/>
        <w:t xml:space="preserve">9. </w:t>
      </w:r>
      <w:r w:rsidR="00480FB1" w:rsidRPr="009602D1">
        <w:rPr>
          <w:b/>
          <w:bCs/>
          <w:sz w:val="22"/>
          <w:szCs w:val="22"/>
          <w:lang w:val="sr-Latn-ME"/>
        </w:rPr>
        <w:tab/>
      </w:r>
      <w:r w:rsidRPr="009602D1">
        <w:rPr>
          <w:b/>
          <w:bCs/>
          <w:sz w:val="22"/>
          <w:szCs w:val="22"/>
          <w:lang w:val="sr-Latn-ME"/>
        </w:rPr>
        <w:t xml:space="preserve">DATUM </w:t>
      </w:r>
      <w:r w:rsidR="00C05DF8" w:rsidRPr="009602D1">
        <w:rPr>
          <w:b/>
          <w:bCs/>
          <w:sz w:val="22"/>
          <w:szCs w:val="22"/>
          <w:lang w:val="sr-Latn-ME"/>
        </w:rPr>
        <w:t xml:space="preserve">PRVE </w:t>
      </w:r>
      <w:r w:rsidR="008A6D43" w:rsidRPr="009602D1">
        <w:rPr>
          <w:b/>
          <w:bCs/>
          <w:sz w:val="22"/>
          <w:szCs w:val="22"/>
          <w:lang w:val="sr-Latn-ME"/>
        </w:rPr>
        <w:t>DOZVOLE</w:t>
      </w:r>
      <w:r w:rsidR="00C05DF8" w:rsidRPr="009602D1">
        <w:rPr>
          <w:b/>
          <w:bCs/>
          <w:sz w:val="22"/>
          <w:szCs w:val="22"/>
          <w:lang w:val="sr-Latn-ME"/>
        </w:rPr>
        <w:t>/OBNOVE DOZVOLE</w:t>
      </w:r>
      <w:r w:rsidR="008A6D43" w:rsidRPr="009602D1">
        <w:rPr>
          <w:b/>
          <w:bCs/>
          <w:sz w:val="22"/>
          <w:szCs w:val="22"/>
          <w:lang w:val="sr-Latn-ME"/>
        </w:rPr>
        <w:t xml:space="preserve"> ZA STAVLJANJE LIJEKA U PROMET</w:t>
      </w:r>
    </w:p>
    <w:p w14:paraId="407F50F1" w14:textId="2E29647E" w:rsidR="0072020E" w:rsidRPr="009602D1" w:rsidRDefault="0072020E" w:rsidP="00480FB1">
      <w:pPr>
        <w:tabs>
          <w:tab w:val="left" w:pos="540"/>
          <w:tab w:val="left" w:pos="569"/>
        </w:tabs>
        <w:rPr>
          <w:bCs/>
          <w:sz w:val="22"/>
          <w:szCs w:val="22"/>
          <w:lang w:val="sr-Latn-ME"/>
        </w:rPr>
      </w:pPr>
    </w:p>
    <w:p w14:paraId="12A46406" w14:textId="2705F7BA" w:rsidR="001E0A16" w:rsidRPr="009602D1" w:rsidRDefault="002B2025" w:rsidP="001E0A16">
      <w:pPr>
        <w:pStyle w:val="Header"/>
        <w:tabs>
          <w:tab w:val="left" w:pos="284"/>
        </w:tabs>
        <w:ind w:right="279"/>
        <w:rPr>
          <w:rFonts w:eastAsia="Calibri"/>
          <w:lang w:val="sr-Latn-ME"/>
        </w:rPr>
      </w:pPr>
      <w:r w:rsidRPr="009602D1">
        <w:rPr>
          <w:sz w:val="22"/>
          <w:szCs w:val="22"/>
          <w:lang w:val="sr-Latn-ME"/>
        </w:rPr>
        <w:t xml:space="preserve">Datum prve dozvole: </w:t>
      </w:r>
      <w:r w:rsidR="001E0A16" w:rsidRPr="009602D1">
        <w:rPr>
          <w:rFonts w:eastAsia="Calibri"/>
          <w:sz w:val="22"/>
          <w:szCs w:val="22"/>
          <w:lang w:val="sr-Latn-ME"/>
        </w:rPr>
        <w:t>28.10.2014. godine</w:t>
      </w:r>
    </w:p>
    <w:p w14:paraId="68990A51" w14:textId="06A10C3C" w:rsidR="002B2025" w:rsidRPr="009602D1" w:rsidRDefault="002B2025" w:rsidP="001E0A16">
      <w:pPr>
        <w:pStyle w:val="Header"/>
        <w:tabs>
          <w:tab w:val="left" w:pos="284"/>
        </w:tabs>
        <w:ind w:right="279"/>
        <w:rPr>
          <w:sz w:val="22"/>
          <w:szCs w:val="22"/>
          <w:lang w:val="sr-Latn-ME"/>
        </w:rPr>
      </w:pPr>
      <w:r w:rsidRPr="009602D1">
        <w:rPr>
          <w:rFonts w:eastAsia="Calibri"/>
          <w:sz w:val="22"/>
          <w:szCs w:val="22"/>
          <w:lang w:val="sr-Latn-ME"/>
        </w:rPr>
        <w:t>Datum poslednje obnove dozvole:</w:t>
      </w:r>
      <w:r w:rsidR="00AE70C1" w:rsidRPr="009602D1">
        <w:rPr>
          <w:rFonts w:eastAsia="Calibri"/>
          <w:sz w:val="22"/>
          <w:szCs w:val="22"/>
          <w:lang w:val="sr-Latn-ME"/>
        </w:rPr>
        <w:t xml:space="preserve"> 17.06. 2024. godine</w:t>
      </w:r>
    </w:p>
    <w:p w14:paraId="05010188" w14:textId="77777777" w:rsidR="001E0A16" w:rsidRPr="009602D1" w:rsidRDefault="001E0A16" w:rsidP="00480FB1">
      <w:pPr>
        <w:tabs>
          <w:tab w:val="left" w:pos="540"/>
          <w:tab w:val="left" w:pos="569"/>
        </w:tabs>
        <w:rPr>
          <w:bCs/>
          <w:sz w:val="22"/>
          <w:szCs w:val="22"/>
          <w:lang w:val="sr-Latn-ME"/>
        </w:rPr>
      </w:pPr>
    </w:p>
    <w:p w14:paraId="407F50F2" w14:textId="77777777" w:rsidR="00836B35" w:rsidRPr="009602D1" w:rsidRDefault="00836B35" w:rsidP="00480FB1">
      <w:pPr>
        <w:tabs>
          <w:tab w:val="left" w:pos="540"/>
          <w:tab w:val="left" w:pos="569"/>
        </w:tabs>
        <w:rPr>
          <w:bCs/>
          <w:sz w:val="22"/>
          <w:szCs w:val="22"/>
          <w:lang w:val="sr-Latn-ME"/>
        </w:rPr>
      </w:pPr>
    </w:p>
    <w:p w14:paraId="407F50F3" w14:textId="77777777" w:rsidR="003F6A59" w:rsidRPr="009602D1" w:rsidRDefault="0072020E" w:rsidP="00C05DF8">
      <w:pPr>
        <w:tabs>
          <w:tab w:val="left" w:pos="540"/>
          <w:tab w:val="left" w:pos="569"/>
        </w:tabs>
        <w:ind w:left="540" w:hanging="540"/>
        <w:rPr>
          <w:bCs/>
          <w:sz w:val="22"/>
          <w:szCs w:val="22"/>
          <w:lang w:val="sr-Latn-ME"/>
        </w:rPr>
      </w:pPr>
      <w:r w:rsidRPr="009602D1">
        <w:rPr>
          <w:b/>
          <w:bCs/>
          <w:sz w:val="22"/>
          <w:szCs w:val="22"/>
          <w:lang w:val="sr-Latn-ME"/>
        </w:rPr>
        <w:t xml:space="preserve">10. </w:t>
      </w:r>
      <w:r w:rsidR="00480FB1" w:rsidRPr="009602D1">
        <w:rPr>
          <w:b/>
          <w:bCs/>
          <w:sz w:val="22"/>
          <w:szCs w:val="22"/>
          <w:lang w:val="sr-Latn-ME"/>
        </w:rPr>
        <w:tab/>
      </w:r>
      <w:r w:rsidR="002846DB" w:rsidRPr="009602D1">
        <w:rPr>
          <w:b/>
          <w:bCs/>
          <w:sz w:val="22"/>
          <w:szCs w:val="22"/>
          <w:lang w:val="sr-Latn-ME"/>
        </w:rPr>
        <w:t>D</w:t>
      </w:r>
      <w:r w:rsidR="00EC2532" w:rsidRPr="009602D1">
        <w:rPr>
          <w:b/>
          <w:bCs/>
          <w:sz w:val="22"/>
          <w:szCs w:val="22"/>
          <w:lang w:val="sr-Latn-ME"/>
        </w:rPr>
        <w:t xml:space="preserve">ATUM REVIZIJE TEKSTA </w:t>
      </w:r>
    </w:p>
    <w:p w14:paraId="5C8B7285" w14:textId="0E54CF74" w:rsidR="001930FF" w:rsidRPr="009602D1" w:rsidRDefault="001930FF" w:rsidP="001930FF">
      <w:pPr>
        <w:tabs>
          <w:tab w:val="left" w:pos="540"/>
          <w:tab w:val="left" w:pos="569"/>
        </w:tabs>
        <w:rPr>
          <w:bCs/>
          <w:sz w:val="22"/>
          <w:szCs w:val="22"/>
          <w:lang w:val="sr-Latn-ME"/>
        </w:rPr>
      </w:pPr>
    </w:p>
    <w:p w14:paraId="2A92CB3B" w14:textId="568EABDF" w:rsidR="001930FF" w:rsidRPr="009602D1" w:rsidRDefault="00F038A3" w:rsidP="00480FB1">
      <w:pPr>
        <w:tabs>
          <w:tab w:val="left" w:pos="540"/>
          <w:tab w:val="left" w:pos="569"/>
        </w:tabs>
        <w:rPr>
          <w:bCs/>
          <w:sz w:val="22"/>
          <w:szCs w:val="22"/>
          <w:lang w:val="sr-Latn-ME"/>
        </w:rPr>
      </w:pPr>
      <w:r>
        <w:rPr>
          <w:bCs/>
          <w:sz w:val="22"/>
          <w:szCs w:val="22"/>
          <w:lang w:val="sr-Latn-ME"/>
        </w:rPr>
        <w:t>Oktobar</w:t>
      </w:r>
      <w:r w:rsidR="00AE70C1" w:rsidRPr="00F038A3">
        <w:rPr>
          <w:bCs/>
          <w:sz w:val="22"/>
          <w:szCs w:val="22"/>
          <w:lang w:val="sr-Latn-ME"/>
        </w:rPr>
        <w:t>, 202</w:t>
      </w:r>
      <w:bookmarkStart w:id="0" w:name="_GoBack"/>
      <w:bookmarkEnd w:id="0"/>
      <w:r w:rsidR="00AE70C1" w:rsidRPr="00F038A3">
        <w:rPr>
          <w:bCs/>
          <w:sz w:val="22"/>
          <w:szCs w:val="22"/>
          <w:lang w:val="sr-Latn-ME"/>
        </w:rPr>
        <w:t>4. godine</w:t>
      </w:r>
    </w:p>
    <w:p w14:paraId="407F50F5" w14:textId="77777777" w:rsidR="008A6D43" w:rsidRPr="009602D1" w:rsidRDefault="008A6D43" w:rsidP="00480FB1">
      <w:pPr>
        <w:tabs>
          <w:tab w:val="left" w:pos="540"/>
          <w:tab w:val="left" w:pos="569"/>
        </w:tabs>
        <w:rPr>
          <w:bCs/>
          <w:sz w:val="22"/>
          <w:szCs w:val="22"/>
          <w:lang w:val="sr-Latn-ME"/>
        </w:rPr>
      </w:pPr>
    </w:p>
    <w:p w14:paraId="407F50FC" w14:textId="77777777" w:rsidR="003F6A59" w:rsidRPr="009602D1" w:rsidRDefault="003F6A59" w:rsidP="00DE3F5C">
      <w:pPr>
        <w:rPr>
          <w:sz w:val="22"/>
          <w:szCs w:val="22"/>
          <w:lang w:val="sr-Latn-ME"/>
        </w:rPr>
      </w:pPr>
    </w:p>
    <w:sectPr w:rsidR="003F6A59" w:rsidRPr="009602D1" w:rsidSect="006B5404">
      <w:footerReference w:type="default" r:id="rId16"/>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BA8C6" w14:textId="77777777" w:rsidR="00FD4DD6" w:rsidRDefault="00FD4DD6">
      <w:r>
        <w:separator/>
      </w:r>
    </w:p>
  </w:endnote>
  <w:endnote w:type="continuationSeparator" w:id="0">
    <w:p w14:paraId="1C9C5528" w14:textId="77777777" w:rsidR="00FD4DD6" w:rsidRDefault="00FD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F5103" w14:textId="012E4040"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038A3">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038A3">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BB472" w14:textId="77777777" w:rsidR="00FD4DD6" w:rsidRDefault="00FD4DD6">
      <w:r>
        <w:separator/>
      </w:r>
    </w:p>
  </w:footnote>
  <w:footnote w:type="continuationSeparator" w:id="0">
    <w:p w14:paraId="461FDEBF" w14:textId="77777777" w:rsidR="00FD4DD6" w:rsidRDefault="00FD4D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EC75453"/>
    <w:multiLevelType w:val="hybridMultilevel"/>
    <w:tmpl w:val="8DB24FB8"/>
    <w:lvl w:ilvl="0" w:tplc="241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4278CE"/>
    <w:multiLevelType w:val="hybridMultilevel"/>
    <w:tmpl w:val="FC8646D4"/>
    <w:lvl w:ilvl="0" w:tplc="081A0017">
      <w:start w:val="1"/>
      <w:numFmt w:val="lowerLetter"/>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2"/>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5FE6"/>
    <w:rsid w:val="000176CA"/>
    <w:rsid w:val="000209DF"/>
    <w:rsid w:val="00036FA0"/>
    <w:rsid w:val="0003793F"/>
    <w:rsid w:val="00045774"/>
    <w:rsid w:val="00051D19"/>
    <w:rsid w:val="00057E35"/>
    <w:rsid w:val="00062018"/>
    <w:rsid w:val="00062D31"/>
    <w:rsid w:val="000763E5"/>
    <w:rsid w:val="00076726"/>
    <w:rsid w:val="00080303"/>
    <w:rsid w:val="000A3F58"/>
    <w:rsid w:val="000B26BA"/>
    <w:rsid w:val="000D2343"/>
    <w:rsid w:val="000D3449"/>
    <w:rsid w:val="000D425A"/>
    <w:rsid w:val="000D60CC"/>
    <w:rsid w:val="000E2084"/>
    <w:rsid w:val="000E6F55"/>
    <w:rsid w:val="000F7576"/>
    <w:rsid w:val="000F77FA"/>
    <w:rsid w:val="00101622"/>
    <w:rsid w:val="00107BF7"/>
    <w:rsid w:val="00126F53"/>
    <w:rsid w:val="0014766D"/>
    <w:rsid w:val="001536CC"/>
    <w:rsid w:val="00163FA0"/>
    <w:rsid w:val="001930FF"/>
    <w:rsid w:val="001A3FBA"/>
    <w:rsid w:val="001A5518"/>
    <w:rsid w:val="001B1C6A"/>
    <w:rsid w:val="001C1263"/>
    <w:rsid w:val="001C1417"/>
    <w:rsid w:val="001D55E2"/>
    <w:rsid w:val="001E0A16"/>
    <w:rsid w:val="001E390B"/>
    <w:rsid w:val="001F168A"/>
    <w:rsid w:val="001F42FB"/>
    <w:rsid w:val="001F719A"/>
    <w:rsid w:val="002031B3"/>
    <w:rsid w:val="00215931"/>
    <w:rsid w:val="00224C91"/>
    <w:rsid w:val="00227BDB"/>
    <w:rsid w:val="00234CB1"/>
    <w:rsid w:val="002352F8"/>
    <w:rsid w:val="00243DB6"/>
    <w:rsid w:val="002510A5"/>
    <w:rsid w:val="00251E98"/>
    <w:rsid w:val="00252B6E"/>
    <w:rsid w:val="00254A0A"/>
    <w:rsid w:val="00266046"/>
    <w:rsid w:val="002846DB"/>
    <w:rsid w:val="00284CCD"/>
    <w:rsid w:val="00296A40"/>
    <w:rsid w:val="002B2025"/>
    <w:rsid w:val="002C1E50"/>
    <w:rsid w:val="002C6637"/>
    <w:rsid w:val="002D7F69"/>
    <w:rsid w:val="002E0135"/>
    <w:rsid w:val="002E1AFC"/>
    <w:rsid w:val="002E37A5"/>
    <w:rsid w:val="00310F03"/>
    <w:rsid w:val="003247D2"/>
    <w:rsid w:val="003445C1"/>
    <w:rsid w:val="00355B61"/>
    <w:rsid w:val="00362686"/>
    <w:rsid w:val="00371510"/>
    <w:rsid w:val="00396DFD"/>
    <w:rsid w:val="003A7059"/>
    <w:rsid w:val="003B7A36"/>
    <w:rsid w:val="003C17AB"/>
    <w:rsid w:val="003C7823"/>
    <w:rsid w:val="003E1DCC"/>
    <w:rsid w:val="003F11A1"/>
    <w:rsid w:val="003F6A59"/>
    <w:rsid w:val="004018B4"/>
    <w:rsid w:val="004065C8"/>
    <w:rsid w:val="00407E92"/>
    <w:rsid w:val="004109FA"/>
    <w:rsid w:val="00411B4B"/>
    <w:rsid w:val="00415BEE"/>
    <w:rsid w:val="00427F85"/>
    <w:rsid w:val="00436F42"/>
    <w:rsid w:val="004378B4"/>
    <w:rsid w:val="00451314"/>
    <w:rsid w:val="00452E9D"/>
    <w:rsid w:val="004534C7"/>
    <w:rsid w:val="004671AA"/>
    <w:rsid w:val="00480FB1"/>
    <w:rsid w:val="00481AAB"/>
    <w:rsid w:val="00483928"/>
    <w:rsid w:val="00490823"/>
    <w:rsid w:val="004A1AD0"/>
    <w:rsid w:val="004C331F"/>
    <w:rsid w:val="004D6103"/>
    <w:rsid w:val="004E2755"/>
    <w:rsid w:val="004E3BCE"/>
    <w:rsid w:val="004E70AD"/>
    <w:rsid w:val="004F0E97"/>
    <w:rsid w:val="00501DD1"/>
    <w:rsid w:val="00513F24"/>
    <w:rsid w:val="00515C21"/>
    <w:rsid w:val="00530BD7"/>
    <w:rsid w:val="00545CD2"/>
    <w:rsid w:val="005476F3"/>
    <w:rsid w:val="005624AA"/>
    <w:rsid w:val="00565C93"/>
    <w:rsid w:val="00572527"/>
    <w:rsid w:val="00573E40"/>
    <w:rsid w:val="00576348"/>
    <w:rsid w:val="00580D82"/>
    <w:rsid w:val="00585F44"/>
    <w:rsid w:val="005A0B2E"/>
    <w:rsid w:val="005A23D2"/>
    <w:rsid w:val="005A36CB"/>
    <w:rsid w:val="005B49B8"/>
    <w:rsid w:val="005C0741"/>
    <w:rsid w:val="005C5EF4"/>
    <w:rsid w:val="005D07B8"/>
    <w:rsid w:val="005D5EA1"/>
    <w:rsid w:val="005E2E0B"/>
    <w:rsid w:val="005E7A7D"/>
    <w:rsid w:val="00602457"/>
    <w:rsid w:val="00605645"/>
    <w:rsid w:val="00611D25"/>
    <w:rsid w:val="00644FC3"/>
    <w:rsid w:val="00646BD1"/>
    <w:rsid w:val="006561C2"/>
    <w:rsid w:val="00671CB3"/>
    <w:rsid w:val="00674BAF"/>
    <w:rsid w:val="006801F3"/>
    <w:rsid w:val="00682200"/>
    <w:rsid w:val="00692BF6"/>
    <w:rsid w:val="00696678"/>
    <w:rsid w:val="006A1497"/>
    <w:rsid w:val="006B08F0"/>
    <w:rsid w:val="006B0BD1"/>
    <w:rsid w:val="006B5404"/>
    <w:rsid w:val="006D20A5"/>
    <w:rsid w:val="006D37BF"/>
    <w:rsid w:val="006D6545"/>
    <w:rsid w:val="00701A3B"/>
    <w:rsid w:val="00702E22"/>
    <w:rsid w:val="00704CD8"/>
    <w:rsid w:val="00707A77"/>
    <w:rsid w:val="0072020E"/>
    <w:rsid w:val="007859B5"/>
    <w:rsid w:val="00786071"/>
    <w:rsid w:val="007A3ECB"/>
    <w:rsid w:val="007D7BB3"/>
    <w:rsid w:val="007F0561"/>
    <w:rsid w:val="00824AB9"/>
    <w:rsid w:val="00836B35"/>
    <w:rsid w:val="00843BDE"/>
    <w:rsid w:val="00846413"/>
    <w:rsid w:val="00874554"/>
    <w:rsid w:val="0087588C"/>
    <w:rsid w:val="0089705C"/>
    <w:rsid w:val="008A5B3C"/>
    <w:rsid w:val="008A6D43"/>
    <w:rsid w:val="008B491E"/>
    <w:rsid w:val="008B6920"/>
    <w:rsid w:val="008C1A28"/>
    <w:rsid w:val="008C2E98"/>
    <w:rsid w:val="008E49BD"/>
    <w:rsid w:val="008E53E9"/>
    <w:rsid w:val="008E5771"/>
    <w:rsid w:val="008E65C6"/>
    <w:rsid w:val="008F4ACF"/>
    <w:rsid w:val="00907C2B"/>
    <w:rsid w:val="00911EA3"/>
    <w:rsid w:val="00924166"/>
    <w:rsid w:val="00936DAD"/>
    <w:rsid w:val="00940B9B"/>
    <w:rsid w:val="0095676E"/>
    <w:rsid w:val="00956983"/>
    <w:rsid w:val="009602D1"/>
    <w:rsid w:val="00963CF0"/>
    <w:rsid w:val="00964BB1"/>
    <w:rsid w:val="009775D9"/>
    <w:rsid w:val="00997175"/>
    <w:rsid w:val="009A1847"/>
    <w:rsid w:val="009B062A"/>
    <w:rsid w:val="009C59E6"/>
    <w:rsid w:val="009E7C6F"/>
    <w:rsid w:val="009F1793"/>
    <w:rsid w:val="009F2D23"/>
    <w:rsid w:val="009F69AF"/>
    <w:rsid w:val="00A01D69"/>
    <w:rsid w:val="00A02335"/>
    <w:rsid w:val="00A1579E"/>
    <w:rsid w:val="00A30B4A"/>
    <w:rsid w:val="00A32915"/>
    <w:rsid w:val="00A46C9A"/>
    <w:rsid w:val="00A56222"/>
    <w:rsid w:val="00A619F3"/>
    <w:rsid w:val="00A62A73"/>
    <w:rsid w:val="00A7556C"/>
    <w:rsid w:val="00A87FF6"/>
    <w:rsid w:val="00AA0A3B"/>
    <w:rsid w:val="00AA2763"/>
    <w:rsid w:val="00AA33B6"/>
    <w:rsid w:val="00AB50CA"/>
    <w:rsid w:val="00AB6D64"/>
    <w:rsid w:val="00AC3D8C"/>
    <w:rsid w:val="00AC53CE"/>
    <w:rsid w:val="00AD2193"/>
    <w:rsid w:val="00AE70C1"/>
    <w:rsid w:val="00AF2AC7"/>
    <w:rsid w:val="00AF31FF"/>
    <w:rsid w:val="00AF74CE"/>
    <w:rsid w:val="00B208DB"/>
    <w:rsid w:val="00B23F69"/>
    <w:rsid w:val="00B312B7"/>
    <w:rsid w:val="00B60619"/>
    <w:rsid w:val="00B66A70"/>
    <w:rsid w:val="00B67366"/>
    <w:rsid w:val="00B80EE1"/>
    <w:rsid w:val="00B84135"/>
    <w:rsid w:val="00BB2927"/>
    <w:rsid w:val="00C04D34"/>
    <w:rsid w:val="00C05DF8"/>
    <w:rsid w:val="00C06864"/>
    <w:rsid w:val="00C10F54"/>
    <w:rsid w:val="00C23D8D"/>
    <w:rsid w:val="00C33F48"/>
    <w:rsid w:val="00C35EDF"/>
    <w:rsid w:val="00C37AA3"/>
    <w:rsid w:val="00C37FD7"/>
    <w:rsid w:val="00C43419"/>
    <w:rsid w:val="00C44CF3"/>
    <w:rsid w:val="00C61BE0"/>
    <w:rsid w:val="00C6707E"/>
    <w:rsid w:val="00C70B0E"/>
    <w:rsid w:val="00C773CA"/>
    <w:rsid w:val="00C83785"/>
    <w:rsid w:val="00C94C0D"/>
    <w:rsid w:val="00CA1FEB"/>
    <w:rsid w:val="00CB796B"/>
    <w:rsid w:val="00CC186C"/>
    <w:rsid w:val="00CD4F85"/>
    <w:rsid w:val="00CD6F02"/>
    <w:rsid w:val="00CE246D"/>
    <w:rsid w:val="00CF07A0"/>
    <w:rsid w:val="00CF3E03"/>
    <w:rsid w:val="00D0082A"/>
    <w:rsid w:val="00D21455"/>
    <w:rsid w:val="00D243B7"/>
    <w:rsid w:val="00D247D7"/>
    <w:rsid w:val="00D314DB"/>
    <w:rsid w:val="00D44C81"/>
    <w:rsid w:val="00D46FD4"/>
    <w:rsid w:val="00D47634"/>
    <w:rsid w:val="00D55971"/>
    <w:rsid w:val="00D60EC1"/>
    <w:rsid w:val="00D709B3"/>
    <w:rsid w:val="00DA2ED6"/>
    <w:rsid w:val="00DB76B8"/>
    <w:rsid w:val="00DC2EA1"/>
    <w:rsid w:val="00DD1228"/>
    <w:rsid w:val="00DD6AAF"/>
    <w:rsid w:val="00DE3F5C"/>
    <w:rsid w:val="00DF1D20"/>
    <w:rsid w:val="00E0522C"/>
    <w:rsid w:val="00E062C6"/>
    <w:rsid w:val="00E21324"/>
    <w:rsid w:val="00E246B9"/>
    <w:rsid w:val="00E31FEA"/>
    <w:rsid w:val="00E45169"/>
    <w:rsid w:val="00E47787"/>
    <w:rsid w:val="00E51C30"/>
    <w:rsid w:val="00E64180"/>
    <w:rsid w:val="00E65A5B"/>
    <w:rsid w:val="00E73C3D"/>
    <w:rsid w:val="00E74AEE"/>
    <w:rsid w:val="00E82CB2"/>
    <w:rsid w:val="00E868E5"/>
    <w:rsid w:val="00E9237A"/>
    <w:rsid w:val="00E939FA"/>
    <w:rsid w:val="00EA5765"/>
    <w:rsid w:val="00EC145B"/>
    <w:rsid w:val="00EC2532"/>
    <w:rsid w:val="00ED7812"/>
    <w:rsid w:val="00EE03C1"/>
    <w:rsid w:val="00EE07B1"/>
    <w:rsid w:val="00EF24E1"/>
    <w:rsid w:val="00EF3B86"/>
    <w:rsid w:val="00F038A3"/>
    <w:rsid w:val="00F317E9"/>
    <w:rsid w:val="00F32A95"/>
    <w:rsid w:val="00F34554"/>
    <w:rsid w:val="00F45F77"/>
    <w:rsid w:val="00F5167F"/>
    <w:rsid w:val="00F52258"/>
    <w:rsid w:val="00F67B5F"/>
    <w:rsid w:val="00F75518"/>
    <w:rsid w:val="00F8469C"/>
    <w:rsid w:val="00F8570A"/>
    <w:rsid w:val="00F87AA0"/>
    <w:rsid w:val="00F91C7B"/>
    <w:rsid w:val="00FA0D3F"/>
    <w:rsid w:val="00FD4DD6"/>
    <w:rsid w:val="00FD5623"/>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F508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Char Char Ch"/>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C33F48"/>
    <w:rPr>
      <w:sz w:val="24"/>
      <w:szCs w:val="24"/>
      <w:lang w:val="en-US" w:eastAsia="en-US"/>
    </w:rPr>
  </w:style>
  <w:style w:type="paragraph" w:styleId="Revision">
    <w:name w:val="Revision"/>
    <w:hidden/>
    <w:uiPriority w:val="99"/>
    <w:semiHidden/>
    <w:rsid w:val="00015FE6"/>
    <w:rPr>
      <w:sz w:val="24"/>
      <w:szCs w:val="24"/>
      <w:lang w:val="en-US" w:eastAsia="en-US"/>
    </w:rPr>
  </w:style>
  <w:style w:type="paragraph" w:styleId="ListParagraph">
    <w:name w:val="List Paragraph"/>
    <w:basedOn w:val="Normal"/>
    <w:uiPriority w:val="34"/>
    <w:qFormat/>
    <w:rsid w:val="00874554"/>
    <w:pPr>
      <w:tabs>
        <w:tab w:val="left" w:pos="284"/>
      </w:tabs>
      <w:ind w:left="720"/>
      <w:contextualSpacing/>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gif"/><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reporting.who-umc.org/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7FB85D616274DA5B8A5461DAA9E97" ma:contentTypeVersion="13" ma:contentTypeDescription="Create a new document." ma:contentTypeScope="" ma:versionID="898d647c91282559452e9e9a544d25e4">
  <xsd:schema xmlns:xsd="http://www.w3.org/2001/XMLSchema" xmlns:xs="http://www.w3.org/2001/XMLSchema" xmlns:p="http://schemas.microsoft.com/office/2006/metadata/properties" xmlns:ns3="c9fd5de8-3b21-4770-9844-7c653ba74bad" xmlns:ns4="5f1addc1-5640-4224-933b-a3571a47c53e" targetNamespace="http://schemas.microsoft.com/office/2006/metadata/properties" ma:root="true" ma:fieldsID="b134391363f32842498047a9a59fbdea" ns3:_="" ns4:_="">
    <xsd:import namespace="c9fd5de8-3b21-4770-9844-7c653ba74bad"/>
    <xsd:import namespace="5f1addc1-5640-4224-933b-a3571a47c5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d5de8-3b21-4770-9844-7c653ba74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addc1-5640-4224-933b-a3571a47c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CD9B-3598-4E71-81D3-E5A9D25CA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d5de8-3b21-4770-9844-7c653ba74bad"/>
    <ds:schemaRef ds:uri="5f1addc1-5640-4224-933b-a3571a47c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E0E04-E27A-4E61-949D-9C0E7C46A44D}">
  <ds:schemaRefs>
    <ds:schemaRef ds:uri="http://schemas.microsoft.com/sharepoint/v3/contenttype/forms"/>
  </ds:schemaRefs>
</ds:datastoreItem>
</file>

<file path=customXml/itemProps3.xml><?xml version="1.0" encoding="utf-8"?>
<ds:datastoreItem xmlns:ds="http://schemas.openxmlformats.org/officeDocument/2006/customXml" ds:itemID="{9A4F9642-DE70-40AD-AE09-0061EDFEE1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E5F01F-C47F-4C49-AA9E-A10A909A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14206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Ljumović</cp:lastModifiedBy>
  <cp:revision>2</cp:revision>
  <dcterms:created xsi:type="dcterms:W3CDTF">2024-10-03T07:53:00Z</dcterms:created>
  <dcterms:modified xsi:type="dcterms:W3CDTF">2024-10-03T07:53:00Z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0x0101004507FB85D616274DA5B8A5461DAA9E97</vt:lpwstr>
  </property>
</Properties>
</file>