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E508D" w14:textId="77777777" w:rsidR="001A5518" w:rsidRPr="00E5029D" w:rsidRDefault="001A5518" w:rsidP="00F679AB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14:paraId="4F54F841" w14:textId="77777777" w:rsidR="00F91C7B" w:rsidRPr="00E5029D" w:rsidRDefault="00F91C7B" w:rsidP="00F679AB">
      <w:pPr>
        <w:jc w:val="center"/>
        <w:rPr>
          <w:b/>
          <w:bCs/>
          <w:i/>
          <w:iCs/>
          <w:sz w:val="22"/>
          <w:szCs w:val="22"/>
          <w:u w:val="single"/>
        </w:rPr>
      </w:pPr>
    </w:p>
    <w:p w14:paraId="09C4B6F3" w14:textId="77777777" w:rsidR="002510A5" w:rsidRPr="00E5029D" w:rsidRDefault="002510A5" w:rsidP="00F679AB">
      <w:pPr>
        <w:jc w:val="center"/>
        <w:rPr>
          <w:b/>
          <w:bCs/>
          <w:iCs/>
          <w:sz w:val="22"/>
          <w:szCs w:val="22"/>
          <w:u w:val="single"/>
        </w:rPr>
      </w:pPr>
      <w:r w:rsidRPr="00E5029D">
        <w:rPr>
          <w:b/>
          <w:bCs/>
          <w:iCs/>
          <w:sz w:val="22"/>
          <w:szCs w:val="22"/>
          <w:u w:val="single"/>
        </w:rPr>
        <w:t>SAŽETAK KARAKTERISTIKA LIJEKA</w:t>
      </w:r>
    </w:p>
    <w:p w14:paraId="5AAB39E1" w14:textId="77777777" w:rsidR="002510A5" w:rsidRPr="00E5029D" w:rsidRDefault="002510A5" w:rsidP="003C741B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5BD3594D" w14:textId="77777777" w:rsidR="003C17AB" w:rsidRPr="00E5029D" w:rsidRDefault="003C17AB" w:rsidP="003C741B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hr-HR"/>
        </w:rPr>
      </w:pPr>
    </w:p>
    <w:p w14:paraId="5615B60A" w14:textId="77777777" w:rsidR="00C37FD7" w:rsidRPr="00E5029D" w:rsidRDefault="00C37FD7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9F57A06" w14:textId="77777777" w:rsidR="00411B4B" w:rsidRPr="00E5029D" w:rsidRDefault="00411B4B" w:rsidP="003C74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>1.</w:t>
      </w:r>
      <w:r w:rsidR="00F5167F" w:rsidRPr="00E5029D">
        <w:rPr>
          <w:b/>
          <w:bCs/>
          <w:sz w:val="22"/>
          <w:szCs w:val="22"/>
        </w:rPr>
        <w:tab/>
      </w:r>
      <w:r w:rsidR="002846DB" w:rsidRPr="00E5029D">
        <w:rPr>
          <w:b/>
          <w:bCs/>
          <w:sz w:val="22"/>
          <w:szCs w:val="22"/>
        </w:rPr>
        <w:t xml:space="preserve">NAZIV </w:t>
      </w:r>
      <w:r w:rsidRPr="00E5029D">
        <w:rPr>
          <w:b/>
          <w:bCs/>
          <w:sz w:val="22"/>
          <w:szCs w:val="22"/>
        </w:rPr>
        <w:t>LIJEKA</w:t>
      </w:r>
    </w:p>
    <w:p w14:paraId="7956EA3B" w14:textId="77777777" w:rsidR="00EC2532" w:rsidRPr="00E5029D" w:rsidRDefault="00EC2532" w:rsidP="003C741B">
      <w:pPr>
        <w:jc w:val="both"/>
        <w:rPr>
          <w:sz w:val="22"/>
          <w:szCs w:val="22"/>
          <w:lang w:val="pl-PL"/>
        </w:rPr>
      </w:pPr>
    </w:p>
    <w:p w14:paraId="071A00C7" w14:textId="57E3540D" w:rsidR="0000248E" w:rsidRPr="00E5029D" w:rsidRDefault="0000248E" w:rsidP="003C741B">
      <w:pPr>
        <w:jc w:val="both"/>
        <w:rPr>
          <w:sz w:val="22"/>
          <w:szCs w:val="22"/>
          <w:lang w:val="sr-Latn-ME"/>
        </w:rPr>
      </w:pPr>
      <w:r w:rsidRPr="00E5029D">
        <w:rPr>
          <w:sz w:val="22"/>
          <w:szCs w:val="22"/>
          <w:lang w:val="sr-Latn-ME"/>
        </w:rPr>
        <w:t>Rozor</w:t>
      </w:r>
      <w:r w:rsidR="00B303B5">
        <w:rPr>
          <w:sz w:val="22"/>
          <w:szCs w:val="22"/>
          <w:lang w:val="sr-Latn-ME"/>
        </w:rPr>
        <w:t>,</w:t>
      </w:r>
      <w:r w:rsidRPr="00E5029D">
        <w:rPr>
          <w:sz w:val="22"/>
          <w:szCs w:val="22"/>
          <w:lang w:val="sr-Latn-ME"/>
        </w:rPr>
        <w:t xml:space="preserve"> </w:t>
      </w:r>
      <w:r w:rsidR="009570C6" w:rsidRPr="00E5029D">
        <w:rPr>
          <w:sz w:val="22"/>
          <w:szCs w:val="22"/>
          <w:lang w:val="sr-Latn-ME"/>
        </w:rPr>
        <w:t>film tablet</w:t>
      </w:r>
      <w:r w:rsidR="009570C6">
        <w:rPr>
          <w:sz w:val="22"/>
          <w:szCs w:val="22"/>
          <w:lang w:val="sr-Latn-ME"/>
        </w:rPr>
        <w:t xml:space="preserve">a, </w:t>
      </w:r>
      <w:r w:rsidRPr="00E5029D">
        <w:rPr>
          <w:sz w:val="22"/>
          <w:szCs w:val="22"/>
          <w:lang w:val="sr-Latn-ME"/>
        </w:rPr>
        <w:t>10 mg + 10 mg</w:t>
      </w:r>
      <w:r w:rsidR="00B303B5">
        <w:rPr>
          <w:sz w:val="22"/>
          <w:szCs w:val="22"/>
          <w:lang w:val="sr-Latn-ME"/>
        </w:rPr>
        <w:t>,</w:t>
      </w:r>
      <w:r w:rsidRPr="00E5029D">
        <w:rPr>
          <w:sz w:val="22"/>
          <w:szCs w:val="22"/>
          <w:lang w:val="sr-Latn-ME"/>
        </w:rPr>
        <w:t xml:space="preserve"> </w:t>
      </w:r>
      <w:r w:rsidR="009570C6">
        <w:rPr>
          <w:sz w:val="22"/>
          <w:szCs w:val="22"/>
          <w:lang w:val="sr-Latn-ME"/>
        </w:rPr>
        <w:t xml:space="preserve">blister, </w:t>
      </w:r>
      <w:r w:rsidR="00B303B5">
        <w:rPr>
          <w:sz w:val="22"/>
          <w:szCs w:val="22"/>
          <w:lang w:val="sr-Latn-ME"/>
        </w:rPr>
        <w:t xml:space="preserve">30 </w:t>
      </w:r>
      <w:r w:rsidR="009570C6">
        <w:rPr>
          <w:sz w:val="22"/>
          <w:szCs w:val="22"/>
          <w:lang w:val="sr-Latn-ME"/>
        </w:rPr>
        <w:t xml:space="preserve">(3x10) </w:t>
      </w:r>
      <w:r w:rsidR="00B303B5">
        <w:rPr>
          <w:sz w:val="22"/>
          <w:szCs w:val="22"/>
          <w:lang w:val="sr-Latn-ME"/>
        </w:rPr>
        <w:t>film tableta</w:t>
      </w:r>
    </w:p>
    <w:p w14:paraId="0B9C91C3" w14:textId="471C5BF3" w:rsidR="0000248E" w:rsidRPr="00E5029D" w:rsidRDefault="0000248E" w:rsidP="003C741B">
      <w:pPr>
        <w:jc w:val="both"/>
        <w:rPr>
          <w:sz w:val="22"/>
          <w:szCs w:val="22"/>
          <w:lang w:val="sr-Latn-ME"/>
        </w:rPr>
      </w:pPr>
      <w:r w:rsidRPr="00E5029D">
        <w:rPr>
          <w:sz w:val="22"/>
          <w:szCs w:val="22"/>
          <w:lang w:val="sr-Latn-ME"/>
        </w:rPr>
        <w:t>Rozor</w:t>
      </w:r>
      <w:r w:rsidR="00B303B5">
        <w:rPr>
          <w:sz w:val="22"/>
          <w:szCs w:val="22"/>
          <w:lang w:val="sr-Latn-ME"/>
        </w:rPr>
        <w:t>,</w:t>
      </w:r>
      <w:r w:rsidRPr="00E5029D">
        <w:rPr>
          <w:sz w:val="22"/>
          <w:szCs w:val="22"/>
          <w:lang w:val="sr-Latn-ME"/>
        </w:rPr>
        <w:t xml:space="preserve"> </w:t>
      </w:r>
      <w:r w:rsidR="009570C6" w:rsidRPr="00E5029D">
        <w:rPr>
          <w:sz w:val="22"/>
          <w:szCs w:val="22"/>
          <w:lang w:val="sr-Latn-ME"/>
        </w:rPr>
        <w:t>film tablet</w:t>
      </w:r>
      <w:r w:rsidR="009570C6">
        <w:rPr>
          <w:sz w:val="22"/>
          <w:szCs w:val="22"/>
          <w:lang w:val="sr-Latn-ME"/>
        </w:rPr>
        <w:t xml:space="preserve">a, </w:t>
      </w:r>
      <w:r w:rsidRPr="00E5029D">
        <w:rPr>
          <w:sz w:val="22"/>
          <w:szCs w:val="22"/>
          <w:lang w:val="sr-Latn-ME"/>
        </w:rPr>
        <w:t>20 mg + 10 mg</w:t>
      </w:r>
      <w:r w:rsidR="00B303B5">
        <w:rPr>
          <w:sz w:val="22"/>
          <w:szCs w:val="22"/>
          <w:lang w:val="sr-Latn-ME"/>
        </w:rPr>
        <w:t>,</w:t>
      </w:r>
      <w:r w:rsidR="00B303B5" w:rsidRPr="00E5029D">
        <w:rPr>
          <w:sz w:val="22"/>
          <w:szCs w:val="22"/>
          <w:lang w:val="sr-Latn-ME"/>
        </w:rPr>
        <w:t xml:space="preserve"> </w:t>
      </w:r>
      <w:r w:rsidR="009570C6">
        <w:rPr>
          <w:sz w:val="22"/>
          <w:szCs w:val="22"/>
          <w:lang w:val="sr-Latn-ME"/>
        </w:rPr>
        <w:t>blister, 30 (3x10) film tableta</w:t>
      </w:r>
    </w:p>
    <w:p w14:paraId="1090938D" w14:textId="77777777" w:rsidR="0000248E" w:rsidRPr="00E5029D" w:rsidRDefault="0000248E" w:rsidP="003C741B">
      <w:pPr>
        <w:jc w:val="both"/>
        <w:rPr>
          <w:sz w:val="22"/>
          <w:szCs w:val="22"/>
          <w:lang w:val="sr-Latn-ME"/>
        </w:rPr>
      </w:pPr>
    </w:p>
    <w:p w14:paraId="2271B8BC" w14:textId="1579340F" w:rsidR="006D20A5" w:rsidRPr="00E5029D" w:rsidRDefault="0000248E" w:rsidP="003C741B">
      <w:pPr>
        <w:jc w:val="both"/>
        <w:rPr>
          <w:bCs/>
          <w:sz w:val="22"/>
          <w:szCs w:val="22"/>
          <w:lang w:val="sv-SE"/>
        </w:rPr>
      </w:pPr>
      <w:r w:rsidRPr="00E5029D">
        <w:rPr>
          <w:sz w:val="22"/>
          <w:szCs w:val="22"/>
          <w:lang w:val="sr-Latn-ME"/>
        </w:rPr>
        <w:t>INN: rosuvastatin, ezetimib</w:t>
      </w:r>
    </w:p>
    <w:p w14:paraId="7FC8D896" w14:textId="796096DA" w:rsidR="00530BD7" w:rsidRDefault="00530BD7" w:rsidP="003C741B">
      <w:pPr>
        <w:jc w:val="both"/>
        <w:rPr>
          <w:bCs/>
          <w:sz w:val="22"/>
          <w:szCs w:val="22"/>
          <w:lang w:val="sv-SE"/>
        </w:rPr>
      </w:pPr>
    </w:p>
    <w:p w14:paraId="09881073" w14:textId="77777777" w:rsidR="00772F51" w:rsidRPr="00E5029D" w:rsidRDefault="00772F51" w:rsidP="003C741B">
      <w:pPr>
        <w:jc w:val="both"/>
        <w:rPr>
          <w:bCs/>
          <w:sz w:val="22"/>
          <w:szCs w:val="22"/>
          <w:lang w:val="sv-SE"/>
        </w:rPr>
      </w:pPr>
    </w:p>
    <w:p w14:paraId="5729FFF5" w14:textId="77777777" w:rsidR="00411B4B" w:rsidRPr="00E5029D" w:rsidRDefault="00411B4B" w:rsidP="003C74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2. </w:t>
      </w:r>
      <w:r w:rsidR="00F5167F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KVALITATIVNI I KVANTITATIVNI SASTAV</w:t>
      </w:r>
    </w:p>
    <w:p w14:paraId="014D3173" w14:textId="7B4DF4C5" w:rsidR="005A0B2E" w:rsidRPr="00E5029D" w:rsidRDefault="005A0B2E" w:rsidP="003C741B">
      <w:pPr>
        <w:jc w:val="both"/>
        <w:rPr>
          <w:sz w:val="22"/>
          <w:szCs w:val="22"/>
          <w:lang w:val="sr-Latn-CS"/>
        </w:rPr>
      </w:pPr>
    </w:p>
    <w:p w14:paraId="63A9B350" w14:textId="316D180B" w:rsidR="0000248E" w:rsidRPr="0000248E" w:rsidRDefault="0000248E" w:rsidP="002577D0">
      <w:pPr>
        <w:jc w:val="both"/>
        <w:rPr>
          <w:bCs/>
          <w:sz w:val="22"/>
          <w:szCs w:val="22"/>
          <w:lang w:val="sr-Latn-CS"/>
        </w:rPr>
      </w:pPr>
      <w:r w:rsidRPr="0000248E">
        <w:rPr>
          <w:bCs/>
          <w:sz w:val="22"/>
          <w:szCs w:val="22"/>
          <w:lang w:val="sr-Latn-CS"/>
        </w:rPr>
        <w:t xml:space="preserve">Rozor </w:t>
      </w:r>
      <w:r w:rsidR="00F85E4F" w:rsidRPr="00E5029D">
        <w:rPr>
          <w:sz w:val="22"/>
          <w:szCs w:val="22"/>
          <w:lang w:val="sr-Latn-ME"/>
        </w:rPr>
        <w:t xml:space="preserve">10 mg + 10 mg </w:t>
      </w:r>
      <w:r w:rsidRPr="0000248E">
        <w:rPr>
          <w:bCs/>
          <w:sz w:val="22"/>
          <w:szCs w:val="22"/>
          <w:lang w:val="sr-Latn-CS"/>
        </w:rPr>
        <w:t>film tablet</w:t>
      </w:r>
      <w:r w:rsidR="009E0E42">
        <w:rPr>
          <w:bCs/>
          <w:sz w:val="22"/>
          <w:szCs w:val="22"/>
          <w:lang w:val="sr-Latn-CS"/>
        </w:rPr>
        <w:t>a</w:t>
      </w:r>
      <w:r w:rsidRPr="0000248E">
        <w:rPr>
          <w:bCs/>
          <w:sz w:val="22"/>
          <w:szCs w:val="22"/>
          <w:lang w:val="sr-Latn-CS"/>
        </w:rPr>
        <w:t>: Jedna film tableta sadrži 10 mg rosuvastatina (u obliku kalcijuma) i 10 mg ezetimiba.</w:t>
      </w:r>
    </w:p>
    <w:p w14:paraId="0050E519" w14:textId="77777777" w:rsidR="0000248E" w:rsidRPr="0000248E" w:rsidRDefault="0000248E" w:rsidP="002577D0">
      <w:pPr>
        <w:jc w:val="both"/>
        <w:rPr>
          <w:sz w:val="22"/>
          <w:szCs w:val="22"/>
        </w:rPr>
      </w:pPr>
    </w:p>
    <w:p w14:paraId="427A13E2" w14:textId="57A51EAC" w:rsidR="0000248E" w:rsidRPr="0000248E" w:rsidRDefault="0000248E" w:rsidP="002577D0">
      <w:pPr>
        <w:jc w:val="both"/>
        <w:rPr>
          <w:bCs/>
          <w:sz w:val="22"/>
          <w:szCs w:val="22"/>
          <w:lang w:val="sr-Latn-CS"/>
        </w:rPr>
      </w:pPr>
      <w:r w:rsidRPr="0000248E">
        <w:rPr>
          <w:bCs/>
          <w:sz w:val="22"/>
          <w:szCs w:val="22"/>
          <w:lang w:val="sr-Latn-CS"/>
        </w:rPr>
        <w:t xml:space="preserve">Rozor </w:t>
      </w:r>
      <w:r w:rsidR="00F85E4F">
        <w:rPr>
          <w:sz w:val="22"/>
          <w:szCs w:val="22"/>
          <w:lang w:val="sr-Latn-ME"/>
        </w:rPr>
        <w:t>2</w:t>
      </w:r>
      <w:r w:rsidR="00F85E4F" w:rsidRPr="00E5029D">
        <w:rPr>
          <w:sz w:val="22"/>
          <w:szCs w:val="22"/>
          <w:lang w:val="sr-Latn-ME"/>
        </w:rPr>
        <w:t xml:space="preserve">0 mg + 10 mg </w:t>
      </w:r>
      <w:r w:rsidRPr="0000248E">
        <w:rPr>
          <w:bCs/>
          <w:sz w:val="22"/>
          <w:szCs w:val="22"/>
          <w:lang w:val="sr-Latn-CS"/>
        </w:rPr>
        <w:t>film tablet</w:t>
      </w:r>
      <w:r w:rsidR="009E0E42">
        <w:rPr>
          <w:bCs/>
          <w:sz w:val="22"/>
          <w:szCs w:val="22"/>
          <w:lang w:val="sr-Latn-CS"/>
        </w:rPr>
        <w:t>a</w:t>
      </w:r>
      <w:r w:rsidRPr="0000248E">
        <w:rPr>
          <w:bCs/>
          <w:sz w:val="22"/>
          <w:szCs w:val="22"/>
          <w:lang w:val="sr-Latn-CS"/>
        </w:rPr>
        <w:t>: Jedna film tableta sadrži 20 mg rosuvastatina (u obliku kalcijuma) i 10 mg ezetimiba.</w:t>
      </w:r>
    </w:p>
    <w:p w14:paraId="78B42891" w14:textId="77777777" w:rsidR="0000248E" w:rsidRPr="00E5029D" w:rsidRDefault="0000248E" w:rsidP="002577D0">
      <w:pPr>
        <w:jc w:val="both"/>
        <w:rPr>
          <w:sz w:val="22"/>
          <w:szCs w:val="22"/>
          <w:lang w:val="sr-Latn-CS"/>
        </w:rPr>
      </w:pPr>
    </w:p>
    <w:p w14:paraId="096EBB48" w14:textId="77777777" w:rsidR="0003793F" w:rsidRPr="00E5029D" w:rsidRDefault="0003793F" w:rsidP="002577D0">
      <w:pPr>
        <w:jc w:val="both"/>
        <w:rPr>
          <w:sz w:val="22"/>
          <w:szCs w:val="22"/>
          <w:lang w:val="sr-Latn-CS"/>
        </w:rPr>
      </w:pPr>
      <w:r w:rsidRPr="00E5029D">
        <w:rPr>
          <w:sz w:val="22"/>
          <w:szCs w:val="22"/>
          <w:lang w:val="sr-Latn-CS"/>
        </w:rPr>
        <w:t>Za spisak svih ekscipijenasa, pogledati dio 6.1.</w:t>
      </w:r>
    </w:p>
    <w:p w14:paraId="78137CF7" w14:textId="77777777" w:rsidR="0003793F" w:rsidRPr="00E5029D" w:rsidRDefault="0003793F" w:rsidP="00772F51">
      <w:pPr>
        <w:rPr>
          <w:sz w:val="22"/>
          <w:szCs w:val="22"/>
          <w:lang w:val="sr-Latn-CS"/>
        </w:rPr>
      </w:pPr>
    </w:p>
    <w:p w14:paraId="1EAE03D6" w14:textId="77777777" w:rsidR="00C37FD7" w:rsidRPr="00E5029D" w:rsidRDefault="00C37FD7" w:rsidP="003C741B">
      <w:pPr>
        <w:jc w:val="both"/>
        <w:rPr>
          <w:sz w:val="22"/>
          <w:szCs w:val="22"/>
          <w:lang w:val="sr-Latn-CS"/>
        </w:rPr>
      </w:pPr>
    </w:p>
    <w:p w14:paraId="14D5DA6C" w14:textId="1C317B1E" w:rsidR="00411B4B" w:rsidRPr="00E5029D" w:rsidRDefault="00411B4B" w:rsidP="003C74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3. </w:t>
      </w:r>
      <w:r w:rsidR="00F5167F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FARMACEUTSKI OBLIK</w:t>
      </w:r>
      <w:r w:rsidR="009F2D23" w:rsidRPr="00E5029D">
        <w:rPr>
          <w:b/>
          <w:bCs/>
          <w:sz w:val="22"/>
          <w:szCs w:val="22"/>
        </w:rPr>
        <w:t xml:space="preserve"> </w:t>
      </w:r>
    </w:p>
    <w:p w14:paraId="314CF9F4" w14:textId="77777777" w:rsidR="0000248E" w:rsidRPr="00E5029D" w:rsidRDefault="0000248E" w:rsidP="003C74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A97D074" w14:textId="77777777" w:rsidR="0000248E" w:rsidRPr="00E5029D" w:rsidRDefault="0000248E" w:rsidP="003C741B">
      <w:pPr>
        <w:jc w:val="both"/>
        <w:rPr>
          <w:bCs/>
          <w:sz w:val="22"/>
          <w:szCs w:val="22"/>
          <w:lang w:val="sr-Latn-CS"/>
        </w:rPr>
      </w:pPr>
      <w:r w:rsidRPr="00E5029D">
        <w:rPr>
          <w:bCs/>
          <w:sz w:val="22"/>
          <w:szCs w:val="22"/>
          <w:lang w:val="sr-Latn-CS"/>
        </w:rPr>
        <w:t>Film tableta.</w:t>
      </w:r>
    </w:p>
    <w:p w14:paraId="0D24DD24" w14:textId="77777777" w:rsidR="0000248E" w:rsidRPr="00E5029D" w:rsidRDefault="0000248E" w:rsidP="003C741B">
      <w:pPr>
        <w:jc w:val="both"/>
        <w:rPr>
          <w:bCs/>
          <w:sz w:val="22"/>
          <w:szCs w:val="22"/>
          <w:lang w:val="sr-Latn-CS"/>
        </w:rPr>
      </w:pPr>
    </w:p>
    <w:p w14:paraId="5A44703D" w14:textId="21638186" w:rsidR="0000248E" w:rsidRPr="00E5029D" w:rsidRDefault="0000248E" w:rsidP="003C741B">
      <w:pPr>
        <w:jc w:val="both"/>
        <w:rPr>
          <w:bCs/>
          <w:sz w:val="22"/>
          <w:szCs w:val="22"/>
          <w:lang w:val="sr-Latn-CS"/>
        </w:rPr>
      </w:pPr>
      <w:r w:rsidRPr="00E5029D">
        <w:rPr>
          <w:bCs/>
          <w:sz w:val="22"/>
          <w:szCs w:val="22"/>
          <w:lang w:val="sr-Latn-CS"/>
        </w:rPr>
        <w:t>Rozor 10 mg + 10 mg  film tableta: ružičasto obojena, okrugla, film tableta prečnika 10,</w:t>
      </w:r>
      <w:r w:rsidR="00752C23">
        <w:rPr>
          <w:bCs/>
          <w:sz w:val="22"/>
          <w:szCs w:val="22"/>
          <w:lang w:val="sr-Latn-CS"/>
        </w:rPr>
        <w:t>0 – 10,2</w:t>
      </w:r>
      <w:r w:rsidRPr="00E5029D">
        <w:rPr>
          <w:bCs/>
          <w:sz w:val="22"/>
          <w:szCs w:val="22"/>
          <w:lang w:val="sr-Latn-CS"/>
        </w:rPr>
        <w:t xml:space="preserve"> mm</w:t>
      </w:r>
      <w:r w:rsidR="00361BD4">
        <w:rPr>
          <w:bCs/>
          <w:sz w:val="22"/>
          <w:szCs w:val="22"/>
          <w:lang w:val="sr-Latn-CS"/>
        </w:rPr>
        <w:t xml:space="preserve"> </w:t>
      </w:r>
      <w:r w:rsidRPr="00E5029D">
        <w:rPr>
          <w:bCs/>
          <w:sz w:val="22"/>
          <w:szCs w:val="22"/>
          <w:lang w:val="sr-Latn-CS"/>
        </w:rPr>
        <w:t>sa utisnutom oznakom „AL“ na jednoj strani.</w:t>
      </w:r>
    </w:p>
    <w:p w14:paraId="0E92BCEA" w14:textId="77777777" w:rsidR="0000248E" w:rsidRPr="00E5029D" w:rsidRDefault="0000248E" w:rsidP="003C741B">
      <w:pPr>
        <w:jc w:val="both"/>
        <w:rPr>
          <w:bCs/>
          <w:sz w:val="22"/>
          <w:szCs w:val="22"/>
          <w:lang w:val="sr-Latn-CS"/>
        </w:rPr>
      </w:pPr>
    </w:p>
    <w:p w14:paraId="6B29251E" w14:textId="016CBA24" w:rsidR="00411B4B" w:rsidRPr="00E5029D" w:rsidRDefault="0000248E" w:rsidP="003C741B">
      <w:pPr>
        <w:jc w:val="both"/>
        <w:rPr>
          <w:bCs/>
          <w:sz w:val="22"/>
          <w:szCs w:val="22"/>
          <w:lang w:val="sr-Latn-CS"/>
        </w:rPr>
      </w:pPr>
      <w:r w:rsidRPr="00E5029D">
        <w:rPr>
          <w:bCs/>
          <w:sz w:val="22"/>
          <w:szCs w:val="22"/>
          <w:lang w:val="sr-Latn-CS"/>
        </w:rPr>
        <w:t>Rozor 20 mg + 10 mg  film tableta: ružičasto obojena, okrugla, film tableta prečnika 10,</w:t>
      </w:r>
      <w:r w:rsidR="003D2275">
        <w:rPr>
          <w:bCs/>
          <w:sz w:val="22"/>
          <w:szCs w:val="22"/>
          <w:lang w:val="sr-Latn-CS"/>
        </w:rPr>
        <w:t>6 – 10,8</w:t>
      </w:r>
      <w:r w:rsidRPr="00E5029D">
        <w:rPr>
          <w:bCs/>
          <w:sz w:val="22"/>
          <w:szCs w:val="22"/>
          <w:lang w:val="sr-Latn-CS"/>
        </w:rPr>
        <w:t xml:space="preserve"> mm bez </w:t>
      </w:r>
      <w:r w:rsidR="00361BD4">
        <w:rPr>
          <w:bCs/>
          <w:sz w:val="22"/>
          <w:szCs w:val="22"/>
          <w:lang w:val="sr-Latn-CS"/>
        </w:rPr>
        <w:t xml:space="preserve">ikakvih </w:t>
      </w:r>
      <w:r w:rsidRPr="00E5029D">
        <w:rPr>
          <w:bCs/>
          <w:sz w:val="22"/>
          <w:szCs w:val="22"/>
          <w:lang w:val="sr-Latn-CS"/>
        </w:rPr>
        <w:t>oznaka.</w:t>
      </w:r>
    </w:p>
    <w:p w14:paraId="2481DF78" w14:textId="69F67C55" w:rsidR="00EC2532" w:rsidRDefault="00EC2532" w:rsidP="003C741B">
      <w:pPr>
        <w:jc w:val="both"/>
        <w:rPr>
          <w:bCs/>
          <w:sz w:val="22"/>
          <w:szCs w:val="22"/>
          <w:lang w:val="sr-Latn-CS"/>
        </w:rPr>
      </w:pPr>
    </w:p>
    <w:p w14:paraId="300CBE71" w14:textId="77777777" w:rsidR="00772F51" w:rsidRPr="00E5029D" w:rsidRDefault="00772F51" w:rsidP="003C741B">
      <w:pPr>
        <w:jc w:val="both"/>
        <w:rPr>
          <w:bCs/>
          <w:sz w:val="22"/>
          <w:szCs w:val="22"/>
          <w:lang w:val="sr-Latn-CS"/>
        </w:rPr>
      </w:pPr>
    </w:p>
    <w:p w14:paraId="2566C3E8" w14:textId="77777777" w:rsidR="00411B4B" w:rsidRPr="00E5029D" w:rsidRDefault="00411B4B" w:rsidP="003C74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4.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KLINIČKI PODACI</w:t>
      </w:r>
    </w:p>
    <w:p w14:paraId="72764F6E" w14:textId="77777777" w:rsidR="00CD6F02" w:rsidRPr="00E5029D" w:rsidRDefault="00CD6F02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FD218FC" w14:textId="77777777" w:rsidR="00411B4B" w:rsidRPr="00E5029D" w:rsidRDefault="00411B4B" w:rsidP="003C74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4.1.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Terapijske indikacije</w:t>
      </w:r>
    </w:p>
    <w:p w14:paraId="7A155648" w14:textId="37973E15" w:rsidR="00411B4B" w:rsidRPr="00E5029D" w:rsidRDefault="00411B4B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F9C6338" w14:textId="77777777" w:rsidR="0000248E" w:rsidRPr="0000248E" w:rsidRDefault="0000248E" w:rsidP="00772F5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00248E">
        <w:rPr>
          <w:bCs/>
          <w:sz w:val="22"/>
          <w:szCs w:val="22"/>
          <w:u w:val="single"/>
        </w:rPr>
        <w:t>Hiperholesterolemija</w:t>
      </w:r>
    </w:p>
    <w:p w14:paraId="0DD2B866" w14:textId="432D9CFE" w:rsidR="0000248E" w:rsidRPr="003C741B" w:rsidRDefault="0000248E" w:rsidP="00772F51">
      <w:pPr>
        <w:tabs>
          <w:tab w:val="left" w:pos="540"/>
          <w:tab w:val="left" w:pos="569"/>
        </w:tabs>
        <w:jc w:val="both"/>
        <w:rPr>
          <w:bCs/>
          <w:strike/>
          <w:sz w:val="22"/>
          <w:szCs w:val="22"/>
        </w:rPr>
      </w:pPr>
      <w:r w:rsidRPr="0000248E">
        <w:rPr>
          <w:bCs/>
          <w:sz w:val="22"/>
          <w:szCs w:val="22"/>
        </w:rPr>
        <w:t>L</w:t>
      </w:r>
      <w:r w:rsidR="007E5AC4">
        <w:rPr>
          <w:bCs/>
          <w:sz w:val="22"/>
          <w:szCs w:val="22"/>
        </w:rPr>
        <w:t>ij</w:t>
      </w:r>
      <w:r w:rsidRPr="0000248E">
        <w:rPr>
          <w:bCs/>
          <w:sz w:val="22"/>
          <w:szCs w:val="22"/>
        </w:rPr>
        <w:t xml:space="preserve">ek Rozor je indikovan kao dodatna terapija uz dijetu kod pacijenata sa primarnom </w:t>
      </w:r>
      <w:r w:rsidRPr="00E5029D">
        <w:rPr>
          <w:bCs/>
          <w:sz w:val="22"/>
          <w:szCs w:val="22"/>
        </w:rPr>
        <w:t>h</w:t>
      </w:r>
      <w:r w:rsidRPr="0000248E">
        <w:rPr>
          <w:bCs/>
          <w:sz w:val="22"/>
          <w:szCs w:val="22"/>
        </w:rPr>
        <w:t>iperholesterolemijom,</w:t>
      </w:r>
      <w:r w:rsidRPr="00E5029D">
        <w:rPr>
          <w:bCs/>
          <w:sz w:val="22"/>
          <w:szCs w:val="22"/>
        </w:rPr>
        <w:t xml:space="preserve"> </w:t>
      </w:r>
      <w:r w:rsidRPr="0000248E">
        <w:rPr>
          <w:bCs/>
          <w:sz w:val="22"/>
          <w:szCs w:val="22"/>
        </w:rPr>
        <w:t>kao supstituciona terapija kod odraslih pacijenata koji su adekvatno kontrolisani</w:t>
      </w:r>
      <w:r w:rsidR="005F46D9">
        <w:rPr>
          <w:bCs/>
          <w:sz w:val="22"/>
          <w:szCs w:val="22"/>
        </w:rPr>
        <w:t xml:space="preserve"> sa pojedinačnim </w:t>
      </w:r>
      <w:r w:rsidR="007724C9">
        <w:rPr>
          <w:bCs/>
          <w:sz w:val="22"/>
          <w:szCs w:val="22"/>
        </w:rPr>
        <w:t>komponentama,</w:t>
      </w:r>
      <w:r w:rsidR="005F46D9">
        <w:rPr>
          <w:bCs/>
          <w:sz w:val="22"/>
          <w:szCs w:val="22"/>
        </w:rPr>
        <w:t xml:space="preserve"> koje se daju istovremeno u isto</w:t>
      </w:r>
      <w:r w:rsidR="007724C9">
        <w:rPr>
          <w:bCs/>
          <w:sz w:val="22"/>
          <w:szCs w:val="22"/>
        </w:rPr>
        <w:t>j</w:t>
      </w:r>
      <w:r w:rsidR="005F46D9">
        <w:rPr>
          <w:bCs/>
          <w:sz w:val="22"/>
          <w:szCs w:val="22"/>
        </w:rPr>
        <w:t xml:space="preserve"> doz</w:t>
      </w:r>
      <w:r w:rsidR="007724C9">
        <w:rPr>
          <w:bCs/>
          <w:sz w:val="22"/>
          <w:szCs w:val="22"/>
        </w:rPr>
        <w:t>i</w:t>
      </w:r>
      <w:r w:rsidR="005F46D9">
        <w:rPr>
          <w:bCs/>
          <w:sz w:val="22"/>
          <w:szCs w:val="22"/>
        </w:rPr>
        <w:t xml:space="preserve"> kao u </w:t>
      </w:r>
      <w:r w:rsidR="007724C9">
        <w:rPr>
          <w:bCs/>
          <w:sz w:val="22"/>
          <w:szCs w:val="22"/>
        </w:rPr>
        <w:t xml:space="preserve">fiksnoj </w:t>
      </w:r>
      <w:r w:rsidR="005F46D9">
        <w:rPr>
          <w:bCs/>
          <w:sz w:val="22"/>
          <w:szCs w:val="22"/>
        </w:rPr>
        <w:t>kombinaciji,</w:t>
      </w:r>
      <w:r w:rsidR="002215F4">
        <w:rPr>
          <w:bCs/>
          <w:sz w:val="22"/>
          <w:szCs w:val="22"/>
        </w:rPr>
        <w:t xml:space="preserve"> </w:t>
      </w:r>
      <w:r w:rsidR="005F46D9">
        <w:rPr>
          <w:bCs/>
          <w:sz w:val="22"/>
          <w:szCs w:val="22"/>
        </w:rPr>
        <w:t>ali kao posebn</w:t>
      </w:r>
      <w:r w:rsidR="007724C9">
        <w:rPr>
          <w:bCs/>
          <w:sz w:val="22"/>
          <w:szCs w:val="22"/>
        </w:rPr>
        <w:t>i</w:t>
      </w:r>
      <w:r w:rsidR="00B62E42">
        <w:rPr>
          <w:bCs/>
          <w:sz w:val="22"/>
          <w:szCs w:val="22"/>
        </w:rPr>
        <w:t xml:space="preserve"> ljekovi</w:t>
      </w:r>
      <w:r w:rsidR="002215F4">
        <w:rPr>
          <w:bCs/>
          <w:sz w:val="22"/>
          <w:szCs w:val="22"/>
        </w:rPr>
        <w:t>.</w:t>
      </w:r>
    </w:p>
    <w:p w14:paraId="40358D7C" w14:textId="77777777" w:rsidR="0000248E" w:rsidRPr="00E5029D" w:rsidRDefault="0000248E" w:rsidP="00772F5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F9C0716" w14:textId="77777777" w:rsidR="00411B4B" w:rsidRPr="00E5029D" w:rsidRDefault="00411B4B" w:rsidP="003C74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4.2.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Doziranje i način primjene</w:t>
      </w:r>
    </w:p>
    <w:p w14:paraId="3FC8A571" w14:textId="77777777" w:rsidR="0072020E" w:rsidRPr="00E5029D" w:rsidRDefault="0072020E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83DD63E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Doziranje</w:t>
      </w:r>
    </w:p>
    <w:p w14:paraId="77510E91" w14:textId="2974755E" w:rsidR="0000248E" w:rsidRPr="00E5029D" w:rsidRDefault="00D615A4" w:rsidP="003C741B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0248E" w:rsidRPr="00E5029D">
        <w:rPr>
          <w:sz w:val="22"/>
          <w:szCs w:val="22"/>
        </w:rPr>
        <w:t>acijent</w:t>
      </w:r>
      <w:r>
        <w:rPr>
          <w:sz w:val="22"/>
          <w:szCs w:val="22"/>
        </w:rPr>
        <w:t xml:space="preserve"> se </w:t>
      </w:r>
      <w:r w:rsidR="0000248E" w:rsidRPr="00E5029D">
        <w:rPr>
          <w:sz w:val="22"/>
          <w:szCs w:val="22"/>
        </w:rPr>
        <w:t xml:space="preserve">treba </w:t>
      </w:r>
      <w:r>
        <w:rPr>
          <w:sz w:val="22"/>
          <w:szCs w:val="22"/>
        </w:rPr>
        <w:t xml:space="preserve">pridržavati </w:t>
      </w:r>
      <w:r w:rsidR="0000248E" w:rsidRPr="00E5029D">
        <w:rPr>
          <w:sz w:val="22"/>
          <w:szCs w:val="22"/>
        </w:rPr>
        <w:t>odgovarajuć</w:t>
      </w:r>
      <w:r>
        <w:rPr>
          <w:sz w:val="22"/>
          <w:szCs w:val="22"/>
        </w:rPr>
        <w:t>e</w:t>
      </w:r>
      <w:r w:rsidR="0000248E" w:rsidRPr="00E5029D">
        <w:rPr>
          <w:sz w:val="22"/>
          <w:szCs w:val="22"/>
        </w:rPr>
        <w:t xml:space="preserve"> dijet</w:t>
      </w:r>
      <w:r>
        <w:rPr>
          <w:sz w:val="22"/>
          <w:szCs w:val="22"/>
        </w:rPr>
        <w:t xml:space="preserve">e </w:t>
      </w:r>
      <w:r w:rsidR="0000248E" w:rsidRPr="00E5029D">
        <w:rPr>
          <w:sz w:val="22"/>
          <w:szCs w:val="22"/>
        </w:rPr>
        <w:t xml:space="preserve">za smanjenje </w:t>
      </w:r>
      <w:r w:rsidR="007E5AC4">
        <w:rPr>
          <w:sz w:val="22"/>
          <w:szCs w:val="22"/>
        </w:rPr>
        <w:t>vrijednost</w:t>
      </w:r>
      <w:r w:rsidR="0000248E" w:rsidRPr="00E5029D">
        <w:rPr>
          <w:sz w:val="22"/>
          <w:szCs w:val="22"/>
        </w:rPr>
        <w:t>i lipida u krvi i treba da nastav</w:t>
      </w:r>
      <w:r>
        <w:rPr>
          <w:sz w:val="22"/>
          <w:szCs w:val="22"/>
        </w:rPr>
        <w:t>i</w:t>
      </w:r>
      <w:r w:rsidR="0000248E" w:rsidRPr="00E5029D">
        <w:rPr>
          <w:sz w:val="22"/>
          <w:szCs w:val="22"/>
        </w:rPr>
        <w:t xml:space="preserve"> sa dijetom </w:t>
      </w:r>
      <w:r>
        <w:rPr>
          <w:sz w:val="22"/>
          <w:szCs w:val="22"/>
        </w:rPr>
        <w:t>tokom</w:t>
      </w:r>
      <w:r w:rsidR="007E5AC4">
        <w:rPr>
          <w:sz w:val="22"/>
          <w:szCs w:val="22"/>
        </w:rPr>
        <w:t xml:space="preserve"> </w:t>
      </w:r>
      <w:r>
        <w:rPr>
          <w:sz w:val="22"/>
          <w:szCs w:val="22"/>
        </w:rPr>
        <w:t>liječenja</w:t>
      </w:r>
      <w:r w:rsidR="007E5AC4">
        <w:rPr>
          <w:sz w:val="22"/>
          <w:szCs w:val="22"/>
        </w:rPr>
        <w:t xml:space="preserve"> lijekom </w:t>
      </w:r>
      <w:r w:rsidR="0000248E" w:rsidRPr="00E5029D">
        <w:rPr>
          <w:sz w:val="22"/>
          <w:szCs w:val="22"/>
        </w:rPr>
        <w:t>Rozor.</w:t>
      </w:r>
    </w:p>
    <w:p w14:paraId="7BA8CF3A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526B70E2" w14:textId="07240C3D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L</w:t>
      </w:r>
      <w:r w:rsidR="007E5AC4">
        <w:rPr>
          <w:sz w:val="22"/>
          <w:szCs w:val="22"/>
        </w:rPr>
        <w:t>ij</w:t>
      </w:r>
      <w:r w:rsidRPr="00E5029D">
        <w:rPr>
          <w:sz w:val="22"/>
          <w:szCs w:val="22"/>
        </w:rPr>
        <w:t>ek Rozor može biti dat u dozama 10</w:t>
      </w:r>
      <w:r w:rsidR="007E5AC4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mg</w:t>
      </w:r>
      <w:r w:rsidR="007E5AC4">
        <w:rPr>
          <w:sz w:val="22"/>
          <w:szCs w:val="22"/>
        </w:rPr>
        <w:t xml:space="preserve"> + </w:t>
      </w:r>
      <w:r w:rsidRPr="00E5029D">
        <w:rPr>
          <w:sz w:val="22"/>
          <w:szCs w:val="22"/>
        </w:rPr>
        <w:t>10</w:t>
      </w:r>
      <w:r w:rsidR="007E5AC4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mg do 20</w:t>
      </w:r>
      <w:r w:rsidR="007E5AC4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mg</w:t>
      </w:r>
      <w:r w:rsidR="007E5AC4">
        <w:rPr>
          <w:sz w:val="22"/>
          <w:szCs w:val="22"/>
        </w:rPr>
        <w:t xml:space="preserve"> + </w:t>
      </w:r>
      <w:r w:rsidRPr="00E5029D">
        <w:rPr>
          <w:sz w:val="22"/>
          <w:szCs w:val="22"/>
        </w:rPr>
        <w:t>10</w:t>
      </w:r>
      <w:r w:rsidR="007E5AC4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mg. Preporučena doza je jedna </w:t>
      </w:r>
      <w:r w:rsidR="00591E91">
        <w:rPr>
          <w:sz w:val="22"/>
          <w:szCs w:val="22"/>
        </w:rPr>
        <w:t xml:space="preserve">film </w:t>
      </w:r>
      <w:r w:rsidRPr="00E5029D">
        <w:rPr>
          <w:sz w:val="22"/>
          <w:szCs w:val="22"/>
        </w:rPr>
        <w:t xml:space="preserve">tableta </w:t>
      </w:r>
      <w:r w:rsidR="00CD7FD9">
        <w:rPr>
          <w:sz w:val="22"/>
          <w:szCs w:val="22"/>
        </w:rPr>
        <w:t>na dan u propisanoj dozi</w:t>
      </w:r>
      <w:r w:rsidRPr="00E5029D">
        <w:rPr>
          <w:sz w:val="22"/>
          <w:szCs w:val="22"/>
        </w:rPr>
        <w:t>, sa ili bez hrane.</w:t>
      </w:r>
    </w:p>
    <w:p w14:paraId="7ED67D4B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0591955E" w14:textId="5FD3A469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lastRenderedPageBreak/>
        <w:t>L</w:t>
      </w:r>
      <w:r w:rsidR="00B637A4">
        <w:rPr>
          <w:sz w:val="22"/>
          <w:szCs w:val="22"/>
        </w:rPr>
        <w:t>ij</w:t>
      </w:r>
      <w:r w:rsidRPr="00E5029D">
        <w:rPr>
          <w:sz w:val="22"/>
          <w:szCs w:val="22"/>
        </w:rPr>
        <w:t>ek Rozor nije pogodan za započinjanje</w:t>
      </w:r>
      <w:r w:rsidR="005F46D9">
        <w:rPr>
          <w:sz w:val="22"/>
          <w:szCs w:val="22"/>
        </w:rPr>
        <w:t xml:space="preserve"> inicijalne terapije</w:t>
      </w:r>
      <w:r w:rsidRPr="00E5029D">
        <w:rPr>
          <w:sz w:val="22"/>
          <w:szCs w:val="22"/>
        </w:rPr>
        <w:t xml:space="preserve">. </w:t>
      </w:r>
      <w:r w:rsidR="005F46D9">
        <w:rPr>
          <w:sz w:val="22"/>
          <w:szCs w:val="22"/>
        </w:rPr>
        <w:t xml:space="preserve">Liječenje </w:t>
      </w:r>
      <w:r w:rsidRPr="00E5029D">
        <w:rPr>
          <w:sz w:val="22"/>
          <w:szCs w:val="22"/>
        </w:rPr>
        <w:t xml:space="preserve">treba započeti </w:t>
      </w:r>
      <w:r w:rsidR="005F46D9">
        <w:rPr>
          <w:sz w:val="22"/>
          <w:szCs w:val="22"/>
        </w:rPr>
        <w:t xml:space="preserve">isključivo </w:t>
      </w:r>
      <w:r w:rsidRPr="00E5029D">
        <w:rPr>
          <w:sz w:val="22"/>
          <w:szCs w:val="22"/>
        </w:rPr>
        <w:t>sa monokomponentnim l</w:t>
      </w:r>
      <w:r w:rsidR="00B637A4">
        <w:rPr>
          <w:sz w:val="22"/>
          <w:szCs w:val="22"/>
        </w:rPr>
        <w:t>j</w:t>
      </w:r>
      <w:r w:rsidRPr="00E5029D">
        <w:rPr>
          <w:sz w:val="22"/>
          <w:szCs w:val="22"/>
        </w:rPr>
        <w:t>ekovima, a tek nakon utvrđivanja njihovih odgovarajućih doza moguć je prelazak na fiksnu kombinaciju doza odgovarajuće jačine.</w:t>
      </w:r>
    </w:p>
    <w:p w14:paraId="3D1BF903" w14:textId="5C45B9CB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Terapija treba da bude prilagođena individualnim potrebama pacijenta, prema ciljnim nivoima lipida, preporučenom cilju terapije i odgovoru pacijenta na terapiju. Prilagođavanje doze se može uraditi nakon 4 ned</w:t>
      </w:r>
      <w:r w:rsidR="00B637A4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elje, </w:t>
      </w:r>
      <w:r w:rsidR="005F46D9">
        <w:rPr>
          <w:sz w:val="22"/>
          <w:szCs w:val="22"/>
        </w:rPr>
        <w:t xml:space="preserve">ako </w:t>
      </w:r>
      <w:r w:rsidRPr="00E5029D">
        <w:rPr>
          <w:sz w:val="22"/>
          <w:szCs w:val="22"/>
        </w:rPr>
        <w:t>je potrebno.</w:t>
      </w:r>
    </w:p>
    <w:p w14:paraId="752CB4F7" w14:textId="77777777" w:rsidR="0000248E" w:rsidRPr="00E5029D" w:rsidRDefault="0000248E" w:rsidP="00772F51">
      <w:pPr>
        <w:rPr>
          <w:sz w:val="22"/>
          <w:szCs w:val="22"/>
        </w:rPr>
      </w:pPr>
    </w:p>
    <w:p w14:paraId="4F274F81" w14:textId="08BE9C1C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L</w:t>
      </w:r>
      <w:r w:rsidR="00B637A4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ek Rozor 10 mg + 10 mg nije pogodan za </w:t>
      </w:r>
      <w:r w:rsidR="00B637A4">
        <w:rPr>
          <w:sz w:val="22"/>
          <w:szCs w:val="22"/>
        </w:rPr>
        <w:t>liječenje</w:t>
      </w:r>
      <w:r w:rsidRPr="00E5029D">
        <w:rPr>
          <w:sz w:val="22"/>
          <w:szCs w:val="22"/>
        </w:rPr>
        <w:t xml:space="preserve"> pacijenata kojima je potrebna doza rosuvastatina od 20 mg. </w:t>
      </w:r>
    </w:p>
    <w:p w14:paraId="3221F7BB" w14:textId="77777777" w:rsidR="0000248E" w:rsidRPr="00E5029D" w:rsidRDefault="0000248E" w:rsidP="00772F51">
      <w:pPr>
        <w:rPr>
          <w:sz w:val="22"/>
          <w:szCs w:val="22"/>
        </w:rPr>
      </w:pPr>
    </w:p>
    <w:p w14:paraId="5C29A20A" w14:textId="58F914B5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L</w:t>
      </w:r>
      <w:r w:rsidR="00B637A4">
        <w:rPr>
          <w:sz w:val="22"/>
          <w:szCs w:val="22"/>
        </w:rPr>
        <w:t>ij</w:t>
      </w:r>
      <w:r w:rsidRPr="00E5029D">
        <w:rPr>
          <w:sz w:val="22"/>
          <w:szCs w:val="22"/>
        </w:rPr>
        <w:t>ek Rozor treba uzeti ≥ 2 sata pr</w:t>
      </w:r>
      <w:r w:rsidR="00B637A4">
        <w:rPr>
          <w:sz w:val="22"/>
          <w:szCs w:val="22"/>
        </w:rPr>
        <w:t>ij</w:t>
      </w:r>
      <w:r w:rsidRPr="00E5029D">
        <w:rPr>
          <w:sz w:val="22"/>
          <w:szCs w:val="22"/>
        </w:rPr>
        <w:t>e ili ≥ 4 sata nakon prim</w:t>
      </w:r>
      <w:r w:rsidR="00B637A4">
        <w:rPr>
          <w:sz w:val="22"/>
          <w:szCs w:val="22"/>
        </w:rPr>
        <w:t>j</w:t>
      </w:r>
      <w:r w:rsidRPr="00E5029D">
        <w:rPr>
          <w:sz w:val="22"/>
          <w:szCs w:val="22"/>
        </w:rPr>
        <w:t>ene sekvestranta žučne kiseline.</w:t>
      </w:r>
    </w:p>
    <w:p w14:paraId="443A430F" w14:textId="77777777" w:rsidR="0000248E" w:rsidRPr="00E5029D" w:rsidRDefault="0000248E" w:rsidP="00772F51">
      <w:pPr>
        <w:rPr>
          <w:sz w:val="22"/>
          <w:szCs w:val="22"/>
        </w:rPr>
      </w:pPr>
    </w:p>
    <w:p w14:paraId="0A2B5FBC" w14:textId="77777777" w:rsidR="0000248E" w:rsidRPr="00E5029D" w:rsidRDefault="0000248E" w:rsidP="00772F51">
      <w:pPr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>Pedijatrijska populacija</w:t>
      </w:r>
    </w:p>
    <w:p w14:paraId="6A42EF23" w14:textId="50C07111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Bezb</w:t>
      </w:r>
      <w:r w:rsidR="00B637A4">
        <w:rPr>
          <w:sz w:val="22"/>
          <w:szCs w:val="22"/>
        </w:rPr>
        <w:t>j</w:t>
      </w:r>
      <w:r w:rsidRPr="00E5029D">
        <w:rPr>
          <w:sz w:val="22"/>
          <w:szCs w:val="22"/>
        </w:rPr>
        <w:t>ednost i efikasnost l</w:t>
      </w:r>
      <w:r w:rsidR="00B637A4">
        <w:rPr>
          <w:sz w:val="22"/>
          <w:szCs w:val="22"/>
        </w:rPr>
        <w:t>ij</w:t>
      </w:r>
      <w:r w:rsidRPr="00E5029D">
        <w:rPr>
          <w:sz w:val="22"/>
          <w:szCs w:val="22"/>
        </w:rPr>
        <w:t>eka Rozor kod</w:t>
      </w:r>
      <w:r w:rsidR="00B637A4">
        <w:rPr>
          <w:sz w:val="22"/>
          <w:szCs w:val="22"/>
        </w:rPr>
        <w:t xml:space="preserve"> djece </w:t>
      </w:r>
      <w:r w:rsidRPr="00E5029D">
        <w:rPr>
          <w:sz w:val="22"/>
          <w:szCs w:val="22"/>
        </w:rPr>
        <w:t>uzrasta ispod 18 godina još</w:t>
      </w:r>
      <w:r w:rsidR="00B637A4">
        <w:rPr>
          <w:sz w:val="22"/>
          <w:szCs w:val="22"/>
        </w:rPr>
        <w:t xml:space="preserve"> uvijek </w:t>
      </w:r>
      <w:r w:rsidRPr="00E5029D">
        <w:rPr>
          <w:sz w:val="22"/>
          <w:szCs w:val="22"/>
        </w:rPr>
        <w:t>ni</w:t>
      </w:r>
      <w:r w:rsidR="00B637A4">
        <w:rPr>
          <w:sz w:val="22"/>
          <w:szCs w:val="22"/>
        </w:rPr>
        <w:t>je</w:t>
      </w:r>
      <w:r w:rsidRPr="00E5029D">
        <w:rPr>
          <w:sz w:val="22"/>
          <w:szCs w:val="22"/>
        </w:rPr>
        <w:t xml:space="preserve">su utvrđeni. </w:t>
      </w:r>
      <w:r w:rsidR="00730239">
        <w:rPr>
          <w:sz w:val="22"/>
          <w:szCs w:val="22"/>
        </w:rPr>
        <w:t>T</w:t>
      </w:r>
      <w:r w:rsidRPr="00E5029D">
        <w:rPr>
          <w:sz w:val="22"/>
          <w:szCs w:val="22"/>
        </w:rPr>
        <w:t>renutno</w:t>
      </w:r>
      <w:r w:rsidR="00B637A4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raspoloživi podaci navedeni su u od</w:t>
      </w:r>
      <w:r w:rsidR="00B637A4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eljcima 4.8, 5.1 i 5.2, </w:t>
      </w:r>
      <w:r w:rsidR="00730239">
        <w:rPr>
          <w:sz w:val="22"/>
          <w:szCs w:val="22"/>
        </w:rPr>
        <w:t>međutim nije moguće dati preporuku o</w:t>
      </w:r>
      <w:r w:rsidRPr="00E5029D">
        <w:rPr>
          <w:sz w:val="22"/>
          <w:szCs w:val="22"/>
        </w:rPr>
        <w:t xml:space="preserve"> doziranj</w:t>
      </w:r>
      <w:r w:rsidR="00730239">
        <w:rPr>
          <w:sz w:val="22"/>
          <w:szCs w:val="22"/>
        </w:rPr>
        <w:t>u</w:t>
      </w:r>
      <w:r w:rsidRPr="00E5029D">
        <w:rPr>
          <w:sz w:val="22"/>
          <w:szCs w:val="22"/>
        </w:rPr>
        <w:t>.</w:t>
      </w:r>
    </w:p>
    <w:p w14:paraId="24DD003C" w14:textId="77777777" w:rsidR="0000248E" w:rsidRPr="00E5029D" w:rsidRDefault="0000248E" w:rsidP="00772F51">
      <w:pPr>
        <w:rPr>
          <w:sz w:val="22"/>
          <w:szCs w:val="22"/>
        </w:rPr>
      </w:pPr>
    </w:p>
    <w:p w14:paraId="4D5ED490" w14:textId="6400DB37" w:rsidR="0000248E" w:rsidRPr="00E5029D" w:rsidRDefault="0000248E" w:rsidP="00772F51">
      <w:pPr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>Prim</w:t>
      </w:r>
      <w:r w:rsidR="00A80C70">
        <w:rPr>
          <w:i/>
          <w:sz w:val="22"/>
          <w:szCs w:val="22"/>
        </w:rPr>
        <w:t>j</w:t>
      </w:r>
      <w:r w:rsidRPr="00E5029D">
        <w:rPr>
          <w:i/>
          <w:sz w:val="22"/>
          <w:szCs w:val="22"/>
        </w:rPr>
        <w:t>ena kod starijih pacijenata</w:t>
      </w:r>
    </w:p>
    <w:p w14:paraId="02D53D57" w14:textId="2BE6B9E8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Kod pacijenata starijih od 70 godina, preporučuje se početna doza rosuvastatina od 5 mg (vid</w:t>
      </w:r>
      <w:r w:rsidR="00A80C70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eti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4.4).</w:t>
      </w:r>
      <w:r w:rsidR="00255787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Fiksna kombinacija doza nije pogodna za započinjanje terapije. Terapiju treba započeti sa monokomponentnim </w:t>
      </w:r>
      <w:r w:rsidR="008E18CB">
        <w:rPr>
          <w:sz w:val="22"/>
          <w:szCs w:val="22"/>
        </w:rPr>
        <w:t>ljekovi</w:t>
      </w:r>
      <w:r w:rsidRPr="00E5029D">
        <w:rPr>
          <w:sz w:val="22"/>
          <w:szCs w:val="22"/>
        </w:rPr>
        <w:t>ma, a tek nakon utvrđivanja njihovih odgovarajućih doza moguć je prelazak na fiksnu kombinaciju doza odgovarajuće jačine.</w:t>
      </w:r>
    </w:p>
    <w:p w14:paraId="499EF178" w14:textId="77777777" w:rsidR="0000248E" w:rsidRPr="00E5029D" w:rsidRDefault="0000248E" w:rsidP="00772F51">
      <w:pPr>
        <w:rPr>
          <w:sz w:val="22"/>
          <w:szCs w:val="22"/>
        </w:rPr>
      </w:pPr>
    </w:p>
    <w:p w14:paraId="71A271A5" w14:textId="77777777" w:rsidR="0000248E" w:rsidRPr="00E5029D" w:rsidRDefault="0000248E" w:rsidP="00772F51">
      <w:pPr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>Doziranje kod pacijenata sa oštećenjem funkcije bubrega</w:t>
      </w:r>
    </w:p>
    <w:p w14:paraId="7FEEAABE" w14:textId="4652C857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Nije potrebno prilagođavanje doze kod pacijenata sa blagom bubrežnom insuficijencijom.</w:t>
      </w:r>
    </w:p>
    <w:p w14:paraId="1CB17571" w14:textId="70DC8D9D" w:rsidR="0000248E" w:rsidRPr="00E5029D" w:rsidRDefault="00255787" w:rsidP="00772F51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Pr="00E5029D">
        <w:rPr>
          <w:sz w:val="22"/>
          <w:szCs w:val="22"/>
        </w:rPr>
        <w:t xml:space="preserve">od pacijenata sa </w:t>
      </w:r>
      <w:r>
        <w:rPr>
          <w:sz w:val="22"/>
          <w:szCs w:val="22"/>
        </w:rPr>
        <w:t>umjeren</w:t>
      </w:r>
      <w:r w:rsidRPr="00E5029D">
        <w:rPr>
          <w:sz w:val="22"/>
          <w:szCs w:val="22"/>
        </w:rPr>
        <w:t>om bubrežnom insuficijencijom</w:t>
      </w:r>
      <w:r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(klirens kreatinina &lt; 60 mL/min)</w:t>
      </w:r>
      <w:r>
        <w:rPr>
          <w:sz w:val="22"/>
          <w:szCs w:val="22"/>
        </w:rPr>
        <w:t xml:space="preserve"> p</w:t>
      </w:r>
      <w:r w:rsidR="0000248E" w:rsidRPr="00E5029D">
        <w:rPr>
          <w:sz w:val="22"/>
          <w:szCs w:val="22"/>
        </w:rPr>
        <w:t>reporuč</w:t>
      </w:r>
      <w:r>
        <w:rPr>
          <w:sz w:val="22"/>
          <w:szCs w:val="22"/>
        </w:rPr>
        <w:t>uje se</w:t>
      </w:r>
      <w:r w:rsidR="0000248E" w:rsidRPr="00E5029D">
        <w:rPr>
          <w:sz w:val="22"/>
          <w:szCs w:val="22"/>
        </w:rPr>
        <w:t xml:space="preserve"> početna doza </w:t>
      </w:r>
      <w:r>
        <w:rPr>
          <w:sz w:val="22"/>
          <w:szCs w:val="22"/>
        </w:rPr>
        <w:t>od</w:t>
      </w:r>
      <w:r w:rsidR="0000248E" w:rsidRPr="00E5029D">
        <w:rPr>
          <w:sz w:val="22"/>
          <w:szCs w:val="22"/>
        </w:rPr>
        <w:t xml:space="preserve"> 5 mg rosuvastatina</w:t>
      </w:r>
      <w:r>
        <w:rPr>
          <w:sz w:val="22"/>
          <w:szCs w:val="22"/>
        </w:rPr>
        <w:t>.</w:t>
      </w:r>
      <w:r w:rsidR="0000248E" w:rsidRPr="00E5029D">
        <w:rPr>
          <w:sz w:val="22"/>
          <w:szCs w:val="22"/>
        </w:rPr>
        <w:t xml:space="preserve"> Fiksna kombinacija </w:t>
      </w:r>
      <w:r w:rsidR="006F0449">
        <w:rPr>
          <w:sz w:val="22"/>
          <w:szCs w:val="22"/>
        </w:rPr>
        <w:t>ljekova</w:t>
      </w:r>
      <w:r w:rsidR="0000248E" w:rsidRPr="00E5029D">
        <w:rPr>
          <w:sz w:val="22"/>
          <w:szCs w:val="22"/>
        </w:rPr>
        <w:t xml:space="preserve"> nije pogodna za početak terapije. Terapiju treba započeti sa monokomponentnim </w:t>
      </w:r>
      <w:r w:rsidR="008E18CB">
        <w:rPr>
          <w:sz w:val="22"/>
          <w:szCs w:val="22"/>
        </w:rPr>
        <w:t>ljekovi</w:t>
      </w:r>
      <w:r w:rsidR="0000248E" w:rsidRPr="00E5029D">
        <w:rPr>
          <w:sz w:val="22"/>
          <w:szCs w:val="22"/>
        </w:rPr>
        <w:t xml:space="preserve">ma, a tek nakon utvrđivanja njihovih odgovarajućih doza moguć je prelazak na fiksnu </w:t>
      </w:r>
      <w:r w:rsidR="00A83706">
        <w:rPr>
          <w:sz w:val="22"/>
          <w:szCs w:val="22"/>
        </w:rPr>
        <w:t xml:space="preserve">doznu </w:t>
      </w:r>
      <w:r w:rsidR="0000248E" w:rsidRPr="00E5029D">
        <w:rPr>
          <w:sz w:val="22"/>
          <w:szCs w:val="22"/>
        </w:rPr>
        <w:t xml:space="preserve">kombinaciju odgovarajuće jačine. </w:t>
      </w:r>
    </w:p>
    <w:p w14:paraId="31AC6EF3" w14:textId="59B2D00C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Upotreba rosuvastatina kod pacijenata sa teškom bubrežnom insuficijencijom je kontraindikovana u svim</w:t>
      </w:r>
      <w:r w:rsidR="0060050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dozama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600503">
        <w:rPr>
          <w:sz w:val="22"/>
          <w:szCs w:val="22"/>
        </w:rPr>
        <w:t>odjeljke</w:t>
      </w:r>
      <w:r w:rsidRPr="00E5029D">
        <w:rPr>
          <w:sz w:val="22"/>
          <w:szCs w:val="22"/>
        </w:rPr>
        <w:t xml:space="preserve"> 4.3 i 5.2).</w:t>
      </w:r>
    </w:p>
    <w:p w14:paraId="3F293938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2B84E420" w14:textId="77777777" w:rsidR="0000248E" w:rsidRPr="00E5029D" w:rsidRDefault="0000248E" w:rsidP="00772F51">
      <w:pPr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>Doziranje kod pacijenata sa oštećenjem funkcije jetre</w:t>
      </w:r>
    </w:p>
    <w:p w14:paraId="24305DBE" w14:textId="77777777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Nije potrebno prilagođavanje doze kod pacijenata sa blagom insuficijencijom jetre (</w:t>
      </w:r>
      <w:r w:rsidRPr="00E5029D">
        <w:rPr>
          <w:i/>
          <w:sz w:val="22"/>
          <w:szCs w:val="22"/>
        </w:rPr>
        <w:t>Child-Pugh</w:t>
      </w:r>
      <w:r w:rsidRPr="00E5029D">
        <w:rPr>
          <w:sz w:val="22"/>
          <w:szCs w:val="22"/>
        </w:rPr>
        <w:t xml:space="preserve"> skor 5 do 6).</w:t>
      </w:r>
    </w:p>
    <w:p w14:paraId="1A94BAC4" w14:textId="404EAA1C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Ne preporučuje se prim</w:t>
      </w:r>
      <w:r w:rsidR="00074F21">
        <w:rPr>
          <w:sz w:val="22"/>
          <w:szCs w:val="22"/>
        </w:rPr>
        <w:t>j</w:t>
      </w:r>
      <w:r w:rsidRPr="00E5029D">
        <w:rPr>
          <w:sz w:val="22"/>
          <w:szCs w:val="22"/>
        </w:rPr>
        <w:t>ena l</w:t>
      </w:r>
      <w:r w:rsidR="00074F21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eka Rozor kod pacijenata sa </w:t>
      </w:r>
      <w:r w:rsidR="00600503">
        <w:rPr>
          <w:sz w:val="22"/>
          <w:szCs w:val="22"/>
        </w:rPr>
        <w:t>umjeren</w:t>
      </w:r>
      <w:r w:rsidRPr="00E5029D">
        <w:rPr>
          <w:sz w:val="22"/>
          <w:szCs w:val="22"/>
        </w:rPr>
        <w:t>om (</w:t>
      </w:r>
      <w:r w:rsidRPr="00E5029D">
        <w:rPr>
          <w:i/>
          <w:sz w:val="22"/>
          <w:szCs w:val="22"/>
        </w:rPr>
        <w:t>Child-Pugh</w:t>
      </w:r>
      <w:r w:rsidRPr="00E5029D">
        <w:rPr>
          <w:sz w:val="22"/>
          <w:szCs w:val="22"/>
        </w:rPr>
        <w:t xml:space="preserve"> skor 7 do 9), ili teškom</w:t>
      </w:r>
      <w:r w:rsidR="00074F21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(</w:t>
      </w:r>
      <w:r w:rsidRPr="00E5029D">
        <w:rPr>
          <w:i/>
          <w:sz w:val="22"/>
          <w:szCs w:val="22"/>
        </w:rPr>
        <w:t>Child-Pugh</w:t>
      </w:r>
      <w:r w:rsidRPr="00E5029D">
        <w:rPr>
          <w:sz w:val="22"/>
          <w:szCs w:val="22"/>
        </w:rPr>
        <w:t xml:space="preserve"> skor &gt; 9) </w:t>
      </w:r>
      <w:r w:rsidR="00A83706">
        <w:rPr>
          <w:sz w:val="22"/>
          <w:szCs w:val="22"/>
        </w:rPr>
        <w:t xml:space="preserve">insuficijencijom </w:t>
      </w:r>
      <w:r w:rsidRPr="00E5029D">
        <w:rPr>
          <w:sz w:val="22"/>
          <w:szCs w:val="22"/>
        </w:rPr>
        <w:t>jetre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600503">
        <w:rPr>
          <w:sz w:val="22"/>
          <w:szCs w:val="22"/>
        </w:rPr>
        <w:t>odjeljke</w:t>
      </w:r>
      <w:r w:rsidRPr="00E5029D">
        <w:rPr>
          <w:sz w:val="22"/>
          <w:szCs w:val="22"/>
        </w:rPr>
        <w:t xml:space="preserve"> 4.4 i 5.2). </w:t>
      </w:r>
    </w:p>
    <w:p w14:paraId="56CDA7FA" w14:textId="4EC0D701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L</w:t>
      </w:r>
      <w:r w:rsidR="00074F21">
        <w:rPr>
          <w:sz w:val="22"/>
          <w:szCs w:val="22"/>
        </w:rPr>
        <w:t>ij</w:t>
      </w:r>
      <w:r w:rsidRPr="00E5029D">
        <w:rPr>
          <w:sz w:val="22"/>
          <w:szCs w:val="22"/>
        </w:rPr>
        <w:t>ek Rozor je kontraindikovan kod pacijenata sa aktivnim oboljenjem jetre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4.3).</w:t>
      </w:r>
    </w:p>
    <w:p w14:paraId="2AB1F332" w14:textId="77777777" w:rsidR="0000248E" w:rsidRPr="00E5029D" w:rsidRDefault="0000248E" w:rsidP="00772F51">
      <w:pPr>
        <w:rPr>
          <w:sz w:val="22"/>
          <w:szCs w:val="22"/>
        </w:rPr>
      </w:pPr>
    </w:p>
    <w:p w14:paraId="07CB82AF" w14:textId="77777777" w:rsidR="0000248E" w:rsidRPr="00E5029D" w:rsidRDefault="0000248E" w:rsidP="00772F51">
      <w:pPr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>Rasa</w:t>
      </w:r>
    </w:p>
    <w:p w14:paraId="25612BEC" w14:textId="288C5140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 xml:space="preserve">Povećana sistemska izloženost rosuvastatinu </w:t>
      </w:r>
      <w:r w:rsidR="00074F21">
        <w:rPr>
          <w:sz w:val="22"/>
          <w:szCs w:val="22"/>
        </w:rPr>
        <w:t>zabilježena</w:t>
      </w:r>
      <w:r w:rsidRPr="00E5029D">
        <w:rPr>
          <w:sz w:val="22"/>
          <w:szCs w:val="22"/>
        </w:rPr>
        <w:t xml:space="preserve"> je kod pacijenata Azijske populacije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600503">
        <w:rPr>
          <w:sz w:val="22"/>
          <w:szCs w:val="22"/>
        </w:rPr>
        <w:t>odjeljke</w:t>
      </w:r>
      <w:r w:rsidRPr="00E5029D">
        <w:rPr>
          <w:sz w:val="22"/>
          <w:szCs w:val="22"/>
        </w:rPr>
        <w:t xml:space="preserve"> 4.4 i 5.2). Kod pacijenata azijskog porekla preporučuje se početna doza rosuvastatina od 5 mg. Fiksna kombinacija doza nije pogodna za započinjanje terapije. Terapiju treba započeti sa monokomponentnim </w:t>
      </w:r>
      <w:r w:rsidR="008E18CB">
        <w:rPr>
          <w:sz w:val="22"/>
          <w:szCs w:val="22"/>
        </w:rPr>
        <w:t>ljekovi</w:t>
      </w:r>
      <w:r w:rsidRPr="00E5029D">
        <w:rPr>
          <w:sz w:val="22"/>
          <w:szCs w:val="22"/>
        </w:rPr>
        <w:t>ma, a tek nakon utvrđivanja njihovih odgovarajućih doza moguć je prelazak na fiksnu kombinaciju doza odgovarajuće jačine.</w:t>
      </w:r>
    </w:p>
    <w:p w14:paraId="1BDEC6FE" w14:textId="77777777" w:rsidR="0000248E" w:rsidRPr="00E5029D" w:rsidRDefault="0000248E" w:rsidP="00772F51">
      <w:pPr>
        <w:rPr>
          <w:sz w:val="22"/>
          <w:szCs w:val="22"/>
        </w:rPr>
      </w:pPr>
    </w:p>
    <w:p w14:paraId="4C84B1F9" w14:textId="1C7D523E" w:rsidR="0000248E" w:rsidRPr="00E5029D" w:rsidRDefault="0000248E" w:rsidP="00772F51">
      <w:pPr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>Gen</w:t>
      </w:r>
      <w:r w:rsidR="00D37EA2">
        <w:rPr>
          <w:i/>
          <w:sz w:val="22"/>
          <w:szCs w:val="22"/>
        </w:rPr>
        <w:t>etski</w:t>
      </w:r>
      <w:r w:rsidRPr="00E5029D">
        <w:rPr>
          <w:i/>
          <w:sz w:val="22"/>
          <w:szCs w:val="22"/>
        </w:rPr>
        <w:t xml:space="preserve"> polimorfizam</w:t>
      </w:r>
    </w:p>
    <w:p w14:paraId="19AC8409" w14:textId="4B71B032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Poznato je da određeni tipovi genetskog polimorfizma mogu da dovedu do povećane izloženosti rosuvastatinu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5.2). Kod pacijenata za koje se zna da imaju takve specifične tipove polimorfizma, preporučuje se </w:t>
      </w:r>
      <w:r w:rsidR="00D37EA2">
        <w:rPr>
          <w:sz w:val="22"/>
          <w:szCs w:val="22"/>
        </w:rPr>
        <w:t>niža</w:t>
      </w:r>
      <w:r w:rsidRPr="00E5029D">
        <w:rPr>
          <w:sz w:val="22"/>
          <w:szCs w:val="22"/>
        </w:rPr>
        <w:t xml:space="preserve"> dnevna doza.</w:t>
      </w:r>
    </w:p>
    <w:p w14:paraId="0A521A4D" w14:textId="77777777" w:rsidR="0000248E" w:rsidRPr="00E5029D" w:rsidRDefault="0000248E" w:rsidP="00772F51">
      <w:pPr>
        <w:rPr>
          <w:sz w:val="22"/>
          <w:szCs w:val="22"/>
        </w:rPr>
      </w:pPr>
    </w:p>
    <w:p w14:paraId="0AC7A4F6" w14:textId="77777777" w:rsidR="0000248E" w:rsidRPr="00E5029D" w:rsidRDefault="0000248E" w:rsidP="00772F51">
      <w:pPr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>Doziranje kod pacijenata sa predisponirajućim faktorima za miopatiju</w:t>
      </w:r>
    </w:p>
    <w:p w14:paraId="10704C7A" w14:textId="23ED616C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Kod pacijenata sa predisponirajućim faktorima za pojavu miopatije, preporučena početna doza rosuvastatina</w:t>
      </w:r>
      <w:r w:rsidR="00074F21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je 5 mg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4.4). Fiksna kombinacija doza nije pogodna za započinjanje terapije. Terapiju treba započeti sa monokomponentnim </w:t>
      </w:r>
      <w:r w:rsidR="008E18CB">
        <w:rPr>
          <w:sz w:val="22"/>
          <w:szCs w:val="22"/>
        </w:rPr>
        <w:t>ljekovi</w:t>
      </w:r>
      <w:r w:rsidRPr="00E5029D">
        <w:rPr>
          <w:sz w:val="22"/>
          <w:szCs w:val="22"/>
        </w:rPr>
        <w:t>ma, a tek nakon utvrđivanja njihovih odgovarajućih doza moguć je prelazak na fiksnu kombinaciju doza odgovarajuće jačine.</w:t>
      </w:r>
    </w:p>
    <w:p w14:paraId="3F32A476" w14:textId="77777777" w:rsidR="0000248E" w:rsidRPr="00E5029D" w:rsidRDefault="0000248E" w:rsidP="00772F51">
      <w:pPr>
        <w:rPr>
          <w:sz w:val="22"/>
          <w:szCs w:val="22"/>
        </w:rPr>
      </w:pPr>
    </w:p>
    <w:p w14:paraId="14DC08EE" w14:textId="139D95E1" w:rsidR="0000248E" w:rsidRPr="00E5029D" w:rsidRDefault="0000248E" w:rsidP="00772F51">
      <w:pPr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lastRenderedPageBreak/>
        <w:t>Istovremena prim</w:t>
      </w:r>
      <w:r w:rsidR="00074F21">
        <w:rPr>
          <w:i/>
          <w:sz w:val="22"/>
          <w:szCs w:val="22"/>
        </w:rPr>
        <w:t>j</w:t>
      </w:r>
      <w:r w:rsidRPr="00E5029D">
        <w:rPr>
          <w:i/>
          <w:sz w:val="22"/>
          <w:szCs w:val="22"/>
        </w:rPr>
        <w:t>ena drugih l</w:t>
      </w:r>
      <w:r w:rsidR="00074F21">
        <w:rPr>
          <w:i/>
          <w:sz w:val="22"/>
          <w:szCs w:val="22"/>
        </w:rPr>
        <w:t>j</w:t>
      </w:r>
      <w:r w:rsidRPr="00E5029D">
        <w:rPr>
          <w:i/>
          <w:sz w:val="22"/>
          <w:szCs w:val="22"/>
        </w:rPr>
        <w:t>ekova</w:t>
      </w:r>
    </w:p>
    <w:p w14:paraId="4AD6780D" w14:textId="1B0AB4D7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Rosuvastatin je supstrat različitih transportnih proteina (npr. OATP1B1 i BCRP). Rizik za pojavu miopatije</w:t>
      </w:r>
      <w:r w:rsidR="00074F21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(uključujući i rabdomiolizu) je povećan kada se l</w:t>
      </w:r>
      <w:r w:rsidR="00074F21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ek Rozor daje istovremeno sa određenim </w:t>
      </w:r>
      <w:r w:rsidR="008E18CB">
        <w:rPr>
          <w:sz w:val="22"/>
          <w:szCs w:val="22"/>
        </w:rPr>
        <w:t>ljekovi</w:t>
      </w:r>
      <w:r w:rsidRPr="00E5029D">
        <w:rPr>
          <w:sz w:val="22"/>
          <w:szCs w:val="22"/>
        </w:rPr>
        <w:t>ma koji</w:t>
      </w:r>
      <w:r w:rsidR="00074F21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mogu da povećaju koncentraciju rosuvastatina u plazmi </w:t>
      </w:r>
      <w:r w:rsidR="00074F21">
        <w:rPr>
          <w:sz w:val="22"/>
          <w:szCs w:val="22"/>
        </w:rPr>
        <w:t>usljed</w:t>
      </w:r>
      <w:r w:rsidRPr="00E5029D">
        <w:rPr>
          <w:sz w:val="22"/>
          <w:szCs w:val="22"/>
        </w:rPr>
        <w:t xml:space="preserve"> interakcija sa ovim transportnim proteinima</w:t>
      </w:r>
      <w:r w:rsidR="00074F21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(npr. ciklosporin i određeni inhibitori proteaze, uključujući kombinacije ritonavira sa atazanavirom, lopinavirom i/ili tipranavirom; 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600503">
        <w:rPr>
          <w:sz w:val="22"/>
          <w:szCs w:val="22"/>
        </w:rPr>
        <w:t>odjeljke</w:t>
      </w:r>
      <w:r w:rsidRPr="00E5029D">
        <w:rPr>
          <w:sz w:val="22"/>
          <w:szCs w:val="22"/>
        </w:rPr>
        <w:t xml:space="preserve"> 4.4 i 4.5).</w:t>
      </w:r>
    </w:p>
    <w:p w14:paraId="20C87559" w14:textId="77777777" w:rsidR="0000248E" w:rsidRPr="00E5029D" w:rsidRDefault="0000248E" w:rsidP="00772F51">
      <w:pPr>
        <w:rPr>
          <w:sz w:val="22"/>
          <w:szCs w:val="22"/>
        </w:rPr>
      </w:pPr>
    </w:p>
    <w:p w14:paraId="5A767972" w14:textId="197609C1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Kad god je to moguće, trebalo bi razmotriti prim</w:t>
      </w:r>
      <w:r w:rsidR="00074F21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enu drugih </w:t>
      </w:r>
      <w:r w:rsidR="00074F21">
        <w:rPr>
          <w:sz w:val="22"/>
          <w:szCs w:val="22"/>
        </w:rPr>
        <w:t>ljekova</w:t>
      </w:r>
      <w:r w:rsidRPr="00E5029D">
        <w:rPr>
          <w:sz w:val="22"/>
          <w:szCs w:val="22"/>
        </w:rPr>
        <w:t xml:space="preserve"> i, ukoliko je neophodno, razmotriti mogućnost privremenog prekida terapije</w:t>
      </w:r>
      <w:r w:rsidR="007E5AC4">
        <w:rPr>
          <w:sz w:val="22"/>
          <w:szCs w:val="22"/>
        </w:rPr>
        <w:t xml:space="preserve"> lijekom </w:t>
      </w:r>
      <w:r w:rsidRPr="00E5029D">
        <w:rPr>
          <w:sz w:val="22"/>
          <w:szCs w:val="22"/>
        </w:rPr>
        <w:t>Rozor. U situacijama kada je prim</w:t>
      </w:r>
      <w:r w:rsidR="00074F21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ena ovih </w:t>
      </w:r>
      <w:r w:rsidR="00074F21">
        <w:rPr>
          <w:sz w:val="22"/>
          <w:szCs w:val="22"/>
        </w:rPr>
        <w:t>ljekova</w:t>
      </w:r>
      <w:r w:rsidRPr="00E5029D">
        <w:rPr>
          <w:sz w:val="22"/>
          <w:szCs w:val="22"/>
        </w:rPr>
        <w:t xml:space="preserve"> u kombinaciji sa</w:t>
      </w:r>
      <w:r w:rsidR="007E5AC4">
        <w:rPr>
          <w:sz w:val="22"/>
          <w:szCs w:val="22"/>
        </w:rPr>
        <w:t xml:space="preserve"> lijekom </w:t>
      </w:r>
      <w:r w:rsidRPr="00E5029D">
        <w:rPr>
          <w:sz w:val="22"/>
          <w:szCs w:val="22"/>
        </w:rPr>
        <w:t>Rozor neizb</w:t>
      </w:r>
      <w:r w:rsidR="00074F21">
        <w:rPr>
          <w:sz w:val="22"/>
          <w:szCs w:val="22"/>
        </w:rPr>
        <w:t>j</w:t>
      </w:r>
      <w:r w:rsidRPr="00E5029D">
        <w:rPr>
          <w:sz w:val="22"/>
          <w:szCs w:val="22"/>
        </w:rPr>
        <w:t>ežna, treba pažljivo razmotriti odnos koristi i rizika ovakve istovremene</w:t>
      </w:r>
      <w:r w:rsidR="00074F21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terapije</w:t>
      </w:r>
      <w:r w:rsidR="00F67C64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i pažljivo razmotriti prilagođavanje doze rosuvastatina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4.5).</w:t>
      </w:r>
      <w:r w:rsidRPr="00E5029D">
        <w:rPr>
          <w:sz w:val="22"/>
          <w:szCs w:val="22"/>
        </w:rPr>
        <w:cr/>
      </w:r>
    </w:p>
    <w:p w14:paraId="0E1DDFD6" w14:textId="347EFE39" w:rsidR="0000248E" w:rsidRPr="00E5029D" w:rsidRDefault="0000248E" w:rsidP="00772F51">
      <w:pPr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Način prim</w:t>
      </w:r>
      <w:r w:rsidR="00074F21">
        <w:rPr>
          <w:sz w:val="22"/>
          <w:szCs w:val="22"/>
          <w:u w:val="single"/>
        </w:rPr>
        <w:t>j</w:t>
      </w:r>
      <w:r w:rsidRPr="00E5029D">
        <w:rPr>
          <w:sz w:val="22"/>
          <w:szCs w:val="22"/>
          <w:u w:val="single"/>
        </w:rPr>
        <w:t>ene</w:t>
      </w:r>
    </w:p>
    <w:p w14:paraId="2B20CAEB" w14:textId="77777777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Za oralnu upotrebu.</w:t>
      </w:r>
    </w:p>
    <w:p w14:paraId="2415595D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6211FCE8" w14:textId="44128BE0" w:rsidR="0000248E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L</w:t>
      </w:r>
      <w:r w:rsidR="00074F21">
        <w:rPr>
          <w:sz w:val="22"/>
          <w:szCs w:val="22"/>
        </w:rPr>
        <w:t>ij</w:t>
      </w:r>
      <w:r w:rsidRPr="00E5029D">
        <w:rPr>
          <w:sz w:val="22"/>
          <w:szCs w:val="22"/>
        </w:rPr>
        <w:t>ek Rozor treba uzimati jednom dnevno, u isto</w:t>
      </w:r>
      <w:r w:rsidR="007E5AC4">
        <w:rPr>
          <w:sz w:val="22"/>
          <w:szCs w:val="22"/>
        </w:rPr>
        <w:t xml:space="preserve"> vrijeme </w:t>
      </w:r>
      <w:r w:rsidRPr="00E5029D">
        <w:rPr>
          <w:sz w:val="22"/>
          <w:szCs w:val="22"/>
        </w:rPr>
        <w:t>svakog dana, sa ili bez hrane.</w:t>
      </w:r>
    </w:p>
    <w:p w14:paraId="168CE75F" w14:textId="77777777" w:rsidR="00E052AF" w:rsidRPr="00E5029D" w:rsidRDefault="00E052AF" w:rsidP="00772F51">
      <w:pPr>
        <w:rPr>
          <w:sz w:val="22"/>
          <w:szCs w:val="22"/>
        </w:rPr>
      </w:pPr>
    </w:p>
    <w:p w14:paraId="67202BFE" w14:textId="5723A28C" w:rsidR="0000248E" w:rsidRPr="00E5029D" w:rsidRDefault="0000248E" w:rsidP="00772F51">
      <w:pPr>
        <w:rPr>
          <w:sz w:val="22"/>
          <w:szCs w:val="22"/>
        </w:rPr>
      </w:pPr>
      <w:r w:rsidRPr="00E5029D">
        <w:rPr>
          <w:sz w:val="22"/>
          <w:szCs w:val="22"/>
        </w:rPr>
        <w:t>Film tabletu treba progutati c</w:t>
      </w:r>
      <w:r w:rsidR="00074F21">
        <w:rPr>
          <w:sz w:val="22"/>
          <w:szCs w:val="22"/>
        </w:rPr>
        <w:t>ij</w:t>
      </w:r>
      <w:r w:rsidRPr="00E5029D">
        <w:rPr>
          <w:sz w:val="22"/>
          <w:szCs w:val="22"/>
        </w:rPr>
        <w:t>elu, sa vodom.</w:t>
      </w:r>
    </w:p>
    <w:p w14:paraId="7FF27F80" w14:textId="77777777" w:rsidR="00452E9D" w:rsidRPr="00E5029D" w:rsidRDefault="00452E9D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5125C6C" w14:textId="77777777" w:rsidR="00411B4B" w:rsidRPr="00772F51" w:rsidRDefault="00411B4B" w:rsidP="003C74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>4</w:t>
      </w:r>
      <w:r w:rsidRPr="00772F51">
        <w:rPr>
          <w:b/>
          <w:bCs/>
          <w:sz w:val="22"/>
          <w:szCs w:val="22"/>
        </w:rPr>
        <w:t xml:space="preserve">.3. </w:t>
      </w:r>
      <w:r w:rsidR="00480FB1" w:rsidRPr="00772F51">
        <w:rPr>
          <w:b/>
          <w:bCs/>
          <w:sz w:val="22"/>
          <w:szCs w:val="22"/>
        </w:rPr>
        <w:tab/>
      </w:r>
      <w:r w:rsidRPr="00772F51">
        <w:rPr>
          <w:b/>
          <w:bCs/>
          <w:sz w:val="22"/>
          <w:szCs w:val="22"/>
        </w:rPr>
        <w:t>Kontraindikacije</w:t>
      </w:r>
    </w:p>
    <w:p w14:paraId="7C7045B7" w14:textId="67FE0979" w:rsidR="0072020E" w:rsidRPr="00772F51" w:rsidRDefault="0072020E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9192028" w14:textId="12C5E2FB" w:rsidR="0000248E" w:rsidRPr="00772F51" w:rsidRDefault="0000248E" w:rsidP="003C741B">
      <w:pPr>
        <w:jc w:val="both"/>
        <w:rPr>
          <w:sz w:val="22"/>
          <w:szCs w:val="22"/>
        </w:rPr>
      </w:pPr>
      <w:r w:rsidRPr="00772F51">
        <w:rPr>
          <w:sz w:val="22"/>
          <w:szCs w:val="22"/>
        </w:rPr>
        <w:t>L</w:t>
      </w:r>
      <w:r w:rsidR="00074F21" w:rsidRPr="00772F51">
        <w:rPr>
          <w:sz w:val="22"/>
          <w:szCs w:val="22"/>
        </w:rPr>
        <w:t>ij</w:t>
      </w:r>
      <w:r w:rsidRPr="00772F51">
        <w:rPr>
          <w:sz w:val="22"/>
          <w:szCs w:val="22"/>
        </w:rPr>
        <w:t>ek Rozor je kontraindikovan:</w:t>
      </w:r>
    </w:p>
    <w:p w14:paraId="53F39DFC" w14:textId="189C53F0" w:rsidR="0000248E" w:rsidRPr="00772F51" w:rsidRDefault="0000248E" w:rsidP="00875F08">
      <w:pPr>
        <w:pStyle w:val="ListParagraph"/>
        <w:numPr>
          <w:ilvl w:val="0"/>
          <w:numId w:val="12"/>
        </w:numPr>
        <w:rPr>
          <w:szCs w:val="22"/>
        </w:rPr>
      </w:pPr>
      <w:r w:rsidRPr="00772F51">
        <w:rPr>
          <w:szCs w:val="22"/>
        </w:rPr>
        <w:t>kod pacijenata koji su pre</w:t>
      </w:r>
      <w:r w:rsidR="00EA4572" w:rsidRPr="00772F51">
        <w:rPr>
          <w:szCs w:val="22"/>
        </w:rPr>
        <w:t>osjetljiv</w:t>
      </w:r>
      <w:r w:rsidRPr="00772F51">
        <w:rPr>
          <w:szCs w:val="22"/>
        </w:rPr>
        <w:t xml:space="preserve">i na aktivne supstance (rosuvastatin, ezetimib) ili na bilo koju od pomoćnih supstanci koje su navedene u </w:t>
      </w:r>
      <w:r w:rsidR="00A80C70" w:rsidRPr="00772F51">
        <w:rPr>
          <w:szCs w:val="22"/>
        </w:rPr>
        <w:t>odjeljku</w:t>
      </w:r>
      <w:r w:rsidRPr="00772F51">
        <w:rPr>
          <w:szCs w:val="22"/>
        </w:rPr>
        <w:t xml:space="preserve"> 6.1,</w:t>
      </w:r>
    </w:p>
    <w:p w14:paraId="4400A556" w14:textId="1F560E99" w:rsidR="0000248E" w:rsidRPr="00772F51" w:rsidRDefault="0000248E">
      <w:pPr>
        <w:pStyle w:val="ListParagraph"/>
        <w:numPr>
          <w:ilvl w:val="0"/>
          <w:numId w:val="12"/>
        </w:numPr>
        <w:rPr>
          <w:szCs w:val="22"/>
        </w:rPr>
      </w:pPr>
      <w:r w:rsidRPr="00772F51">
        <w:rPr>
          <w:szCs w:val="22"/>
        </w:rPr>
        <w:t xml:space="preserve">kod pacijenata sa aktivnim oboljenjem jetre, uključujući i neobjašnjivi, perzistentni porast </w:t>
      </w:r>
      <w:r w:rsidR="007E5AC4" w:rsidRPr="00772F51">
        <w:rPr>
          <w:szCs w:val="22"/>
        </w:rPr>
        <w:t>vrijednost</w:t>
      </w:r>
      <w:r w:rsidRPr="00772F51">
        <w:rPr>
          <w:szCs w:val="22"/>
        </w:rPr>
        <w:t xml:space="preserve">i transaminaza u serumu, kao i svako povećanje </w:t>
      </w:r>
      <w:r w:rsidR="007E5AC4" w:rsidRPr="00772F51">
        <w:rPr>
          <w:szCs w:val="22"/>
        </w:rPr>
        <w:t>vrijednost</w:t>
      </w:r>
      <w:r w:rsidRPr="00772F51">
        <w:rPr>
          <w:szCs w:val="22"/>
        </w:rPr>
        <w:t xml:space="preserve">i transaminaza u serumu koje je veće od tri puta od gornje granice normalnih </w:t>
      </w:r>
      <w:r w:rsidR="007E5AC4" w:rsidRPr="00772F51">
        <w:rPr>
          <w:szCs w:val="22"/>
        </w:rPr>
        <w:t>vrijednost</w:t>
      </w:r>
      <w:r w:rsidRPr="00772F51">
        <w:rPr>
          <w:szCs w:val="22"/>
        </w:rPr>
        <w:t>i (GGN) (</w:t>
      </w:r>
      <w:r w:rsidR="00600503" w:rsidRPr="00772F51">
        <w:rPr>
          <w:szCs w:val="22"/>
        </w:rPr>
        <w:t>vidjeti</w:t>
      </w:r>
      <w:r w:rsidRPr="00772F51">
        <w:rPr>
          <w:szCs w:val="22"/>
        </w:rPr>
        <w:t xml:space="preserve"> </w:t>
      </w:r>
      <w:r w:rsidR="00A80C70" w:rsidRPr="00772F51">
        <w:rPr>
          <w:szCs w:val="22"/>
        </w:rPr>
        <w:t>odjeljak</w:t>
      </w:r>
      <w:r w:rsidRPr="00772F51">
        <w:rPr>
          <w:szCs w:val="22"/>
        </w:rPr>
        <w:t xml:space="preserve"> 4.4)</w:t>
      </w:r>
    </w:p>
    <w:p w14:paraId="67D3B772" w14:textId="379229CC" w:rsidR="0000248E" w:rsidRPr="00772F51" w:rsidRDefault="0000248E">
      <w:pPr>
        <w:pStyle w:val="ListParagraph"/>
        <w:numPr>
          <w:ilvl w:val="0"/>
          <w:numId w:val="12"/>
        </w:numPr>
        <w:rPr>
          <w:szCs w:val="22"/>
        </w:rPr>
      </w:pPr>
      <w:r w:rsidRPr="00772F51">
        <w:rPr>
          <w:szCs w:val="22"/>
        </w:rPr>
        <w:t>u trudnoći, tokom dojenja, kao i kod žena u reproduktivnom periodu, a koje ne koriste odgovarajuće kontraceptivne m</w:t>
      </w:r>
      <w:r w:rsidR="006A3E14" w:rsidRPr="00772F51">
        <w:rPr>
          <w:szCs w:val="22"/>
        </w:rPr>
        <w:t>j</w:t>
      </w:r>
      <w:r w:rsidRPr="00772F51">
        <w:rPr>
          <w:szCs w:val="22"/>
        </w:rPr>
        <w:t>ere zaštite od trudnoće (</w:t>
      </w:r>
      <w:r w:rsidR="00600503" w:rsidRPr="00772F51">
        <w:rPr>
          <w:szCs w:val="22"/>
        </w:rPr>
        <w:t>vidjeti</w:t>
      </w:r>
      <w:r w:rsidRPr="00772F51">
        <w:rPr>
          <w:szCs w:val="22"/>
        </w:rPr>
        <w:t xml:space="preserve"> </w:t>
      </w:r>
      <w:r w:rsidR="00A80C70" w:rsidRPr="00772F51">
        <w:rPr>
          <w:szCs w:val="22"/>
        </w:rPr>
        <w:t>odjeljak</w:t>
      </w:r>
      <w:r w:rsidRPr="00772F51">
        <w:rPr>
          <w:szCs w:val="22"/>
        </w:rPr>
        <w:t xml:space="preserve"> 4.6)</w:t>
      </w:r>
    </w:p>
    <w:p w14:paraId="40317D23" w14:textId="06F85537" w:rsidR="0000248E" w:rsidRPr="00772F51" w:rsidRDefault="0000248E">
      <w:pPr>
        <w:pStyle w:val="ListParagraph"/>
        <w:numPr>
          <w:ilvl w:val="0"/>
          <w:numId w:val="12"/>
        </w:numPr>
        <w:rPr>
          <w:szCs w:val="22"/>
        </w:rPr>
      </w:pPr>
      <w:r w:rsidRPr="00772F51">
        <w:rPr>
          <w:szCs w:val="22"/>
        </w:rPr>
        <w:t>kod pacijenata sa teškim oštećenjem funkcije bubrega (klirens kreatinina &lt; 30 m</w:t>
      </w:r>
      <w:r w:rsidR="00E052AF" w:rsidRPr="00772F51">
        <w:rPr>
          <w:szCs w:val="22"/>
        </w:rPr>
        <w:t>l</w:t>
      </w:r>
      <w:r w:rsidRPr="00772F51">
        <w:rPr>
          <w:szCs w:val="22"/>
        </w:rPr>
        <w:t>/min) (</w:t>
      </w:r>
      <w:r w:rsidR="00600503" w:rsidRPr="00772F51">
        <w:rPr>
          <w:szCs w:val="22"/>
        </w:rPr>
        <w:t>vidjeti</w:t>
      </w:r>
      <w:r w:rsidRPr="00772F51">
        <w:rPr>
          <w:szCs w:val="22"/>
        </w:rPr>
        <w:t xml:space="preserve"> </w:t>
      </w:r>
      <w:r w:rsidR="00A80C70" w:rsidRPr="00772F51">
        <w:rPr>
          <w:szCs w:val="22"/>
        </w:rPr>
        <w:t>odjeljak</w:t>
      </w:r>
      <w:r w:rsidRPr="00772F51">
        <w:rPr>
          <w:szCs w:val="22"/>
        </w:rPr>
        <w:t xml:space="preserve"> 5.2)</w:t>
      </w:r>
    </w:p>
    <w:p w14:paraId="459A70B2" w14:textId="5093DF30" w:rsidR="0000248E" w:rsidRPr="00772F51" w:rsidRDefault="0000248E">
      <w:pPr>
        <w:pStyle w:val="ListParagraph"/>
        <w:numPr>
          <w:ilvl w:val="0"/>
          <w:numId w:val="12"/>
        </w:numPr>
        <w:rPr>
          <w:szCs w:val="22"/>
        </w:rPr>
      </w:pPr>
      <w:r w:rsidRPr="00772F51">
        <w:rPr>
          <w:szCs w:val="22"/>
        </w:rPr>
        <w:t>kod pacijenata sa miopatijom (</w:t>
      </w:r>
      <w:r w:rsidR="00600503" w:rsidRPr="00772F51">
        <w:rPr>
          <w:szCs w:val="22"/>
        </w:rPr>
        <w:t>vidjeti</w:t>
      </w:r>
      <w:r w:rsidRPr="00772F51">
        <w:rPr>
          <w:szCs w:val="22"/>
        </w:rPr>
        <w:t xml:space="preserve"> </w:t>
      </w:r>
      <w:r w:rsidR="00A80C70" w:rsidRPr="00772F51">
        <w:rPr>
          <w:szCs w:val="22"/>
        </w:rPr>
        <w:t>odjeljak</w:t>
      </w:r>
      <w:r w:rsidRPr="00772F51">
        <w:rPr>
          <w:szCs w:val="22"/>
        </w:rPr>
        <w:t xml:space="preserve"> 4.4)</w:t>
      </w:r>
    </w:p>
    <w:p w14:paraId="50E2335B" w14:textId="3A31DD50" w:rsidR="0000248E" w:rsidRPr="00772F51" w:rsidRDefault="0000248E">
      <w:pPr>
        <w:pStyle w:val="ListParagraph"/>
        <w:numPr>
          <w:ilvl w:val="0"/>
          <w:numId w:val="12"/>
        </w:numPr>
        <w:rPr>
          <w:szCs w:val="22"/>
        </w:rPr>
      </w:pPr>
      <w:r w:rsidRPr="00772F51">
        <w:rPr>
          <w:szCs w:val="22"/>
        </w:rPr>
        <w:t>kod pacijenata koji istovremeno primaju ciklosporin (</w:t>
      </w:r>
      <w:r w:rsidR="00600503" w:rsidRPr="00772F51">
        <w:rPr>
          <w:szCs w:val="22"/>
        </w:rPr>
        <w:t>vidjeti</w:t>
      </w:r>
      <w:r w:rsidRPr="00772F51">
        <w:rPr>
          <w:szCs w:val="22"/>
        </w:rPr>
        <w:t xml:space="preserve"> </w:t>
      </w:r>
      <w:r w:rsidR="00A80C70" w:rsidRPr="00772F51">
        <w:rPr>
          <w:szCs w:val="22"/>
        </w:rPr>
        <w:t>odjeljak</w:t>
      </w:r>
      <w:r w:rsidRPr="00772F51">
        <w:rPr>
          <w:szCs w:val="22"/>
        </w:rPr>
        <w:t xml:space="preserve"> 4.5).</w:t>
      </w:r>
      <w:r w:rsidRPr="00772F51">
        <w:rPr>
          <w:szCs w:val="22"/>
        </w:rPr>
        <w:cr/>
      </w:r>
    </w:p>
    <w:p w14:paraId="17BE42E6" w14:textId="77777777" w:rsidR="0000248E" w:rsidRPr="00772F51" w:rsidRDefault="0000248E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A2F7D4E" w14:textId="77777777" w:rsidR="00411B4B" w:rsidRPr="00772F51" w:rsidRDefault="00411B4B" w:rsidP="003C74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72F51">
        <w:rPr>
          <w:b/>
          <w:bCs/>
          <w:sz w:val="22"/>
          <w:szCs w:val="22"/>
        </w:rPr>
        <w:t xml:space="preserve">4.4. </w:t>
      </w:r>
      <w:r w:rsidR="00480FB1" w:rsidRPr="00772F51">
        <w:rPr>
          <w:b/>
          <w:bCs/>
          <w:sz w:val="22"/>
          <w:szCs w:val="22"/>
        </w:rPr>
        <w:tab/>
      </w:r>
      <w:r w:rsidRPr="00772F51">
        <w:rPr>
          <w:b/>
          <w:bCs/>
          <w:sz w:val="22"/>
          <w:szCs w:val="22"/>
        </w:rPr>
        <w:t>Posebna upozorenja i mjere opreza pri upotrebi lijeka</w:t>
      </w:r>
    </w:p>
    <w:p w14:paraId="0AE7150C" w14:textId="77777777" w:rsidR="0072020E" w:rsidRPr="00772F51" w:rsidRDefault="0072020E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84D2384" w14:textId="7FE9DEF7" w:rsidR="0000248E" w:rsidRPr="00772F51" w:rsidRDefault="0000248E" w:rsidP="003C741B">
      <w:pPr>
        <w:jc w:val="both"/>
        <w:rPr>
          <w:sz w:val="22"/>
          <w:szCs w:val="22"/>
          <w:u w:val="single"/>
        </w:rPr>
      </w:pPr>
      <w:r w:rsidRPr="00772F51">
        <w:rPr>
          <w:sz w:val="22"/>
          <w:szCs w:val="22"/>
          <w:u w:val="single"/>
        </w:rPr>
        <w:t>D</w:t>
      </w:r>
      <w:r w:rsidR="00E052AF" w:rsidRPr="00772F51">
        <w:rPr>
          <w:sz w:val="22"/>
          <w:szCs w:val="22"/>
          <w:u w:val="single"/>
        </w:rPr>
        <w:t>j</w:t>
      </w:r>
      <w:r w:rsidRPr="00772F51">
        <w:rPr>
          <w:sz w:val="22"/>
          <w:szCs w:val="22"/>
          <w:u w:val="single"/>
        </w:rPr>
        <w:t>elovanje l</w:t>
      </w:r>
      <w:r w:rsidR="006A3E14" w:rsidRPr="00772F51">
        <w:rPr>
          <w:sz w:val="22"/>
          <w:szCs w:val="22"/>
          <w:u w:val="single"/>
        </w:rPr>
        <w:t>ij</w:t>
      </w:r>
      <w:r w:rsidRPr="00772F51">
        <w:rPr>
          <w:sz w:val="22"/>
          <w:szCs w:val="22"/>
          <w:u w:val="single"/>
        </w:rPr>
        <w:t>eka na skeletne mišiće</w:t>
      </w:r>
    </w:p>
    <w:p w14:paraId="13F402AB" w14:textId="4D79648C" w:rsidR="0000248E" w:rsidRPr="00772F51" w:rsidRDefault="0000248E" w:rsidP="003C741B">
      <w:pPr>
        <w:jc w:val="both"/>
        <w:rPr>
          <w:sz w:val="22"/>
          <w:szCs w:val="22"/>
        </w:rPr>
      </w:pPr>
      <w:r w:rsidRPr="00772F51">
        <w:rPr>
          <w:sz w:val="22"/>
          <w:szCs w:val="22"/>
        </w:rPr>
        <w:t>Kod pacijenata koji su l</w:t>
      </w:r>
      <w:r w:rsidR="006A3E14" w:rsidRPr="00772F51">
        <w:rPr>
          <w:sz w:val="22"/>
          <w:szCs w:val="22"/>
        </w:rPr>
        <w:t>ij</w:t>
      </w:r>
      <w:r w:rsidRPr="00772F51">
        <w:rPr>
          <w:sz w:val="22"/>
          <w:szCs w:val="22"/>
        </w:rPr>
        <w:t xml:space="preserve">ečeni </w:t>
      </w:r>
      <w:r w:rsidR="00D67D32" w:rsidRPr="00772F51">
        <w:rPr>
          <w:sz w:val="22"/>
          <w:szCs w:val="22"/>
        </w:rPr>
        <w:t xml:space="preserve">bilo kojom dozovom </w:t>
      </w:r>
      <w:r w:rsidRPr="00772F51">
        <w:rPr>
          <w:sz w:val="22"/>
          <w:szCs w:val="22"/>
        </w:rPr>
        <w:t>rosuvastatin</w:t>
      </w:r>
      <w:r w:rsidR="00D67D32" w:rsidRPr="00772F51">
        <w:rPr>
          <w:sz w:val="22"/>
          <w:szCs w:val="22"/>
        </w:rPr>
        <w:t>a</w:t>
      </w:r>
      <w:r w:rsidRPr="00772F51">
        <w:rPr>
          <w:sz w:val="22"/>
          <w:szCs w:val="22"/>
        </w:rPr>
        <w:t>, a posebno pri dozama većim od 20 mg,</w:t>
      </w:r>
      <w:r w:rsidR="00D67D32" w:rsidRPr="00772F51">
        <w:rPr>
          <w:sz w:val="22"/>
          <w:szCs w:val="22"/>
        </w:rPr>
        <w:t xml:space="preserve"> </w:t>
      </w:r>
      <w:r w:rsidR="006A3E14" w:rsidRPr="00772F51">
        <w:rPr>
          <w:sz w:val="22"/>
          <w:szCs w:val="22"/>
        </w:rPr>
        <w:t>zabilježen</w:t>
      </w:r>
      <w:r w:rsidRPr="00772F51">
        <w:rPr>
          <w:sz w:val="22"/>
          <w:szCs w:val="22"/>
        </w:rPr>
        <w:t>o je dejstvo</w:t>
      </w:r>
      <w:r w:rsidR="006A3E14" w:rsidRPr="00772F51">
        <w:rPr>
          <w:sz w:val="22"/>
          <w:szCs w:val="22"/>
        </w:rPr>
        <w:t xml:space="preserve"> lijeka </w:t>
      </w:r>
      <w:r w:rsidRPr="00772F51">
        <w:rPr>
          <w:sz w:val="22"/>
          <w:szCs w:val="22"/>
        </w:rPr>
        <w:t xml:space="preserve">na skeletne mišiće poput mijalgije, miopatije i, </w:t>
      </w:r>
      <w:r w:rsidR="006A3E14" w:rsidRPr="00772F51">
        <w:rPr>
          <w:sz w:val="22"/>
          <w:szCs w:val="22"/>
        </w:rPr>
        <w:t>rijetko</w:t>
      </w:r>
      <w:r w:rsidRPr="00772F51">
        <w:rPr>
          <w:sz w:val="22"/>
          <w:szCs w:val="22"/>
        </w:rPr>
        <w:t>, rabdomiolize.</w:t>
      </w:r>
    </w:p>
    <w:p w14:paraId="13171D6A" w14:textId="5286FE2C" w:rsidR="0000248E" w:rsidRPr="00772F51" w:rsidRDefault="0000248E" w:rsidP="003C741B">
      <w:pPr>
        <w:jc w:val="both"/>
        <w:rPr>
          <w:sz w:val="22"/>
          <w:szCs w:val="22"/>
        </w:rPr>
      </w:pPr>
      <w:r w:rsidRPr="00772F51">
        <w:rPr>
          <w:sz w:val="22"/>
          <w:szCs w:val="22"/>
        </w:rPr>
        <w:t>Tokom postmarketinškog praćenja prim</w:t>
      </w:r>
      <w:r w:rsidR="006A3E14" w:rsidRPr="00772F51">
        <w:rPr>
          <w:sz w:val="22"/>
          <w:szCs w:val="22"/>
        </w:rPr>
        <w:t>j</w:t>
      </w:r>
      <w:r w:rsidRPr="00772F51">
        <w:rPr>
          <w:sz w:val="22"/>
          <w:szCs w:val="22"/>
        </w:rPr>
        <w:t xml:space="preserve">ene ezetimiba, </w:t>
      </w:r>
      <w:r w:rsidR="006A3E14" w:rsidRPr="00772F51">
        <w:rPr>
          <w:sz w:val="22"/>
          <w:szCs w:val="22"/>
        </w:rPr>
        <w:t>zabilježen</w:t>
      </w:r>
      <w:r w:rsidRPr="00772F51">
        <w:rPr>
          <w:sz w:val="22"/>
          <w:szCs w:val="22"/>
        </w:rPr>
        <w:t>i su slučajevi miopatije i rabdomiolize.</w:t>
      </w:r>
    </w:p>
    <w:p w14:paraId="0FB21EE2" w14:textId="1AB9F07B" w:rsidR="0000248E" w:rsidRPr="00772F51" w:rsidRDefault="0000248E" w:rsidP="003C741B">
      <w:pPr>
        <w:jc w:val="both"/>
        <w:rPr>
          <w:sz w:val="22"/>
          <w:szCs w:val="22"/>
        </w:rPr>
      </w:pPr>
      <w:r w:rsidRPr="00772F51">
        <w:rPr>
          <w:sz w:val="22"/>
          <w:szCs w:val="22"/>
        </w:rPr>
        <w:t xml:space="preserve">Međutim, rabdomioliza je veoma </w:t>
      </w:r>
      <w:r w:rsidR="006A3E14" w:rsidRPr="00772F51">
        <w:rPr>
          <w:sz w:val="22"/>
          <w:szCs w:val="22"/>
        </w:rPr>
        <w:t>rijetko</w:t>
      </w:r>
      <w:r w:rsidRPr="00772F51">
        <w:rPr>
          <w:sz w:val="22"/>
          <w:szCs w:val="22"/>
        </w:rPr>
        <w:t xml:space="preserve"> </w:t>
      </w:r>
      <w:r w:rsidR="00074F21" w:rsidRPr="00772F51">
        <w:rPr>
          <w:sz w:val="22"/>
          <w:szCs w:val="22"/>
        </w:rPr>
        <w:t>zabilježena</w:t>
      </w:r>
      <w:r w:rsidRPr="00772F51">
        <w:rPr>
          <w:sz w:val="22"/>
          <w:szCs w:val="22"/>
        </w:rPr>
        <w:t xml:space="preserve"> kod pacijenata koji su uzimali ezetimib kao monoterapiju,</w:t>
      </w:r>
      <w:r w:rsidR="002215F4" w:rsidRPr="00772F51">
        <w:rPr>
          <w:sz w:val="22"/>
          <w:szCs w:val="22"/>
        </w:rPr>
        <w:t xml:space="preserve"> </w:t>
      </w:r>
      <w:r w:rsidR="00B074C5" w:rsidRPr="00772F51">
        <w:rPr>
          <w:sz w:val="22"/>
          <w:szCs w:val="22"/>
        </w:rPr>
        <w:t>i veoma rijetko kod dodavanja ezitimiba drugim ljekovima</w:t>
      </w:r>
      <w:r w:rsidRPr="00772F51">
        <w:rPr>
          <w:sz w:val="22"/>
          <w:szCs w:val="22"/>
        </w:rPr>
        <w:t xml:space="preserve"> za koje se zna da su povezani sa povećanim rizikom </w:t>
      </w:r>
      <w:r w:rsidR="00A83706" w:rsidRPr="00772F51">
        <w:rPr>
          <w:sz w:val="22"/>
          <w:szCs w:val="22"/>
        </w:rPr>
        <w:t>od</w:t>
      </w:r>
      <w:r w:rsidR="006A3E14" w:rsidRPr="00772F51">
        <w:rPr>
          <w:sz w:val="22"/>
          <w:szCs w:val="22"/>
        </w:rPr>
        <w:t xml:space="preserve"> </w:t>
      </w:r>
      <w:r w:rsidRPr="00772F51">
        <w:rPr>
          <w:sz w:val="22"/>
          <w:szCs w:val="22"/>
        </w:rPr>
        <w:t>rabdomiolize. Ukoliko postoji sumnja na prisustvo miopatije na osnovu mišićnih simptoma, ili ukoliko je</w:t>
      </w:r>
      <w:r w:rsidR="006A3E14" w:rsidRPr="00772F51">
        <w:rPr>
          <w:sz w:val="22"/>
          <w:szCs w:val="22"/>
        </w:rPr>
        <w:t xml:space="preserve"> </w:t>
      </w:r>
      <w:r w:rsidRPr="00772F51">
        <w:rPr>
          <w:sz w:val="22"/>
          <w:szCs w:val="22"/>
        </w:rPr>
        <w:t xml:space="preserve">miopatija potvrđena na osnovu </w:t>
      </w:r>
      <w:r w:rsidR="007E5AC4" w:rsidRPr="00772F51">
        <w:rPr>
          <w:sz w:val="22"/>
          <w:szCs w:val="22"/>
        </w:rPr>
        <w:t>vrijednost</w:t>
      </w:r>
      <w:r w:rsidRPr="00772F51">
        <w:rPr>
          <w:sz w:val="22"/>
          <w:szCs w:val="22"/>
        </w:rPr>
        <w:t xml:space="preserve">i kreatin kinaze, odmah treba prekinuti terapiju ezetimibom, bilo kojim statinom i bilo kojim drugim </w:t>
      </w:r>
      <w:r w:rsidR="008E18CB" w:rsidRPr="00772F51">
        <w:rPr>
          <w:sz w:val="22"/>
          <w:szCs w:val="22"/>
        </w:rPr>
        <w:t>ljekovi</w:t>
      </w:r>
      <w:r w:rsidRPr="00772F51">
        <w:rPr>
          <w:sz w:val="22"/>
          <w:szCs w:val="22"/>
        </w:rPr>
        <w:t xml:space="preserve">ma koje pacijent istovremeno uzima, a za koje se zna da mogu biti povezani sa povećanim rizikom za pojavu rabdomiolize. Svim pacijentima koji započinju terapiju treba reći da odmah prijave pojavu bilo kakvog neobjašnjivog bola u mišićima, ili pojavu slabosti ili </w:t>
      </w:r>
      <w:r w:rsidR="00EA4572" w:rsidRPr="00772F51">
        <w:rPr>
          <w:sz w:val="22"/>
          <w:szCs w:val="22"/>
        </w:rPr>
        <w:t>osjetljiv</w:t>
      </w:r>
      <w:r w:rsidRPr="00772F51">
        <w:rPr>
          <w:sz w:val="22"/>
          <w:szCs w:val="22"/>
        </w:rPr>
        <w:t>osti u mišićima (</w:t>
      </w:r>
      <w:r w:rsidR="00600503" w:rsidRPr="00772F51">
        <w:rPr>
          <w:sz w:val="22"/>
          <w:szCs w:val="22"/>
        </w:rPr>
        <w:t>vidjeti</w:t>
      </w:r>
      <w:r w:rsidRPr="00772F51">
        <w:rPr>
          <w:sz w:val="22"/>
          <w:szCs w:val="22"/>
        </w:rPr>
        <w:t xml:space="preserve"> </w:t>
      </w:r>
      <w:r w:rsidR="00A80C70" w:rsidRPr="00772F51">
        <w:rPr>
          <w:sz w:val="22"/>
          <w:szCs w:val="22"/>
        </w:rPr>
        <w:t>odjeljak</w:t>
      </w:r>
      <w:r w:rsidRPr="00772F51">
        <w:rPr>
          <w:sz w:val="22"/>
          <w:szCs w:val="22"/>
        </w:rPr>
        <w:t xml:space="preserve"> 4.8).</w:t>
      </w:r>
      <w:r w:rsidRPr="00772F51">
        <w:rPr>
          <w:sz w:val="22"/>
          <w:szCs w:val="22"/>
        </w:rPr>
        <w:cr/>
      </w:r>
    </w:p>
    <w:p w14:paraId="3F578896" w14:textId="77777777" w:rsidR="0000248E" w:rsidRPr="00772F51" w:rsidRDefault="0000248E" w:rsidP="003C741B">
      <w:pPr>
        <w:jc w:val="both"/>
        <w:rPr>
          <w:sz w:val="22"/>
          <w:szCs w:val="22"/>
          <w:u w:val="single"/>
        </w:rPr>
      </w:pPr>
      <w:r w:rsidRPr="00772F51">
        <w:rPr>
          <w:sz w:val="22"/>
          <w:szCs w:val="22"/>
          <w:u w:val="single"/>
        </w:rPr>
        <w:t>Dejstvo na jetru</w:t>
      </w:r>
    </w:p>
    <w:p w14:paraId="0A9B73D8" w14:textId="47EC92AB" w:rsidR="00D67D32" w:rsidRPr="00772F51" w:rsidRDefault="0000248E" w:rsidP="003C741B">
      <w:pPr>
        <w:jc w:val="both"/>
        <w:rPr>
          <w:sz w:val="22"/>
          <w:szCs w:val="22"/>
        </w:rPr>
      </w:pPr>
      <w:r w:rsidRPr="00772F51">
        <w:rPr>
          <w:sz w:val="22"/>
          <w:szCs w:val="22"/>
        </w:rPr>
        <w:t xml:space="preserve">U kontrolisanim ispitivanjima </w:t>
      </w:r>
      <w:r w:rsidR="00B074C5" w:rsidRPr="00772F51">
        <w:rPr>
          <w:sz w:val="22"/>
          <w:szCs w:val="22"/>
        </w:rPr>
        <w:t xml:space="preserve">kod pacijenata koji </w:t>
      </w:r>
      <w:r w:rsidR="00A83706" w:rsidRPr="00772F51">
        <w:rPr>
          <w:sz w:val="22"/>
          <w:szCs w:val="22"/>
        </w:rPr>
        <w:t xml:space="preserve">su </w:t>
      </w:r>
      <w:r w:rsidR="00B074C5" w:rsidRPr="00772F51">
        <w:rPr>
          <w:sz w:val="22"/>
          <w:szCs w:val="22"/>
        </w:rPr>
        <w:t>prima</w:t>
      </w:r>
      <w:r w:rsidR="00A83706" w:rsidRPr="00772F51">
        <w:rPr>
          <w:sz w:val="22"/>
          <w:szCs w:val="22"/>
        </w:rPr>
        <w:t>li</w:t>
      </w:r>
      <w:r w:rsidR="00B074C5" w:rsidRPr="00772F51">
        <w:rPr>
          <w:sz w:val="22"/>
          <w:szCs w:val="22"/>
        </w:rPr>
        <w:t xml:space="preserve"> ezitimib istovremeno sa statinom uočeno je</w:t>
      </w:r>
      <w:r w:rsidRPr="00772F51">
        <w:rPr>
          <w:sz w:val="22"/>
          <w:szCs w:val="22"/>
        </w:rPr>
        <w:t xml:space="preserve"> uzastopno</w:t>
      </w:r>
      <w:r w:rsidR="006A3E14" w:rsidRPr="00772F51">
        <w:rPr>
          <w:sz w:val="22"/>
          <w:szCs w:val="22"/>
        </w:rPr>
        <w:t xml:space="preserve"> </w:t>
      </w:r>
      <w:r w:rsidRPr="00772F51">
        <w:rPr>
          <w:sz w:val="22"/>
          <w:szCs w:val="22"/>
        </w:rPr>
        <w:t xml:space="preserve">povećanje </w:t>
      </w:r>
      <w:r w:rsidR="007E5AC4" w:rsidRPr="00772F51">
        <w:rPr>
          <w:sz w:val="22"/>
          <w:szCs w:val="22"/>
        </w:rPr>
        <w:t>vrijednost</w:t>
      </w:r>
      <w:r w:rsidRPr="00772F51">
        <w:rPr>
          <w:sz w:val="22"/>
          <w:szCs w:val="22"/>
        </w:rPr>
        <w:t>i transaminaza (</w:t>
      </w:r>
      <w:r w:rsidR="00655861" w:rsidRPr="00772F51">
        <w:rPr>
          <w:sz w:val="22"/>
          <w:szCs w:val="22"/>
        </w:rPr>
        <w:t>≥3</w:t>
      </w:r>
      <w:r w:rsidR="008D4B68" w:rsidRPr="00772F51">
        <w:rPr>
          <w:sz w:val="22"/>
          <w:szCs w:val="22"/>
        </w:rPr>
        <w:t>puta</w:t>
      </w:r>
      <w:r w:rsidR="002215F4" w:rsidRPr="00772F51">
        <w:rPr>
          <w:sz w:val="22"/>
          <w:szCs w:val="22"/>
        </w:rPr>
        <w:t xml:space="preserve"> </w:t>
      </w:r>
      <w:r w:rsidRPr="00772F51">
        <w:rPr>
          <w:sz w:val="22"/>
          <w:szCs w:val="22"/>
        </w:rPr>
        <w:t xml:space="preserve">iznad gornje granice normalih </w:t>
      </w:r>
      <w:r w:rsidR="007E5AC4" w:rsidRPr="00772F51">
        <w:rPr>
          <w:sz w:val="22"/>
          <w:szCs w:val="22"/>
        </w:rPr>
        <w:t>vrijednost</w:t>
      </w:r>
      <w:r w:rsidRPr="00772F51">
        <w:rPr>
          <w:sz w:val="22"/>
          <w:szCs w:val="22"/>
        </w:rPr>
        <w:t>i - GGN).</w:t>
      </w:r>
      <w:r w:rsidR="006A3E14" w:rsidRPr="00772F51">
        <w:rPr>
          <w:sz w:val="22"/>
          <w:szCs w:val="22"/>
        </w:rPr>
        <w:t xml:space="preserve"> </w:t>
      </w:r>
    </w:p>
    <w:p w14:paraId="04F8734B" w14:textId="451325BC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lastRenderedPageBreak/>
        <w:t xml:space="preserve">Preporučuje se da se laboratorijski testovi funkcije jetre obave 3 </w:t>
      </w:r>
      <w:r w:rsidR="006A3E14">
        <w:rPr>
          <w:sz w:val="22"/>
          <w:szCs w:val="22"/>
        </w:rPr>
        <w:t>mjesec</w:t>
      </w:r>
      <w:r w:rsidRPr="00E5029D">
        <w:rPr>
          <w:sz w:val="22"/>
          <w:szCs w:val="22"/>
        </w:rPr>
        <w:t>a nakon započinjanja terapije</w:t>
      </w:r>
      <w:r w:rsidR="006A3E14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rosuvastatinom. Ako su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transaminaza u serumu tri puta veće od gornje granice normalnih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i, potrebno je obustaviti uzimanje rosuvastatina ili smanjiti </w:t>
      </w:r>
      <w:r w:rsidR="006A3E14">
        <w:rPr>
          <w:sz w:val="22"/>
          <w:szCs w:val="22"/>
        </w:rPr>
        <w:t>primijenjen</w:t>
      </w:r>
      <w:r w:rsidRPr="00E5029D">
        <w:rPr>
          <w:sz w:val="22"/>
          <w:szCs w:val="22"/>
        </w:rPr>
        <w:t>u dozu.</w:t>
      </w:r>
    </w:p>
    <w:p w14:paraId="1FD058C3" w14:textId="2CB91F21" w:rsidR="0000248E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Kod pacijenata sa sekundarnom hiperholesterolemijom, koja je uzrokovana hipotireoidizmom ili nefrotskim</w:t>
      </w:r>
      <w:r w:rsidR="006A3E14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sindromom,</w:t>
      </w:r>
      <w:r w:rsidR="006A3E14">
        <w:rPr>
          <w:sz w:val="22"/>
          <w:szCs w:val="22"/>
        </w:rPr>
        <w:t xml:space="preserve"> prije </w:t>
      </w:r>
      <w:r w:rsidRPr="00E5029D">
        <w:rPr>
          <w:sz w:val="22"/>
          <w:szCs w:val="22"/>
        </w:rPr>
        <w:t>uvođenja terapije</w:t>
      </w:r>
      <w:r w:rsidR="007E5AC4">
        <w:rPr>
          <w:sz w:val="22"/>
          <w:szCs w:val="22"/>
        </w:rPr>
        <w:t xml:space="preserve"> lijekom </w:t>
      </w:r>
      <w:r w:rsidRPr="00E5029D">
        <w:rPr>
          <w:sz w:val="22"/>
          <w:szCs w:val="22"/>
        </w:rPr>
        <w:t xml:space="preserve">Rozor treba </w:t>
      </w:r>
      <w:r w:rsidR="006A3E14">
        <w:rPr>
          <w:sz w:val="22"/>
          <w:szCs w:val="22"/>
        </w:rPr>
        <w:t>liječiti</w:t>
      </w:r>
      <w:r w:rsidRPr="00E5029D">
        <w:rPr>
          <w:sz w:val="22"/>
          <w:szCs w:val="22"/>
        </w:rPr>
        <w:t xml:space="preserve"> osnovnu bolest.</w:t>
      </w:r>
    </w:p>
    <w:p w14:paraId="54EC0EAD" w14:textId="77777777" w:rsidR="00F63840" w:rsidRPr="00E5029D" w:rsidRDefault="00F63840" w:rsidP="003C741B">
      <w:pPr>
        <w:jc w:val="both"/>
        <w:rPr>
          <w:sz w:val="22"/>
          <w:szCs w:val="22"/>
        </w:rPr>
      </w:pPr>
    </w:p>
    <w:p w14:paraId="29C59C9C" w14:textId="77F5645C" w:rsidR="0000248E" w:rsidRPr="00E5029D" w:rsidRDefault="00285A00" w:rsidP="003C74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Lijek </w:t>
      </w:r>
      <w:r w:rsidRPr="00E5029D">
        <w:rPr>
          <w:sz w:val="22"/>
          <w:szCs w:val="22"/>
        </w:rPr>
        <w:t xml:space="preserve">Rozor </w:t>
      </w:r>
      <w:r>
        <w:rPr>
          <w:sz w:val="22"/>
          <w:szCs w:val="22"/>
        </w:rPr>
        <w:t>se ne p</w:t>
      </w:r>
      <w:r w:rsidR="0000248E" w:rsidRPr="00E5029D">
        <w:rPr>
          <w:sz w:val="22"/>
          <w:szCs w:val="22"/>
        </w:rPr>
        <w:t xml:space="preserve">reporučuje </w:t>
      </w:r>
      <w:r w:rsidRPr="00E5029D">
        <w:rPr>
          <w:sz w:val="22"/>
          <w:szCs w:val="22"/>
        </w:rPr>
        <w:t>pacijenat</w:t>
      </w:r>
      <w:r>
        <w:rPr>
          <w:sz w:val="22"/>
          <w:szCs w:val="22"/>
        </w:rPr>
        <w:t xml:space="preserve">ima </w:t>
      </w:r>
      <w:r w:rsidRPr="00E5029D">
        <w:rPr>
          <w:sz w:val="22"/>
          <w:szCs w:val="22"/>
        </w:rPr>
        <w:t xml:space="preserve">sa </w:t>
      </w:r>
      <w:r>
        <w:rPr>
          <w:sz w:val="22"/>
          <w:szCs w:val="22"/>
        </w:rPr>
        <w:t>umjeren</w:t>
      </w:r>
      <w:r w:rsidRPr="00E5029D">
        <w:rPr>
          <w:sz w:val="22"/>
          <w:szCs w:val="22"/>
        </w:rPr>
        <w:t>im ili teškim oštećenjem</w:t>
      </w:r>
      <w:r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funkcije jetre</w:t>
      </w:r>
      <w:r>
        <w:rPr>
          <w:sz w:val="22"/>
          <w:szCs w:val="22"/>
        </w:rPr>
        <w:t xml:space="preserve">, jer nijesu </w:t>
      </w:r>
      <w:r w:rsidRPr="00E5029D">
        <w:rPr>
          <w:sz w:val="22"/>
          <w:szCs w:val="22"/>
        </w:rPr>
        <w:t>poznati efekti povećane izloženosti ezetimibu</w:t>
      </w:r>
      <w:r>
        <w:rPr>
          <w:sz w:val="22"/>
          <w:szCs w:val="22"/>
        </w:rPr>
        <w:t xml:space="preserve"> </w:t>
      </w:r>
      <w:r w:rsidR="0000248E" w:rsidRPr="00E5029D">
        <w:rPr>
          <w:sz w:val="22"/>
          <w:szCs w:val="22"/>
        </w:rPr>
        <w:t>(</w:t>
      </w:r>
      <w:r w:rsidR="00600503">
        <w:rPr>
          <w:sz w:val="22"/>
          <w:szCs w:val="22"/>
        </w:rPr>
        <w:t>vidjeti</w:t>
      </w:r>
      <w:r w:rsidR="0000248E"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="0000248E" w:rsidRPr="00E5029D">
        <w:rPr>
          <w:sz w:val="22"/>
          <w:szCs w:val="22"/>
        </w:rPr>
        <w:t xml:space="preserve"> 5.2).</w:t>
      </w:r>
    </w:p>
    <w:p w14:paraId="1D15E7DD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6C6CBEEE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Bolest jetre i alkohol</w:t>
      </w:r>
    </w:p>
    <w:p w14:paraId="22E5B2C3" w14:textId="232BAAB8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L</w:t>
      </w:r>
      <w:r w:rsidR="006A3E14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ek Rozor </w:t>
      </w:r>
      <w:r w:rsidRPr="003C741B">
        <w:rPr>
          <w:strike/>
          <w:sz w:val="22"/>
          <w:szCs w:val="22"/>
        </w:rPr>
        <w:t>treba</w:t>
      </w:r>
      <w:r w:rsidRPr="00E5029D">
        <w:rPr>
          <w:sz w:val="22"/>
          <w:szCs w:val="22"/>
        </w:rPr>
        <w:t xml:space="preserve"> </w:t>
      </w:r>
      <w:r w:rsidR="00B074C5">
        <w:rPr>
          <w:sz w:val="22"/>
          <w:szCs w:val="22"/>
        </w:rPr>
        <w:t xml:space="preserve">mora se </w:t>
      </w:r>
      <w:r w:rsidRPr="00E5029D">
        <w:rPr>
          <w:sz w:val="22"/>
          <w:szCs w:val="22"/>
        </w:rPr>
        <w:t>koristiti s oprezom kod pacijenata koji konzumiraju veće količine alkohola i/ili imaju neko oboljenje jetre u istoriji bolesti.</w:t>
      </w:r>
    </w:p>
    <w:p w14:paraId="6107B7E2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</w:p>
    <w:p w14:paraId="0026392A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Dejstvo na bubrege</w:t>
      </w:r>
    </w:p>
    <w:p w14:paraId="556BAE7D" w14:textId="1414FEC2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</w:rPr>
        <w:t>Proteinurija, otkrivena test trakom, uglavnom tubularnog por</w:t>
      </w:r>
      <w:r w:rsidR="009D3711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ekla, </w:t>
      </w:r>
      <w:r w:rsidR="00074F21">
        <w:rPr>
          <w:sz w:val="22"/>
          <w:szCs w:val="22"/>
        </w:rPr>
        <w:t>zabilježena</w:t>
      </w:r>
      <w:r w:rsidRPr="00E5029D">
        <w:rPr>
          <w:sz w:val="22"/>
          <w:szCs w:val="22"/>
        </w:rPr>
        <w:t xml:space="preserve"> je kod pacijenata </w:t>
      </w:r>
      <w:r w:rsidR="006A3E14">
        <w:rPr>
          <w:sz w:val="22"/>
          <w:szCs w:val="22"/>
        </w:rPr>
        <w:t>liječenih</w:t>
      </w:r>
      <w:r w:rsidRPr="00E5029D">
        <w:rPr>
          <w:sz w:val="22"/>
          <w:szCs w:val="22"/>
        </w:rPr>
        <w:t xml:space="preserve"> većim dozama rosuvastatina, a posebno dozom od 40 mg, i u većini slučajeva je bila prolazna ili povremena. Nije dokazano da je proteinurija prediktor akutnog ili progresivnog oboljenja bubrega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4.8).</w:t>
      </w:r>
    </w:p>
    <w:p w14:paraId="1F11CE06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</w:p>
    <w:p w14:paraId="09199187" w14:textId="047E14B9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M</w:t>
      </w:r>
      <w:r w:rsidR="009D3711">
        <w:rPr>
          <w:sz w:val="22"/>
          <w:szCs w:val="22"/>
          <w:u w:val="single"/>
        </w:rPr>
        <w:t>j</w:t>
      </w:r>
      <w:r w:rsidRPr="00E5029D">
        <w:rPr>
          <w:sz w:val="22"/>
          <w:szCs w:val="22"/>
          <w:u w:val="single"/>
        </w:rPr>
        <w:t xml:space="preserve">erenje </w:t>
      </w:r>
      <w:r w:rsidR="007E5AC4">
        <w:rPr>
          <w:sz w:val="22"/>
          <w:szCs w:val="22"/>
          <w:u w:val="single"/>
        </w:rPr>
        <w:t>vrijednost</w:t>
      </w:r>
      <w:r w:rsidRPr="00E5029D">
        <w:rPr>
          <w:sz w:val="22"/>
          <w:szCs w:val="22"/>
          <w:u w:val="single"/>
        </w:rPr>
        <w:t>i kreatin kinaze</w:t>
      </w:r>
    </w:p>
    <w:p w14:paraId="0CE7365D" w14:textId="7B272FE3" w:rsidR="0000248E" w:rsidRPr="00E5029D" w:rsidRDefault="007E5AC4" w:rsidP="003C741B">
      <w:pPr>
        <w:jc w:val="both"/>
        <w:rPr>
          <w:sz w:val="22"/>
          <w:szCs w:val="22"/>
        </w:rPr>
      </w:pPr>
      <w:r>
        <w:rPr>
          <w:sz w:val="22"/>
          <w:szCs w:val="22"/>
        </w:rPr>
        <w:t>Vrijednost</w:t>
      </w:r>
      <w:r w:rsidR="0000248E" w:rsidRPr="00E5029D">
        <w:rPr>
          <w:sz w:val="22"/>
          <w:szCs w:val="22"/>
        </w:rPr>
        <w:t xml:space="preserve"> kreatin kinaze (CK) ne treba m</w:t>
      </w:r>
      <w:r w:rsidR="00F61069">
        <w:rPr>
          <w:sz w:val="22"/>
          <w:szCs w:val="22"/>
        </w:rPr>
        <w:t>j</w:t>
      </w:r>
      <w:r w:rsidR="0000248E" w:rsidRPr="00E5029D">
        <w:rPr>
          <w:sz w:val="22"/>
          <w:szCs w:val="22"/>
        </w:rPr>
        <w:t>eriti nakon iscrpljujućeg fizičkog napora, ili u prisustvu drugih</w:t>
      </w:r>
      <w:r w:rsidR="006E5AFE">
        <w:rPr>
          <w:sz w:val="22"/>
          <w:szCs w:val="22"/>
        </w:rPr>
        <w:t xml:space="preserve"> </w:t>
      </w:r>
      <w:r w:rsidR="0000248E" w:rsidRPr="00E5029D">
        <w:rPr>
          <w:sz w:val="22"/>
          <w:szCs w:val="22"/>
        </w:rPr>
        <w:t>v</w:t>
      </w:r>
      <w:r w:rsidR="00F61069">
        <w:rPr>
          <w:sz w:val="22"/>
          <w:szCs w:val="22"/>
        </w:rPr>
        <w:t>j</w:t>
      </w:r>
      <w:r w:rsidR="0000248E" w:rsidRPr="00E5029D">
        <w:rPr>
          <w:sz w:val="22"/>
          <w:szCs w:val="22"/>
        </w:rPr>
        <w:t xml:space="preserve">erovatnih alternativnih uzroka povećanja CK koji mogu da utiču na tumačenje rezultata. Ako su </w:t>
      </w:r>
      <w:r>
        <w:rPr>
          <w:sz w:val="22"/>
          <w:szCs w:val="22"/>
        </w:rPr>
        <w:t>vrijednost</w:t>
      </w:r>
      <w:r w:rsidR="0000248E" w:rsidRPr="00E5029D">
        <w:rPr>
          <w:sz w:val="22"/>
          <w:szCs w:val="22"/>
        </w:rPr>
        <w:t>i CK značajno povećane</w:t>
      </w:r>
      <w:r w:rsidR="006A3E14">
        <w:rPr>
          <w:sz w:val="22"/>
          <w:szCs w:val="22"/>
        </w:rPr>
        <w:t xml:space="preserve"> prije </w:t>
      </w:r>
      <w:r w:rsidR="0000248E" w:rsidRPr="00E5029D">
        <w:rPr>
          <w:sz w:val="22"/>
          <w:szCs w:val="22"/>
        </w:rPr>
        <w:t>uvođenja terapije (&gt; 5 x GGN),</w:t>
      </w:r>
      <w:r w:rsidR="00B44C10">
        <w:rPr>
          <w:sz w:val="22"/>
          <w:szCs w:val="22"/>
        </w:rPr>
        <w:t xml:space="preserve"> poslije </w:t>
      </w:r>
      <w:r w:rsidR="0000248E" w:rsidRPr="00E5029D">
        <w:rPr>
          <w:sz w:val="22"/>
          <w:szCs w:val="22"/>
        </w:rPr>
        <w:t>5 – 7 dana treba ponoviti test da bi se ovi rezultati potvrdili. Ako ponovljeni test</w:t>
      </w:r>
      <w:r w:rsidR="006A3E14">
        <w:rPr>
          <w:sz w:val="22"/>
          <w:szCs w:val="22"/>
        </w:rPr>
        <w:t xml:space="preserve"> prije </w:t>
      </w:r>
      <w:r w:rsidR="0000248E" w:rsidRPr="00E5029D">
        <w:rPr>
          <w:sz w:val="22"/>
          <w:szCs w:val="22"/>
        </w:rPr>
        <w:t xml:space="preserve">uvođenja terapije pokaže da je CK &gt; 5 </w:t>
      </w:r>
      <w:r w:rsidR="002215F4">
        <w:rPr>
          <w:sz w:val="22"/>
          <w:szCs w:val="22"/>
        </w:rPr>
        <w:t xml:space="preserve">puta </w:t>
      </w:r>
      <w:r w:rsidR="00B074C5">
        <w:rPr>
          <w:sz w:val="22"/>
          <w:szCs w:val="22"/>
        </w:rPr>
        <w:t>iznad</w:t>
      </w:r>
      <w:r w:rsidR="0000248E" w:rsidRPr="00E5029D">
        <w:rPr>
          <w:sz w:val="22"/>
          <w:szCs w:val="22"/>
        </w:rPr>
        <w:t xml:space="preserve"> GGN, terapij</w:t>
      </w:r>
      <w:r w:rsidR="00B074C5">
        <w:rPr>
          <w:sz w:val="22"/>
          <w:szCs w:val="22"/>
        </w:rPr>
        <w:t xml:space="preserve">a se ne smije </w:t>
      </w:r>
      <w:r w:rsidR="0000248E" w:rsidRPr="00E5029D">
        <w:rPr>
          <w:sz w:val="22"/>
          <w:szCs w:val="22"/>
        </w:rPr>
        <w:t>započinjati.</w:t>
      </w:r>
    </w:p>
    <w:p w14:paraId="1D1D4589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070151A5" w14:textId="54C30D46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Pr</w:t>
      </w:r>
      <w:r w:rsidR="00F61069">
        <w:rPr>
          <w:sz w:val="22"/>
          <w:szCs w:val="22"/>
          <w:u w:val="single"/>
        </w:rPr>
        <w:t>ij</w:t>
      </w:r>
      <w:r w:rsidRPr="00E5029D">
        <w:rPr>
          <w:sz w:val="22"/>
          <w:szCs w:val="22"/>
          <w:u w:val="single"/>
        </w:rPr>
        <w:t xml:space="preserve">e </w:t>
      </w:r>
      <w:r w:rsidR="006A3E14">
        <w:rPr>
          <w:sz w:val="22"/>
          <w:szCs w:val="22"/>
          <w:u w:val="single"/>
        </w:rPr>
        <w:t>primjene</w:t>
      </w:r>
      <w:r w:rsidRPr="00E5029D">
        <w:rPr>
          <w:sz w:val="22"/>
          <w:szCs w:val="22"/>
          <w:u w:val="single"/>
        </w:rPr>
        <w:t xml:space="preserve"> terapije</w:t>
      </w:r>
    </w:p>
    <w:p w14:paraId="6CF2B577" w14:textId="3A1D01B2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L</w:t>
      </w:r>
      <w:r w:rsidR="00F61069">
        <w:rPr>
          <w:sz w:val="22"/>
          <w:szCs w:val="22"/>
        </w:rPr>
        <w:t>ij</w:t>
      </w:r>
      <w:r w:rsidRPr="00E5029D">
        <w:rPr>
          <w:sz w:val="22"/>
          <w:szCs w:val="22"/>
        </w:rPr>
        <w:t>ek Rozor, kao i druge inhibitore HMG-CoA reduktaze, treba oprezno propisivati pacijentima koji imaju</w:t>
      </w:r>
      <w:r w:rsidR="006E5AFE">
        <w:rPr>
          <w:sz w:val="22"/>
          <w:szCs w:val="22"/>
        </w:rPr>
        <w:t xml:space="preserve"> </w:t>
      </w:r>
      <w:r w:rsidR="00F61069">
        <w:rPr>
          <w:sz w:val="22"/>
          <w:szCs w:val="22"/>
        </w:rPr>
        <w:t>p</w:t>
      </w:r>
      <w:r w:rsidRPr="00E5029D">
        <w:rPr>
          <w:sz w:val="22"/>
          <w:szCs w:val="22"/>
        </w:rPr>
        <w:t>redisponirajuće faktore za miopatiju/rabdomiolizu. U ove faktore spadaju:</w:t>
      </w:r>
    </w:p>
    <w:p w14:paraId="36287F6E" w14:textId="77777777" w:rsidR="0000248E" w:rsidRPr="00E5029D" w:rsidRDefault="0000248E" w:rsidP="00875F08">
      <w:pPr>
        <w:pStyle w:val="ListParagraph"/>
        <w:numPr>
          <w:ilvl w:val="0"/>
          <w:numId w:val="13"/>
        </w:numPr>
        <w:rPr>
          <w:szCs w:val="22"/>
        </w:rPr>
      </w:pPr>
      <w:r w:rsidRPr="00E5029D">
        <w:rPr>
          <w:szCs w:val="22"/>
        </w:rPr>
        <w:t>bubrežna insuficijencija,</w:t>
      </w:r>
    </w:p>
    <w:p w14:paraId="4AAD79B3" w14:textId="77777777" w:rsidR="0000248E" w:rsidRPr="00E5029D" w:rsidRDefault="0000248E">
      <w:pPr>
        <w:pStyle w:val="ListParagraph"/>
        <w:numPr>
          <w:ilvl w:val="0"/>
          <w:numId w:val="13"/>
        </w:numPr>
        <w:rPr>
          <w:szCs w:val="22"/>
        </w:rPr>
      </w:pPr>
      <w:r w:rsidRPr="00E5029D">
        <w:rPr>
          <w:szCs w:val="22"/>
        </w:rPr>
        <w:t>hipotiroidizam,</w:t>
      </w:r>
    </w:p>
    <w:p w14:paraId="7C22A097" w14:textId="05D6DBDD" w:rsidR="0000248E" w:rsidRPr="00E5029D" w:rsidRDefault="0000248E">
      <w:pPr>
        <w:pStyle w:val="ListParagraph"/>
        <w:numPr>
          <w:ilvl w:val="0"/>
          <w:numId w:val="13"/>
        </w:numPr>
        <w:rPr>
          <w:szCs w:val="22"/>
        </w:rPr>
      </w:pPr>
      <w:r w:rsidRPr="00E5029D">
        <w:rPr>
          <w:szCs w:val="22"/>
        </w:rPr>
        <w:t>lična ili porodična anamneza nasl</w:t>
      </w:r>
      <w:r w:rsidR="00F61069">
        <w:rPr>
          <w:szCs w:val="22"/>
        </w:rPr>
        <w:t>j</w:t>
      </w:r>
      <w:r w:rsidRPr="00E5029D">
        <w:rPr>
          <w:szCs w:val="22"/>
        </w:rPr>
        <w:t>ednih mišićnih poremećaja,</w:t>
      </w:r>
    </w:p>
    <w:p w14:paraId="5777B585" w14:textId="407B3F56" w:rsidR="0000248E" w:rsidRPr="00E5029D" w:rsidRDefault="0000248E">
      <w:pPr>
        <w:pStyle w:val="ListParagraph"/>
        <w:numPr>
          <w:ilvl w:val="0"/>
          <w:numId w:val="13"/>
        </w:numPr>
        <w:rPr>
          <w:szCs w:val="22"/>
        </w:rPr>
      </w:pPr>
      <w:r w:rsidRPr="00E5029D">
        <w:rPr>
          <w:szCs w:val="22"/>
        </w:rPr>
        <w:t xml:space="preserve">prethodno prisutno stanje mišićne toksičnosti tokom </w:t>
      </w:r>
      <w:r w:rsidR="006A3E14">
        <w:rPr>
          <w:szCs w:val="22"/>
        </w:rPr>
        <w:t>primjene</w:t>
      </w:r>
      <w:r w:rsidRPr="00E5029D">
        <w:rPr>
          <w:szCs w:val="22"/>
        </w:rPr>
        <w:t xml:space="preserve"> nekih drugih inhibitora HMG-CoA reduktaze ili fibrata,</w:t>
      </w:r>
    </w:p>
    <w:p w14:paraId="267B821D" w14:textId="77777777" w:rsidR="0000248E" w:rsidRPr="00E5029D" w:rsidRDefault="0000248E">
      <w:pPr>
        <w:pStyle w:val="ListParagraph"/>
        <w:numPr>
          <w:ilvl w:val="0"/>
          <w:numId w:val="13"/>
        </w:numPr>
        <w:rPr>
          <w:szCs w:val="22"/>
        </w:rPr>
      </w:pPr>
      <w:r w:rsidRPr="00E5029D">
        <w:rPr>
          <w:szCs w:val="22"/>
        </w:rPr>
        <w:t>zloupotreba alkohola</w:t>
      </w:r>
    </w:p>
    <w:p w14:paraId="6B3B615B" w14:textId="77777777" w:rsidR="0000248E" w:rsidRPr="00E5029D" w:rsidRDefault="0000248E">
      <w:pPr>
        <w:pStyle w:val="ListParagraph"/>
        <w:numPr>
          <w:ilvl w:val="0"/>
          <w:numId w:val="13"/>
        </w:numPr>
        <w:rPr>
          <w:szCs w:val="22"/>
        </w:rPr>
      </w:pPr>
      <w:r w:rsidRPr="00E5029D">
        <w:rPr>
          <w:szCs w:val="22"/>
        </w:rPr>
        <w:t>starost pacijenata preko 70 godina,</w:t>
      </w:r>
    </w:p>
    <w:p w14:paraId="6012E38E" w14:textId="667D9D48" w:rsidR="0000248E" w:rsidRPr="00E5029D" w:rsidRDefault="0000248E">
      <w:pPr>
        <w:pStyle w:val="ListParagraph"/>
        <w:numPr>
          <w:ilvl w:val="0"/>
          <w:numId w:val="13"/>
        </w:numPr>
        <w:rPr>
          <w:szCs w:val="22"/>
        </w:rPr>
      </w:pPr>
      <w:r w:rsidRPr="00E5029D">
        <w:rPr>
          <w:szCs w:val="22"/>
        </w:rPr>
        <w:t>stanja u kojima može da dođe do povećanih koncentracija</w:t>
      </w:r>
      <w:r w:rsidR="006A3E14">
        <w:rPr>
          <w:szCs w:val="22"/>
        </w:rPr>
        <w:t xml:space="preserve"> lijeka </w:t>
      </w:r>
      <w:r w:rsidRPr="00E5029D">
        <w:rPr>
          <w:szCs w:val="22"/>
        </w:rPr>
        <w:t>u plazmi (</w:t>
      </w:r>
      <w:r w:rsidR="00600503">
        <w:rPr>
          <w:szCs w:val="22"/>
        </w:rPr>
        <w:t>vidjeti</w:t>
      </w:r>
      <w:r w:rsidRPr="00E5029D">
        <w:rPr>
          <w:szCs w:val="22"/>
        </w:rPr>
        <w:t xml:space="preserve"> </w:t>
      </w:r>
      <w:r w:rsidR="00A80C70">
        <w:rPr>
          <w:szCs w:val="22"/>
        </w:rPr>
        <w:t>odjeljak</w:t>
      </w:r>
      <w:r w:rsidRPr="00E5029D">
        <w:rPr>
          <w:szCs w:val="22"/>
        </w:rPr>
        <w:t xml:space="preserve"> 5.2),</w:t>
      </w:r>
    </w:p>
    <w:p w14:paraId="4FB0B665" w14:textId="77777777" w:rsidR="0000248E" w:rsidRPr="00E5029D" w:rsidRDefault="0000248E">
      <w:pPr>
        <w:pStyle w:val="ListParagraph"/>
        <w:numPr>
          <w:ilvl w:val="0"/>
          <w:numId w:val="13"/>
        </w:numPr>
        <w:rPr>
          <w:szCs w:val="22"/>
        </w:rPr>
      </w:pPr>
      <w:r w:rsidRPr="00E5029D">
        <w:rPr>
          <w:szCs w:val="22"/>
        </w:rPr>
        <w:t>istovremena upotreba fibrata.</w:t>
      </w:r>
    </w:p>
    <w:p w14:paraId="49522B8A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</w:p>
    <w:p w14:paraId="14451E4A" w14:textId="59C3799E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Kod ovih pacijenata rizik od terapije treba posmatrati u odnosu na moguće koristi, pa se preporučuje kliničko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praćenje. Ako su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kreatin kinaze značajno povećane</w:t>
      </w:r>
      <w:r w:rsidR="006A3E14">
        <w:rPr>
          <w:sz w:val="22"/>
          <w:szCs w:val="22"/>
        </w:rPr>
        <w:t xml:space="preserve"> prije </w:t>
      </w:r>
      <w:r w:rsidRPr="00E5029D">
        <w:rPr>
          <w:sz w:val="22"/>
          <w:szCs w:val="22"/>
        </w:rPr>
        <w:t>uvođenja terapije (više od 5</w:t>
      </w:r>
      <w:r w:rsidR="008D4B68">
        <w:rPr>
          <w:sz w:val="22"/>
          <w:szCs w:val="22"/>
        </w:rPr>
        <w:t xml:space="preserve"> puta</w:t>
      </w:r>
      <w:r w:rsidRPr="00E5029D">
        <w:rPr>
          <w:sz w:val="22"/>
          <w:szCs w:val="22"/>
        </w:rPr>
        <w:t xml:space="preserve"> iznad gornje</w:t>
      </w:r>
      <w:r w:rsidR="006E5AFE">
        <w:rPr>
          <w:sz w:val="22"/>
          <w:szCs w:val="22"/>
        </w:rPr>
        <w:t xml:space="preserve"> </w:t>
      </w:r>
      <w:proofErr w:type="gramStart"/>
      <w:r w:rsidRPr="00E5029D">
        <w:rPr>
          <w:sz w:val="22"/>
          <w:szCs w:val="22"/>
        </w:rPr>
        <w:t>granice  normalnih</w:t>
      </w:r>
      <w:proofErr w:type="gramEnd"/>
      <w:r w:rsidRPr="00E5029D">
        <w:rPr>
          <w:sz w:val="22"/>
          <w:szCs w:val="22"/>
        </w:rPr>
        <w:t xml:space="preserve">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i), onda terapiju ne treba ni započinjati.</w:t>
      </w:r>
    </w:p>
    <w:p w14:paraId="3AA7A87E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4CF7B8AC" w14:textId="2CD829BD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Za</w:t>
      </w:r>
      <w:r w:rsidR="007E5AC4">
        <w:rPr>
          <w:sz w:val="22"/>
          <w:szCs w:val="22"/>
          <w:u w:val="single"/>
        </w:rPr>
        <w:t xml:space="preserve"> vrijeme </w:t>
      </w:r>
      <w:r w:rsidRPr="00E5029D">
        <w:rPr>
          <w:sz w:val="22"/>
          <w:szCs w:val="22"/>
          <w:u w:val="single"/>
        </w:rPr>
        <w:t>trajanja terapije</w:t>
      </w:r>
    </w:p>
    <w:p w14:paraId="52D162E1" w14:textId="3B1D97E3" w:rsidR="006930A4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Od pacijenata treba tražiti da odmah prijave neobjašnjive bolove u mišićima, slabost ili grčenje mišića, a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naročito ako su povezani sa </w:t>
      </w:r>
      <w:r w:rsidR="00B074C5">
        <w:rPr>
          <w:sz w:val="22"/>
          <w:szCs w:val="22"/>
        </w:rPr>
        <w:t xml:space="preserve">malaksalošću </w:t>
      </w:r>
      <w:r w:rsidRPr="00E5029D">
        <w:rPr>
          <w:sz w:val="22"/>
          <w:szCs w:val="22"/>
        </w:rPr>
        <w:t xml:space="preserve">ili povišenom </w:t>
      </w:r>
      <w:r w:rsidR="00EC4F44">
        <w:rPr>
          <w:sz w:val="22"/>
          <w:szCs w:val="22"/>
        </w:rPr>
        <w:t>tjelesn</w:t>
      </w:r>
      <w:r w:rsidRPr="00E5029D">
        <w:rPr>
          <w:sz w:val="22"/>
          <w:szCs w:val="22"/>
        </w:rPr>
        <w:t xml:space="preserve">om temperaturom. Kod ovih pacijenata </w:t>
      </w:r>
      <w:r w:rsidR="002158F1">
        <w:rPr>
          <w:sz w:val="22"/>
          <w:szCs w:val="22"/>
        </w:rPr>
        <w:t>moraju se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kontrolisati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kreatin kinaze. Terapiju treba obustaviti ako su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kreatin kinaze značajno povećane (više od 5</w:t>
      </w:r>
      <w:r w:rsidR="008D4B68">
        <w:rPr>
          <w:sz w:val="22"/>
          <w:szCs w:val="22"/>
        </w:rPr>
        <w:t xml:space="preserve"> puta</w:t>
      </w:r>
      <w:r w:rsidRPr="00E5029D">
        <w:rPr>
          <w:sz w:val="22"/>
          <w:szCs w:val="22"/>
        </w:rPr>
        <w:t xml:space="preserve"> iznad gornje </w:t>
      </w:r>
      <w:proofErr w:type="gramStart"/>
      <w:r w:rsidRPr="00E5029D">
        <w:rPr>
          <w:sz w:val="22"/>
          <w:szCs w:val="22"/>
        </w:rPr>
        <w:t>granice  normalnih</w:t>
      </w:r>
      <w:proofErr w:type="gramEnd"/>
      <w:r w:rsidRPr="00E5029D">
        <w:rPr>
          <w:sz w:val="22"/>
          <w:szCs w:val="22"/>
        </w:rPr>
        <w:t xml:space="preserve">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i) ili ako su mišićni simptomi teški i uzrokuju svakodnevne neprijatnosti (čak i ako su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kreatin kinaze povećane 5 puta ili manje u odnosu na gornju granicu normalne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i). Rutinsko praćenje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kreatin kinaze kod asimptomatskih pacijenata nije opravdano.</w:t>
      </w:r>
      <w:r w:rsidR="006930A4">
        <w:rPr>
          <w:sz w:val="22"/>
          <w:szCs w:val="22"/>
        </w:rPr>
        <w:t xml:space="preserve"> </w:t>
      </w:r>
    </w:p>
    <w:p w14:paraId="19C73104" w14:textId="560743D5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Veoma </w:t>
      </w:r>
      <w:r w:rsidR="006A3E14">
        <w:rPr>
          <w:sz w:val="22"/>
          <w:szCs w:val="22"/>
        </w:rPr>
        <w:t>rijetko</w:t>
      </w:r>
      <w:r w:rsidRPr="00E5029D">
        <w:rPr>
          <w:sz w:val="22"/>
          <w:szCs w:val="22"/>
        </w:rPr>
        <w:t xml:space="preserve"> </w:t>
      </w:r>
      <w:r w:rsidR="006A3E14">
        <w:rPr>
          <w:sz w:val="22"/>
          <w:szCs w:val="22"/>
        </w:rPr>
        <w:t>zabilježen</w:t>
      </w:r>
      <w:r w:rsidRPr="00E5029D">
        <w:rPr>
          <w:sz w:val="22"/>
          <w:szCs w:val="22"/>
        </w:rPr>
        <w:t>i su slučajevi imunsko-posredovane nekrotizirajuće miopatije (IMNM) za</w:t>
      </w:r>
      <w:r w:rsidR="007E5AC4">
        <w:rPr>
          <w:sz w:val="22"/>
          <w:szCs w:val="22"/>
        </w:rPr>
        <w:t xml:space="preserve"> vrijeme </w:t>
      </w:r>
      <w:r w:rsidRPr="00E5029D">
        <w:rPr>
          <w:sz w:val="22"/>
          <w:szCs w:val="22"/>
        </w:rPr>
        <w:t xml:space="preserve">ili nakon terapije statinima, uključujući rosuvastatin. IMNM se klinički ispoljava </w:t>
      </w:r>
      <w:r w:rsidR="006930A4" w:rsidRPr="00E5029D">
        <w:rPr>
          <w:sz w:val="22"/>
          <w:szCs w:val="22"/>
        </w:rPr>
        <w:t xml:space="preserve">slabošću </w:t>
      </w:r>
      <w:r w:rsidRPr="00E5029D">
        <w:rPr>
          <w:sz w:val="22"/>
          <w:szCs w:val="22"/>
        </w:rPr>
        <w:t>proksimaln</w:t>
      </w:r>
      <w:r w:rsidR="006930A4">
        <w:rPr>
          <w:sz w:val="22"/>
          <w:szCs w:val="22"/>
        </w:rPr>
        <w:t>ih</w:t>
      </w:r>
      <w:r w:rsidRPr="00E5029D">
        <w:rPr>
          <w:sz w:val="22"/>
          <w:szCs w:val="22"/>
        </w:rPr>
        <w:t xml:space="preserve"> mišić</w:t>
      </w:r>
      <w:r w:rsidR="006930A4">
        <w:rPr>
          <w:sz w:val="22"/>
          <w:szCs w:val="22"/>
        </w:rPr>
        <w:t>a</w:t>
      </w:r>
      <w:r w:rsidRPr="00E5029D">
        <w:rPr>
          <w:sz w:val="22"/>
          <w:szCs w:val="22"/>
        </w:rPr>
        <w:t xml:space="preserve"> i povećanim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ima kreatin kinaze u serumu, koji se zadržavaju i nakon prekida terapije statinima.</w:t>
      </w:r>
    </w:p>
    <w:p w14:paraId="09B01C08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7E6272EC" w14:textId="2E82DC9D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lastRenderedPageBreak/>
        <w:t>U kliničkim ispitivanjima na malom broju pacijenata koji su primali istovremen</w:t>
      </w:r>
      <w:r w:rsidR="00B43B24">
        <w:rPr>
          <w:sz w:val="22"/>
          <w:szCs w:val="22"/>
        </w:rPr>
        <w:t>o</w:t>
      </w:r>
      <w:r w:rsidRPr="00E5029D">
        <w:rPr>
          <w:sz w:val="22"/>
          <w:szCs w:val="22"/>
        </w:rPr>
        <w:t xml:space="preserve"> </w:t>
      </w:r>
      <w:r w:rsidR="00B43B24" w:rsidRPr="00E5029D">
        <w:rPr>
          <w:sz w:val="22"/>
          <w:szCs w:val="22"/>
        </w:rPr>
        <w:t>rosuvastatin</w:t>
      </w:r>
      <w:r w:rsidR="00B43B24">
        <w:rPr>
          <w:sz w:val="22"/>
          <w:szCs w:val="22"/>
        </w:rPr>
        <w:t xml:space="preserve"> i neku drugu</w:t>
      </w:r>
      <w:r w:rsidR="00B43B24" w:rsidRPr="00E5029D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terapiju, nije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uočeno povećano dejstvo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na skeletne mišiće. Međutim, povećana incidenca miozitisa i miopatije je</w:t>
      </w:r>
      <w:r w:rsidR="006E5AFE">
        <w:rPr>
          <w:sz w:val="22"/>
          <w:szCs w:val="22"/>
        </w:rPr>
        <w:t xml:space="preserve"> </w:t>
      </w:r>
      <w:r w:rsidR="00074F21">
        <w:rPr>
          <w:sz w:val="22"/>
          <w:szCs w:val="22"/>
        </w:rPr>
        <w:t>zabilježena</w:t>
      </w:r>
      <w:r w:rsidRPr="00E5029D">
        <w:rPr>
          <w:sz w:val="22"/>
          <w:szCs w:val="22"/>
        </w:rPr>
        <w:t xml:space="preserve"> kod pacijenata koji su primali druge inhibitore HMG-CoA reduktaze zajedno sa derivatima fibrinske kiseline, uključujući gemfibrozil, ciklosporin, nikotinsku kiselinu, azolne antigljivične </w:t>
      </w:r>
      <w:r w:rsidR="006A3E14">
        <w:rPr>
          <w:sz w:val="22"/>
          <w:szCs w:val="22"/>
        </w:rPr>
        <w:t>ljekove</w:t>
      </w:r>
      <w:r w:rsidRPr="00E5029D">
        <w:rPr>
          <w:sz w:val="22"/>
          <w:szCs w:val="22"/>
        </w:rPr>
        <w:t>, inhibitore proteaze i makrolidne antibiotike. Gemfibrozil povećava rizik od miopatije kada se daje istovremeno sa nekim inhibitorima HMG-CoA reduktaze. Stoga se ne preporučuje kombinacija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 xml:space="preserve">Rozor i gemfibrozila. Korist od dodatnih </w:t>
      </w:r>
      <w:r w:rsidR="00B43B24">
        <w:rPr>
          <w:sz w:val="22"/>
          <w:szCs w:val="22"/>
        </w:rPr>
        <w:t>izmjena</w:t>
      </w:r>
      <w:r w:rsidRPr="00E5029D">
        <w:rPr>
          <w:sz w:val="22"/>
          <w:szCs w:val="22"/>
        </w:rPr>
        <w:t xml:space="preserve">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lipida kombinovanom upotrebom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Rozor i fibrata treba pažljivo da se proc</w:t>
      </w:r>
      <w:r w:rsidR="00B43B24">
        <w:rPr>
          <w:sz w:val="22"/>
          <w:szCs w:val="22"/>
        </w:rPr>
        <w:t>ij</w:t>
      </w:r>
      <w:r w:rsidRPr="00E5029D">
        <w:rPr>
          <w:sz w:val="22"/>
          <w:szCs w:val="22"/>
        </w:rPr>
        <w:t>eni u odnosu na potencijalne rizike takve kombinacije.</w:t>
      </w:r>
    </w:p>
    <w:p w14:paraId="21DFCA57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216226BA" w14:textId="0F166399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L</w:t>
      </w:r>
      <w:r w:rsidR="003C5800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ek Rozor </w:t>
      </w:r>
      <w:r w:rsidR="003C5800">
        <w:rPr>
          <w:sz w:val="22"/>
          <w:szCs w:val="22"/>
        </w:rPr>
        <w:t xml:space="preserve">se </w:t>
      </w:r>
      <w:r w:rsidRPr="00E5029D">
        <w:rPr>
          <w:sz w:val="22"/>
          <w:szCs w:val="22"/>
        </w:rPr>
        <w:t>ne sm</w:t>
      </w:r>
      <w:r w:rsidR="003C5800">
        <w:rPr>
          <w:sz w:val="22"/>
          <w:szCs w:val="22"/>
        </w:rPr>
        <w:t>ij</w:t>
      </w:r>
      <w:r w:rsidRPr="00E5029D">
        <w:rPr>
          <w:sz w:val="22"/>
          <w:szCs w:val="22"/>
        </w:rPr>
        <w:t>e prim</w:t>
      </w:r>
      <w:r w:rsidR="003C5800">
        <w:rPr>
          <w:sz w:val="22"/>
          <w:szCs w:val="22"/>
        </w:rPr>
        <w:t>j</w:t>
      </w:r>
      <w:r w:rsidRPr="00E5029D">
        <w:rPr>
          <w:sz w:val="22"/>
          <w:szCs w:val="22"/>
        </w:rPr>
        <w:t>enj</w:t>
      </w:r>
      <w:r w:rsidR="003C5800">
        <w:rPr>
          <w:sz w:val="22"/>
          <w:szCs w:val="22"/>
        </w:rPr>
        <w:t>ivati</w:t>
      </w:r>
      <w:r w:rsidRPr="00E5029D">
        <w:rPr>
          <w:sz w:val="22"/>
          <w:szCs w:val="22"/>
        </w:rPr>
        <w:t xml:space="preserve"> kod pacijenata sa akutnim, ozbiljnim stanjima koja ukazuju na miopatiju, ili sa predisponirajućim faktorima za razvoj bubrežne insuficijencije </w:t>
      </w:r>
      <w:r w:rsidR="00074F21">
        <w:rPr>
          <w:sz w:val="22"/>
          <w:szCs w:val="22"/>
        </w:rPr>
        <w:t>usljed</w:t>
      </w:r>
      <w:r w:rsidRPr="00E5029D">
        <w:rPr>
          <w:sz w:val="22"/>
          <w:szCs w:val="22"/>
        </w:rPr>
        <w:t xml:space="preserve"> rabdomiolize (npr. sepsa, hipotenzija, veći hirurški zahvati, trauma, teški metabolički, endokrini i elektrolitni poremećaji ili nekontrolisani epileptični napadi).</w:t>
      </w:r>
    </w:p>
    <w:p w14:paraId="4D746D1C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</w:p>
    <w:p w14:paraId="068AA637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Fusidinska kiselina</w:t>
      </w:r>
    </w:p>
    <w:p w14:paraId="101733B2" w14:textId="009372EE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L</w:t>
      </w:r>
      <w:r w:rsidR="00A6157B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ek Rozor </w:t>
      </w:r>
      <w:r w:rsidR="00A6157B">
        <w:rPr>
          <w:sz w:val="22"/>
          <w:szCs w:val="22"/>
        </w:rPr>
        <w:t xml:space="preserve">se </w:t>
      </w:r>
      <w:r w:rsidR="00A6157B" w:rsidRPr="00E5029D">
        <w:rPr>
          <w:sz w:val="22"/>
          <w:szCs w:val="22"/>
        </w:rPr>
        <w:t>ne sm</w:t>
      </w:r>
      <w:r w:rsidR="00A6157B">
        <w:rPr>
          <w:sz w:val="22"/>
          <w:szCs w:val="22"/>
        </w:rPr>
        <w:t>ij</w:t>
      </w:r>
      <w:r w:rsidR="00A6157B" w:rsidRPr="00E5029D">
        <w:rPr>
          <w:sz w:val="22"/>
          <w:szCs w:val="22"/>
        </w:rPr>
        <w:t>e prim</w:t>
      </w:r>
      <w:r w:rsidR="00A6157B">
        <w:rPr>
          <w:sz w:val="22"/>
          <w:szCs w:val="22"/>
        </w:rPr>
        <w:t>j</w:t>
      </w:r>
      <w:r w:rsidR="00A6157B" w:rsidRPr="00E5029D">
        <w:rPr>
          <w:sz w:val="22"/>
          <w:szCs w:val="22"/>
        </w:rPr>
        <w:t>enj</w:t>
      </w:r>
      <w:r w:rsidR="00A6157B">
        <w:rPr>
          <w:sz w:val="22"/>
          <w:szCs w:val="22"/>
        </w:rPr>
        <w:t>ivati</w:t>
      </w:r>
      <w:r w:rsidR="00A6157B" w:rsidRPr="00E5029D">
        <w:rPr>
          <w:sz w:val="22"/>
          <w:szCs w:val="22"/>
        </w:rPr>
        <w:t xml:space="preserve"> </w:t>
      </w:r>
      <w:r w:rsidRPr="00A6157B">
        <w:rPr>
          <w:sz w:val="22"/>
          <w:szCs w:val="22"/>
        </w:rPr>
        <w:t xml:space="preserve">istovremeno </w:t>
      </w:r>
      <w:r w:rsidR="00A6157B" w:rsidRPr="00A6157B">
        <w:rPr>
          <w:sz w:val="22"/>
          <w:szCs w:val="22"/>
        </w:rPr>
        <w:t>sa sistemskim formulacijama</w:t>
      </w:r>
      <w:r w:rsidR="00A6157B" w:rsidRPr="00A6157B">
        <w:rPr>
          <w:b/>
          <w:bCs/>
          <w:sz w:val="22"/>
          <w:szCs w:val="22"/>
        </w:rPr>
        <w:t xml:space="preserve"> </w:t>
      </w:r>
      <w:r w:rsidRPr="00E5029D">
        <w:rPr>
          <w:sz w:val="22"/>
          <w:szCs w:val="22"/>
        </w:rPr>
        <w:t>fusidinske kiseline ili u vremenu od 7 dana nakon prekida terapije fusidinskom kiselinom. Kod pacijenata kod kojih se smatra da je prim</w:t>
      </w:r>
      <w:r w:rsidR="004F5FAB">
        <w:rPr>
          <w:sz w:val="22"/>
          <w:szCs w:val="22"/>
        </w:rPr>
        <w:t>j</w:t>
      </w:r>
      <w:r w:rsidRPr="00E5029D">
        <w:rPr>
          <w:sz w:val="22"/>
          <w:szCs w:val="22"/>
        </w:rPr>
        <w:t>ena fusidinske kiseline od suštinskog značaja, terapiju statinima treba obustaviti tokom c</w:t>
      </w:r>
      <w:r w:rsidR="004F5FAB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elokupnog trajanja terapije fusidinskom kiselinom. </w:t>
      </w:r>
      <w:r w:rsidR="006A3E14">
        <w:rPr>
          <w:sz w:val="22"/>
          <w:szCs w:val="22"/>
        </w:rPr>
        <w:t>Zabilježen</w:t>
      </w:r>
      <w:r w:rsidRPr="00E5029D">
        <w:rPr>
          <w:sz w:val="22"/>
          <w:szCs w:val="22"/>
        </w:rPr>
        <w:t>i su slučajevi rabdomiolize (uključujući i nekoliko smrtnih slučajeva) kod pacijenata koji su istovremeno primali fusidinsku kiselinu i statine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4.5). Pacijentima treba reći da odmah potraže sav</w:t>
      </w:r>
      <w:r w:rsidR="004F5FAB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et </w:t>
      </w:r>
      <w:r w:rsidR="004F5FAB">
        <w:rPr>
          <w:sz w:val="22"/>
          <w:szCs w:val="22"/>
        </w:rPr>
        <w:t>ljekar</w:t>
      </w:r>
      <w:r w:rsidRPr="00E5029D">
        <w:rPr>
          <w:sz w:val="22"/>
          <w:szCs w:val="22"/>
        </w:rPr>
        <w:t>a ako uoče bilo koje simptome slabosti, bola u mišićima</w:t>
      </w:r>
      <w:r w:rsidR="006918A7" w:rsidRPr="006918A7">
        <w:rPr>
          <w:sz w:val="22"/>
          <w:szCs w:val="22"/>
        </w:rPr>
        <w:t xml:space="preserve"> </w:t>
      </w:r>
      <w:r w:rsidR="006918A7" w:rsidRPr="00E5029D">
        <w:rPr>
          <w:sz w:val="22"/>
          <w:szCs w:val="22"/>
        </w:rPr>
        <w:t xml:space="preserve">ili </w:t>
      </w:r>
      <w:r w:rsidR="006918A7">
        <w:rPr>
          <w:sz w:val="22"/>
          <w:szCs w:val="22"/>
        </w:rPr>
        <w:t>osjetljiv</w:t>
      </w:r>
      <w:r w:rsidR="006918A7" w:rsidRPr="00E5029D">
        <w:rPr>
          <w:sz w:val="22"/>
          <w:szCs w:val="22"/>
        </w:rPr>
        <w:t>osti</w:t>
      </w:r>
      <w:r w:rsidR="006918A7">
        <w:rPr>
          <w:sz w:val="22"/>
          <w:szCs w:val="22"/>
        </w:rPr>
        <w:t xml:space="preserve"> mišića</w:t>
      </w:r>
      <w:r w:rsidRPr="00E5029D">
        <w:rPr>
          <w:sz w:val="22"/>
          <w:szCs w:val="22"/>
        </w:rPr>
        <w:t>.</w:t>
      </w:r>
    </w:p>
    <w:p w14:paraId="6526F17A" w14:textId="1C9B7403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Terapija statinima može ponovo da se uvede sedam dana nakon uzimanja posl</w:t>
      </w:r>
      <w:r w:rsidR="00FB72C1">
        <w:rPr>
          <w:sz w:val="22"/>
          <w:szCs w:val="22"/>
        </w:rPr>
        <w:t>j</w:t>
      </w:r>
      <w:r w:rsidRPr="00E5029D">
        <w:rPr>
          <w:sz w:val="22"/>
          <w:szCs w:val="22"/>
        </w:rPr>
        <w:t>ednje doze fusidinske kiseline.</w:t>
      </w:r>
    </w:p>
    <w:p w14:paraId="2E531B49" w14:textId="41148E19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U izuzetnim situacijama, kada je potrebna produžena sistemska prim</w:t>
      </w:r>
      <w:r w:rsidR="00FB72C1">
        <w:rPr>
          <w:sz w:val="22"/>
          <w:szCs w:val="22"/>
        </w:rPr>
        <w:t>j</w:t>
      </w:r>
      <w:r w:rsidRPr="00E5029D">
        <w:rPr>
          <w:sz w:val="22"/>
          <w:szCs w:val="22"/>
        </w:rPr>
        <w:t>ena fusidinske kiseline, npr</w:t>
      </w:r>
      <w:r w:rsidR="00FB72C1">
        <w:rPr>
          <w:sz w:val="22"/>
          <w:szCs w:val="22"/>
        </w:rPr>
        <w:t xml:space="preserve">. </w:t>
      </w:r>
      <w:r w:rsidRPr="00E5029D">
        <w:rPr>
          <w:sz w:val="22"/>
          <w:szCs w:val="22"/>
        </w:rPr>
        <w:t xml:space="preserve">za </w:t>
      </w:r>
      <w:r w:rsidR="00B637A4">
        <w:rPr>
          <w:sz w:val="22"/>
          <w:szCs w:val="22"/>
        </w:rPr>
        <w:t>liječenje</w:t>
      </w:r>
      <w:r w:rsidR="006E5AFE">
        <w:rPr>
          <w:sz w:val="22"/>
          <w:szCs w:val="22"/>
        </w:rPr>
        <w:t xml:space="preserve"> </w:t>
      </w:r>
      <w:r w:rsidR="00FB72C1">
        <w:rPr>
          <w:sz w:val="22"/>
          <w:szCs w:val="22"/>
        </w:rPr>
        <w:t>teških</w:t>
      </w:r>
      <w:r w:rsidRPr="00E5029D">
        <w:rPr>
          <w:sz w:val="22"/>
          <w:szCs w:val="22"/>
        </w:rPr>
        <w:t xml:space="preserve"> infekcija, potrebu za istovremenom prim</w:t>
      </w:r>
      <w:r w:rsidR="00FB72C1">
        <w:rPr>
          <w:sz w:val="22"/>
          <w:szCs w:val="22"/>
        </w:rPr>
        <w:t>j</w:t>
      </w:r>
      <w:r w:rsidRPr="00E5029D">
        <w:rPr>
          <w:sz w:val="22"/>
          <w:szCs w:val="22"/>
        </w:rPr>
        <w:t>enom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Rozor i fusidinske kiseline treba razmotriti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pojedinačno, od slučaja do slučaja</w:t>
      </w:r>
      <w:r w:rsidR="00FB72C1">
        <w:rPr>
          <w:sz w:val="22"/>
          <w:szCs w:val="22"/>
        </w:rPr>
        <w:t>,</w:t>
      </w:r>
      <w:r w:rsidRPr="00E5029D">
        <w:rPr>
          <w:sz w:val="22"/>
          <w:szCs w:val="22"/>
        </w:rPr>
        <w:t xml:space="preserve"> i pod strogim nadzorom </w:t>
      </w:r>
      <w:r w:rsidR="004F5FAB">
        <w:rPr>
          <w:sz w:val="22"/>
          <w:szCs w:val="22"/>
        </w:rPr>
        <w:t>ljekar</w:t>
      </w:r>
      <w:r w:rsidRPr="00E5029D">
        <w:rPr>
          <w:sz w:val="22"/>
          <w:szCs w:val="22"/>
        </w:rPr>
        <w:t>a.</w:t>
      </w:r>
    </w:p>
    <w:p w14:paraId="454A9803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59B6726C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Inhibitori proteaze</w:t>
      </w:r>
    </w:p>
    <w:p w14:paraId="47507013" w14:textId="55D49DB0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Prilikom istovremene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 xml:space="preserve"> rosuvastatina i različitih inhibitora proteaze, u kombinaciji sa ritonavirom, uočena je povećana sistemska izloženost rosuvastatinu. Treba pažljivo razmotriti i korist od smanjenja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lipida </w:t>
      </w:r>
      <w:r w:rsidR="00FB72C1">
        <w:rPr>
          <w:sz w:val="22"/>
          <w:szCs w:val="22"/>
        </w:rPr>
        <w:t>primjenom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Rozor kod HIV pozitivnih pacijenata koji su na terapiji inhibitorima proteaze, i potencijal za povećanje koncentracija rosuvastatina u plazmi prilikom započinjanja terapije i titriranje doze rosuvastatina povećavanjem kod pacijenata koji su na terapiji inhibitorima proteaze. Ne preporučuje se istovremena prim</w:t>
      </w:r>
      <w:r w:rsidR="00FB72C1">
        <w:rPr>
          <w:sz w:val="22"/>
          <w:szCs w:val="22"/>
        </w:rPr>
        <w:t>j</w:t>
      </w:r>
      <w:r w:rsidRPr="00E5029D">
        <w:rPr>
          <w:sz w:val="22"/>
          <w:szCs w:val="22"/>
        </w:rPr>
        <w:t>ena sa određenim inhibitorima proteaze, bez prethodnog prilagođavanja doze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600503">
        <w:rPr>
          <w:sz w:val="22"/>
          <w:szCs w:val="22"/>
        </w:rPr>
        <w:t>odjeljke</w:t>
      </w:r>
      <w:r w:rsidRPr="00E5029D">
        <w:rPr>
          <w:sz w:val="22"/>
          <w:szCs w:val="22"/>
        </w:rPr>
        <w:t xml:space="preserve"> 4.2 i 4.5).</w:t>
      </w:r>
    </w:p>
    <w:p w14:paraId="73E876BF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</w:p>
    <w:p w14:paraId="3820622B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Fibrati</w:t>
      </w:r>
    </w:p>
    <w:p w14:paraId="4D62CAEF" w14:textId="58B25DC0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Bezb</w:t>
      </w:r>
      <w:r w:rsidR="00FB72C1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ednost i efikasnost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 xml:space="preserve"> ezetimiba u kombinaciji sa fibratima nije utvrđena.</w:t>
      </w:r>
    </w:p>
    <w:p w14:paraId="62101F52" w14:textId="5AB5C36C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Ukoliko postoji sumnja na holelitijazu kod pacijenata koji primaju l</w:t>
      </w:r>
      <w:r w:rsidR="00FB72C1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ek Rozor i fenofibrat, potrebno je da se urade pregledi žučne kese a terapiju </w:t>
      </w:r>
      <w:r w:rsidR="002215F4">
        <w:rPr>
          <w:sz w:val="22"/>
          <w:szCs w:val="22"/>
        </w:rPr>
        <w:t xml:space="preserve">lijekom </w:t>
      </w:r>
      <w:r w:rsidR="002158F1">
        <w:rPr>
          <w:sz w:val="22"/>
          <w:szCs w:val="22"/>
        </w:rPr>
        <w:t>Roz</w:t>
      </w:r>
      <w:r w:rsidR="00677C43">
        <w:rPr>
          <w:sz w:val="22"/>
          <w:szCs w:val="22"/>
        </w:rPr>
        <w:t>or</w:t>
      </w:r>
      <w:r w:rsidR="002158F1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treba prekinuti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600503">
        <w:rPr>
          <w:sz w:val="22"/>
          <w:szCs w:val="22"/>
        </w:rPr>
        <w:t>odjeljke</w:t>
      </w:r>
      <w:r w:rsidRPr="00E5029D">
        <w:rPr>
          <w:sz w:val="22"/>
          <w:szCs w:val="22"/>
        </w:rPr>
        <w:t xml:space="preserve"> 4.5 i 4.8).</w:t>
      </w:r>
    </w:p>
    <w:p w14:paraId="1F8E673B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</w:p>
    <w:p w14:paraId="351AFF20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Antikoagulansi</w:t>
      </w:r>
    </w:p>
    <w:p w14:paraId="67BA4D68" w14:textId="060E7570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Ako se l</w:t>
      </w:r>
      <w:r w:rsidR="00FB72C1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ek Rozor uzima kao dodatna terapija uz varfarin, neki drugi kumarinski antikoagulans ili fluindion, treba pažljivo pratiti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Međunarodnog normalizovanog odnosa (eng. </w:t>
      </w:r>
      <w:r w:rsidRPr="00E5029D">
        <w:rPr>
          <w:i/>
          <w:sz w:val="22"/>
          <w:szCs w:val="22"/>
        </w:rPr>
        <w:t>International Normalised Ratio</w:t>
      </w:r>
      <w:r w:rsidRPr="00E5029D">
        <w:rPr>
          <w:sz w:val="22"/>
          <w:szCs w:val="22"/>
        </w:rPr>
        <w:t xml:space="preserve"> – INR)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4.5).</w:t>
      </w:r>
    </w:p>
    <w:p w14:paraId="7138865D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20879A18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Ciklosporin</w:t>
      </w:r>
    </w:p>
    <w:p w14:paraId="0D2F4B63" w14:textId="12C6A001" w:rsidR="0000248E" w:rsidRPr="00E5029D" w:rsidRDefault="00600503" w:rsidP="003C741B">
      <w:pPr>
        <w:jc w:val="both"/>
        <w:rPr>
          <w:sz w:val="22"/>
          <w:szCs w:val="22"/>
        </w:rPr>
      </w:pPr>
      <w:r>
        <w:rPr>
          <w:sz w:val="22"/>
          <w:szCs w:val="22"/>
        </w:rPr>
        <w:t>Vidjeti</w:t>
      </w:r>
      <w:r w:rsidR="0000248E" w:rsidRPr="00E5029D">
        <w:rPr>
          <w:sz w:val="22"/>
          <w:szCs w:val="22"/>
        </w:rPr>
        <w:t xml:space="preserve"> </w:t>
      </w:r>
      <w:r>
        <w:rPr>
          <w:sz w:val="22"/>
          <w:szCs w:val="22"/>
        </w:rPr>
        <w:t>odjeljke</w:t>
      </w:r>
      <w:r w:rsidR="0000248E" w:rsidRPr="00E5029D">
        <w:rPr>
          <w:sz w:val="22"/>
          <w:szCs w:val="22"/>
        </w:rPr>
        <w:t xml:space="preserve"> 4.3 i 4.5.</w:t>
      </w:r>
    </w:p>
    <w:p w14:paraId="6A6BBF13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</w:p>
    <w:p w14:paraId="428E18E3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Rasa</w:t>
      </w:r>
    </w:p>
    <w:p w14:paraId="605DA643" w14:textId="3DF12154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Farmakokinetička ispitivanja rosuvastatina pokazuju povećanu izloženost l</w:t>
      </w:r>
      <w:r w:rsidR="00FB72C1">
        <w:rPr>
          <w:sz w:val="22"/>
          <w:szCs w:val="22"/>
        </w:rPr>
        <w:t>ij</w:t>
      </w:r>
      <w:r w:rsidRPr="00E5029D">
        <w:rPr>
          <w:sz w:val="22"/>
          <w:szCs w:val="22"/>
        </w:rPr>
        <w:t>eku kod pacijenata Azijske populacije u poređenju sa pacijentima b</w:t>
      </w:r>
      <w:r w:rsidR="00FB72C1">
        <w:rPr>
          <w:sz w:val="22"/>
          <w:szCs w:val="22"/>
        </w:rPr>
        <w:t>ij</w:t>
      </w:r>
      <w:r w:rsidRPr="00E5029D">
        <w:rPr>
          <w:sz w:val="22"/>
          <w:szCs w:val="22"/>
        </w:rPr>
        <w:t>ele populacije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600503">
        <w:rPr>
          <w:sz w:val="22"/>
          <w:szCs w:val="22"/>
        </w:rPr>
        <w:t>odjeljke</w:t>
      </w:r>
      <w:r w:rsidRPr="00E5029D">
        <w:rPr>
          <w:sz w:val="22"/>
          <w:szCs w:val="22"/>
        </w:rPr>
        <w:t xml:space="preserve"> 4.2 i 5.2).</w:t>
      </w:r>
    </w:p>
    <w:p w14:paraId="03C04477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</w:p>
    <w:p w14:paraId="020F40D5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Intersticijalna bolest pluća</w:t>
      </w:r>
    </w:p>
    <w:p w14:paraId="1E36D651" w14:textId="59566811" w:rsidR="0000248E" w:rsidRPr="00E5029D" w:rsidRDefault="006A3E14" w:rsidP="003C741B">
      <w:pPr>
        <w:jc w:val="both"/>
        <w:rPr>
          <w:sz w:val="22"/>
          <w:szCs w:val="22"/>
        </w:rPr>
      </w:pPr>
      <w:r>
        <w:rPr>
          <w:sz w:val="22"/>
          <w:szCs w:val="22"/>
        </w:rPr>
        <w:t>Zabilježen</w:t>
      </w:r>
      <w:r w:rsidR="0000248E" w:rsidRPr="00E5029D">
        <w:rPr>
          <w:sz w:val="22"/>
          <w:szCs w:val="22"/>
        </w:rPr>
        <w:t>i su izuzetni slučajevi intersticijalne bolesti pluća prilikom upotrebe nekih statina, posebno u</w:t>
      </w:r>
    </w:p>
    <w:p w14:paraId="38C897FA" w14:textId="11D1680D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lastRenderedPageBreak/>
        <w:t>dugotrajnim terapijama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4.8). Simptomi bolesti ovog stanja mogu uključivati dispneju,</w:t>
      </w:r>
    </w:p>
    <w:p w14:paraId="49526F0F" w14:textId="028D1E78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neproduktivni kašalj i pogoršanje opšteg zdravstvenog stanja (umor, gubitak </w:t>
      </w:r>
      <w:r w:rsidR="00EC4F44">
        <w:rPr>
          <w:sz w:val="22"/>
          <w:szCs w:val="22"/>
        </w:rPr>
        <w:t>tjelesn</w:t>
      </w:r>
      <w:r w:rsidRPr="00E5029D">
        <w:rPr>
          <w:sz w:val="22"/>
          <w:szCs w:val="22"/>
        </w:rPr>
        <w:t xml:space="preserve">e mase i povišena </w:t>
      </w:r>
      <w:r w:rsidR="00EC4F44">
        <w:rPr>
          <w:sz w:val="22"/>
          <w:szCs w:val="22"/>
        </w:rPr>
        <w:t>tjelesn</w:t>
      </w:r>
      <w:r w:rsidRPr="00E5029D">
        <w:rPr>
          <w:sz w:val="22"/>
          <w:szCs w:val="22"/>
        </w:rPr>
        <w:t>a temperatura). Ukoliko se sumnja da se kod pacijenta razvila intersticijalna bolest pluća, treba prekinuti sa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terapijom statinima.</w:t>
      </w:r>
    </w:p>
    <w:p w14:paraId="7A7B70DC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6CA593AB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Dijabetes melitus</w:t>
      </w:r>
    </w:p>
    <w:p w14:paraId="67D401A9" w14:textId="754AE23B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Neki dokazi ukazuju da statini, kao grupa </w:t>
      </w:r>
      <w:r w:rsidR="00074F21">
        <w:rPr>
          <w:sz w:val="22"/>
          <w:szCs w:val="22"/>
        </w:rPr>
        <w:t>ljekova</w:t>
      </w:r>
      <w:r w:rsidRPr="00E5029D">
        <w:rPr>
          <w:sz w:val="22"/>
          <w:szCs w:val="22"/>
        </w:rPr>
        <w:t>, povećavaju nivo glukoze u krvi kod nekih pacijenata koji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imaju visoki rizik za pojavu dijabetesa u narednom periodu, i mogu dovesti do takvih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hiperglikemije koju treba </w:t>
      </w:r>
      <w:r w:rsidR="006A3E14">
        <w:rPr>
          <w:sz w:val="22"/>
          <w:szCs w:val="22"/>
        </w:rPr>
        <w:t>liječiti</w:t>
      </w:r>
      <w:r w:rsidRPr="00E5029D">
        <w:rPr>
          <w:sz w:val="22"/>
          <w:szCs w:val="22"/>
        </w:rPr>
        <w:t xml:space="preserve"> kao dijabetes. Međutim, smanjenje vaskularnog rizika </w:t>
      </w:r>
      <w:r w:rsidR="00FB72C1">
        <w:rPr>
          <w:sz w:val="22"/>
          <w:szCs w:val="22"/>
        </w:rPr>
        <w:t>primjenom</w:t>
      </w:r>
      <w:r w:rsidRPr="00E5029D">
        <w:rPr>
          <w:sz w:val="22"/>
          <w:szCs w:val="22"/>
        </w:rPr>
        <w:t xml:space="preserve"> statina prevazilazi po značaju ovaj rizik, i zato on ne treba da bude razlog za prekidanje terapije statinima. Pacijente sa rizikom (nivo glukoze na</w:t>
      </w:r>
      <w:r w:rsidR="00CA056E">
        <w:rPr>
          <w:sz w:val="22"/>
          <w:szCs w:val="22"/>
        </w:rPr>
        <w:t>ta</w:t>
      </w:r>
      <w:r w:rsidRPr="00E5029D">
        <w:rPr>
          <w:sz w:val="22"/>
          <w:szCs w:val="22"/>
        </w:rPr>
        <w:t xml:space="preserve">šte od 5,6 do 6,9 </w:t>
      </w:r>
      <w:r w:rsidR="00C2217E">
        <w:rPr>
          <w:sz w:val="22"/>
          <w:szCs w:val="22"/>
        </w:rPr>
        <w:t>mmol/l</w:t>
      </w:r>
      <w:r w:rsidRPr="00E5029D">
        <w:rPr>
          <w:sz w:val="22"/>
          <w:szCs w:val="22"/>
        </w:rPr>
        <w:t>, BMI &gt; 30 kg/</w:t>
      </w:r>
      <w:r w:rsidR="00003728" w:rsidRPr="00003728">
        <w:rPr>
          <w:sz w:val="22"/>
          <w:szCs w:val="22"/>
        </w:rPr>
        <w:t>m²</w:t>
      </w:r>
      <w:r w:rsidRPr="00E5029D">
        <w:rPr>
          <w:sz w:val="22"/>
          <w:szCs w:val="22"/>
        </w:rPr>
        <w:t>, povećan</w:t>
      </w:r>
      <w:r w:rsidR="00BB1687">
        <w:rPr>
          <w:sz w:val="22"/>
          <w:szCs w:val="22"/>
        </w:rPr>
        <w:t>e</w:t>
      </w:r>
      <w:r w:rsidRPr="00E5029D">
        <w:rPr>
          <w:sz w:val="22"/>
          <w:szCs w:val="22"/>
        </w:rPr>
        <w:t xml:space="preserve">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triglicerida, hipertenzij</w:t>
      </w:r>
      <w:r w:rsidR="00BB1687">
        <w:rPr>
          <w:sz w:val="22"/>
          <w:szCs w:val="22"/>
        </w:rPr>
        <w:t>a</w:t>
      </w:r>
      <w:r w:rsidRPr="00E5029D">
        <w:rPr>
          <w:sz w:val="22"/>
          <w:szCs w:val="22"/>
        </w:rPr>
        <w:t>) treba pratiti i klinički i biohemijski, a u skladu sa nacionalnim sm</w:t>
      </w:r>
      <w:r w:rsidR="00BB1687">
        <w:rPr>
          <w:sz w:val="22"/>
          <w:szCs w:val="22"/>
        </w:rPr>
        <w:t>j</w:t>
      </w:r>
      <w:r w:rsidRPr="00E5029D">
        <w:rPr>
          <w:sz w:val="22"/>
          <w:szCs w:val="22"/>
        </w:rPr>
        <w:t>ernicama.</w:t>
      </w:r>
    </w:p>
    <w:p w14:paraId="4B50B086" w14:textId="16494BF0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U JUPITER studiji </w:t>
      </w:r>
      <w:r w:rsidR="00074F21">
        <w:rPr>
          <w:sz w:val="22"/>
          <w:szCs w:val="22"/>
        </w:rPr>
        <w:t>zabilježena</w:t>
      </w:r>
      <w:r w:rsidRPr="00E5029D">
        <w:rPr>
          <w:sz w:val="22"/>
          <w:szCs w:val="22"/>
        </w:rPr>
        <w:t xml:space="preserve"> je ukupna učestalost dijabetes melitusa od 2,8% u grupi pacijenata koja je primala rosuvastatin i 2,3% u grupi koja je dobijala placebo, uglavnom kod pacijenata sa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ima glukoze </w:t>
      </w:r>
      <w:r w:rsidR="00404445">
        <w:rPr>
          <w:sz w:val="22"/>
          <w:szCs w:val="22"/>
        </w:rPr>
        <w:t>natašte</w:t>
      </w:r>
      <w:r w:rsidRPr="00E5029D">
        <w:rPr>
          <w:sz w:val="22"/>
          <w:szCs w:val="22"/>
        </w:rPr>
        <w:t xml:space="preserve"> od 5,6 do 6,9 </w:t>
      </w:r>
      <w:r w:rsidR="00C2217E">
        <w:rPr>
          <w:sz w:val="22"/>
          <w:szCs w:val="22"/>
        </w:rPr>
        <w:t>mmol/l</w:t>
      </w:r>
      <w:r w:rsidRPr="00E5029D">
        <w:rPr>
          <w:sz w:val="22"/>
          <w:szCs w:val="22"/>
        </w:rPr>
        <w:t>.</w:t>
      </w:r>
    </w:p>
    <w:p w14:paraId="7190CF61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5B70C01C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Pedijatrijska populacija</w:t>
      </w:r>
    </w:p>
    <w:p w14:paraId="4541333D" w14:textId="4EFEC6DD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Bezb</w:t>
      </w:r>
      <w:r w:rsidR="00404445">
        <w:rPr>
          <w:sz w:val="22"/>
          <w:szCs w:val="22"/>
        </w:rPr>
        <w:t>j</w:t>
      </w:r>
      <w:r w:rsidRPr="00E5029D">
        <w:rPr>
          <w:sz w:val="22"/>
          <w:szCs w:val="22"/>
        </w:rPr>
        <w:t>ednost i efikasnost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Rozor kod</w:t>
      </w:r>
      <w:r w:rsidR="00B637A4">
        <w:rPr>
          <w:sz w:val="22"/>
          <w:szCs w:val="22"/>
        </w:rPr>
        <w:t xml:space="preserve"> djece </w:t>
      </w:r>
      <w:r w:rsidRPr="00E5029D">
        <w:rPr>
          <w:sz w:val="22"/>
          <w:szCs w:val="22"/>
        </w:rPr>
        <w:t>ispod 18 godina starosti još</w:t>
      </w:r>
      <w:r w:rsidR="00B637A4">
        <w:rPr>
          <w:sz w:val="22"/>
          <w:szCs w:val="22"/>
        </w:rPr>
        <w:t xml:space="preserve"> uvijek</w:t>
      </w:r>
      <w:r w:rsidR="006A3E14">
        <w:rPr>
          <w:sz w:val="22"/>
          <w:szCs w:val="22"/>
        </w:rPr>
        <w:t xml:space="preserve"> nijesu </w:t>
      </w:r>
      <w:r w:rsidRPr="00E5029D">
        <w:rPr>
          <w:sz w:val="22"/>
          <w:szCs w:val="22"/>
        </w:rPr>
        <w:t>utvrđeni i stoga se ne preporučuje njegova prim</w:t>
      </w:r>
      <w:r w:rsidR="00C67070">
        <w:rPr>
          <w:sz w:val="22"/>
          <w:szCs w:val="22"/>
        </w:rPr>
        <w:t>j</w:t>
      </w:r>
      <w:r w:rsidRPr="00E5029D">
        <w:rPr>
          <w:sz w:val="22"/>
          <w:szCs w:val="22"/>
        </w:rPr>
        <w:t>ena u navedenom uzrastu.</w:t>
      </w:r>
    </w:p>
    <w:p w14:paraId="6A9A8AA7" w14:textId="1F1FE647" w:rsidR="00057E35" w:rsidRDefault="00057E35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CC384CF" w14:textId="77777777" w:rsidR="00C67070" w:rsidRPr="00C67070" w:rsidRDefault="00C67070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C67070">
        <w:rPr>
          <w:bCs/>
          <w:sz w:val="22"/>
          <w:szCs w:val="22"/>
          <w:u w:val="single"/>
        </w:rPr>
        <w:t xml:space="preserve">Teške kožne nuspojave </w:t>
      </w:r>
    </w:p>
    <w:p w14:paraId="50358731" w14:textId="3CA977FD" w:rsidR="00C67070" w:rsidRDefault="00C67070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67070">
        <w:rPr>
          <w:bCs/>
          <w:sz w:val="22"/>
          <w:szCs w:val="22"/>
        </w:rPr>
        <w:t xml:space="preserve">Teške kožne nuspojave, uključujući Stevens-Johnsonov sindrom (SJS) i reakciju na lijek s eozinofilijom i sistemskim simptomina (engl. </w:t>
      </w:r>
      <w:r w:rsidRPr="00016A2F">
        <w:rPr>
          <w:bCs/>
          <w:i/>
          <w:iCs/>
          <w:sz w:val="22"/>
          <w:szCs w:val="22"/>
        </w:rPr>
        <w:t>Drug reaction with eosinophilia and systemic symptoms,</w:t>
      </w:r>
      <w:r w:rsidRPr="00C67070">
        <w:rPr>
          <w:bCs/>
          <w:sz w:val="22"/>
          <w:szCs w:val="22"/>
        </w:rPr>
        <w:t xml:space="preserve"> DRESS), koje mogu biti po život opasne ili smrtonosne, zabilježene su kod primjene rosuvastatina. U trenutku propisivanja terapije, bolesnike treba savjetovati o znakovima i simptomima teških kožnih reakcija, te ih pomno pratiti. Ako se pojave znakovi i simptomi koji upućuju na te reakcije, liječenje </w:t>
      </w:r>
      <w:r w:rsidR="00527399">
        <w:rPr>
          <w:bCs/>
          <w:sz w:val="22"/>
          <w:szCs w:val="22"/>
        </w:rPr>
        <w:t>lijekom Rozor</w:t>
      </w:r>
      <w:r w:rsidRPr="00C67070">
        <w:rPr>
          <w:bCs/>
          <w:sz w:val="22"/>
          <w:szCs w:val="22"/>
        </w:rPr>
        <w:t xml:space="preserve"> treba odmah prekinuti </w:t>
      </w:r>
      <w:r w:rsidR="00527399">
        <w:rPr>
          <w:bCs/>
          <w:sz w:val="22"/>
          <w:szCs w:val="22"/>
        </w:rPr>
        <w:t>i</w:t>
      </w:r>
      <w:r w:rsidRPr="00C67070">
        <w:rPr>
          <w:bCs/>
          <w:sz w:val="22"/>
          <w:szCs w:val="22"/>
        </w:rPr>
        <w:t xml:space="preserve"> razmotriti liječenje</w:t>
      </w:r>
      <w:r w:rsidR="00527399">
        <w:rPr>
          <w:bCs/>
          <w:sz w:val="22"/>
          <w:szCs w:val="22"/>
        </w:rPr>
        <w:t xml:space="preserve"> alternativnom terapijom</w:t>
      </w:r>
      <w:r w:rsidRPr="00C67070">
        <w:rPr>
          <w:bCs/>
          <w:sz w:val="22"/>
          <w:szCs w:val="22"/>
        </w:rPr>
        <w:t xml:space="preserve">. Ako je prilikom primjene </w:t>
      </w:r>
      <w:r w:rsidR="00527399">
        <w:rPr>
          <w:bCs/>
          <w:sz w:val="22"/>
          <w:szCs w:val="22"/>
        </w:rPr>
        <w:t>lijeka Rozor</w:t>
      </w:r>
      <w:r w:rsidR="00527399" w:rsidRPr="00C67070">
        <w:rPr>
          <w:bCs/>
          <w:sz w:val="22"/>
          <w:szCs w:val="22"/>
        </w:rPr>
        <w:t xml:space="preserve"> </w:t>
      </w:r>
      <w:r w:rsidR="00527399">
        <w:rPr>
          <w:bCs/>
          <w:sz w:val="22"/>
          <w:szCs w:val="22"/>
        </w:rPr>
        <w:t>pacijent</w:t>
      </w:r>
      <w:r w:rsidRPr="00C67070">
        <w:rPr>
          <w:bCs/>
          <w:sz w:val="22"/>
          <w:szCs w:val="22"/>
        </w:rPr>
        <w:t xml:space="preserve"> razvio ozbiljnu reakciju poput SJS-a ili DRESS-a, liječenje </w:t>
      </w:r>
      <w:r w:rsidR="00A10239">
        <w:rPr>
          <w:bCs/>
          <w:sz w:val="22"/>
          <w:szCs w:val="22"/>
        </w:rPr>
        <w:t>lijekom Rozor</w:t>
      </w:r>
      <w:r w:rsidR="00A10239" w:rsidRPr="00C67070">
        <w:rPr>
          <w:bCs/>
          <w:sz w:val="22"/>
          <w:szCs w:val="22"/>
        </w:rPr>
        <w:t xml:space="preserve"> </w:t>
      </w:r>
      <w:r w:rsidR="00A10239">
        <w:rPr>
          <w:bCs/>
          <w:sz w:val="22"/>
          <w:szCs w:val="22"/>
        </w:rPr>
        <w:t>kod ovih pacijenata</w:t>
      </w:r>
      <w:r w:rsidRPr="00C67070">
        <w:rPr>
          <w:bCs/>
          <w:sz w:val="22"/>
          <w:szCs w:val="22"/>
        </w:rPr>
        <w:t xml:space="preserve"> ne smije se ni u jednom trenutku ponovo započeti. </w:t>
      </w:r>
    </w:p>
    <w:p w14:paraId="04403E6E" w14:textId="77777777" w:rsidR="00F914C5" w:rsidRDefault="00F914C5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E8789BC" w14:textId="77777777" w:rsidR="00F914C5" w:rsidRPr="00F914C5" w:rsidRDefault="00F914C5" w:rsidP="00F914C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914C5">
        <w:rPr>
          <w:bCs/>
          <w:sz w:val="22"/>
          <w:szCs w:val="22"/>
        </w:rPr>
        <w:t>Mijastenija gravis</w:t>
      </w:r>
    </w:p>
    <w:p w14:paraId="20BBC3CC" w14:textId="6508D5B3" w:rsidR="00F914C5" w:rsidRPr="00F914C5" w:rsidRDefault="00F914C5" w:rsidP="00F914C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914C5">
        <w:rPr>
          <w:bCs/>
          <w:sz w:val="22"/>
          <w:szCs w:val="22"/>
        </w:rPr>
        <w:t xml:space="preserve">U nekoliko slučajeva je prijavljeno da statini izazivaju </w:t>
      </w:r>
      <w:r w:rsidRPr="00644B82">
        <w:rPr>
          <w:bCs/>
          <w:i/>
          <w:iCs/>
          <w:sz w:val="22"/>
          <w:szCs w:val="22"/>
        </w:rPr>
        <w:t>de novo</w:t>
      </w:r>
      <w:r w:rsidRPr="00F914C5">
        <w:rPr>
          <w:bCs/>
          <w:sz w:val="22"/>
          <w:szCs w:val="22"/>
        </w:rPr>
        <w:t xml:space="preserve"> ili pogoršavaju već postojeću mijasteniju gravis ili očnu mijasteniju (videti </w:t>
      </w:r>
      <w:r w:rsidR="00F174C9">
        <w:rPr>
          <w:bCs/>
          <w:sz w:val="22"/>
          <w:szCs w:val="22"/>
        </w:rPr>
        <w:t>dio</w:t>
      </w:r>
      <w:r w:rsidRPr="00F914C5">
        <w:rPr>
          <w:bCs/>
          <w:sz w:val="22"/>
          <w:szCs w:val="22"/>
        </w:rPr>
        <w:t xml:space="preserve"> 4.8). Prim</w:t>
      </w:r>
      <w:r>
        <w:rPr>
          <w:bCs/>
          <w:sz w:val="22"/>
          <w:szCs w:val="22"/>
        </w:rPr>
        <w:t>j</w:t>
      </w:r>
      <w:r w:rsidRPr="00F914C5">
        <w:rPr>
          <w:bCs/>
          <w:sz w:val="22"/>
          <w:szCs w:val="22"/>
        </w:rPr>
        <w:t>enu l</w:t>
      </w:r>
      <w:r>
        <w:rPr>
          <w:bCs/>
          <w:sz w:val="22"/>
          <w:szCs w:val="22"/>
        </w:rPr>
        <w:t>ij</w:t>
      </w:r>
      <w:r w:rsidRPr="00F914C5">
        <w:rPr>
          <w:bCs/>
          <w:sz w:val="22"/>
          <w:szCs w:val="22"/>
        </w:rPr>
        <w:t>eka Rozor treba prekinuti u slučaju pogoršanja simptoma. Prijavljena je pojava recidiva kada je isti ili drugi statin (ponovo) prim</w:t>
      </w:r>
      <w:r>
        <w:rPr>
          <w:bCs/>
          <w:sz w:val="22"/>
          <w:szCs w:val="22"/>
        </w:rPr>
        <w:t>ij</w:t>
      </w:r>
      <w:r w:rsidRPr="00F914C5">
        <w:rPr>
          <w:bCs/>
          <w:sz w:val="22"/>
          <w:szCs w:val="22"/>
        </w:rPr>
        <w:t>enjen.</w:t>
      </w:r>
    </w:p>
    <w:p w14:paraId="2B6A0F1C" w14:textId="77777777" w:rsidR="00C67070" w:rsidRDefault="00C67070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A3D4056" w14:textId="712F241F" w:rsidR="00C67070" w:rsidRPr="003742B1" w:rsidRDefault="00C67070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3742B1">
        <w:rPr>
          <w:bCs/>
          <w:sz w:val="22"/>
          <w:szCs w:val="22"/>
          <w:u w:val="single"/>
        </w:rPr>
        <w:t xml:space="preserve">Pomoćne supstance </w:t>
      </w:r>
    </w:p>
    <w:p w14:paraId="25D1EB0A" w14:textId="0C121C73" w:rsidR="00C67070" w:rsidRDefault="00C67070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67070">
        <w:rPr>
          <w:bCs/>
          <w:sz w:val="22"/>
          <w:szCs w:val="22"/>
        </w:rPr>
        <w:t>Ovaj lijek sadrži manje od 1 mmol (23 mg) natrij</w:t>
      </w:r>
      <w:r w:rsidR="00A10239">
        <w:rPr>
          <w:bCs/>
          <w:sz w:val="22"/>
          <w:szCs w:val="22"/>
        </w:rPr>
        <w:t>uma</w:t>
      </w:r>
      <w:r w:rsidRPr="00C67070">
        <w:rPr>
          <w:bCs/>
          <w:sz w:val="22"/>
          <w:szCs w:val="22"/>
        </w:rPr>
        <w:t xml:space="preserve"> po tableti, tj. zanemar</w:t>
      </w:r>
      <w:r w:rsidR="00A10239">
        <w:rPr>
          <w:bCs/>
          <w:sz w:val="22"/>
          <w:szCs w:val="22"/>
        </w:rPr>
        <w:t>lj</w:t>
      </w:r>
      <w:r w:rsidRPr="00C67070">
        <w:rPr>
          <w:bCs/>
          <w:sz w:val="22"/>
          <w:szCs w:val="22"/>
        </w:rPr>
        <w:t xml:space="preserve">ive količine </w:t>
      </w:r>
      <w:r w:rsidR="00A10239" w:rsidRPr="00C67070">
        <w:rPr>
          <w:bCs/>
          <w:sz w:val="22"/>
          <w:szCs w:val="22"/>
        </w:rPr>
        <w:t>natrij</w:t>
      </w:r>
      <w:r w:rsidR="00A10239">
        <w:rPr>
          <w:bCs/>
          <w:sz w:val="22"/>
          <w:szCs w:val="22"/>
        </w:rPr>
        <w:t>uma</w:t>
      </w:r>
      <w:r w:rsidRPr="00C67070">
        <w:rPr>
          <w:bCs/>
          <w:sz w:val="22"/>
          <w:szCs w:val="22"/>
        </w:rPr>
        <w:t>.</w:t>
      </w:r>
    </w:p>
    <w:p w14:paraId="61D916D1" w14:textId="77777777" w:rsidR="00C67070" w:rsidRPr="00E5029D" w:rsidRDefault="00C67070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5C62905" w14:textId="77777777" w:rsidR="00411B4B" w:rsidRPr="00E5029D" w:rsidRDefault="00411B4B" w:rsidP="003C74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>4.5.</w:t>
      </w:r>
      <w:r w:rsidR="000D60CC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Interakcije sa drugim ljekovima i druge vrste interakcija</w:t>
      </w:r>
    </w:p>
    <w:p w14:paraId="5E20846C" w14:textId="0B5596F0" w:rsidR="0072020E" w:rsidRPr="00E5029D" w:rsidRDefault="0072020E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46E3A07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Kontraindikacije</w:t>
      </w:r>
    </w:p>
    <w:p w14:paraId="4D9BBC73" w14:textId="4A82BF44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Ciklosporin:</w:t>
      </w:r>
      <w:r w:rsidRPr="00E5029D">
        <w:rPr>
          <w:sz w:val="22"/>
          <w:szCs w:val="22"/>
        </w:rPr>
        <w:t xml:space="preserve"> Tokom istovremene terapije rosuvastatinom i ciklosporinom,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PIK rosuvastatina bile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su u pros</w:t>
      </w:r>
      <w:r w:rsidR="0078224C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eku 7 puta veće nego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</w:t>
      </w:r>
      <w:r w:rsidR="006A3E14">
        <w:rPr>
          <w:sz w:val="22"/>
          <w:szCs w:val="22"/>
        </w:rPr>
        <w:t>zabilježen</w:t>
      </w:r>
      <w:r w:rsidRPr="00E5029D">
        <w:rPr>
          <w:sz w:val="22"/>
          <w:szCs w:val="22"/>
        </w:rPr>
        <w:t>e kod zdravih ispitanika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4.3).</w:t>
      </w:r>
    </w:p>
    <w:p w14:paraId="6A99698E" w14:textId="623FA8FC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Istovremena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nije uticala na koncentracije ciklosporina u plazmi. </w:t>
      </w:r>
    </w:p>
    <w:p w14:paraId="1A736E5D" w14:textId="54B2FBFE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Istovremena </w:t>
      </w:r>
      <w:r w:rsidR="0078224C">
        <w:rPr>
          <w:sz w:val="22"/>
          <w:szCs w:val="22"/>
        </w:rPr>
        <w:t>primjena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Rozor sa ciklosporinom je kontraindikovana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4.3). U ispitivanju koje je sprovedeno na osam pacijenata nakon presađivanja bubrega, koji su primali stabilnu dozu ciklosporina, a kod kojih je klirens kreatinina bio &gt; 50 m</w:t>
      </w:r>
      <w:r w:rsidR="00E57990">
        <w:rPr>
          <w:sz w:val="22"/>
          <w:szCs w:val="22"/>
        </w:rPr>
        <w:t>l</w:t>
      </w:r>
      <w:r w:rsidRPr="00E5029D">
        <w:rPr>
          <w:sz w:val="22"/>
          <w:szCs w:val="22"/>
        </w:rPr>
        <w:t xml:space="preserve">/min, jednokratna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ezetimiba u dozi od 10 mg dovela je do povećanja srednje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PIK ukupnog ezetimiba od 3,4 puta (raspon od 2,3 do 7,9 puta), u poređenju sa kontrolnom grupom u drugom ispitivanju u kojoj su bili zdravi ispitanici koji su primali samo ezetimib (n=17). U drugom ispitivanju, jedan pacijent sa presađenim bubregom i teškom insuficijencijom bubrega koji je primao ciklosporin i više drugih </w:t>
      </w:r>
      <w:r w:rsidR="00074F21">
        <w:rPr>
          <w:sz w:val="22"/>
          <w:szCs w:val="22"/>
        </w:rPr>
        <w:t>ljekova</w:t>
      </w:r>
      <w:r w:rsidRPr="00E5029D">
        <w:rPr>
          <w:sz w:val="22"/>
          <w:szCs w:val="22"/>
        </w:rPr>
        <w:t xml:space="preserve">, ispoljio je čak 12 puta veću izloženost ukupnom ezetimibu u poređenju sa istovremenom kontrolnom grupom u kojoj su ispitanici primali samo ezetimib. U unakrsnom ispitivanju sprovedenom kroz dva perioda na 12 zdravih ispitanika,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ezetimiba u dozi od 20 mg dnevno, tokom 8 dana, sa jednokratnom dozom ciklosporina od 100 mg sedmog dana ispitivanja, rezultiralo je pros</w:t>
      </w:r>
      <w:r w:rsidR="00E57990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ečnim povećanjem PIK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ciklosporina od 15 % (raspon od 10% smanjenja do 51% povećanja) u poređenju sa </w:t>
      </w:r>
      <w:r w:rsidRPr="00E5029D">
        <w:rPr>
          <w:sz w:val="22"/>
          <w:szCs w:val="22"/>
        </w:rPr>
        <w:lastRenderedPageBreak/>
        <w:t xml:space="preserve">jednokratnom </w:t>
      </w:r>
      <w:r w:rsidR="00FB72C1">
        <w:rPr>
          <w:sz w:val="22"/>
          <w:szCs w:val="22"/>
        </w:rPr>
        <w:t>primjenom</w:t>
      </w:r>
      <w:r w:rsidRPr="00E5029D">
        <w:rPr>
          <w:sz w:val="22"/>
          <w:szCs w:val="22"/>
        </w:rPr>
        <w:t xml:space="preserve"> samog ciklosporina u dozi od 100 mg. Nije sprovedeno kontrolisano ispitivanje dejstva istovremeno </w:t>
      </w:r>
      <w:r w:rsidR="006A3E14">
        <w:rPr>
          <w:sz w:val="22"/>
          <w:szCs w:val="22"/>
        </w:rPr>
        <w:t>primijenjen</w:t>
      </w:r>
      <w:r w:rsidRPr="00E5029D">
        <w:rPr>
          <w:sz w:val="22"/>
          <w:szCs w:val="22"/>
        </w:rPr>
        <w:t>og ezetimiba na izloženost ciklosporinu kod pacijenata sa presađenim bubregom.</w:t>
      </w:r>
    </w:p>
    <w:p w14:paraId="595DB056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180E5CDA" w14:textId="77777777" w:rsidR="00772F51" w:rsidRDefault="00772F51" w:rsidP="003C741B">
      <w:pPr>
        <w:jc w:val="both"/>
        <w:rPr>
          <w:sz w:val="22"/>
          <w:szCs w:val="22"/>
          <w:u w:val="single"/>
        </w:rPr>
      </w:pPr>
    </w:p>
    <w:p w14:paraId="7A42C92D" w14:textId="02E4A158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Kombinacije koje se ne preporučuju</w:t>
      </w:r>
    </w:p>
    <w:p w14:paraId="5515AD94" w14:textId="77777777" w:rsidR="0086462C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Inhibitori proteaze:</w:t>
      </w:r>
      <w:r w:rsidRPr="00E5029D">
        <w:rPr>
          <w:sz w:val="22"/>
          <w:szCs w:val="22"/>
        </w:rPr>
        <w:t xml:space="preserve"> Iako tačan mehanizam interakcije nije poznat, istovremena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inhibitora </w:t>
      </w:r>
      <w:r w:rsidR="006E5AFE">
        <w:rPr>
          <w:sz w:val="22"/>
          <w:szCs w:val="22"/>
        </w:rPr>
        <w:t>protea</w:t>
      </w:r>
      <w:r w:rsidR="003E4280">
        <w:rPr>
          <w:sz w:val="22"/>
          <w:szCs w:val="22"/>
        </w:rPr>
        <w:t>z</w:t>
      </w:r>
      <w:r w:rsidR="006E5AFE">
        <w:rPr>
          <w:sz w:val="22"/>
          <w:szCs w:val="22"/>
        </w:rPr>
        <w:t xml:space="preserve">e </w:t>
      </w:r>
      <w:r w:rsidRPr="00E5029D">
        <w:rPr>
          <w:sz w:val="22"/>
          <w:szCs w:val="22"/>
        </w:rPr>
        <w:t>može snažno da poveća izloženost rosuvastatinu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4.5 Tabela). Na </w:t>
      </w:r>
      <w:r w:rsidR="003E4280">
        <w:rPr>
          <w:sz w:val="22"/>
          <w:szCs w:val="22"/>
        </w:rPr>
        <w:t>primjer</w:t>
      </w:r>
      <w:r w:rsidRPr="00E5029D">
        <w:rPr>
          <w:sz w:val="22"/>
          <w:szCs w:val="22"/>
        </w:rPr>
        <w:t>, u jednoj farmakokinetičkoj studiji, istovremeno davanje 10 mg rosuvastatina i kombinovanog proizvoda koji se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sastojao od dva inhibitora proteaze (300 mg atazanavira/100 mg ritonavira) kod zdravih ispitanika bilo je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povezano sa približno trostrukim povećanjem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PIK rosuvastatina, odnosno sedmostrukim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povećanjem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</w:t>
      </w:r>
      <w:r w:rsidRPr="00E5029D">
        <w:rPr>
          <w:rFonts w:eastAsia="TimesNewRoman"/>
          <w:sz w:val="22"/>
          <w:szCs w:val="22"/>
        </w:rPr>
        <w:t>C</w:t>
      </w:r>
      <w:r w:rsidRPr="00E5029D">
        <w:rPr>
          <w:rFonts w:eastAsia="TimesNewRoman"/>
          <w:sz w:val="22"/>
          <w:szCs w:val="22"/>
          <w:vertAlign w:val="subscript"/>
        </w:rPr>
        <w:t>max</w:t>
      </w:r>
      <w:r w:rsidRPr="00E5029D">
        <w:rPr>
          <w:sz w:val="22"/>
          <w:szCs w:val="22"/>
        </w:rPr>
        <w:t xml:space="preserve"> rosuvastatina. Istovremena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rosuvastatina i nekih kombinacija inhibitora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proteaze može se uzeti u obzir samo</w:t>
      </w:r>
      <w:r w:rsidR="00B44C10">
        <w:rPr>
          <w:sz w:val="22"/>
          <w:szCs w:val="22"/>
        </w:rPr>
        <w:t xml:space="preserve"> poslije </w:t>
      </w:r>
      <w:r w:rsidRPr="00E5029D">
        <w:rPr>
          <w:sz w:val="22"/>
          <w:szCs w:val="22"/>
        </w:rPr>
        <w:t>pažljivog razmatranja prilagođavanja doze rosuvastatina na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osnovu očekivanog povećanja izloženosti rosuvastatinu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600503">
        <w:rPr>
          <w:sz w:val="22"/>
          <w:szCs w:val="22"/>
        </w:rPr>
        <w:t>odjeljke</w:t>
      </w:r>
      <w:r w:rsidRPr="00E5029D">
        <w:rPr>
          <w:sz w:val="22"/>
          <w:szCs w:val="22"/>
        </w:rPr>
        <w:t xml:space="preserve"> 4.2, 4.4 i 4.5 u d</w:t>
      </w:r>
      <w:r w:rsidR="0086462C">
        <w:rPr>
          <w:sz w:val="22"/>
          <w:szCs w:val="22"/>
        </w:rPr>
        <w:t>ij</w:t>
      </w:r>
      <w:r w:rsidRPr="00E5029D">
        <w:rPr>
          <w:sz w:val="22"/>
          <w:szCs w:val="22"/>
        </w:rPr>
        <w:t>elu tabela). Ova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kombinacija nije pogodna za započinjanje terapije. </w:t>
      </w:r>
    </w:p>
    <w:p w14:paraId="69FBCBE1" w14:textId="42D734E9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Ukoliko je to neophodno, započinjanje terapije ili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prilagođavanje doze treba raditi samo sa </w:t>
      </w:r>
      <w:r w:rsidR="006E5AFE">
        <w:rPr>
          <w:sz w:val="22"/>
          <w:szCs w:val="22"/>
        </w:rPr>
        <w:t>m</w:t>
      </w:r>
      <w:r w:rsidRPr="00E5029D">
        <w:rPr>
          <w:sz w:val="22"/>
          <w:szCs w:val="22"/>
        </w:rPr>
        <w:t xml:space="preserve">onokomponentnim </w:t>
      </w:r>
      <w:r w:rsidR="008E18CB">
        <w:rPr>
          <w:sz w:val="22"/>
          <w:szCs w:val="22"/>
        </w:rPr>
        <w:t>ljekovi</w:t>
      </w:r>
      <w:r w:rsidRPr="00E5029D">
        <w:rPr>
          <w:sz w:val="22"/>
          <w:szCs w:val="22"/>
        </w:rPr>
        <w:t xml:space="preserve">ma, a tek nakon utvrđivanja </w:t>
      </w:r>
      <w:r w:rsidR="003E4280">
        <w:rPr>
          <w:sz w:val="22"/>
          <w:szCs w:val="22"/>
        </w:rPr>
        <w:t>primjer</w:t>
      </w:r>
      <w:r w:rsidRPr="00E5029D">
        <w:rPr>
          <w:sz w:val="22"/>
          <w:szCs w:val="22"/>
        </w:rPr>
        <w:t>enih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doza, moguć je prelazak na kombinaciju fiksnih doza odgovarajuće jačine.</w:t>
      </w:r>
    </w:p>
    <w:p w14:paraId="7BC9555F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75DD0728" w14:textId="77777777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Inhibitori transportnih proteina:</w:t>
      </w:r>
      <w:r w:rsidRPr="00E5029D">
        <w:rPr>
          <w:sz w:val="22"/>
          <w:szCs w:val="22"/>
        </w:rPr>
        <w:t xml:space="preserve"> Rosuvastatin je supstrat određenih transportnih proteina, uključujući i</w:t>
      </w:r>
    </w:p>
    <w:p w14:paraId="70602ECB" w14:textId="72E542CD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transporter preuzimanja u jetru OATP1B1 i efluks transporter BCRP. Istovremena </w:t>
      </w:r>
      <w:r w:rsidR="0078224C">
        <w:rPr>
          <w:sz w:val="22"/>
          <w:szCs w:val="22"/>
        </w:rPr>
        <w:t>primjena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Rozor sa</w:t>
      </w:r>
      <w:r w:rsidR="006E5AFE">
        <w:rPr>
          <w:sz w:val="22"/>
          <w:szCs w:val="22"/>
        </w:rPr>
        <w:t xml:space="preserve"> </w:t>
      </w:r>
      <w:r w:rsidR="008E18CB">
        <w:rPr>
          <w:sz w:val="22"/>
          <w:szCs w:val="22"/>
        </w:rPr>
        <w:t>ljekovi</w:t>
      </w:r>
      <w:r w:rsidRPr="00E5029D">
        <w:rPr>
          <w:sz w:val="22"/>
          <w:szCs w:val="22"/>
        </w:rPr>
        <w:t>ma koji deluju kao inhibitori ovih transportnih proteina može da dovede do povećanja koncentracije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rosuvastatina u plazmi i povećanja rizika za pojavu miopatije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600503">
        <w:rPr>
          <w:sz w:val="22"/>
          <w:szCs w:val="22"/>
        </w:rPr>
        <w:t>odjeljke</w:t>
      </w:r>
      <w:r w:rsidRPr="00E5029D">
        <w:rPr>
          <w:sz w:val="22"/>
          <w:szCs w:val="22"/>
        </w:rPr>
        <w:t xml:space="preserve"> 4.2, 4.4 i 4.5 u </w:t>
      </w:r>
      <w:r w:rsidR="0062420E">
        <w:rPr>
          <w:sz w:val="22"/>
          <w:szCs w:val="22"/>
        </w:rPr>
        <w:t>dijelu</w:t>
      </w:r>
      <w:r w:rsidRPr="00E5029D">
        <w:rPr>
          <w:sz w:val="22"/>
          <w:szCs w:val="22"/>
        </w:rPr>
        <w:t xml:space="preserve"> tabela).</w:t>
      </w:r>
    </w:p>
    <w:p w14:paraId="34F00254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2A261675" w14:textId="77777777" w:rsidR="0050131E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Gemfibrozil i drugi preparati za smanjenje nivoa lipida:</w:t>
      </w:r>
      <w:r w:rsidRPr="00E5029D">
        <w:rPr>
          <w:sz w:val="22"/>
          <w:szCs w:val="22"/>
        </w:rPr>
        <w:t xml:space="preserve"> Istovremena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rosuvastatina i gemfibrozila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dovela je do dvostrukog povećanja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</w:t>
      </w:r>
      <w:r w:rsidRPr="00E5029D">
        <w:rPr>
          <w:rFonts w:eastAsia="TimesNewRoman"/>
          <w:sz w:val="22"/>
          <w:szCs w:val="22"/>
        </w:rPr>
        <w:t>C</w:t>
      </w:r>
      <w:r w:rsidRPr="00E5029D">
        <w:rPr>
          <w:rFonts w:eastAsia="TimesNewRoman"/>
          <w:sz w:val="22"/>
          <w:szCs w:val="22"/>
          <w:vertAlign w:val="subscript"/>
        </w:rPr>
        <w:t>max</w:t>
      </w:r>
      <w:r w:rsidRPr="00E5029D">
        <w:rPr>
          <w:sz w:val="22"/>
          <w:szCs w:val="22"/>
        </w:rPr>
        <w:t xml:space="preserve"> i PIK rosuvastatina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4.4). </w:t>
      </w:r>
      <w:r w:rsidR="006E5AFE">
        <w:rPr>
          <w:sz w:val="22"/>
          <w:szCs w:val="22"/>
        </w:rPr>
        <w:t xml:space="preserve"> </w:t>
      </w:r>
    </w:p>
    <w:p w14:paraId="140F0D19" w14:textId="77777777" w:rsidR="0050131E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Istovremena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gembifrozila je blago povećala koncentraciju ukupnog ezetimiba (približno 1,7 puta). </w:t>
      </w:r>
    </w:p>
    <w:p w14:paraId="70EA9930" w14:textId="77777777" w:rsidR="0050131E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Na osnovu podataka iz specifičnih ispitivanja interakcija, ne očekuje se relevantna farmakokinetička interakcija sa fenofibratom, ali može da dođe do farmakodinamičke interakcije. Istovremena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fenofibrata je blago povećala koncentraciju ukupnog ezetimiba (približno 1,5 puta).</w:t>
      </w:r>
      <w:r w:rsidR="006E5AFE">
        <w:rPr>
          <w:sz w:val="22"/>
          <w:szCs w:val="22"/>
        </w:rPr>
        <w:t xml:space="preserve"> </w:t>
      </w:r>
    </w:p>
    <w:p w14:paraId="641A9CE3" w14:textId="77777777" w:rsidR="0050131E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Fenofibrat i drugi fibrati povećavaju rizik za pojavu miopatije kada se uzimaju istovremeno sa inhibitorima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HMG-CoA reduktaze, v</w:t>
      </w:r>
      <w:r w:rsidR="0050131E">
        <w:rPr>
          <w:sz w:val="22"/>
          <w:szCs w:val="22"/>
        </w:rPr>
        <w:t>j</w:t>
      </w:r>
      <w:r w:rsidRPr="00E5029D">
        <w:rPr>
          <w:sz w:val="22"/>
          <w:szCs w:val="22"/>
        </w:rPr>
        <w:t>erovatno jer mogu da prouzrokuju miopatiju i kada se daju u monoterapiji.</w:t>
      </w:r>
      <w:r w:rsidR="006E5AFE">
        <w:rPr>
          <w:sz w:val="22"/>
          <w:szCs w:val="22"/>
        </w:rPr>
        <w:t xml:space="preserve"> </w:t>
      </w:r>
    </w:p>
    <w:p w14:paraId="66A8487B" w14:textId="7258D184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Kod pacijenata koji primaju fenofibrat i ezetimib, </w:t>
      </w:r>
      <w:r w:rsidR="004F5FAB">
        <w:rPr>
          <w:sz w:val="22"/>
          <w:szCs w:val="22"/>
        </w:rPr>
        <w:t>ljekar</w:t>
      </w:r>
      <w:r w:rsidRPr="00E5029D">
        <w:rPr>
          <w:sz w:val="22"/>
          <w:szCs w:val="22"/>
        </w:rPr>
        <w:t>i treba da imaju na umu da postoji mogući rizik za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razvoj holelitijaze i oboljenja žučne kese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600503">
        <w:rPr>
          <w:sz w:val="22"/>
          <w:szCs w:val="22"/>
        </w:rPr>
        <w:t>odjeljke</w:t>
      </w:r>
      <w:r w:rsidRPr="00E5029D">
        <w:rPr>
          <w:sz w:val="22"/>
          <w:szCs w:val="22"/>
        </w:rPr>
        <w:t xml:space="preserve"> 4.4 i 4.8). Ako postoji sumnja na holelitijazu kod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pacijenata koji uzimaju ezetimib i fenofibrat, potrebno je uraditi laboratorijske testove kako bi se utvrdilo u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kakvom je stanju žučna kesa a prim</w:t>
      </w:r>
      <w:r w:rsidR="0050131E">
        <w:rPr>
          <w:sz w:val="22"/>
          <w:szCs w:val="22"/>
        </w:rPr>
        <w:t>j</w:t>
      </w:r>
      <w:r w:rsidRPr="00E5029D">
        <w:rPr>
          <w:sz w:val="22"/>
          <w:szCs w:val="22"/>
        </w:rPr>
        <w:t>enu ove terapije treba prekinuti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4.8).</w:t>
      </w:r>
      <w:r w:rsidR="006A3E14">
        <w:rPr>
          <w:sz w:val="22"/>
          <w:szCs w:val="22"/>
        </w:rPr>
        <w:t xml:space="preserve"> </w:t>
      </w:r>
      <w:r w:rsidR="0050131E">
        <w:rPr>
          <w:sz w:val="22"/>
          <w:szCs w:val="22"/>
        </w:rPr>
        <w:t>N</w:t>
      </w:r>
      <w:r w:rsidR="006A3E14">
        <w:rPr>
          <w:sz w:val="22"/>
          <w:szCs w:val="22"/>
        </w:rPr>
        <w:t xml:space="preserve">ijesu </w:t>
      </w:r>
      <w:r w:rsidRPr="00E5029D">
        <w:rPr>
          <w:sz w:val="22"/>
          <w:szCs w:val="22"/>
        </w:rPr>
        <w:t xml:space="preserve">sprovedena ispitivanja istovremene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 xml:space="preserve"> ezetimiba i drugih fibrata. Fibrati mogu da povećaju izlučivanje holesterola u žuč, što dovodi do pojave holelitijaze. U ispitivanjima na životinjama, ezetimib je povremeno doveo do povećanja koncentracije holesterola u žuči žučne kese, ali ovaj efekat nije uočen kod svih životinjskih vrsta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5.3). Ipak, ne može se isključiti mogućnost rizika za stvaranje žučnih kamenaca tokom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 xml:space="preserve"> ezetimiba u terapijskim dozama.</w:t>
      </w:r>
    </w:p>
    <w:p w14:paraId="60F19469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2ED77868" w14:textId="77777777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Fusidinska kiselina:</w:t>
      </w:r>
      <w:r w:rsidRPr="00E5029D">
        <w:rPr>
          <w:sz w:val="22"/>
          <w:szCs w:val="22"/>
        </w:rPr>
        <w:t xml:space="preserve"> Rizik za pojavu miopatije, uključujući rabdomiolizu, može da se poveća ako se</w:t>
      </w:r>
    </w:p>
    <w:p w14:paraId="63EEB93E" w14:textId="1AD1688C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sistemska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fusidinske kiseline kombinuje sa istovremeno </w:t>
      </w:r>
      <w:r w:rsidR="006A3E14">
        <w:rPr>
          <w:sz w:val="22"/>
          <w:szCs w:val="22"/>
        </w:rPr>
        <w:t>primijenjen</w:t>
      </w:r>
      <w:r w:rsidRPr="00E5029D">
        <w:rPr>
          <w:sz w:val="22"/>
          <w:szCs w:val="22"/>
        </w:rPr>
        <w:t>im statinima. Mehanizam ove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interakcije (bilo da je farmakodinamska, farmakokinetička, ili i jedna i druga) još</w:t>
      </w:r>
      <w:r w:rsidR="00B637A4">
        <w:rPr>
          <w:sz w:val="22"/>
          <w:szCs w:val="22"/>
        </w:rPr>
        <w:t xml:space="preserve"> uvijek </w:t>
      </w:r>
      <w:r w:rsidRPr="00E5029D">
        <w:rPr>
          <w:sz w:val="22"/>
          <w:szCs w:val="22"/>
        </w:rPr>
        <w:t>nije poznat.</w:t>
      </w:r>
      <w:r w:rsidR="006E5AFE">
        <w:rPr>
          <w:sz w:val="22"/>
          <w:szCs w:val="22"/>
        </w:rPr>
        <w:t xml:space="preserve"> </w:t>
      </w:r>
      <w:r w:rsidR="006A3E14">
        <w:rPr>
          <w:sz w:val="22"/>
          <w:szCs w:val="22"/>
        </w:rPr>
        <w:t>Zabilježen</w:t>
      </w:r>
      <w:r w:rsidRPr="00E5029D">
        <w:rPr>
          <w:sz w:val="22"/>
          <w:szCs w:val="22"/>
        </w:rPr>
        <w:t>i su slučajevi rabdomiolize (uključujući i nekoliko smrtnih slučajeva) kod pacijenata koji su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uzimali ovu kombinaciju. Ako je sistemska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fusidinske kiseline neophodna, treba obustaviti terapiju rosuvastatinom tokom c</w:t>
      </w:r>
      <w:r w:rsidR="00A95BB3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elokupnog trajanja terapije fusidinskom kiselinom. Takođe 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4.4.</w:t>
      </w:r>
    </w:p>
    <w:p w14:paraId="58456F51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7ACC5090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Ostale interakcije</w:t>
      </w:r>
    </w:p>
    <w:p w14:paraId="54CF2E56" w14:textId="77777777" w:rsidR="00AF2B42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Antacidi:</w:t>
      </w:r>
      <w:r w:rsidRPr="00E5029D">
        <w:rPr>
          <w:sz w:val="22"/>
          <w:szCs w:val="22"/>
        </w:rPr>
        <w:t xml:space="preserve"> Istovremeno uzimanje rosuvastatina sa suspenzijom antacida koja sadrži aluminijum i magnezijum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hidroksid dovelo je do smanjenja koncentracije rosuvastatina u plazmi za oko 50%. Ovo </w:t>
      </w:r>
      <w:r w:rsidRPr="00E5029D">
        <w:rPr>
          <w:sz w:val="22"/>
          <w:szCs w:val="22"/>
        </w:rPr>
        <w:lastRenderedPageBreak/>
        <w:t>dejstvo je ublaženo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kada se antacid prim</w:t>
      </w:r>
      <w:r w:rsidR="00AF2B42">
        <w:rPr>
          <w:sz w:val="22"/>
          <w:szCs w:val="22"/>
        </w:rPr>
        <w:t>ij</w:t>
      </w:r>
      <w:r w:rsidRPr="00E5029D">
        <w:rPr>
          <w:sz w:val="22"/>
          <w:szCs w:val="22"/>
        </w:rPr>
        <w:t>eni 2 sata</w:t>
      </w:r>
      <w:r w:rsidR="00B44C10">
        <w:rPr>
          <w:sz w:val="22"/>
          <w:szCs w:val="22"/>
        </w:rPr>
        <w:t xml:space="preserve"> poslije </w:t>
      </w:r>
      <w:r w:rsidRPr="00E5029D">
        <w:rPr>
          <w:sz w:val="22"/>
          <w:szCs w:val="22"/>
        </w:rPr>
        <w:t xml:space="preserve">uzimanja rosuvastatina. Nije ispitivana klinička relevantnost ove interakcije. </w:t>
      </w:r>
    </w:p>
    <w:p w14:paraId="16FD6379" w14:textId="3C70F762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Istovremena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antacida smanjila je brzinu resorpcije ezetimiba, ali nije imala uticaj na njegovu bioraspoloživost. Ovo smanjenje brzine resorpcije, ne smatra se klinički značajnim.</w:t>
      </w:r>
    </w:p>
    <w:p w14:paraId="11DDDFFE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0783B6B2" w14:textId="4F0CC7F8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Eritromicin:</w:t>
      </w:r>
      <w:r w:rsidRPr="00E5029D">
        <w:rPr>
          <w:sz w:val="22"/>
          <w:szCs w:val="22"/>
        </w:rPr>
        <w:t xml:space="preserve"> Istovremena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rosuvastatina i eritromicina dovela je do 20% smanjenja PIK</w:t>
      </w:r>
      <w:r w:rsidRPr="00E5029D">
        <w:rPr>
          <w:sz w:val="22"/>
          <w:szCs w:val="22"/>
          <w:vertAlign w:val="subscript"/>
        </w:rPr>
        <w:t>0-t</w:t>
      </w:r>
      <w:r w:rsidRPr="00E5029D">
        <w:rPr>
          <w:sz w:val="22"/>
          <w:szCs w:val="22"/>
        </w:rPr>
        <w:t xml:space="preserve"> i 30%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smanjenja </w:t>
      </w:r>
      <w:r w:rsidRPr="00E5029D">
        <w:rPr>
          <w:rFonts w:eastAsia="TimesNewRoman"/>
          <w:sz w:val="22"/>
          <w:szCs w:val="22"/>
        </w:rPr>
        <w:t>C</w:t>
      </w:r>
      <w:r w:rsidRPr="00E5029D">
        <w:rPr>
          <w:rFonts w:eastAsia="TimesNewRoman"/>
          <w:sz w:val="22"/>
          <w:szCs w:val="22"/>
          <w:vertAlign w:val="subscript"/>
        </w:rPr>
        <w:t>max</w:t>
      </w:r>
      <w:r w:rsidRPr="00E5029D">
        <w:rPr>
          <w:sz w:val="22"/>
          <w:szCs w:val="22"/>
        </w:rPr>
        <w:t xml:space="preserve"> rosuvastatina. Ova interakcija može biti </w:t>
      </w:r>
      <w:r w:rsidR="00360C26">
        <w:rPr>
          <w:sz w:val="22"/>
          <w:szCs w:val="22"/>
        </w:rPr>
        <w:t>posljedica</w:t>
      </w:r>
      <w:r w:rsidRPr="00E5029D">
        <w:rPr>
          <w:sz w:val="22"/>
          <w:szCs w:val="22"/>
        </w:rPr>
        <w:t xml:space="preserve"> povećanog motiliteta cr</w:t>
      </w:r>
      <w:r w:rsidR="00360C26">
        <w:rPr>
          <w:sz w:val="22"/>
          <w:szCs w:val="22"/>
        </w:rPr>
        <w:t>ij</w:t>
      </w:r>
      <w:r w:rsidRPr="00E5029D">
        <w:rPr>
          <w:sz w:val="22"/>
          <w:szCs w:val="22"/>
        </w:rPr>
        <w:t>eva izazvanog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eritromicinom.</w:t>
      </w:r>
    </w:p>
    <w:p w14:paraId="630471A0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29534778" w14:textId="6C8DDF2D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Enzimi citohroma P450:</w:t>
      </w:r>
      <w:r w:rsidRPr="00E5029D">
        <w:rPr>
          <w:sz w:val="22"/>
          <w:szCs w:val="22"/>
        </w:rPr>
        <w:t xml:space="preserve"> Rezultati iz </w:t>
      </w:r>
      <w:r w:rsidRPr="00E5029D">
        <w:rPr>
          <w:i/>
          <w:sz w:val="22"/>
          <w:szCs w:val="22"/>
        </w:rPr>
        <w:t>in vitro</w:t>
      </w:r>
      <w:r w:rsidRPr="00E5029D">
        <w:rPr>
          <w:sz w:val="22"/>
          <w:szCs w:val="22"/>
        </w:rPr>
        <w:t xml:space="preserve"> i </w:t>
      </w:r>
      <w:r w:rsidRPr="00E5029D">
        <w:rPr>
          <w:i/>
          <w:sz w:val="22"/>
          <w:szCs w:val="22"/>
        </w:rPr>
        <w:t>in vivo</w:t>
      </w:r>
      <w:r w:rsidRPr="00E5029D">
        <w:rPr>
          <w:sz w:val="22"/>
          <w:szCs w:val="22"/>
        </w:rPr>
        <w:t xml:space="preserve"> ispitivanja pokazuju da rosuvastatin nije ni inhibitor,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niti induktor izoenzima citohroma P450. Pored toga, rosuvastatin je slab supstrat ovih izoenzima. Zbog toga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se ne očekuju interakcije </w:t>
      </w:r>
      <w:r w:rsidR="00074F21">
        <w:rPr>
          <w:sz w:val="22"/>
          <w:szCs w:val="22"/>
        </w:rPr>
        <w:t>usljed</w:t>
      </w:r>
      <w:r w:rsidRPr="00E5029D">
        <w:rPr>
          <w:sz w:val="22"/>
          <w:szCs w:val="22"/>
        </w:rPr>
        <w:t xml:space="preserve"> metabolizma posredovanog enzimima citohroma P450.</w:t>
      </w:r>
      <w:r w:rsidR="006A3E14">
        <w:rPr>
          <w:sz w:val="22"/>
          <w:szCs w:val="22"/>
        </w:rPr>
        <w:t xml:space="preserve"> </w:t>
      </w:r>
      <w:r w:rsidR="00C23218">
        <w:rPr>
          <w:sz w:val="22"/>
          <w:szCs w:val="22"/>
        </w:rPr>
        <w:t>N</w:t>
      </w:r>
      <w:r w:rsidR="006A3E14">
        <w:rPr>
          <w:sz w:val="22"/>
          <w:szCs w:val="22"/>
        </w:rPr>
        <w:t>ijesu zabilježen</w:t>
      </w:r>
      <w:r w:rsidRPr="00E5029D">
        <w:rPr>
          <w:sz w:val="22"/>
          <w:szCs w:val="22"/>
        </w:rPr>
        <w:t>e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klinički relevantne interakcije između rosuvastatina, flukonazola (inhibitor CYP2C9 i CYP3A4), ili ketokonazola (inhibitor CYP2A6 i CYP3A4).</w:t>
      </w:r>
    </w:p>
    <w:p w14:paraId="7AE986F4" w14:textId="63276312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Pretklinička ispitivanja pokazala su da ezetimib ne indukuje enzime citohroma P450 koji učestvuju u metabolizmu </w:t>
      </w:r>
      <w:r w:rsidR="00074F21">
        <w:rPr>
          <w:sz w:val="22"/>
          <w:szCs w:val="22"/>
        </w:rPr>
        <w:t>ljekova</w:t>
      </w:r>
      <w:r w:rsidRPr="00E5029D">
        <w:rPr>
          <w:sz w:val="22"/>
          <w:szCs w:val="22"/>
        </w:rPr>
        <w:t>.</w:t>
      </w:r>
      <w:r w:rsidR="006A3E14">
        <w:rPr>
          <w:sz w:val="22"/>
          <w:szCs w:val="22"/>
        </w:rPr>
        <w:t xml:space="preserve"> </w:t>
      </w:r>
      <w:r w:rsidR="00731AE8">
        <w:rPr>
          <w:sz w:val="22"/>
          <w:szCs w:val="22"/>
        </w:rPr>
        <w:t>N</w:t>
      </w:r>
      <w:r w:rsidR="006A3E14">
        <w:rPr>
          <w:sz w:val="22"/>
          <w:szCs w:val="22"/>
        </w:rPr>
        <w:t>ijesu zabilježen</w:t>
      </w:r>
      <w:r w:rsidRPr="00E5029D">
        <w:rPr>
          <w:sz w:val="22"/>
          <w:szCs w:val="22"/>
        </w:rPr>
        <w:t xml:space="preserve">e nikakve klinički značajne farmakokinetičke interakcije između ezetimiba i </w:t>
      </w:r>
      <w:r w:rsidR="00074F21">
        <w:rPr>
          <w:sz w:val="22"/>
          <w:szCs w:val="22"/>
        </w:rPr>
        <w:t>ljekova</w:t>
      </w:r>
      <w:r w:rsidRPr="00E5029D">
        <w:rPr>
          <w:sz w:val="22"/>
          <w:szCs w:val="22"/>
        </w:rPr>
        <w:t xml:space="preserve"> koji se metabolišu putem citohroma P450 1A2, 2D6, 2C8, 2C9 i 3A4, ili putem N-acetiltransferaze.</w:t>
      </w:r>
    </w:p>
    <w:p w14:paraId="6BEB3FF7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3B01D45A" w14:textId="77777777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Antagonisti vitamina K:</w:t>
      </w:r>
      <w:r w:rsidRPr="00E5029D">
        <w:rPr>
          <w:sz w:val="22"/>
          <w:szCs w:val="22"/>
        </w:rPr>
        <w:t xml:space="preserve"> Kao i sa drugim inhibitorima HMG-CoA reduktaze, započinjanje terapije, ili</w:t>
      </w:r>
    </w:p>
    <w:p w14:paraId="6CB84AD6" w14:textId="58820D22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titriranje doze rosuvastatina, povećavanjem doza kod pacijenata koji istovremeno primaju i antagoniste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vitamina K (npr. varfarin ili neki drugi kumarinski antikoagulans) može da dovede do povećanja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Međunarodnog normalizovanog odnosa INR-a (engl. </w:t>
      </w:r>
      <w:r w:rsidRPr="00E5029D">
        <w:rPr>
          <w:i/>
          <w:sz w:val="22"/>
          <w:szCs w:val="22"/>
        </w:rPr>
        <w:t>International Normalised Ratio</w:t>
      </w:r>
      <w:r w:rsidRPr="00E5029D">
        <w:rPr>
          <w:sz w:val="22"/>
          <w:szCs w:val="22"/>
        </w:rPr>
        <w:t>). Prekid terapije, ili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titriranje smanjivanjem doze rosuvastatina, mogu da dovedu do smanjenja INR. U tim situacijama poželjno</w:t>
      </w:r>
      <w:r w:rsidR="006E5AF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je odgovarajuće praćenje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INR.</w:t>
      </w:r>
    </w:p>
    <w:p w14:paraId="751BE22F" w14:textId="39DF12F3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U ispitivanju na 12 zdravih odraslih ispitanika muškog pola, istovremena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ezetimiba (10 mg</w:t>
      </w:r>
    </w:p>
    <w:p w14:paraId="2DAD82ED" w14:textId="49F084B0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jednom dnevno) nije imala značajan efekat na bioraspoloživost varfarina i protrombinsko vr</w:t>
      </w:r>
      <w:r w:rsidR="00BC2498">
        <w:rPr>
          <w:sz w:val="22"/>
          <w:szCs w:val="22"/>
        </w:rPr>
        <w:t>ij</w:t>
      </w:r>
      <w:r w:rsidRPr="00E5029D">
        <w:rPr>
          <w:sz w:val="22"/>
          <w:szCs w:val="22"/>
        </w:rPr>
        <w:t>eme. Međutim, u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periodu nakon stavljanja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u promet, bilo je izv</w:t>
      </w:r>
      <w:r w:rsidR="00BC2498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eštaja o povećanim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ima Međunarodnog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ormalizovanog odnosa (engl. </w:t>
      </w:r>
      <w:r w:rsidRPr="00E5029D">
        <w:rPr>
          <w:i/>
          <w:sz w:val="22"/>
          <w:szCs w:val="22"/>
        </w:rPr>
        <w:t>International Normalized Ratio</w:t>
      </w:r>
      <w:r w:rsidRPr="00E5029D">
        <w:rPr>
          <w:sz w:val="22"/>
          <w:szCs w:val="22"/>
        </w:rPr>
        <w:t xml:space="preserve"> – INR) kod pacijenata koji su primali ezetimib kao dodatnu terapiju uz varfarin ili fluindion. Ukoliko se l</w:t>
      </w:r>
      <w:r w:rsidR="00BC2498">
        <w:rPr>
          <w:sz w:val="22"/>
          <w:szCs w:val="22"/>
        </w:rPr>
        <w:t>ij</w:t>
      </w:r>
      <w:r w:rsidRPr="00E5029D">
        <w:rPr>
          <w:sz w:val="22"/>
          <w:szCs w:val="22"/>
        </w:rPr>
        <w:t>ek Rozor daje kao dodatna terapija uz varfarin, neki drugi kumarinski antikoagulans ili fluindion, potrebno je da se obezb</w:t>
      </w:r>
      <w:r w:rsidR="00BC2498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edi odgovarajuće praćenje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INR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4.4).</w:t>
      </w:r>
    </w:p>
    <w:p w14:paraId="74847D1C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58E42763" w14:textId="21E773DE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Oralni kontraceptivi/hormonska supstituciona terapija (HST):</w:t>
      </w:r>
      <w:r w:rsidRPr="00E5029D">
        <w:rPr>
          <w:sz w:val="22"/>
          <w:szCs w:val="22"/>
        </w:rPr>
        <w:t xml:space="preserve"> Istovremena upotreba rosuvastatina i oralnih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kontraceptiva dovela je do povećanja PIK etinil estradiola od 26% i norgestrela od 34%. Ove povećane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koncentracije </w:t>
      </w:r>
      <w:r w:rsidR="00074F21">
        <w:rPr>
          <w:sz w:val="22"/>
          <w:szCs w:val="22"/>
        </w:rPr>
        <w:t>ljekova</w:t>
      </w:r>
      <w:r w:rsidRPr="00E5029D">
        <w:rPr>
          <w:sz w:val="22"/>
          <w:szCs w:val="22"/>
        </w:rPr>
        <w:t xml:space="preserve"> u plazmi treba imati na umu kada se bira doza oralnog kontraceptiva. Nema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raspoloživih farmakokinetičkih podataka za ispitanice koje istovremeno uzimaju rosuvastatin i HST, pa se ne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mogu isključiti slična dejstva. Međutim, ova kombinacija je bila dosta prim</w:t>
      </w:r>
      <w:r w:rsidR="002D4829">
        <w:rPr>
          <w:sz w:val="22"/>
          <w:szCs w:val="22"/>
        </w:rPr>
        <w:t>j</w:t>
      </w:r>
      <w:r w:rsidRPr="00E5029D">
        <w:rPr>
          <w:sz w:val="22"/>
          <w:szCs w:val="22"/>
        </w:rPr>
        <w:t>enjivana na ženama u kliničkim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ispitivanjima i dobro se podnosila.</w:t>
      </w:r>
    </w:p>
    <w:p w14:paraId="662776BD" w14:textId="77A441C2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U kliničkim ispitivanjima interakcija </w:t>
      </w:r>
      <w:r w:rsidR="00074F21">
        <w:rPr>
          <w:sz w:val="22"/>
          <w:szCs w:val="22"/>
        </w:rPr>
        <w:t>ljekova</w:t>
      </w:r>
      <w:r w:rsidRPr="00E5029D">
        <w:rPr>
          <w:sz w:val="22"/>
          <w:szCs w:val="22"/>
        </w:rPr>
        <w:t>, ezetimib nije uticao na farmakokinetiku oralnih kontraceptiva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(etinil estradiol i levonorgestrel).</w:t>
      </w:r>
    </w:p>
    <w:p w14:paraId="130312AB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418AD429" w14:textId="58A99BA6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Holestiramin:</w:t>
      </w:r>
      <w:r w:rsidRPr="00E5029D">
        <w:rPr>
          <w:sz w:val="22"/>
          <w:szCs w:val="22"/>
        </w:rPr>
        <w:t xml:space="preserve"> Istovremena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sa holestiraminom dovela je do pada srednje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površine ispod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krive (PIK) ukupnog ezetimiba (ezetimib + ezetimib glukuronid) za oko 55%. Ako se ezetimib doda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holestiraminu, </w:t>
      </w:r>
      <w:r w:rsidR="00074F21">
        <w:rPr>
          <w:sz w:val="22"/>
          <w:szCs w:val="22"/>
        </w:rPr>
        <w:t>usljed</w:t>
      </w:r>
      <w:r w:rsidRPr="00E5029D">
        <w:rPr>
          <w:sz w:val="22"/>
          <w:szCs w:val="22"/>
        </w:rPr>
        <w:t xml:space="preserve"> njihove interakcije može da dođe do slabijeg dodatnog smanjenja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holesterola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u lipoproteinima niske gustine (LDL-C)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4.2).</w:t>
      </w:r>
    </w:p>
    <w:p w14:paraId="05F9FE18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0AAABCB4" w14:textId="55A31BDC" w:rsidR="0000248E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Statini:</w:t>
      </w:r>
      <w:r w:rsidR="006A3E14">
        <w:rPr>
          <w:sz w:val="22"/>
          <w:szCs w:val="22"/>
        </w:rPr>
        <w:t xml:space="preserve"> </w:t>
      </w:r>
      <w:r w:rsidR="00225643">
        <w:rPr>
          <w:sz w:val="22"/>
          <w:szCs w:val="22"/>
        </w:rPr>
        <w:t>N</w:t>
      </w:r>
      <w:r w:rsidR="006A3E14">
        <w:rPr>
          <w:sz w:val="22"/>
          <w:szCs w:val="22"/>
        </w:rPr>
        <w:t>ijesu zabilježen</w:t>
      </w:r>
      <w:r w:rsidRPr="00E5029D">
        <w:rPr>
          <w:sz w:val="22"/>
          <w:szCs w:val="22"/>
        </w:rPr>
        <w:t xml:space="preserve">e klinički značajne farmakokinetičke interakcije kada je ezetimib </w:t>
      </w:r>
      <w:r w:rsidR="002A7706">
        <w:rPr>
          <w:sz w:val="22"/>
          <w:szCs w:val="22"/>
        </w:rPr>
        <w:t>primjenjivan</w:t>
      </w:r>
      <w:r w:rsidR="00C94E0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istovremeno sa atorvastatinom, simvastatinom, pravastatinom, lovastatinom, fluvastatinom, ili</w:t>
      </w:r>
      <w:r w:rsidR="00C94E0E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rosuvastatinom.</w:t>
      </w:r>
    </w:p>
    <w:p w14:paraId="6D70B49D" w14:textId="6C220376" w:rsidR="002158F1" w:rsidRDefault="002158F1" w:rsidP="003C741B">
      <w:pPr>
        <w:jc w:val="both"/>
        <w:rPr>
          <w:sz w:val="22"/>
          <w:szCs w:val="22"/>
        </w:rPr>
      </w:pPr>
    </w:p>
    <w:p w14:paraId="690F6F78" w14:textId="3ADEDC6D" w:rsidR="00D80C54" w:rsidRPr="00D80C54" w:rsidRDefault="00D80C54" w:rsidP="003C741B">
      <w:pPr>
        <w:jc w:val="both"/>
        <w:rPr>
          <w:sz w:val="22"/>
          <w:szCs w:val="22"/>
        </w:rPr>
      </w:pPr>
      <w:r w:rsidRPr="003C741B">
        <w:rPr>
          <w:i/>
          <w:sz w:val="22"/>
          <w:szCs w:val="22"/>
          <w:u w:val="single"/>
        </w:rPr>
        <w:t>Tikagrelol</w:t>
      </w:r>
      <w:r w:rsidRPr="003C741B">
        <w:rPr>
          <w:sz w:val="22"/>
          <w:szCs w:val="22"/>
          <w:u w:val="single"/>
        </w:rPr>
        <w:t>:</w:t>
      </w:r>
      <w:r w:rsidRPr="00D80C54">
        <w:rPr>
          <w:sz w:val="22"/>
          <w:szCs w:val="22"/>
        </w:rPr>
        <w:t xml:space="preserve"> može uticati na izlučivanje r</w:t>
      </w:r>
      <w:r w:rsidR="00B62E42">
        <w:rPr>
          <w:sz w:val="22"/>
          <w:szCs w:val="22"/>
        </w:rPr>
        <w:t>osu</w:t>
      </w:r>
      <w:r w:rsidRPr="00D80C54">
        <w:rPr>
          <w:sz w:val="22"/>
          <w:szCs w:val="22"/>
        </w:rPr>
        <w:t>vastatina putem bubrega, povećavajući rizik od akumulacije rosuvastatina. Iako tačan mehanizam nije poznat, u nekim slučajevima, istovremena upotreba tikagrelola i rosuvastatina dov</w:t>
      </w:r>
      <w:r w:rsidR="008E7D33">
        <w:rPr>
          <w:sz w:val="22"/>
          <w:szCs w:val="22"/>
        </w:rPr>
        <w:t xml:space="preserve">ela je </w:t>
      </w:r>
      <w:r w:rsidRPr="00D80C54">
        <w:rPr>
          <w:sz w:val="22"/>
          <w:szCs w:val="22"/>
        </w:rPr>
        <w:t>do smanjenja funkcije bubrega, povećanja nivoa CPK i rabdomiolize.</w:t>
      </w:r>
    </w:p>
    <w:p w14:paraId="0F79B427" w14:textId="77777777" w:rsidR="008D4B68" w:rsidRDefault="008D4B68" w:rsidP="003C741B">
      <w:pPr>
        <w:jc w:val="both"/>
        <w:rPr>
          <w:i/>
          <w:sz w:val="22"/>
          <w:szCs w:val="22"/>
          <w:u w:val="single"/>
        </w:rPr>
      </w:pPr>
    </w:p>
    <w:p w14:paraId="0ED658DB" w14:textId="2D00B703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 xml:space="preserve">Drugi </w:t>
      </w:r>
      <w:r w:rsidR="008E18CB">
        <w:rPr>
          <w:i/>
          <w:sz w:val="22"/>
          <w:szCs w:val="22"/>
          <w:u w:val="single"/>
        </w:rPr>
        <w:t>ljekovi</w:t>
      </w:r>
      <w:r w:rsidRPr="00E5029D">
        <w:rPr>
          <w:i/>
          <w:sz w:val="22"/>
          <w:szCs w:val="22"/>
          <w:u w:val="single"/>
        </w:rPr>
        <w:t>:</w:t>
      </w:r>
      <w:r w:rsidRPr="00E5029D">
        <w:rPr>
          <w:sz w:val="22"/>
          <w:szCs w:val="22"/>
        </w:rPr>
        <w:t xml:space="preserve"> Na osnovu podataka iz specifičnih studija interakcije, ne očekuje se klinički relevantna</w:t>
      </w:r>
    </w:p>
    <w:p w14:paraId="501B8307" w14:textId="77777777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interakcija rosuvastatina sa digoksinom.</w:t>
      </w:r>
    </w:p>
    <w:p w14:paraId="4A7E8998" w14:textId="234A65B0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lastRenderedPageBreak/>
        <w:t xml:space="preserve">U kliničkim ispitivanjima interakcija </w:t>
      </w:r>
      <w:r w:rsidR="00074F21">
        <w:rPr>
          <w:sz w:val="22"/>
          <w:szCs w:val="22"/>
        </w:rPr>
        <w:t>ljekova</w:t>
      </w:r>
      <w:r w:rsidRPr="00E5029D">
        <w:rPr>
          <w:sz w:val="22"/>
          <w:szCs w:val="22"/>
        </w:rPr>
        <w:t xml:space="preserve">, tokom istovremene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>, ezetimib nije uticao na</w:t>
      </w:r>
    </w:p>
    <w:p w14:paraId="73717531" w14:textId="77777777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farmakokinetiku dapsona, dekstrometorfana, digoksina, glipizida, tolbutamida ili midazolama. Kada je</w:t>
      </w:r>
    </w:p>
    <w:p w14:paraId="62A9C4FF" w14:textId="21882ADF" w:rsidR="0000248E" w:rsidRPr="00E5029D" w:rsidRDefault="002A7706" w:rsidP="003C741B">
      <w:pPr>
        <w:jc w:val="both"/>
        <w:rPr>
          <w:sz w:val="22"/>
          <w:szCs w:val="22"/>
        </w:rPr>
      </w:pPr>
      <w:r>
        <w:rPr>
          <w:sz w:val="22"/>
          <w:szCs w:val="22"/>
        </w:rPr>
        <w:t>primjenjivan</w:t>
      </w:r>
      <w:r w:rsidR="0000248E" w:rsidRPr="00E5029D">
        <w:rPr>
          <w:sz w:val="22"/>
          <w:szCs w:val="22"/>
        </w:rPr>
        <w:t xml:space="preserve"> istovremeno sa ezetimibom, cimetidin nije uticao na bioraspoloživost ezetimiba.</w:t>
      </w:r>
    </w:p>
    <w:p w14:paraId="25F74F91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41B7B125" w14:textId="77777777" w:rsidR="00772F51" w:rsidRDefault="00772F51" w:rsidP="003C741B">
      <w:pPr>
        <w:jc w:val="both"/>
        <w:rPr>
          <w:b/>
          <w:sz w:val="22"/>
          <w:szCs w:val="22"/>
        </w:rPr>
      </w:pPr>
    </w:p>
    <w:p w14:paraId="1BB43ADB" w14:textId="317A73C2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b/>
          <w:sz w:val="22"/>
          <w:szCs w:val="22"/>
        </w:rPr>
        <w:t>Interakcije koje zahtevaju prilagođavanje doze rosuvastatina (</w:t>
      </w:r>
      <w:r w:rsidR="00600503">
        <w:rPr>
          <w:b/>
          <w:sz w:val="22"/>
          <w:szCs w:val="22"/>
        </w:rPr>
        <w:t>vidjeti</w:t>
      </w:r>
      <w:r w:rsidRPr="00E5029D">
        <w:rPr>
          <w:b/>
          <w:sz w:val="22"/>
          <w:szCs w:val="22"/>
        </w:rPr>
        <w:t xml:space="preserve"> takođe donju Tabelu):</w:t>
      </w:r>
      <w:r w:rsidRPr="00E5029D">
        <w:rPr>
          <w:sz w:val="22"/>
          <w:szCs w:val="22"/>
        </w:rPr>
        <w:t xml:space="preserve"> </w:t>
      </w:r>
    </w:p>
    <w:p w14:paraId="1A757F1A" w14:textId="3A1DB706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U situacijama kada je neophodno prim</w:t>
      </w:r>
      <w:r w:rsidR="00057D6B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eniti rosuvastatin zajedno sa drugim </w:t>
      </w:r>
      <w:r w:rsidR="008E18CB">
        <w:rPr>
          <w:sz w:val="22"/>
          <w:szCs w:val="22"/>
        </w:rPr>
        <w:t>ljekovi</w:t>
      </w:r>
      <w:r w:rsidRPr="00E5029D">
        <w:rPr>
          <w:sz w:val="22"/>
          <w:szCs w:val="22"/>
        </w:rPr>
        <w:t>ma za koje je poznato da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dovode do povećane izloženosti rosuvastatinu, potrebno je prilagođavanje doze rosuvastatina. Ukoliko je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očekivano povećanje izloženosti (PIK) </w:t>
      </w:r>
      <w:r w:rsidR="006E507E">
        <w:rPr>
          <w:sz w:val="22"/>
          <w:szCs w:val="22"/>
        </w:rPr>
        <w:t xml:space="preserve">približno </w:t>
      </w:r>
      <w:r w:rsidRPr="00E5029D">
        <w:rPr>
          <w:sz w:val="22"/>
          <w:szCs w:val="22"/>
        </w:rPr>
        <w:t xml:space="preserve">dva </w:t>
      </w:r>
      <w:r w:rsidR="00B22E60" w:rsidRPr="00E5029D">
        <w:rPr>
          <w:sz w:val="22"/>
          <w:szCs w:val="22"/>
        </w:rPr>
        <w:t xml:space="preserve">puta </w:t>
      </w:r>
      <w:r w:rsidRPr="00E5029D">
        <w:rPr>
          <w:sz w:val="22"/>
          <w:szCs w:val="22"/>
        </w:rPr>
        <w:t>ili više, treba započeti terapiju sa dozom od 5 mg rosuvastatina, jednom dnevno. Maksimalnu dnevnu dozu treba prilagoditi tako da očekivana izloženost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rosuvastatinu ne pređe očekivanu izloženost prilikom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 xml:space="preserve"> dnevne doze od 40 mg rosuvastatina koja se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daje bez </w:t>
      </w:r>
      <w:r w:rsidR="00074F21">
        <w:rPr>
          <w:sz w:val="22"/>
          <w:szCs w:val="22"/>
        </w:rPr>
        <w:t>ljekova</w:t>
      </w:r>
      <w:r w:rsidRPr="00E5029D">
        <w:rPr>
          <w:sz w:val="22"/>
          <w:szCs w:val="22"/>
        </w:rPr>
        <w:t xml:space="preserve"> sa kojima bi rosuvastatin mogao da stupi u interakciju, npr. doza od 20 mg rosuvastatina sa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gemfibrozilom (povećanje 1,9 puta), i doza od 10 mg rosuvastatina sa kombinacijom ritonavir/atazanavir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(povećanje 3,1 puta).</w:t>
      </w:r>
    </w:p>
    <w:p w14:paraId="2899D480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3079F3FD" w14:textId="7083A7EB" w:rsidR="0000248E" w:rsidRPr="00E5029D" w:rsidRDefault="0000248E" w:rsidP="003C741B">
      <w:pPr>
        <w:jc w:val="both"/>
        <w:rPr>
          <w:b/>
          <w:sz w:val="22"/>
          <w:szCs w:val="22"/>
        </w:rPr>
      </w:pPr>
      <w:r w:rsidRPr="00E5029D">
        <w:rPr>
          <w:b/>
          <w:sz w:val="22"/>
          <w:szCs w:val="22"/>
        </w:rPr>
        <w:t xml:space="preserve">Efekti istovremeno </w:t>
      </w:r>
      <w:r w:rsidR="006A3E14">
        <w:rPr>
          <w:b/>
          <w:sz w:val="22"/>
          <w:szCs w:val="22"/>
        </w:rPr>
        <w:t>primijenjen</w:t>
      </w:r>
      <w:r w:rsidRPr="00E5029D">
        <w:rPr>
          <w:b/>
          <w:sz w:val="22"/>
          <w:szCs w:val="22"/>
        </w:rPr>
        <w:t xml:space="preserve">ih </w:t>
      </w:r>
      <w:r w:rsidR="00074F21">
        <w:rPr>
          <w:b/>
          <w:sz w:val="22"/>
          <w:szCs w:val="22"/>
        </w:rPr>
        <w:t>ljekova</w:t>
      </w:r>
      <w:r w:rsidRPr="00E5029D">
        <w:rPr>
          <w:b/>
          <w:sz w:val="22"/>
          <w:szCs w:val="22"/>
        </w:rPr>
        <w:t xml:space="preserve"> na izloženost rosuvastatinu (PIK; po opadajućem redu veličine) iz objavljenih kliničkih studija</w:t>
      </w:r>
    </w:p>
    <w:p w14:paraId="5192014F" w14:textId="77777777" w:rsidR="0000248E" w:rsidRPr="00E5029D" w:rsidRDefault="0000248E" w:rsidP="003C741B">
      <w:pPr>
        <w:jc w:val="both"/>
        <w:rPr>
          <w:b/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2"/>
        <w:gridCol w:w="2410"/>
        <w:gridCol w:w="3151"/>
      </w:tblGrid>
      <w:tr w:rsidR="0000248E" w:rsidRPr="00E5029D" w14:paraId="4D5B8189" w14:textId="77777777" w:rsidTr="006C7367">
        <w:trPr>
          <w:trHeight w:val="228"/>
        </w:trPr>
        <w:tc>
          <w:tcPr>
            <w:tcW w:w="3902" w:type="dxa"/>
          </w:tcPr>
          <w:p w14:paraId="694909B7" w14:textId="26ACCA9D" w:rsidR="0000248E" w:rsidRPr="00E5029D" w:rsidRDefault="0000248E" w:rsidP="003C741B">
            <w:pPr>
              <w:jc w:val="both"/>
              <w:rPr>
                <w:b/>
                <w:sz w:val="22"/>
                <w:szCs w:val="22"/>
              </w:rPr>
            </w:pPr>
            <w:r w:rsidRPr="00E5029D">
              <w:rPr>
                <w:b/>
                <w:sz w:val="22"/>
                <w:szCs w:val="22"/>
              </w:rPr>
              <w:t>Doziranje</w:t>
            </w:r>
            <w:r w:rsidR="006A3E14">
              <w:rPr>
                <w:b/>
                <w:sz w:val="22"/>
                <w:szCs w:val="22"/>
              </w:rPr>
              <w:t xml:space="preserve"> lijeka </w:t>
            </w:r>
            <w:r w:rsidRPr="00E5029D">
              <w:rPr>
                <w:b/>
                <w:sz w:val="22"/>
                <w:szCs w:val="22"/>
              </w:rPr>
              <w:t>sa kojim stupa u</w:t>
            </w:r>
          </w:p>
          <w:p w14:paraId="32069F67" w14:textId="77777777" w:rsidR="0000248E" w:rsidRPr="00E5029D" w:rsidRDefault="0000248E" w:rsidP="003C741B">
            <w:pPr>
              <w:jc w:val="both"/>
              <w:rPr>
                <w:b/>
                <w:sz w:val="22"/>
                <w:szCs w:val="22"/>
              </w:rPr>
            </w:pPr>
            <w:r w:rsidRPr="00E5029D">
              <w:rPr>
                <w:b/>
                <w:sz w:val="22"/>
                <w:szCs w:val="22"/>
              </w:rPr>
              <w:t>interakciju</w:t>
            </w:r>
          </w:p>
        </w:tc>
        <w:tc>
          <w:tcPr>
            <w:tcW w:w="2410" w:type="dxa"/>
          </w:tcPr>
          <w:p w14:paraId="431DF7CD" w14:textId="77777777" w:rsidR="0000248E" w:rsidRPr="00E5029D" w:rsidRDefault="0000248E" w:rsidP="003C741B">
            <w:pPr>
              <w:jc w:val="both"/>
              <w:rPr>
                <w:b/>
                <w:sz w:val="22"/>
                <w:szCs w:val="22"/>
              </w:rPr>
            </w:pPr>
            <w:r w:rsidRPr="00E5029D">
              <w:rPr>
                <w:b/>
                <w:sz w:val="22"/>
                <w:szCs w:val="22"/>
              </w:rPr>
              <w:t>Doziranje rosuvastatina</w:t>
            </w:r>
          </w:p>
        </w:tc>
        <w:tc>
          <w:tcPr>
            <w:tcW w:w="3151" w:type="dxa"/>
          </w:tcPr>
          <w:p w14:paraId="6FB854F4" w14:textId="5F55E15A" w:rsidR="0000248E" w:rsidRPr="00E5029D" w:rsidRDefault="0000248E" w:rsidP="003C741B">
            <w:pPr>
              <w:jc w:val="both"/>
              <w:rPr>
                <w:b/>
                <w:sz w:val="22"/>
                <w:szCs w:val="22"/>
              </w:rPr>
            </w:pPr>
            <w:r w:rsidRPr="00E5029D">
              <w:rPr>
                <w:b/>
                <w:sz w:val="22"/>
                <w:szCs w:val="22"/>
              </w:rPr>
              <w:t>Prom</w:t>
            </w:r>
            <w:r w:rsidR="00826F83">
              <w:rPr>
                <w:b/>
                <w:sz w:val="22"/>
                <w:szCs w:val="22"/>
              </w:rPr>
              <w:t>j</w:t>
            </w:r>
            <w:r w:rsidRPr="00E5029D">
              <w:rPr>
                <w:b/>
                <w:sz w:val="22"/>
                <w:szCs w:val="22"/>
              </w:rPr>
              <w:t xml:space="preserve">ena u </w:t>
            </w:r>
            <w:r w:rsidR="007E5AC4">
              <w:rPr>
                <w:b/>
                <w:sz w:val="22"/>
                <w:szCs w:val="22"/>
              </w:rPr>
              <w:t>vrijednost</w:t>
            </w:r>
            <w:r w:rsidRPr="00E5029D">
              <w:rPr>
                <w:b/>
                <w:sz w:val="22"/>
                <w:szCs w:val="22"/>
              </w:rPr>
              <w:t>i PIK*</w:t>
            </w:r>
          </w:p>
          <w:p w14:paraId="0D9FFA8C" w14:textId="77777777" w:rsidR="0000248E" w:rsidRPr="00E5029D" w:rsidRDefault="0000248E" w:rsidP="003C741B">
            <w:pPr>
              <w:jc w:val="both"/>
              <w:rPr>
                <w:b/>
                <w:sz w:val="22"/>
                <w:szCs w:val="22"/>
              </w:rPr>
            </w:pPr>
            <w:r w:rsidRPr="00E5029D">
              <w:rPr>
                <w:b/>
                <w:sz w:val="22"/>
                <w:szCs w:val="22"/>
              </w:rPr>
              <w:t>rosuvastatina</w:t>
            </w:r>
          </w:p>
        </w:tc>
      </w:tr>
      <w:tr w:rsidR="0000248E" w:rsidRPr="00E5029D" w14:paraId="487824D0" w14:textId="77777777" w:rsidTr="006C7367">
        <w:trPr>
          <w:trHeight w:val="230"/>
        </w:trPr>
        <w:tc>
          <w:tcPr>
            <w:tcW w:w="3902" w:type="dxa"/>
          </w:tcPr>
          <w:p w14:paraId="4A8532D8" w14:textId="5D2F1751" w:rsidR="0000248E" w:rsidRPr="00E5029D" w:rsidRDefault="0000248E" w:rsidP="003C741B">
            <w:pPr>
              <w:jc w:val="both"/>
              <w:rPr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 xml:space="preserve">Ciklosporin 75 mg BID do 200 mg BID, 6 </w:t>
            </w:r>
            <w:r w:rsidR="006A3E14">
              <w:rPr>
                <w:sz w:val="22"/>
                <w:szCs w:val="22"/>
              </w:rPr>
              <w:t>mjesec</w:t>
            </w:r>
            <w:r w:rsidRPr="00E5029D">
              <w:rPr>
                <w:sz w:val="22"/>
                <w:szCs w:val="22"/>
              </w:rPr>
              <w:t>i</w:t>
            </w:r>
          </w:p>
        </w:tc>
        <w:tc>
          <w:tcPr>
            <w:tcW w:w="2410" w:type="dxa"/>
          </w:tcPr>
          <w:p w14:paraId="72FC6CA5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10 mg OD, 10 </w:t>
            </w:r>
            <w:r w:rsidRPr="00E5029D">
              <w:rPr>
                <w:sz w:val="22"/>
                <w:szCs w:val="22"/>
              </w:rPr>
              <w:t>dana</w:t>
            </w:r>
            <w:r w:rsidRPr="00E5029D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3151" w:type="dxa"/>
          </w:tcPr>
          <w:p w14:paraId="58E0F086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7,1 puta ↑ </w:t>
            </w:r>
          </w:p>
        </w:tc>
      </w:tr>
      <w:tr w:rsidR="0000248E" w:rsidRPr="00E5029D" w14:paraId="56936746" w14:textId="77777777" w:rsidTr="006C7367">
        <w:trPr>
          <w:trHeight w:val="229"/>
        </w:trPr>
        <w:tc>
          <w:tcPr>
            <w:tcW w:w="3902" w:type="dxa"/>
          </w:tcPr>
          <w:p w14:paraId="44291B20" w14:textId="77777777" w:rsidR="0000248E" w:rsidRPr="00E5029D" w:rsidRDefault="0000248E" w:rsidP="003C741B">
            <w:pPr>
              <w:jc w:val="both"/>
              <w:rPr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>Atazanavir 300 mg/ritonavir 100 mg, OD, 8 dana</w:t>
            </w:r>
          </w:p>
        </w:tc>
        <w:tc>
          <w:tcPr>
            <w:tcW w:w="2410" w:type="dxa"/>
          </w:tcPr>
          <w:p w14:paraId="7802731D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10 mg, pojedinačna doza </w:t>
            </w:r>
          </w:p>
        </w:tc>
        <w:tc>
          <w:tcPr>
            <w:tcW w:w="3151" w:type="dxa"/>
          </w:tcPr>
          <w:p w14:paraId="11070D3C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3,1 puta ↑ </w:t>
            </w:r>
          </w:p>
        </w:tc>
      </w:tr>
      <w:tr w:rsidR="0000248E" w:rsidRPr="00E5029D" w14:paraId="111174F6" w14:textId="77777777" w:rsidTr="006C7367">
        <w:trPr>
          <w:trHeight w:val="229"/>
        </w:trPr>
        <w:tc>
          <w:tcPr>
            <w:tcW w:w="3902" w:type="dxa"/>
          </w:tcPr>
          <w:p w14:paraId="6FEDD646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Simeprevir 150 mg OD, 7 dana</w:t>
            </w:r>
          </w:p>
        </w:tc>
        <w:tc>
          <w:tcPr>
            <w:tcW w:w="2410" w:type="dxa"/>
          </w:tcPr>
          <w:p w14:paraId="12422036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10 mg, pojedinačna doza</w:t>
            </w:r>
          </w:p>
        </w:tc>
        <w:tc>
          <w:tcPr>
            <w:tcW w:w="3151" w:type="dxa"/>
          </w:tcPr>
          <w:p w14:paraId="0DDA76EF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2,8 puta ↑</w:t>
            </w:r>
          </w:p>
        </w:tc>
      </w:tr>
      <w:tr w:rsidR="0000248E" w:rsidRPr="00E5029D" w14:paraId="28A40571" w14:textId="77777777" w:rsidTr="006C7367">
        <w:trPr>
          <w:trHeight w:val="230"/>
        </w:trPr>
        <w:tc>
          <w:tcPr>
            <w:tcW w:w="3902" w:type="dxa"/>
          </w:tcPr>
          <w:p w14:paraId="65C0B571" w14:textId="77777777" w:rsidR="0000248E" w:rsidRPr="00E5029D" w:rsidRDefault="0000248E" w:rsidP="003C741B">
            <w:pPr>
              <w:jc w:val="both"/>
              <w:rPr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 xml:space="preserve">Lopinavir 400 mg/ritonavir 100 mg BID, 17 dana </w:t>
            </w:r>
          </w:p>
        </w:tc>
        <w:tc>
          <w:tcPr>
            <w:tcW w:w="2410" w:type="dxa"/>
          </w:tcPr>
          <w:p w14:paraId="2CFD931C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20 mg OD, 7 dana </w:t>
            </w:r>
          </w:p>
        </w:tc>
        <w:tc>
          <w:tcPr>
            <w:tcW w:w="3151" w:type="dxa"/>
          </w:tcPr>
          <w:p w14:paraId="17015199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2,1 puta ↑ </w:t>
            </w:r>
          </w:p>
        </w:tc>
      </w:tr>
      <w:tr w:rsidR="0000248E" w:rsidRPr="00E5029D" w14:paraId="070B1283" w14:textId="77777777" w:rsidTr="006C7367">
        <w:trPr>
          <w:trHeight w:val="230"/>
        </w:trPr>
        <w:tc>
          <w:tcPr>
            <w:tcW w:w="3902" w:type="dxa"/>
          </w:tcPr>
          <w:p w14:paraId="377195FF" w14:textId="77777777" w:rsidR="0000248E" w:rsidRPr="00E5029D" w:rsidRDefault="0000248E" w:rsidP="003C741B">
            <w:pPr>
              <w:jc w:val="both"/>
              <w:rPr>
                <w:strike/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</w:rPr>
              <w:t>Velpatasvir 100 mg OD</w:t>
            </w:r>
          </w:p>
        </w:tc>
        <w:tc>
          <w:tcPr>
            <w:tcW w:w="2410" w:type="dxa"/>
          </w:tcPr>
          <w:p w14:paraId="1B94183A" w14:textId="77777777" w:rsidR="0000248E" w:rsidRPr="00E5029D" w:rsidRDefault="0000248E" w:rsidP="003C741B">
            <w:pPr>
              <w:jc w:val="both"/>
              <w:rPr>
                <w:strike/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10 mg, pojedinačna doza</w:t>
            </w:r>
          </w:p>
        </w:tc>
        <w:tc>
          <w:tcPr>
            <w:tcW w:w="3151" w:type="dxa"/>
          </w:tcPr>
          <w:p w14:paraId="1B723294" w14:textId="77777777" w:rsidR="0000248E" w:rsidRPr="00E5029D" w:rsidRDefault="0000248E" w:rsidP="003C741B">
            <w:pPr>
              <w:jc w:val="both"/>
              <w:rPr>
                <w:strike/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2,7 puta↑</w:t>
            </w:r>
          </w:p>
        </w:tc>
      </w:tr>
      <w:tr w:rsidR="0000248E" w:rsidRPr="00E5029D" w14:paraId="2B90091C" w14:textId="77777777" w:rsidTr="006C7367">
        <w:trPr>
          <w:trHeight w:val="230"/>
        </w:trPr>
        <w:tc>
          <w:tcPr>
            <w:tcW w:w="3902" w:type="dxa"/>
          </w:tcPr>
          <w:p w14:paraId="4ED1EEA6" w14:textId="77777777" w:rsidR="0000248E" w:rsidRPr="00E5029D" w:rsidRDefault="0000248E" w:rsidP="003C741B">
            <w:pPr>
              <w:jc w:val="both"/>
              <w:rPr>
                <w:strike/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>Ombitasvir 25 mg/ Paritaprevir 150 mg/ Ritonavir 100 mg OD/ dasabuvir 400 mg BID, 14 dana</w:t>
            </w:r>
          </w:p>
        </w:tc>
        <w:tc>
          <w:tcPr>
            <w:tcW w:w="2410" w:type="dxa"/>
          </w:tcPr>
          <w:p w14:paraId="66BD45F2" w14:textId="77777777" w:rsidR="0000248E" w:rsidRPr="00E5029D" w:rsidRDefault="0000248E" w:rsidP="003C741B">
            <w:pPr>
              <w:jc w:val="both"/>
              <w:rPr>
                <w:strike/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 xml:space="preserve">5 mg, </w:t>
            </w:r>
            <w:r w:rsidRPr="00E5029D">
              <w:rPr>
                <w:sz w:val="22"/>
                <w:szCs w:val="22"/>
                <w:lang w:val="de-DE"/>
              </w:rPr>
              <w:t>pojedinačna doza</w:t>
            </w:r>
          </w:p>
        </w:tc>
        <w:tc>
          <w:tcPr>
            <w:tcW w:w="3151" w:type="dxa"/>
          </w:tcPr>
          <w:p w14:paraId="0631477C" w14:textId="77777777" w:rsidR="0000248E" w:rsidRPr="00E5029D" w:rsidRDefault="0000248E" w:rsidP="003C741B">
            <w:pPr>
              <w:jc w:val="both"/>
              <w:rPr>
                <w:strike/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>2,6 puta ↑</w:t>
            </w:r>
          </w:p>
        </w:tc>
      </w:tr>
      <w:tr w:rsidR="0000248E" w:rsidRPr="00E5029D" w14:paraId="533A38CE" w14:textId="77777777" w:rsidTr="006C7367">
        <w:trPr>
          <w:trHeight w:val="230"/>
        </w:trPr>
        <w:tc>
          <w:tcPr>
            <w:tcW w:w="3902" w:type="dxa"/>
          </w:tcPr>
          <w:p w14:paraId="4FBA3F54" w14:textId="77777777" w:rsidR="0000248E" w:rsidRPr="00E5029D" w:rsidRDefault="0000248E" w:rsidP="003C741B">
            <w:pPr>
              <w:jc w:val="both"/>
              <w:rPr>
                <w:strike/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>Grazoprevir 200 mg/ elbasvir 50 mg OD, 11 dana</w:t>
            </w:r>
          </w:p>
        </w:tc>
        <w:tc>
          <w:tcPr>
            <w:tcW w:w="2410" w:type="dxa"/>
          </w:tcPr>
          <w:p w14:paraId="371C5049" w14:textId="77777777" w:rsidR="0000248E" w:rsidRPr="00E5029D" w:rsidRDefault="0000248E" w:rsidP="003C741B">
            <w:pPr>
              <w:jc w:val="both"/>
              <w:rPr>
                <w:strike/>
                <w:sz w:val="22"/>
                <w:szCs w:val="22"/>
              </w:rPr>
            </w:pPr>
            <w:r w:rsidRPr="00E5029D">
              <w:rPr>
                <w:sz w:val="22"/>
                <w:szCs w:val="22"/>
                <w:lang w:val="de-DE"/>
              </w:rPr>
              <w:t>10 mg, pojedinačna doza</w:t>
            </w:r>
          </w:p>
        </w:tc>
        <w:tc>
          <w:tcPr>
            <w:tcW w:w="3151" w:type="dxa"/>
          </w:tcPr>
          <w:p w14:paraId="5440C108" w14:textId="77777777" w:rsidR="0000248E" w:rsidRPr="00E5029D" w:rsidRDefault="0000248E" w:rsidP="003C741B">
            <w:pPr>
              <w:jc w:val="both"/>
              <w:rPr>
                <w:strike/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>2,3 puta ↑</w:t>
            </w:r>
          </w:p>
        </w:tc>
      </w:tr>
      <w:tr w:rsidR="0000248E" w:rsidRPr="00E5029D" w14:paraId="2D4B158B" w14:textId="77777777" w:rsidTr="006C7367">
        <w:trPr>
          <w:trHeight w:val="230"/>
        </w:trPr>
        <w:tc>
          <w:tcPr>
            <w:tcW w:w="3902" w:type="dxa"/>
          </w:tcPr>
          <w:p w14:paraId="7BA21C10" w14:textId="53A6AE62" w:rsidR="0000248E" w:rsidRPr="00E5029D" w:rsidRDefault="0000248E" w:rsidP="003C741B">
            <w:pPr>
              <w:jc w:val="both"/>
              <w:rPr>
                <w:strike/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>Gle</w:t>
            </w:r>
            <w:r w:rsidR="001077CB">
              <w:rPr>
                <w:sz w:val="22"/>
                <w:szCs w:val="22"/>
              </w:rPr>
              <w:t>k</w:t>
            </w:r>
            <w:r w:rsidRPr="00E5029D">
              <w:rPr>
                <w:sz w:val="22"/>
                <w:szCs w:val="22"/>
              </w:rPr>
              <w:t>aprevir 400 mg/ pibrentasvir 120 mg OD, 7 dana</w:t>
            </w:r>
          </w:p>
        </w:tc>
        <w:tc>
          <w:tcPr>
            <w:tcW w:w="2410" w:type="dxa"/>
          </w:tcPr>
          <w:p w14:paraId="151B7ADD" w14:textId="77777777" w:rsidR="0000248E" w:rsidRPr="00E5029D" w:rsidRDefault="0000248E" w:rsidP="003C741B">
            <w:pPr>
              <w:jc w:val="both"/>
              <w:rPr>
                <w:strike/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>5 mg OD, 7 dana</w:t>
            </w:r>
          </w:p>
        </w:tc>
        <w:tc>
          <w:tcPr>
            <w:tcW w:w="3151" w:type="dxa"/>
          </w:tcPr>
          <w:p w14:paraId="5A453D3C" w14:textId="77777777" w:rsidR="0000248E" w:rsidRPr="00E5029D" w:rsidRDefault="0000248E" w:rsidP="003C741B">
            <w:pPr>
              <w:jc w:val="both"/>
              <w:rPr>
                <w:strike/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>2,2 puta↑</w:t>
            </w:r>
          </w:p>
        </w:tc>
      </w:tr>
      <w:tr w:rsidR="0000248E" w:rsidRPr="00E5029D" w14:paraId="2EFC20B9" w14:textId="77777777" w:rsidTr="006C7367">
        <w:trPr>
          <w:trHeight w:val="230"/>
        </w:trPr>
        <w:tc>
          <w:tcPr>
            <w:tcW w:w="3902" w:type="dxa"/>
          </w:tcPr>
          <w:p w14:paraId="34863ACE" w14:textId="77777777" w:rsidR="0000248E" w:rsidRPr="00E5029D" w:rsidRDefault="0000248E" w:rsidP="003C741B">
            <w:pPr>
              <w:jc w:val="both"/>
              <w:rPr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>Clopidogrel 300 mg udarna doza, a zatim 75 mg na 24 sata</w:t>
            </w:r>
          </w:p>
        </w:tc>
        <w:tc>
          <w:tcPr>
            <w:tcW w:w="2410" w:type="dxa"/>
          </w:tcPr>
          <w:p w14:paraId="1C8ACB5A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</w:rPr>
              <w:t xml:space="preserve">20 mg, </w:t>
            </w:r>
            <w:r w:rsidRPr="00E5029D">
              <w:rPr>
                <w:sz w:val="22"/>
                <w:szCs w:val="22"/>
                <w:lang w:val="de-DE"/>
              </w:rPr>
              <w:t>pojedinačna doza</w:t>
            </w:r>
          </w:p>
        </w:tc>
        <w:tc>
          <w:tcPr>
            <w:tcW w:w="3151" w:type="dxa"/>
          </w:tcPr>
          <w:p w14:paraId="13A7FF5C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</w:rPr>
              <w:t>2 puta ↑</w:t>
            </w:r>
          </w:p>
        </w:tc>
      </w:tr>
      <w:tr w:rsidR="0000248E" w:rsidRPr="00E5029D" w14:paraId="35A92488" w14:textId="77777777" w:rsidTr="006C7367">
        <w:trPr>
          <w:trHeight w:val="230"/>
        </w:trPr>
        <w:tc>
          <w:tcPr>
            <w:tcW w:w="3902" w:type="dxa"/>
          </w:tcPr>
          <w:p w14:paraId="19802ACE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Gemfibrozil 600 mg BID, 7 dana</w:t>
            </w:r>
          </w:p>
        </w:tc>
        <w:tc>
          <w:tcPr>
            <w:tcW w:w="2410" w:type="dxa"/>
          </w:tcPr>
          <w:p w14:paraId="64F6F341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80 mg, pojedinačna doza</w:t>
            </w:r>
          </w:p>
        </w:tc>
        <w:tc>
          <w:tcPr>
            <w:tcW w:w="3151" w:type="dxa"/>
          </w:tcPr>
          <w:p w14:paraId="70DEFD52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1,9 puta ↑ </w:t>
            </w:r>
          </w:p>
        </w:tc>
      </w:tr>
      <w:tr w:rsidR="0000248E" w:rsidRPr="00E5029D" w14:paraId="39116441" w14:textId="77777777" w:rsidTr="006C7367">
        <w:trPr>
          <w:trHeight w:val="229"/>
        </w:trPr>
        <w:tc>
          <w:tcPr>
            <w:tcW w:w="3902" w:type="dxa"/>
          </w:tcPr>
          <w:p w14:paraId="34EB450E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Eltrombopag 75 mg OD, 5 dana</w:t>
            </w:r>
          </w:p>
        </w:tc>
        <w:tc>
          <w:tcPr>
            <w:tcW w:w="2410" w:type="dxa"/>
          </w:tcPr>
          <w:p w14:paraId="40C50726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10 mg, pojedinačna doza</w:t>
            </w:r>
          </w:p>
        </w:tc>
        <w:tc>
          <w:tcPr>
            <w:tcW w:w="3151" w:type="dxa"/>
          </w:tcPr>
          <w:p w14:paraId="61B00735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1,6 puta ↑ </w:t>
            </w:r>
          </w:p>
        </w:tc>
      </w:tr>
      <w:tr w:rsidR="0000248E" w:rsidRPr="00E5029D" w14:paraId="24E400C6" w14:textId="77777777" w:rsidTr="006C7367">
        <w:trPr>
          <w:trHeight w:val="229"/>
        </w:trPr>
        <w:tc>
          <w:tcPr>
            <w:tcW w:w="3902" w:type="dxa"/>
          </w:tcPr>
          <w:p w14:paraId="6B3FEFF2" w14:textId="77777777" w:rsidR="0000248E" w:rsidRPr="00E5029D" w:rsidRDefault="0000248E" w:rsidP="003C741B">
            <w:pPr>
              <w:jc w:val="both"/>
              <w:rPr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 xml:space="preserve">Darunavir 600 mg/ritonavir 100 mg BID, 7 dana </w:t>
            </w:r>
          </w:p>
        </w:tc>
        <w:tc>
          <w:tcPr>
            <w:tcW w:w="2410" w:type="dxa"/>
          </w:tcPr>
          <w:p w14:paraId="0EE50B0E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10 mg OD, 7 dana </w:t>
            </w:r>
          </w:p>
        </w:tc>
        <w:tc>
          <w:tcPr>
            <w:tcW w:w="3151" w:type="dxa"/>
          </w:tcPr>
          <w:p w14:paraId="03E5E08C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1,5 puta ↑ </w:t>
            </w:r>
          </w:p>
        </w:tc>
      </w:tr>
      <w:tr w:rsidR="0000248E" w:rsidRPr="00E5029D" w14:paraId="5650571F" w14:textId="77777777" w:rsidTr="006C7367">
        <w:trPr>
          <w:trHeight w:val="229"/>
        </w:trPr>
        <w:tc>
          <w:tcPr>
            <w:tcW w:w="3902" w:type="dxa"/>
          </w:tcPr>
          <w:p w14:paraId="59FE8252" w14:textId="77777777" w:rsidR="0000248E" w:rsidRPr="00E5029D" w:rsidRDefault="0000248E" w:rsidP="003C741B">
            <w:pPr>
              <w:jc w:val="both"/>
              <w:rPr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>Tipranavir 500 mg/ritonavir 200 mg BID, 11 dana</w:t>
            </w:r>
          </w:p>
        </w:tc>
        <w:tc>
          <w:tcPr>
            <w:tcW w:w="2410" w:type="dxa"/>
          </w:tcPr>
          <w:p w14:paraId="13DA6E31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10 mg, pojedinačna doza</w:t>
            </w:r>
          </w:p>
        </w:tc>
        <w:tc>
          <w:tcPr>
            <w:tcW w:w="3151" w:type="dxa"/>
          </w:tcPr>
          <w:p w14:paraId="3DC1FE94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1,4 puta ↑ </w:t>
            </w:r>
          </w:p>
        </w:tc>
      </w:tr>
      <w:tr w:rsidR="0000248E" w:rsidRPr="00E5029D" w14:paraId="39C7DF1B" w14:textId="77777777" w:rsidTr="006C7367">
        <w:trPr>
          <w:trHeight w:val="102"/>
        </w:trPr>
        <w:tc>
          <w:tcPr>
            <w:tcW w:w="3902" w:type="dxa"/>
          </w:tcPr>
          <w:p w14:paraId="632B148E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Dronedaron 400 mg BID </w:t>
            </w:r>
          </w:p>
        </w:tc>
        <w:tc>
          <w:tcPr>
            <w:tcW w:w="2410" w:type="dxa"/>
          </w:tcPr>
          <w:p w14:paraId="06C072B1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Nije raspoloživo </w:t>
            </w:r>
          </w:p>
        </w:tc>
        <w:tc>
          <w:tcPr>
            <w:tcW w:w="3151" w:type="dxa"/>
          </w:tcPr>
          <w:p w14:paraId="1FFCA162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1,4 puta ↑ </w:t>
            </w:r>
          </w:p>
        </w:tc>
      </w:tr>
      <w:tr w:rsidR="0000248E" w:rsidRPr="00E5029D" w14:paraId="4DFF5B3A" w14:textId="77777777" w:rsidTr="006C7367">
        <w:trPr>
          <w:trHeight w:val="229"/>
        </w:trPr>
        <w:tc>
          <w:tcPr>
            <w:tcW w:w="3902" w:type="dxa"/>
          </w:tcPr>
          <w:p w14:paraId="43C6D29E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Itrakonazol 200 mg OD, 5 dana </w:t>
            </w:r>
          </w:p>
        </w:tc>
        <w:tc>
          <w:tcPr>
            <w:tcW w:w="2410" w:type="dxa"/>
          </w:tcPr>
          <w:p w14:paraId="3D8AE000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10 mg, pojedinačna doza</w:t>
            </w:r>
          </w:p>
        </w:tc>
        <w:tc>
          <w:tcPr>
            <w:tcW w:w="3151" w:type="dxa"/>
          </w:tcPr>
          <w:p w14:paraId="13C0295C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1,4 puta ↑** </w:t>
            </w:r>
          </w:p>
        </w:tc>
      </w:tr>
      <w:tr w:rsidR="0000248E" w:rsidRPr="00E5029D" w14:paraId="000BE5A3" w14:textId="77777777" w:rsidTr="006C7367">
        <w:trPr>
          <w:trHeight w:val="350"/>
        </w:trPr>
        <w:tc>
          <w:tcPr>
            <w:tcW w:w="3902" w:type="dxa"/>
          </w:tcPr>
          <w:p w14:paraId="585BB1BC" w14:textId="77777777" w:rsidR="0000248E" w:rsidRPr="00E5029D" w:rsidRDefault="0000248E" w:rsidP="003C741B">
            <w:pPr>
              <w:jc w:val="both"/>
              <w:rPr>
                <w:sz w:val="22"/>
                <w:szCs w:val="22"/>
              </w:rPr>
            </w:pPr>
            <w:r w:rsidRPr="00E5029D">
              <w:rPr>
                <w:sz w:val="22"/>
                <w:szCs w:val="22"/>
              </w:rPr>
              <w:t xml:space="preserve">Fosamprenavir 700 mg/ritonavir 100 mg BID, 8 dana </w:t>
            </w:r>
          </w:p>
        </w:tc>
        <w:tc>
          <w:tcPr>
            <w:tcW w:w="2410" w:type="dxa"/>
          </w:tcPr>
          <w:p w14:paraId="50BE6831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10 mg, pojedinačna doza</w:t>
            </w:r>
          </w:p>
        </w:tc>
        <w:tc>
          <w:tcPr>
            <w:tcW w:w="3151" w:type="dxa"/>
          </w:tcPr>
          <w:p w14:paraId="33AFF30C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↔ </w:t>
            </w:r>
          </w:p>
        </w:tc>
      </w:tr>
      <w:tr w:rsidR="0000248E" w:rsidRPr="00E5029D" w14:paraId="62F6AA87" w14:textId="77777777" w:rsidTr="006C7367">
        <w:trPr>
          <w:trHeight w:val="102"/>
        </w:trPr>
        <w:tc>
          <w:tcPr>
            <w:tcW w:w="3902" w:type="dxa"/>
          </w:tcPr>
          <w:p w14:paraId="63753C42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Aleglitazar 0,3 mg, 7 dana </w:t>
            </w:r>
          </w:p>
        </w:tc>
        <w:tc>
          <w:tcPr>
            <w:tcW w:w="2410" w:type="dxa"/>
          </w:tcPr>
          <w:p w14:paraId="2395A9F7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40 mg, 7 dana</w:t>
            </w:r>
          </w:p>
        </w:tc>
        <w:tc>
          <w:tcPr>
            <w:tcW w:w="3151" w:type="dxa"/>
          </w:tcPr>
          <w:p w14:paraId="3FA61EC1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↔ </w:t>
            </w:r>
          </w:p>
        </w:tc>
      </w:tr>
      <w:tr w:rsidR="0000248E" w:rsidRPr="00E5029D" w14:paraId="0575E0E5" w14:textId="77777777" w:rsidTr="006C7367">
        <w:trPr>
          <w:trHeight w:val="102"/>
        </w:trPr>
        <w:tc>
          <w:tcPr>
            <w:tcW w:w="3902" w:type="dxa"/>
          </w:tcPr>
          <w:p w14:paraId="2BF8E3C5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Silymarin 140 mg TID, 5 dana </w:t>
            </w:r>
          </w:p>
        </w:tc>
        <w:tc>
          <w:tcPr>
            <w:tcW w:w="2410" w:type="dxa"/>
          </w:tcPr>
          <w:p w14:paraId="0646D788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10 mg, pojedinačna doza</w:t>
            </w:r>
          </w:p>
        </w:tc>
        <w:tc>
          <w:tcPr>
            <w:tcW w:w="3151" w:type="dxa"/>
          </w:tcPr>
          <w:p w14:paraId="66C74383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↔ </w:t>
            </w:r>
          </w:p>
        </w:tc>
      </w:tr>
      <w:tr w:rsidR="0000248E" w:rsidRPr="00E5029D" w14:paraId="5131BAB8" w14:textId="77777777" w:rsidTr="006C7367">
        <w:trPr>
          <w:trHeight w:val="102"/>
        </w:trPr>
        <w:tc>
          <w:tcPr>
            <w:tcW w:w="3902" w:type="dxa"/>
          </w:tcPr>
          <w:p w14:paraId="16415EAD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Fenofibrat 67 mg TID, 7 dana </w:t>
            </w:r>
          </w:p>
        </w:tc>
        <w:tc>
          <w:tcPr>
            <w:tcW w:w="2410" w:type="dxa"/>
          </w:tcPr>
          <w:p w14:paraId="64D9D023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10 mg, 7 dana </w:t>
            </w:r>
          </w:p>
        </w:tc>
        <w:tc>
          <w:tcPr>
            <w:tcW w:w="3151" w:type="dxa"/>
          </w:tcPr>
          <w:p w14:paraId="1312BEE3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↔ </w:t>
            </w:r>
          </w:p>
        </w:tc>
      </w:tr>
      <w:tr w:rsidR="0000248E" w:rsidRPr="00E5029D" w14:paraId="1EFDEA54" w14:textId="77777777" w:rsidTr="006C7367">
        <w:trPr>
          <w:trHeight w:val="102"/>
        </w:trPr>
        <w:tc>
          <w:tcPr>
            <w:tcW w:w="3902" w:type="dxa"/>
          </w:tcPr>
          <w:p w14:paraId="7BD4FDC8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Rifampin 450 mg OD, 7 dana</w:t>
            </w:r>
          </w:p>
        </w:tc>
        <w:tc>
          <w:tcPr>
            <w:tcW w:w="2410" w:type="dxa"/>
          </w:tcPr>
          <w:p w14:paraId="3518D2CD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20 mg, pojedinačna doza</w:t>
            </w:r>
          </w:p>
        </w:tc>
        <w:tc>
          <w:tcPr>
            <w:tcW w:w="3151" w:type="dxa"/>
          </w:tcPr>
          <w:p w14:paraId="145BC0BE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↔ </w:t>
            </w:r>
          </w:p>
        </w:tc>
      </w:tr>
      <w:tr w:rsidR="0000248E" w:rsidRPr="00E5029D" w14:paraId="27917D80" w14:textId="77777777" w:rsidTr="006C7367">
        <w:trPr>
          <w:trHeight w:val="229"/>
        </w:trPr>
        <w:tc>
          <w:tcPr>
            <w:tcW w:w="3902" w:type="dxa"/>
          </w:tcPr>
          <w:p w14:paraId="0E135FED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Ketokonazol 200 mg BID, 7 dana</w:t>
            </w:r>
          </w:p>
        </w:tc>
        <w:tc>
          <w:tcPr>
            <w:tcW w:w="2410" w:type="dxa"/>
          </w:tcPr>
          <w:p w14:paraId="1853BE8C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80 mg, pojedinačna doza</w:t>
            </w:r>
          </w:p>
        </w:tc>
        <w:tc>
          <w:tcPr>
            <w:tcW w:w="3151" w:type="dxa"/>
          </w:tcPr>
          <w:p w14:paraId="5FC1C438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↔ </w:t>
            </w:r>
          </w:p>
        </w:tc>
      </w:tr>
      <w:tr w:rsidR="0000248E" w:rsidRPr="00E5029D" w14:paraId="214278DD" w14:textId="77777777" w:rsidTr="006C7367">
        <w:trPr>
          <w:trHeight w:val="222"/>
        </w:trPr>
        <w:tc>
          <w:tcPr>
            <w:tcW w:w="3902" w:type="dxa"/>
          </w:tcPr>
          <w:p w14:paraId="13885339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Flukonazol 200 mg OD, 11 dana</w:t>
            </w:r>
          </w:p>
        </w:tc>
        <w:tc>
          <w:tcPr>
            <w:tcW w:w="2410" w:type="dxa"/>
          </w:tcPr>
          <w:p w14:paraId="6FED5C44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80 mg, pojedinačna doza</w:t>
            </w:r>
          </w:p>
        </w:tc>
        <w:tc>
          <w:tcPr>
            <w:tcW w:w="3151" w:type="dxa"/>
          </w:tcPr>
          <w:p w14:paraId="7FF97D22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↔ </w:t>
            </w:r>
          </w:p>
        </w:tc>
      </w:tr>
      <w:tr w:rsidR="0000248E" w:rsidRPr="00E5029D" w14:paraId="54EAEF07" w14:textId="77777777" w:rsidTr="006C7367">
        <w:trPr>
          <w:trHeight w:val="222"/>
        </w:trPr>
        <w:tc>
          <w:tcPr>
            <w:tcW w:w="3902" w:type="dxa"/>
          </w:tcPr>
          <w:p w14:paraId="0E238556" w14:textId="0640178A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Er</w:t>
            </w:r>
            <w:r w:rsidR="001077CB">
              <w:rPr>
                <w:sz w:val="22"/>
                <w:szCs w:val="22"/>
                <w:lang w:val="de-DE"/>
              </w:rPr>
              <w:t>i</w:t>
            </w:r>
            <w:r w:rsidRPr="00E5029D">
              <w:rPr>
                <w:sz w:val="22"/>
                <w:szCs w:val="22"/>
                <w:lang w:val="de-DE"/>
              </w:rPr>
              <w:t xml:space="preserve">tromicin 500 mg QID, 7 dana </w:t>
            </w:r>
          </w:p>
        </w:tc>
        <w:tc>
          <w:tcPr>
            <w:tcW w:w="2410" w:type="dxa"/>
          </w:tcPr>
          <w:p w14:paraId="03BEFFEC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80 mg, pojedinačna doza</w:t>
            </w:r>
          </w:p>
        </w:tc>
        <w:tc>
          <w:tcPr>
            <w:tcW w:w="3151" w:type="dxa"/>
          </w:tcPr>
          <w:p w14:paraId="516CC5BE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20% ↓ </w:t>
            </w:r>
          </w:p>
        </w:tc>
      </w:tr>
      <w:tr w:rsidR="0000248E" w:rsidRPr="00E5029D" w14:paraId="73839B2D" w14:textId="77777777" w:rsidTr="006C7367">
        <w:trPr>
          <w:trHeight w:val="222"/>
        </w:trPr>
        <w:tc>
          <w:tcPr>
            <w:tcW w:w="3902" w:type="dxa"/>
          </w:tcPr>
          <w:p w14:paraId="53E0B3B0" w14:textId="1AEE2B06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Bai</w:t>
            </w:r>
            <w:r w:rsidR="001077CB">
              <w:rPr>
                <w:sz w:val="22"/>
                <w:szCs w:val="22"/>
                <w:lang w:val="de-DE"/>
              </w:rPr>
              <w:t>k</w:t>
            </w:r>
            <w:r w:rsidRPr="00E5029D">
              <w:rPr>
                <w:sz w:val="22"/>
                <w:szCs w:val="22"/>
                <w:lang w:val="de-DE"/>
              </w:rPr>
              <w:t xml:space="preserve">alin 50 mg TID, 14 dana </w:t>
            </w:r>
          </w:p>
        </w:tc>
        <w:tc>
          <w:tcPr>
            <w:tcW w:w="2410" w:type="dxa"/>
          </w:tcPr>
          <w:p w14:paraId="6E5A401A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20 mg, pojedinačna doza</w:t>
            </w:r>
          </w:p>
        </w:tc>
        <w:tc>
          <w:tcPr>
            <w:tcW w:w="3151" w:type="dxa"/>
          </w:tcPr>
          <w:p w14:paraId="175A0522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 xml:space="preserve">47% ↓ </w:t>
            </w:r>
          </w:p>
        </w:tc>
      </w:tr>
      <w:tr w:rsidR="0000248E" w:rsidRPr="00E5029D" w14:paraId="358E21A9" w14:textId="77777777" w:rsidTr="006C7367">
        <w:trPr>
          <w:trHeight w:val="222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589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Regorafenib 160 mg OD, 14 dana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19BB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5 mg, pojedinačna doza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747" w14:textId="77777777" w:rsidR="0000248E" w:rsidRPr="00E5029D" w:rsidRDefault="0000248E" w:rsidP="003C741B">
            <w:pPr>
              <w:jc w:val="both"/>
              <w:rPr>
                <w:sz w:val="22"/>
                <w:szCs w:val="22"/>
                <w:lang w:val="de-DE"/>
              </w:rPr>
            </w:pPr>
            <w:r w:rsidRPr="00E5029D">
              <w:rPr>
                <w:sz w:val="22"/>
                <w:szCs w:val="22"/>
                <w:lang w:val="de-DE"/>
              </w:rPr>
              <w:t>3,8 puta↑</w:t>
            </w:r>
          </w:p>
        </w:tc>
      </w:tr>
    </w:tbl>
    <w:p w14:paraId="28AE1555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3975158D" w14:textId="7B3F5636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*Podaci, koji su navedeni kao x-puta </w:t>
      </w:r>
      <w:r w:rsidR="00826F83">
        <w:rPr>
          <w:sz w:val="22"/>
          <w:szCs w:val="22"/>
        </w:rPr>
        <w:t>promjena</w:t>
      </w:r>
      <w:r w:rsidRPr="00E5029D">
        <w:rPr>
          <w:sz w:val="22"/>
          <w:szCs w:val="22"/>
        </w:rPr>
        <w:t>, predstavljaju jednostavan odnos između istovremenog</w:t>
      </w:r>
    </w:p>
    <w:p w14:paraId="39DB8633" w14:textId="21147F7F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davanja rosuvastatina u navedenoj kombinaciji ili </w:t>
      </w:r>
      <w:r w:rsidR="006A3E14">
        <w:rPr>
          <w:sz w:val="22"/>
          <w:szCs w:val="22"/>
        </w:rPr>
        <w:t>primijenjen</w:t>
      </w:r>
      <w:r w:rsidRPr="00E5029D">
        <w:rPr>
          <w:sz w:val="22"/>
          <w:szCs w:val="22"/>
        </w:rPr>
        <w:t>og kao monoterapija. Podaci prikazani kao %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prom</w:t>
      </w:r>
      <w:r w:rsidR="00826F83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ene predstavljaju procentnu razliku u odnosu na monoterapiju rosuvastatinom. </w:t>
      </w:r>
    </w:p>
    <w:p w14:paraId="35B835BC" w14:textId="63D3C06E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Povećanje je označeno kao “↑“, bez prom</w:t>
      </w:r>
      <w:r w:rsidR="001077CB">
        <w:rPr>
          <w:sz w:val="22"/>
          <w:szCs w:val="22"/>
        </w:rPr>
        <w:t>j</w:t>
      </w:r>
      <w:r w:rsidRPr="00E5029D">
        <w:rPr>
          <w:sz w:val="22"/>
          <w:szCs w:val="22"/>
        </w:rPr>
        <w:t>ene kao „↔“, smanjenje kao “↓“</w:t>
      </w:r>
    </w:p>
    <w:p w14:paraId="44B47D03" w14:textId="43B793A0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**Sprovedeno je nekoliko studija interakcija sa različitim dozama rosuvastatina, tabela prikazuje najznačajniji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odnos.</w:t>
      </w:r>
    </w:p>
    <w:p w14:paraId="5B2CB2EE" w14:textId="77777777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OD = jednom dnevno; BID = dva puta dnevno; TID = tri puta dnevno; QID = četiri puta dnevno</w:t>
      </w:r>
    </w:p>
    <w:p w14:paraId="6D8C24D7" w14:textId="77777777" w:rsidR="0000248E" w:rsidRPr="00E5029D" w:rsidRDefault="0000248E" w:rsidP="003C741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0851ABF" w14:textId="77777777" w:rsidR="0072020E" w:rsidRPr="00E5029D" w:rsidRDefault="0072020E" w:rsidP="003C741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E5029D">
        <w:rPr>
          <w:b/>
          <w:bCs/>
          <w:sz w:val="22"/>
          <w:szCs w:val="22"/>
        </w:rPr>
        <w:t xml:space="preserve">4.6. </w:t>
      </w:r>
      <w:r w:rsidR="00480FB1" w:rsidRPr="00E5029D">
        <w:rPr>
          <w:b/>
          <w:bCs/>
          <w:sz w:val="22"/>
          <w:szCs w:val="22"/>
        </w:rPr>
        <w:tab/>
      </w:r>
      <w:r w:rsidR="006D20A5" w:rsidRPr="00E5029D">
        <w:rPr>
          <w:b/>
          <w:sz w:val="22"/>
          <w:szCs w:val="22"/>
          <w:lang w:val="sr-Latn-CS"/>
        </w:rPr>
        <w:t>Plodnost, trudnoća i dojenje</w:t>
      </w:r>
    </w:p>
    <w:p w14:paraId="2D5FE05D" w14:textId="77777777" w:rsidR="002031B3" w:rsidRPr="00E5029D" w:rsidRDefault="002031B3" w:rsidP="003C741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43C981ED" w14:textId="0DD9A123" w:rsidR="0000248E" w:rsidRPr="00E5029D" w:rsidRDefault="0078224C" w:rsidP="003C741B">
      <w:pPr>
        <w:jc w:val="both"/>
        <w:rPr>
          <w:sz w:val="22"/>
          <w:szCs w:val="22"/>
        </w:rPr>
      </w:pPr>
      <w:r>
        <w:rPr>
          <w:sz w:val="22"/>
          <w:szCs w:val="22"/>
        </w:rPr>
        <w:t>Primjena</w:t>
      </w:r>
      <w:r w:rsidR="006A3E14">
        <w:rPr>
          <w:sz w:val="22"/>
          <w:szCs w:val="22"/>
        </w:rPr>
        <w:t xml:space="preserve"> lijeka </w:t>
      </w:r>
      <w:r w:rsidR="0000248E" w:rsidRPr="00E5029D">
        <w:rPr>
          <w:sz w:val="22"/>
          <w:szCs w:val="22"/>
        </w:rPr>
        <w:t xml:space="preserve">Rozor je kontraindikovana u periodu trudnoće i dojenja. </w:t>
      </w:r>
    </w:p>
    <w:p w14:paraId="248A3638" w14:textId="1BA64F24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Žene koje koje su u reproduktivnom periodu, treba da koriste odgovarajuće m</w:t>
      </w:r>
      <w:r w:rsidR="00F96ECA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ere kontracepcije. </w:t>
      </w:r>
    </w:p>
    <w:p w14:paraId="654EC301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199BF434" w14:textId="77777777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  <w:u w:val="single"/>
        </w:rPr>
        <w:t>Trudnoća</w:t>
      </w:r>
      <w:r w:rsidRPr="00E5029D">
        <w:rPr>
          <w:sz w:val="22"/>
          <w:szCs w:val="22"/>
        </w:rPr>
        <w:t xml:space="preserve"> </w:t>
      </w:r>
    </w:p>
    <w:p w14:paraId="0EF42584" w14:textId="77777777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</w:rPr>
        <w:t>Rosuvastatin:</w:t>
      </w:r>
      <w:r w:rsidRPr="00E5029D">
        <w:rPr>
          <w:sz w:val="22"/>
          <w:szCs w:val="22"/>
        </w:rPr>
        <w:t xml:space="preserve"> </w:t>
      </w:r>
    </w:p>
    <w:p w14:paraId="474FFC63" w14:textId="21033554" w:rsidR="0000248E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Budući da su holesterol i drugi produkti biosinteze holesterola neophodni za razvoj fetusa, potencijalni rizik od inhibicije HMG-CoA reduktaze veći je od prednosti </w:t>
      </w:r>
      <w:r w:rsidR="006E507E">
        <w:rPr>
          <w:sz w:val="22"/>
          <w:szCs w:val="22"/>
        </w:rPr>
        <w:t xml:space="preserve">primjene </w:t>
      </w:r>
      <w:r w:rsidRPr="00E5029D">
        <w:rPr>
          <w:sz w:val="22"/>
          <w:szCs w:val="22"/>
        </w:rPr>
        <w:t>terapije tokom trudnoće. Ispitivanja na životinjama dala su ograničene dokaze o reproduktivnoj toksičnosti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5.3). Ukoliko dođe do trudnoće tokom upotrebe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Rozor, terapij</w:t>
      </w:r>
      <w:r w:rsidR="006E507E">
        <w:rPr>
          <w:sz w:val="22"/>
          <w:szCs w:val="22"/>
        </w:rPr>
        <w:t xml:space="preserve">a se mora </w:t>
      </w:r>
      <w:r w:rsidRPr="00E5029D">
        <w:rPr>
          <w:sz w:val="22"/>
          <w:szCs w:val="22"/>
        </w:rPr>
        <w:t xml:space="preserve">odmah prekinuti. </w:t>
      </w:r>
    </w:p>
    <w:p w14:paraId="4631711F" w14:textId="77777777" w:rsidR="00467E45" w:rsidRPr="00E5029D" w:rsidRDefault="00467E45" w:rsidP="003C741B">
      <w:pPr>
        <w:jc w:val="both"/>
        <w:rPr>
          <w:sz w:val="22"/>
          <w:szCs w:val="22"/>
        </w:rPr>
      </w:pPr>
    </w:p>
    <w:p w14:paraId="62924E16" w14:textId="77777777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</w:rPr>
        <w:t>Ezetimib:</w:t>
      </w:r>
      <w:r w:rsidRPr="00E5029D">
        <w:rPr>
          <w:sz w:val="22"/>
          <w:szCs w:val="22"/>
        </w:rPr>
        <w:t xml:space="preserve"> </w:t>
      </w:r>
    </w:p>
    <w:p w14:paraId="21CA7FF4" w14:textId="6D2A9597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Nema raspoloživih kliničkih podataka o prim</w:t>
      </w:r>
      <w:r w:rsidR="00636B6C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eni ezetimiba u periodu trudnoće. </w:t>
      </w:r>
    </w:p>
    <w:p w14:paraId="709B84EF" w14:textId="5F2AD2BE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Ispitivanja ezetimiba na životinjama, </w:t>
      </w:r>
      <w:r w:rsidR="006A3E14">
        <w:rPr>
          <w:sz w:val="22"/>
          <w:szCs w:val="22"/>
        </w:rPr>
        <w:t>primijenjen</w:t>
      </w:r>
      <w:r w:rsidRPr="00E5029D">
        <w:rPr>
          <w:sz w:val="22"/>
          <w:szCs w:val="22"/>
        </w:rPr>
        <w:t>og kao monoterapija,</w:t>
      </w:r>
      <w:r w:rsidR="006A3E14">
        <w:rPr>
          <w:sz w:val="22"/>
          <w:szCs w:val="22"/>
        </w:rPr>
        <w:t xml:space="preserve"> nijesu </w:t>
      </w:r>
      <w:r w:rsidRPr="00E5029D">
        <w:rPr>
          <w:sz w:val="22"/>
          <w:szCs w:val="22"/>
        </w:rPr>
        <w:t>pokazala direktno ili indirektno štetno dejstvo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na trudnoću, razvoj embriona i fetusa, porođaj, ili postnatalni razvoj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5.3). </w:t>
      </w:r>
    </w:p>
    <w:p w14:paraId="1947C81A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71D449E9" w14:textId="77777777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  <w:u w:val="single"/>
        </w:rPr>
        <w:t>Dojenje</w:t>
      </w:r>
      <w:r w:rsidRPr="00E5029D">
        <w:rPr>
          <w:sz w:val="22"/>
          <w:szCs w:val="22"/>
        </w:rPr>
        <w:t xml:space="preserve"> </w:t>
      </w:r>
    </w:p>
    <w:p w14:paraId="78245FE2" w14:textId="77777777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</w:rPr>
        <w:t>Rosuvastatin:</w:t>
      </w:r>
      <w:r w:rsidRPr="00E5029D">
        <w:rPr>
          <w:sz w:val="22"/>
          <w:szCs w:val="22"/>
        </w:rPr>
        <w:t xml:space="preserve"> </w:t>
      </w:r>
    </w:p>
    <w:p w14:paraId="267F6534" w14:textId="6FE909EE" w:rsidR="0000248E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Rosuvastatin se izlučuje u ml</w:t>
      </w:r>
      <w:r w:rsidR="00636B6C">
        <w:rPr>
          <w:sz w:val="22"/>
          <w:szCs w:val="22"/>
        </w:rPr>
        <w:t>ij</w:t>
      </w:r>
      <w:r w:rsidRPr="00E5029D">
        <w:rPr>
          <w:sz w:val="22"/>
          <w:szCs w:val="22"/>
        </w:rPr>
        <w:t>eku ženki pacova. Nema podataka o izlučivanju rosuvastatina u majčino ml</w:t>
      </w:r>
      <w:r w:rsidR="00636B6C">
        <w:rPr>
          <w:sz w:val="22"/>
          <w:szCs w:val="22"/>
        </w:rPr>
        <w:t>ij</w:t>
      </w:r>
      <w:r w:rsidRPr="00E5029D">
        <w:rPr>
          <w:sz w:val="22"/>
          <w:szCs w:val="22"/>
        </w:rPr>
        <w:t>eko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4.3). </w:t>
      </w:r>
    </w:p>
    <w:p w14:paraId="116AD5CE" w14:textId="77777777" w:rsidR="00636B6C" w:rsidRPr="00E5029D" w:rsidRDefault="00636B6C" w:rsidP="003C741B">
      <w:pPr>
        <w:jc w:val="both"/>
        <w:rPr>
          <w:sz w:val="22"/>
          <w:szCs w:val="22"/>
        </w:rPr>
      </w:pPr>
    </w:p>
    <w:p w14:paraId="005A385D" w14:textId="77777777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</w:rPr>
        <w:t>Ezetimib:</w:t>
      </w:r>
      <w:r w:rsidRPr="00E5029D">
        <w:rPr>
          <w:sz w:val="22"/>
          <w:szCs w:val="22"/>
        </w:rPr>
        <w:t xml:space="preserve"> </w:t>
      </w:r>
    </w:p>
    <w:p w14:paraId="2030EB4E" w14:textId="04F78F5B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Ispitivanja na pacovima su pokazala da se ezetimib izlučuje u </w:t>
      </w:r>
      <w:r w:rsidR="00636B6C">
        <w:rPr>
          <w:sz w:val="22"/>
          <w:szCs w:val="22"/>
        </w:rPr>
        <w:t>mlijeko</w:t>
      </w:r>
      <w:r w:rsidRPr="00E5029D">
        <w:rPr>
          <w:sz w:val="22"/>
          <w:szCs w:val="22"/>
        </w:rPr>
        <w:t xml:space="preserve">. Nema podataka o tome da li se ezetimib izlučuje u majčino </w:t>
      </w:r>
      <w:r w:rsidR="00636B6C">
        <w:rPr>
          <w:sz w:val="22"/>
          <w:szCs w:val="22"/>
        </w:rPr>
        <w:t>mlijeko</w:t>
      </w:r>
      <w:r w:rsidRPr="00E5029D">
        <w:rPr>
          <w:sz w:val="22"/>
          <w:szCs w:val="22"/>
        </w:rPr>
        <w:t xml:space="preserve">. </w:t>
      </w:r>
    </w:p>
    <w:p w14:paraId="0FBFC690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4B313F27" w14:textId="77777777" w:rsidR="0000248E" w:rsidRPr="00E5029D" w:rsidRDefault="0000248E" w:rsidP="003C741B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 xml:space="preserve">Plodnost </w:t>
      </w:r>
    </w:p>
    <w:p w14:paraId="3B50A7E4" w14:textId="500F5B32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Nema dostupnih podataka iz kliničkih ispitivanja o uticaju ezetimiba na plodnost kod ljudi. Ezetimib nije pokazao uticaj na plodnost kod mužjaka ili ženki pacova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5.3).</w:t>
      </w:r>
    </w:p>
    <w:p w14:paraId="20459ECF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12D67D43" w14:textId="77777777" w:rsidR="0072020E" w:rsidRPr="00E5029D" w:rsidRDefault="0072020E" w:rsidP="003C741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4.7.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 xml:space="preserve">Uticaj na </w:t>
      </w:r>
      <w:r w:rsidR="002031B3" w:rsidRPr="00E5029D">
        <w:rPr>
          <w:b/>
          <w:bCs/>
          <w:sz w:val="22"/>
          <w:szCs w:val="22"/>
        </w:rPr>
        <w:t xml:space="preserve">sposobnost </w:t>
      </w:r>
      <w:r w:rsidR="00F34554" w:rsidRPr="00E5029D">
        <w:rPr>
          <w:b/>
          <w:bCs/>
          <w:sz w:val="22"/>
          <w:szCs w:val="22"/>
        </w:rPr>
        <w:t>upravljanja vozili</w:t>
      </w:r>
      <w:r w:rsidRPr="00E5029D">
        <w:rPr>
          <w:b/>
          <w:bCs/>
          <w:sz w:val="22"/>
          <w:szCs w:val="22"/>
        </w:rPr>
        <w:t>m</w:t>
      </w:r>
      <w:r w:rsidR="00F34554" w:rsidRPr="00E5029D">
        <w:rPr>
          <w:b/>
          <w:bCs/>
          <w:sz w:val="22"/>
          <w:szCs w:val="22"/>
        </w:rPr>
        <w:t>a</w:t>
      </w:r>
      <w:r w:rsidRPr="00E5029D">
        <w:rPr>
          <w:b/>
          <w:bCs/>
          <w:sz w:val="22"/>
          <w:szCs w:val="22"/>
        </w:rPr>
        <w:t xml:space="preserve"> i </w:t>
      </w:r>
      <w:r w:rsidR="000D3449" w:rsidRPr="00E5029D">
        <w:rPr>
          <w:b/>
          <w:bCs/>
          <w:sz w:val="22"/>
          <w:szCs w:val="22"/>
        </w:rPr>
        <w:t xml:space="preserve">rukovanje </w:t>
      </w:r>
      <w:r w:rsidRPr="00E5029D">
        <w:rPr>
          <w:b/>
          <w:bCs/>
          <w:sz w:val="22"/>
          <w:szCs w:val="22"/>
        </w:rPr>
        <w:t>mašinama</w:t>
      </w:r>
    </w:p>
    <w:p w14:paraId="4990265E" w14:textId="6209CDF3" w:rsidR="0072020E" w:rsidRPr="00E5029D" w:rsidRDefault="0072020E" w:rsidP="003C74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9D14340" w14:textId="3A6F51CA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Lek Rozor nema, ili ima zanemarljiv, uticaj na psihofizičke sposobnosti prilikom upravljanja vozilom ili rukovanja mašinama.</w:t>
      </w:r>
      <w:r w:rsidR="006A3E14">
        <w:rPr>
          <w:sz w:val="22"/>
          <w:szCs w:val="22"/>
        </w:rPr>
        <w:t xml:space="preserve"> </w:t>
      </w:r>
      <w:r w:rsidR="008165F5">
        <w:rPr>
          <w:sz w:val="22"/>
          <w:szCs w:val="22"/>
        </w:rPr>
        <w:t>N</w:t>
      </w:r>
      <w:r w:rsidR="006A3E14">
        <w:rPr>
          <w:sz w:val="22"/>
          <w:szCs w:val="22"/>
        </w:rPr>
        <w:t xml:space="preserve">ijesu </w:t>
      </w:r>
      <w:r w:rsidRPr="00E5029D">
        <w:rPr>
          <w:sz w:val="22"/>
          <w:szCs w:val="22"/>
        </w:rPr>
        <w:t xml:space="preserve">sprovedena ispitivanja o uticaju rosuvastatina i/ili ezetimiba na psihofizičke sposobnosti prilikom upravljanja vozilima i rukovanja mašinama. Međutim, prilikom upravljanja vozilima ili rukovanja mašinama, treba uzeti u obzir da, tokom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 xml:space="preserve"> ovog l</w:t>
      </w:r>
      <w:r w:rsidR="008165F5">
        <w:rPr>
          <w:sz w:val="22"/>
          <w:szCs w:val="22"/>
        </w:rPr>
        <w:t>ij</w:t>
      </w:r>
      <w:r w:rsidRPr="00E5029D">
        <w:rPr>
          <w:sz w:val="22"/>
          <w:szCs w:val="22"/>
        </w:rPr>
        <w:t>eka, može da dođe do pojave vrtoglavice.</w:t>
      </w:r>
    </w:p>
    <w:p w14:paraId="2D2EDC96" w14:textId="77777777" w:rsidR="0000248E" w:rsidRPr="00E5029D" w:rsidRDefault="0000248E" w:rsidP="003C74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A1CB260" w14:textId="77777777" w:rsidR="0072020E" w:rsidRPr="00E5029D" w:rsidRDefault="0072020E" w:rsidP="003C74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4.8.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Neželjena dejstva</w:t>
      </w:r>
    </w:p>
    <w:p w14:paraId="79F3D8A0" w14:textId="033EA8B9" w:rsidR="004E70AD" w:rsidRPr="00E5029D" w:rsidRDefault="004E70AD" w:rsidP="003C74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E26BA1D" w14:textId="74C360F9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Kratak opis bezb</w:t>
      </w:r>
      <w:r w:rsidR="00FF797D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ednosnog profila </w:t>
      </w:r>
    </w:p>
    <w:p w14:paraId="4EBEB576" w14:textId="39F19245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Neželjene reakcije na l</w:t>
      </w:r>
      <w:r w:rsidR="00FF797D">
        <w:rPr>
          <w:sz w:val="22"/>
          <w:szCs w:val="22"/>
        </w:rPr>
        <w:t>ij</w:t>
      </w:r>
      <w:r w:rsidRPr="00E5029D">
        <w:rPr>
          <w:sz w:val="22"/>
          <w:szCs w:val="22"/>
        </w:rPr>
        <w:t>ek koje se javljaju pri</w:t>
      </w:r>
      <w:r w:rsidR="00FF797D">
        <w:rPr>
          <w:sz w:val="22"/>
          <w:szCs w:val="22"/>
        </w:rPr>
        <w:t xml:space="preserve"> primjeni </w:t>
      </w:r>
      <w:r w:rsidRPr="00E5029D">
        <w:rPr>
          <w:sz w:val="22"/>
          <w:szCs w:val="22"/>
        </w:rPr>
        <w:t xml:space="preserve">rosuvastatina su po pravilu blage i prolazne. U kontrolisanim kliničkim ispitivanjima, manje od 4% pacijenata </w:t>
      </w:r>
      <w:r w:rsidR="006A3E14">
        <w:rPr>
          <w:sz w:val="22"/>
          <w:szCs w:val="22"/>
        </w:rPr>
        <w:t>liječenih</w:t>
      </w:r>
      <w:r w:rsidRPr="00E5029D">
        <w:rPr>
          <w:sz w:val="22"/>
          <w:szCs w:val="22"/>
        </w:rPr>
        <w:t xml:space="preserve"> rosuvastatinom prestalo je da uzima terapiju zbog neželjenih reakcija. </w:t>
      </w:r>
    </w:p>
    <w:p w14:paraId="05446249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2B7B4C02" w14:textId="1884FD67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U kliničkim ispitivanjima u trajanju do 112 </w:t>
      </w:r>
      <w:r w:rsidR="00FF797D">
        <w:rPr>
          <w:sz w:val="22"/>
          <w:szCs w:val="22"/>
        </w:rPr>
        <w:t>nedjelja</w:t>
      </w:r>
      <w:r w:rsidRPr="00E5029D">
        <w:rPr>
          <w:sz w:val="22"/>
          <w:szCs w:val="22"/>
        </w:rPr>
        <w:t xml:space="preserve">, ezetimib, u dozi od 10 mg dnevno, </w:t>
      </w:r>
      <w:r w:rsidR="002A7706">
        <w:rPr>
          <w:sz w:val="22"/>
          <w:szCs w:val="22"/>
        </w:rPr>
        <w:t>primjenjivan</w:t>
      </w:r>
      <w:r w:rsidRPr="00E5029D">
        <w:rPr>
          <w:sz w:val="22"/>
          <w:szCs w:val="22"/>
        </w:rPr>
        <w:t xml:space="preserve"> je kao monoterapija kod 2396 pacijenata, ili u kombinaciji sa statinom kod 11308 pacijenata, ili sa </w:t>
      </w:r>
      <w:r w:rsidRPr="00E5029D">
        <w:rPr>
          <w:sz w:val="22"/>
          <w:szCs w:val="22"/>
        </w:rPr>
        <w:lastRenderedPageBreak/>
        <w:t xml:space="preserve">fenofibratom kod 185 pacijenata. Neželjena dejstva su obično bila blaga i prolazna. Ukupna učestalost neželjenih dejstava je bila slična između ezetimiba i placeba. Između ezetimiba i placeba takođe je </w:t>
      </w:r>
      <w:r w:rsidR="00074F21">
        <w:rPr>
          <w:sz w:val="22"/>
          <w:szCs w:val="22"/>
        </w:rPr>
        <w:t>zabilježena</w:t>
      </w:r>
      <w:r w:rsidRPr="00E5029D">
        <w:rPr>
          <w:sz w:val="22"/>
          <w:szCs w:val="22"/>
        </w:rPr>
        <w:t xml:space="preserve"> i slična učestalost prekida učešća u ispitivanju zbog neželjenih dejstava. </w:t>
      </w:r>
    </w:p>
    <w:p w14:paraId="341FB920" w14:textId="77777777" w:rsidR="0000248E" w:rsidRPr="00E5029D" w:rsidRDefault="0000248E" w:rsidP="003C741B">
      <w:pPr>
        <w:jc w:val="both"/>
        <w:rPr>
          <w:sz w:val="22"/>
          <w:szCs w:val="22"/>
        </w:rPr>
      </w:pPr>
    </w:p>
    <w:p w14:paraId="400DD6A5" w14:textId="1000290B" w:rsidR="0000248E" w:rsidRPr="00E5029D" w:rsidRDefault="0000248E" w:rsidP="003C741B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Prema raspoloživim podacima, 1200 pacijenata u kliničkim ispitivanjima je uzimalo kombinovanu terapiju rosuvastatinom i ezetimibom. Na osnovu podataka objavljenih u literaturi, najčešća neželjena dejstva koja su bila povezana sa kombinovanom terapijom rosuvastatinom i ezetimibom kod pacijenata sa hiperholesterolemijom bila su povećane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transaminaza jetre, gastrointestinalni problemi, i bol u mišićima. To su poznata neželjena dejstva ovih aktivnih supstanci. Međutim, ne može da se isključi postojanje farmakodinamske interakcije, u smislu pojave neželjenih dejstava, između rosuvastatina i ezetimiba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5.2).</w:t>
      </w:r>
    </w:p>
    <w:p w14:paraId="6DF03F7F" w14:textId="77777777" w:rsidR="0000248E" w:rsidRPr="00E5029D" w:rsidRDefault="0000248E" w:rsidP="003C741B">
      <w:pPr>
        <w:jc w:val="both"/>
        <w:rPr>
          <w:noProof/>
          <w:sz w:val="22"/>
          <w:szCs w:val="22"/>
          <w:u w:val="single"/>
          <w:lang w:val="hr-HR"/>
        </w:rPr>
      </w:pPr>
    </w:p>
    <w:p w14:paraId="34C0D6E2" w14:textId="77777777" w:rsidR="0000248E" w:rsidRPr="00E5029D" w:rsidRDefault="0000248E" w:rsidP="003C741B">
      <w:pPr>
        <w:jc w:val="both"/>
        <w:rPr>
          <w:noProof/>
          <w:sz w:val="22"/>
          <w:szCs w:val="22"/>
          <w:lang w:val="hr-HR"/>
        </w:rPr>
      </w:pPr>
      <w:r w:rsidRPr="00E5029D">
        <w:rPr>
          <w:noProof/>
          <w:sz w:val="22"/>
          <w:szCs w:val="22"/>
          <w:lang w:val="hr-HR"/>
        </w:rPr>
        <w:t>Tabelarni prikaz neželjenih dejstava</w:t>
      </w:r>
    </w:p>
    <w:p w14:paraId="65007DBB" w14:textId="77777777" w:rsidR="0000248E" w:rsidRPr="00E5029D" w:rsidRDefault="0000248E" w:rsidP="003C741B">
      <w:pPr>
        <w:jc w:val="both"/>
        <w:rPr>
          <w:noProof/>
          <w:sz w:val="22"/>
          <w:szCs w:val="22"/>
          <w:lang w:val="hr-HR"/>
        </w:rPr>
      </w:pPr>
    </w:p>
    <w:p w14:paraId="7AAE18B9" w14:textId="7D40A9E8" w:rsidR="0000248E" w:rsidRPr="00E5029D" w:rsidRDefault="0000248E" w:rsidP="003C741B">
      <w:pPr>
        <w:jc w:val="both"/>
        <w:rPr>
          <w:noProof/>
          <w:sz w:val="22"/>
          <w:szCs w:val="22"/>
          <w:lang w:val="hr-HR"/>
        </w:rPr>
      </w:pPr>
      <w:r w:rsidRPr="00E5029D">
        <w:rPr>
          <w:noProof/>
          <w:sz w:val="22"/>
          <w:szCs w:val="22"/>
          <w:lang w:val="hr-HR"/>
        </w:rPr>
        <w:t xml:space="preserve">Učestalost ispoljavanja neželjenih dejstava rangirana je na </w:t>
      </w:r>
      <w:r w:rsidR="00C40A43">
        <w:rPr>
          <w:noProof/>
          <w:sz w:val="22"/>
          <w:szCs w:val="22"/>
          <w:lang w:val="hr-HR"/>
        </w:rPr>
        <w:t>sljedeći</w:t>
      </w:r>
      <w:r w:rsidRPr="00E5029D">
        <w:rPr>
          <w:noProof/>
          <w:sz w:val="22"/>
          <w:szCs w:val="22"/>
          <w:lang w:val="hr-HR"/>
        </w:rPr>
        <w:t xml:space="preserve"> način: često (≥1/100 i &lt;1/10); povremeno</w:t>
      </w:r>
      <w:r w:rsidR="00C40A4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 xml:space="preserve">(≥1/1000 i &lt;1/100); </w:t>
      </w:r>
      <w:r w:rsidR="006A3E14">
        <w:rPr>
          <w:noProof/>
          <w:sz w:val="22"/>
          <w:szCs w:val="22"/>
          <w:lang w:val="hr-HR"/>
        </w:rPr>
        <w:t>rijetko</w:t>
      </w:r>
      <w:r w:rsidRPr="00E5029D">
        <w:rPr>
          <w:noProof/>
          <w:sz w:val="22"/>
          <w:szCs w:val="22"/>
          <w:lang w:val="hr-HR"/>
        </w:rPr>
        <w:t xml:space="preserve"> (≥1/10000 i &lt;1/1000); veoma </w:t>
      </w:r>
      <w:r w:rsidR="006A3E14">
        <w:rPr>
          <w:noProof/>
          <w:sz w:val="22"/>
          <w:szCs w:val="22"/>
          <w:lang w:val="hr-HR"/>
        </w:rPr>
        <w:t>rijetko</w:t>
      </w:r>
      <w:r w:rsidRPr="00E5029D">
        <w:rPr>
          <w:noProof/>
          <w:sz w:val="22"/>
          <w:szCs w:val="22"/>
          <w:lang w:val="hr-HR"/>
        </w:rPr>
        <w:t xml:space="preserve"> (&lt;1/10000); nepoznato (ne može se proc</w:t>
      </w:r>
      <w:r w:rsidR="00FB442B">
        <w:rPr>
          <w:noProof/>
          <w:sz w:val="22"/>
          <w:szCs w:val="22"/>
          <w:lang w:val="hr-HR"/>
        </w:rPr>
        <w:t>ij</w:t>
      </w:r>
      <w:r w:rsidRPr="00E5029D">
        <w:rPr>
          <w:noProof/>
          <w:sz w:val="22"/>
          <w:szCs w:val="22"/>
          <w:lang w:val="hr-HR"/>
        </w:rPr>
        <w:t>eniti na osnovu dostupnih podataka).</w:t>
      </w:r>
    </w:p>
    <w:p w14:paraId="03F76666" w14:textId="77777777" w:rsidR="0000248E" w:rsidRPr="00E5029D" w:rsidRDefault="0000248E" w:rsidP="003C741B">
      <w:pPr>
        <w:jc w:val="both"/>
        <w:rPr>
          <w:noProof/>
          <w:sz w:val="22"/>
          <w:szCs w:val="22"/>
          <w:u w:val="single"/>
          <w:lang w:val="hr-HR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1620"/>
        <w:gridCol w:w="1586"/>
        <w:gridCol w:w="1559"/>
        <w:gridCol w:w="1805"/>
      </w:tblGrid>
      <w:tr w:rsidR="0000248E" w:rsidRPr="00E5029D" w14:paraId="6226727E" w14:textId="77777777" w:rsidTr="00644B82">
        <w:trPr>
          <w:trHeight w:val="355"/>
        </w:trPr>
        <w:tc>
          <w:tcPr>
            <w:tcW w:w="1728" w:type="dxa"/>
            <w:shd w:val="clear" w:color="auto" w:fill="auto"/>
          </w:tcPr>
          <w:p w14:paraId="45200DD4" w14:textId="77777777" w:rsidR="0000248E" w:rsidRPr="00E5029D" w:rsidRDefault="0000248E" w:rsidP="003C741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color w:val="000000"/>
                <w:sz w:val="22"/>
                <w:szCs w:val="22"/>
              </w:rPr>
              <w:t>MedDRA klasa</w:t>
            </w:r>
          </w:p>
          <w:p w14:paraId="79BF4F62" w14:textId="77777777" w:rsidR="0000248E" w:rsidRPr="00E5029D" w:rsidRDefault="0000248E" w:rsidP="003C74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color w:val="000000"/>
                <w:sz w:val="22"/>
                <w:szCs w:val="22"/>
              </w:rPr>
              <w:t>sistema organa</w:t>
            </w:r>
          </w:p>
        </w:tc>
        <w:tc>
          <w:tcPr>
            <w:tcW w:w="1440" w:type="dxa"/>
            <w:shd w:val="clear" w:color="auto" w:fill="auto"/>
          </w:tcPr>
          <w:p w14:paraId="3B556CD8" w14:textId="77777777" w:rsidR="0000248E" w:rsidRPr="00E5029D" w:rsidRDefault="0000248E" w:rsidP="003C74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Često                  </w:t>
            </w:r>
          </w:p>
        </w:tc>
        <w:tc>
          <w:tcPr>
            <w:tcW w:w="1620" w:type="dxa"/>
            <w:shd w:val="clear" w:color="auto" w:fill="auto"/>
          </w:tcPr>
          <w:p w14:paraId="573D7940" w14:textId="77777777" w:rsidR="0000248E" w:rsidRPr="00E5029D" w:rsidRDefault="0000248E" w:rsidP="003C74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color w:val="000000"/>
                <w:sz w:val="22"/>
                <w:szCs w:val="22"/>
              </w:rPr>
              <w:t>Povremeno</w:t>
            </w:r>
          </w:p>
        </w:tc>
        <w:tc>
          <w:tcPr>
            <w:tcW w:w="1586" w:type="dxa"/>
            <w:shd w:val="clear" w:color="auto" w:fill="auto"/>
          </w:tcPr>
          <w:p w14:paraId="6C6183D5" w14:textId="17D38F39" w:rsidR="0000248E" w:rsidRPr="00E5029D" w:rsidRDefault="006A3E14" w:rsidP="003C74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Rijetko</w:t>
            </w:r>
            <w:r w:rsidR="0000248E" w:rsidRPr="00E5029D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40B7EAF" w14:textId="3142F783" w:rsidR="0000248E" w:rsidRPr="00E5029D" w:rsidRDefault="0000248E" w:rsidP="003C74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Veoma </w:t>
            </w:r>
            <w:r w:rsidR="006A3E14">
              <w:rPr>
                <w:rFonts w:eastAsia="Calibri"/>
                <w:b/>
                <w:bCs/>
                <w:color w:val="000000"/>
                <w:sz w:val="22"/>
                <w:szCs w:val="22"/>
              </w:rPr>
              <w:t>rijetko</w:t>
            </w:r>
          </w:p>
        </w:tc>
        <w:tc>
          <w:tcPr>
            <w:tcW w:w="1805" w:type="dxa"/>
            <w:shd w:val="clear" w:color="auto" w:fill="auto"/>
          </w:tcPr>
          <w:p w14:paraId="7807E699" w14:textId="77777777" w:rsidR="0000248E" w:rsidRPr="00E5029D" w:rsidRDefault="0000248E" w:rsidP="003C74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color w:val="000000"/>
                <w:sz w:val="22"/>
                <w:szCs w:val="22"/>
              </w:rPr>
              <w:t>Nepoznato</w:t>
            </w:r>
          </w:p>
        </w:tc>
      </w:tr>
      <w:tr w:rsidR="0000248E" w:rsidRPr="00E5029D" w14:paraId="098A0853" w14:textId="77777777" w:rsidTr="00644B82">
        <w:tc>
          <w:tcPr>
            <w:tcW w:w="1728" w:type="dxa"/>
            <w:shd w:val="clear" w:color="auto" w:fill="auto"/>
          </w:tcPr>
          <w:p w14:paraId="78032FCD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Poremećaji krvi i limfnog sistema</w:t>
            </w:r>
          </w:p>
        </w:tc>
        <w:tc>
          <w:tcPr>
            <w:tcW w:w="1440" w:type="dxa"/>
            <w:shd w:val="clear" w:color="auto" w:fill="auto"/>
          </w:tcPr>
          <w:p w14:paraId="2D4DB81F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199D3F6D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14:paraId="4096FAFC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trombocitopenija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B276CD6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32873F09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trombocitopenija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5</w:t>
            </w:r>
          </w:p>
        </w:tc>
      </w:tr>
      <w:tr w:rsidR="0000248E" w:rsidRPr="00E5029D" w14:paraId="5854DB89" w14:textId="77777777" w:rsidTr="00644B82">
        <w:tc>
          <w:tcPr>
            <w:tcW w:w="1728" w:type="dxa"/>
            <w:shd w:val="clear" w:color="auto" w:fill="auto"/>
          </w:tcPr>
          <w:p w14:paraId="0F6E19A5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Poremećaji</w:t>
            </w:r>
          </w:p>
          <w:p w14:paraId="0DDA78FB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imunskog sistema</w:t>
            </w:r>
          </w:p>
        </w:tc>
        <w:tc>
          <w:tcPr>
            <w:tcW w:w="1440" w:type="dxa"/>
            <w:shd w:val="clear" w:color="auto" w:fill="auto"/>
          </w:tcPr>
          <w:p w14:paraId="115FE4D7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6DAD3AA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14:paraId="33F6E624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reakcije</w:t>
            </w:r>
          </w:p>
          <w:p w14:paraId="21E7D490" w14:textId="3B607D9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pre</w:t>
            </w:r>
            <w:r w:rsidR="00EA4572">
              <w:rPr>
                <w:rFonts w:eastAsia="Calibri"/>
                <w:sz w:val="22"/>
                <w:szCs w:val="22"/>
              </w:rPr>
              <w:t>osjetljiv</w:t>
            </w:r>
            <w:r w:rsidRPr="00E5029D">
              <w:rPr>
                <w:rFonts w:eastAsia="Calibri"/>
                <w:sz w:val="22"/>
                <w:szCs w:val="22"/>
              </w:rPr>
              <w:t>osti</w:t>
            </w:r>
          </w:p>
          <w:p w14:paraId="55D257DA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uključujući</w:t>
            </w:r>
          </w:p>
          <w:p w14:paraId="0181213D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angioedem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1E4C8DF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50FAF731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reakcije</w:t>
            </w:r>
          </w:p>
          <w:p w14:paraId="46E9F27C" w14:textId="58B37B06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pre</w:t>
            </w:r>
            <w:r w:rsidR="00EA4572">
              <w:rPr>
                <w:rFonts w:eastAsia="Calibri"/>
                <w:sz w:val="22"/>
                <w:szCs w:val="22"/>
              </w:rPr>
              <w:t>osjetljiv</w:t>
            </w:r>
            <w:r w:rsidRPr="00E5029D">
              <w:rPr>
                <w:rFonts w:eastAsia="Calibri"/>
                <w:sz w:val="22"/>
                <w:szCs w:val="22"/>
              </w:rPr>
              <w:t>osti</w:t>
            </w:r>
          </w:p>
          <w:p w14:paraId="1808572A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(uključujući</w:t>
            </w:r>
          </w:p>
          <w:p w14:paraId="1304B11D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raš, urtikariju,</w:t>
            </w:r>
          </w:p>
          <w:p w14:paraId="360B6A9F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anafilaksu i</w:t>
            </w:r>
          </w:p>
          <w:p w14:paraId="6F061B5E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angioedem)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5</w:t>
            </w:r>
          </w:p>
        </w:tc>
      </w:tr>
      <w:tr w:rsidR="0000248E" w:rsidRPr="00E5029D" w14:paraId="46A41F58" w14:textId="77777777" w:rsidTr="00644B82">
        <w:tc>
          <w:tcPr>
            <w:tcW w:w="1728" w:type="dxa"/>
            <w:shd w:val="clear" w:color="auto" w:fill="auto"/>
          </w:tcPr>
          <w:p w14:paraId="4A76F04F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Endokrini</w:t>
            </w:r>
          </w:p>
          <w:p w14:paraId="4FEDE2DC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poremećaji</w:t>
            </w:r>
          </w:p>
        </w:tc>
        <w:tc>
          <w:tcPr>
            <w:tcW w:w="1440" w:type="dxa"/>
            <w:shd w:val="clear" w:color="auto" w:fill="auto"/>
          </w:tcPr>
          <w:p w14:paraId="7424FBCB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dijabetes</w:t>
            </w:r>
          </w:p>
          <w:p w14:paraId="49DC8DD6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 xml:space="preserve">melitus 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1,2</w:t>
            </w:r>
          </w:p>
        </w:tc>
        <w:tc>
          <w:tcPr>
            <w:tcW w:w="1620" w:type="dxa"/>
            <w:shd w:val="clear" w:color="auto" w:fill="auto"/>
          </w:tcPr>
          <w:p w14:paraId="2D3A2495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14:paraId="2A9A39CD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A846DC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47B35A83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248E" w:rsidRPr="00E5029D" w14:paraId="445813E6" w14:textId="77777777" w:rsidTr="00644B82">
        <w:tc>
          <w:tcPr>
            <w:tcW w:w="1728" w:type="dxa"/>
            <w:shd w:val="clear" w:color="auto" w:fill="auto"/>
          </w:tcPr>
          <w:p w14:paraId="21533EF3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Poremećaji</w:t>
            </w:r>
          </w:p>
          <w:p w14:paraId="11A2AACD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metabolizma i</w:t>
            </w:r>
          </w:p>
          <w:p w14:paraId="287F28A1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ishrane</w:t>
            </w:r>
          </w:p>
        </w:tc>
        <w:tc>
          <w:tcPr>
            <w:tcW w:w="1440" w:type="dxa"/>
            <w:shd w:val="clear" w:color="auto" w:fill="auto"/>
          </w:tcPr>
          <w:p w14:paraId="31467E22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861A96D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smanjen apetit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86" w:type="dxa"/>
            <w:shd w:val="clear" w:color="auto" w:fill="auto"/>
          </w:tcPr>
          <w:p w14:paraId="55ADBAF3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4E9DBF7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1AA8447C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248E" w:rsidRPr="00E5029D" w14:paraId="4F21FBE7" w14:textId="77777777" w:rsidTr="00644B82">
        <w:tc>
          <w:tcPr>
            <w:tcW w:w="1728" w:type="dxa"/>
            <w:shd w:val="clear" w:color="auto" w:fill="auto"/>
          </w:tcPr>
          <w:p w14:paraId="02004A02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Psihijatrijski</w:t>
            </w:r>
          </w:p>
          <w:p w14:paraId="6023CDF8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poremećaji</w:t>
            </w:r>
          </w:p>
        </w:tc>
        <w:tc>
          <w:tcPr>
            <w:tcW w:w="1440" w:type="dxa"/>
            <w:shd w:val="clear" w:color="auto" w:fill="auto"/>
          </w:tcPr>
          <w:p w14:paraId="58A1997B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A89F43A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14:paraId="296B282B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F0BDF6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44B42CA8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depresija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2,5</w:t>
            </w:r>
          </w:p>
        </w:tc>
      </w:tr>
      <w:tr w:rsidR="0000248E" w:rsidRPr="00E5029D" w14:paraId="5895BF4D" w14:textId="77777777" w:rsidTr="00EB6B11">
        <w:tc>
          <w:tcPr>
            <w:tcW w:w="1728" w:type="dxa"/>
            <w:shd w:val="clear" w:color="auto" w:fill="auto"/>
          </w:tcPr>
          <w:p w14:paraId="65C9A2B5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Poremećaji</w:t>
            </w:r>
          </w:p>
          <w:p w14:paraId="0373F923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nervnog sistema</w:t>
            </w:r>
          </w:p>
        </w:tc>
        <w:tc>
          <w:tcPr>
            <w:tcW w:w="1440" w:type="dxa"/>
            <w:shd w:val="clear" w:color="auto" w:fill="auto"/>
          </w:tcPr>
          <w:p w14:paraId="13295F1A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glavobolja,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2,4</w:t>
            </w:r>
          </w:p>
          <w:p w14:paraId="35322271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vrtoglavica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5F601327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parestezija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586" w:type="dxa"/>
            <w:shd w:val="clear" w:color="auto" w:fill="auto"/>
          </w:tcPr>
          <w:p w14:paraId="03CBB1AA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86B68DA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polineuropatija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  <w:p w14:paraId="0BA23F7A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gubitak</w:t>
            </w:r>
          </w:p>
          <w:p w14:paraId="6A69DB59" w14:textId="77777777" w:rsidR="0000248E" w:rsidRPr="00E5029D" w:rsidRDefault="0000248E" w:rsidP="00875F08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pamćenja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5" w:type="dxa"/>
            <w:shd w:val="clear" w:color="auto" w:fill="auto"/>
          </w:tcPr>
          <w:p w14:paraId="7A10CFBA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periferna</w:t>
            </w:r>
          </w:p>
          <w:p w14:paraId="71FE1013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neuropatija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3ABB8C55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poremećaji</w:t>
            </w:r>
          </w:p>
          <w:p w14:paraId="48037437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spavanja</w:t>
            </w:r>
          </w:p>
          <w:p w14:paraId="478E4BEE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(uključujući</w:t>
            </w:r>
          </w:p>
          <w:p w14:paraId="3903BD28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nesanicu i</w:t>
            </w:r>
          </w:p>
          <w:p w14:paraId="5F7C7D3F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noćne more)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45DDD24C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vrtoglavica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5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6A96E1EE" w14:textId="77777777" w:rsidR="0000248E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  <w:vertAlign w:val="superscript"/>
              </w:rPr>
            </w:pPr>
            <w:r w:rsidRPr="00E5029D">
              <w:rPr>
                <w:rFonts w:eastAsia="Calibri"/>
                <w:sz w:val="22"/>
                <w:szCs w:val="22"/>
              </w:rPr>
              <w:t>parestezija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5</w:t>
            </w:r>
          </w:p>
          <w:p w14:paraId="69D9837A" w14:textId="41C0E2E8" w:rsidR="00DE314E" w:rsidRPr="00E5029D" w:rsidRDefault="00DE314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6E159E">
              <w:rPr>
                <w:rFonts w:eastAsia="Calibri"/>
                <w:sz w:val="22"/>
                <w:szCs w:val="22"/>
              </w:rPr>
              <w:t>Mijastenija gravis</w:t>
            </w:r>
            <w:r w:rsidRPr="00DE314E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</w:tr>
      <w:tr w:rsidR="00DE314E" w:rsidRPr="00E5029D" w14:paraId="29D5DD22" w14:textId="77777777" w:rsidTr="00EB6B11">
        <w:tc>
          <w:tcPr>
            <w:tcW w:w="1728" w:type="dxa"/>
            <w:shd w:val="clear" w:color="auto" w:fill="auto"/>
          </w:tcPr>
          <w:p w14:paraId="5E81DB28" w14:textId="011845B8" w:rsidR="00DE314E" w:rsidRPr="00E5029D" w:rsidRDefault="00DE314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Poremećaji oka</w:t>
            </w:r>
          </w:p>
        </w:tc>
        <w:tc>
          <w:tcPr>
            <w:tcW w:w="1440" w:type="dxa"/>
            <w:shd w:val="clear" w:color="auto" w:fill="auto"/>
          </w:tcPr>
          <w:p w14:paraId="36C16F3D" w14:textId="77777777" w:rsidR="00DE314E" w:rsidRPr="00E5029D" w:rsidRDefault="00DE314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5D54B9B" w14:textId="77777777" w:rsidR="00DE314E" w:rsidRPr="00E5029D" w:rsidRDefault="00DE314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14:paraId="52C247FC" w14:textId="77777777" w:rsidR="00DE314E" w:rsidRPr="00E5029D" w:rsidRDefault="00DE314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2505DC0" w14:textId="77777777" w:rsidR="00DE314E" w:rsidRPr="00E5029D" w:rsidRDefault="00DE314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60294200" w14:textId="1B2A90AC" w:rsidR="00DE314E" w:rsidRPr="00E5029D" w:rsidRDefault="00DE314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644B82">
              <w:rPr>
                <w:rFonts w:eastAsia="Calibri"/>
                <w:sz w:val="22"/>
                <w:szCs w:val="22"/>
              </w:rPr>
              <w:t>Očna mijastenija</w:t>
            </w:r>
            <w:r w:rsidRPr="00644B82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</w:tr>
      <w:tr w:rsidR="0000248E" w:rsidRPr="00E5029D" w14:paraId="461494AE" w14:textId="77777777" w:rsidTr="00644B82">
        <w:tc>
          <w:tcPr>
            <w:tcW w:w="1728" w:type="dxa"/>
            <w:shd w:val="clear" w:color="auto" w:fill="auto"/>
          </w:tcPr>
          <w:p w14:paraId="03D8E0F7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Vaskularni</w:t>
            </w:r>
          </w:p>
          <w:p w14:paraId="323B1E1A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poremećaji</w:t>
            </w:r>
          </w:p>
        </w:tc>
        <w:tc>
          <w:tcPr>
            <w:tcW w:w="1440" w:type="dxa"/>
            <w:shd w:val="clear" w:color="auto" w:fill="auto"/>
          </w:tcPr>
          <w:p w14:paraId="20FE9208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134F46D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naleti vrućine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  <w:p w14:paraId="4791EA4A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hipertenzija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86" w:type="dxa"/>
            <w:shd w:val="clear" w:color="auto" w:fill="auto"/>
          </w:tcPr>
          <w:p w14:paraId="43D5F9EA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2E16878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1C716AA2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00248E" w:rsidRPr="00E5029D" w14:paraId="36CBD7DC" w14:textId="77777777" w:rsidTr="00644B82">
        <w:tc>
          <w:tcPr>
            <w:tcW w:w="1728" w:type="dxa"/>
            <w:shd w:val="clear" w:color="auto" w:fill="auto"/>
          </w:tcPr>
          <w:p w14:paraId="1E98C129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Respiratorni,</w:t>
            </w:r>
          </w:p>
          <w:p w14:paraId="65371596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torakalni i</w:t>
            </w:r>
          </w:p>
          <w:p w14:paraId="0D441794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medijastinalni</w:t>
            </w:r>
          </w:p>
          <w:p w14:paraId="08493474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poremećaji</w:t>
            </w:r>
          </w:p>
        </w:tc>
        <w:tc>
          <w:tcPr>
            <w:tcW w:w="1440" w:type="dxa"/>
            <w:shd w:val="clear" w:color="auto" w:fill="auto"/>
          </w:tcPr>
          <w:p w14:paraId="7B6DF5A4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4759AED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kašalj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86" w:type="dxa"/>
            <w:shd w:val="clear" w:color="auto" w:fill="auto"/>
          </w:tcPr>
          <w:p w14:paraId="6EC543CC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0C6D0D0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</w:tcPr>
          <w:p w14:paraId="06457E07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kašalj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  <w:p w14:paraId="33008A71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 xml:space="preserve">dispneja 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2,5</w:t>
            </w:r>
          </w:p>
        </w:tc>
      </w:tr>
      <w:tr w:rsidR="0000248E" w:rsidRPr="00E5029D" w14:paraId="5933B730" w14:textId="77777777" w:rsidTr="00644B82">
        <w:tc>
          <w:tcPr>
            <w:tcW w:w="1728" w:type="dxa"/>
            <w:shd w:val="clear" w:color="auto" w:fill="auto"/>
          </w:tcPr>
          <w:p w14:paraId="4524DF59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Gastro-intestinalni</w:t>
            </w:r>
          </w:p>
          <w:p w14:paraId="32993DAA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poremećaji</w:t>
            </w:r>
          </w:p>
        </w:tc>
        <w:tc>
          <w:tcPr>
            <w:tcW w:w="1440" w:type="dxa"/>
            <w:shd w:val="clear" w:color="auto" w:fill="auto"/>
          </w:tcPr>
          <w:p w14:paraId="3BDF5E8D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konstipacija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033B1F1E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mučnina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0E2577DA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abdominalni</w:t>
            </w:r>
          </w:p>
          <w:p w14:paraId="4E739148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  <w:vertAlign w:val="superscript"/>
              </w:rPr>
            </w:pPr>
            <w:r w:rsidRPr="00E5029D">
              <w:rPr>
                <w:rFonts w:eastAsia="Calibri"/>
                <w:sz w:val="22"/>
                <w:szCs w:val="22"/>
              </w:rPr>
              <w:lastRenderedPageBreak/>
              <w:t xml:space="preserve">bol 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 xml:space="preserve">2,3 </w:t>
            </w:r>
          </w:p>
          <w:p w14:paraId="429952A5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  <w:vertAlign w:val="superscript"/>
              </w:rPr>
            </w:pPr>
            <w:r w:rsidRPr="00E5029D">
              <w:rPr>
                <w:rFonts w:eastAsia="Calibri"/>
                <w:sz w:val="22"/>
                <w:szCs w:val="22"/>
              </w:rPr>
              <w:t>dijareja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  <w:p w14:paraId="0F045577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nadutost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344F81AF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lastRenderedPageBreak/>
              <w:t>dispepsija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r w:rsidRPr="00E5029D">
              <w:rPr>
                <w:rFonts w:eastAsia="Calibri"/>
                <w:sz w:val="22"/>
                <w:szCs w:val="22"/>
              </w:rPr>
              <w:t>;</w:t>
            </w:r>
          </w:p>
          <w:p w14:paraId="692EED0A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lastRenderedPageBreak/>
              <w:t>gastro-ezofagealna refluksna</w:t>
            </w:r>
          </w:p>
          <w:p w14:paraId="48488A00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  <w:vertAlign w:val="superscript"/>
              </w:rPr>
            </w:pPr>
            <w:r w:rsidRPr="00E5029D">
              <w:rPr>
                <w:rFonts w:eastAsia="Calibri"/>
                <w:sz w:val="22"/>
                <w:szCs w:val="22"/>
              </w:rPr>
              <w:t>bolest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  <w:p w14:paraId="21E2F506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mučnina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r w:rsidRPr="00E5029D">
              <w:rPr>
                <w:rFonts w:eastAsia="Calibri"/>
                <w:sz w:val="22"/>
                <w:szCs w:val="22"/>
              </w:rPr>
              <w:t>; suva</w:t>
            </w:r>
          </w:p>
          <w:p w14:paraId="1ADEA48C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usta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4</w:t>
            </w:r>
            <w:r w:rsidRPr="00E5029D">
              <w:rPr>
                <w:rFonts w:eastAsia="Calibri"/>
                <w:sz w:val="22"/>
                <w:szCs w:val="22"/>
              </w:rPr>
              <w:t>; gastritis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586" w:type="dxa"/>
            <w:shd w:val="clear" w:color="auto" w:fill="auto"/>
          </w:tcPr>
          <w:p w14:paraId="6A5B5FA1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lastRenderedPageBreak/>
              <w:t>pankreatitis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E709C59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</w:tcPr>
          <w:p w14:paraId="512ADBA5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dijareja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E5029D">
              <w:rPr>
                <w:rFonts w:eastAsia="Calibri"/>
                <w:sz w:val="22"/>
                <w:szCs w:val="22"/>
              </w:rPr>
              <w:t>;</w:t>
            </w:r>
          </w:p>
          <w:p w14:paraId="7439368F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pankreatitis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5</w:t>
            </w:r>
            <w:r w:rsidRPr="00E5029D">
              <w:rPr>
                <w:rFonts w:eastAsia="Calibri"/>
                <w:sz w:val="22"/>
                <w:szCs w:val="22"/>
              </w:rPr>
              <w:t>;</w:t>
            </w:r>
          </w:p>
          <w:p w14:paraId="51EF022F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konstipacija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5</w:t>
            </w:r>
          </w:p>
        </w:tc>
      </w:tr>
      <w:tr w:rsidR="0000248E" w:rsidRPr="00E5029D" w14:paraId="57C4571B" w14:textId="77777777" w:rsidTr="00644B82">
        <w:tc>
          <w:tcPr>
            <w:tcW w:w="1728" w:type="dxa"/>
            <w:shd w:val="clear" w:color="auto" w:fill="auto"/>
          </w:tcPr>
          <w:p w14:paraId="30079EC8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Hepatobilijarni</w:t>
            </w:r>
          </w:p>
          <w:p w14:paraId="2F63192D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poremećaji</w:t>
            </w:r>
          </w:p>
        </w:tc>
        <w:tc>
          <w:tcPr>
            <w:tcW w:w="1440" w:type="dxa"/>
            <w:shd w:val="clear" w:color="auto" w:fill="auto"/>
          </w:tcPr>
          <w:p w14:paraId="07C9A7DF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5E39C54A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14:paraId="69529952" w14:textId="77777777" w:rsidR="0000248E" w:rsidRPr="00E5029D" w:rsidRDefault="0000248E" w:rsidP="00875F08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povećane</w:t>
            </w:r>
          </w:p>
          <w:p w14:paraId="20D0DF25" w14:textId="023F6CBF" w:rsidR="0000248E" w:rsidRPr="00E5029D" w:rsidRDefault="007E5AC4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vrijednost</w:t>
            </w:r>
            <w:r w:rsidR="0000248E" w:rsidRPr="00E5029D">
              <w:rPr>
                <w:rFonts w:eastAsia="Calibri"/>
                <w:sz w:val="22"/>
                <w:szCs w:val="22"/>
              </w:rPr>
              <w:t>i</w:t>
            </w:r>
          </w:p>
          <w:p w14:paraId="080D47B1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  <w:vertAlign w:val="superscript"/>
              </w:rPr>
            </w:pPr>
            <w:r w:rsidRPr="00E5029D">
              <w:rPr>
                <w:rFonts w:eastAsia="Calibri"/>
                <w:sz w:val="22"/>
                <w:szCs w:val="22"/>
              </w:rPr>
              <w:t>transaminaza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  <w:p w14:paraId="626AA6F7" w14:textId="5D701991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jetre</w:t>
            </w:r>
          </w:p>
        </w:tc>
        <w:tc>
          <w:tcPr>
            <w:tcW w:w="1559" w:type="dxa"/>
            <w:shd w:val="clear" w:color="auto" w:fill="auto"/>
          </w:tcPr>
          <w:p w14:paraId="30943CCE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žutica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41ED7F6E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hepatitis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5" w:type="dxa"/>
            <w:shd w:val="clear" w:color="auto" w:fill="auto"/>
          </w:tcPr>
          <w:p w14:paraId="4F3E7B92" w14:textId="77777777" w:rsidR="0000248E" w:rsidRPr="00E5029D" w:rsidRDefault="0000248E" w:rsidP="00875F08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hepatitis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5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2B177D5C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holelitijaza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5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3F310CC9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holecistitis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5</w:t>
            </w:r>
          </w:p>
        </w:tc>
      </w:tr>
      <w:tr w:rsidR="0000248E" w:rsidRPr="00E5029D" w14:paraId="5C7B0CE1" w14:textId="77777777" w:rsidTr="00644B82">
        <w:tc>
          <w:tcPr>
            <w:tcW w:w="1728" w:type="dxa"/>
            <w:shd w:val="clear" w:color="auto" w:fill="auto"/>
          </w:tcPr>
          <w:p w14:paraId="224E89B7" w14:textId="77777777" w:rsidR="0000248E" w:rsidRPr="00E5029D" w:rsidRDefault="0000248E" w:rsidP="00875F08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Poremećaji kože i potkožnog tkiva</w:t>
            </w:r>
          </w:p>
        </w:tc>
        <w:tc>
          <w:tcPr>
            <w:tcW w:w="1440" w:type="dxa"/>
            <w:shd w:val="clear" w:color="auto" w:fill="auto"/>
          </w:tcPr>
          <w:p w14:paraId="3A060254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139429FC" w14:textId="77777777" w:rsidR="0000248E" w:rsidRPr="00E5029D" w:rsidRDefault="0000248E" w:rsidP="00875F08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 xml:space="preserve">pruritus 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2,4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361B5761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 xml:space="preserve">raš 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2,4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51F3EBDE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urtikarija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2,4</w:t>
            </w:r>
          </w:p>
        </w:tc>
        <w:tc>
          <w:tcPr>
            <w:tcW w:w="1586" w:type="dxa"/>
            <w:shd w:val="clear" w:color="auto" w:fill="auto"/>
          </w:tcPr>
          <w:p w14:paraId="15AC965E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114B26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06C8B2AB" w14:textId="2986CBE6" w:rsidR="0000248E" w:rsidRPr="00EB6B11" w:rsidRDefault="00EB6B11" w:rsidP="003C741B">
            <w:pPr>
              <w:jc w:val="both"/>
              <w:rPr>
                <w:rFonts w:eastAsia="Calibri"/>
                <w:iCs/>
                <w:sz w:val="22"/>
                <w:szCs w:val="22"/>
              </w:rPr>
            </w:pPr>
            <w:r w:rsidRPr="00EB6B11">
              <w:rPr>
                <w:rFonts w:eastAsia="Calibri"/>
                <w:iCs/>
                <w:sz w:val="22"/>
                <w:szCs w:val="22"/>
              </w:rPr>
              <w:t>Stevens-Johnsonov sindrom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EB6B11">
              <w:rPr>
                <w:rFonts w:eastAsia="Calibri"/>
                <w:iCs/>
                <w:sz w:val="22"/>
                <w:szCs w:val="22"/>
              </w:rPr>
              <w:t>, multiformni eritem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5</w:t>
            </w:r>
            <w:r w:rsidRPr="00EB6B11">
              <w:rPr>
                <w:rFonts w:eastAsia="Calibri"/>
                <w:iCs/>
                <w:sz w:val="22"/>
                <w:szCs w:val="22"/>
              </w:rPr>
              <w:t>,</w:t>
            </w:r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Pr="00EB6B11">
              <w:rPr>
                <w:rFonts w:eastAsia="Calibri"/>
                <w:iCs/>
                <w:sz w:val="22"/>
                <w:szCs w:val="22"/>
              </w:rPr>
              <w:t>reakcija na lijek s eozinofilijom i sistemskim simptomima (DRESS)</w:t>
            </w:r>
          </w:p>
        </w:tc>
      </w:tr>
      <w:tr w:rsidR="0000248E" w:rsidRPr="00E5029D" w14:paraId="6A67D30B" w14:textId="77777777" w:rsidTr="00644B82">
        <w:tc>
          <w:tcPr>
            <w:tcW w:w="1728" w:type="dxa"/>
            <w:shd w:val="clear" w:color="auto" w:fill="auto"/>
          </w:tcPr>
          <w:p w14:paraId="77AA0DDE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Poremećaji</w:t>
            </w:r>
          </w:p>
          <w:p w14:paraId="51E300B2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mišićno-koštanog</w:t>
            </w:r>
          </w:p>
          <w:p w14:paraId="0C9EA108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sistema i vezivnog</w:t>
            </w:r>
          </w:p>
          <w:p w14:paraId="3C9466C1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tkiva</w:t>
            </w:r>
          </w:p>
        </w:tc>
        <w:tc>
          <w:tcPr>
            <w:tcW w:w="1440" w:type="dxa"/>
            <w:shd w:val="clear" w:color="auto" w:fill="auto"/>
          </w:tcPr>
          <w:p w14:paraId="2436D275" w14:textId="391E8450" w:rsidR="0000248E" w:rsidRPr="00E5029D" w:rsidRDefault="001832BF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mialgija</w:t>
            </w:r>
            <w:r w:rsidR="0000248E" w:rsidRPr="00E5029D">
              <w:rPr>
                <w:rFonts w:eastAsia="Calibri"/>
                <w:sz w:val="22"/>
                <w:szCs w:val="22"/>
                <w:vertAlign w:val="superscript"/>
              </w:rPr>
              <w:t>2,4</w:t>
            </w:r>
          </w:p>
        </w:tc>
        <w:tc>
          <w:tcPr>
            <w:tcW w:w="1620" w:type="dxa"/>
            <w:shd w:val="clear" w:color="auto" w:fill="auto"/>
          </w:tcPr>
          <w:p w14:paraId="66348BE6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artralgija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r w:rsidRPr="00E5029D">
              <w:rPr>
                <w:rFonts w:eastAsia="Calibri"/>
                <w:sz w:val="22"/>
                <w:szCs w:val="22"/>
              </w:rPr>
              <w:t>;</w:t>
            </w:r>
          </w:p>
          <w:p w14:paraId="08E7D5A4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mišićni spazam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r w:rsidRPr="00E5029D">
              <w:rPr>
                <w:rFonts w:eastAsia="Calibri"/>
                <w:sz w:val="22"/>
                <w:szCs w:val="22"/>
              </w:rPr>
              <w:t>; bol u vratu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r w:rsidRPr="00E5029D"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40FBBB50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bol u leđima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4</w:t>
            </w:r>
            <w:r w:rsidRPr="00E5029D">
              <w:rPr>
                <w:rFonts w:eastAsia="Calibri"/>
                <w:sz w:val="22"/>
                <w:szCs w:val="22"/>
              </w:rPr>
              <w:t>;</w:t>
            </w:r>
          </w:p>
          <w:p w14:paraId="144DB186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mišićna slabost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4</w:t>
            </w:r>
            <w:r w:rsidRPr="00E5029D">
              <w:rPr>
                <w:rFonts w:eastAsia="Calibri"/>
                <w:sz w:val="22"/>
                <w:szCs w:val="22"/>
              </w:rPr>
              <w:t>; bol u ekstremitetima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586" w:type="dxa"/>
            <w:shd w:val="clear" w:color="auto" w:fill="auto"/>
          </w:tcPr>
          <w:p w14:paraId="03A023C5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miopatija</w:t>
            </w:r>
          </w:p>
          <w:p w14:paraId="3188F7FC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(uključujući</w:t>
            </w:r>
          </w:p>
          <w:p w14:paraId="6E9E59F5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miozitis)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4BEDFCEC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rabdomioliza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040CB963" w14:textId="77777777" w:rsidR="0000248E" w:rsidRPr="00E5029D" w:rsidRDefault="0000248E" w:rsidP="00875F08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 xml:space="preserve">simptomi slični lupusu, praćeni rupturama mišića </w:t>
            </w:r>
          </w:p>
        </w:tc>
        <w:tc>
          <w:tcPr>
            <w:tcW w:w="1559" w:type="dxa"/>
            <w:shd w:val="clear" w:color="auto" w:fill="auto"/>
          </w:tcPr>
          <w:p w14:paraId="7730C1A9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artralgija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5" w:type="dxa"/>
            <w:shd w:val="clear" w:color="auto" w:fill="auto"/>
          </w:tcPr>
          <w:p w14:paraId="2482612A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Imunski-posredovana</w:t>
            </w:r>
          </w:p>
          <w:p w14:paraId="38D649F8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nekrotizirajuća miopatija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0FE09466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poremećaji</w:t>
            </w:r>
          </w:p>
          <w:p w14:paraId="35A9D6B6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tetive koji se</w:t>
            </w:r>
          </w:p>
          <w:p w14:paraId="4F9ECCCC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ponekad</w:t>
            </w:r>
          </w:p>
          <w:p w14:paraId="1A238F4B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komplikuju</w:t>
            </w:r>
          </w:p>
          <w:p w14:paraId="613CFA46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rupturom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7B5A3AF3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artralgija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5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4F946F37" w14:textId="635767E1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mialgija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5</w:t>
            </w:r>
            <w:r w:rsidRPr="00E5029D">
              <w:rPr>
                <w:rFonts w:eastAsia="Calibri"/>
                <w:sz w:val="22"/>
                <w:szCs w:val="22"/>
              </w:rPr>
              <w:t>;</w:t>
            </w:r>
          </w:p>
          <w:p w14:paraId="0C7B8366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miopatija/</w:t>
            </w:r>
          </w:p>
          <w:p w14:paraId="796CA18A" w14:textId="77777777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rabdomioliza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5</w:t>
            </w:r>
          </w:p>
          <w:p w14:paraId="577E21E5" w14:textId="583ADF3F" w:rsidR="0000248E" w:rsidRPr="00E5029D" w:rsidRDefault="0000248E">
            <w:pPr>
              <w:pStyle w:val="Default"/>
              <w:tabs>
                <w:tab w:val="left" w:pos="28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(</w:t>
            </w:r>
            <w:r w:rsidR="00600503">
              <w:rPr>
                <w:rFonts w:eastAsia="Calibri"/>
                <w:sz w:val="22"/>
                <w:szCs w:val="22"/>
              </w:rPr>
              <w:t>vidjeti</w:t>
            </w:r>
          </w:p>
          <w:p w14:paraId="1CE72449" w14:textId="47F9549B" w:rsidR="0000248E" w:rsidRPr="00E5029D" w:rsidRDefault="00A80C70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odjeljak</w:t>
            </w:r>
            <w:r w:rsidR="0000248E" w:rsidRPr="00E5029D">
              <w:rPr>
                <w:rFonts w:eastAsia="Calibri"/>
                <w:sz w:val="22"/>
                <w:szCs w:val="22"/>
              </w:rPr>
              <w:t xml:space="preserve"> 4.4)</w:t>
            </w:r>
          </w:p>
        </w:tc>
      </w:tr>
      <w:tr w:rsidR="0000248E" w:rsidRPr="00E5029D" w14:paraId="68BDA5E7" w14:textId="77777777" w:rsidTr="00644B82">
        <w:tc>
          <w:tcPr>
            <w:tcW w:w="1728" w:type="dxa"/>
            <w:shd w:val="clear" w:color="auto" w:fill="auto"/>
          </w:tcPr>
          <w:p w14:paraId="2C1834A0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Poremećaji</w:t>
            </w:r>
          </w:p>
          <w:p w14:paraId="37A7999E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bubrega i</w:t>
            </w:r>
          </w:p>
          <w:p w14:paraId="33BD24C8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urinarnog sistema</w:t>
            </w:r>
          </w:p>
        </w:tc>
        <w:tc>
          <w:tcPr>
            <w:tcW w:w="1440" w:type="dxa"/>
            <w:shd w:val="clear" w:color="auto" w:fill="auto"/>
          </w:tcPr>
          <w:p w14:paraId="7A38D316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106E94D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14:paraId="313127FC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5D7AF82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hematurija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5" w:type="dxa"/>
            <w:shd w:val="clear" w:color="auto" w:fill="auto"/>
          </w:tcPr>
          <w:p w14:paraId="7E74FA92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248E" w:rsidRPr="00E5029D" w14:paraId="0EDE6321" w14:textId="77777777" w:rsidTr="00644B82">
        <w:tc>
          <w:tcPr>
            <w:tcW w:w="1728" w:type="dxa"/>
            <w:shd w:val="clear" w:color="auto" w:fill="auto"/>
          </w:tcPr>
          <w:p w14:paraId="4E927A4A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Poremećaji</w:t>
            </w:r>
          </w:p>
          <w:p w14:paraId="646A4DE2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reproduktivnog</w:t>
            </w:r>
          </w:p>
          <w:p w14:paraId="5D3AD19C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sistema i dojki</w:t>
            </w:r>
          </w:p>
        </w:tc>
        <w:tc>
          <w:tcPr>
            <w:tcW w:w="1440" w:type="dxa"/>
            <w:shd w:val="clear" w:color="auto" w:fill="auto"/>
          </w:tcPr>
          <w:p w14:paraId="348826D6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646BF6C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14:paraId="432A90B7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2FE8755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ginekomastija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5" w:type="dxa"/>
            <w:shd w:val="clear" w:color="auto" w:fill="auto"/>
          </w:tcPr>
          <w:p w14:paraId="099AB354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248E" w:rsidRPr="00E5029D" w14:paraId="15FA8F9C" w14:textId="77777777" w:rsidTr="00644B82">
        <w:tc>
          <w:tcPr>
            <w:tcW w:w="1728" w:type="dxa"/>
            <w:shd w:val="clear" w:color="auto" w:fill="auto"/>
          </w:tcPr>
          <w:p w14:paraId="048D92A7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Opšti poremećaji i</w:t>
            </w:r>
          </w:p>
          <w:p w14:paraId="463FC3D8" w14:textId="0D446DD4" w:rsidR="0000248E" w:rsidRPr="00E5029D" w:rsidRDefault="0000248E" w:rsidP="003C741B">
            <w:pPr>
              <w:pStyle w:val="Default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>reakcije na m</w:t>
            </w:r>
            <w:r w:rsidR="006D5E3D">
              <w:rPr>
                <w:rFonts w:eastAsia="Calibri"/>
                <w:b/>
                <w:bCs/>
                <w:sz w:val="22"/>
                <w:szCs w:val="22"/>
              </w:rPr>
              <w:t>j</w:t>
            </w:r>
            <w:r w:rsidRPr="00E5029D">
              <w:rPr>
                <w:rFonts w:eastAsia="Calibri"/>
                <w:b/>
                <w:bCs/>
                <w:sz w:val="22"/>
                <w:szCs w:val="22"/>
              </w:rPr>
              <w:t>estu</w:t>
            </w:r>
          </w:p>
          <w:p w14:paraId="174911A2" w14:textId="6B5E5152" w:rsidR="0000248E" w:rsidRPr="00E5029D" w:rsidRDefault="006A3E14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primjene</w:t>
            </w:r>
          </w:p>
        </w:tc>
        <w:tc>
          <w:tcPr>
            <w:tcW w:w="1440" w:type="dxa"/>
            <w:shd w:val="clear" w:color="auto" w:fill="auto"/>
          </w:tcPr>
          <w:p w14:paraId="6936375C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astenija,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  <w:p w14:paraId="5FF6B783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umor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16EAF66F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bol u grudima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4EFCABA2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bol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r w:rsidRPr="00E5029D">
              <w:rPr>
                <w:rFonts w:eastAsia="Calibri"/>
                <w:sz w:val="22"/>
                <w:szCs w:val="22"/>
              </w:rPr>
              <w:t>,</w:t>
            </w:r>
          </w:p>
          <w:p w14:paraId="4E513F3E" w14:textId="094655C2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astenija</w:t>
            </w:r>
            <w:r w:rsidR="006D5E3D" w:rsidRPr="00E5029D">
              <w:rPr>
                <w:rFonts w:eastAsia="Calibri"/>
                <w:sz w:val="22"/>
                <w:szCs w:val="22"/>
                <w:vertAlign w:val="superscript"/>
              </w:rPr>
              <w:t>4</w:t>
            </w:r>
            <w:r w:rsidRPr="00E5029D">
              <w:rPr>
                <w:rFonts w:eastAsia="Calibri"/>
                <w:sz w:val="22"/>
                <w:szCs w:val="22"/>
              </w:rPr>
              <w:t>;</w:t>
            </w:r>
          </w:p>
          <w:p w14:paraId="1DF3FBC0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periferni edem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586" w:type="dxa"/>
            <w:shd w:val="clear" w:color="auto" w:fill="auto"/>
          </w:tcPr>
          <w:p w14:paraId="340DC081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9EE0D8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002478FE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edem,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2</w:t>
            </w:r>
          </w:p>
          <w:p w14:paraId="1242566F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  <w:vertAlign w:val="superscript"/>
              </w:rPr>
            </w:pPr>
            <w:r w:rsidRPr="00E5029D">
              <w:rPr>
                <w:rFonts w:eastAsia="Calibri"/>
                <w:sz w:val="22"/>
                <w:szCs w:val="22"/>
              </w:rPr>
              <w:t>astenija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5</w:t>
            </w:r>
          </w:p>
        </w:tc>
      </w:tr>
      <w:tr w:rsidR="0000248E" w:rsidRPr="00E5029D" w14:paraId="501DB89D" w14:textId="77777777" w:rsidTr="00644B82">
        <w:tc>
          <w:tcPr>
            <w:tcW w:w="1728" w:type="dxa"/>
            <w:shd w:val="clear" w:color="auto" w:fill="auto"/>
          </w:tcPr>
          <w:p w14:paraId="486406C1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b/>
                <w:bCs/>
                <w:sz w:val="22"/>
                <w:szCs w:val="22"/>
              </w:rPr>
              <w:t xml:space="preserve">Ispitivanja  </w:t>
            </w:r>
          </w:p>
        </w:tc>
        <w:tc>
          <w:tcPr>
            <w:tcW w:w="1440" w:type="dxa"/>
            <w:shd w:val="clear" w:color="auto" w:fill="auto"/>
          </w:tcPr>
          <w:p w14:paraId="4063F728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povećane</w:t>
            </w:r>
          </w:p>
          <w:p w14:paraId="560D8BCD" w14:textId="46BC1C43" w:rsidR="0000248E" w:rsidRPr="00E5029D" w:rsidRDefault="007E5AC4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vrijednost</w:t>
            </w:r>
            <w:r w:rsidR="0000248E" w:rsidRPr="00E5029D">
              <w:rPr>
                <w:rFonts w:eastAsia="Calibri"/>
                <w:sz w:val="22"/>
                <w:szCs w:val="22"/>
              </w:rPr>
              <w:t>i ALT</w:t>
            </w:r>
          </w:p>
          <w:p w14:paraId="60B9223E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i/ili AST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39639E82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povećane</w:t>
            </w:r>
          </w:p>
          <w:p w14:paraId="3DC4AFFA" w14:textId="23E8A56C" w:rsidR="0000248E" w:rsidRPr="00E5029D" w:rsidRDefault="007E5AC4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vrijednost</w:t>
            </w:r>
            <w:r w:rsidR="0000248E" w:rsidRPr="00E5029D">
              <w:rPr>
                <w:rFonts w:eastAsia="Calibri"/>
                <w:sz w:val="22"/>
                <w:szCs w:val="22"/>
              </w:rPr>
              <w:t>i ALT</w:t>
            </w:r>
          </w:p>
          <w:p w14:paraId="3D9FDFFD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i/ili AST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r w:rsidRPr="00E5029D">
              <w:rPr>
                <w:rFonts w:eastAsia="Calibri"/>
                <w:sz w:val="22"/>
                <w:szCs w:val="22"/>
              </w:rPr>
              <w:t>;</w:t>
            </w:r>
          </w:p>
          <w:p w14:paraId="3960C267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povećane</w:t>
            </w:r>
          </w:p>
          <w:p w14:paraId="500ECCEC" w14:textId="51194BD5" w:rsidR="0000248E" w:rsidRPr="00E5029D" w:rsidRDefault="007E5AC4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vrijednost</w:t>
            </w:r>
            <w:r w:rsidR="0000248E" w:rsidRPr="00E5029D">
              <w:rPr>
                <w:rFonts w:eastAsia="Calibri"/>
                <w:sz w:val="22"/>
                <w:szCs w:val="22"/>
              </w:rPr>
              <w:t>i CPK</w:t>
            </w:r>
          </w:p>
          <w:p w14:paraId="62D85BF7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u krvi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r w:rsidRPr="00E5029D">
              <w:rPr>
                <w:rFonts w:eastAsia="Calibri"/>
                <w:sz w:val="22"/>
                <w:szCs w:val="22"/>
              </w:rPr>
              <w:t>;</w:t>
            </w:r>
          </w:p>
          <w:p w14:paraId="214CF198" w14:textId="71A2FE0B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 xml:space="preserve">povećane </w:t>
            </w:r>
            <w:r w:rsidR="007E5AC4">
              <w:rPr>
                <w:rFonts w:eastAsia="Calibri"/>
                <w:sz w:val="22"/>
                <w:szCs w:val="22"/>
              </w:rPr>
              <w:t>vrijednost</w:t>
            </w:r>
            <w:r w:rsidRPr="00E5029D">
              <w:rPr>
                <w:rFonts w:eastAsia="Calibri"/>
                <w:sz w:val="22"/>
                <w:szCs w:val="22"/>
              </w:rPr>
              <w:t>i</w:t>
            </w:r>
          </w:p>
          <w:p w14:paraId="1FDD060C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lastRenderedPageBreak/>
              <w:t>gamaglutamil-transferaze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  <w:r w:rsidRPr="00E5029D">
              <w:rPr>
                <w:rFonts w:eastAsia="Calibri"/>
                <w:sz w:val="22"/>
                <w:szCs w:val="22"/>
              </w:rPr>
              <w:t>;</w:t>
            </w:r>
          </w:p>
          <w:p w14:paraId="7D3DCC2D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abnormalni</w:t>
            </w:r>
          </w:p>
          <w:p w14:paraId="46CEE809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rezultati</w:t>
            </w:r>
          </w:p>
          <w:p w14:paraId="0AA88DB2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laboratorijskih</w:t>
            </w:r>
          </w:p>
          <w:p w14:paraId="7F5092C4" w14:textId="77777777" w:rsidR="0000248E" w:rsidRPr="00E5029D" w:rsidRDefault="0000248E" w:rsidP="003C741B">
            <w:pPr>
              <w:pStyle w:val="Default"/>
              <w:jc w:val="both"/>
              <w:rPr>
                <w:rFonts w:eastAsia="Calibri"/>
                <w:sz w:val="22"/>
                <w:szCs w:val="22"/>
              </w:rPr>
            </w:pPr>
            <w:r w:rsidRPr="00E5029D">
              <w:rPr>
                <w:rFonts w:eastAsia="Calibri"/>
                <w:sz w:val="22"/>
                <w:szCs w:val="22"/>
              </w:rPr>
              <w:t>testova funkcije jetre</w:t>
            </w:r>
            <w:r w:rsidRPr="00E5029D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86" w:type="dxa"/>
            <w:shd w:val="clear" w:color="auto" w:fill="auto"/>
          </w:tcPr>
          <w:p w14:paraId="511B76BE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A73583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1ABC97F1" w14:textId="77777777" w:rsidR="0000248E" w:rsidRPr="00E5029D" w:rsidRDefault="0000248E" w:rsidP="003C741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F40447E" w14:textId="77777777" w:rsidR="0000248E" w:rsidRPr="00E5029D" w:rsidRDefault="0000248E" w:rsidP="003C741B">
      <w:pPr>
        <w:jc w:val="both"/>
        <w:rPr>
          <w:noProof/>
          <w:sz w:val="22"/>
          <w:szCs w:val="22"/>
          <w:u w:val="single"/>
          <w:lang w:val="hr-HR"/>
        </w:rPr>
      </w:pPr>
    </w:p>
    <w:p w14:paraId="5D00B1CD" w14:textId="5C1BEDB1" w:rsidR="0000248E" w:rsidRPr="00E5029D" w:rsidRDefault="0000248E" w:rsidP="003C741B">
      <w:pPr>
        <w:jc w:val="both"/>
        <w:rPr>
          <w:noProof/>
          <w:sz w:val="22"/>
          <w:szCs w:val="22"/>
          <w:lang w:val="hr-HR"/>
        </w:rPr>
      </w:pPr>
      <w:r w:rsidRPr="00E5029D">
        <w:rPr>
          <w:noProof/>
          <w:sz w:val="22"/>
          <w:szCs w:val="22"/>
          <w:vertAlign w:val="superscript"/>
          <w:lang w:val="hr-HR"/>
        </w:rPr>
        <w:t>1</w:t>
      </w:r>
      <w:r w:rsidRPr="00E5029D">
        <w:rPr>
          <w:noProof/>
          <w:sz w:val="22"/>
          <w:szCs w:val="22"/>
          <w:lang w:val="hr-HR"/>
        </w:rPr>
        <w:t>Učestalost će zavisiti od prisustva ili odsustva faktora rizika (</w:t>
      </w:r>
      <w:r w:rsidR="007E5AC4">
        <w:rPr>
          <w:noProof/>
          <w:sz w:val="22"/>
          <w:szCs w:val="22"/>
          <w:lang w:val="hr-HR"/>
        </w:rPr>
        <w:t>vrijednost</w:t>
      </w:r>
      <w:r w:rsidRPr="00E5029D">
        <w:rPr>
          <w:noProof/>
          <w:sz w:val="22"/>
          <w:szCs w:val="22"/>
          <w:lang w:val="hr-HR"/>
        </w:rPr>
        <w:t xml:space="preserve"> glukoze u krvi </w:t>
      </w:r>
      <w:r w:rsidR="00404445">
        <w:rPr>
          <w:noProof/>
          <w:sz w:val="22"/>
          <w:szCs w:val="22"/>
          <w:lang w:val="hr-HR"/>
        </w:rPr>
        <w:t>natašte</w:t>
      </w:r>
      <w:r w:rsidRPr="00E5029D">
        <w:rPr>
          <w:noProof/>
          <w:sz w:val="22"/>
          <w:szCs w:val="22"/>
          <w:lang w:val="hr-HR"/>
        </w:rPr>
        <w:t xml:space="preserve"> ≥ 5,6 </w:t>
      </w:r>
      <w:r w:rsidR="00C2217E">
        <w:rPr>
          <w:noProof/>
          <w:sz w:val="22"/>
          <w:szCs w:val="22"/>
          <w:lang w:val="hr-HR"/>
        </w:rPr>
        <w:t>mmol/l</w:t>
      </w:r>
      <w:r w:rsidRPr="00E5029D">
        <w:rPr>
          <w:noProof/>
          <w:sz w:val="22"/>
          <w:szCs w:val="22"/>
          <w:lang w:val="hr-HR"/>
        </w:rPr>
        <w:t>,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>BMI &gt; 30 kg/m</w:t>
      </w:r>
      <w:r w:rsidRPr="00E5029D">
        <w:rPr>
          <w:noProof/>
          <w:sz w:val="22"/>
          <w:szCs w:val="22"/>
          <w:vertAlign w:val="superscript"/>
          <w:lang w:val="hr-HR"/>
        </w:rPr>
        <w:t>2</w:t>
      </w:r>
      <w:r w:rsidRPr="00E5029D">
        <w:rPr>
          <w:noProof/>
          <w:sz w:val="22"/>
          <w:szCs w:val="22"/>
          <w:lang w:val="hr-HR"/>
        </w:rPr>
        <w:t xml:space="preserve">, povećane </w:t>
      </w:r>
      <w:r w:rsidR="007E5AC4">
        <w:rPr>
          <w:noProof/>
          <w:sz w:val="22"/>
          <w:szCs w:val="22"/>
          <w:lang w:val="hr-HR"/>
        </w:rPr>
        <w:t>vrijednost</w:t>
      </w:r>
      <w:r w:rsidRPr="00E5029D">
        <w:rPr>
          <w:noProof/>
          <w:sz w:val="22"/>
          <w:szCs w:val="22"/>
          <w:lang w:val="hr-HR"/>
        </w:rPr>
        <w:t>i triglicerida, hipertenzija u anamnezi) – za rosuvastatin.</w:t>
      </w:r>
    </w:p>
    <w:p w14:paraId="0A0743C5" w14:textId="0BEB294D" w:rsidR="0000248E" w:rsidRPr="00E5029D" w:rsidRDefault="0000248E" w:rsidP="00104BF6">
      <w:pPr>
        <w:jc w:val="both"/>
        <w:rPr>
          <w:noProof/>
          <w:sz w:val="22"/>
          <w:szCs w:val="22"/>
          <w:lang w:val="hr-HR"/>
        </w:rPr>
      </w:pPr>
      <w:r w:rsidRPr="00E5029D">
        <w:rPr>
          <w:noProof/>
          <w:sz w:val="22"/>
          <w:szCs w:val="22"/>
          <w:vertAlign w:val="superscript"/>
          <w:lang w:val="hr-HR"/>
        </w:rPr>
        <w:t>2</w:t>
      </w:r>
      <w:r w:rsidRPr="00E5029D">
        <w:rPr>
          <w:noProof/>
          <w:sz w:val="22"/>
          <w:szCs w:val="22"/>
          <w:lang w:val="hr-HR"/>
        </w:rPr>
        <w:t>Profil neželjenih reakcija za rosuvastatin na osnovu podataka iz kliničkih studija i opsežnog iskustva nakon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>stavljanja</w:t>
      </w:r>
      <w:r w:rsidR="006A3E14">
        <w:rPr>
          <w:noProof/>
          <w:sz w:val="22"/>
          <w:szCs w:val="22"/>
          <w:lang w:val="hr-HR"/>
        </w:rPr>
        <w:t xml:space="preserve"> lijeka </w:t>
      </w:r>
      <w:r w:rsidRPr="00E5029D">
        <w:rPr>
          <w:noProof/>
          <w:sz w:val="22"/>
          <w:szCs w:val="22"/>
          <w:lang w:val="hr-HR"/>
        </w:rPr>
        <w:t>u promet.</w:t>
      </w:r>
    </w:p>
    <w:p w14:paraId="7944ADCD" w14:textId="536448B6" w:rsidR="0000248E" w:rsidRPr="00E5029D" w:rsidRDefault="0000248E" w:rsidP="00104BF6">
      <w:pPr>
        <w:jc w:val="both"/>
        <w:rPr>
          <w:noProof/>
          <w:sz w:val="22"/>
          <w:szCs w:val="22"/>
          <w:lang w:val="hr-HR"/>
        </w:rPr>
      </w:pPr>
      <w:r w:rsidRPr="00E5029D">
        <w:rPr>
          <w:noProof/>
          <w:sz w:val="22"/>
          <w:szCs w:val="22"/>
          <w:vertAlign w:val="superscript"/>
          <w:lang w:val="hr-HR"/>
        </w:rPr>
        <w:t>3</w:t>
      </w:r>
      <w:r w:rsidRPr="00E5029D">
        <w:rPr>
          <w:noProof/>
          <w:sz w:val="22"/>
          <w:szCs w:val="22"/>
          <w:lang w:val="hr-HR"/>
        </w:rPr>
        <w:t xml:space="preserve">Ezetimib u monoterapiji. Kod pacijenata koji su primali ezetimib (n=2396) </w:t>
      </w:r>
      <w:r w:rsidR="00074F21">
        <w:rPr>
          <w:noProof/>
          <w:sz w:val="22"/>
          <w:szCs w:val="22"/>
          <w:lang w:val="hr-HR"/>
        </w:rPr>
        <w:t>zabilježena</w:t>
      </w:r>
      <w:r w:rsidRPr="00E5029D">
        <w:rPr>
          <w:noProof/>
          <w:sz w:val="22"/>
          <w:szCs w:val="22"/>
          <w:lang w:val="hr-HR"/>
        </w:rPr>
        <w:t xml:space="preserve"> je veća učestalost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>neželjenih dejstava nego kod onih koji su primali placebo (n=1159).</w:t>
      </w:r>
    </w:p>
    <w:p w14:paraId="5ACC7EA4" w14:textId="48B114E6" w:rsidR="0000248E" w:rsidRPr="00E5029D" w:rsidRDefault="0000248E" w:rsidP="00104BF6">
      <w:pPr>
        <w:jc w:val="both"/>
        <w:rPr>
          <w:noProof/>
          <w:sz w:val="22"/>
          <w:szCs w:val="22"/>
          <w:lang w:val="hr-HR"/>
        </w:rPr>
      </w:pPr>
      <w:r w:rsidRPr="00E5029D">
        <w:rPr>
          <w:noProof/>
          <w:sz w:val="22"/>
          <w:szCs w:val="22"/>
          <w:vertAlign w:val="superscript"/>
          <w:lang w:val="hr-HR"/>
        </w:rPr>
        <w:t>4</w:t>
      </w:r>
      <w:r w:rsidRPr="00E5029D">
        <w:rPr>
          <w:noProof/>
          <w:sz w:val="22"/>
          <w:szCs w:val="22"/>
          <w:lang w:val="hr-HR"/>
        </w:rPr>
        <w:t xml:space="preserve">Istovremena </w:t>
      </w:r>
      <w:r w:rsidR="0078224C">
        <w:rPr>
          <w:noProof/>
          <w:sz w:val="22"/>
          <w:szCs w:val="22"/>
          <w:lang w:val="hr-HR"/>
        </w:rPr>
        <w:t>primjena</w:t>
      </w:r>
      <w:r w:rsidRPr="00E5029D">
        <w:rPr>
          <w:noProof/>
          <w:sz w:val="22"/>
          <w:szCs w:val="22"/>
          <w:lang w:val="hr-HR"/>
        </w:rPr>
        <w:t xml:space="preserve"> ezetimiba i statina. Kod pacijenata koji su istovremeno primali ezetimib i statin</w:t>
      </w:r>
    </w:p>
    <w:p w14:paraId="72234C71" w14:textId="63971E20" w:rsidR="0000248E" w:rsidRPr="00E5029D" w:rsidRDefault="0000248E" w:rsidP="00104BF6">
      <w:pPr>
        <w:jc w:val="both"/>
        <w:rPr>
          <w:noProof/>
          <w:sz w:val="22"/>
          <w:szCs w:val="22"/>
          <w:lang w:val="hr-HR"/>
        </w:rPr>
      </w:pPr>
      <w:r w:rsidRPr="00E5029D">
        <w:rPr>
          <w:noProof/>
          <w:sz w:val="22"/>
          <w:szCs w:val="22"/>
          <w:lang w:val="hr-HR"/>
        </w:rPr>
        <w:t xml:space="preserve">(n=11308) </w:t>
      </w:r>
      <w:r w:rsidR="00074F21">
        <w:rPr>
          <w:noProof/>
          <w:sz w:val="22"/>
          <w:szCs w:val="22"/>
          <w:lang w:val="hr-HR"/>
        </w:rPr>
        <w:t>zabilježena</w:t>
      </w:r>
      <w:r w:rsidRPr="00E5029D">
        <w:rPr>
          <w:noProof/>
          <w:sz w:val="22"/>
          <w:szCs w:val="22"/>
          <w:lang w:val="hr-HR"/>
        </w:rPr>
        <w:t xml:space="preserve"> je veća učestalost neželjenih dejstava nego kod onih koji su primali samo statin</w:t>
      </w:r>
    </w:p>
    <w:p w14:paraId="4F387659" w14:textId="77777777" w:rsidR="0000248E" w:rsidRPr="00E5029D" w:rsidRDefault="0000248E" w:rsidP="00104BF6">
      <w:pPr>
        <w:jc w:val="both"/>
        <w:rPr>
          <w:noProof/>
          <w:sz w:val="22"/>
          <w:szCs w:val="22"/>
          <w:lang w:val="hr-HR"/>
        </w:rPr>
      </w:pPr>
      <w:r w:rsidRPr="00E5029D">
        <w:rPr>
          <w:noProof/>
          <w:sz w:val="22"/>
          <w:szCs w:val="22"/>
          <w:lang w:val="hr-HR"/>
        </w:rPr>
        <w:t>(n=9361).</w:t>
      </w:r>
    </w:p>
    <w:p w14:paraId="43CA786A" w14:textId="3D9A7658" w:rsidR="0000248E" w:rsidRPr="00E5029D" w:rsidRDefault="0000248E" w:rsidP="007272B4">
      <w:pPr>
        <w:jc w:val="both"/>
        <w:rPr>
          <w:noProof/>
          <w:sz w:val="22"/>
          <w:szCs w:val="22"/>
          <w:lang w:val="hr-HR"/>
        </w:rPr>
      </w:pPr>
      <w:r w:rsidRPr="00E5029D">
        <w:rPr>
          <w:noProof/>
          <w:sz w:val="22"/>
          <w:szCs w:val="22"/>
          <w:vertAlign w:val="superscript"/>
          <w:lang w:val="hr-HR"/>
        </w:rPr>
        <w:t>5</w:t>
      </w:r>
      <w:r w:rsidR="00B22E60">
        <w:rPr>
          <w:noProof/>
          <w:sz w:val="22"/>
          <w:szCs w:val="22"/>
          <w:vertAlign w:val="superscript"/>
          <w:lang w:val="hr-HR"/>
        </w:rPr>
        <w:t xml:space="preserve">  </w:t>
      </w:r>
      <w:r w:rsidR="00B22E60">
        <w:rPr>
          <w:noProof/>
          <w:sz w:val="22"/>
          <w:szCs w:val="22"/>
          <w:lang w:val="hr-HR"/>
        </w:rPr>
        <w:t>D</w:t>
      </w:r>
      <w:r w:rsidR="00B22E60" w:rsidRPr="00E5029D">
        <w:rPr>
          <w:noProof/>
          <w:sz w:val="22"/>
          <w:szCs w:val="22"/>
          <w:lang w:val="hr-HR"/>
        </w:rPr>
        <w:t xml:space="preserve">odatna neželjena dejstva ezetimiba </w:t>
      </w:r>
      <w:r w:rsidR="00B22E60">
        <w:rPr>
          <w:noProof/>
          <w:sz w:val="22"/>
          <w:szCs w:val="22"/>
          <w:lang w:val="hr-HR"/>
        </w:rPr>
        <w:t>prijavljena n</w:t>
      </w:r>
      <w:r w:rsidRPr="00E5029D">
        <w:rPr>
          <w:noProof/>
          <w:sz w:val="22"/>
          <w:szCs w:val="22"/>
          <w:lang w:val="hr-HR"/>
        </w:rPr>
        <w:t>akon stavljanja</w:t>
      </w:r>
      <w:r w:rsidR="006A3E14">
        <w:rPr>
          <w:noProof/>
          <w:sz w:val="22"/>
          <w:szCs w:val="22"/>
          <w:lang w:val="hr-HR"/>
        </w:rPr>
        <w:t xml:space="preserve"> lijeka </w:t>
      </w:r>
      <w:r w:rsidRPr="00E5029D">
        <w:rPr>
          <w:noProof/>
          <w:sz w:val="22"/>
          <w:szCs w:val="22"/>
          <w:lang w:val="hr-HR"/>
        </w:rPr>
        <w:t>u promet . Pošto su ova neželjena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 xml:space="preserve">dejstva otkrivena spontanim prijavljivanjem, </w:t>
      </w:r>
      <w:r w:rsidR="00B22E60" w:rsidRPr="00E5029D">
        <w:rPr>
          <w:noProof/>
          <w:sz w:val="22"/>
          <w:szCs w:val="22"/>
          <w:lang w:val="hr-HR"/>
        </w:rPr>
        <w:t xml:space="preserve">njihova tačna učestalost </w:t>
      </w:r>
      <w:r w:rsidRPr="00E5029D">
        <w:rPr>
          <w:noProof/>
          <w:sz w:val="22"/>
          <w:szCs w:val="22"/>
          <w:lang w:val="hr-HR"/>
        </w:rPr>
        <w:t xml:space="preserve">nije poznata i ne može </w:t>
      </w:r>
      <w:r w:rsidR="006E507E">
        <w:rPr>
          <w:strike/>
          <w:noProof/>
          <w:sz w:val="22"/>
          <w:szCs w:val="22"/>
          <w:lang w:val="hr-HR"/>
        </w:rPr>
        <w:t>s</w:t>
      </w:r>
      <w:r w:rsidR="006E507E" w:rsidRPr="007272B4">
        <w:rPr>
          <w:noProof/>
          <w:sz w:val="22"/>
          <w:szCs w:val="22"/>
          <w:lang w:val="hr-HR"/>
        </w:rPr>
        <w:t>e procijeniti</w:t>
      </w:r>
      <w:r w:rsidRPr="006E507E">
        <w:rPr>
          <w:noProof/>
          <w:sz w:val="22"/>
          <w:szCs w:val="22"/>
          <w:lang w:val="hr-HR"/>
        </w:rPr>
        <w:t>.</w:t>
      </w:r>
    </w:p>
    <w:p w14:paraId="497A534C" w14:textId="77777777" w:rsidR="0000248E" w:rsidRPr="00E5029D" w:rsidRDefault="0000248E" w:rsidP="007272B4">
      <w:pPr>
        <w:jc w:val="both"/>
        <w:rPr>
          <w:noProof/>
          <w:sz w:val="22"/>
          <w:szCs w:val="22"/>
          <w:lang w:val="hr-HR"/>
        </w:rPr>
      </w:pPr>
    </w:p>
    <w:p w14:paraId="7AB3B148" w14:textId="29C42341" w:rsidR="0000248E" w:rsidRPr="00E5029D" w:rsidRDefault="0000248E" w:rsidP="007272B4">
      <w:pPr>
        <w:jc w:val="both"/>
        <w:rPr>
          <w:noProof/>
          <w:sz w:val="22"/>
          <w:szCs w:val="22"/>
          <w:lang w:val="hr-HR"/>
        </w:rPr>
      </w:pPr>
      <w:r w:rsidRPr="00E5029D">
        <w:rPr>
          <w:noProof/>
          <w:sz w:val="22"/>
          <w:szCs w:val="22"/>
          <w:lang w:val="hr-HR"/>
        </w:rPr>
        <w:t>Kao i sa drugim inhibitorima HMG-CoA reduktaze, učestalost neželjenih reakcija na l</w:t>
      </w:r>
      <w:r w:rsidR="008F368E">
        <w:rPr>
          <w:noProof/>
          <w:sz w:val="22"/>
          <w:szCs w:val="22"/>
          <w:lang w:val="hr-HR"/>
        </w:rPr>
        <w:t>ij</w:t>
      </w:r>
      <w:r w:rsidRPr="00E5029D">
        <w:rPr>
          <w:noProof/>
          <w:sz w:val="22"/>
          <w:szCs w:val="22"/>
          <w:lang w:val="hr-HR"/>
        </w:rPr>
        <w:t>ek ima tendenciju da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>bude dozno zavisna.</w:t>
      </w:r>
      <w:r w:rsidRPr="00E5029D">
        <w:rPr>
          <w:noProof/>
          <w:sz w:val="22"/>
          <w:szCs w:val="22"/>
          <w:lang w:val="hr-HR"/>
        </w:rPr>
        <w:cr/>
      </w:r>
    </w:p>
    <w:p w14:paraId="2A6983CE" w14:textId="23951280" w:rsidR="00E768CC" w:rsidRDefault="0000248E" w:rsidP="007272B4">
      <w:pPr>
        <w:jc w:val="both"/>
        <w:rPr>
          <w:noProof/>
          <w:sz w:val="22"/>
          <w:szCs w:val="22"/>
          <w:lang w:val="hr-HR"/>
        </w:rPr>
      </w:pPr>
      <w:r w:rsidRPr="00E5029D">
        <w:rPr>
          <w:i/>
          <w:noProof/>
          <w:sz w:val="22"/>
          <w:szCs w:val="22"/>
          <w:u w:val="single"/>
          <w:lang w:val="hr-HR"/>
        </w:rPr>
        <w:t>Dejstva na bubrege:</w:t>
      </w:r>
      <w:r w:rsidRPr="00E5029D">
        <w:rPr>
          <w:noProof/>
          <w:sz w:val="22"/>
          <w:szCs w:val="22"/>
          <w:lang w:val="hr-HR"/>
        </w:rPr>
        <w:t xml:space="preserve"> Proteinurija, otkrivena testom sa </w:t>
      </w:r>
      <w:r w:rsidR="006E507E">
        <w:rPr>
          <w:noProof/>
          <w:sz w:val="22"/>
          <w:szCs w:val="22"/>
          <w:lang w:val="hr-HR"/>
        </w:rPr>
        <w:t xml:space="preserve">indikatorskom trakom </w:t>
      </w:r>
      <w:r w:rsidRPr="00E5029D">
        <w:rPr>
          <w:noProof/>
          <w:sz w:val="22"/>
          <w:szCs w:val="22"/>
          <w:lang w:val="hr-HR"/>
        </w:rPr>
        <w:t xml:space="preserve">i uglavnom tubularnog porekla, </w:t>
      </w:r>
      <w:r w:rsidR="00074F21">
        <w:rPr>
          <w:noProof/>
          <w:sz w:val="22"/>
          <w:szCs w:val="22"/>
          <w:lang w:val="hr-HR"/>
        </w:rPr>
        <w:t>zabilježena</w:t>
      </w:r>
      <w:r w:rsidRPr="00E5029D">
        <w:rPr>
          <w:noProof/>
          <w:sz w:val="22"/>
          <w:szCs w:val="22"/>
          <w:lang w:val="hr-HR"/>
        </w:rPr>
        <w:t xml:space="preserve"> je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 xml:space="preserve">kod pacijenata </w:t>
      </w:r>
      <w:r w:rsidR="006A3E14">
        <w:rPr>
          <w:noProof/>
          <w:sz w:val="22"/>
          <w:szCs w:val="22"/>
          <w:lang w:val="hr-HR"/>
        </w:rPr>
        <w:t>liječenih</w:t>
      </w:r>
      <w:r w:rsidRPr="00E5029D">
        <w:rPr>
          <w:noProof/>
          <w:sz w:val="22"/>
          <w:szCs w:val="22"/>
          <w:lang w:val="hr-HR"/>
        </w:rPr>
        <w:t xml:space="preserve"> rosuvastatinom. Prom</w:t>
      </w:r>
      <w:r w:rsidR="00E768CC">
        <w:rPr>
          <w:noProof/>
          <w:sz w:val="22"/>
          <w:szCs w:val="22"/>
          <w:lang w:val="hr-HR"/>
        </w:rPr>
        <w:t>j</w:t>
      </w:r>
      <w:r w:rsidRPr="00E5029D">
        <w:rPr>
          <w:noProof/>
          <w:sz w:val="22"/>
          <w:szCs w:val="22"/>
          <w:lang w:val="hr-HR"/>
        </w:rPr>
        <w:t>ene u koncentraciji proteina u urinu u rasponu od potpunog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 xml:space="preserve">odsustva ili prisustva u tragovima, do </w:t>
      </w:r>
      <w:r w:rsidR="007E5AC4">
        <w:rPr>
          <w:noProof/>
          <w:sz w:val="22"/>
          <w:szCs w:val="22"/>
          <w:lang w:val="hr-HR"/>
        </w:rPr>
        <w:t>vrijednost</w:t>
      </w:r>
      <w:r w:rsidRPr="00E5029D">
        <w:rPr>
          <w:noProof/>
          <w:sz w:val="22"/>
          <w:szCs w:val="22"/>
          <w:lang w:val="hr-HR"/>
        </w:rPr>
        <w:t xml:space="preserve">i od ++ ili više, </w:t>
      </w:r>
      <w:r w:rsidR="006A3E14">
        <w:rPr>
          <w:noProof/>
          <w:sz w:val="22"/>
          <w:szCs w:val="22"/>
          <w:lang w:val="hr-HR"/>
        </w:rPr>
        <w:t>zabilježen</w:t>
      </w:r>
      <w:r w:rsidRPr="00E5029D">
        <w:rPr>
          <w:noProof/>
          <w:sz w:val="22"/>
          <w:szCs w:val="22"/>
          <w:lang w:val="hr-HR"/>
        </w:rPr>
        <w:t>e su, u nekom trenutku tokom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>l</w:t>
      </w:r>
      <w:r w:rsidR="00E768CC">
        <w:rPr>
          <w:noProof/>
          <w:sz w:val="22"/>
          <w:szCs w:val="22"/>
          <w:lang w:val="hr-HR"/>
        </w:rPr>
        <w:t>ij</w:t>
      </w:r>
      <w:r w:rsidRPr="00E5029D">
        <w:rPr>
          <w:noProof/>
          <w:sz w:val="22"/>
          <w:szCs w:val="22"/>
          <w:lang w:val="hr-HR"/>
        </w:rPr>
        <w:t xml:space="preserve">ečenja, kod &lt; 1% pacijenata </w:t>
      </w:r>
      <w:r w:rsidR="006A3E14">
        <w:rPr>
          <w:noProof/>
          <w:sz w:val="22"/>
          <w:szCs w:val="22"/>
          <w:lang w:val="hr-HR"/>
        </w:rPr>
        <w:t>liječenih</w:t>
      </w:r>
      <w:r w:rsidRPr="00E5029D">
        <w:rPr>
          <w:noProof/>
          <w:sz w:val="22"/>
          <w:szCs w:val="22"/>
          <w:lang w:val="hr-HR"/>
        </w:rPr>
        <w:t xml:space="preserve"> dozama od 10 i 20 mg, i kod približno 3% pacijenata </w:t>
      </w:r>
      <w:r w:rsidR="006A3E14">
        <w:rPr>
          <w:noProof/>
          <w:sz w:val="22"/>
          <w:szCs w:val="22"/>
          <w:lang w:val="hr-HR"/>
        </w:rPr>
        <w:t>liječenih</w:t>
      </w:r>
      <w:r w:rsidRPr="00E5029D">
        <w:rPr>
          <w:noProof/>
          <w:sz w:val="22"/>
          <w:szCs w:val="22"/>
          <w:lang w:val="hr-HR"/>
        </w:rPr>
        <w:t xml:space="preserve"> dozama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 xml:space="preserve">od 40 mg. Manje povećanje </w:t>
      </w:r>
      <w:r w:rsidR="007E5AC4">
        <w:rPr>
          <w:noProof/>
          <w:sz w:val="22"/>
          <w:szCs w:val="22"/>
          <w:lang w:val="hr-HR"/>
        </w:rPr>
        <w:t>vrijednost</w:t>
      </w:r>
      <w:r w:rsidRPr="00E5029D">
        <w:rPr>
          <w:noProof/>
          <w:sz w:val="22"/>
          <w:szCs w:val="22"/>
          <w:lang w:val="hr-HR"/>
        </w:rPr>
        <w:t xml:space="preserve">i, od potpunog odsustva ili prisustva u tragovima do </w:t>
      </w:r>
      <w:r w:rsidR="007E5AC4">
        <w:rPr>
          <w:noProof/>
          <w:sz w:val="22"/>
          <w:szCs w:val="22"/>
          <w:lang w:val="hr-HR"/>
        </w:rPr>
        <w:t>vrijednost</w:t>
      </w:r>
      <w:r w:rsidRPr="00E5029D">
        <w:rPr>
          <w:noProof/>
          <w:sz w:val="22"/>
          <w:szCs w:val="22"/>
          <w:lang w:val="hr-HR"/>
        </w:rPr>
        <w:t>i od +,</w:t>
      </w:r>
      <w:r w:rsidR="00826F83">
        <w:rPr>
          <w:noProof/>
          <w:sz w:val="22"/>
          <w:szCs w:val="22"/>
          <w:lang w:val="hr-HR"/>
        </w:rPr>
        <w:t xml:space="preserve"> primijećen</w:t>
      </w:r>
      <w:r w:rsidRPr="00E5029D">
        <w:rPr>
          <w:noProof/>
          <w:sz w:val="22"/>
          <w:szCs w:val="22"/>
          <w:lang w:val="hr-HR"/>
        </w:rPr>
        <w:t>o je pri dozi od 20 mg. U većini slučajeva, sa nastavkom terapije proteinurija se smanjuje ili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>spontano nestaje. Pregledom podataka iz kliničkih ispitivanja i dosadašnjih podataka nakon stavljanja</w:t>
      </w:r>
      <w:r w:rsidR="006A3E14">
        <w:rPr>
          <w:noProof/>
          <w:sz w:val="22"/>
          <w:szCs w:val="22"/>
          <w:lang w:val="hr-HR"/>
        </w:rPr>
        <w:t xml:space="preserve"> lijeka </w:t>
      </w:r>
      <w:r w:rsidRPr="00E5029D">
        <w:rPr>
          <w:noProof/>
          <w:sz w:val="22"/>
          <w:szCs w:val="22"/>
          <w:lang w:val="hr-HR"/>
        </w:rPr>
        <w:t>u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>promet nije pronađena uzročna povezanost između proteinurije i akutne ili progresivne bolesti bubrega.</w:t>
      </w:r>
      <w:r w:rsidR="00826F83">
        <w:rPr>
          <w:noProof/>
          <w:sz w:val="22"/>
          <w:szCs w:val="22"/>
          <w:lang w:val="hr-HR"/>
        </w:rPr>
        <w:t xml:space="preserve"> </w:t>
      </w:r>
    </w:p>
    <w:p w14:paraId="222A1226" w14:textId="095203D4" w:rsidR="0000248E" w:rsidRPr="00E5029D" w:rsidRDefault="0000248E" w:rsidP="007272B4">
      <w:pPr>
        <w:jc w:val="both"/>
        <w:rPr>
          <w:noProof/>
          <w:sz w:val="22"/>
          <w:szCs w:val="22"/>
          <w:lang w:val="hr-HR"/>
        </w:rPr>
      </w:pPr>
      <w:r w:rsidRPr="00E5029D">
        <w:rPr>
          <w:noProof/>
          <w:sz w:val="22"/>
          <w:szCs w:val="22"/>
          <w:lang w:val="hr-HR"/>
        </w:rPr>
        <w:t xml:space="preserve">Hematurija je takođe </w:t>
      </w:r>
      <w:r w:rsidR="00074F21">
        <w:rPr>
          <w:noProof/>
          <w:sz w:val="22"/>
          <w:szCs w:val="22"/>
          <w:lang w:val="hr-HR"/>
        </w:rPr>
        <w:t>zabilježena</w:t>
      </w:r>
      <w:r w:rsidRPr="00E5029D">
        <w:rPr>
          <w:noProof/>
          <w:sz w:val="22"/>
          <w:szCs w:val="22"/>
          <w:lang w:val="hr-HR"/>
        </w:rPr>
        <w:t xml:space="preserve"> kod pacijenata </w:t>
      </w:r>
      <w:r w:rsidR="006A3E14">
        <w:rPr>
          <w:noProof/>
          <w:sz w:val="22"/>
          <w:szCs w:val="22"/>
          <w:lang w:val="hr-HR"/>
        </w:rPr>
        <w:t>liječenih</w:t>
      </w:r>
      <w:r w:rsidRPr="00E5029D">
        <w:rPr>
          <w:noProof/>
          <w:sz w:val="22"/>
          <w:szCs w:val="22"/>
          <w:lang w:val="hr-HR"/>
        </w:rPr>
        <w:t xml:space="preserve"> rosuvastatinom, a podaci iz kliničkih ispitivanja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 xml:space="preserve">pokazuju da je ova pojava </w:t>
      </w:r>
      <w:r w:rsidR="00826F83">
        <w:rPr>
          <w:noProof/>
          <w:sz w:val="22"/>
          <w:szCs w:val="22"/>
          <w:lang w:val="hr-HR"/>
        </w:rPr>
        <w:t>rijetka</w:t>
      </w:r>
      <w:r w:rsidRPr="00E5029D">
        <w:rPr>
          <w:noProof/>
          <w:sz w:val="22"/>
          <w:szCs w:val="22"/>
          <w:lang w:val="hr-HR"/>
        </w:rPr>
        <w:t>.</w:t>
      </w:r>
    </w:p>
    <w:p w14:paraId="430705FC" w14:textId="77777777" w:rsidR="0000248E" w:rsidRPr="00E5029D" w:rsidRDefault="0000248E" w:rsidP="007272B4">
      <w:pPr>
        <w:jc w:val="both"/>
        <w:rPr>
          <w:noProof/>
          <w:sz w:val="22"/>
          <w:szCs w:val="22"/>
          <w:lang w:val="hr-HR"/>
        </w:rPr>
      </w:pPr>
    </w:p>
    <w:p w14:paraId="48A28949" w14:textId="5AFFB405" w:rsidR="0000248E" w:rsidRDefault="0000248E" w:rsidP="007272B4">
      <w:pPr>
        <w:jc w:val="both"/>
        <w:rPr>
          <w:noProof/>
          <w:sz w:val="22"/>
          <w:szCs w:val="22"/>
          <w:lang w:val="hr-HR"/>
        </w:rPr>
      </w:pPr>
      <w:r w:rsidRPr="00E5029D">
        <w:rPr>
          <w:i/>
          <w:noProof/>
          <w:sz w:val="22"/>
          <w:szCs w:val="22"/>
          <w:u w:val="single"/>
          <w:lang w:val="hr-HR"/>
        </w:rPr>
        <w:t>Dejstva na skeletno-mišićni sistem:</w:t>
      </w:r>
      <w:r w:rsidRPr="00E5029D">
        <w:rPr>
          <w:noProof/>
          <w:sz w:val="22"/>
          <w:szCs w:val="22"/>
          <w:lang w:val="hr-HR"/>
        </w:rPr>
        <w:t xml:space="preserve"> Dejstva na skeletne mišiće, na </w:t>
      </w:r>
      <w:r w:rsidR="003E4280">
        <w:rPr>
          <w:noProof/>
          <w:sz w:val="22"/>
          <w:szCs w:val="22"/>
          <w:lang w:val="hr-HR"/>
        </w:rPr>
        <w:t>primjer</w:t>
      </w:r>
      <w:r w:rsidRPr="00E5029D">
        <w:rPr>
          <w:noProof/>
          <w:sz w:val="22"/>
          <w:szCs w:val="22"/>
          <w:lang w:val="hr-HR"/>
        </w:rPr>
        <w:t xml:space="preserve"> </w:t>
      </w:r>
      <w:r w:rsidR="001832BF">
        <w:rPr>
          <w:noProof/>
          <w:sz w:val="22"/>
          <w:szCs w:val="22"/>
          <w:lang w:val="hr-HR"/>
        </w:rPr>
        <w:t>mialgija</w:t>
      </w:r>
      <w:r w:rsidRPr="00E5029D">
        <w:rPr>
          <w:noProof/>
          <w:sz w:val="22"/>
          <w:szCs w:val="22"/>
          <w:lang w:val="hr-HR"/>
        </w:rPr>
        <w:t>, miopatija (uključujući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 xml:space="preserve">miozitis) i, </w:t>
      </w:r>
      <w:r w:rsidR="006A3E14">
        <w:rPr>
          <w:noProof/>
          <w:sz w:val="22"/>
          <w:szCs w:val="22"/>
          <w:lang w:val="hr-HR"/>
        </w:rPr>
        <w:t>rijetko</w:t>
      </w:r>
      <w:r w:rsidRPr="00E5029D">
        <w:rPr>
          <w:noProof/>
          <w:sz w:val="22"/>
          <w:szCs w:val="22"/>
          <w:lang w:val="hr-HR"/>
        </w:rPr>
        <w:t xml:space="preserve">, rabdomioliza sa akutnom bubrežnom insuficijencijom ili bez nje, </w:t>
      </w:r>
      <w:r w:rsidR="00074F21">
        <w:rPr>
          <w:noProof/>
          <w:sz w:val="22"/>
          <w:szCs w:val="22"/>
          <w:lang w:val="hr-HR"/>
        </w:rPr>
        <w:t>zabilježena</w:t>
      </w:r>
      <w:r w:rsidRPr="00E5029D">
        <w:rPr>
          <w:noProof/>
          <w:sz w:val="22"/>
          <w:szCs w:val="22"/>
          <w:lang w:val="hr-HR"/>
        </w:rPr>
        <w:t xml:space="preserve"> su kod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 xml:space="preserve">pacijenata </w:t>
      </w:r>
      <w:r w:rsidR="006A3E14">
        <w:rPr>
          <w:noProof/>
          <w:sz w:val="22"/>
          <w:szCs w:val="22"/>
          <w:lang w:val="hr-HR"/>
        </w:rPr>
        <w:t>liječenih</w:t>
      </w:r>
      <w:r w:rsidRPr="00E5029D">
        <w:rPr>
          <w:noProof/>
          <w:sz w:val="22"/>
          <w:szCs w:val="22"/>
          <w:lang w:val="hr-HR"/>
        </w:rPr>
        <w:t xml:space="preserve"> rosuvastatinom u svim dozama, a posebno dozama većim od 20 mg.</w:t>
      </w:r>
    </w:p>
    <w:p w14:paraId="1EAA0AB2" w14:textId="77777777" w:rsidR="002D658F" w:rsidRPr="00E5029D" w:rsidRDefault="002D658F" w:rsidP="007272B4">
      <w:pPr>
        <w:jc w:val="both"/>
        <w:rPr>
          <w:noProof/>
          <w:sz w:val="22"/>
          <w:szCs w:val="22"/>
          <w:lang w:val="hr-HR"/>
        </w:rPr>
      </w:pPr>
    </w:p>
    <w:p w14:paraId="00E6B204" w14:textId="43A932DF" w:rsidR="0000248E" w:rsidRPr="00E5029D" w:rsidRDefault="0000248E" w:rsidP="007272B4">
      <w:pPr>
        <w:jc w:val="both"/>
        <w:rPr>
          <w:noProof/>
          <w:sz w:val="22"/>
          <w:szCs w:val="22"/>
          <w:lang w:val="hr-HR"/>
        </w:rPr>
      </w:pPr>
      <w:r w:rsidRPr="00E5029D">
        <w:rPr>
          <w:noProof/>
          <w:sz w:val="22"/>
          <w:szCs w:val="22"/>
          <w:lang w:val="hr-HR"/>
        </w:rPr>
        <w:t xml:space="preserve">Dozno zavisno povećanje </w:t>
      </w:r>
      <w:r w:rsidR="007E5AC4">
        <w:rPr>
          <w:noProof/>
          <w:sz w:val="22"/>
          <w:szCs w:val="22"/>
          <w:lang w:val="hr-HR"/>
        </w:rPr>
        <w:t>vrijednost</w:t>
      </w:r>
      <w:r w:rsidRPr="00E5029D">
        <w:rPr>
          <w:noProof/>
          <w:sz w:val="22"/>
          <w:szCs w:val="22"/>
          <w:lang w:val="hr-HR"/>
        </w:rPr>
        <w:t xml:space="preserve">i </w:t>
      </w:r>
      <w:r w:rsidR="00AA7922">
        <w:rPr>
          <w:noProof/>
          <w:sz w:val="22"/>
          <w:szCs w:val="22"/>
          <w:lang w:val="hr-HR"/>
        </w:rPr>
        <w:t>kreatin</w:t>
      </w:r>
      <w:r w:rsidRPr="00E5029D">
        <w:rPr>
          <w:noProof/>
          <w:sz w:val="22"/>
          <w:szCs w:val="22"/>
          <w:lang w:val="hr-HR"/>
        </w:rPr>
        <w:t xml:space="preserve"> kinaze </w:t>
      </w:r>
      <w:r w:rsidR="006A3E14">
        <w:rPr>
          <w:noProof/>
          <w:sz w:val="22"/>
          <w:szCs w:val="22"/>
          <w:lang w:val="hr-HR"/>
        </w:rPr>
        <w:t>zabilježen</w:t>
      </w:r>
      <w:r w:rsidRPr="00E5029D">
        <w:rPr>
          <w:noProof/>
          <w:sz w:val="22"/>
          <w:szCs w:val="22"/>
          <w:lang w:val="hr-HR"/>
        </w:rPr>
        <w:t>o je kod pacijenata koji uzimaju rosuvastatin;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 xml:space="preserve">većina ovih slučajeva bili su blagi, asimptomatski i prolazni. Ako su </w:t>
      </w:r>
      <w:r w:rsidR="007E5AC4">
        <w:rPr>
          <w:noProof/>
          <w:sz w:val="22"/>
          <w:szCs w:val="22"/>
          <w:lang w:val="hr-HR"/>
        </w:rPr>
        <w:t>vrijednost</w:t>
      </w:r>
      <w:r w:rsidRPr="00E5029D">
        <w:rPr>
          <w:noProof/>
          <w:sz w:val="22"/>
          <w:szCs w:val="22"/>
          <w:lang w:val="hr-HR"/>
        </w:rPr>
        <w:t xml:space="preserve">i </w:t>
      </w:r>
      <w:r w:rsidR="00AA7922">
        <w:rPr>
          <w:noProof/>
          <w:sz w:val="22"/>
          <w:szCs w:val="22"/>
          <w:lang w:val="hr-HR"/>
        </w:rPr>
        <w:t>kreatin</w:t>
      </w:r>
      <w:r w:rsidR="00AA7922" w:rsidRPr="00E5029D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>kinaze povećane (&gt; 5 x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 xml:space="preserve">iznad gornje granice normalnih </w:t>
      </w:r>
      <w:r w:rsidR="007E5AC4">
        <w:rPr>
          <w:noProof/>
          <w:sz w:val="22"/>
          <w:szCs w:val="22"/>
          <w:lang w:val="hr-HR"/>
        </w:rPr>
        <w:t>vrijednost</w:t>
      </w:r>
      <w:r w:rsidRPr="00E5029D">
        <w:rPr>
          <w:noProof/>
          <w:sz w:val="22"/>
          <w:szCs w:val="22"/>
          <w:lang w:val="hr-HR"/>
        </w:rPr>
        <w:t>i), terapij</w:t>
      </w:r>
      <w:r w:rsidR="006E507E">
        <w:rPr>
          <w:noProof/>
          <w:sz w:val="22"/>
          <w:szCs w:val="22"/>
          <w:lang w:val="hr-HR"/>
        </w:rPr>
        <w:t>a se mora</w:t>
      </w:r>
      <w:r w:rsidRPr="00E5029D">
        <w:rPr>
          <w:noProof/>
          <w:sz w:val="22"/>
          <w:szCs w:val="22"/>
          <w:lang w:val="hr-HR"/>
        </w:rPr>
        <w:t xml:space="preserve"> obustaviti (</w:t>
      </w:r>
      <w:r w:rsidR="00600503">
        <w:rPr>
          <w:noProof/>
          <w:sz w:val="22"/>
          <w:szCs w:val="22"/>
          <w:lang w:val="hr-HR"/>
        </w:rPr>
        <w:t>vidjeti</w:t>
      </w:r>
      <w:r w:rsidRPr="00E5029D">
        <w:rPr>
          <w:noProof/>
          <w:sz w:val="22"/>
          <w:szCs w:val="22"/>
          <w:lang w:val="hr-HR"/>
        </w:rPr>
        <w:t xml:space="preserve"> </w:t>
      </w:r>
      <w:r w:rsidR="00A80C70">
        <w:rPr>
          <w:noProof/>
          <w:sz w:val="22"/>
          <w:szCs w:val="22"/>
          <w:lang w:val="hr-HR"/>
        </w:rPr>
        <w:t>odjeljak</w:t>
      </w:r>
      <w:r w:rsidRPr="00E5029D">
        <w:rPr>
          <w:noProof/>
          <w:sz w:val="22"/>
          <w:szCs w:val="22"/>
          <w:lang w:val="hr-HR"/>
        </w:rPr>
        <w:t xml:space="preserve"> 4.4).</w:t>
      </w:r>
    </w:p>
    <w:p w14:paraId="2D47FD73" w14:textId="77777777" w:rsidR="0000248E" w:rsidRPr="00E5029D" w:rsidRDefault="0000248E" w:rsidP="007272B4">
      <w:pPr>
        <w:jc w:val="both"/>
        <w:rPr>
          <w:noProof/>
          <w:sz w:val="22"/>
          <w:szCs w:val="22"/>
          <w:lang w:val="hr-HR"/>
        </w:rPr>
      </w:pPr>
    </w:p>
    <w:p w14:paraId="40517C00" w14:textId="2D562EA3" w:rsidR="0000248E" w:rsidRPr="00E5029D" w:rsidRDefault="0000248E" w:rsidP="007272B4">
      <w:pPr>
        <w:jc w:val="both"/>
        <w:rPr>
          <w:noProof/>
          <w:sz w:val="22"/>
          <w:szCs w:val="22"/>
          <w:lang w:val="hr-HR"/>
        </w:rPr>
      </w:pPr>
      <w:r w:rsidRPr="00E5029D">
        <w:rPr>
          <w:i/>
          <w:noProof/>
          <w:sz w:val="22"/>
          <w:szCs w:val="22"/>
          <w:u w:val="single"/>
          <w:lang w:val="hr-HR"/>
        </w:rPr>
        <w:t>Dejstva na jetru:</w:t>
      </w:r>
      <w:r w:rsidRPr="00E5029D">
        <w:rPr>
          <w:noProof/>
          <w:sz w:val="22"/>
          <w:szCs w:val="22"/>
          <w:lang w:val="hr-HR"/>
        </w:rPr>
        <w:t xml:space="preserve"> Kao i sa drugim inhibitorima HMG-CoA reduktaze, beleži se dozno-zavisno povećanje</w:t>
      </w:r>
      <w:r w:rsidR="00826F83">
        <w:rPr>
          <w:noProof/>
          <w:sz w:val="22"/>
          <w:szCs w:val="22"/>
          <w:lang w:val="hr-HR"/>
        </w:rPr>
        <w:t xml:space="preserve"> </w:t>
      </w:r>
      <w:r w:rsidR="007E5AC4">
        <w:rPr>
          <w:noProof/>
          <w:sz w:val="22"/>
          <w:szCs w:val="22"/>
          <w:lang w:val="hr-HR"/>
        </w:rPr>
        <w:t>vrijednost</w:t>
      </w:r>
      <w:r w:rsidRPr="00E5029D">
        <w:rPr>
          <w:noProof/>
          <w:sz w:val="22"/>
          <w:szCs w:val="22"/>
          <w:lang w:val="hr-HR"/>
        </w:rPr>
        <w:t>i transaminaza kod malog broja pacijenata koji uzimaju rosuvastatin; većina ovih slučajeva bili su</w:t>
      </w:r>
      <w:r w:rsidR="00826F83">
        <w:rPr>
          <w:noProof/>
          <w:sz w:val="22"/>
          <w:szCs w:val="22"/>
          <w:lang w:val="hr-HR"/>
        </w:rPr>
        <w:t xml:space="preserve"> </w:t>
      </w:r>
      <w:r w:rsidRPr="00E5029D">
        <w:rPr>
          <w:noProof/>
          <w:sz w:val="22"/>
          <w:szCs w:val="22"/>
          <w:lang w:val="hr-HR"/>
        </w:rPr>
        <w:t>blagi, asimptomatski i prolazni.</w:t>
      </w:r>
    </w:p>
    <w:p w14:paraId="110EE864" w14:textId="77777777" w:rsidR="0000248E" w:rsidRPr="00E5029D" w:rsidRDefault="0000248E" w:rsidP="007272B4">
      <w:pPr>
        <w:jc w:val="both"/>
        <w:rPr>
          <w:noProof/>
          <w:sz w:val="22"/>
          <w:szCs w:val="22"/>
          <w:lang w:val="hr-HR"/>
        </w:rPr>
      </w:pPr>
    </w:p>
    <w:p w14:paraId="03F5F662" w14:textId="77777777" w:rsidR="0000248E" w:rsidRPr="00E5029D" w:rsidRDefault="0000248E" w:rsidP="007272B4">
      <w:pPr>
        <w:jc w:val="both"/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 xml:space="preserve">Sledeće neželjene reakcije su prijavljene pri upotrebi nekih statina: </w:t>
      </w:r>
    </w:p>
    <w:p w14:paraId="0DF9CDF8" w14:textId="77777777" w:rsidR="0000248E" w:rsidRPr="00E5029D" w:rsidRDefault="0000248E" w:rsidP="00875F08">
      <w:pPr>
        <w:pStyle w:val="ListParagraph"/>
        <w:numPr>
          <w:ilvl w:val="0"/>
          <w:numId w:val="14"/>
        </w:numPr>
        <w:rPr>
          <w:szCs w:val="22"/>
        </w:rPr>
      </w:pPr>
      <w:r w:rsidRPr="00E5029D">
        <w:rPr>
          <w:szCs w:val="22"/>
        </w:rPr>
        <w:t xml:space="preserve">Seksualna disfunkcija; </w:t>
      </w:r>
    </w:p>
    <w:p w14:paraId="435F57B2" w14:textId="33019858" w:rsidR="0000248E" w:rsidRPr="00E5029D" w:rsidRDefault="0000248E">
      <w:pPr>
        <w:pStyle w:val="ListParagraph"/>
        <w:numPr>
          <w:ilvl w:val="0"/>
          <w:numId w:val="14"/>
        </w:numPr>
        <w:rPr>
          <w:szCs w:val="22"/>
        </w:rPr>
      </w:pPr>
      <w:r w:rsidRPr="00E5029D">
        <w:rPr>
          <w:szCs w:val="22"/>
        </w:rPr>
        <w:t>U izuzetnim slučajevima javlja se intersticijalna bolest pluća, posebno kod dugoročne terapije (</w:t>
      </w:r>
      <w:r w:rsidR="00600503">
        <w:rPr>
          <w:szCs w:val="22"/>
        </w:rPr>
        <w:t>vidjeti</w:t>
      </w:r>
      <w:r w:rsidRPr="00E5029D">
        <w:rPr>
          <w:szCs w:val="22"/>
        </w:rPr>
        <w:t xml:space="preserve"> </w:t>
      </w:r>
      <w:r w:rsidR="00A80C70">
        <w:rPr>
          <w:szCs w:val="22"/>
        </w:rPr>
        <w:t>odjeljak</w:t>
      </w:r>
      <w:r w:rsidRPr="00E5029D">
        <w:rPr>
          <w:szCs w:val="22"/>
        </w:rPr>
        <w:t xml:space="preserve"> 4.4). </w:t>
      </w:r>
    </w:p>
    <w:p w14:paraId="3BB40EC6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05A783DF" w14:textId="11104BAA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lastRenderedPageBreak/>
        <w:t xml:space="preserve">Učestalost prijavljivanja rabdomiolize, teških bubrežnih događaja i teških hepatičkih događaja (koji se uglavnom pokazuju putem povećanih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transaminaza jetre) veće su kod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 xml:space="preserve"> doze od 40 mg rosuvastatina. </w:t>
      </w:r>
    </w:p>
    <w:p w14:paraId="067AAF7F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2BAB586E" w14:textId="74255E93" w:rsidR="0000248E" w:rsidRPr="00E5029D" w:rsidRDefault="0000248E" w:rsidP="007272B4">
      <w:pPr>
        <w:jc w:val="both"/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 xml:space="preserve">Laboratorijske </w:t>
      </w:r>
      <w:r w:rsidR="007E5AC4">
        <w:rPr>
          <w:i/>
          <w:sz w:val="22"/>
          <w:szCs w:val="22"/>
        </w:rPr>
        <w:t>vrijednost</w:t>
      </w:r>
      <w:r w:rsidRPr="00E5029D">
        <w:rPr>
          <w:i/>
          <w:sz w:val="22"/>
          <w:szCs w:val="22"/>
        </w:rPr>
        <w:t xml:space="preserve">i </w:t>
      </w:r>
    </w:p>
    <w:p w14:paraId="676C3DC3" w14:textId="16498ED0" w:rsidR="0000248E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U kontrolisanim kliničkim ispitivanjima monoterapije, incidenca klinički značajnih povećanja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transaminaza u serumu (ALT i/ili AST ≥ 3 puta iznad gornje granice normalih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i, uzastopno) bila je slična među grupama koje su primale ezetimib (0,5%), i placeba (0,3%). U ispitivanjima istovremene terapije, incidenca povećanja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transaminaza kod pacijenata koji su uz ezetimib primali neki statin bila je 1,3%, dok je kod pacijenata koji su primali samo statin ta incidenca bila 0,4%. Ova povećanja su uglavnom bila asimptomatska i</w:t>
      </w:r>
      <w:r w:rsidR="006A3E14">
        <w:rPr>
          <w:sz w:val="22"/>
          <w:szCs w:val="22"/>
        </w:rPr>
        <w:t xml:space="preserve"> nijesu </w:t>
      </w:r>
      <w:r w:rsidRPr="00E5029D">
        <w:rPr>
          <w:sz w:val="22"/>
          <w:szCs w:val="22"/>
        </w:rPr>
        <w:t xml:space="preserve">bila povezana sa holestazom, 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su se vratile na početnu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 nakon prekida terapije ili nastavka kontinuiranog </w:t>
      </w:r>
      <w:r w:rsidR="00772014">
        <w:rPr>
          <w:sz w:val="22"/>
          <w:szCs w:val="22"/>
        </w:rPr>
        <w:t>liječenja</w:t>
      </w:r>
      <w:r w:rsidRPr="00E5029D">
        <w:rPr>
          <w:sz w:val="22"/>
          <w:szCs w:val="22"/>
        </w:rPr>
        <w:t xml:space="preserve">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4.4). </w:t>
      </w:r>
    </w:p>
    <w:p w14:paraId="1EF86F32" w14:textId="77777777" w:rsidR="004D115F" w:rsidRPr="00E5029D" w:rsidRDefault="004D115F" w:rsidP="007272B4">
      <w:pPr>
        <w:jc w:val="both"/>
        <w:rPr>
          <w:sz w:val="22"/>
          <w:szCs w:val="22"/>
        </w:rPr>
      </w:pPr>
    </w:p>
    <w:p w14:paraId="3E8A5ED2" w14:textId="10E07CA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U kliničkim ispitivanjima </w:t>
      </w:r>
      <w:r w:rsidR="006A3E14">
        <w:rPr>
          <w:sz w:val="22"/>
          <w:szCs w:val="22"/>
        </w:rPr>
        <w:t>zabilježen</w:t>
      </w:r>
      <w:r w:rsidRPr="00E5029D">
        <w:rPr>
          <w:sz w:val="22"/>
          <w:szCs w:val="22"/>
        </w:rPr>
        <w:t xml:space="preserve">e su povećane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kreatin fosfokinaze (CPK) (više od 10 puta iznad gornje granice normalnih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i) kod 4 od 1674 (0,2%) pacijenta koji su primali samo ezetimib, u poređenju sa 1 od 786 (0,1%) pacijenata koji su primali placebo, zatim kod 1 od 917 (0,1%) pacijenata koji su istovremeno primali ezetimib i statin, u poređenju sa 4 od 929 (0,4%) pacijenata koji su primali samo statin. Nije </w:t>
      </w:r>
      <w:r w:rsidR="006A3E14">
        <w:rPr>
          <w:sz w:val="22"/>
          <w:szCs w:val="22"/>
        </w:rPr>
        <w:t>zabilježen</w:t>
      </w:r>
      <w:r w:rsidRPr="00E5029D">
        <w:rPr>
          <w:sz w:val="22"/>
          <w:szCs w:val="22"/>
        </w:rPr>
        <w:t xml:space="preserve"> porast miopatije ili rabdomiolize povezan sa </w:t>
      </w:r>
      <w:r w:rsidR="00FB72C1">
        <w:rPr>
          <w:sz w:val="22"/>
          <w:szCs w:val="22"/>
        </w:rPr>
        <w:t>primjenom</w:t>
      </w:r>
      <w:r w:rsidRPr="00E5029D">
        <w:rPr>
          <w:sz w:val="22"/>
          <w:szCs w:val="22"/>
        </w:rPr>
        <w:t xml:space="preserve"> ezetimiba u poređenju sa odgovarajućom kontrolnom grupom (placebo ili sam statin)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4.4).</w:t>
      </w:r>
    </w:p>
    <w:p w14:paraId="5D64773A" w14:textId="77777777" w:rsidR="0000248E" w:rsidRPr="00E5029D" w:rsidRDefault="0000248E" w:rsidP="007272B4">
      <w:pPr>
        <w:jc w:val="both"/>
        <w:rPr>
          <w:noProof/>
          <w:sz w:val="22"/>
          <w:szCs w:val="22"/>
          <w:u w:val="single"/>
          <w:lang w:val="hr-HR"/>
        </w:rPr>
      </w:pPr>
    </w:p>
    <w:p w14:paraId="723EDD36" w14:textId="7777777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  <w:u w:val="single"/>
        </w:rPr>
        <w:t>Pedijatrijska populacija</w:t>
      </w:r>
      <w:r w:rsidRPr="00E5029D">
        <w:rPr>
          <w:sz w:val="22"/>
          <w:szCs w:val="22"/>
        </w:rPr>
        <w:t xml:space="preserve"> </w:t>
      </w:r>
    </w:p>
    <w:p w14:paraId="70B94518" w14:textId="7C4D9D0F" w:rsidR="0000248E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Bezb</w:t>
      </w:r>
      <w:r w:rsidR="00844A3A">
        <w:rPr>
          <w:sz w:val="22"/>
          <w:szCs w:val="22"/>
        </w:rPr>
        <w:t>j</w:t>
      </w:r>
      <w:r w:rsidRPr="00E5029D">
        <w:rPr>
          <w:sz w:val="22"/>
          <w:szCs w:val="22"/>
        </w:rPr>
        <w:t>ednost i efikasnost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Rozor kod</w:t>
      </w:r>
      <w:r w:rsidR="00B637A4">
        <w:rPr>
          <w:sz w:val="22"/>
          <w:szCs w:val="22"/>
        </w:rPr>
        <w:t xml:space="preserve"> djece </w:t>
      </w:r>
      <w:r w:rsidRPr="00E5029D">
        <w:rPr>
          <w:sz w:val="22"/>
          <w:szCs w:val="22"/>
        </w:rPr>
        <w:t>ispod 18 godina starosti još</w:t>
      </w:r>
      <w:r w:rsidR="00B637A4">
        <w:rPr>
          <w:sz w:val="22"/>
          <w:szCs w:val="22"/>
        </w:rPr>
        <w:t xml:space="preserve"> uvijek</w:t>
      </w:r>
      <w:r w:rsidR="006A3E14">
        <w:rPr>
          <w:sz w:val="22"/>
          <w:szCs w:val="22"/>
        </w:rPr>
        <w:t xml:space="preserve"> nijesu </w:t>
      </w:r>
      <w:r w:rsidRPr="00E5029D">
        <w:rPr>
          <w:sz w:val="22"/>
          <w:szCs w:val="22"/>
        </w:rPr>
        <w:t>potvrđeni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5.1). </w:t>
      </w:r>
    </w:p>
    <w:p w14:paraId="11DCE706" w14:textId="77777777" w:rsidR="002422A3" w:rsidRPr="00E5029D" w:rsidRDefault="002422A3" w:rsidP="007272B4">
      <w:pPr>
        <w:jc w:val="both"/>
        <w:rPr>
          <w:sz w:val="22"/>
          <w:szCs w:val="22"/>
        </w:rPr>
      </w:pPr>
    </w:p>
    <w:p w14:paraId="0E9C99E4" w14:textId="7777777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</w:rPr>
        <w:t>Rosuvastatin:</w:t>
      </w:r>
      <w:r w:rsidRPr="00E5029D">
        <w:rPr>
          <w:sz w:val="22"/>
          <w:szCs w:val="22"/>
        </w:rPr>
        <w:t xml:space="preserve"> </w:t>
      </w:r>
    </w:p>
    <w:p w14:paraId="28C87029" w14:textId="5646FC65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U jednom kliničkom ispitivanju koje je trajalo 52 ned</w:t>
      </w:r>
      <w:r w:rsidR="00844A3A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elje, </w:t>
      </w:r>
      <w:r w:rsidR="00826F83">
        <w:rPr>
          <w:sz w:val="22"/>
          <w:szCs w:val="22"/>
        </w:rPr>
        <w:t>primijećen</w:t>
      </w:r>
      <w:r w:rsidRPr="00E5029D">
        <w:rPr>
          <w:sz w:val="22"/>
          <w:szCs w:val="22"/>
        </w:rPr>
        <w:t xml:space="preserve">o je da se porast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kreatin kinaze (CK) &gt; 10 puta iznad gornje granice normalnih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i mišićni simptomi koji se javljuju nakon fizičkog napora ili povećane fizičke aktivnosti, češće se javljaju kod</w:t>
      </w:r>
      <w:r w:rsidR="00B637A4">
        <w:rPr>
          <w:sz w:val="22"/>
          <w:szCs w:val="22"/>
        </w:rPr>
        <w:t xml:space="preserve"> djece </w:t>
      </w:r>
      <w:r w:rsidRPr="00E5029D">
        <w:rPr>
          <w:sz w:val="22"/>
          <w:szCs w:val="22"/>
        </w:rPr>
        <w:t>i adolescenata nego kod odraslih. U svakom drugom pogledu, bezb</w:t>
      </w:r>
      <w:r w:rsidR="00844A3A">
        <w:rPr>
          <w:sz w:val="22"/>
          <w:szCs w:val="22"/>
        </w:rPr>
        <w:t>j</w:t>
      </w:r>
      <w:r w:rsidRPr="00E5029D">
        <w:rPr>
          <w:sz w:val="22"/>
          <w:szCs w:val="22"/>
        </w:rPr>
        <w:t>ednosni profil rosuvastatina kod</w:t>
      </w:r>
      <w:r w:rsidR="00B637A4">
        <w:rPr>
          <w:sz w:val="22"/>
          <w:szCs w:val="22"/>
        </w:rPr>
        <w:t xml:space="preserve"> djece </w:t>
      </w:r>
      <w:r w:rsidRPr="00E5029D">
        <w:rPr>
          <w:sz w:val="22"/>
          <w:szCs w:val="22"/>
        </w:rPr>
        <w:t xml:space="preserve">i adolescenata bio je sličan kao kod odraslih. </w:t>
      </w:r>
    </w:p>
    <w:p w14:paraId="2C838E71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4DFC4BB5" w14:textId="77777777" w:rsidR="0000248E" w:rsidRPr="00E5029D" w:rsidRDefault="0000248E" w:rsidP="007272B4">
      <w:pPr>
        <w:jc w:val="both"/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 xml:space="preserve">Ezetimib: </w:t>
      </w:r>
    </w:p>
    <w:p w14:paraId="62F1439B" w14:textId="7777777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Pedijatrijski pacijenti (uzrasta od 6 do 17 godina) </w:t>
      </w:r>
    </w:p>
    <w:p w14:paraId="5CBB7DE1" w14:textId="39567DB3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U jednoj studiji u kojoj su učestvovali pedijatrijski pacijenti (uzrasta od 6 do 10 godina), sa heterozigotnom familijarnom ili nefamilijarnom hiperholesterolemijom (n=138), povećanje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ALT i/ili AST (≥ 3 puta iznad gornje granice normalih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i, uzastopno) uočeno je kod 1,1% pacijenata (1 pacijent) koji su uzimali ezetimib, u poređenju sa 0% pacijenata u grupi koja je primala placebo.</w:t>
      </w:r>
      <w:r w:rsidR="006A3E14">
        <w:rPr>
          <w:sz w:val="22"/>
          <w:szCs w:val="22"/>
        </w:rPr>
        <w:t xml:space="preserve"> </w:t>
      </w:r>
      <w:r w:rsidR="00844A3A">
        <w:rPr>
          <w:sz w:val="22"/>
          <w:szCs w:val="22"/>
        </w:rPr>
        <w:t>N</w:t>
      </w:r>
      <w:r w:rsidR="006A3E14">
        <w:rPr>
          <w:sz w:val="22"/>
          <w:szCs w:val="22"/>
        </w:rPr>
        <w:t xml:space="preserve">ijesu </w:t>
      </w:r>
      <w:r w:rsidR="00074F21">
        <w:rPr>
          <w:sz w:val="22"/>
          <w:szCs w:val="22"/>
        </w:rPr>
        <w:t>zabilježena</w:t>
      </w:r>
      <w:r w:rsidRPr="00E5029D">
        <w:rPr>
          <w:sz w:val="22"/>
          <w:szCs w:val="22"/>
        </w:rPr>
        <w:t xml:space="preserve"> povećanja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keratin fosfokinaze (≥ 10 puta iznad granice normalnih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i). Nije bilo prijavljenih slučajeva miopatije.</w:t>
      </w:r>
    </w:p>
    <w:p w14:paraId="1FD90226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62645608" w14:textId="56239958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U drugoj studiji sprovedenoj na pacijentima u adolescenciji (uzrasta od 10 do 17 godina) sa heterozigotnom familijarnom hiperholesterolemijom (n=248), </w:t>
      </w:r>
      <w:r w:rsidR="00826F83">
        <w:rPr>
          <w:sz w:val="22"/>
          <w:szCs w:val="22"/>
        </w:rPr>
        <w:t>primijećen</w:t>
      </w:r>
      <w:r w:rsidRPr="00E5029D">
        <w:rPr>
          <w:sz w:val="22"/>
          <w:szCs w:val="22"/>
        </w:rPr>
        <w:t xml:space="preserve">o je povećanje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ALT i/ili AST (≥ 3 puta iznad gornje granice normalnih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i, uzastopno) kod 3% pacijenata (4 pacijenta) koji su uzimali ezetimib sa simvastatinom, u poređenju sa 2% (2 pacijenta) pacijenata koji su uzimali samo simvastatin; 2% (2 pacijenta) koji su primal</w:t>
      </w:r>
      <w:r w:rsidR="00844A3A">
        <w:rPr>
          <w:sz w:val="22"/>
          <w:szCs w:val="22"/>
        </w:rPr>
        <w:t>i</w:t>
      </w:r>
      <w:r w:rsidRPr="00E5029D">
        <w:rPr>
          <w:sz w:val="22"/>
          <w:szCs w:val="22"/>
        </w:rPr>
        <w:t xml:space="preserve"> ezetimib sa simvastatinom odnosno 0% pacijenata koji su primal</w:t>
      </w:r>
      <w:r w:rsidR="00844A3A">
        <w:rPr>
          <w:sz w:val="22"/>
          <w:szCs w:val="22"/>
        </w:rPr>
        <w:t>i</w:t>
      </w:r>
      <w:r w:rsidRPr="00E5029D">
        <w:rPr>
          <w:sz w:val="22"/>
          <w:szCs w:val="22"/>
        </w:rPr>
        <w:t xml:space="preserve"> samo simvastatin imalo je povećane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keratin fosfokinaze (≥ 10 puta iznad gornje granice normalnih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i) Nije bilo prijavljenih slučajeva miopatije. Ova klinička ispitivanja</w:t>
      </w:r>
      <w:r w:rsidR="006A3E14">
        <w:rPr>
          <w:sz w:val="22"/>
          <w:szCs w:val="22"/>
        </w:rPr>
        <w:t xml:space="preserve"> nijesu </w:t>
      </w:r>
      <w:r w:rsidRPr="00E5029D">
        <w:rPr>
          <w:sz w:val="22"/>
          <w:szCs w:val="22"/>
        </w:rPr>
        <w:t>bila prikladna za poređenje r</w:t>
      </w:r>
      <w:r w:rsidR="00844A3A">
        <w:rPr>
          <w:sz w:val="22"/>
          <w:szCs w:val="22"/>
        </w:rPr>
        <w:t>ij</w:t>
      </w:r>
      <w:r w:rsidRPr="00E5029D">
        <w:rPr>
          <w:sz w:val="22"/>
          <w:szCs w:val="22"/>
        </w:rPr>
        <w:t>etkih neželjenih dejstava na l</w:t>
      </w:r>
      <w:r w:rsidR="00844A3A">
        <w:rPr>
          <w:sz w:val="22"/>
          <w:szCs w:val="22"/>
        </w:rPr>
        <w:t>ij</w:t>
      </w:r>
      <w:r w:rsidRPr="00E5029D">
        <w:rPr>
          <w:sz w:val="22"/>
          <w:szCs w:val="22"/>
        </w:rPr>
        <w:t>ek između ispitivanih grupa.</w:t>
      </w:r>
    </w:p>
    <w:p w14:paraId="15DB6E64" w14:textId="238BC656" w:rsidR="0000248E" w:rsidRPr="00E5029D" w:rsidRDefault="0000248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4448697" w14:textId="77777777" w:rsidR="0000248E" w:rsidRPr="00E5029D" w:rsidRDefault="0000248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ACA6478" w14:textId="77777777" w:rsidR="005A23D2" w:rsidRPr="00E5029D" w:rsidRDefault="005A23D2" w:rsidP="007272B4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E5029D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617D0A43" w14:textId="77777777" w:rsidR="005A23D2" w:rsidRPr="00E5029D" w:rsidRDefault="005A23D2" w:rsidP="00875F08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E5029D">
        <w:rPr>
          <w:rFonts w:eastAsia="Calibri"/>
          <w:sz w:val="22"/>
          <w:szCs w:val="22"/>
          <w:lang w:val="sr-Latn-RS"/>
        </w:rPr>
        <w:lastRenderedPageBreak/>
        <w:t>Prijavljivanje neželjenih dejstava nakon dobijanja dozvole je od velikog značaja jer obezbjeđuje kont</w:t>
      </w:r>
      <w:r w:rsidR="00EA5765" w:rsidRPr="00E5029D">
        <w:rPr>
          <w:rFonts w:eastAsia="Calibri"/>
          <w:sz w:val="22"/>
          <w:szCs w:val="22"/>
          <w:lang w:val="sr-Latn-RS"/>
        </w:rPr>
        <w:t>inuirano praćenje odnosa korist</w:t>
      </w:r>
      <w:r w:rsidRPr="00E5029D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E5029D">
        <w:rPr>
          <w:rFonts w:eastAsia="Calibri"/>
          <w:sz w:val="22"/>
          <w:szCs w:val="22"/>
          <w:lang w:val="sr-Latn-RS"/>
        </w:rPr>
        <w:t xml:space="preserve"> </w:t>
      </w:r>
      <w:r w:rsidRPr="00E5029D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E5029D">
        <w:rPr>
          <w:rFonts w:eastAsia="Calibri"/>
          <w:sz w:val="22"/>
          <w:szCs w:val="22"/>
          <w:lang w:val="sr-Latn-RS"/>
        </w:rPr>
        <w:t>Institutu</w:t>
      </w:r>
      <w:r w:rsidRPr="00E5029D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E5029D">
        <w:rPr>
          <w:rFonts w:eastAsia="Calibri"/>
          <w:sz w:val="22"/>
          <w:szCs w:val="22"/>
          <w:lang w:val="sr-Latn-RS"/>
        </w:rPr>
        <w:t xml:space="preserve"> </w:t>
      </w:r>
      <w:r w:rsidRPr="00E5029D">
        <w:rPr>
          <w:rFonts w:eastAsia="Calibri"/>
          <w:sz w:val="22"/>
          <w:szCs w:val="22"/>
          <w:lang w:val="sr-Latn-RS"/>
        </w:rPr>
        <w:t>(</w:t>
      </w:r>
      <w:r w:rsidR="004E70AD" w:rsidRPr="00E5029D">
        <w:rPr>
          <w:rFonts w:eastAsia="Calibri"/>
          <w:sz w:val="22"/>
          <w:szCs w:val="22"/>
          <w:lang w:val="sr-Latn-RS"/>
        </w:rPr>
        <w:t>CInMED</w:t>
      </w:r>
      <w:r w:rsidRPr="00E5029D">
        <w:rPr>
          <w:rFonts w:eastAsia="Calibri"/>
          <w:sz w:val="22"/>
          <w:szCs w:val="22"/>
          <w:lang w:val="sr-Latn-RS"/>
        </w:rPr>
        <w:t>):</w:t>
      </w:r>
    </w:p>
    <w:p w14:paraId="14FF8ECC" w14:textId="77777777" w:rsidR="005A23D2" w:rsidRPr="00E5029D" w:rsidRDefault="004E70A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E5029D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E5029D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2B15F583" w14:textId="77777777" w:rsidR="005A23D2" w:rsidRPr="00E5029D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E5029D">
        <w:rPr>
          <w:rFonts w:eastAsia="Calibri"/>
          <w:sz w:val="22"/>
          <w:szCs w:val="22"/>
          <w:lang w:val="sr-Latn-RS"/>
        </w:rPr>
        <w:t>Odjeljenje za farmakovigilancu</w:t>
      </w:r>
    </w:p>
    <w:p w14:paraId="04786E6C" w14:textId="77777777" w:rsidR="00EA5765" w:rsidRPr="00E5029D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E5029D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1B30D1D2" w14:textId="77777777" w:rsidR="00EA5765" w:rsidRPr="00E5029D" w:rsidRDefault="00EA5765" w:rsidP="007272B4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AEE1BB0" w14:textId="77777777" w:rsidR="005A23D2" w:rsidRPr="00E5029D" w:rsidRDefault="005A23D2" w:rsidP="00875F0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E5029D">
        <w:rPr>
          <w:rFonts w:eastAsia="Calibri"/>
          <w:sz w:val="22"/>
          <w:szCs w:val="22"/>
          <w:lang w:val="sr-Latn-RS"/>
        </w:rPr>
        <w:t>tel: +382 (0) 20 310 280</w:t>
      </w:r>
    </w:p>
    <w:p w14:paraId="5BA903D4" w14:textId="77777777" w:rsidR="00EA5765" w:rsidRPr="00E5029D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E5029D">
        <w:rPr>
          <w:rFonts w:eastAsia="Calibri"/>
          <w:sz w:val="22"/>
          <w:szCs w:val="22"/>
          <w:lang w:val="sr-Latn-RS"/>
        </w:rPr>
        <w:t>fax:</w:t>
      </w:r>
      <w:r w:rsidR="00EA5765" w:rsidRPr="00E5029D">
        <w:rPr>
          <w:rFonts w:eastAsia="Calibri"/>
          <w:sz w:val="22"/>
          <w:szCs w:val="22"/>
          <w:lang w:val="sr-Latn-RS"/>
        </w:rPr>
        <w:t xml:space="preserve"> </w:t>
      </w:r>
      <w:r w:rsidRPr="00E5029D">
        <w:rPr>
          <w:rFonts w:eastAsia="Calibri"/>
          <w:sz w:val="22"/>
          <w:szCs w:val="22"/>
          <w:lang w:val="sr-Latn-RS"/>
        </w:rPr>
        <w:t>+382 (0) 20 310 581</w:t>
      </w:r>
    </w:p>
    <w:p w14:paraId="7E04D47F" w14:textId="77777777" w:rsidR="005A23D2" w:rsidRPr="00E5029D" w:rsidRDefault="00054AC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11" w:history="1">
        <w:r w:rsidR="004E70AD" w:rsidRPr="00E5029D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1A590F57" w14:textId="77777777" w:rsidR="00EA5765" w:rsidRPr="00E5029D" w:rsidRDefault="00054AC4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2" w:history="1">
        <w:r w:rsidR="004E70AD" w:rsidRPr="00E5029D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65AE322D" w14:textId="77777777" w:rsidR="005A23D2" w:rsidRPr="00E5029D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E5029D">
        <w:rPr>
          <w:rFonts w:eastAsia="Calibri"/>
          <w:sz w:val="22"/>
          <w:szCs w:val="22"/>
          <w:lang w:val="sr-Latn-RS"/>
        </w:rPr>
        <w:t>putem IS zdravstvene zaštite</w:t>
      </w:r>
    </w:p>
    <w:p w14:paraId="66C7E3AD" w14:textId="744C5E05" w:rsidR="00836B35" w:rsidRDefault="00836B35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0BFD6CF" w14:textId="6D0AFD10" w:rsidR="00472C77" w:rsidRDefault="00472C77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081ECEB3" wp14:editId="20EC4D7B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9B4858" w14:textId="77777777" w:rsidR="00472C77" w:rsidRPr="00E5029D" w:rsidRDefault="00472C77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D76634E" w14:textId="77777777" w:rsidR="00CD6F02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4.9.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Predoziranje</w:t>
      </w:r>
      <w:r w:rsidR="002846DB" w:rsidRPr="00E5029D">
        <w:rPr>
          <w:b/>
          <w:bCs/>
          <w:sz w:val="22"/>
          <w:szCs w:val="22"/>
        </w:rPr>
        <w:t xml:space="preserve"> </w:t>
      </w:r>
    </w:p>
    <w:p w14:paraId="61CC59B0" w14:textId="77777777" w:rsidR="00CD6F02" w:rsidRPr="00E5029D" w:rsidRDefault="00CD6F02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10BBB94" w14:textId="7777777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Nema objavljenih podataka u literaturi o predoziranju rosuvastatinom. </w:t>
      </w:r>
    </w:p>
    <w:p w14:paraId="7A27ED16" w14:textId="7777777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Nema specifične terapije u slučaju predoziranja rosuvastatinom. </w:t>
      </w:r>
    </w:p>
    <w:p w14:paraId="68BF5A67" w14:textId="2C5F766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U kliničkim ispitivanjima </w:t>
      </w:r>
      <w:r w:rsidR="003A7705">
        <w:rPr>
          <w:sz w:val="22"/>
          <w:szCs w:val="22"/>
        </w:rPr>
        <w:t>kod</w:t>
      </w:r>
      <w:r w:rsidRPr="00E5029D">
        <w:rPr>
          <w:sz w:val="22"/>
          <w:szCs w:val="22"/>
        </w:rPr>
        <w:t xml:space="preserve"> 15 zdravih ispitanika koji su primali ezetimib u dozi od 50 mg dnevno, do 14 dana, ili </w:t>
      </w:r>
      <w:r w:rsidR="003A7705">
        <w:rPr>
          <w:sz w:val="22"/>
          <w:szCs w:val="22"/>
        </w:rPr>
        <w:t>kod</w:t>
      </w:r>
      <w:r w:rsidRPr="00E5029D">
        <w:rPr>
          <w:sz w:val="22"/>
          <w:szCs w:val="22"/>
        </w:rPr>
        <w:t xml:space="preserve"> 18 pacijenata sa primarnom hiperholesterolemijom koji su primali ezetimib u dozi od 40 mg dnevno do 56 dana, ezetimib se uopšteno dobro podnosio. Kod životinja</w:t>
      </w:r>
      <w:r w:rsidR="006A3E14">
        <w:rPr>
          <w:sz w:val="22"/>
          <w:szCs w:val="22"/>
        </w:rPr>
        <w:t xml:space="preserve"> nijesu zabilježen</w:t>
      </w:r>
      <w:r w:rsidRPr="00E5029D">
        <w:rPr>
          <w:sz w:val="22"/>
          <w:szCs w:val="22"/>
        </w:rPr>
        <w:t xml:space="preserve">i toksični efekti nakon davanja jednokratnih oralnih doza ezetimiba od 5000 mg/kg kod pacova i miševa, odnosno 3000 mg/kg kod pasa. </w:t>
      </w:r>
    </w:p>
    <w:p w14:paraId="0FFC1389" w14:textId="1F5C0CD8" w:rsidR="0000248E" w:rsidRPr="00E5029D" w:rsidRDefault="006A3E14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Zabilježen</w:t>
      </w:r>
      <w:r w:rsidR="0000248E" w:rsidRPr="00E5029D">
        <w:rPr>
          <w:sz w:val="22"/>
          <w:szCs w:val="22"/>
        </w:rPr>
        <w:t>o je samo nekoliko slučajeva predoziranja ezetimibom, a većina tih slučajeva nije bila povezana sa neželjenim dejstvima. Prijavljena neželjena dejstva</w:t>
      </w:r>
      <w:r>
        <w:rPr>
          <w:sz w:val="22"/>
          <w:szCs w:val="22"/>
        </w:rPr>
        <w:t xml:space="preserve"> nijesu </w:t>
      </w:r>
      <w:r w:rsidR="0000248E" w:rsidRPr="00E5029D">
        <w:rPr>
          <w:sz w:val="22"/>
          <w:szCs w:val="22"/>
        </w:rPr>
        <w:t>bila ozbiljna.</w:t>
      </w:r>
    </w:p>
    <w:p w14:paraId="54863ABF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3C889245" w14:textId="5F8C7862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U slučaju predoziranja, potrebno je da se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 xml:space="preserve"> simptomatske i suportivne m</w:t>
      </w:r>
      <w:r w:rsidR="008E0959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ere </w:t>
      </w:r>
      <w:r w:rsidR="00772014">
        <w:rPr>
          <w:sz w:val="22"/>
          <w:szCs w:val="22"/>
        </w:rPr>
        <w:t>liječenja</w:t>
      </w:r>
      <w:r w:rsidRPr="00E5029D">
        <w:rPr>
          <w:sz w:val="22"/>
          <w:szCs w:val="22"/>
        </w:rPr>
        <w:t xml:space="preserve">. Moraju se pratiti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funkcionalnih testova jetre i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kreatin kinaze. Malo je v</w:t>
      </w:r>
      <w:r w:rsidR="008E0959">
        <w:rPr>
          <w:sz w:val="22"/>
          <w:szCs w:val="22"/>
        </w:rPr>
        <w:t>j</w:t>
      </w:r>
      <w:r w:rsidRPr="00E5029D">
        <w:rPr>
          <w:sz w:val="22"/>
          <w:szCs w:val="22"/>
        </w:rPr>
        <w:t>erovatno da će hemodijaliza biti od koristi.</w:t>
      </w:r>
    </w:p>
    <w:p w14:paraId="7799912C" w14:textId="2433AA1D" w:rsidR="00227BDB" w:rsidRDefault="00227BDB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D11D799" w14:textId="77777777" w:rsidR="00772F51" w:rsidRPr="00E5029D" w:rsidRDefault="00772F51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96335D3" w14:textId="77777777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5.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FARMAKOLOŠK</w:t>
      </w:r>
      <w:r w:rsidR="000D425A" w:rsidRPr="00E5029D">
        <w:rPr>
          <w:b/>
          <w:bCs/>
          <w:sz w:val="22"/>
          <w:szCs w:val="22"/>
        </w:rPr>
        <w:t>I</w:t>
      </w:r>
      <w:r w:rsidRPr="00E5029D">
        <w:rPr>
          <w:b/>
          <w:bCs/>
          <w:sz w:val="22"/>
          <w:szCs w:val="22"/>
        </w:rPr>
        <w:t xml:space="preserve"> PODACI</w:t>
      </w:r>
    </w:p>
    <w:p w14:paraId="4E14CEC5" w14:textId="77777777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F4D43B8" w14:textId="77777777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5.1.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Farmakodinamski podaci</w:t>
      </w:r>
      <w:r w:rsidR="003A7059" w:rsidRPr="00E5029D">
        <w:rPr>
          <w:b/>
          <w:bCs/>
          <w:sz w:val="22"/>
          <w:szCs w:val="22"/>
        </w:rPr>
        <w:t xml:space="preserve"> </w:t>
      </w:r>
    </w:p>
    <w:p w14:paraId="222BAFC1" w14:textId="77777777" w:rsidR="00F45F77" w:rsidRPr="00E5029D" w:rsidRDefault="00F45F77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1CA7EDB" w14:textId="7FE9384B" w:rsidR="0000248E" w:rsidRPr="00E5029D" w:rsidRDefault="0000248E" w:rsidP="007272B4">
      <w:pPr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Farmakoterapijska grupa: </w:t>
      </w:r>
      <w:r w:rsidR="008E18CB">
        <w:rPr>
          <w:sz w:val="22"/>
          <w:szCs w:val="22"/>
        </w:rPr>
        <w:t>Ljekovi</w:t>
      </w:r>
      <w:r w:rsidRPr="00E5029D">
        <w:rPr>
          <w:sz w:val="22"/>
          <w:szCs w:val="22"/>
        </w:rPr>
        <w:t xml:space="preserve"> koji modifikuju lipide u serumu (hipolipemici); inhibitori HMG CoA reduktaze u kombinaciji sa drugim </w:t>
      </w:r>
      <w:r w:rsidR="008E18CB">
        <w:rPr>
          <w:sz w:val="22"/>
          <w:szCs w:val="22"/>
        </w:rPr>
        <w:t>ljekovi</w:t>
      </w:r>
      <w:r w:rsidRPr="00E5029D">
        <w:rPr>
          <w:sz w:val="22"/>
          <w:szCs w:val="22"/>
        </w:rPr>
        <w:t>ma koji modifikuju lipide u serumu</w:t>
      </w:r>
    </w:p>
    <w:p w14:paraId="307180AF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0D628D59" w14:textId="77777777" w:rsidR="0000248E" w:rsidRPr="00E5029D" w:rsidRDefault="0000248E" w:rsidP="007272B4">
      <w:pPr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ATC šifra: </w:t>
      </w:r>
      <w:r w:rsidRPr="00E5029D">
        <w:rPr>
          <w:sz w:val="22"/>
          <w:szCs w:val="22"/>
        </w:rPr>
        <w:t>C10BA06</w:t>
      </w:r>
    </w:p>
    <w:p w14:paraId="18D545A8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48DE0BF5" w14:textId="77777777" w:rsidR="0000248E" w:rsidRPr="00E5029D" w:rsidRDefault="0000248E" w:rsidP="007272B4">
      <w:pPr>
        <w:jc w:val="both"/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 xml:space="preserve">Rosuvastatin </w:t>
      </w:r>
    </w:p>
    <w:p w14:paraId="097D8C40" w14:textId="7777777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  <w:u w:val="single"/>
        </w:rPr>
        <w:t>Mehanizam dejstva</w:t>
      </w:r>
      <w:r w:rsidRPr="00E5029D">
        <w:rPr>
          <w:sz w:val="22"/>
          <w:szCs w:val="22"/>
        </w:rPr>
        <w:t xml:space="preserve"> </w:t>
      </w:r>
    </w:p>
    <w:p w14:paraId="307A2959" w14:textId="1057980B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Rosuvastatin je selektivni i kompetitivni inhibitor HMG-CoA reduktaze, enzima koji ograničava brzinu pretvaranja 3-hidroksi-3-metilglutaril koenzima A u mevalonat, koji je prekursor za holesterol. Primarno </w:t>
      </w:r>
      <w:r w:rsidR="002A030A">
        <w:rPr>
          <w:sz w:val="22"/>
          <w:szCs w:val="22"/>
        </w:rPr>
        <w:t>mjesto</w:t>
      </w:r>
      <w:r w:rsidRPr="00E5029D">
        <w:rPr>
          <w:sz w:val="22"/>
          <w:szCs w:val="22"/>
        </w:rPr>
        <w:t xml:space="preserve"> delovanja rosuvastatina je jetra, ciljni organ za smanjenje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holesterola. </w:t>
      </w:r>
    </w:p>
    <w:p w14:paraId="00DA3A1D" w14:textId="77777777" w:rsidR="002A030A" w:rsidRDefault="002A030A" w:rsidP="007272B4">
      <w:pPr>
        <w:jc w:val="both"/>
        <w:rPr>
          <w:sz w:val="22"/>
          <w:szCs w:val="22"/>
        </w:rPr>
      </w:pPr>
    </w:p>
    <w:p w14:paraId="59911AB7" w14:textId="05DCCE84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Rosuvastatin povećava broj jetrenih LDL receptora </w:t>
      </w:r>
      <w:proofErr w:type="gramStart"/>
      <w:r w:rsidRPr="00E5029D">
        <w:rPr>
          <w:sz w:val="22"/>
          <w:szCs w:val="22"/>
        </w:rPr>
        <w:t>na</w:t>
      </w:r>
      <w:proofErr w:type="gramEnd"/>
      <w:r w:rsidRPr="00E5029D">
        <w:rPr>
          <w:sz w:val="22"/>
          <w:szCs w:val="22"/>
        </w:rPr>
        <w:t xml:space="preserve"> površini ćelija, podstičući tako resorpciju i katabolizam LDL</w:t>
      </w:r>
      <w:r w:rsidR="002A030A">
        <w:rPr>
          <w:sz w:val="22"/>
          <w:szCs w:val="22"/>
        </w:rPr>
        <w:t>,</w:t>
      </w:r>
      <w:r w:rsidRPr="00E5029D">
        <w:rPr>
          <w:sz w:val="22"/>
          <w:szCs w:val="22"/>
        </w:rPr>
        <w:t xml:space="preserve"> a inhibira sintezu VLDL u jetri, smanjujući na taj način ukupni broj VLDL i LDL čestica.</w:t>
      </w:r>
    </w:p>
    <w:p w14:paraId="2EBAC116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4D8E4454" w14:textId="7777777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  <w:u w:val="single"/>
        </w:rPr>
        <w:lastRenderedPageBreak/>
        <w:t>Farmakodinamska dejstva</w:t>
      </w:r>
      <w:r w:rsidRPr="00E5029D">
        <w:rPr>
          <w:sz w:val="22"/>
          <w:szCs w:val="22"/>
        </w:rPr>
        <w:t xml:space="preserve"> </w:t>
      </w:r>
    </w:p>
    <w:p w14:paraId="65E03476" w14:textId="0FECA9C2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Rosuvastatin smanjuje povećane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LDL-holesterola, ukupnog holesterola i triglicerida, a povećava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HDL-holesterola. On takođe smanjuje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ApoB, holesterol koji ne potiče iz HDL-a (ne-HDLC), VLDL-C holesterol, (VLDL-C) i VLDL-trigliceride (VLDL-TG), a povećava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ApoA-I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Tabelu 1). Rosuvastatin takođe smanjuje sl</w:t>
      </w:r>
      <w:r w:rsidR="00B2400A">
        <w:rPr>
          <w:sz w:val="22"/>
          <w:szCs w:val="22"/>
        </w:rPr>
        <w:t>j</w:t>
      </w:r>
      <w:r w:rsidRPr="00E5029D">
        <w:rPr>
          <w:sz w:val="22"/>
          <w:szCs w:val="22"/>
        </w:rPr>
        <w:t>edeće odnose: LDL-C/HDL-C, ukupni C/HDL-C i odnos ne-HDLC/HDL-C, kao i odnos ApoB/ApoA-I.</w:t>
      </w:r>
    </w:p>
    <w:p w14:paraId="65498CEC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51B035D1" w14:textId="77777777" w:rsidR="0000248E" w:rsidRPr="00E5029D" w:rsidRDefault="0000248E" w:rsidP="007272B4">
      <w:pPr>
        <w:jc w:val="both"/>
        <w:rPr>
          <w:i/>
          <w:sz w:val="22"/>
          <w:szCs w:val="22"/>
          <w:u w:val="single"/>
        </w:rPr>
      </w:pPr>
      <w:r w:rsidRPr="00E5029D">
        <w:rPr>
          <w:i/>
          <w:sz w:val="22"/>
          <w:szCs w:val="22"/>
          <w:u w:val="single"/>
        </w:rPr>
        <w:t xml:space="preserve">Dozni odgovor kod pacijenata sa primarnom hiperholesterolemijom (tip IIa i IIb) </w:t>
      </w:r>
    </w:p>
    <w:p w14:paraId="700D64F8" w14:textId="7C634B4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(prilagođeni srednji procenat prom</w:t>
      </w:r>
      <w:r w:rsidR="00BA0CA0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ene u odnosu na </w:t>
      </w:r>
      <w:r w:rsidR="007E5AC4">
        <w:rPr>
          <w:sz w:val="22"/>
          <w:szCs w:val="22"/>
        </w:rPr>
        <w:t>vrijednost</w:t>
      </w:r>
      <w:r w:rsidR="006A3E14">
        <w:rPr>
          <w:sz w:val="22"/>
          <w:szCs w:val="22"/>
        </w:rPr>
        <w:t xml:space="preserve"> prije </w:t>
      </w:r>
      <w:r w:rsidRPr="00E5029D">
        <w:rPr>
          <w:sz w:val="22"/>
          <w:szCs w:val="22"/>
        </w:rPr>
        <w:t xml:space="preserve">početka </w:t>
      </w:r>
      <w:r w:rsidR="00772014">
        <w:rPr>
          <w:sz w:val="22"/>
          <w:szCs w:val="22"/>
        </w:rPr>
        <w:t>liječenja</w:t>
      </w:r>
      <w:r w:rsidRPr="00E5029D">
        <w:rPr>
          <w:sz w:val="22"/>
          <w:szCs w:val="22"/>
        </w:rPr>
        <w:t>)</w:t>
      </w:r>
    </w:p>
    <w:p w14:paraId="4CE77A53" w14:textId="77777777" w:rsidR="0000248E" w:rsidRPr="00E5029D" w:rsidRDefault="0000248E" w:rsidP="007272B4">
      <w:pPr>
        <w:jc w:val="both"/>
        <w:rPr>
          <w:sz w:val="22"/>
          <w:szCs w:val="22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1077"/>
        <w:gridCol w:w="1077"/>
        <w:gridCol w:w="1077"/>
        <w:gridCol w:w="1077"/>
        <w:gridCol w:w="960"/>
        <w:gridCol w:w="1276"/>
        <w:gridCol w:w="995"/>
        <w:gridCol w:w="1077"/>
      </w:tblGrid>
      <w:tr w:rsidR="0000248E" w:rsidRPr="00E5029D" w14:paraId="26C78AC9" w14:textId="77777777" w:rsidTr="006C7367">
        <w:trPr>
          <w:trHeight w:val="102"/>
        </w:trPr>
        <w:tc>
          <w:tcPr>
            <w:tcW w:w="1077" w:type="dxa"/>
          </w:tcPr>
          <w:p w14:paraId="674CA249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Doza</w:t>
            </w:r>
          </w:p>
        </w:tc>
        <w:tc>
          <w:tcPr>
            <w:tcW w:w="1077" w:type="dxa"/>
          </w:tcPr>
          <w:p w14:paraId="01FAA616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N</w:t>
            </w:r>
          </w:p>
        </w:tc>
        <w:tc>
          <w:tcPr>
            <w:tcW w:w="1077" w:type="dxa"/>
          </w:tcPr>
          <w:p w14:paraId="07C24C1F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LDL-C</w:t>
            </w:r>
          </w:p>
        </w:tc>
        <w:tc>
          <w:tcPr>
            <w:tcW w:w="1077" w:type="dxa"/>
          </w:tcPr>
          <w:p w14:paraId="43EF0899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Total-C</w:t>
            </w:r>
          </w:p>
        </w:tc>
        <w:tc>
          <w:tcPr>
            <w:tcW w:w="1077" w:type="dxa"/>
          </w:tcPr>
          <w:p w14:paraId="44299D0E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HDL-C</w:t>
            </w:r>
          </w:p>
        </w:tc>
        <w:tc>
          <w:tcPr>
            <w:tcW w:w="960" w:type="dxa"/>
          </w:tcPr>
          <w:p w14:paraId="0B7AF795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TG</w:t>
            </w:r>
          </w:p>
        </w:tc>
        <w:tc>
          <w:tcPr>
            <w:tcW w:w="1276" w:type="dxa"/>
          </w:tcPr>
          <w:p w14:paraId="0778CC46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Ne-HDL-C</w:t>
            </w:r>
          </w:p>
        </w:tc>
        <w:tc>
          <w:tcPr>
            <w:tcW w:w="995" w:type="dxa"/>
          </w:tcPr>
          <w:p w14:paraId="4041554C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ApoB</w:t>
            </w:r>
          </w:p>
        </w:tc>
        <w:tc>
          <w:tcPr>
            <w:tcW w:w="1077" w:type="dxa"/>
          </w:tcPr>
          <w:p w14:paraId="25722378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ApoA-I</w:t>
            </w:r>
          </w:p>
        </w:tc>
      </w:tr>
      <w:tr w:rsidR="0000248E" w:rsidRPr="00E5029D" w14:paraId="67D46F02" w14:textId="77777777" w:rsidTr="006C7367">
        <w:trPr>
          <w:trHeight w:val="102"/>
        </w:trPr>
        <w:tc>
          <w:tcPr>
            <w:tcW w:w="1077" w:type="dxa"/>
          </w:tcPr>
          <w:p w14:paraId="502412D7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Placebo</w:t>
            </w:r>
          </w:p>
        </w:tc>
        <w:tc>
          <w:tcPr>
            <w:tcW w:w="1077" w:type="dxa"/>
          </w:tcPr>
          <w:p w14:paraId="12F3A96F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13</w:t>
            </w:r>
          </w:p>
        </w:tc>
        <w:tc>
          <w:tcPr>
            <w:tcW w:w="1077" w:type="dxa"/>
          </w:tcPr>
          <w:p w14:paraId="28B7CD4F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-7</w:t>
            </w:r>
          </w:p>
        </w:tc>
        <w:tc>
          <w:tcPr>
            <w:tcW w:w="1077" w:type="dxa"/>
          </w:tcPr>
          <w:p w14:paraId="2E4C1C34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-5</w:t>
            </w:r>
          </w:p>
        </w:tc>
        <w:tc>
          <w:tcPr>
            <w:tcW w:w="1077" w:type="dxa"/>
          </w:tcPr>
          <w:p w14:paraId="38E2BBD3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3</w:t>
            </w:r>
          </w:p>
        </w:tc>
        <w:tc>
          <w:tcPr>
            <w:tcW w:w="960" w:type="dxa"/>
          </w:tcPr>
          <w:p w14:paraId="6D4C6BAF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-3</w:t>
            </w:r>
          </w:p>
        </w:tc>
        <w:tc>
          <w:tcPr>
            <w:tcW w:w="1276" w:type="dxa"/>
          </w:tcPr>
          <w:p w14:paraId="27CC1734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-7</w:t>
            </w:r>
          </w:p>
        </w:tc>
        <w:tc>
          <w:tcPr>
            <w:tcW w:w="995" w:type="dxa"/>
          </w:tcPr>
          <w:p w14:paraId="5BA2FED4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-3</w:t>
            </w:r>
          </w:p>
        </w:tc>
        <w:tc>
          <w:tcPr>
            <w:tcW w:w="1077" w:type="dxa"/>
          </w:tcPr>
          <w:p w14:paraId="1716FC29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0</w:t>
            </w:r>
          </w:p>
        </w:tc>
      </w:tr>
      <w:tr w:rsidR="0000248E" w:rsidRPr="00E5029D" w14:paraId="3F7F9BA3" w14:textId="77777777" w:rsidTr="006C7367">
        <w:trPr>
          <w:trHeight w:val="102"/>
        </w:trPr>
        <w:tc>
          <w:tcPr>
            <w:tcW w:w="1077" w:type="dxa"/>
          </w:tcPr>
          <w:p w14:paraId="5BB38FD1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5 mg</w:t>
            </w:r>
          </w:p>
        </w:tc>
        <w:tc>
          <w:tcPr>
            <w:tcW w:w="1077" w:type="dxa"/>
          </w:tcPr>
          <w:p w14:paraId="12A13AF1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17</w:t>
            </w:r>
          </w:p>
        </w:tc>
        <w:tc>
          <w:tcPr>
            <w:tcW w:w="1077" w:type="dxa"/>
          </w:tcPr>
          <w:p w14:paraId="4E5EE63F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-45</w:t>
            </w:r>
          </w:p>
        </w:tc>
        <w:tc>
          <w:tcPr>
            <w:tcW w:w="1077" w:type="dxa"/>
          </w:tcPr>
          <w:p w14:paraId="29B3EFA8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-33</w:t>
            </w:r>
          </w:p>
        </w:tc>
        <w:tc>
          <w:tcPr>
            <w:tcW w:w="1077" w:type="dxa"/>
          </w:tcPr>
          <w:p w14:paraId="76FDC1AA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13</w:t>
            </w:r>
          </w:p>
        </w:tc>
        <w:tc>
          <w:tcPr>
            <w:tcW w:w="960" w:type="dxa"/>
          </w:tcPr>
          <w:p w14:paraId="7FFB9B74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-35</w:t>
            </w:r>
          </w:p>
        </w:tc>
        <w:tc>
          <w:tcPr>
            <w:tcW w:w="1276" w:type="dxa"/>
          </w:tcPr>
          <w:p w14:paraId="7287A55A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-44</w:t>
            </w:r>
          </w:p>
        </w:tc>
        <w:tc>
          <w:tcPr>
            <w:tcW w:w="995" w:type="dxa"/>
          </w:tcPr>
          <w:p w14:paraId="58DF6368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-38</w:t>
            </w:r>
          </w:p>
        </w:tc>
        <w:tc>
          <w:tcPr>
            <w:tcW w:w="1077" w:type="dxa"/>
          </w:tcPr>
          <w:p w14:paraId="0CF57469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4</w:t>
            </w:r>
          </w:p>
        </w:tc>
      </w:tr>
      <w:tr w:rsidR="0000248E" w:rsidRPr="00E5029D" w14:paraId="32F4F7B6" w14:textId="77777777" w:rsidTr="006C7367">
        <w:trPr>
          <w:trHeight w:val="102"/>
        </w:trPr>
        <w:tc>
          <w:tcPr>
            <w:tcW w:w="1077" w:type="dxa"/>
          </w:tcPr>
          <w:p w14:paraId="1D829E99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10 mg</w:t>
            </w:r>
          </w:p>
        </w:tc>
        <w:tc>
          <w:tcPr>
            <w:tcW w:w="1077" w:type="dxa"/>
          </w:tcPr>
          <w:p w14:paraId="370B1A04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17</w:t>
            </w:r>
          </w:p>
        </w:tc>
        <w:tc>
          <w:tcPr>
            <w:tcW w:w="1077" w:type="dxa"/>
          </w:tcPr>
          <w:p w14:paraId="3FF1DB67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-52</w:t>
            </w:r>
          </w:p>
        </w:tc>
        <w:tc>
          <w:tcPr>
            <w:tcW w:w="1077" w:type="dxa"/>
          </w:tcPr>
          <w:p w14:paraId="3C7AD0FD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-36</w:t>
            </w:r>
          </w:p>
        </w:tc>
        <w:tc>
          <w:tcPr>
            <w:tcW w:w="1077" w:type="dxa"/>
          </w:tcPr>
          <w:p w14:paraId="4EB05A31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14</w:t>
            </w:r>
          </w:p>
        </w:tc>
        <w:tc>
          <w:tcPr>
            <w:tcW w:w="960" w:type="dxa"/>
          </w:tcPr>
          <w:p w14:paraId="5E80F34C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-10</w:t>
            </w:r>
          </w:p>
        </w:tc>
        <w:tc>
          <w:tcPr>
            <w:tcW w:w="1276" w:type="dxa"/>
          </w:tcPr>
          <w:p w14:paraId="1402A139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-48</w:t>
            </w:r>
          </w:p>
        </w:tc>
        <w:tc>
          <w:tcPr>
            <w:tcW w:w="995" w:type="dxa"/>
          </w:tcPr>
          <w:p w14:paraId="43EFCFCA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-42</w:t>
            </w:r>
          </w:p>
        </w:tc>
        <w:tc>
          <w:tcPr>
            <w:tcW w:w="1077" w:type="dxa"/>
          </w:tcPr>
          <w:p w14:paraId="6203482E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4</w:t>
            </w:r>
          </w:p>
        </w:tc>
      </w:tr>
      <w:tr w:rsidR="0000248E" w:rsidRPr="00E5029D" w14:paraId="0436FD21" w14:textId="77777777" w:rsidTr="006C7367">
        <w:trPr>
          <w:trHeight w:val="102"/>
        </w:trPr>
        <w:tc>
          <w:tcPr>
            <w:tcW w:w="1077" w:type="dxa"/>
          </w:tcPr>
          <w:p w14:paraId="7ACFC347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20 mg</w:t>
            </w:r>
          </w:p>
        </w:tc>
        <w:tc>
          <w:tcPr>
            <w:tcW w:w="1077" w:type="dxa"/>
          </w:tcPr>
          <w:p w14:paraId="0F83638C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17</w:t>
            </w:r>
          </w:p>
        </w:tc>
        <w:tc>
          <w:tcPr>
            <w:tcW w:w="1077" w:type="dxa"/>
          </w:tcPr>
          <w:p w14:paraId="3E8EA2F0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-55</w:t>
            </w:r>
          </w:p>
        </w:tc>
        <w:tc>
          <w:tcPr>
            <w:tcW w:w="1077" w:type="dxa"/>
          </w:tcPr>
          <w:p w14:paraId="010DAA0E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-40</w:t>
            </w:r>
          </w:p>
        </w:tc>
        <w:tc>
          <w:tcPr>
            <w:tcW w:w="1077" w:type="dxa"/>
          </w:tcPr>
          <w:p w14:paraId="04419EE6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8</w:t>
            </w:r>
          </w:p>
        </w:tc>
        <w:tc>
          <w:tcPr>
            <w:tcW w:w="960" w:type="dxa"/>
          </w:tcPr>
          <w:p w14:paraId="64799FCA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-23</w:t>
            </w:r>
          </w:p>
        </w:tc>
        <w:tc>
          <w:tcPr>
            <w:tcW w:w="1276" w:type="dxa"/>
          </w:tcPr>
          <w:p w14:paraId="28F40399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-51</w:t>
            </w:r>
          </w:p>
        </w:tc>
        <w:tc>
          <w:tcPr>
            <w:tcW w:w="995" w:type="dxa"/>
          </w:tcPr>
          <w:p w14:paraId="343ADECC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-46</w:t>
            </w:r>
          </w:p>
        </w:tc>
        <w:tc>
          <w:tcPr>
            <w:tcW w:w="1077" w:type="dxa"/>
          </w:tcPr>
          <w:p w14:paraId="51820642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5</w:t>
            </w:r>
          </w:p>
        </w:tc>
      </w:tr>
      <w:tr w:rsidR="0000248E" w:rsidRPr="00E5029D" w14:paraId="143B3CCB" w14:textId="77777777" w:rsidTr="006C7367">
        <w:trPr>
          <w:trHeight w:val="102"/>
        </w:trPr>
        <w:tc>
          <w:tcPr>
            <w:tcW w:w="1077" w:type="dxa"/>
          </w:tcPr>
          <w:p w14:paraId="4C9984B9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40 mg</w:t>
            </w:r>
          </w:p>
        </w:tc>
        <w:tc>
          <w:tcPr>
            <w:tcW w:w="1077" w:type="dxa"/>
          </w:tcPr>
          <w:p w14:paraId="38858DB7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18</w:t>
            </w:r>
          </w:p>
        </w:tc>
        <w:tc>
          <w:tcPr>
            <w:tcW w:w="1077" w:type="dxa"/>
          </w:tcPr>
          <w:p w14:paraId="769A7D85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-63</w:t>
            </w:r>
          </w:p>
        </w:tc>
        <w:tc>
          <w:tcPr>
            <w:tcW w:w="1077" w:type="dxa"/>
          </w:tcPr>
          <w:p w14:paraId="1FCE4191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-46</w:t>
            </w:r>
          </w:p>
        </w:tc>
        <w:tc>
          <w:tcPr>
            <w:tcW w:w="1077" w:type="dxa"/>
          </w:tcPr>
          <w:p w14:paraId="46B62108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10</w:t>
            </w:r>
          </w:p>
        </w:tc>
        <w:tc>
          <w:tcPr>
            <w:tcW w:w="960" w:type="dxa"/>
          </w:tcPr>
          <w:p w14:paraId="541E0313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-28</w:t>
            </w:r>
          </w:p>
        </w:tc>
        <w:tc>
          <w:tcPr>
            <w:tcW w:w="1276" w:type="dxa"/>
          </w:tcPr>
          <w:p w14:paraId="1E68E192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-60</w:t>
            </w:r>
          </w:p>
        </w:tc>
        <w:tc>
          <w:tcPr>
            <w:tcW w:w="995" w:type="dxa"/>
          </w:tcPr>
          <w:p w14:paraId="38A26692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-54</w:t>
            </w:r>
          </w:p>
        </w:tc>
        <w:tc>
          <w:tcPr>
            <w:tcW w:w="1077" w:type="dxa"/>
          </w:tcPr>
          <w:p w14:paraId="4945C249" w14:textId="77777777" w:rsidR="0000248E" w:rsidRPr="00E5029D" w:rsidRDefault="0000248E" w:rsidP="007272B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de-DE" w:eastAsia="de-DE"/>
              </w:rPr>
            </w:pPr>
            <w:r w:rsidRPr="00E5029D">
              <w:rPr>
                <w:color w:val="000000"/>
                <w:sz w:val="22"/>
                <w:szCs w:val="22"/>
                <w:lang w:val="de-DE" w:eastAsia="de-DE"/>
              </w:rPr>
              <w:t>0</w:t>
            </w:r>
          </w:p>
        </w:tc>
      </w:tr>
    </w:tbl>
    <w:p w14:paraId="3F97FC28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44B15E27" w14:textId="7C994B21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Terapijsko dejstvo se postiže u roku od ned</w:t>
      </w:r>
      <w:r w:rsidR="00B944AE">
        <w:rPr>
          <w:sz w:val="22"/>
          <w:szCs w:val="22"/>
        </w:rPr>
        <w:t>j</w:t>
      </w:r>
      <w:r w:rsidRPr="00E5029D">
        <w:rPr>
          <w:sz w:val="22"/>
          <w:szCs w:val="22"/>
        </w:rPr>
        <w:t>elju dana po započinjanju terapije, a 90% maksimalnog odgovora se postiže nakon 2 ned</w:t>
      </w:r>
      <w:r w:rsidR="00B944AE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elje. Maksimalni odgovor se obično postiže nakon 4 </w:t>
      </w:r>
      <w:r w:rsidR="00B944AE">
        <w:rPr>
          <w:sz w:val="22"/>
          <w:szCs w:val="22"/>
        </w:rPr>
        <w:t>nedjelje</w:t>
      </w:r>
      <w:r w:rsidRPr="00E5029D">
        <w:rPr>
          <w:sz w:val="22"/>
          <w:szCs w:val="22"/>
        </w:rPr>
        <w:t>, a nakon toga se održava.</w:t>
      </w:r>
    </w:p>
    <w:p w14:paraId="6375CCEA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3943298A" w14:textId="77777777" w:rsidR="0000248E" w:rsidRPr="00E5029D" w:rsidRDefault="0000248E" w:rsidP="007272B4">
      <w:pPr>
        <w:jc w:val="both"/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 xml:space="preserve">Ezetimib </w:t>
      </w:r>
    </w:p>
    <w:p w14:paraId="609D68A0" w14:textId="6F716E7F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Ezetimib pripada novoj grupi </w:t>
      </w:r>
      <w:r w:rsidR="00074F21">
        <w:rPr>
          <w:sz w:val="22"/>
          <w:szCs w:val="22"/>
        </w:rPr>
        <w:t>ljekova</w:t>
      </w:r>
      <w:r w:rsidRPr="00E5029D">
        <w:rPr>
          <w:sz w:val="22"/>
          <w:szCs w:val="22"/>
        </w:rPr>
        <w:t xml:space="preserve"> koji smanjuju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 lipida tako što selektivno inhibi</w:t>
      </w:r>
      <w:r w:rsidR="006C571A">
        <w:rPr>
          <w:sz w:val="22"/>
          <w:szCs w:val="22"/>
        </w:rPr>
        <w:t>raju</w:t>
      </w:r>
      <w:r w:rsidRPr="00E5029D">
        <w:rPr>
          <w:sz w:val="22"/>
          <w:szCs w:val="22"/>
        </w:rPr>
        <w:t xml:space="preserve"> resorpciju holesterola i srodnih biljnih sterola u cr</w:t>
      </w:r>
      <w:r w:rsidR="00B66256">
        <w:rPr>
          <w:sz w:val="22"/>
          <w:szCs w:val="22"/>
        </w:rPr>
        <w:t>ij</w:t>
      </w:r>
      <w:r w:rsidRPr="00E5029D">
        <w:rPr>
          <w:sz w:val="22"/>
          <w:szCs w:val="22"/>
        </w:rPr>
        <w:t>evima. Ezetimib je l</w:t>
      </w:r>
      <w:r w:rsidR="00B66256">
        <w:rPr>
          <w:sz w:val="22"/>
          <w:szCs w:val="22"/>
        </w:rPr>
        <w:t>ij</w:t>
      </w:r>
      <w:r w:rsidRPr="00E5029D">
        <w:rPr>
          <w:sz w:val="22"/>
          <w:szCs w:val="22"/>
        </w:rPr>
        <w:t>ek za oralnu prim</w:t>
      </w:r>
      <w:r w:rsidR="00B66256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enu, a njegov mehanizam dejstva se razlikuje od mehanizma dejstva drugih grupa </w:t>
      </w:r>
      <w:r w:rsidR="00074F21">
        <w:rPr>
          <w:sz w:val="22"/>
          <w:szCs w:val="22"/>
        </w:rPr>
        <w:t>ljekova</w:t>
      </w:r>
      <w:r w:rsidRPr="00E5029D">
        <w:rPr>
          <w:sz w:val="22"/>
          <w:szCs w:val="22"/>
        </w:rPr>
        <w:t xml:space="preserve"> koji smanjuju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holesterola (kao što su to statini, adsorbensi žučnih kiselina [smole], derivati </w:t>
      </w:r>
      <w:r w:rsidR="006E507E">
        <w:rPr>
          <w:sz w:val="22"/>
          <w:szCs w:val="22"/>
        </w:rPr>
        <w:t xml:space="preserve">fibratne </w:t>
      </w:r>
      <w:r w:rsidRPr="00E5029D">
        <w:rPr>
          <w:sz w:val="22"/>
          <w:szCs w:val="22"/>
        </w:rPr>
        <w:t>kiseline, i biljni stanoli). Ciljni molekul ezetimiba je transporter</w:t>
      </w:r>
      <w:r w:rsidR="00B66256" w:rsidRPr="00B66256">
        <w:rPr>
          <w:sz w:val="22"/>
          <w:szCs w:val="22"/>
        </w:rPr>
        <w:t xml:space="preserve"> </w:t>
      </w:r>
      <w:r w:rsidR="00B66256" w:rsidRPr="00E5029D">
        <w:rPr>
          <w:sz w:val="22"/>
          <w:szCs w:val="22"/>
        </w:rPr>
        <w:t>sterol</w:t>
      </w:r>
      <w:r w:rsidR="00B66256">
        <w:rPr>
          <w:sz w:val="22"/>
          <w:szCs w:val="22"/>
        </w:rPr>
        <w:t>a</w:t>
      </w:r>
      <w:r w:rsidRPr="00E5029D">
        <w:rPr>
          <w:sz w:val="22"/>
          <w:szCs w:val="22"/>
        </w:rPr>
        <w:t xml:space="preserve">, Niemann-Pick C1-Like 1 (NPC1L1), koji je odgovoran za preuzimanje holesterola i fitosterola </w:t>
      </w:r>
      <w:r w:rsidR="00B66256">
        <w:rPr>
          <w:sz w:val="22"/>
          <w:szCs w:val="22"/>
        </w:rPr>
        <w:t>iz crijeva</w:t>
      </w:r>
      <w:r w:rsidRPr="00E5029D">
        <w:rPr>
          <w:sz w:val="22"/>
          <w:szCs w:val="22"/>
        </w:rPr>
        <w:t>.</w:t>
      </w:r>
    </w:p>
    <w:p w14:paraId="11C3A5A2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19B5F3B9" w14:textId="50843D9B" w:rsidR="0000248E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Ezetimib se vezuje na cr</w:t>
      </w:r>
      <w:r w:rsidR="0091403A">
        <w:rPr>
          <w:sz w:val="22"/>
          <w:szCs w:val="22"/>
        </w:rPr>
        <w:t>ij</w:t>
      </w:r>
      <w:r w:rsidRPr="00E5029D">
        <w:rPr>
          <w:sz w:val="22"/>
          <w:szCs w:val="22"/>
        </w:rPr>
        <w:t>evnim resicama tankog cr</w:t>
      </w:r>
      <w:r w:rsidR="0091403A">
        <w:rPr>
          <w:sz w:val="22"/>
          <w:szCs w:val="22"/>
        </w:rPr>
        <w:t>ij</w:t>
      </w:r>
      <w:r w:rsidRPr="00E5029D">
        <w:rPr>
          <w:sz w:val="22"/>
          <w:szCs w:val="22"/>
        </w:rPr>
        <w:t>eva na četkastoj prevlaci i inhibi</w:t>
      </w:r>
      <w:r w:rsidR="0091403A">
        <w:rPr>
          <w:sz w:val="22"/>
          <w:szCs w:val="22"/>
        </w:rPr>
        <w:t>ra</w:t>
      </w:r>
      <w:r w:rsidRPr="00E5029D">
        <w:rPr>
          <w:sz w:val="22"/>
          <w:szCs w:val="22"/>
        </w:rPr>
        <w:t xml:space="preserve"> resorpciju holesterola, što dovodi do smanjenog prenosa holesterola iz</w:t>
      </w:r>
      <w:r w:rsidR="0091403A">
        <w:rPr>
          <w:sz w:val="22"/>
          <w:szCs w:val="22"/>
        </w:rPr>
        <w:t xml:space="preserve"> crijeva </w:t>
      </w:r>
      <w:r w:rsidRPr="00E5029D">
        <w:rPr>
          <w:sz w:val="22"/>
          <w:szCs w:val="22"/>
        </w:rPr>
        <w:t xml:space="preserve">u jetru. Sa druge strane, statini smanjuju sintezu holesterola u jetri tako da zajedno, različitim mehanizmima dejstva i komplementarnim efektom, ova kombinacija dovodi do smanjenih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holesterola. U dvoned</w:t>
      </w:r>
      <w:r w:rsidR="0091403A">
        <w:rPr>
          <w:sz w:val="22"/>
          <w:szCs w:val="22"/>
        </w:rPr>
        <w:t>j</w:t>
      </w:r>
      <w:r w:rsidRPr="00E5029D">
        <w:rPr>
          <w:sz w:val="22"/>
          <w:szCs w:val="22"/>
        </w:rPr>
        <w:t>eljnom kliničkom ispitivanju na 18 pacijenata sa hiperholesterolemijom ezetimib je, u odnosu na placebo grupu, inhibirao resorpciju holesterola iz</w:t>
      </w:r>
      <w:r w:rsidR="0091403A">
        <w:rPr>
          <w:sz w:val="22"/>
          <w:szCs w:val="22"/>
        </w:rPr>
        <w:t xml:space="preserve"> crijeva </w:t>
      </w:r>
      <w:r w:rsidRPr="00E5029D">
        <w:rPr>
          <w:sz w:val="22"/>
          <w:szCs w:val="22"/>
        </w:rPr>
        <w:t xml:space="preserve">za 54%. </w:t>
      </w:r>
    </w:p>
    <w:p w14:paraId="3C4224A2" w14:textId="77777777" w:rsidR="0091403A" w:rsidRPr="00E5029D" w:rsidRDefault="0091403A" w:rsidP="007272B4">
      <w:pPr>
        <w:jc w:val="both"/>
        <w:rPr>
          <w:sz w:val="22"/>
          <w:szCs w:val="22"/>
        </w:rPr>
      </w:pPr>
    </w:p>
    <w:p w14:paraId="7453B8B3" w14:textId="7777777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Sprovedeno je više pretkliničkih ispitivanja sa ciljem da se ustanovi selektivnost ezetimiba u inhibiciji resorpcije holesterola. Ezetimib je inhibirao resorpciju holesterola označenog radioaktivnim izotopom </w:t>
      </w:r>
      <w:r w:rsidRPr="00E5029D">
        <w:rPr>
          <w:sz w:val="22"/>
          <w:szCs w:val="22"/>
          <w:vertAlign w:val="superscript"/>
        </w:rPr>
        <w:t>14</w:t>
      </w:r>
      <w:r w:rsidRPr="00E5029D">
        <w:rPr>
          <w:sz w:val="22"/>
          <w:szCs w:val="22"/>
        </w:rPr>
        <w:t xml:space="preserve">C, a da pri tome nije uticao na resorpciju triglicerida, masnih kiselina, žučnih kiselina, progesterona, etinil estradiola, ili liposolubilnih vitamina A i D. </w:t>
      </w:r>
    </w:p>
    <w:p w14:paraId="4AE1A995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4E338B06" w14:textId="6DA8E4C9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Epidemiološka istraživanja utvrdila su da mortalitet i morbiditet od kardiovaskularnih bolesti direktno zavise od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ukupnog holesterola (total-C) i holesterola u lipoproteinima niske gustine (LDL-C), a da su obrnuto proporcionalni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ima holesterola u lipoproteinima visoke gustine (HDL-C).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ezetimiba sa statinom je efikasna u smanjenju rizika od kardiovaskularnih događaja kod pacijenata sa koronarnom bolešću srca i istorijom događaja</w:t>
      </w:r>
      <w:r w:rsidR="006E507E">
        <w:rPr>
          <w:sz w:val="22"/>
          <w:szCs w:val="22"/>
        </w:rPr>
        <w:t xml:space="preserve"> akutnog koronarnog sindroma</w:t>
      </w:r>
      <w:r w:rsidR="003E7B8D">
        <w:rPr>
          <w:sz w:val="22"/>
          <w:szCs w:val="22"/>
        </w:rPr>
        <w:t xml:space="preserve"> </w:t>
      </w:r>
      <w:r w:rsidR="006E507E">
        <w:rPr>
          <w:sz w:val="22"/>
          <w:szCs w:val="22"/>
        </w:rPr>
        <w:t>(ACS)</w:t>
      </w:r>
      <w:r w:rsidRPr="00E5029D">
        <w:rPr>
          <w:sz w:val="22"/>
          <w:szCs w:val="22"/>
        </w:rPr>
        <w:t>.</w:t>
      </w:r>
    </w:p>
    <w:p w14:paraId="2A69537A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25B4312F" w14:textId="056FDABE" w:rsidR="0000248E" w:rsidRPr="00E5029D" w:rsidRDefault="0000248E" w:rsidP="007272B4">
      <w:pPr>
        <w:jc w:val="both"/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 xml:space="preserve">Istovremena </w:t>
      </w:r>
      <w:r w:rsidR="0078224C">
        <w:rPr>
          <w:i/>
          <w:sz w:val="22"/>
          <w:szCs w:val="22"/>
        </w:rPr>
        <w:t>primjena</w:t>
      </w:r>
      <w:r w:rsidRPr="00E5029D">
        <w:rPr>
          <w:i/>
          <w:sz w:val="22"/>
          <w:szCs w:val="22"/>
        </w:rPr>
        <w:t xml:space="preserve"> rosuvastatina i ezetimiba </w:t>
      </w:r>
    </w:p>
    <w:p w14:paraId="0CCFA4F4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14F7E60E" w14:textId="77777777" w:rsidR="0000248E" w:rsidRPr="00E5029D" w:rsidRDefault="0000248E" w:rsidP="007272B4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 xml:space="preserve">Klinička efikasnost </w:t>
      </w:r>
    </w:p>
    <w:p w14:paraId="05417085" w14:textId="257B24FA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U 6-ned</w:t>
      </w:r>
      <w:r w:rsidR="00303A0C">
        <w:rPr>
          <w:sz w:val="22"/>
          <w:szCs w:val="22"/>
        </w:rPr>
        <w:t>j</w:t>
      </w:r>
      <w:r w:rsidRPr="00E5029D">
        <w:rPr>
          <w:sz w:val="22"/>
          <w:szCs w:val="22"/>
        </w:rPr>
        <w:t>eljnom, randomizovanom, dvostruko-sl</w:t>
      </w:r>
      <w:r w:rsidR="00303A0C">
        <w:rPr>
          <w:sz w:val="22"/>
          <w:szCs w:val="22"/>
        </w:rPr>
        <w:t>ij</w:t>
      </w:r>
      <w:r w:rsidRPr="00E5029D">
        <w:rPr>
          <w:sz w:val="22"/>
          <w:szCs w:val="22"/>
        </w:rPr>
        <w:t>epom kliničkom ispitivanju sa paralelnim grupama, proc</w:t>
      </w:r>
      <w:r w:rsidR="00303A0C">
        <w:rPr>
          <w:sz w:val="22"/>
          <w:szCs w:val="22"/>
        </w:rPr>
        <w:t>j</w:t>
      </w:r>
      <w:r w:rsidRPr="00E5029D">
        <w:rPr>
          <w:sz w:val="22"/>
          <w:szCs w:val="22"/>
        </w:rPr>
        <w:t>enjivana je bezb</w:t>
      </w:r>
      <w:r w:rsidR="00303A0C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ednost i efikasnost ezetimiba (u dozi od 10 mg), koji je </w:t>
      </w:r>
      <w:r w:rsidR="002A7706">
        <w:rPr>
          <w:sz w:val="22"/>
          <w:szCs w:val="22"/>
        </w:rPr>
        <w:t>primjenjivan</w:t>
      </w:r>
      <w:r w:rsidRPr="00E5029D">
        <w:rPr>
          <w:sz w:val="22"/>
          <w:szCs w:val="22"/>
        </w:rPr>
        <w:t xml:space="preserve"> kao dopuna terapiji rosuvastatinom u stabilnoj dozi, a u poređenju sa rosuvastatinom čija je doza titriranjem povećana sa 5 mg na 10 mg ili sa 10 mg na 20 mg (n=440). Zbirni podaci pokazuju da je ezetimib, kada je </w:t>
      </w:r>
      <w:r w:rsidR="002A7706">
        <w:rPr>
          <w:sz w:val="22"/>
          <w:szCs w:val="22"/>
        </w:rPr>
        <w:t>primjenjivan</w:t>
      </w:r>
      <w:r w:rsidRPr="00E5029D">
        <w:rPr>
          <w:sz w:val="22"/>
          <w:szCs w:val="22"/>
        </w:rPr>
        <w:t xml:space="preserve"> kao dopuna terapiji rosuvastatinom u stabilnoj dozi od 5 mg ili 10 mg, smanjio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LDL holesterola za 21%. Nasuprot tome, dvostruko povećanje doze rosuvastatina na 10 mg ili 20 mg, dovelo je do smanjenja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LDL holesterola za 5,7% (razlika između grupa je bila </w:t>
      </w:r>
      <w:r w:rsidRPr="00E5029D">
        <w:rPr>
          <w:sz w:val="22"/>
          <w:szCs w:val="22"/>
        </w:rPr>
        <w:lastRenderedPageBreak/>
        <w:t xml:space="preserve">15,2%, p&lt;0,001). Pojedinačno, terapija ezetimibom u kombinaciji sa rosuvastatinom u dozi od 5 mg dovela je do većeg smanjenja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LDL holesterola nego terapija rosuvastatinom u dozi od 10 mg (razlika od 12,3%, p&lt;0,001), a terapija ezetimibom u kombinaciji sa rosuvastatinom u dozi od 10 mg dovela je do većeg smanjenja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LDL holesterola nego terapija rosuvastatinom u dozi od 20 mg (razlika od 17,5%, p&lt;0,001).</w:t>
      </w:r>
    </w:p>
    <w:p w14:paraId="3A865218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4E0829E6" w14:textId="153AE62B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Randomizovana studija u trajanju od šest </w:t>
      </w:r>
      <w:r w:rsidR="00FF797D">
        <w:rPr>
          <w:sz w:val="22"/>
          <w:szCs w:val="22"/>
        </w:rPr>
        <w:t>nedjelja</w:t>
      </w:r>
      <w:r w:rsidRPr="00E5029D">
        <w:rPr>
          <w:sz w:val="22"/>
          <w:szCs w:val="22"/>
        </w:rPr>
        <w:t>, dizajnirana je da ispita bezb</w:t>
      </w:r>
      <w:r w:rsidR="00B3497D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ednost i efikasnost rosuvastatina datog u monoterapiji u dozi od 40 mg, ili u kombinovanoj terapiji sa ezetimibom u dozi od 10 mg, kod pacijenata sa visokim rizikom za razvoj koronarne bolesti srca (n=469). Kod značajno većeg broja pacijenata koji su primali kombinovanu terapiju rosuvastatin/ezetimib, u odnosu na pacijente koji su dobijali monoterapiju rosuvastatinom, postignute su ciljne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ATP III LDL holesterola (&lt; 100 mg/dL, 94,0% vs 79,1%, p&lt;0,001). U ovoj visoko-rizičnoj populaciji, rosuvastatin, u dozi od 40 mg, bio je efikasan u poboljšanju aterogenog lipidnog profila.</w:t>
      </w:r>
    </w:p>
    <w:p w14:paraId="2A3C4BD3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34491FE8" w14:textId="60528970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U randomizovanoj, otvorenoj, 12-ned</w:t>
      </w:r>
      <w:r w:rsidR="00610FD5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eljnoj studiji, ispitivane su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smanjene koncentracije LDL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holesterola u svakoj terapijskoj grupi (rosuvastatin u dozi od 10 mg plus ezetimib u dozi od 10 mg, rosuvastatin u dozi od 20 mg/ezetimib u dozi od 10 mg, simvastatin u dozi od 40 mg/ezetimib u dozi od 10 mg, simvastatin u dozi od 80 mg/ezetimib u dozi od 10 mg). Smanjenje u odnosu na </w:t>
      </w:r>
      <w:r w:rsidR="007E5AC4">
        <w:rPr>
          <w:sz w:val="22"/>
          <w:szCs w:val="22"/>
        </w:rPr>
        <w:t>vrijednost</w:t>
      </w:r>
      <w:r w:rsidR="006A3E14">
        <w:rPr>
          <w:sz w:val="22"/>
          <w:szCs w:val="22"/>
        </w:rPr>
        <w:t xml:space="preserve"> prije </w:t>
      </w:r>
      <w:r w:rsidRPr="00E5029D">
        <w:rPr>
          <w:sz w:val="22"/>
          <w:szCs w:val="22"/>
        </w:rPr>
        <w:t xml:space="preserve">početka ispitivanja kod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 xml:space="preserve"> kombinovane terapije sa rosuvastatinom u malim dozama bilo je 59,7% što je značajno veće u odnosu na prim</w:t>
      </w:r>
      <w:r w:rsidR="00610FD5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enu kombinovane terapije sa simvastatinom u malim dozama, 55,2% (p&lt;0,05). Kombinovana terapija sa rosuvastatinom u velikim dozama dovela je do smanjenja koncentracija LDL holesterola od 63,5%, u poređenju sa smanjenjem od 57,4% kod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 xml:space="preserve"> kombinovane terapije sa simvastatinom u velikim dozama (p&lt;0,001).</w:t>
      </w:r>
    </w:p>
    <w:p w14:paraId="7459CD90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342FF5B0" w14:textId="77777777" w:rsidR="0000248E" w:rsidRPr="00E5029D" w:rsidRDefault="0000248E" w:rsidP="007272B4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 xml:space="preserve">Pedijatrijska populacija </w:t>
      </w:r>
    </w:p>
    <w:p w14:paraId="2EF13BD4" w14:textId="3643DA11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Evropska agencija za </w:t>
      </w:r>
      <w:r w:rsidR="006A3E14">
        <w:rPr>
          <w:sz w:val="22"/>
          <w:szCs w:val="22"/>
        </w:rPr>
        <w:t>ljekove</w:t>
      </w:r>
      <w:r w:rsidRPr="00E5029D">
        <w:rPr>
          <w:sz w:val="22"/>
          <w:szCs w:val="22"/>
        </w:rPr>
        <w:t xml:space="preserve"> je odustala od zaht</w:t>
      </w:r>
      <w:r w:rsidR="00610FD5">
        <w:rPr>
          <w:sz w:val="22"/>
          <w:szCs w:val="22"/>
        </w:rPr>
        <w:t>j</w:t>
      </w:r>
      <w:r w:rsidRPr="00E5029D">
        <w:rPr>
          <w:sz w:val="22"/>
          <w:szCs w:val="22"/>
        </w:rPr>
        <w:t>eva za podnošenje rezultata studija sa</w:t>
      </w:r>
      <w:r w:rsidR="007E5AC4">
        <w:rPr>
          <w:sz w:val="22"/>
          <w:szCs w:val="22"/>
        </w:rPr>
        <w:t xml:space="preserve"> lijekom </w:t>
      </w:r>
      <w:r w:rsidRPr="00E5029D">
        <w:rPr>
          <w:sz w:val="22"/>
          <w:szCs w:val="22"/>
        </w:rPr>
        <w:t>Rozor u svim podgrupama pedijatrijske populacije u l</w:t>
      </w:r>
      <w:r w:rsidR="00610FD5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ečenju povećanih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holesterola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4.2 za podatke o upotrebi kod d</w:t>
      </w:r>
      <w:r w:rsidR="00610FD5">
        <w:rPr>
          <w:sz w:val="22"/>
          <w:szCs w:val="22"/>
        </w:rPr>
        <w:t>j</w:t>
      </w:r>
      <w:r w:rsidRPr="00E5029D">
        <w:rPr>
          <w:sz w:val="22"/>
          <w:szCs w:val="22"/>
        </w:rPr>
        <w:t>ece).</w:t>
      </w:r>
    </w:p>
    <w:p w14:paraId="740ABCE1" w14:textId="77777777" w:rsidR="002E37A5" w:rsidRPr="00E5029D" w:rsidRDefault="002E37A5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AFCE91D" w14:textId="77777777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5.2.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Farmakokinetički podaci</w:t>
      </w:r>
      <w:r w:rsidR="003A7059" w:rsidRPr="00E5029D">
        <w:rPr>
          <w:b/>
          <w:bCs/>
          <w:sz w:val="22"/>
          <w:szCs w:val="22"/>
        </w:rPr>
        <w:t xml:space="preserve"> </w:t>
      </w:r>
    </w:p>
    <w:p w14:paraId="3387F499" w14:textId="6302CC07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60DE23F" w14:textId="77777777" w:rsidR="0000248E" w:rsidRPr="00E5029D" w:rsidRDefault="0000248E" w:rsidP="007272B4">
      <w:pPr>
        <w:jc w:val="both"/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>Kombinovana terapija rosuvastatinom i ezetimibom</w:t>
      </w:r>
    </w:p>
    <w:p w14:paraId="5DAD2FAD" w14:textId="15191DE6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Istovremena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rosuvastatina u dozi od 10 mg i ezetimiba u dozi od 10 mg kod pacijenata sa</w:t>
      </w:r>
    </w:p>
    <w:p w14:paraId="345F1A53" w14:textId="3B32DF3C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hiperholesterolemijom, dovela je do povećanja od 1,2 puta u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ima PIK rosuvastatina. Ne može da se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isključi mogućnost farmakodinamskih interakcija između rosuvastatina i ezetimiba, u smislu pojave neželjenih reakcija.</w:t>
      </w:r>
    </w:p>
    <w:p w14:paraId="3F81B3AD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6DD6BF4C" w14:textId="77777777" w:rsidR="0000248E" w:rsidRPr="00E5029D" w:rsidRDefault="0000248E" w:rsidP="007272B4">
      <w:pPr>
        <w:jc w:val="both"/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>Rosuvastatin</w:t>
      </w:r>
    </w:p>
    <w:p w14:paraId="5AD79134" w14:textId="11DC44CF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  <w:u w:val="single"/>
        </w:rPr>
        <w:t>Resorpcija:</w:t>
      </w:r>
      <w:r w:rsidRPr="00E5029D">
        <w:rPr>
          <w:sz w:val="22"/>
          <w:szCs w:val="22"/>
        </w:rPr>
        <w:t xml:space="preserve"> Maksimalne koncentracije rosuvastatina u plazmi postižu se približno 5 sati nakon oralne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>.</w:t>
      </w:r>
      <w:r w:rsidR="00610FD5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Apsolutna biološka raspoloživost iznosi približno 20%.</w:t>
      </w:r>
    </w:p>
    <w:p w14:paraId="1AEA58DA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2B5F5852" w14:textId="456E2D48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  <w:u w:val="single"/>
        </w:rPr>
        <w:t>Distribucija:</w:t>
      </w:r>
      <w:r w:rsidRPr="00E5029D">
        <w:rPr>
          <w:sz w:val="22"/>
          <w:szCs w:val="22"/>
        </w:rPr>
        <w:t xml:space="preserve"> Rosuvastatin se </w:t>
      </w:r>
      <w:r w:rsidR="006E507E" w:rsidRPr="007272B4">
        <w:rPr>
          <w:sz w:val="22"/>
          <w:szCs w:val="22"/>
        </w:rPr>
        <w:t xml:space="preserve">ekstenzivno </w:t>
      </w:r>
      <w:r w:rsidRPr="00E5029D">
        <w:rPr>
          <w:sz w:val="22"/>
          <w:szCs w:val="22"/>
        </w:rPr>
        <w:t xml:space="preserve">preuzima u jetri koja je primarno </w:t>
      </w:r>
      <w:r w:rsidR="002A030A">
        <w:rPr>
          <w:sz w:val="22"/>
          <w:szCs w:val="22"/>
        </w:rPr>
        <w:t>mjesto</w:t>
      </w:r>
      <w:r w:rsidRPr="00E5029D">
        <w:rPr>
          <w:sz w:val="22"/>
          <w:szCs w:val="22"/>
        </w:rPr>
        <w:t xml:space="preserve"> sinteze holesterola i klirensa LDLC. Volumen distribucije rosuvastatina iznosi približno 134 </w:t>
      </w:r>
      <w:r w:rsidR="00B82511">
        <w:rPr>
          <w:sz w:val="22"/>
          <w:szCs w:val="22"/>
        </w:rPr>
        <w:t>l</w:t>
      </w:r>
      <w:r w:rsidRPr="00E5029D">
        <w:rPr>
          <w:sz w:val="22"/>
          <w:szCs w:val="22"/>
        </w:rPr>
        <w:t>. Približno 90% rosuvastatina se vezuje za protein plazme,</w:t>
      </w:r>
      <w:r w:rsidR="006A3E14">
        <w:rPr>
          <w:sz w:val="22"/>
          <w:szCs w:val="22"/>
        </w:rPr>
        <w:t xml:space="preserve"> prije </w:t>
      </w:r>
      <w:r w:rsidRPr="00E5029D">
        <w:rPr>
          <w:sz w:val="22"/>
          <w:szCs w:val="22"/>
        </w:rPr>
        <w:t>svega za albumin.</w:t>
      </w:r>
    </w:p>
    <w:p w14:paraId="03CC1351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425BC73D" w14:textId="37BBE47C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  <w:u w:val="single"/>
        </w:rPr>
        <w:t>Biotransformacija:</w:t>
      </w:r>
      <w:r w:rsidRPr="00E5029D">
        <w:rPr>
          <w:sz w:val="22"/>
          <w:szCs w:val="22"/>
        </w:rPr>
        <w:t xml:space="preserve"> Rosuvastatin podl</w:t>
      </w:r>
      <w:r w:rsidR="00CB3604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eže ograničenom metabolizmu (približno 10%). </w:t>
      </w:r>
      <w:r w:rsidRPr="00E5029D">
        <w:rPr>
          <w:i/>
          <w:sz w:val="22"/>
          <w:szCs w:val="22"/>
        </w:rPr>
        <w:t>In vitro</w:t>
      </w:r>
      <w:r w:rsidRPr="00E5029D">
        <w:rPr>
          <w:sz w:val="22"/>
          <w:szCs w:val="22"/>
        </w:rPr>
        <w:t xml:space="preserve"> ispitivanja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metabolizma u humanim hepatocitima pokazuje da je rosuvastatin slab supstrat za metabolizam posredovan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citohromom P450. Pritom je CYP2C9 glavni izoenzim uključen u metabolizam rosuvastatina </w:t>
      </w:r>
      <w:proofErr w:type="gramStart"/>
      <w:r w:rsidRPr="00E5029D">
        <w:rPr>
          <w:sz w:val="22"/>
          <w:szCs w:val="22"/>
        </w:rPr>
        <w:t>a</w:t>
      </w:r>
      <w:proofErr w:type="gramEnd"/>
      <w:r w:rsidRPr="00E5029D">
        <w:rPr>
          <w:sz w:val="22"/>
          <w:szCs w:val="22"/>
        </w:rPr>
        <w:t xml:space="preserve"> izoenzimi 2C19, 3A4 i 2D6 su uključeni u manjoj m</w:t>
      </w:r>
      <w:r w:rsidR="00CB3604">
        <w:rPr>
          <w:sz w:val="22"/>
          <w:szCs w:val="22"/>
        </w:rPr>
        <w:t>j</w:t>
      </w:r>
      <w:r w:rsidRPr="00E5029D">
        <w:rPr>
          <w:sz w:val="22"/>
          <w:szCs w:val="22"/>
        </w:rPr>
        <w:t>eri. Glavni identifikovani metaboliti su N-desmetil i laktonski metaboliti. N-desmetil metabolit je približno 50% manje aktivan od rosuvastatina, dok se laktonski oblik smatra klinički neaktivnim. Rosuvastatin je odgovoran za više od 90% inhibitorske aktivnosti na nivou cirkulišuće HMG-CoA reduktaze.</w:t>
      </w:r>
    </w:p>
    <w:p w14:paraId="55F74241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3FC0ADE7" w14:textId="77777777" w:rsidR="00CB3604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  <w:u w:val="single"/>
        </w:rPr>
        <w:t>Eliminacija:</w:t>
      </w:r>
      <w:r w:rsidRPr="00E5029D">
        <w:rPr>
          <w:sz w:val="22"/>
          <w:szCs w:val="22"/>
        </w:rPr>
        <w:t xml:space="preserve"> Približno 90% doze rosuvastatina izlučuje se u neizm</w:t>
      </w:r>
      <w:r w:rsidR="00CB3604">
        <w:rPr>
          <w:sz w:val="22"/>
          <w:szCs w:val="22"/>
        </w:rPr>
        <w:t>ij</w:t>
      </w:r>
      <w:r w:rsidRPr="00E5029D">
        <w:rPr>
          <w:sz w:val="22"/>
          <w:szCs w:val="22"/>
        </w:rPr>
        <w:t>enjenom obliku u fecesu (sastoji se od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resorbovane i neresorbovane aktivne supstance), a preostali d</w:t>
      </w:r>
      <w:r w:rsidR="00CB3604">
        <w:rPr>
          <w:sz w:val="22"/>
          <w:szCs w:val="22"/>
        </w:rPr>
        <w:t>i</w:t>
      </w:r>
      <w:r w:rsidRPr="00E5029D">
        <w:rPr>
          <w:sz w:val="22"/>
          <w:szCs w:val="22"/>
        </w:rPr>
        <w:t>o se izlučuje urinom. Približno 5% se izlučuje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urinom u neizm</w:t>
      </w:r>
      <w:r w:rsidR="00CB3604">
        <w:rPr>
          <w:sz w:val="22"/>
          <w:szCs w:val="22"/>
        </w:rPr>
        <w:t>ij</w:t>
      </w:r>
      <w:r w:rsidRPr="00E5029D">
        <w:rPr>
          <w:sz w:val="22"/>
          <w:szCs w:val="22"/>
        </w:rPr>
        <w:t>enjenom obliku. Poluvr</w:t>
      </w:r>
      <w:r w:rsidR="00CB3604">
        <w:rPr>
          <w:sz w:val="22"/>
          <w:szCs w:val="22"/>
        </w:rPr>
        <w:t>ij</w:t>
      </w:r>
      <w:r w:rsidRPr="00E5029D">
        <w:rPr>
          <w:sz w:val="22"/>
          <w:szCs w:val="22"/>
        </w:rPr>
        <w:t>eme eliminacije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 xml:space="preserve">iz plazme je približno 19 sati. </w:t>
      </w:r>
      <w:r w:rsidRPr="00E5029D">
        <w:rPr>
          <w:sz w:val="22"/>
          <w:szCs w:val="22"/>
        </w:rPr>
        <w:lastRenderedPageBreak/>
        <w:t>Poluvr</w:t>
      </w:r>
      <w:r w:rsidR="00CB3604">
        <w:rPr>
          <w:sz w:val="22"/>
          <w:szCs w:val="22"/>
        </w:rPr>
        <w:t>ij</w:t>
      </w:r>
      <w:r w:rsidRPr="00E5029D">
        <w:rPr>
          <w:sz w:val="22"/>
          <w:szCs w:val="22"/>
        </w:rPr>
        <w:t>eme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eliminacije se ne povećava sa povećanjem doze. Geometrijska sredina klirensa iz plazme iznosi približno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50 litara/sat (koeficijent varijacije 21,7%). </w:t>
      </w:r>
    </w:p>
    <w:p w14:paraId="36F3046D" w14:textId="0AFDA572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Kao što je to slučaj i sa drugim inhibitorima HMG-CoA reduktaze, preuzimanje rosuvastatina u jetri uključuje membranski transporter OATP-C. Ovaj transporter je važan za izlučivanje rosuvastatina preko jetre.</w:t>
      </w:r>
    </w:p>
    <w:p w14:paraId="23FD9B59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533D5F53" w14:textId="2264CDB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  <w:u w:val="single"/>
        </w:rPr>
        <w:t>Linearnost:</w:t>
      </w:r>
      <w:r w:rsidRPr="00E5029D">
        <w:rPr>
          <w:sz w:val="22"/>
          <w:szCs w:val="22"/>
        </w:rPr>
        <w:t xml:space="preserve"> Sistemska izloženost rosuvastatinu povećava se proporcionalno dozi. Farmakokinetički parametri se ne m</w:t>
      </w:r>
      <w:r w:rsidR="00D213BC">
        <w:rPr>
          <w:sz w:val="22"/>
          <w:szCs w:val="22"/>
        </w:rPr>
        <w:t>ij</w:t>
      </w:r>
      <w:r w:rsidRPr="00E5029D">
        <w:rPr>
          <w:sz w:val="22"/>
          <w:szCs w:val="22"/>
        </w:rPr>
        <w:t>enjaju nakon davanja višestrukih dnevnih doza.</w:t>
      </w:r>
    </w:p>
    <w:p w14:paraId="747EE39E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42EF16E4" w14:textId="77777777" w:rsidR="0000248E" w:rsidRPr="00E5029D" w:rsidRDefault="0000248E" w:rsidP="007272B4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Posebne grupe pacijenata</w:t>
      </w:r>
    </w:p>
    <w:p w14:paraId="6E2E49CB" w14:textId="5C1A1C55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Starost i pol:</w:t>
      </w:r>
      <w:r w:rsidRPr="00E5029D">
        <w:rPr>
          <w:sz w:val="22"/>
          <w:szCs w:val="22"/>
        </w:rPr>
        <w:t xml:space="preserve"> Nije uočen klinički relevantan uticaj godina starosti ili pola na farmakokinetiku rosuvastatina kod odraslih. Farmakokinetika rosuvastatina kod</w:t>
      </w:r>
      <w:r w:rsidR="00B637A4">
        <w:rPr>
          <w:sz w:val="22"/>
          <w:szCs w:val="22"/>
        </w:rPr>
        <w:t xml:space="preserve"> djece </w:t>
      </w:r>
      <w:r w:rsidRPr="00E5029D">
        <w:rPr>
          <w:sz w:val="22"/>
          <w:szCs w:val="22"/>
        </w:rPr>
        <w:t>i adolescenata sa heterozigotnom porodičnom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hiperholesterolemijom je bila slična kao kod odraslih zdravih ispitanika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„Pedijatrijska populacija</w:t>
      </w:r>
      <w:proofErr w:type="gramStart"/>
      <w:r w:rsidRPr="00E5029D">
        <w:rPr>
          <w:sz w:val="22"/>
          <w:szCs w:val="22"/>
        </w:rPr>
        <w:t>“ u</w:t>
      </w:r>
      <w:proofErr w:type="gramEnd"/>
      <w:r w:rsidRPr="00E5029D">
        <w:rPr>
          <w:sz w:val="22"/>
          <w:szCs w:val="22"/>
        </w:rPr>
        <w:t xml:space="preserve"> donjem tekstu).</w:t>
      </w:r>
    </w:p>
    <w:p w14:paraId="00D1ED82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69124F4F" w14:textId="77777777" w:rsidR="00FB4A3B" w:rsidRDefault="0000248E" w:rsidP="007272B4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Rasa:</w:t>
      </w:r>
      <w:r w:rsidRPr="00E5029D">
        <w:rPr>
          <w:sz w:val="22"/>
          <w:szCs w:val="22"/>
        </w:rPr>
        <w:t xml:space="preserve"> Farmakokinetičke studije pokazuju približno dvostruko povećanje srednjih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PIK i </w:t>
      </w:r>
      <w:r w:rsidRPr="00E5029D">
        <w:rPr>
          <w:rFonts w:eastAsia="TimesNewRoman"/>
          <w:sz w:val="22"/>
          <w:szCs w:val="22"/>
        </w:rPr>
        <w:t>C</w:t>
      </w:r>
      <w:r w:rsidRPr="00E5029D">
        <w:rPr>
          <w:rFonts w:eastAsia="TimesNewRoman"/>
          <w:sz w:val="22"/>
          <w:szCs w:val="22"/>
          <w:vertAlign w:val="subscript"/>
        </w:rPr>
        <w:t>max</w:t>
      </w:r>
      <w:r w:rsidRPr="00E5029D">
        <w:rPr>
          <w:sz w:val="22"/>
          <w:szCs w:val="22"/>
        </w:rPr>
        <w:t xml:space="preserve"> kod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ispitanika azijskog por</w:t>
      </w:r>
      <w:r w:rsidR="009C2788">
        <w:rPr>
          <w:sz w:val="22"/>
          <w:szCs w:val="22"/>
        </w:rPr>
        <w:t>ij</w:t>
      </w:r>
      <w:r w:rsidRPr="00E5029D">
        <w:rPr>
          <w:sz w:val="22"/>
          <w:szCs w:val="22"/>
        </w:rPr>
        <w:t>ekla (Japanci, Kinezi, Filipinci, Vijetnamci i Koreanci) u poređenju sa ispitanicima b</w:t>
      </w:r>
      <w:r w:rsidR="009C2788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ele rase. </w:t>
      </w:r>
    </w:p>
    <w:p w14:paraId="14DDF623" w14:textId="2238689F" w:rsidR="00FB4A3B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Kod azijskih Indusa uočeno je približno 1,3 puta povećanje srednjih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PIK i </w:t>
      </w:r>
      <w:r w:rsidRPr="00E5029D">
        <w:rPr>
          <w:rFonts w:eastAsia="TimesNewRoman"/>
          <w:sz w:val="22"/>
          <w:szCs w:val="22"/>
        </w:rPr>
        <w:t>C</w:t>
      </w:r>
      <w:r w:rsidRPr="00E5029D">
        <w:rPr>
          <w:rFonts w:eastAsia="TimesNewRoman"/>
          <w:sz w:val="22"/>
          <w:szCs w:val="22"/>
          <w:vertAlign w:val="subscript"/>
        </w:rPr>
        <w:t>max</w:t>
      </w:r>
      <w:r w:rsidRPr="00E5029D">
        <w:rPr>
          <w:sz w:val="22"/>
          <w:szCs w:val="22"/>
        </w:rPr>
        <w:t>.</w:t>
      </w:r>
      <w:r w:rsidR="00826F83">
        <w:rPr>
          <w:sz w:val="22"/>
          <w:szCs w:val="22"/>
        </w:rPr>
        <w:t xml:space="preserve"> </w:t>
      </w:r>
    </w:p>
    <w:p w14:paraId="77AAA375" w14:textId="09BC38DC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Populaciona farmakokinetička analiza nije otkrila klinički relevantne razlike u farmakokinetici između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pripadnika b</w:t>
      </w:r>
      <w:r w:rsidR="009C2788">
        <w:rPr>
          <w:sz w:val="22"/>
          <w:szCs w:val="22"/>
        </w:rPr>
        <w:t>ij</w:t>
      </w:r>
      <w:r w:rsidRPr="00E5029D">
        <w:rPr>
          <w:sz w:val="22"/>
          <w:szCs w:val="22"/>
        </w:rPr>
        <w:t>ele i crne rase.</w:t>
      </w:r>
    </w:p>
    <w:p w14:paraId="684DC9DB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20241B46" w14:textId="444A9BE9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Insuficijencija bubrega:</w:t>
      </w:r>
      <w:r w:rsidRPr="00E5029D">
        <w:rPr>
          <w:sz w:val="22"/>
          <w:szCs w:val="22"/>
        </w:rPr>
        <w:t xml:space="preserve"> U jednoj studiji na ispitanicima sa različitim stepenima oštećenja funkcije bubrega,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blaga do </w:t>
      </w:r>
      <w:r w:rsidR="00600503">
        <w:rPr>
          <w:sz w:val="22"/>
          <w:szCs w:val="22"/>
        </w:rPr>
        <w:t>umjeren</w:t>
      </w:r>
      <w:r w:rsidRPr="00E5029D">
        <w:rPr>
          <w:sz w:val="22"/>
          <w:szCs w:val="22"/>
        </w:rPr>
        <w:t>a oštećenja funkcije bubrega nije imala uticaja na koncentracije rosuvastatina ili N-desmetil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metabolita u plazmi. Ispitanici sa teškim oštećenjem funkcije bubrega (CrCl &lt;30 m</w:t>
      </w:r>
      <w:r w:rsidR="00177BAD">
        <w:rPr>
          <w:sz w:val="22"/>
          <w:szCs w:val="22"/>
        </w:rPr>
        <w:t>l</w:t>
      </w:r>
      <w:r w:rsidRPr="00E5029D">
        <w:rPr>
          <w:sz w:val="22"/>
          <w:szCs w:val="22"/>
        </w:rPr>
        <w:t>/min) imali su trostruko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povećanje koncentracije u plazmi i devetostruko povećanje koncentracije N-desmetil metabolita u poređenju sa zdravim dobrovoljcima. Koncentracije rosuvastatina u stanju dinamičke ravnoteže kod ispitanika na hemodijalizi bile su 50% veće nego kod zdravih ispitanika.</w:t>
      </w:r>
    </w:p>
    <w:p w14:paraId="24370873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6C5D678A" w14:textId="77777777" w:rsidR="00177BAD" w:rsidRDefault="0000248E" w:rsidP="007272B4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Insuficijencija jetre:</w:t>
      </w:r>
      <w:r w:rsidRPr="00E5029D">
        <w:rPr>
          <w:sz w:val="22"/>
          <w:szCs w:val="22"/>
        </w:rPr>
        <w:t xml:space="preserve"> U jednoj studiji na ispitanicima sa različitim stepenima oštećenja funkcije jetre nije bilo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dokaza o povećanoj izloženosti rosuvastatinu kod ispitanika koji su imali Child-Pugh skor 7 ili manji. Međutim, kod dva ispitanika koji su imali </w:t>
      </w:r>
      <w:r w:rsidRPr="00E5029D">
        <w:rPr>
          <w:i/>
          <w:sz w:val="22"/>
          <w:szCs w:val="22"/>
        </w:rPr>
        <w:t>Child-Pugh</w:t>
      </w:r>
      <w:r w:rsidRPr="00E5029D">
        <w:rPr>
          <w:sz w:val="22"/>
          <w:szCs w:val="22"/>
        </w:rPr>
        <w:t xml:space="preserve"> skor 8, odnosno 9, uočeno je najmanje dvostruko povećanje sistemske izloženosti u poređenju sa ispitanicima koji su imali manji </w:t>
      </w:r>
      <w:r w:rsidRPr="00E5029D">
        <w:rPr>
          <w:i/>
          <w:sz w:val="22"/>
          <w:szCs w:val="22"/>
        </w:rPr>
        <w:t>Child-Pugh</w:t>
      </w:r>
      <w:r w:rsidRPr="00E5029D">
        <w:rPr>
          <w:sz w:val="22"/>
          <w:szCs w:val="22"/>
        </w:rPr>
        <w:t xml:space="preserve"> skor. </w:t>
      </w:r>
    </w:p>
    <w:p w14:paraId="7164E990" w14:textId="7D4C1F65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Nema iskustva sa ispitanicima koji imaju Child-Pugh skor veći od 9.</w:t>
      </w:r>
    </w:p>
    <w:p w14:paraId="47613252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5BDD7A5C" w14:textId="4EB84860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Genetski polimorfizam:</w:t>
      </w:r>
      <w:r w:rsidRPr="00E5029D">
        <w:rPr>
          <w:sz w:val="22"/>
          <w:szCs w:val="22"/>
        </w:rPr>
        <w:t xml:space="preserve"> Dispozicija inhibitora HMG-CoA reduktaze, uključujući i rosuvastatin, uključuje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transportne proteine OATP1B1 i BCRP. Kod pacijenata sa SLCO1B1(OATP1B1) i/ili ABCG2 (BCRP)</w:t>
      </w:r>
      <w:r w:rsidR="00C758A6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genetskim polimorfizmom postoji rizik za povećanu izloženost rosuvastatinu. Individualni polimorfizmi u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SLCO1B1 c.521CC i ABCG2 c.421AA dovode se u vezu sa povećanom izloženošću rosuvastatinu (PIK) u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odnosu na SLCO1B1 c.521TT ili ABCG2 c.421CC genotipove. Ovi specifični genotipovi</w:t>
      </w:r>
      <w:r w:rsidR="006A3E14">
        <w:rPr>
          <w:sz w:val="22"/>
          <w:szCs w:val="22"/>
        </w:rPr>
        <w:t xml:space="preserve"> nijesu </w:t>
      </w:r>
      <w:r w:rsidRPr="00E5029D">
        <w:rPr>
          <w:sz w:val="22"/>
          <w:szCs w:val="22"/>
        </w:rPr>
        <w:t>ustanovljeni u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kliničkoj praksi, ali, kod pacijenata za koje je poznato da imaju ove tipove polimorfizma, preporučuje se manja dnevna doza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Rozor.</w:t>
      </w:r>
    </w:p>
    <w:p w14:paraId="5AAC0B4A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14548091" w14:textId="77777777" w:rsidR="00C758A6" w:rsidRDefault="0000248E" w:rsidP="007272B4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Pedijatrijska populacija:</w:t>
      </w:r>
      <w:r w:rsidRPr="00E5029D">
        <w:rPr>
          <w:sz w:val="22"/>
          <w:szCs w:val="22"/>
        </w:rPr>
        <w:t xml:space="preserve"> </w:t>
      </w:r>
    </w:p>
    <w:p w14:paraId="1539F6FE" w14:textId="4413C938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U dv</w:t>
      </w:r>
      <w:r w:rsidR="00FA151F">
        <w:rPr>
          <w:sz w:val="22"/>
          <w:szCs w:val="22"/>
        </w:rPr>
        <w:t>ij</w:t>
      </w:r>
      <w:r w:rsidRPr="00E5029D">
        <w:rPr>
          <w:sz w:val="22"/>
          <w:szCs w:val="22"/>
        </w:rPr>
        <w:t>e farmakokinetičke studije sa rosuvastatinom (u obliku tableta) kod pedijatrijskih pacijenata sa heterozigotnom porodičnom hiperholesterolemijom, uzrasta od 10 do 17 godina ili od 6 do 17 godina (ukupno 214 pacijenata), pokazano je da je izloženost l</w:t>
      </w:r>
      <w:r w:rsidR="00FA151F">
        <w:rPr>
          <w:sz w:val="22"/>
          <w:szCs w:val="22"/>
        </w:rPr>
        <w:t>ij</w:t>
      </w:r>
      <w:r w:rsidRPr="00E5029D">
        <w:rPr>
          <w:sz w:val="22"/>
          <w:szCs w:val="22"/>
        </w:rPr>
        <w:t>eku kod pedijatrijskih pacijenata uporediva ili manja od izloženosti l</w:t>
      </w:r>
      <w:r w:rsidR="00FA151F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eku kod odraslih osoba. Izloženost rosuvastatinu bila je predvidiva u smislu </w:t>
      </w:r>
      <w:r w:rsidR="006A3E14">
        <w:rPr>
          <w:sz w:val="22"/>
          <w:szCs w:val="22"/>
        </w:rPr>
        <w:t>primijenjen</w:t>
      </w:r>
      <w:r w:rsidRPr="00E5029D">
        <w:rPr>
          <w:sz w:val="22"/>
          <w:szCs w:val="22"/>
        </w:rPr>
        <w:t xml:space="preserve">e doze i vremena </w:t>
      </w:r>
      <w:r w:rsidR="00772014">
        <w:rPr>
          <w:sz w:val="22"/>
          <w:szCs w:val="22"/>
        </w:rPr>
        <w:t>liječenja</w:t>
      </w:r>
      <w:r w:rsidRPr="00E5029D">
        <w:rPr>
          <w:sz w:val="22"/>
          <w:szCs w:val="22"/>
        </w:rPr>
        <w:t xml:space="preserve"> tokom perioda od 2 godine.</w:t>
      </w:r>
    </w:p>
    <w:p w14:paraId="6BC53155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07027987" w14:textId="77777777" w:rsidR="0000248E" w:rsidRPr="00E5029D" w:rsidRDefault="0000248E" w:rsidP="007272B4">
      <w:pPr>
        <w:jc w:val="both"/>
        <w:rPr>
          <w:i/>
          <w:sz w:val="22"/>
          <w:szCs w:val="22"/>
        </w:rPr>
      </w:pPr>
      <w:r w:rsidRPr="00E5029D">
        <w:rPr>
          <w:i/>
          <w:sz w:val="22"/>
          <w:szCs w:val="22"/>
        </w:rPr>
        <w:t>Ezetimib</w:t>
      </w:r>
    </w:p>
    <w:p w14:paraId="71D430C6" w14:textId="4EDA6D5B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  <w:u w:val="single"/>
        </w:rPr>
        <w:t>Resorpcija:</w:t>
      </w:r>
      <w:r w:rsidRPr="00E5029D">
        <w:rPr>
          <w:sz w:val="22"/>
          <w:szCs w:val="22"/>
        </w:rPr>
        <w:t xml:space="preserve"> Nakon oralne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>, ezetimib se brzo resorbuje i u velikoj m</w:t>
      </w:r>
      <w:r w:rsidR="001730BB">
        <w:rPr>
          <w:sz w:val="22"/>
          <w:szCs w:val="22"/>
        </w:rPr>
        <w:t>j</w:t>
      </w:r>
      <w:r w:rsidRPr="00E5029D">
        <w:rPr>
          <w:sz w:val="22"/>
          <w:szCs w:val="22"/>
        </w:rPr>
        <w:t>eri se konjuguje u farmakološki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aktivan fenolni glukuronid (ezetimib-glukuronid). Srednja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 maksimalne koncentracije u plazmi ezetimibe glukuronida (</w:t>
      </w:r>
      <w:r w:rsidRPr="00E5029D">
        <w:rPr>
          <w:rFonts w:eastAsia="TimesNewRoman"/>
          <w:sz w:val="22"/>
          <w:szCs w:val="22"/>
        </w:rPr>
        <w:t>C</w:t>
      </w:r>
      <w:r w:rsidRPr="00E5029D">
        <w:rPr>
          <w:rFonts w:eastAsia="TimesNewRoman"/>
          <w:sz w:val="22"/>
          <w:szCs w:val="22"/>
          <w:vertAlign w:val="subscript"/>
        </w:rPr>
        <w:t>max</w:t>
      </w:r>
      <w:r w:rsidRPr="00E5029D">
        <w:rPr>
          <w:sz w:val="22"/>
          <w:szCs w:val="22"/>
        </w:rPr>
        <w:t>) postiže se za 1-2 sata,</w:t>
      </w:r>
      <w:r w:rsidR="001730BB">
        <w:rPr>
          <w:sz w:val="22"/>
          <w:szCs w:val="22"/>
        </w:rPr>
        <w:t xml:space="preserve"> </w:t>
      </w:r>
      <w:proofErr w:type="gramStart"/>
      <w:r w:rsidRPr="00E5029D">
        <w:rPr>
          <w:sz w:val="22"/>
          <w:szCs w:val="22"/>
        </w:rPr>
        <w:t>a</w:t>
      </w:r>
      <w:proofErr w:type="gramEnd"/>
      <w:r w:rsidR="001730BB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ezetimiba za 4-12 sati. Nije moguće odrediti apsolutnu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bioraspoloživost ezetimiba jer ovo jedinjenje gotovo uopšte nije rastvorljivo u vodenim rastvorima koji su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pogodni za injekcije.</w:t>
      </w:r>
    </w:p>
    <w:p w14:paraId="746002BA" w14:textId="50D7E0D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lastRenderedPageBreak/>
        <w:t xml:space="preserve">Istovremena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sa hranom (hrana bogata mastima, ili nemasni obroci) nije uticala na oralnu bioraspoloživost ezetimiba. Ezetimib može da se uzima sa hranom ili bez nje.</w:t>
      </w:r>
    </w:p>
    <w:p w14:paraId="2255A1DE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4A2F84B5" w14:textId="7AE66CAA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  <w:u w:val="single"/>
        </w:rPr>
        <w:t>Distribucija:</w:t>
      </w:r>
      <w:r w:rsidRPr="00E5029D">
        <w:rPr>
          <w:sz w:val="22"/>
          <w:szCs w:val="22"/>
        </w:rPr>
        <w:t xml:space="preserve"> 99,7% ezetimiba i 88% do 92% ezetimib-glukuronida se vezuje za proteine u plazmi čov</w:t>
      </w:r>
      <w:r w:rsidR="002628D7">
        <w:rPr>
          <w:sz w:val="22"/>
          <w:szCs w:val="22"/>
        </w:rPr>
        <w:t>j</w:t>
      </w:r>
      <w:r w:rsidRPr="00E5029D">
        <w:rPr>
          <w:sz w:val="22"/>
          <w:szCs w:val="22"/>
        </w:rPr>
        <w:t>eka.</w:t>
      </w:r>
    </w:p>
    <w:p w14:paraId="1C030366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7425402B" w14:textId="61E70B7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  <w:u w:val="single"/>
        </w:rPr>
        <w:t>Biotransformacija:</w:t>
      </w:r>
      <w:r w:rsidRPr="00E5029D">
        <w:rPr>
          <w:sz w:val="22"/>
          <w:szCs w:val="22"/>
        </w:rPr>
        <w:t xml:space="preserve"> Ezetimib se primarno metaboliše u tankom cr</w:t>
      </w:r>
      <w:r w:rsidR="002628D7">
        <w:rPr>
          <w:sz w:val="22"/>
          <w:szCs w:val="22"/>
        </w:rPr>
        <w:t>ij</w:t>
      </w:r>
      <w:r w:rsidRPr="00E5029D">
        <w:rPr>
          <w:sz w:val="22"/>
          <w:szCs w:val="22"/>
        </w:rPr>
        <w:t>evu i u jetri glukuronidnom konjugacijom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(reakcija faze II), a nakon toga se izlučuje u žuči. Kod svih ispitivanih vrsta uočen je minimalni oksidativni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metabolizam (reakcija faze I). Ezetimib i ezetimib-glukuronid su najvažniji derivati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uočeni u plazmi.</w:t>
      </w:r>
      <w:r w:rsidR="002628D7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Ezetimib čini približno 10-20%, </w:t>
      </w:r>
      <w:proofErr w:type="gramStart"/>
      <w:r w:rsidRPr="00E5029D">
        <w:rPr>
          <w:sz w:val="22"/>
          <w:szCs w:val="22"/>
        </w:rPr>
        <w:t>a</w:t>
      </w:r>
      <w:proofErr w:type="gramEnd"/>
      <w:r w:rsidRPr="00E5029D">
        <w:rPr>
          <w:sz w:val="22"/>
          <w:szCs w:val="22"/>
        </w:rPr>
        <w:t xml:space="preserve"> ezetimib-glukuronid 80-90% ukupnog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 xml:space="preserve">u plazmi. </w:t>
      </w:r>
      <w:r w:rsidR="002628D7">
        <w:rPr>
          <w:sz w:val="22"/>
          <w:szCs w:val="22"/>
        </w:rPr>
        <w:t>E</w:t>
      </w:r>
      <w:r w:rsidRPr="00E5029D">
        <w:rPr>
          <w:sz w:val="22"/>
          <w:szCs w:val="22"/>
        </w:rPr>
        <w:t>zetimib i ezetimibglukuronid se sporo eliminišu iz plazme pri čemu je uočeno značajno enterohepatičko kruženje. Poluvr</w:t>
      </w:r>
      <w:r w:rsidR="002628D7">
        <w:rPr>
          <w:sz w:val="22"/>
          <w:szCs w:val="22"/>
        </w:rPr>
        <w:t>ij</w:t>
      </w:r>
      <w:r w:rsidRPr="00E5029D">
        <w:rPr>
          <w:sz w:val="22"/>
          <w:szCs w:val="22"/>
        </w:rPr>
        <w:t>eme ezetimiba i ezetimib-glukuronida iznosi oko 22 sata.</w:t>
      </w:r>
    </w:p>
    <w:p w14:paraId="541B987F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0454035F" w14:textId="39CFD04B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  <w:u w:val="single"/>
        </w:rPr>
        <w:t>Eliminacija:</w:t>
      </w:r>
      <w:r w:rsidRPr="00E5029D">
        <w:rPr>
          <w:sz w:val="22"/>
          <w:szCs w:val="22"/>
        </w:rPr>
        <w:t xml:space="preserve"> Nakon oralne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 xml:space="preserve"> ezetimiba označenog radioizotopom </w:t>
      </w:r>
      <w:r w:rsidRPr="00E5029D">
        <w:rPr>
          <w:sz w:val="22"/>
          <w:szCs w:val="22"/>
          <w:vertAlign w:val="superscript"/>
        </w:rPr>
        <w:t>14</w:t>
      </w:r>
      <w:r w:rsidRPr="00E5029D">
        <w:rPr>
          <w:sz w:val="22"/>
          <w:szCs w:val="22"/>
        </w:rPr>
        <w:t>C (u dozi od 20 mg) kod ljudi, ukupni ezetimib činio je oko 93% ukupne radioaktivnosti u plazmi. Tokom 10-dnevnog perioda, oko 78% un</w:t>
      </w:r>
      <w:r w:rsidR="002628D7">
        <w:rPr>
          <w:sz w:val="22"/>
          <w:szCs w:val="22"/>
        </w:rPr>
        <w:t>ij</w:t>
      </w:r>
      <w:r w:rsidRPr="00E5029D">
        <w:rPr>
          <w:sz w:val="22"/>
          <w:szCs w:val="22"/>
        </w:rPr>
        <w:t>ete radioaktivnosti izm</w:t>
      </w:r>
      <w:r w:rsidR="002628D7">
        <w:rPr>
          <w:sz w:val="22"/>
          <w:szCs w:val="22"/>
        </w:rPr>
        <w:t>j</w:t>
      </w:r>
      <w:r w:rsidRPr="00E5029D">
        <w:rPr>
          <w:sz w:val="22"/>
          <w:szCs w:val="22"/>
        </w:rPr>
        <w:t>ereno je u fecesu, a oko 11% u urinu. Nakon 48 sati nije bilo m</w:t>
      </w:r>
      <w:r w:rsidR="002628D7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erljivih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radioaktivnosti u plazmi.</w:t>
      </w:r>
    </w:p>
    <w:p w14:paraId="26121214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1E4C5672" w14:textId="77777777" w:rsidR="0000248E" w:rsidRPr="00E5029D" w:rsidRDefault="0000248E" w:rsidP="007272B4">
      <w:pPr>
        <w:jc w:val="both"/>
        <w:rPr>
          <w:sz w:val="22"/>
          <w:szCs w:val="22"/>
          <w:u w:val="single"/>
        </w:rPr>
      </w:pPr>
      <w:r w:rsidRPr="00E5029D">
        <w:rPr>
          <w:sz w:val="22"/>
          <w:szCs w:val="22"/>
          <w:u w:val="single"/>
        </w:rPr>
        <w:t>Posebne grupe pacijenata</w:t>
      </w:r>
    </w:p>
    <w:p w14:paraId="719D0A55" w14:textId="2183A3F1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Starost i pol:</w:t>
      </w:r>
      <w:r w:rsidRPr="00E5029D">
        <w:rPr>
          <w:sz w:val="22"/>
          <w:szCs w:val="22"/>
        </w:rPr>
        <w:t xml:space="preserve"> Koncentracije ukupnog ezetimiba u plazmi su oko 2 puta veće kod starijih pacijenata (≥ 65 godina) nego kod mlađih pacijenata (18 do 45 godina starosti). Smanjene koncentracije LDL-C i profil </w:t>
      </w:r>
      <w:r w:rsidR="002628D7">
        <w:rPr>
          <w:sz w:val="22"/>
          <w:szCs w:val="22"/>
        </w:rPr>
        <w:t>bezbjednost</w:t>
      </w:r>
      <w:r w:rsidRPr="00E5029D">
        <w:rPr>
          <w:sz w:val="22"/>
          <w:szCs w:val="22"/>
        </w:rPr>
        <w:t>i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su slični kod starijih i mlađih pacijenata koji primaju ezetimib. Stoga nije potrebno prilagođavati dozu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 xml:space="preserve">kod starijih pacijenata. Koncentracije ukupnog ezetimiba u plazmi malo su više kod žena (oko 20%) nego kod muškaraca. Smanjene koncentracije LDL-C i profil </w:t>
      </w:r>
      <w:r w:rsidR="002628D7">
        <w:rPr>
          <w:sz w:val="22"/>
          <w:szCs w:val="22"/>
        </w:rPr>
        <w:t>bezbjednost</w:t>
      </w:r>
      <w:r w:rsidRPr="00E5029D">
        <w:rPr>
          <w:sz w:val="22"/>
          <w:szCs w:val="22"/>
        </w:rPr>
        <w:t>i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isti su kod muškaraca i žena koji uzimaju ezetimib. Stoga nije potrebno prilagođavati dozu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prema polu pacijenta.</w:t>
      </w:r>
    </w:p>
    <w:p w14:paraId="30A2648D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3142E762" w14:textId="70D392AC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Poremećaji funkcije bubrega:</w:t>
      </w:r>
      <w:r w:rsidRPr="00E5029D">
        <w:rPr>
          <w:sz w:val="22"/>
          <w:szCs w:val="22"/>
        </w:rPr>
        <w:t xml:space="preserve"> Nakon uzimanja jednokratne doze od 10 mg ezetimiba kod pacijenata sa teškim oštećenjem funkcije bubrega (n=8, srednja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 klirensa kreatinina ClCR ≤ 30 m</w:t>
      </w:r>
      <w:r w:rsidR="00D13902">
        <w:rPr>
          <w:sz w:val="22"/>
          <w:szCs w:val="22"/>
        </w:rPr>
        <w:t>l</w:t>
      </w:r>
      <w:r w:rsidRPr="00E5029D">
        <w:rPr>
          <w:sz w:val="22"/>
          <w:szCs w:val="22"/>
        </w:rPr>
        <w:t>/min/1,73 m</w:t>
      </w:r>
      <w:r w:rsidRPr="00E5029D">
        <w:rPr>
          <w:sz w:val="22"/>
          <w:szCs w:val="22"/>
          <w:vertAlign w:val="superscript"/>
        </w:rPr>
        <w:t>2</w:t>
      </w:r>
      <w:r w:rsidRPr="00E5029D">
        <w:rPr>
          <w:sz w:val="22"/>
          <w:szCs w:val="22"/>
        </w:rPr>
        <w:t xml:space="preserve">) srednja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 PIK ukupnog ezetimiba povećala se oko 1,5 puta u odnosu na zdrave dobrovoljce (n=9). Ovaj rezultat se ne smatra klinički značajnim. Nije potrebno prilagođavati dozu kod pacijenata sa insuficijencijom bubrega.</w:t>
      </w:r>
      <w:r w:rsidR="00D13902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U ovoj studiji, samo kod jednog naknadno uključenog pacijenta (nakon presađivanja bubrega, a koji je primao više različitih </w:t>
      </w:r>
      <w:r w:rsidR="00074F21">
        <w:rPr>
          <w:sz w:val="22"/>
          <w:szCs w:val="22"/>
        </w:rPr>
        <w:t>ljekova</w:t>
      </w:r>
      <w:r w:rsidRPr="00E5029D">
        <w:rPr>
          <w:sz w:val="22"/>
          <w:szCs w:val="22"/>
        </w:rPr>
        <w:t>, uključujući i ciklosporin) došlo je do 12 puta veće izloženosti ukupnom ezetimibu.</w:t>
      </w:r>
    </w:p>
    <w:p w14:paraId="6EB35DCF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7222CBC7" w14:textId="6F02C19A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Poremećaji funkcije jetre:</w:t>
      </w:r>
      <w:r w:rsidRPr="00E5029D">
        <w:rPr>
          <w:sz w:val="22"/>
          <w:szCs w:val="22"/>
        </w:rPr>
        <w:t xml:space="preserve"> Nakon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 xml:space="preserve"> jednokratne doze od 10 mg ezetimiba, srednja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 PIK za ukupni ezetimib kod pacijenata sa blagim oštećenjem funkcije jetre (</w:t>
      </w:r>
      <w:r w:rsidRPr="00E5029D">
        <w:rPr>
          <w:i/>
          <w:sz w:val="22"/>
          <w:szCs w:val="22"/>
        </w:rPr>
        <w:t>Child-Pugh</w:t>
      </w:r>
      <w:r w:rsidRPr="00E5029D">
        <w:rPr>
          <w:sz w:val="22"/>
          <w:szCs w:val="22"/>
        </w:rPr>
        <w:t xml:space="preserve"> skor 5 ili 6) povećala se oko 1,7 puta u odnosu na zdrave ispitanike. Prvog i četrnaestog dana 14-dnevnog ispitivanja sa višekratnim dozama ezetimiba (10 mg dnevno), kod pacijenata sa </w:t>
      </w:r>
      <w:r w:rsidR="00600503">
        <w:rPr>
          <w:sz w:val="22"/>
          <w:szCs w:val="22"/>
        </w:rPr>
        <w:t>umjeren</w:t>
      </w:r>
      <w:r w:rsidRPr="00E5029D">
        <w:rPr>
          <w:sz w:val="22"/>
          <w:szCs w:val="22"/>
        </w:rPr>
        <w:t>om insuficijencijom jetre (</w:t>
      </w:r>
      <w:r w:rsidRPr="00E5029D">
        <w:rPr>
          <w:i/>
          <w:sz w:val="22"/>
          <w:szCs w:val="22"/>
        </w:rPr>
        <w:t xml:space="preserve">Child-Pugh </w:t>
      </w:r>
      <w:r w:rsidRPr="00E5029D">
        <w:rPr>
          <w:sz w:val="22"/>
          <w:szCs w:val="22"/>
        </w:rPr>
        <w:t xml:space="preserve">skor 7 do 9), srednja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 PIK ukupnog ezetimiba bila je oko četiri puta veća nego kod zdravih ispitanika. Nije potrebno prilagođavati dozu kod pacijenata sa blagom insuficijencijom jetre. Pošto</w:t>
      </w:r>
      <w:r w:rsidR="006A3E14">
        <w:rPr>
          <w:sz w:val="22"/>
          <w:szCs w:val="22"/>
        </w:rPr>
        <w:t xml:space="preserve"> nijesu </w:t>
      </w:r>
      <w:r w:rsidRPr="00E5029D">
        <w:rPr>
          <w:sz w:val="22"/>
          <w:szCs w:val="22"/>
        </w:rPr>
        <w:t xml:space="preserve">poznati efekti povećane izloženosti ezetimibu kod pacijenata sa </w:t>
      </w:r>
      <w:r w:rsidR="00600503">
        <w:rPr>
          <w:sz w:val="22"/>
          <w:szCs w:val="22"/>
        </w:rPr>
        <w:t>umjeren</w:t>
      </w:r>
      <w:r w:rsidRPr="00E5029D">
        <w:rPr>
          <w:sz w:val="22"/>
          <w:szCs w:val="22"/>
        </w:rPr>
        <w:t>im ili teškim oštećenjem funkcije jetre (</w:t>
      </w:r>
      <w:r w:rsidRPr="00E5029D">
        <w:rPr>
          <w:i/>
          <w:sz w:val="22"/>
          <w:szCs w:val="22"/>
        </w:rPr>
        <w:t>Child-Pugh</w:t>
      </w:r>
      <w:r w:rsidRPr="00E5029D">
        <w:rPr>
          <w:sz w:val="22"/>
          <w:szCs w:val="22"/>
        </w:rPr>
        <w:t xml:space="preserve"> skor &gt;9), ne preporučuje se davanje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Rozor ovim pacijentima (</w:t>
      </w:r>
      <w:r w:rsidR="00600503">
        <w:rPr>
          <w:sz w:val="22"/>
          <w:szCs w:val="22"/>
        </w:rPr>
        <w:t>vidjeti</w:t>
      </w:r>
      <w:r w:rsidRPr="00E5029D">
        <w:rPr>
          <w:sz w:val="22"/>
          <w:szCs w:val="22"/>
        </w:rPr>
        <w:t xml:space="preserve"> </w:t>
      </w:r>
      <w:r w:rsidR="00A80C70">
        <w:rPr>
          <w:sz w:val="22"/>
          <w:szCs w:val="22"/>
        </w:rPr>
        <w:t>odjeljak</w:t>
      </w:r>
      <w:r w:rsidRPr="00E5029D">
        <w:rPr>
          <w:sz w:val="22"/>
          <w:szCs w:val="22"/>
        </w:rPr>
        <w:t xml:space="preserve"> 4.4).</w:t>
      </w:r>
    </w:p>
    <w:p w14:paraId="3BF07B9E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13C32CA6" w14:textId="77777777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  <w:u w:val="single"/>
        </w:rPr>
        <w:t>Pedijatrijska populacija:</w:t>
      </w:r>
      <w:r w:rsidRPr="00E5029D">
        <w:rPr>
          <w:sz w:val="22"/>
          <w:szCs w:val="22"/>
        </w:rPr>
        <w:t xml:space="preserve"> </w:t>
      </w:r>
    </w:p>
    <w:p w14:paraId="4194A463" w14:textId="67CF9C7E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Farmakokinetika ezetimiba je slična kod</w:t>
      </w:r>
      <w:r w:rsidR="00B637A4">
        <w:rPr>
          <w:sz w:val="22"/>
          <w:szCs w:val="22"/>
        </w:rPr>
        <w:t xml:space="preserve"> djece </w:t>
      </w:r>
      <w:r w:rsidRPr="00E5029D">
        <w:rPr>
          <w:sz w:val="22"/>
          <w:szCs w:val="22"/>
        </w:rPr>
        <w:t>uzrasta ≥ 6 godina i kod odraslih osoba. Nema podataka o farmakokinetici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kod</w:t>
      </w:r>
      <w:r w:rsidR="00B637A4">
        <w:rPr>
          <w:sz w:val="22"/>
          <w:szCs w:val="22"/>
        </w:rPr>
        <w:t xml:space="preserve"> djece </w:t>
      </w:r>
      <w:r w:rsidRPr="00E5029D">
        <w:rPr>
          <w:sz w:val="22"/>
          <w:szCs w:val="22"/>
        </w:rPr>
        <w:t>mlađe od 6 godina. Klinička iskustva sa d</w:t>
      </w:r>
      <w:r w:rsidR="00CF132C">
        <w:rPr>
          <w:sz w:val="22"/>
          <w:szCs w:val="22"/>
        </w:rPr>
        <w:t>j</w:t>
      </w:r>
      <w:r w:rsidRPr="00E5029D">
        <w:rPr>
          <w:sz w:val="22"/>
          <w:szCs w:val="22"/>
        </w:rPr>
        <w:t>ecom i adolescentima uključuju pacijente sa familijarnom homozigotnom hiperholesterolemijom</w:t>
      </w:r>
      <w:r w:rsidR="00CF132C">
        <w:rPr>
          <w:sz w:val="22"/>
          <w:szCs w:val="22"/>
        </w:rPr>
        <w:t xml:space="preserve"> (HoFH)</w:t>
      </w:r>
      <w:r w:rsidRPr="00E5029D">
        <w:rPr>
          <w:sz w:val="22"/>
          <w:szCs w:val="22"/>
        </w:rPr>
        <w:t>, familijarnom heterozigotnom hiperholesterolemijom</w:t>
      </w:r>
      <w:r w:rsidR="00CF132C">
        <w:rPr>
          <w:sz w:val="22"/>
          <w:szCs w:val="22"/>
        </w:rPr>
        <w:t xml:space="preserve"> (HeFH)</w:t>
      </w:r>
      <w:r w:rsidRPr="00E5029D">
        <w:rPr>
          <w:sz w:val="22"/>
          <w:szCs w:val="22"/>
        </w:rPr>
        <w:t>, ili sitosterolemijom.</w:t>
      </w:r>
    </w:p>
    <w:p w14:paraId="7E7339C3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7D5A236C" w14:textId="77777777" w:rsidR="0000248E" w:rsidRPr="00E5029D" w:rsidRDefault="0000248E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1BF5D1D" w14:textId="77777777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5.3.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 xml:space="preserve">Pretklinički podaci o bezbjednosti </w:t>
      </w:r>
    </w:p>
    <w:p w14:paraId="2563D89C" w14:textId="77777777" w:rsidR="00836B35" w:rsidRPr="00E5029D" w:rsidRDefault="00836B35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F5D920E" w14:textId="1067142B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U ispitivanjima istovremene terapije ezetimibom i statinima uočeni toksični efekti uglavnom su se odnosili na one karakteristično povezane sa </w:t>
      </w:r>
      <w:r w:rsidR="00FB72C1">
        <w:rPr>
          <w:sz w:val="22"/>
          <w:szCs w:val="22"/>
        </w:rPr>
        <w:t>primjenom</w:t>
      </w:r>
      <w:r w:rsidRPr="00E5029D">
        <w:rPr>
          <w:sz w:val="22"/>
          <w:szCs w:val="22"/>
        </w:rPr>
        <w:t xml:space="preserve"> statina. Neki od toksičnih efekata bili su izraženiji od onih</w:t>
      </w:r>
      <w:r w:rsidR="00826F83">
        <w:rPr>
          <w:sz w:val="22"/>
          <w:szCs w:val="22"/>
        </w:rPr>
        <w:t xml:space="preserve"> </w:t>
      </w:r>
      <w:r w:rsidR="006A3E14">
        <w:rPr>
          <w:sz w:val="22"/>
          <w:szCs w:val="22"/>
        </w:rPr>
        <w:t>zabilježen</w:t>
      </w:r>
      <w:r w:rsidRPr="00E5029D">
        <w:rPr>
          <w:sz w:val="22"/>
          <w:szCs w:val="22"/>
        </w:rPr>
        <w:t xml:space="preserve">ih tokom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 xml:space="preserve"> statina u monoterapiji. Ovo se pripisuje </w:t>
      </w:r>
      <w:r w:rsidR="00826F83">
        <w:rPr>
          <w:sz w:val="22"/>
          <w:szCs w:val="22"/>
        </w:rPr>
        <w:lastRenderedPageBreak/>
        <w:t>f</w:t>
      </w:r>
      <w:r w:rsidRPr="00E5029D">
        <w:rPr>
          <w:sz w:val="22"/>
          <w:szCs w:val="22"/>
        </w:rPr>
        <w:t>armakokinetičkim i farmakodinamičkim interakcijama do kojih dolazi tokom istovremene terapije. U kliničkim ispitivanjima</w:t>
      </w:r>
      <w:r w:rsidR="006A3E14">
        <w:rPr>
          <w:sz w:val="22"/>
          <w:szCs w:val="22"/>
        </w:rPr>
        <w:t xml:space="preserve"> nijesu </w:t>
      </w:r>
      <w:r w:rsidRPr="00E5029D">
        <w:rPr>
          <w:sz w:val="22"/>
          <w:szCs w:val="22"/>
        </w:rPr>
        <w:t xml:space="preserve">uočene ovakve interakcije. Kod pacova je </w:t>
      </w:r>
      <w:r w:rsidR="00074F21">
        <w:rPr>
          <w:sz w:val="22"/>
          <w:szCs w:val="22"/>
        </w:rPr>
        <w:t>zabilježena</w:t>
      </w:r>
      <w:r w:rsidRPr="00E5029D">
        <w:rPr>
          <w:sz w:val="22"/>
          <w:szCs w:val="22"/>
        </w:rPr>
        <w:t xml:space="preserve"> miopatija tek nakon njihovog izlaganja dozama koje su bile nekoliko puta veće od terapijskih doza za ljude (oko 20 puta veće od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 PIK za statine i 500 do 2000 puta veće od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>i PIK za aktivne metabolite).</w:t>
      </w:r>
    </w:p>
    <w:p w14:paraId="194221C2" w14:textId="2E9D1086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 xml:space="preserve">U seriji </w:t>
      </w:r>
      <w:r w:rsidRPr="00E5029D">
        <w:rPr>
          <w:i/>
          <w:sz w:val="22"/>
          <w:szCs w:val="22"/>
        </w:rPr>
        <w:t>in vivo</w:t>
      </w:r>
      <w:r w:rsidRPr="00E5029D">
        <w:rPr>
          <w:sz w:val="22"/>
          <w:szCs w:val="22"/>
        </w:rPr>
        <w:t xml:space="preserve"> i </w:t>
      </w:r>
      <w:r w:rsidRPr="00E5029D">
        <w:rPr>
          <w:i/>
          <w:sz w:val="22"/>
          <w:szCs w:val="22"/>
        </w:rPr>
        <w:t>in vitro</w:t>
      </w:r>
      <w:r w:rsidRPr="00E5029D">
        <w:rPr>
          <w:sz w:val="22"/>
          <w:szCs w:val="22"/>
        </w:rPr>
        <w:t xml:space="preserve"> istraživanja ezetimib, </w:t>
      </w:r>
      <w:r w:rsidR="002A7706">
        <w:rPr>
          <w:sz w:val="22"/>
          <w:szCs w:val="22"/>
        </w:rPr>
        <w:t>primjenjivan</w:t>
      </w:r>
      <w:r w:rsidRPr="00E5029D">
        <w:rPr>
          <w:sz w:val="22"/>
          <w:szCs w:val="22"/>
        </w:rPr>
        <w:t xml:space="preserve"> kao monoterapija ili u kombinaciji sa nekim od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statina, nije ispoljio genotoksični potencijal. Nalazi testova na dugoročnu kancerogenost ezetimiba bili su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negativni.</w:t>
      </w:r>
    </w:p>
    <w:p w14:paraId="1915D370" w14:textId="43F118B0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Istovremena prim</w:t>
      </w:r>
      <w:r w:rsidR="00826F83">
        <w:rPr>
          <w:sz w:val="22"/>
          <w:szCs w:val="22"/>
        </w:rPr>
        <w:t>j</w:t>
      </w:r>
      <w:r w:rsidRPr="00E5029D">
        <w:rPr>
          <w:sz w:val="22"/>
          <w:szCs w:val="22"/>
        </w:rPr>
        <w:t>ena ezetimiba i statina nije imala teratogeni efekat kod pacova. Kod skotnih kunića uočen je manji broj deformiteta skeleta ploda (spojeni torakalni i kaudalni pršljenovi, smanjen broj kaudalnih pršljenova).</w:t>
      </w:r>
    </w:p>
    <w:p w14:paraId="755D3FDC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4899970D" w14:textId="7749F7AD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</w:rPr>
        <w:t>Rosuvastatin:</w:t>
      </w:r>
      <w:r w:rsidRPr="00E5029D">
        <w:rPr>
          <w:sz w:val="22"/>
          <w:szCs w:val="22"/>
        </w:rPr>
        <w:t xml:space="preserve"> Pretklinički podaci ne ukazuju na poseban rizik kod ljudi na osnovu konvencionalnih studija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bezb</w:t>
      </w:r>
      <w:r w:rsidR="00C927E2">
        <w:rPr>
          <w:sz w:val="22"/>
          <w:szCs w:val="22"/>
        </w:rPr>
        <w:t>j</w:t>
      </w:r>
      <w:r w:rsidRPr="00E5029D">
        <w:rPr>
          <w:sz w:val="22"/>
          <w:szCs w:val="22"/>
        </w:rPr>
        <w:t>ednosne farmakologije, ispitivanja genotoksičnosti i karcinogenog potencijala.</w:t>
      </w:r>
      <w:r w:rsidR="006A3E14">
        <w:rPr>
          <w:sz w:val="22"/>
          <w:szCs w:val="22"/>
        </w:rPr>
        <w:t xml:space="preserve"> nijesu </w:t>
      </w:r>
      <w:r w:rsidRPr="00E5029D">
        <w:rPr>
          <w:sz w:val="22"/>
          <w:szCs w:val="22"/>
        </w:rPr>
        <w:t>proc</w:t>
      </w:r>
      <w:r w:rsidR="00C927E2">
        <w:rPr>
          <w:sz w:val="22"/>
          <w:szCs w:val="22"/>
        </w:rPr>
        <w:t>j</w:t>
      </w:r>
      <w:r w:rsidRPr="00E5029D">
        <w:rPr>
          <w:sz w:val="22"/>
          <w:szCs w:val="22"/>
        </w:rPr>
        <w:t>enjivani specifični testovi za efekat na hERG. Neželjene reakcije</w:t>
      </w:r>
      <w:r w:rsidR="006A3E14">
        <w:rPr>
          <w:sz w:val="22"/>
          <w:szCs w:val="22"/>
        </w:rPr>
        <w:t xml:space="preserve"> nijesu </w:t>
      </w:r>
      <w:r w:rsidRPr="00E5029D">
        <w:rPr>
          <w:sz w:val="22"/>
          <w:szCs w:val="22"/>
        </w:rPr>
        <w:t xml:space="preserve">uočene tokom kliničkih studija, ali su </w:t>
      </w:r>
      <w:r w:rsidR="00826F83">
        <w:rPr>
          <w:sz w:val="22"/>
          <w:szCs w:val="22"/>
        </w:rPr>
        <w:t>primijećen</w:t>
      </w:r>
      <w:r w:rsidRPr="00E5029D">
        <w:rPr>
          <w:sz w:val="22"/>
          <w:szCs w:val="22"/>
        </w:rPr>
        <w:t xml:space="preserve">e kod životinja pri </w:t>
      </w:r>
      <w:r w:rsidR="007E5AC4">
        <w:rPr>
          <w:sz w:val="22"/>
          <w:szCs w:val="22"/>
        </w:rPr>
        <w:t>vrijednost</w:t>
      </w:r>
      <w:r w:rsidRPr="00E5029D">
        <w:rPr>
          <w:sz w:val="22"/>
          <w:szCs w:val="22"/>
        </w:rPr>
        <w:t xml:space="preserve">ima izloženosti sličnim kliničkoj izloženosti: u ispitivanjima toksičnosti nakon </w:t>
      </w:r>
      <w:r w:rsidR="006A3E14">
        <w:rPr>
          <w:sz w:val="22"/>
          <w:szCs w:val="22"/>
        </w:rPr>
        <w:t>primjene</w:t>
      </w:r>
      <w:r w:rsidRPr="00E5029D">
        <w:rPr>
          <w:sz w:val="22"/>
          <w:szCs w:val="22"/>
        </w:rPr>
        <w:t xml:space="preserve"> ponovljenih doza </w:t>
      </w:r>
      <w:r w:rsidR="00826F83">
        <w:rPr>
          <w:sz w:val="22"/>
          <w:szCs w:val="22"/>
        </w:rPr>
        <w:t>primijećen</w:t>
      </w:r>
      <w:r w:rsidRPr="00E5029D">
        <w:rPr>
          <w:sz w:val="22"/>
          <w:szCs w:val="22"/>
        </w:rPr>
        <w:t>e su histopatološke prom</w:t>
      </w:r>
      <w:r w:rsidR="00C927E2">
        <w:rPr>
          <w:sz w:val="22"/>
          <w:szCs w:val="22"/>
        </w:rPr>
        <w:t>j</w:t>
      </w:r>
      <w:r w:rsidRPr="00E5029D">
        <w:rPr>
          <w:sz w:val="22"/>
          <w:szCs w:val="22"/>
        </w:rPr>
        <w:t xml:space="preserve">ene na jetri, nastale verovatno kao </w:t>
      </w:r>
      <w:r w:rsidR="00360C26">
        <w:rPr>
          <w:sz w:val="22"/>
          <w:szCs w:val="22"/>
        </w:rPr>
        <w:t>posljedica</w:t>
      </w:r>
      <w:r w:rsidRPr="00E5029D">
        <w:rPr>
          <w:sz w:val="22"/>
          <w:szCs w:val="22"/>
        </w:rPr>
        <w:t xml:space="preserve"> farmakološke aktivnosti rosuvastatina, a uočene su kod miševa, pacova i, u nešto manjoj meri, u žučnoj kesi pasa, ali ne i kod majmuna. Pored toga, pri većim dozama, kod majmuna i pasa, uočeno je toksično dejstvo na testise. Reproduktivna toksičnost, pri dozama toksičnim za majku kod kojih je sistemska izloženost l</w:t>
      </w:r>
      <w:r w:rsidR="00C927E2">
        <w:rPr>
          <w:sz w:val="22"/>
          <w:szCs w:val="22"/>
        </w:rPr>
        <w:t>ij</w:t>
      </w:r>
      <w:r w:rsidRPr="00E5029D">
        <w:rPr>
          <w:sz w:val="22"/>
          <w:szCs w:val="22"/>
        </w:rPr>
        <w:t xml:space="preserve">eku bila nekoliko puta veća od izloženosti pri terapijskim dozama, je bila očigledna kod pacova kod kojih je uočen smanjen broj mladunaca u okotu, smanjena </w:t>
      </w:r>
      <w:r w:rsidR="00EC4F44">
        <w:rPr>
          <w:sz w:val="22"/>
          <w:szCs w:val="22"/>
        </w:rPr>
        <w:t>tjelesn</w:t>
      </w:r>
      <w:r w:rsidRPr="00E5029D">
        <w:rPr>
          <w:sz w:val="22"/>
          <w:szCs w:val="22"/>
        </w:rPr>
        <w:t>a masa mladunaca i smanjeno preživljavanje mladunčadi.</w:t>
      </w:r>
    </w:p>
    <w:p w14:paraId="474498F3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10F3DE90" w14:textId="0D155B05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i/>
          <w:sz w:val="22"/>
          <w:szCs w:val="22"/>
        </w:rPr>
        <w:t>Ezetimib:</w:t>
      </w:r>
      <w:r w:rsidRPr="00E5029D">
        <w:rPr>
          <w:sz w:val="22"/>
          <w:szCs w:val="22"/>
        </w:rPr>
        <w:t xml:space="preserve"> Ispitivanja hronične toksičnosti ezetimiba na životinjama</w:t>
      </w:r>
      <w:r w:rsidR="006A3E14">
        <w:rPr>
          <w:sz w:val="22"/>
          <w:szCs w:val="22"/>
        </w:rPr>
        <w:t xml:space="preserve"> nijesu </w:t>
      </w:r>
      <w:r w:rsidRPr="00E5029D">
        <w:rPr>
          <w:sz w:val="22"/>
          <w:szCs w:val="22"/>
        </w:rPr>
        <w:t>utvrdila postojanje ciljnog organa za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toksične efekte. Kod pasa koji su ezetimib primali 4 </w:t>
      </w:r>
      <w:r w:rsidR="00B944AE">
        <w:rPr>
          <w:sz w:val="22"/>
          <w:szCs w:val="22"/>
        </w:rPr>
        <w:t>nedjelje</w:t>
      </w:r>
      <w:r w:rsidRPr="00E5029D">
        <w:rPr>
          <w:sz w:val="22"/>
          <w:szCs w:val="22"/>
        </w:rPr>
        <w:t xml:space="preserve"> (u dozi od ≥ 0,03 mg/kg dnevno), koncentracija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holesterola u cističnom kanalu i žučnoj kesici porasla je sa 2,5 na 3,5. Međutim, jednogodišnje ispitivanje sa dozama ezetimiba i do 300 mg/kg dnevno kod pasa nije pokazalo povećanu učestalost holelitijaze, ili drugih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efekata na jetru i žuč. Nije poznato kakav je značaj ovih podataka za ljude. Ipak, ne može se isključiti postojanje rizika za stvaranje žučnih kamenaca povezanih sa davanjem ezetimiba u terapijskim dozama.</w:t>
      </w:r>
    </w:p>
    <w:p w14:paraId="4FE69B7C" w14:textId="1D28650F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Ezetimib nije ispoljio nikakav efekat na plodnost mužjaka ili ženki pacova, niti se pokazao teratogenim kod</w:t>
      </w:r>
      <w:r w:rsidR="00826F83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>pacova ili kunića, i nije uticao na njihov prenatalni ili postnatalni razvoj. Ezetimib je prolazio kroz placentalnu barijeru kod skotnih ženki pacova i zečeva koje su primale višekratne doze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od 1000 mg/kg na dan.</w:t>
      </w:r>
      <w:r w:rsidR="009C3731">
        <w:rPr>
          <w:sz w:val="22"/>
          <w:szCs w:val="22"/>
        </w:rPr>
        <w:t xml:space="preserve"> </w:t>
      </w:r>
      <w:r w:rsidRPr="00E5029D">
        <w:rPr>
          <w:sz w:val="22"/>
          <w:szCs w:val="22"/>
        </w:rPr>
        <w:t xml:space="preserve">Istovremena </w:t>
      </w:r>
      <w:r w:rsidR="0078224C">
        <w:rPr>
          <w:sz w:val="22"/>
          <w:szCs w:val="22"/>
        </w:rPr>
        <w:t>primjena</w:t>
      </w:r>
      <w:r w:rsidRPr="00E5029D">
        <w:rPr>
          <w:sz w:val="22"/>
          <w:szCs w:val="22"/>
        </w:rPr>
        <w:t xml:space="preserve"> ezetimiba i lovastatina dovela je do smrtonosnih efekata na embrion.</w:t>
      </w:r>
    </w:p>
    <w:p w14:paraId="02799F8F" w14:textId="7998BFAB" w:rsidR="00396DFD" w:rsidRDefault="00396DFD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3FDEEB8" w14:textId="77777777" w:rsidR="00772F51" w:rsidRPr="00E5029D" w:rsidRDefault="00772F51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EEAF4FD" w14:textId="77777777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6.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FARMACEUTSKI PODACI</w:t>
      </w:r>
    </w:p>
    <w:p w14:paraId="66C53EB0" w14:textId="77777777" w:rsidR="00836B35" w:rsidRPr="00E5029D" w:rsidRDefault="00836B35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802E04C" w14:textId="77777777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6.1.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Lista pomoćnih supstanci</w:t>
      </w:r>
      <w:r w:rsidR="002E0135" w:rsidRPr="00E5029D">
        <w:rPr>
          <w:b/>
          <w:bCs/>
          <w:sz w:val="22"/>
          <w:szCs w:val="22"/>
        </w:rPr>
        <w:t xml:space="preserve"> (ekscipijenasa)</w:t>
      </w:r>
    </w:p>
    <w:p w14:paraId="61638ED6" w14:textId="06AEF02A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B05802F" w14:textId="77777777" w:rsidR="0000248E" w:rsidRPr="002577D0" w:rsidRDefault="0000248E" w:rsidP="007272B4">
      <w:pPr>
        <w:jc w:val="both"/>
        <w:rPr>
          <w:i/>
          <w:sz w:val="22"/>
          <w:szCs w:val="22"/>
          <w:u w:val="single"/>
        </w:rPr>
      </w:pPr>
      <w:r w:rsidRPr="002577D0">
        <w:rPr>
          <w:i/>
          <w:sz w:val="22"/>
          <w:szCs w:val="22"/>
          <w:u w:val="single"/>
        </w:rPr>
        <w:t>Rosuvastatin – jezgro</w:t>
      </w:r>
    </w:p>
    <w:p w14:paraId="5D1353C1" w14:textId="26006254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s</w:t>
      </w:r>
      <w:r w:rsidR="0000248E" w:rsidRPr="00E5029D">
        <w:rPr>
          <w:sz w:val="22"/>
          <w:szCs w:val="22"/>
        </w:rPr>
        <w:t>krob, preželatinizovan</w:t>
      </w:r>
      <w:r w:rsidR="00D72C14">
        <w:rPr>
          <w:sz w:val="22"/>
          <w:szCs w:val="22"/>
        </w:rPr>
        <w:t xml:space="preserve"> (kukuruzni)</w:t>
      </w:r>
    </w:p>
    <w:p w14:paraId="498102AE" w14:textId="77C8FD50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c</w:t>
      </w:r>
      <w:r w:rsidR="0000248E" w:rsidRPr="00E5029D">
        <w:rPr>
          <w:sz w:val="22"/>
          <w:szCs w:val="22"/>
        </w:rPr>
        <w:t>eluloza, mikrokristalna (E460)</w:t>
      </w:r>
    </w:p>
    <w:p w14:paraId="7550B8CE" w14:textId="74AAED3B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m</w:t>
      </w:r>
      <w:r w:rsidR="0000248E" w:rsidRPr="00E5029D">
        <w:rPr>
          <w:sz w:val="22"/>
          <w:szCs w:val="22"/>
        </w:rPr>
        <w:t>eglumin</w:t>
      </w:r>
    </w:p>
    <w:p w14:paraId="34CEB0BF" w14:textId="0B5E4C3E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0248E" w:rsidRPr="00E5029D">
        <w:rPr>
          <w:sz w:val="22"/>
          <w:szCs w:val="22"/>
        </w:rPr>
        <w:t>Kalcijum</w:t>
      </w:r>
      <w:r w:rsidR="00D72C14">
        <w:rPr>
          <w:sz w:val="22"/>
          <w:szCs w:val="22"/>
        </w:rPr>
        <w:t xml:space="preserve"> </w:t>
      </w:r>
      <w:r w:rsidR="0000248E" w:rsidRPr="00E5029D">
        <w:rPr>
          <w:sz w:val="22"/>
          <w:szCs w:val="22"/>
        </w:rPr>
        <w:t>hidrogenfosfat dihidrat (E341)</w:t>
      </w:r>
    </w:p>
    <w:p w14:paraId="785F573D" w14:textId="7929CD95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0248E" w:rsidRPr="00E5029D">
        <w:rPr>
          <w:sz w:val="22"/>
          <w:szCs w:val="22"/>
        </w:rPr>
        <w:t>Krospovidon (E1202)</w:t>
      </w:r>
    </w:p>
    <w:p w14:paraId="7CA2C6C7" w14:textId="03FA716A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0248E" w:rsidRPr="00E5029D">
        <w:rPr>
          <w:sz w:val="22"/>
          <w:szCs w:val="22"/>
        </w:rPr>
        <w:t>Silicijum dioksid, koloidni, bezvodni (E551)</w:t>
      </w:r>
    </w:p>
    <w:p w14:paraId="0BB0B7CF" w14:textId="5C5BE459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n</w:t>
      </w:r>
      <w:r w:rsidR="0000248E" w:rsidRPr="00E5029D">
        <w:rPr>
          <w:sz w:val="22"/>
          <w:szCs w:val="22"/>
        </w:rPr>
        <w:t>atrijum</w:t>
      </w:r>
      <w:r w:rsidR="00D72C14">
        <w:rPr>
          <w:sz w:val="22"/>
          <w:szCs w:val="22"/>
        </w:rPr>
        <w:t xml:space="preserve"> </w:t>
      </w:r>
      <w:r w:rsidR="0000248E" w:rsidRPr="00E5029D">
        <w:rPr>
          <w:sz w:val="22"/>
          <w:szCs w:val="22"/>
        </w:rPr>
        <w:t>stearil</w:t>
      </w:r>
      <w:r w:rsidR="009A28D0">
        <w:rPr>
          <w:sz w:val="22"/>
          <w:szCs w:val="22"/>
        </w:rPr>
        <w:t xml:space="preserve"> </w:t>
      </w:r>
      <w:r w:rsidR="0000248E" w:rsidRPr="00E5029D">
        <w:rPr>
          <w:sz w:val="22"/>
          <w:szCs w:val="22"/>
        </w:rPr>
        <w:t>fumarat</w:t>
      </w:r>
    </w:p>
    <w:p w14:paraId="158828E3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23955825" w14:textId="77777777" w:rsidR="0000248E" w:rsidRPr="002577D0" w:rsidRDefault="0000248E" w:rsidP="007272B4">
      <w:pPr>
        <w:jc w:val="both"/>
        <w:rPr>
          <w:i/>
          <w:sz w:val="22"/>
          <w:szCs w:val="22"/>
          <w:u w:val="single"/>
        </w:rPr>
      </w:pPr>
      <w:r w:rsidRPr="002577D0">
        <w:rPr>
          <w:i/>
          <w:sz w:val="22"/>
          <w:szCs w:val="22"/>
          <w:u w:val="single"/>
        </w:rPr>
        <w:t>Ezetimib – jezgro</w:t>
      </w:r>
    </w:p>
    <w:p w14:paraId="33634874" w14:textId="4C54042C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m</w:t>
      </w:r>
      <w:r w:rsidR="0000248E" w:rsidRPr="00E5029D">
        <w:rPr>
          <w:sz w:val="22"/>
          <w:szCs w:val="22"/>
        </w:rPr>
        <w:t>anitol (E421)</w:t>
      </w:r>
    </w:p>
    <w:p w14:paraId="02DF48C9" w14:textId="4E30DDA8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b</w:t>
      </w:r>
      <w:r w:rsidR="0000248E" w:rsidRPr="00E5029D">
        <w:rPr>
          <w:sz w:val="22"/>
          <w:szCs w:val="22"/>
        </w:rPr>
        <w:t>utilhidroksianizol (E320)</w:t>
      </w:r>
    </w:p>
    <w:p w14:paraId="4AF7F4CD" w14:textId="43B44F6C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n</w:t>
      </w:r>
      <w:r w:rsidR="0000248E" w:rsidRPr="00E5029D">
        <w:rPr>
          <w:sz w:val="22"/>
          <w:szCs w:val="22"/>
        </w:rPr>
        <w:t>atrijum</w:t>
      </w:r>
      <w:r w:rsidR="00D72C14">
        <w:rPr>
          <w:sz w:val="22"/>
          <w:szCs w:val="22"/>
        </w:rPr>
        <w:t xml:space="preserve"> </w:t>
      </w:r>
      <w:r w:rsidR="0000248E" w:rsidRPr="00E5029D">
        <w:rPr>
          <w:sz w:val="22"/>
          <w:szCs w:val="22"/>
        </w:rPr>
        <w:t>laurilsulfat (E487)</w:t>
      </w:r>
    </w:p>
    <w:p w14:paraId="257735A4" w14:textId="7757B075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k</w:t>
      </w:r>
      <w:r w:rsidR="0000248E" w:rsidRPr="00E5029D">
        <w:rPr>
          <w:sz w:val="22"/>
          <w:szCs w:val="22"/>
        </w:rPr>
        <w:t>roskarmeloza</w:t>
      </w:r>
      <w:r w:rsidR="00D72C14">
        <w:rPr>
          <w:sz w:val="22"/>
          <w:szCs w:val="22"/>
        </w:rPr>
        <w:t xml:space="preserve"> </w:t>
      </w:r>
      <w:r w:rsidR="0000248E" w:rsidRPr="00E5029D">
        <w:rPr>
          <w:sz w:val="22"/>
          <w:szCs w:val="22"/>
        </w:rPr>
        <w:t>natrijum (E468)</w:t>
      </w:r>
    </w:p>
    <w:p w14:paraId="6951A4E6" w14:textId="7A196A9E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p</w:t>
      </w:r>
      <w:r w:rsidR="0000248E" w:rsidRPr="00E5029D">
        <w:rPr>
          <w:sz w:val="22"/>
          <w:szCs w:val="22"/>
        </w:rPr>
        <w:t>ovidon (K-30) (E1201)</w:t>
      </w:r>
    </w:p>
    <w:p w14:paraId="7C3000F7" w14:textId="3C1C21D1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g</w:t>
      </w:r>
      <w:r w:rsidR="0000248E" w:rsidRPr="00E5029D">
        <w:rPr>
          <w:sz w:val="22"/>
          <w:szCs w:val="22"/>
        </w:rPr>
        <w:t>vožđe</w:t>
      </w:r>
      <w:r w:rsidR="00D72C14">
        <w:rPr>
          <w:sz w:val="22"/>
          <w:szCs w:val="22"/>
        </w:rPr>
        <w:t xml:space="preserve"> </w:t>
      </w:r>
      <w:r w:rsidR="0000248E" w:rsidRPr="00E5029D">
        <w:rPr>
          <w:sz w:val="22"/>
          <w:szCs w:val="22"/>
        </w:rPr>
        <w:t>(III)</w:t>
      </w:r>
      <w:r w:rsidR="00D72C14">
        <w:rPr>
          <w:sz w:val="22"/>
          <w:szCs w:val="22"/>
        </w:rPr>
        <w:t xml:space="preserve"> </w:t>
      </w:r>
      <w:r w:rsidR="0000248E" w:rsidRPr="00E5029D">
        <w:rPr>
          <w:sz w:val="22"/>
          <w:szCs w:val="22"/>
        </w:rPr>
        <w:t>oksid, crveni (E172)</w:t>
      </w:r>
    </w:p>
    <w:p w14:paraId="58A1F5C5" w14:textId="1E4A107E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m</w:t>
      </w:r>
      <w:r w:rsidR="0000248E" w:rsidRPr="00E5029D">
        <w:rPr>
          <w:sz w:val="22"/>
          <w:szCs w:val="22"/>
        </w:rPr>
        <w:t>agnezijum</w:t>
      </w:r>
      <w:r w:rsidR="00D72C14">
        <w:rPr>
          <w:sz w:val="22"/>
          <w:szCs w:val="22"/>
        </w:rPr>
        <w:t xml:space="preserve"> </w:t>
      </w:r>
      <w:r w:rsidR="0000248E" w:rsidRPr="00E5029D">
        <w:rPr>
          <w:sz w:val="22"/>
          <w:szCs w:val="22"/>
        </w:rPr>
        <w:t>stearat (E470 b)</w:t>
      </w:r>
    </w:p>
    <w:p w14:paraId="585E7216" w14:textId="1A6762C7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n</w:t>
      </w:r>
      <w:r w:rsidR="0000248E" w:rsidRPr="00E5029D">
        <w:rPr>
          <w:sz w:val="22"/>
          <w:szCs w:val="22"/>
        </w:rPr>
        <w:t>atrijum</w:t>
      </w:r>
      <w:r w:rsidR="00D72C14">
        <w:rPr>
          <w:sz w:val="22"/>
          <w:szCs w:val="22"/>
        </w:rPr>
        <w:t xml:space="preserve"> </w:t>
      </w:r>
      <w:r w:rsidR="0000248E" w:rsidRPr="00E5029D">
        <w:rPr>
          <w:sz w:val="22"/>
          <w:szCs w:val="22"/>
        </w:rPr>
        <w:t>stearil</w:t>
      </w:r>
      <w:r w:rsidR="009A28D0">
        <w:rPr>
          <w:sz w:val="22"/>
          <w:szCs w:val="22"/>
        </w:rPr>
        <w:t xml:space="preserve"> </w:t>
      </w:r>
      <w:r w:rsidR="0000248E" w:rsidRPr="00E5029D">
        <w:rPr>
          <w:sz w:val="22"/>
          <w:szCs w:val="22"/>
        </w:rPr>
        <w:t>fumarat</w:t>
      </w:r>
    </w:p>
    <w:p w14:paraId="3A4BA8EF" w14:textId="77777777" w:rsidR="0000248E" w:rsidRPr="00E5029D" w:rsidRDefault="0000248E" w:rsidP="007272B4">
      <w:pPr>
        <w:jc w:val="both"/>
        <w:rPr>
          <w:sz w:val="22"/>
          <w:szCs w:val="22"/>
        </w:rPr>
      </w:pPr>
    </w:p>
    <w:p w14:paraId="039CA4BB" w14:textId="77777777" w:rsidR="0000248E" w:rsidRPr="002577D0" w:rsidRDefault="0000248E" w:rsidP="007272B4">
      <w:pPr>
        <w:jc w:val="both"/>
        <w:rPr>
          <w:i/>
          <w:sz w:val="22"/>
          <w:szCs w:val="22"/>
          <w:u w:val="single"/>
        </w:rPr>
      </w:pPr>
      <w:r w:rsidRPr="002577D0">
        <w:rPr>
          <w:i/>
          <w:sz w:val="22"/>
          <w:szCs w:val="22"/>
          <w:u w:val="single"/>
        </w:rPr>
        <w:t>Film (obloga) tablete</w:t>
      </w:r>
    </w:p>
    <w:p w14:paraId="2B684D7C" w14:textId="0B453E31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h</w:t>
      </w:r>
      <w:r w:rsidR="0000248E" w:rsidRPr="00E5029D">
        <w:rPr>
          <w:sz w:val="22"/>
          <w:szCs w:val="22"/>
        </w:rPr>
        <w:t>ipromeloza (E464)</w:t>
      </w:r>
    </w:p>
    <w:p w14:paraId="5B7166B0" w14:textId="7A6FA5BB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="0000248E" w:rsidRPr="00E5029D">
        <w:rPr>
          <w:sz w:val="22"/>
          <w:szCs w:val="22"/>
        </w:rPr>
        <w:t>itanijum</w:t>
      </w:r>
      <w:r w:rsidR="001F0789">
        <w:rPr>
          <w:sz w:val="22"/>
          <w:szCs w:val="22"/>
        </w:rPr>
        <w:t xml:space="preserve"> </w:t>
      </w:r>
      <w:r w:rsidR="0000248E" w:rsidRPr="00E5029D">
        <w:rPr>
          <w:sz w:val="22"/>
          <w:szCs w:val="22"/>
        </w:rPr>
        <w:t>dioksid (E171)</w:t>
      </w:r>
    </w:p>
    <w:p w14:paraId="287D4335" w14:textId="2835DF29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m</w:t>
      </w:r>
      <w:r w:rsidR="0000248E" w:rsidRPr="00E5029D">
        <w:rPr>
          <w:sz w:val="22"/>
          <w:szCs w:val="22"/>
        </w:rPr>
        <w:t xml:space="preserve">akrogol 4000 </w:t>
      </w:r>
    </w:p>
    <w:p w14:paraId="688816DA" w14:textId="35BEF4D9" w:rsidR="0000248E" w:rsidRPr="00E5029D" w:rsidRDefault="00DE48DA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- g</w:t>
      </w:r>
      <w:r w:rsidR="0000248E" w:rsidRPr="00E5029D">
        <w:rPr>
          <w:sz w:val="22"/>
          <w:szCs w:val="22"/>
        </w:rPr>
        <w:t>vožđe</w:t>
      </w:r>
      <w:r w:rsidR="001F0789">
        <w:rPr>
          <w:sz w:val="22"/>
          <w:szCs w:val="22"/>
        </w:rPr>
        <w:t xml:space="preserve"> </w:t>
      </w:r>
      <w:r w:rsidR="0000248E" w:rsidRPr="00E5029D">
        <w:rPr>
          <w:sz w:val="22"/>
          <w:szCs w:val="22"/>
        </w:rPr>
        <w:t>(III)</w:t>
      </w:r>
      <w:r w:rsidR="001F0789">
        <w:rPr>
          <w:sz w:val="22"/>
          <w:szCs w:val="22"/>
        </w:rPr>
        <w:t xml:space="preserve"> oksid,</w:t>
      </w:r>
      <w:r w:rsidR="0000248E" w:rsidRPr="00E5029D">
        <w:rPr>
          <w:sz w:val="22"/>
          <w:szCs w:val="22"/>
        </w:rPr>
        <w:t xml:space="preserve"> crveni (E172)</w:t>
      </w:r>
    </w:p>
    <w:p w14:paraId="00403A34" w14:textId="77777777" w:rsidR="0000248E" w:rsidRPr="00E5029D" w:rsidRDefault="0000248E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36B8FAB" w14:textId="77777777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6.2.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Inkompatibilnost</w:t>
      </w:r>
      <w:r w:rsidR="002846DB" w:rsidRPr="00E5029D">
        <w:rPr>
          <w:b/>
          <w:bCs/>
          <w:sz w:val="22"/>
          <w:szCs w:val="22"/>
        </w:rPr>
        <w:t>i</w:t>
      </w:r>
    </w:p>
    <w:p w14:paraId="10736A7E" w14:textId="44B4CD59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5ABDE2D" w14:textId="421EBE35" w:rsidR="0000248E" w:rsidRPr="00E5029D" w:rsidRDefault="0000248E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Nije prim</w:t>
      </w:r>
      <w:r w:rsidR="004D423B">
        <w:rPr>
          <w:sz w:val="22"/>
          <w:szCs w:val="22"/>
        </w:rPr>
        <w:t>j</w:t>
      </w:r>
      <w:r w:rsidRPr="00E5029D">
        <w:rPr>
          <w:sz w:val="22"/>
          <w:szCs w:val="22"/>
        </w:rPr>
        <w:t>en</w:t>
      </w:r>
      <w:r w:rsidR="004D423B">
        <w:rPr>
          <w:sz w:val="22"/>
          <w:szCs w:val="22"/>
        </w:rPr>
        <w:t>l</w:t>
      </w:r>
      <w:r w:rsidRPr="00E5029D">
        <w:rPr>
          <w:sz w:val="22"/>
          <w:szCs w:val="22"/>
        </w:rPr>
        <w:t>jivo.</w:t>
      </w:r>
    </w:p>
    <w:p w14:paraId="6736A02D" w14:textId="77777777" w:rsidR="0000248E" w:rsidRPr="00E5029D" w:rsidRDefault="0000248E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C90F4F" w14:textId="77777777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>6.3.</w:t>
      </w:r>
      <w:r w:rsidR="00C05DF8" w:rsidRPr="00E5029D">
        <w:rPr>
          <w:b/>
          <w:bCs/>
          <w:sz w:val="22"/>
          <w:szCs w:val="22"/>
        </w:rPr>
        <w:t xml:space="preserve">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Rok upotrebe</w:t>
      </w:r>
    </w:p>
    <w:p w14:paraId="5A5D11A1" w14:textId="126EA11B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3C4B6DB" w14:textId="49894EA0" w:rsidR="00296E4D" w:rsidRPr="00E5029D" w:rsidRDefault="004D423B" w:rsidP="007272B4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96E4D" w:rsidRPr="00E5029D">
        <w:rPr>
          <w:sz w:val="22"/>
          <w:szCs w:val="22"/>
        </w:rPr>
        <w:t xml:space="preserve"> godine.</w:t>
      </w:r>
    </w:p>
    <w:p w14:paraId="39274A39" w14:textId="77777777" w:rsidR="00296E4D" w:rsidRPr="00E5029D" w:rsidRDefault="00296E4D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F7A35B7" w14:textId="77777777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6.4.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Posebne mjere upozorenja pri čuvanju</w:t>
      </w:r>
      <w:r w:rsidR="00F8570A" w:rsidRPr="00E5029D">
        <w:rPr>
          <w:b/>
          <w:bCs/>
          <w:sz w:val="22"/>
          <w:szCs w:val="22"/>
        </w:rPr>
        <w:t xml:space="preserve"> lijeka</w:t>
      </w:r>
    </w:p>
    <w:p w14:paraId="4E6B7A5B" w14:textId="39599409" w:rsidR="00EC2532" w:rsidRPr="00E5029D" w:rsidRDefault="00EC2532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13C4974" w14:textId="0787FBDA" w:rsidR="00296E4D" w:rsidRPr="00E5029D" w:rsidRDefault="00296E4D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Čuvati u originalnom pakovanju, radi zaštite od sv</w:t>
      </w:r>
      <w:r w:rsidR="00481AEF">
        <w:rPr>
          <w:sz w:val="22"/>
          <w:szCs w:val="22"/>
        </w:rPr>
        <w:t>j</w:t>
      </w:r>
      <w:r w:rsidRPr="00E5029D">
        <w:rPr>
          <w:sz w:val="22"/>
          <w:szCs w:val="22"/>
        </w:rPr>
        <w:t>etlosti i vlage.</w:t>
      </w:r>
    </w:p>
    <w:p w14:paraId="3C910259" w14:textId="77777777" w:rsidR="00296E4D" w:rsidRPr="00E5029D" w:rsidRDefault="00296E4D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C41DCD6" w14:textId="77777777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6.5. </w:t>
      </w:r>
      <w:r w:rsidR="00480FB1" w:rsidRPr="00E5029D">
        <w:rPr>
          <w:b/>
          <w:bCs/>
          <w:sz w:val="22"/>
          <w:szCs w:val="22"/>
        </w:rPr>
        <w:tab/>
      </w:r>
      <w:r w:rsidR="002846DB" w:rsidRPr="00E5029D">
        <w:rPr>
          <w:b/>
          <w:bCs/>
          <w:sz w:val="22"/>
          <w:szCs w:val="22"/>
        </w:rPr>
        <w:t xml:space="preserve">Vrsta i sadržaj </w:t>
      </w:r>
      <w:r w:rsidR="00F8570A" w:rsidRPr="00E5029D">
        <w:rPr>
          <w:b/>
          <w:bCs/>
          <w:sz w:val="22"/>
          <w:szCs w:val="22"/>
        </w:rPr>
        <w:t>pakovanja</w:t>
      </w:r>
      <w:r w:rsidR="00C06864" w:rsidRPr="00E5029D">
        <w:rPr>
          <w:b/>
          <w:bCs/>
          <w:sz w:val="22"/>
          <w:szCs w:val="22"/>
        </w:rPr>
        <w:t xml:space="preserve"> </w:t>
      </w:r>
    </w:p>
    <w:p w14:paraId="55C1C72C" w14:textId="23AF4F88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7308094" w14:textId="5BFAE151" w:rsidR="00296E4D" w:rsidRDefault="00296E4D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Unutrašnje pakovanje je OPA/Al/PVC-Al blister sa 10 film tableta.</w:t>
      </w:r>
    </w:p>
    <w:p w14:paraId="42A2BF36" w14:textId="77777777" w:rsidR="00604A26" w:rsidRPr="00E5029D" w:rsidRDefault="00604A26" w:rsidP="007272B4">
      <w:pPr>
        <w:jc w:val="both"/>
        <w:rPr>
          <w:sz w:val="22"/>
          <w:szCs w:val="22"/>
        </w:rPr>
      </w:pPr>
    </w:p>
    <w:p w14:paraId="2AC17A1F" w14:textId="06004D0D" w:rsidR="00296E4D" w:rsidRPr="00E5029D" w:rsidRDefault="00296E4D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Spoljašnje pakovanje je složiva kartonska kutija u kojoj se nalaze 3 blistera sa po 10 film tableta (ukupno 30 film tableta) i Uputstvo za l</w:t>
      </w:r>
      <w:r w:rsidR="00604A26">
        <w:rPr>
          <w:sz w:val="22"/>
          <w:szCs w:val="22"/>
        </w:rPr>
        <w:t>ij</w:t>
      </w:r>
      <w:r w:rsidRPr="00E5029D">
        <w:rPr>
          <w:sz w:val="22"/>
          <w:szCs w:val="22"/>
        </w:rPr>
        <w:t>ek.</w:t>
      </w:r>
    </w:p>
    <w:p w14:paraId="178AE99A" w14:textId="77777777" w:rsidR="00296E4D" w:rsidRPr="00E5029D" w:rsidRDefault="00296E4D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602BD21" w14:textId="77777777" w:rsidR="002846DB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6.6.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E5029D">
        <w:rPr>
          <w:b/>
          <w:bCs/>
          <w:sz w:val="22"/>
          <w:szCs w:val="22"/>
        </w:rPr>
        <w:t xml:space="preserve"> </w:t>
      </w:r>
      <w:r w:rsidR="00310F03" w:rsidRPr="00E5029D">
        <w:rPr>
          <w:b/>
          <w:bCs/>
          <w:sz w:val="22"/>
          <w:szCs w:val="22"/>
        </w:rPr>
        <w:t>(i druga uputs</w:t>
      </w:r>
      <w:r w:rsidR="004109FA" w:rsidRPr="00E5029D">
        <w:rPr>
          <w:b/>
          <w:bCs/>
          <w:sz w:val="22"/>
          <w:szCs w:val="22"/>
        </w:rPr>
        <w:t>t</w:t>
      </w:r>
      <w:r w:rsidR="00310F03" w:rsidRPr="00E5029D">
        <w:rPr>
          <w:b/>
          <w:bCs/>
          <w:sz w:val="22"/>
          <w:szCs w:val="22"/>
        </w:rPr>
        <w:t xml:space="preserve">va za rukovanje lijekom) </w:t>
      </w:r>
    </w:p>
    <w:p w14:paraId="321E3BCF" w14:textId="77777777" w:rsidR="00B66A70" w:rsidRPr="00E5029D" w:rsidRDefault="00B66A70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E5C6FBA" w14:textId="7865DE57" w:rsidR="00296E4D" w:rsidRPr="00E5029D" w:rsidRDefault="00296E4D" w:rsidP="007272B4">
      <w:pPr>
        <w:jc w:val="both"/>
        <w:rPr>
          <w:sz w:val="22"/>
          <w:szCs w:val="22"/>
        </w:rPr>
      </w:pPr>
      <w:r w:rsidRPr="00E5029D">
        <w:rPr>
          <w:sz w:val="22"/>
          <w:szCs w:val="22"/>
        </w:rPr>
        <w:t>Svu neiskorišćenu količinu</w:t>
      </w:r>
      <w:r w:rsidR="006A3E14">
        <w:rPr>
          <w:sz w:val="22"/>
          <w:szCs w:val="22"/>
        </w:rPr>
        <w:t xml:space="preserve"> lijeka </w:t>
      </w:r>
      <w:r w:rsidRPr="00E5029D">
        <w:rPr>
          <w:sz w:val="22"/>
          <w:szCs w:val="22"/>
        </w:rPr>
        <w:t>ili otpadnog materijala nakon njegove upotrebe treba ukloniti, u skladu sa važećim propisima.</w:t>
      </w:r>
    </w:p>
    <w:p w14:paraId="4CE93D1B" w14:textId="7F7B4899" w:rsidR="0072020E" w:rsidRDefault="0072020E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79D0A19" w14:textId="77777777" w:rsidR="00772F51" w:rsidRPr="00E5029D" w:rsidRDefault="00772F51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ADA0489" w14:textId="14A28106" w:rsidR="00F8570A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7.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NOSILAC DOZVOLE</w:t>
      </w:r>
      <w:r w:rsidR="00483928" w:rsidRPr="00E5029D">
        <w:rPr>
          <w:b/>
          <w:bCs/>
          <w:sz w:val="22"/>
          <w:szCs w:val="22"/>
        </w:rPr>
        <w:t xml:space="preserve"> </w:t>
      </w:r>
      <w:bookmarkStart w:id="0" w:name="_GoBack"/>
      <w:bookmarkEnd w:id="0"/>
    </w:p>
    <w:p w14:paraId="393C7A7A" w14:textId="77777777" w:rsidR="004B141D" w:rsidRPr="00E5029D" w:rsidRDefault="004B141D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7994C3B" w14:textId="77777777" w:rsidR="005439E5" w:rsidRDefault="004B141D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B141D">
        <w:rPr>
          <w:bCs/>
          <w:sz w:val="22"/>
          <w:szCs w:val="22"/>
        </w:rPr>
        <w:t xml:space="preserve">Glosarij d.o.o. </w:t>
      </w:r>
    </w:p>
    <w:p w14:paraId="08ECB970" w14:textId="1A7E73F6" w:rsidR="00C61BE0" w:rsidRPr="00E5029D" w:rsidRDefault="004B141D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4B141D">
        <w:rPr>
          <w:bCs/>
          <w:sz w:val="22"/>
          <w:szCs w:val="22"/>
        </w:rPr>
        <w:t xml:space="preserve">Vojislavljevića 76, </w:t>
      </w:r>
      <w:r w:rsidR="005439E5">
        <w:rPr>
          <w:bCs/>
          <w:sz w:val="22"/>
          <w:szCs w:val="22"/>
        </w:rPr>
        <w:t xml:space="preserve">81 000 </w:t>
      </w:r>
      <w:r w:rsidRPr="004B141D">
        <w:rPr>
          <w:bCs/>
          <w:sz w:val="22"/>
          <w:szCs w:val="22"/>
        </w:rPr>
        <w:t>Podgorica, Crna Gora</w:t>
      </w:r>
    </w:p>
    <w:p w14:paraId="7C92C3F8" w14:textId="35BDA165" w:rsidR="00C37FD7" w:rsidRDefault="00C37FD7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6E56BAB" w14:textId="77777777" w:rsidR="00772F51" w:rsidRPr="00E5029D" w:rsidRDefault="00772F51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574E979" w14:textId="77777777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8.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>BROJ DOZVOLE</w:t>
      </w:r>
      <w:r w:rsidR="008A6D43" w:rsidRPr="00E5029D">
        <w:rPr>
          <w:b/>
          <w:bCs/>
          <w:sz w:val="22"/>
          <w:szCs w:val="22"/>
        </w:rPr>
        <w:t xml:space="preserve"> ZA STAVLJANJE LIJEKA U PROMET</w:t>
      </w:r>
    </w:p>
    <w:p w14:paraId="112D7B7C" w14:textId="00FB8AD6" w:rsidR="0072020E" w:rsidRDefault="0072020E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3A1DA0E" w14:textId="339A30B5" w:rsidR="00772F51" w:rsidRPr="00E5029D" w:rsidRDefault="00772F51" w:rsidP="00772F51">
      <w:pPr>
        <w:jc w:val="both"/>
        <w:rPr>
          <w:sz w:val="22"/>
          <w:szCs w:val="22"/>
          <w:lang w:val="sr-Latn-ME"/>
        </w:rPr>
      </w:pPr>
      <w:r w:rsidRPr="00E5029D">
        <w:rPr>
          <w:sz w:val="22"/>
          <w:szCs w:val="22"/>
          <w:lang w:val="sr-Latn-ME"/>
        </w:rPr>
        <w:t>Rozor</w:t>
      </w:r>
      <w:r>
        <w:rPr>
          <w:sz w:val="22"/>
          <w:szCs w:val="22"/>
          <w:lang w:val="sr-Latn-ME"/>
        </w:rPr>
        <w:t>,</w:t>
      </w:r>
      <w:r w:rsidRPr="00E5029D">
        <w:rPr>
          <w:sz w:val="22"/>
          <w:szCs w:val="22"/>
          <w:lang w:val="sr-Latn-ME"/>
        </w:rPr>
        <w:t xml:space="preserve"> film tablet</w:t>
      </w:r>
      <w:r>
        <w:rPr>
          <w:sz w:val="22"/>
          <w:szCs w:val="22"/>
          <w:lang w:val="sr-Latn-ME"/>
        </w:rPr>
        <w:t xml:space="preserve">a, </w:t>
      </w:r>
      <w:r w:rsidRPr="00E5029D">
        <w:rPr>
          <w:sz w:val="22"/>
          <w:szCs w:val="22"/>
          <w:lang w:val="sr-Latn-ME"/>
        </w:rPr>
        <w:t>10 mg + 10 mg</w:t>
      </w:r>
      <w:r>
        <w:rPr>
          <w:sz w:val="22"/>
          <w:szCs w:val="22"/>
          <w:lang w:val="sr-Latn-ME"/>
        </w:rPr>
        <w:t>,</w:t>
      </w:r>
      <w:r w:rsidRPr="00E5029D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 xml:space="preserve">blister, 30 (3x10) film tableta: </w:t>
      </w:r>
      <w:r w:rsidRPr="00772F51">
        <w:rPr>
          <w:sz w:val="22"/>
          <w:szCs w:val="22"/>
          <w:lang w:val="sr-Latn-ME"/>
        </w:rPr>
        <w:t>2030/22/3280 - 5770</w:t>
      </w:r>
    </w:p>
    <w:p w14:paraId="63371676" w14:textId="3D4B6EC3" w:rsidR="00772F51" w:rsidRPr="00E5029D" w:rsidRDefault="00772F51" w:rsidP="00772F51">
      <w:pPr>
        <w:jc w:val="both"/>
        <w:rPr>
          <w:sz w:val="22"/>
          <w:szCs w:val="22"/>
          <w:lang w:val="sr-Latn-ME"/>
        </w:rPr>
      </w:pPr>
      <w:r w:rsidRPr="00E5029D">
        <w:rPr>
          <w:sz w:val="22"/>
          <w:szCs w:val="22"/>
          <w:lang w:val="sr-Latn-ME"/>
        </w:rPr>
        <w:t>Rozor</w:t>
      </w:r>
      <w:r>
        <w:rPr>
          <w:sz w:val="22"/>
          <w:szCs w:val="22"/>
          <w:lang w:val="sr-Latn-ME"/>
        </w:rPr>
        <w:t>,</w:t>
      </w:r>
      <w:r w:rsidRPr="00E5029D">
        <w:rPr>
          <w:sz w:val="22"/>
          <w:szCs w:val="22"/>
          <w:lang w:val="sr-Latn-ME"/>
        </w:rPr>
        <w:t xml:space="preserve"> film tablet</w:t>
      </w:r>
      <w:r>
        <w:rPr>
          <w:sz w:val="22"/>
          <w:szCs w:val="22"/>
          <w:lang w:val="sr-Latn-ME"/>
        </w:rPr>
        <w:t xml:space="preserve">a, </w:t>
      </w:r>
      <w:r w:rsidRPr="00E5029D">
        <w:rPr>
          <w:sz w:val="22"/>
          <w:szCs w:val="22"/>
          <w:lang w:val="sr-Latn-ME"/>
        </w:rPr>
        <w:t>20 mg + 10 mg</w:t>
      </w:r>
      <w:r>
        <w:rPr>
          <w:sz w:val="22"/>
          <w:szCs w:val="22"/>
          <w:lang w:val="sr-Latn-ME"/>
        </w:rPr>
        <w:t>,</w:t>
      </w:r>
      <w:r w:rsidRPr="00E5029D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 xml:space="preserve">blister, 30 (3x10) film tableta: </w:t>
      </w:r>
      <w:r w:rsidR="00D80277" w:rsidRPr="00D80277">
        <w:rPr>
          <w:sz w:val="22"/>
          <w:szCs w:val="22"/>
          <w:lang w:val="sr-Latn-ME"/>
        </w:rPr>
        <w:t>2030/22/3281 - 5771</w:t>
      </w:r>
    </w:p>
    <w:p w14:paraId="4D09F3A8" w14:textId="1D892590" w:rsidR="00772F51" w:rsidRPr="00E5029D" w:rsidRDefault="00772F51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8E70430" w14:textId="77777777" w:rsidR="00F45F77" w:rsidRPr="00E5029D" w:rsidRDefault="00F45F77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1986B7E" w14:textId="77777777" w:rsidR="0072020E" w:rsidRPr="00E5029D" w:rsidRDefault="0072020E" w:rsidP="007272B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9. </w:t>
      </w:r>
      <w:r w:rsidR="00480FB1" w:rsidRPr="00E5029D">
        <w:rPr>
          <w:b/>
          <w:bCs/>
          <w:sz w:val="22"/>
          <w:szCs w:val="22"/>
        </w:rPr>
        <w:tab/>
      </w:r>
      <w:r w:rsidRPr="00E5029D">
        <w:rPr>
          <w:b/>
          <w:bCs/>
          <w:sz w:val="22"/>
          <w:szCs w:val="22"/>
        </w:rPr>
        <w:t xml:space="preserve">DATUM </w:t>
      </w:r>
      <w:r w:rsidR="00C05DF8" w:rsidRPr="00E5029D">
        <w:rPr>
          <w:b/>
          <w:bCs/>
          <w:sz w:val="22"/>
          <w:szCs w:val="22"/>
        </w:rPr>
        <w:t xml:space="preserve">PRVE </w:t>
      </w:r>
      <w:r w:rsidR="008A6D43" w:rsidRPr="00E5029D">
        <w:rPr>
          <w:b/>
          <w:bCs/>
          <w:sz w:val="22"/>
          <w:szCs w:val="22"/>
        </w:rPr>
        <w:t>DOZVOLE</w:t>
      </w:r>
      <w:r w:rsidR="00C05DF8" w:rsidRPr="00E5029D">
        <w:rPr>
          <w:b/>
          <w:bCs/>
          <w:sz w:val="22"/>
          <w:szCs w:val="22"/>
        </w:rPr>
        <w:t>/OBNOVE DOZVOLE</w:t>
      </w:r>
      <w:r w:rsidR="008A6D43" w:rsidRPr="00E5029D">
        <w:rPr>
          <w:b/>
          <w:bCs/>
          <w:sz w:val="22"/>
          <w:szCs w:val="22"/>
        </w:rPr>
        <w:t xml:space="preserve"> ZA STAVLJANJE LIJEKA U PROMET</w:t>
      </w:r>
    </w:p>
    <w:p w14:paraId="7F60BA9A" w14:textId="33A902B9" w:rsidR="0072020E" w:rsidRDefault="0072020E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5DA3956" w14:textId="54D74121" w:rsidR="00772F51" w:rsidRPr="00E5029D" w:rsidRDefault="00772F51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72F51">
        <w:rPr>
          <w:bCs/>
          <w:sz w:val="22"/>
          <w:szCs w:val="22"/>
        </w:rPr>
        <w:t>22.11.2022. godine</w:t>
      </w:r>
    </w:p>
    <w:p w14:paraId="3CE3B3A3" w14:textId="2BD88A2A" w:rsidR="00836B35" w:rsidRDefault="00836B35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D393724" w14:textId="77777777" w:rsidR="00772F51" w:rsidRPr="00E5029D" w:rsidRDefault="00772F51" w:rsidP="007272B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F1E3C4C" w14:textId="2E6A69BE" w:rsidR="003F6A59" w:rsidRDefault="0072020E" w:rsidP="007272B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E5029D">
        <w:rPr>
          <w:b/>
          <w:bCs/>
          <w:sz w:val="22"/>
          <w:szCs w:val="22"/>
        </w:rPr>
        <w:t xml:space="preserve">10. </w:t>
      </w:r>
      <w:r w:rsidR="00480FB1" w:rsidRPr="00E5029D">
        <w:rPr>
          <w:b/>
          <w:bCs/>
          <w:sz w:val="22"/>
          <w:szCs w:val="22"/>
        </w:rPr>
        <w:tab/>
      </w:r>
      <w:r w:rsidR="002846DB" w:rsidRPr="00E5029D">
        <w:rPr>
          <w:b/>
          <w:bCs/>
          <w:sz w:val="22"/>
          <w:szCs w:val="22"/>
        </w:rPr>
        <w:t>D</w:t>
      </w:r>
      <w:r w:rsidR="00EC2532" w:rsidRPr="00E5029D">
        <w:rPr>
          <w:b/>
          <w:bCs/>
          <w:sz w:val="22"/>
          <w:szCs w:val="22"/>
        </w:rPr>
        <w:t>ATUM REVIZIJE TEKSTA</w:t>
      </w:r>
    </w:p>
    <w:p w14:paraId="43677B16" w14:textId="6C6A90A5" w:rsidR="00772F51" w:rsidRDefault="00772F51" w:rsidP="007272B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14:paraId="4F3BF384" w14:textId="7FBCF5C6" w:rsidR="00772F51" w:rsidRPr="00772F51" w:rsidRDefault="00472C77" w:rsidP="007272B4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pl-PL"/>
        </w:rPr>
      </w:pPr>
      <w:r>
        <w:rPr>
          <w:bCs/>
          <w:sz w:val="22"/>
          <w:szCs w:val="22"/>
        </w:rPr>
        <w:t>Oktobar</w:t>
      </w:r>
      <w:r w:rsidR="00DE48DA">
        <w:rPr>
          <w:bCs/>
          <w:sz w:val="22"/>
          <w:szCs w:val="22"/>
        </w:rPr>
        <w:t xml:space="preserve">, </w:t>
      </w:r>
      <w:r w:rsidR="00772F51" w:rsidRPr="00772F51">
        <w:rPr>
          <w:bCs/>
          <w:sz w:val="22"/>
          <w:szCs w:val="22"/>
        </w:rPr>
        <w:t>202</w:t>
      </w:r>
      <w:r w:rsidR="00457C75">
        <w:rPr>
          <w:bCs/>
          <w:sz w:val="22"/>
          <w:szCs w:val="22"/>
        </w:rPr>
        <w:t>4</w:t>
      </w:r>
      <w:r w:rsidR="00772F51" w:rsidRPr="00772F51">
        <w:rPr>
          <w:bCs/>
          <w:sz w:val="22"/>
          <w:szCs w:val="22"/>
        </w:rPr>
        <w:t>. godine</w:t>
      </w:r>
    </w:p>
    <w:sectPr w:rsidR="00772F51" w:rsidRPr="00772F51" w:rsidSect="00DE48DA">
      <w:footerReference w:type="default" r:id="rId15"/>
      <w:pgSz w:w="11909" w:h="16834" w:code="9"/>
      <w:pgMar w:top="1134" w:right="1418" w:bottom="1134" w:left="1418" w:header="734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6DAF4" w14:textId="77777777" w:rsidR="00054AC4" w:rsidRDefault="00054AC4">
      <w:r>
        <w:separator/>
      </w:r>
    </w:p>
  </w:endnote>
  <w:endnote w:type="continuationSeparator" w:id="0">
    <w:p w14:paraId="53FE34D5" w14:textId="77777777" w:rsidR="00054AC4" w:rsidRDefault="0005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822A0" w14:textId="405A247E" w:rsidR="00772F51" w:rsidRPr="00B23F69" w:rsidRDefault="00772F51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472C77">
      <w:rPr>
        <w:noProof/>
        <w:sz w:val="22"/>
        <w:szCs w:val="22"/>
      </w:rPr>
      <w:t>21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472C77">
      <w:rPr>
        <w:noProof/>
        <w:sz w:val="22"/>
        <w:szCs w:val="22"/>
      </w:rPr>
      <w:t>21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F9526" w14:textId="77777777" w:rsidR="00054AC4" w:rsidRDefault="00054AC4">
      <w:r>
        <w:separator/>
      </w:r>
    </w:p>
  </w:footnote>
  <w:footnote w:type="continuationSeparator" w:id="0">
    <w:p w14:paraId="0BB8087B" w14:textId="77777777" w:rsidR="00054AC4" w:rsidRDefault="00054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55pt;height:13.8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22CD"/>
    <w:multiLevelType w:val="hybridMultilevel"/>
    <w:tmpl w:val="A8BCA2EE"/>
    <w:lvl w:ilvl="0" w:tplc="A2726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4351619"/>
    <w:multiLevelType w:val="hybridMultilevel"/>
    <w:tmpl w:val="E5AA4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07A27"/>
    <w:multiLevelType w:val="hybridMultilevel"/>
    <w:tmpl w:val="1E32AF48"/>
    <w:lvl w:ilvl="0" w:tplc="FFFFFFFF">
      <w:start w:val="1"/>
      <w:numFmt w:val="bullet"/>
      <w:lvlText w:val="-"/>
      <w:lvlJc w:val="left"/>
      <w:pPr>
        <w:ind w:left="644" w:hanging="360"/>
      </w:p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248E"/>
    <w:rsid w:val="00003728"/>
    <w:rsid w:val="00010E22"/>
    <w:rsid w:val="00016A2F"/>
    <w:rsid w:val="000176CA"/>
    <w:rsid w:val="00036FA0"/>
    <w:rsid w:val="0003793F"/>
    <w:rsid w:val="00054AC4"/>
    <w:rsid w:val="00056070"/>
    <w:rsid w:val="00057D6B"/>
    <w:rsid w:val="00057E35"/>
    <w:rsid w:val="00074F21"/>
    <w:rsid w:val="0007600D"/>
    <w:rsid w:val="00076726"/>
    <w:rsid w:val="00080303"/>
    <w:rsid w:val="00093FEF"/>
    <w:rsid w:val="000A3F58"/>
    <w:rsid w:val="000D2343"/>
    <w:rsid w:val="000D3449"/>
    <w:rsid w:val="000D425A"/>
    <w:rsid w:val="000D60CC"/>
    <w:rsid w:val="000E2084"/>
    <w:rsid w:val="000E6F55"/>
    <w:rsid w:val="000F77FA"/>
    <w:rsid w:val="00104BF6"/>
    <w:rsid w:val="001077CB"/>
    <w:rsid w:val="00107BF7"/>
    <w:rsid w:val="001153CC"/>
    <w:rsid w:val="00126F53"/>
    <w:rsid w:val="0014766D"/>
    <w:rsid w:val="001536CC"/>
    <w:rsid w:val="001730BB"/>
    <w:rsid w:val="00177BAD"/>
    <w:rsid w:val="001832BF"/>
    <w:rsid w:val="001903F1"/>
    <w:rsid w:val="001A3FBA"/>
    <w:rsid w:val="001A5518"/>
    <w:rsid w:val="001A7FFC"/>
    <w:rsid w:val="001B1C6A"/>
    <w:rsid w:val="001C1263"/>
    <w:rsid w:val="001C1417"/>
    <w:rsid w:val="001E390B"/>
    <w:rsid w:val="001E65FC"/>
    <w:rsid w:val="001F0789"/>
    <w:rsid w:val="001F42FB"/>
    <w:rsid w:val="001F719A"/>
    <w:rsid w:val="002031B3"/>
    <w:rsid w:val="002158F1"/>
    <w:rsid w:val="00215931"/>
    <w:rsid w:val="002215F4"/>
    <w:rsid w:val="00224C91"/>
    <w:rsid w:val="00225643"/>
    <w:rsid w:val="00227BDB"/>
    <w:rsid w:val="00234CB1"/>
    <w:rsid w:val="002352F8"/>
    <w:rsid w:val="0024039E"/>
    <w:rsid w:val="002422A3"/>
    <w:rsid w:val="002510A5"/>
    <w:rsid w:val="00253E38"/>
    <w:rsid w:val="00254A0A"/>
    <w:rsid w:val="00255787"/>
    <w:rsid w:val="002577D0"/>
    <w:rsid w:val="002628D7"/>
    <w:rsid w:val="00266046"/>
    <w:rsid w:val="002846DB"/>
    <w:rsid w:val="00284CCD"/>
    <w:rsid w:val="00285A00"/>
    <w:rsid w:val="00290FC2"/>
    <w:rsid w:val="00296E4D"/>
    <w:rsid w:val="002A030A"/>
    <w:rsid w:val="002A7706"/>
    <w:rsid w:val="002B5BD3"/>
    <w:rsid w:val="002B7F4A"/>
    <w:rsid w:val="002C6637"/>
    <w:rsid w:val="002D4829"/>
    <w:rsid w:val="002D658F"/>
    <w:rsid w:val="002E0135"/>
    <w:rsid w:val="002E1513"/>
    <w:rsid w:val="002E37A5"/>
    <w:rsid w:val="00303A0C"/>
    <w:rsid w:val="00310F03"/>
    <w:rsid w:val="003247D2"/>
    <w:rsid w:val="00327FC2"/>
    <w:rsid w:val="003445C1"/>
    <w:rsid w:val="003520F3"/>
    <w:rsid w:val="00355B61"/>
    <w:rsid w:val="00360C26"/>
    <w:rsid w:val="00361BD4"/>
    <w:rsid w:val="00362686"/>
    <w:rsid w:val="00371510"/>
    <w:rsid w:val="003742B1"/>
    <w:rsid w:val="00396DFD"/>
    <w:rsid w:val="003A7059"/>
    <w:rsid w:val="003A7705"/>
    <w:rsid w:val="003B7A36"/>
    <w:rsid w:val="003C17AB"/>
    <w:rsid w:val="003C5800"/>
    <w:rsid w:val="003C741B"/>
    <w:rsid w:val="003C7823"/>
    <w:rsid w:val="003D2275"/>
    <w:rsid w:val="003E1DCC"/>
    <w:rsid w:val="003E4280"/>
    <w:rsid w:val="003E7B8D"/>
    <w:rsid w:val="003F11A1"/>
    <w:rsid w:val="003F6A59"/>
    <w:rsid w:val="00404445"/>
    <w:rsid w:val="004065C8"/>
    <w:rsid w:val="004109FA"/>
    <w:rsid w:val="00411B4B"/>
    <w:rsid w:val="00415BEE"/>
    <w:rsid w:val="00427F85"/>
    <w:rsid w:val="00436F42"/>
    <w:rsid w:val="004378B4"/>
    <w:rsid w:val="0044107E"/>
    <w:rsid w:val="00446BA8"/>
    <w:rsid w:val="00451314"/>
    <w:rsid w:val="00452E9D"/>
    <w:rsid w:val="004534C7"/>
    <w:rsid w:val="00457C75"/>
    <w:rsid w:val="00465C7D"/>
    <w:rsid w:val="004671AA"/>
    <w:rsid w:val="00467E45"/>
    <w:rsid w:val="00472C77"/>
    <w:rsid w:val="00480FB1"/>
    <w:rsid w:val="00481518"/>
    <w:rsid w:val="00481AEF"/>
    <w:rsid w:val="00483928"/>
    <w:rsid w:val="00495DAE"/>
    <w:rsid w:val="004B141D"/>
    <w:rsid w:val="004B2D83"/>
    <w:rsid w:val="004C331F"/>
    <w:rsid w:val="004D115F"/>
    <w:rsid w:val="004D423B"/>
    <w:rsid w:val="004D6103"/>
    <w:rsid w:val="004E3BCE"/>
    <w:rsid w:val="004E70AD"/>
    <w:rsid w:val="004F0E97"/>
    <w:rsid w:val="004F5FAB"/>
    <w:rsid w:val="0050131E"/>
    <w:rsid w:val="00501DD1"/>
    <w:rsid w:val="00515C21"/>
    <w:rsid w:val="00527399"/>
    <w:rsid w:val="00530BD7"/>
    <w:rsid w:val="005439E5"/>
    <w:rsid w:val="00545CD2"/>
    <w:rsid w:val="005476F3"/>
    <w:rsid w:val="00572527"/>
    <w:rsid w:val="00573E40"/>
    <w:rsid w:val="00574A1D"/>
    <w:rsid w:val="00576348"/>
    <w:rsid w:val="00591E91"/>
    <w:rsid w:val="005A0B2E"/>
    <w:rsid w:val="005A23D2"/>
    <w:rsid w:val="005A36CB"/>
    <w:rsid w:val="005A4BB6"/>
    <w:rsid w:val="005B49B8"/>
    <w:rsid w:val="005C0741"/>
    <w:rsid w:val="005C5EF4"/>
    <w:rsid w:val="005D37C0"/>
    <w:rsid w:val="005E2E0B"/>
    <w:rsid w:val="005E62FA"/>
    <w:rsid w:val="005E7A7D"/>
    <w:rsid w:val="005F46D9"/>
    <w:rsid w:val="00600503"/>
    <w:rsid w:val="00602457"/>
    <w:rsid w:val="00604A26"/>
    <w:rsid w:val="00606CEC"/>
    <w:rsid w:val="00610FD5"/>
    <w:rsid w:val="006141C5"/>
    <w:rsid w:val="00620276"/>
    <w:rsid w:val="0062420E"/>
    <w:rsid w:val="00636B6C"/>
    <w:rsid w:val="00644B82"/>
    <w:rsid w:val="00644FC3"/>
    <w:rsid w:val="00646BD1"/>
    <w:rsid w:val="00655861"/>
    <w:rsid w:val="006561C2"/>
    <w:rsid w:val="00671CB3"/>
    <w:rsid w:val="00672A3C"/>
    <w:rsid w:val="00674BAF"/>
    <w:rsid w:val="00677C43"/>
    <w:rsid w:val="00682200"/>
    <w:rsid w:val="006918A7"/>
    <w:rsid w:val="00692BF6"/>
    <w:rsid w:val="006930A4"/>
    <w:rsid w:val="006A1497"/>
    <w:rsid w:val="006A3E14"/>
    <w:rsid w:val="006B0BD1"/>
    <w:rsid w:val="006B5404"/>
    <w:rsid w:val="006C571A"/>
    <w:rsid w:val="006C645B"/>
    <w:rsid w:val="006C7367"/>
    <w:rsid w:val="006D20A5"/>
    <w:rsid w:val="006D37BF"/>
    <w:rsid w:val="006D5E3D"/>
    <w:rsid w:val="006E507E"/>
    <w:rsid w:val="006E5AFE"/>
    <w:rsid w:val="006F0449"/>
    <w:rsid w:val="00702E22"/>
    <w:rsid w:val="0072020E"/>
    <w:rsid w:val="007272B4"/>
    <w:rsid w:val="00730239"/>
    <w:rsid w:val="00731AE8"/>
    <w:rsid w:val="00752C23"/>
    <w:rsid w:val="00772014"/>
    <w:rsid w:val="007724C9"/>
    <w:rsid w:val="00772F51"/>
    <w:rsid w:val="007776CE"/>
    <w:rsid w:val="0078224C"/>
    <w:rsid w:val="00786071"/>
    <w:rsid w:val="007A3ECB"/>
    <w:rsid w:val="007D28E9"/>
    <w:rsid w:val="007D7BB3"/>
    <w:rsid w:val="007E5AC4"/>
    <w:rsid w:val="007E79F0"/>
    <w:rsid w:val="008165F5"/>
    <w:rsid w:val="00824AB9"/>
    <w:rsid w:val="00826F83"/>
    <w:rsid w:val="00836B35"/>
    <w:rsid w:val="00843BDE"/>
    <w:rsid w:val="00844A3A"/>
    <w:rsid w:val="00863865"/>
    <w:rsid w:val="0086462C"/>
    <w:rsid w:val="00870E8E"/>
    <w:rsid w:val="0087588C"/>
    <w:rsid w:val="00875F08"/>
    <w:rsid w:val="00895C28"/>
    <w:rsid w:val="0089705C"/>
    <w:rsid w:val="008A6D43"/>
    <w:rsid w:val="008B491E"/>
    <w:rsid w:val="008C1A28"/>
    <w:rsid w:val="008C2E98"/>
    <w:rsid w:val="008D4B68"/>
    <w:rsid w:val="008E0959"/>
    <w:rsid w:val="008E18CB"/>
    <w:rsid w:val="008E49BD"/>
    <w:rsid w:val="008E53E9"/>
    <w:rsid w:val="008E5771"/>
    <w:rsid w:val="008E7D33"/>
    <w:rsid w:val="008F27E4"/>
    <w:rsid w:val="008F368E"/>
    <w:rsid w:val="008F4ACF"/>
    <w:rsid w:val="0091403A"/>
    <w:rsid w:val="00924166"/>
    <w:rsid w:val="00940B9B"/>
    <w:rsid w:val="00946EBD"/>
    <w:rsid w:val="00951A53"/>
    <w:rsid w:val="0095676E"/>
    <w:rsid w:val="00956983"/>
    <w:rsid w:val="009570C6"/>
    <w:rsid w:val="00963CF0"/>
    <w:rsid w:val="00964BB1"/>
    <w:rsid w:val="009775D9"/>
    <w:rsid w:val="00994E40"/>
    <w:rsid w:val="00997175"/>
    <w:rsid w:val="009A1847"/>
    <w:rsid w:val="009A28D0"/>
    <w:rsid w:val="009B062A"/>
    <w:rsid w:val="009C2788"/>
    <w:rsid w:val="009C3731"/>
    <w:rsid w:val="009D23EC"/>
    <w:rsid w:val="009D3711"/>
    <w:rsid w:val="009E0E42"/>
    <w:rsid w:val="009E7C6F"/>
    <w:rsid w:val="009F1793"/>
    <w:rsid w:val="009F2D23"/>
    <w:rsid w:val="00A01D69"/>
    <w:rsid w:val="00A02335"/>
    <w:rsid w:val="00A10239"/>
    <w:rsid w:val="00A40184"/>
    <w:rsid w:val="00A46C9A"/>
    <w:rsid w:val="00A6157B"/>
    <w:rsid w:val="00A619F3"/>
    <w:rsid w:val="00A62A73"/>
    <w:rsid w:val="00A80C70"/>
    <w:rsid w:val="00A83706"/>
    <w:rsid w:val="00A87FF6"/>
    <w:rsid w:val="00A95BB3"/>
    <w:rsid w:val="00A96F78"/>
    <w:rsid w:val="00AA0A3B"/>
    <w:rsid w:val="00AA2763"/>
    <w:rsid w:val="00AA33B6"/>
    <w:rsid w:val="00AA7922"/>
    <w:rsid w:val="00AB50CA"/>
    <w:rsid w:val="00AB6D64"/>
    <w:rsid w:val="00AC53CE"/>
    <w:rsid w:val="00AD2193"/>
    <w:rsid w:val="00AF2AC7"/>
    <w:rsid w:val="00AF2B42"/>
    <w:rsid w:val="00AF74CE"/>
    <w:rsid w:val="00B074C5"/>
    <w:rsid w:val="00B208DB"/>
    <w:rsid w:val="00B22E60"/>
    <w:rsid w:val="00B23F69"/>
    <w:rsid w:val="00B2400A"/>
    <w:rsid w:val="00B303B5"/>
    <w:rsid w:val="00B3497D"/>
    <w:rsid w:val="00B43B24"/>
    <w:rsid w:val="00B44C10"/>
    <w:rsid w:val="00B45F7A"/>
    <w:rsid w:val="00B54FA8"/>
    <w:rsid w:val="00B60619"/>
    <w:rsid w:val="00B62E42"/>
    <w:rsid w:val="00B637A4"/>
    <w:rsid w:val="00B66256"/>
    <w:rsid w:val="00B66A70"/>
    <w:rsid w:val="00B67366"/>
    <w:rsid w:val="00B80EE1"/>
    <w:rsid w:val="00B82511"/>
    <w:rsid w:val="00B84135"/>
    <w:rsid w:val="00B944AE"/>
    <w:rsid w:val="00BA0CA0"/>
    <w:rsid w:val="00BB1687"/>
    <w:rsid w:val="00BC2498"/>
    <w:rsid w:val="00C04D34"/>
    <w:rsid w:val="00C05DF8"/>
    <w:rsid w:val="00C06864"/>
    <w:rsid w:val="00C10F54"/>
    <w:rsid w:val="00C16978"/>
    <w:rsid w:val="00C2217E"/>
    <w:rsid w:val="00C23218"/>
    <w:rsid w:val="00C23D8D"/>
    <w:rsid w:val="00C245D9"/>
    <w:rsid w:val="00C31492"/>
    <w:rsid w:val="00C37AA3"/>
    <w:rsid w:val="00C37FD7"/>
    <w:rsid w:val="00C40A43"/>
    <w:rsid w:val="00C43419"/>
    <w:rsid w:val="00C44CF3"/>
    <w:rsid w:val="00C53B33"/>
    <w:rsid w:val="00C61BE0"/>
    <w:rsid w:val="00C67070"/>
    <w:rsid w:val="00C6707E"/>
    <w:rsid w:val="00C70B0E"/>
    <w:rsid w:val="00C7470F"/>
    <w:rsid w:val="00C758A6"/>
    <w:rsid w:val="00C773CA"/>
    <w:rsid w:val="00C8325E"/>
    <w:rsid w:val="00C83785"/>
    <w:rsid w:val="00C927E2"/>
    <w:rsid w:val="00C94C0D"/>
    <w:rsid w:val="00C94E0E"/>
    <w:rsid w:val="00CA056E"/>
    <w:rsid w:val="00CA1FEB"/>
    <w:rsid w:val="00CB3604"/>
    <w:rsid w:val="00CC1A28"/>
    <w:rsid w:val="00CD4F85"/>
    <w:rsid w:val="00CD6F02"/>
    <w:rsid w:val="00CD7FD9"/>
    <w:rsid w:val="00CE246D"/>
    <w:rsid w:val="00CF07A0"/>
    <w:rsid w:val="00CF132C"/>
    <w:rsid w:val="00CF3E03"/>
    <w:rsid w:val="00D0082A"/>
    <w:rsid w:val="00D13902"/>
    <w:rsid w:val="00D213BC"/>
    <w:rsid w:val="00D21455"/>
    <w:rsid w:val="00D37EA2"/>
    <w:rsid w:val="00D42A0D"/>
    <w:rsid w:val="00D47634"/>
    <w:rsid w:val="00D572E2"/>
    <w:rsid w:val="00D615A4"/>
    <w:rsid w:val="00D6582D"/>
    <w:rsid w:val="00D67D32"/>
    <w:rsid w:val="00D709B3"/>
    <w:rsid w:val="00D72C14"/>
    <w:rsid w:val="00D80277"/>
    <w:rsid w:val="00D80C54"/>
    <w:rsid w:val="00DA2ED6"/>
    <w:rsid w:val="00DB76B8"/>
    <w:rsid w:val="00DC2EA1"/>
    <w:rsid w:val="00DD6AAF"/>
    <w:rsid w:val="00DE314E"/>
    <w:rsid w:val="00DE3F5C"/>
    <w:rsid w:val="00DE48DA"/>
    <w:rsid w:val="00DF1AC8"/>
    <w:rsid w:val="00DF1D20"/>
    <w:rsid w:val="00E045A4"/>
    <w:rsid w:val="00E052AF"/>
    <w:rsid w:val="00E21324"/>
    <w:rsid w:val="00E246B9"/>
    <w:rsid w:val="00E31FEA"/>
    <w:rsid w:val="00E45169"/>
    <w:rsid w:val="00E47787"/>
    <w:rsid w:val="00E5029D"/>
    <w:rsid w:val="00E51C30"/>
    <w:rsid w:val="00E57990"/>
    <w:rsid w:val="00E64180"/>
    <w:rsid w:val="00E74AEE"/>
    <w:rsid w:val="00E766D2"/>
    <w:rsid w:val="00E768CC"/>
    <w:rsid w:val="00E868E5"/>
    <w:rsid w:val="00E8778C"/>
    <w:rsid w:val="00E9237A"/>
    <w:rsid w:val="00E939FA"/>
    <w:rsid w:val="00EA4572"/>
    <w:rsid w:val="00EA5765"/>
    <w:rsid w:val="00EB6B11"/>
    <w:rsid w:val="00EC2532"/>
    <w:rsid w:val="00EC4F44"/>
    <w:rsid w:val="00ED28B3"/>
    <w:rsid w:val="00ED7812"/>
    <w:rsid w:val="00EF3B86"/>
    <w:rsid w:val="00F174C9"/>
    <w:rsid w:val="00F317E9"/>
    <w:rsid w:val="00F34554"/>
    <w:rsid w:val="00F45F77"/>
    <w:rsid w:val="00F5167F"/>
    <w:rsid w:val="00F52258"/>
    <w:rsid w:val="00F61069"/>
    <w:rsid w:val="00F63840"/>
    <w:rsid w:val="00F679AB"/>
    <w:rsid w:val="00F67C64"/>
    <w:rsid w:val="00F75A8D"/>
    <w:rsid w:val="00F8570A"/>
    <w:rsid w:val="00F85E4F"/>
    <w:rsid w:val="00F914C5"/>
    <w:rsid w:val="00F91C7B"/>
    <w:rsid w:val="00F96ECA"/>
    <w:rsid w:val="00FA151F"/>
    <w:rsid w:val="00FB442B"/>
    <w:rsid w:val="00FB4A3B"/>
    <w:rsid w:val="00FB72C1"/>
    <w:rsid w:val="00FD392A"/>
    <w:rsid w:val="00FE3840"/>
    <w:rsid w:val="00FF5F82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8E79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248E"/>
    <w:pPr>
      <w:tabs>
        <w:tab w:val="left" w:pos="284"/>
      </w:tabs>
      <w:ind w:left="720"/>
      <w:contextualSpacing/>
      <w:jc w:val="both"/>
    </w:pPr>
    <w:rPr>
      <w:sz w:val="22"/>
    </w:rPr>
  </w:style>
  <w:style w:type="paragraph" w:customStyle="1" w:styleId="Default">
    <w:name w:val="Default"/>
    <w:rsid w:val="0000248E"/>
    <w:pPr>
      <w:autoSpaceDE w:val="0"/>
      <w:autoSpaceDN w:val="0"/>
      <w:adjustRightInd w:val="0"/>
    </w:pPr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A056E"/>
    <w:rPr>
      <w:color w:val="808080"/>
    </w:rPr>
  </w:style>
  <w:style w:type="paragraph" w:styleId="Revision">
    <w:name w:val="Revision"/>
    <w:hidden/>
    <w:uiPriority w:val="99"/>
    <w:semiHidden/>
    <w:rsid w:val="001A7FF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EAC09E509EC42983747D0C82F0DB6" ma:contentTypeVersion="13" ma:contentTypeDescription="Create a new document." ma:contentTypeScope="" ma:versionID="0131e450bae0dce6977f8965678bb2b1">
  <xsd:schema xmlns:xsd="http://www.w3.org/2001/XMLSchema" xmlns:xs="http://www.w3.org/2001/XMLSchema" xmlns:p="http://schemas.microsoft.com/office/2006/metadata/properties" xmlns:ns2="348ab35f-2a20-435a-9b3a-741510368eb8" xmlns:ns3="005a7b97-c746-4ba8-b4d4-cc580dce4321" targetNamespace="http://schemas.microsoft.com/office/2006/metadata/properties" ma:root="true" ma:fieldsID="1066686bbf90a380d12f3c61801b52f6" ns2:_="" ns3:_="">
    <xsd:import namespace="348ab35f-2a20-435a-9b3a-741510368eb8"/>
    <xsd:import namespace="005a7b97-c746-4ba8-b4d4-cc580dce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ab35f-2a20-435a-9b3a-741510368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5e80ae-0f9c-4f90-ada1-356925ed3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a7b97-c746-4ba8-b4d4-cc580dce43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80de058-cf61-425e-abab-087ad4b8ff82}" ma:internalName="TaxCatchAll" ma:showField="CatchAllData" ma:web="005a7b97-c746-4ba8-b4d4-cc580dce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8ab35f-2a20-435a-9b3a-741510368eb8">
      <Terms xmlns="http://schemas.microsoft.com/office/infopath/2007/PartnerControls"/>
    </lcf76f155ced4ddcb4097134ff3c332f>
    <TaxCatchAll xmlns="005a7b97-c746-4ba8-b4d4-cc580dce43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9210-A4A2-4CC0-8015-AA6E2B3A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ab35f-2a20-435a-9b3a-741510368eb8"/>
    <ds:schemaRef ds:uri="005a7b97-c746-4ba8-b4d4-cc580dce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62F66-7EE2-465C-8D59-C6851D93C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EB8C0-E1A7-47B7-A20A-6BBDCF22D964}">
  <ds:schemaRefs>
    <ds:schemaRef ds:uri="http://schemas.microsoft.com/office/2006/metadata/properties"/>
    <ds:schemaRef ds:uri="http://schemas.microsoft.com/office/infopath/2007/PartnerControls"/>
    <ds:schemaRef ds:uri="348ab35f-2a20-435a-9b3a-741510368eb8"/>
    <ds:schemaRef ds:uri="005a7b97-c746-4ba8-b4d4-cc580dce4321"/>
  </ds:schemaRefs>
</ds:datastoreItem>
</file>

<file path=customXml/itemProps4.xml><?xml version="1.0" encoding="utf-8"?>
<ds:datastoreItem xmlns:ds="http://schemas.openxmlformats.org/officeDocument/2006/customXml" ds:itemID="{15BD5ECE-2013-47D0-87E5-A6AF0DE8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10271</Words>
  <Characters>58549</Characters>
  <Application>Microsoft Office Word</Application>
  <DocSecurity>0</DocSecurity>
  <Lines>487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68683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4</cp:revision>
  <dcterms:created xsi:type="dcterms:W3CDTF">2024-09-19T12:13:00Z</dcterms:created>
  <dcterms:modified xsi:type="dcterms:W3CDTF">2024-10-07T07:33:00Z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0x010100981EAC09E509EC42983747D0C82F0DB6</vt:lpwstr>
  </property>
</Properties>
</file>