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EAEDF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5A476412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7FD6F62E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74AF3546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009BB44C" w14:textId="77777777" w:rsidR="003C17AB" w:rsidRPr="00CA1FEB" w:rsidRDefault="003C17AB" w:rsidP="00CA1FEB">
      <w:pPr>
        <w:rPr>
          <w:sz w:val="22"/>
          <w:szCs w:val="22"/>
          <w:lang w:val="sr-Latn-CS"/>
        </w:rPr>
      </w:pPr>
    </w:p>
    <w:p w14:paraId="70607071" w14:textId="3EB3DA66" w:rsidR="00C37FD7" w:rsidRPr="000A77B3" w:rsidRDefault="005C5EF4" w:rsidP="00C05DF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786071">
        <w:rPr>
          <w:noProof/>
          <w:sz w:val="22"/>
          <w:szCs w:val="22"/>
        </w:rPr>
        <w:drawing>
          <wp:inline distT="0" distB="0" distL="0" distR="0" wp14:anchorId="7672EDA9" wp14:editId="6D2C4D77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7AB" w:rsidRPr="00786071">
        <w:rPr>
          <w:noProof/>
          <w:sz w:val="22"/>
          <w:szCs w:val="22"/>
          <w:lang w:val="hr-HR"/>
        </w:rPr>
        <w:t xml:space="preserve"> Ovaj lijek je pod dodatnim praćenjem.</w:t>
      </w:r>
      <w:r w:rsidR="003C17AB" w:rsidRPr="00786071">
        <w:rPr>
          <w:sz w:val="22"/>
          <w:szCs w:val="22"/>
          <w:lang w:val="hr-HR"/>
        </w:rPr>
        <w:t xml:space="preserve"> </w:t>
      </w:r>
      <w:r w:rsidR="003C17AB" w:rsidRPr="00786071">
        <w:rPr>
          <w:noProof/>
          <w:sz w:val="22"/>
          <w:szCs w:val="22"/>
          <w:lang w:val="hr-HR"/>
        </w:rPr>
        <w:t>Time se omogućava brzo otkrivanje novih bezbjednosnih informacija. Zdravstveni radnici treba da prijave svaku sumnju na neželjeno dejstvo ovog lijeka.</w:t>
      </w:r>
      <w:r w:rsidR="003C17AB" w:rsidRPr="00786071">
        <w:rPr>
          <w:sz w:val="22"/>
          <w:szCs w:val="22"/>
          <w:lang w:val="hr-HR"/>
        </w:rPr>
        <w:t xml:space="preserve"> Za način prijavljivanja neželjenih dejstava vidjeti </w:t>
      </w:r>
      <w:r w:rsidR="007A3ECB">
        <w:rPr>
          <w:sz w:val="22"/>
          <w:szCs w:val="22"/>
          <w:lang w:val="hr-HR"/>
        </w:rPr>
        <w:t xml:space="preserve">dio </w:t>
      </w:r>
      <w:r w:rsidR="003C17AB" w:rsidRPr="00786071">
        <w:rPr>
          <w:sz w:val="22"/>
          <w:szCs w:val="22"/>
          <w:lang w:val="hr-HR"/>
        </w:rPr>
        <w:t>4.8</w:t>
      </w:r>
      <w:r w:rsidR="003C17AB" w:rsidRPr="00786071">
        <w:rPr>
          <w:noProof/>
          <w:sz w:val="22"/>
          <w:szCs w:val="22"/>
          <w:lang w:val="hr-HR"/>
        </w:rPr>
        <w:t>.</w:t>
      </w:r>
    </w:p>
    <w:p w14:paraId="3EC69F08" w14:textId="77777777" w:rsidR="003C17A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18252D98" w14:textId="1235DA7F" w:rsidR="009A286D" w:rsidRDefault="009A286D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10C10253" w14:textId="40E479E5" w:rsidR="00411B4B" w:rsidRPr="00BD141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>1.</w:t>
      </w:r>
      <w:r w:rsidR="00F5167F" w:rsidRPr="00BD141A">
        <w:rPr>
          <w:b/>
          <w:bCs/>
          <w:sz w:val="22"/>
          <w:szCs w:val="22"/>
        </w:rPr>
        <w:tab/>
      </w:r>
      <w:r w:rsidR="002846DB" w:rsidRPr="00BD141A">
        <w:rPr>
          <w:b/>
          <w:bCs/>
          <w:sz w:val="22"/>
          <w:szCs w:val="22"/>
        </w:rPr>
        <w:t xml:space="preserve">NAZIV </w:t>
      </w:r>
      <w:r w:rsidRPr="00BD141A">
        <w:rPr>
          <w:b/>
          <w:bCs/>
          <w:sz w:val="22"/>
          <w:szCs w:val="22"/>
        </w:rPr>
        <w:t>LIJEKA</w:t>
      </w:r>
    </w:p>
    <w:p w14:paraId="006D1444" w14:textId="77777777" w:rsidR="009A286D" w:rsidRDefault="009A286D" w:rsidP="00447278">
      <w:pPr>
        <w:rPr>
          <w:bCs/>
          <w:sz w:val="22"/>
          <w:szCs w:val="22"/>
          <w:lang w:val="sr-Latn-CS"/>
        </w:rPr>
      </w:pPr>
    </w:p>
    <w:p w14:paraId="4BACBA94" w14:textId="6FF82093" w:rsidR="00447278" w:rsidRPr="00BD141A" w:rsidRDefault="00447278" w:rsidP="00D07FA2">
      <w:pPr>
        <w:jc w:val="both"/>
        <w:rPr>
          <w:bCs/>
          <w:sz w:val="22"/>
          <w:szCs w:val="22"/>
          <w:lang w:val="sr-Latn-CS"/>
        </w:rPr>
      </w:pPr>
      <w:r w:rsidRPr="00BD141A">
        <w:rPr>
          <w:bCs/>
          <w:sz w:val="22"/>
          <w:szCs w:val="22"/>
          <w:lang w:val="sr-Latn-CS"/>
        </w:rPr>
        <w:t>NUBEQA</w:t>
      </w:r>
      <w:r w:rsidR="009A286D">
        <w:rPr>
          <w:bCs/>
          <w:sz w:val="22"/>
          <w:szCs w:val="22"/>
          <w:lang w:val="sr-Latn-CS"/>
        </w:rPr>
        <w:t xml:space="preserve">, </w:t>
      </w:r>
      <w:r w:rsidRPr="00BD141A">
        <w:rPr>
          <w:bCs/>
          <w:sz w:val="22"/>
          <w:szCs w:val="22"/>
          <w:lang w:val="sr-Latn-CS"/>
        </w:rPr>
        <w:t>300 mg</w:t>
      </w:r>
      <w:r w:rsidR="00BC4C4A">
        <w:rPr>
          <w:bCs/>
          <w:sz w:val="22"/>
          <w:szCs w:val="22"/>
          <w:lang w:val="sr-Latn-CS"/>
        </w:rPr>
        <w:t xml:space="preserve">, </w:t>
      </w:r>
      <w:r w:rsidRPr="00BD141A">
        <w:rPr>
          <w:bCs/>
          <w:sz w:val="22"/>
          <w:szCs w:val="22"/>
          <w:lang w:val="sr-Latn-CS"/>
        </w:rPr>
        <w:t>film tablet</w:t>
      </w:r>
      <w:r w:rsidR="008333B7">
        <w:rPr>
          <w:bCs/>
          <w:sz w:val="22"/>
          <w:szCs w:val="22"/>
          <w:lang w:val="sr-Latn-CS"/>
        </w:rPr>
        <w:t>a</w:t>
      </w:r>
    </w:p>
    <w:p w14:paraId="3AEDE649" w14:textId="77777777" w:rsidR="000D425A" w:rsidRPr="00BD141A" w:rsidRDefault="000D425A" w:rsidP="00D07FA2">
      <w:pPr>
        <w:jc w:val="both"/>
        <w:rPr>
          <w:bCs/>
          <w:sz w:val="22"/>
          <w:szCs w:val="22"/>
          <w:lang w:val="sv-SE"/>
        </w:rPr>
      </w:pPr>
    </w:p>
    <w:p w14:paraId="53A864B9" w14:textId="36CCB87B" w:rsidR="006D20A5" w:rsidRPr="00BD141A" w:rsidRDefault="006D20A5" w:rsidP="00D07FA2">
      <w:pPr>
        <w:jc w:val="both"/>
        <w:rPr>
          <w:sz w:val="22"/>
          <w:szCs w:val="22"/>
        </w:rPr>
      </w:pPr>
      <w:r w:rsidRPr="00BD141A">
        <w:rPr>
          <w:sz w:val="22"/>
          <w:szCs w:val="22"/>
          <w:lang w:val="sv-SE"/>
        </w:rPr>
        <w:t>INN:</w:t>
      </w:r>
      <w:r w:rsidR="00447278" w:rsidRPr="00BD141A">
        <w:rPr>
          <w:sz w:val="22"/>
          <w:szCs w:val="22"/>
          <w:lang w:val="sr-Latn-CS"/>
        </w:rPr>
        <w:t xml:space="preserve"> darolutamid</w:t>
      </w:r>
    </w:p>
    <w:p w14:paraId="7E2CDDC0" w14:textId="77777777" w:rsidR="006D20A5" w:rsidRPr="00BD141A" w:rsidRDefault="006D20A5">
      <w:pPr>
        <w:rPr>
          <w:bCs/>
          <w:sz w:val="22"/>
          <w:szCs w:val="22"/>
          <w:lang w:val="sv-SE"/>
        </w:rPr>
      </w:pPr>
    </w:p>
    <w:p w14:paraId="1A441912" w14:textId="77777777" w:rsidR="00530BD7" w:rsidRPr="00BD141A" w:rsidRDefault="00530BD7">
      <w:pPr>
        <w:rPr>
          <w:bCs/>
          <w:sz w:val="22"/>
          <w:szCs w:val="22"/>
          <w:lang w:val="sv-SE"/>
        </w:rPr>
      </w:pPr>
    </w:p>
    <w:p w14:paraId="41828701" w14:textId="77777777" w:rsidR="00411B4B" w:rsidRPr="00BD141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2. </w:t>
      </w:r>
      <w:r w:rsidR="00F5167F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KVALITATIVNI I KVANTITATIVNI SASTAV</w:t>
      </w:r>
    </w:p>
    <w:p w14:paraId="4782056F" w14:textId="14D2EDC9" w:rsidR="005A0B2E" w:rsidRPr="00BD141A" w:rsidRDefault="005A0B2E">
      <w:pPr>
        <w:rPr>
          <w:sz w:val="22"/>
          <w:szCs w:val="22"/>
          <w:lang w:val="sr-Latn-CS"/>
        </w:rPr>
      </w:pPr>
    </w:p>
    <w:p w14:paraId="461E40AC" w14:textId="77777777" w:rsidR="00447278" w:rsidRPr="00BD141A" w:rsidRDefault="00447278" w:rsidP="00D07FA2">
      <w:pPr>
        <w:jc w:val="both"/>
        <w:rPr>
          <w:sz w:val="22"/>
          <w:szCs w:val="22"/>
          <w:lang w:val="sr-Latn-CS"/>
        </w:rPr>
      </w:pPr>
      <w:r w:rsidRPr="00BD141A">
        <w:rPr>
          <w:sz w:val="22"/>
          <w:szCs w:val="22"/>
          <w:lang w:val="sr-Latn-CS"/>
        </w:rPr>
        <w:t>Jedna film tableta sadrži 300 mg darolutamida.</w:t>
      </w:r>
    </w:p>
    <w:p w14:paraId="11A3CE6B" w14:textId="77777777" w:rsidR="00447278" w:rsidRPr="00BD141A" w:rsidRDefault="00447278" w:rsidP="00D07FA2">
      <w:pPr>
        <w:jc w:val="both"/>
        <w:rPr>
          <w:sz w:val="22"/>
          <w:szCs w:val="22"/>
          <w:lang w:val="sr-Latn-CS"/>
        </w:rPr>
      </w:pPr>
    </w:p>
    <w:p w14:paraId="5432A0BB" w14:textId="77777777" w:rsidR="00447278" w:rsidRPr="00BD141A" w:rsidRDefault="00447278" w:rsidP="00D07FA2">
      <w:pPr>
        <w:jc w:val="both"/>
        <w:rPr>
          <w:sz w:val="22"/>
          <w:szCs w:val="22"/>
          <w:u w:val="single"/>
          <w:lang w:val="sr-Latn-CS"/>
        </w:rPr>
      </w:pPr>
      <w:r w:rsidRPr="00BD141A">
        <w:rPr>
          <w:sz w:val="22"/>
          <w:szCs w:val="22"/>
          <w:u w:val="single"/>
          <w:lang w:val="sr-Latn-CS"/>
        </w:rPr>
        <w:t>Pomoćna supstanca sa potvrđenim dejstvom</w:t>
      </w:r>
    </w:p>
    <w:p w14:paraId="354D192D" w14:textId="77777777" w:rsidR="00447278" w:rsidRPr="00BD141A" w:rsidRDefault="00447278" w:rsidP="00D07FA2">
      <w:pPr>
        <w:jc w:val="both"/>
        <w:rPr>
          <w:sz w:val="22"/>
          <w:szCs w:val="22"/>
          <w:lang w:val="sr-Latn-CS"/>
        </w:rPr>
      </w:pPr>
    </w:p>
    <w:p w14:paraId="7AF90052" w14:textId="304E7ED5" w:rsidR="00447278" w:rsidRPr="00BD141A" w:rsidRDefault="00447278" w:rsidP="00D07FA2">
      <w:pPr>
        <w:jc w:val="both"/>
        <w:rPr>
          <w:sz w:val="22"/>
          <w:szCs w:val="22"/>
          <w:lang w:val="sr-Latn-CS"/>
        </w:rPr>
      </w:pPr>
      <w:r w:rsidRPr="00BD141A">
        <w:rPr>
          <w:sz w:val="22"/>
          <w:szCs w:val="22"/>
          <w:lang w:val="sr-Latn-CS"/>
        </w:rPr>
        <w:t>Jedna film tableta sadrži 186 mg laktoza, monohidrata (vidjeti dio 4.4).</w:t>
      </w:r>
    </w:p>
    <w:p w14:paraId="185A3432" w14:textId="77777777" w:rsidR="00447278" w:rsidRPr="00BD141A" w:rsidRDefault="00447278" w:rsidP="00D07FA2">
      <w:pPr>
        <w:jc w:val="both"/>
        <w:rPr>
          <w:sz w:val="22"/>
          <w:szCs w:val="22"/>
          <w:lang w:val="sr-Latn-CS"/>
        </w:rPr>
      </w:pPr>
    </w:p>
    <w:p w14:paraId="62174585" w14:textId="77777777" w:rsidR="0003793F" w:rsidRPr="00BD141A" w:rsidRDefault="0003793F" w:rsidP="00D07FA2">
      <w:pPr>
        <w:jc w:val="both"/>
        <w:rPr>
          <w:sz w:val="22"/>
          <w:szCs w:val="22"/>
          <w:lang w:val="sr-Latn-CS"/>
        </w:rPr>
      </w:pPr>
      <w:r w:rsidRPr="00BD141A">
        <w:rPr>
          <w:sz w:val="22"/>
          <w:szCs w:val="22"/>
          <w:lang w:val="sr-Latn-CS"/>
        </w:rPr>
        <w:t>Za spisak svih ekscipijenasa, pogledati dio 6.1.</w:t>
      </w:r>
    </w:p>
    <w:p w14:paraId="31D2E31F" w14:textId="77777777" w:rsidR="0003793F" w:rsidRPr="00BD141A" w:rsidRDefault="0003793F">
      <w:pPr>
        <w:rPr>
          <w:sz w:val="22"/>
          <w:szCs w:val="22"/>
          <w:lang w:val="sr-Latn-CS"/>
        </w:rPr>
      </w:pPr>
    </w:p>
    <w:p w14:paraId="025FF402" w14:textId="77777777" w:rsidR="00C37FD7" w:rsidRPr="00BD141A" w:rsidRDefault="00C37FD7">
      <w:pPr>
        <w:rPr>
          <w:sz w:val="22"/>
          <w:szCs w:val="22"/>
          <w:lang w:val="sr-Latn-CS"/>
        </w:rPr>
      </w:pPr>
    </w:p>
    <w:p w14:paraId="362098BD" w14:textId="77777777" w:rsidR="00411B4B" w:rsidRPr="00BD141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3. </w:t>
      </w:r>
      <w:r w:rsidR="00F5167F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FARMACEUTSKI OBLIK</w:t>
      </w:r>
      <w:r w:rsidR="009F2D23" w:rsidRPr="00BD141A">
        <w:rPr>
          <w:b/>
          <w:bCs/>
          <w:sz w:val="22"/>
          <w:szCs w:val="22"/>
        </w:rPr>
        <w:t xml:space="preserve"> </w:t>
      </w:r>
    </w:p>
    <w:p w14:paraId="1B90645B" w14:textId="0B65BFD9" w:rsidR="00411B4B" w:rsidRPr="00BD141A" w:rsidRDefault="00411B4B">
      <w:pPr>
        <w:rPr>
          <w:bCs/>
          <w:sz w:val="22"/>
          <w:szCs w:val="22"/>
          <w:lang w:val="sr-Latn-CS"/>
        </w:rPr>
      </w:pPr>
    </w:p>
    <w:p w14:paraId="429978EC" w14:textId="77777777" w:rsidR="00447278" w:rsidRPr="00BD141A" w:rsidRDefault="00447278" w:rsidP="00D07FA2">
      <w:pPr>
        <w:jc w:val="both"/>
        <w:rPr>
          <w:sz w:val="22"/>
          <w:szCs w:val="22"/>
        </w:rPr>
      </w:pPr>
      <w:bookmarkStart w:id="0" w:name="_Hlk82070973"/>
      <w:r w:rsidRPr="00BD141A">
        <w:rPr>
          <w:sz w:val="22"/>
          <w:szCs w:val="22"/>
        </w:rPr>
        <w:t>Film tableta.</w:t>
      </w:r>
    </w:p>
    <w:p w14:paraId="14C0DA37" w14:textId="77777777" w:rsidR="00447278" w:rsidRPr="00BD141A" w:rsidRDefault="00447278" w:rsidP="00D07FA2">
      <w:pPr>
        <w:jc w:val="both"/>
        <w:rPr>
          <w:sz w:val="22"/>
          <w:szCs w:val="22"/>
        </w:rPr>
      </w:pPr>
    </w:p>
    <w:p w14:paraId="458039B6" w14:textId="0E31A08D" w:rsidR="00447278" w:rsidRPr="00BD141A" w:rsidRDefault="00447278" w:rsidP="00D07FA2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Bijel</w:t>
      </w:r>
      <w:r w:rsidR="00926F1A">
        <w:rPr>
          <w:sz w:val="22"/>
          <w:szCs w:val="22"/>
        </w:rPr>
        <w:t>a</w:t>
      </w:r>
      <w:r w:rsidRPr="00BD141A">
        <w:rPr>
          <w:sz w:val="22"/>
          <w:szCs w:val="22"/>
        </w:rPr>
        <w:t xml:space="preserve"> do </w:t>
      </w:r>
      <w:r w:rsidR="00926F1A">
        <w:rPr>
          <w:sz w:val="22"/>
          <w:szCs w:val="22"/>
        </w:rPr>
        <w:t xml:space="preserve">skoro </w:t>
      </w:r>
      <w:r w:rsidRPr="00BD141A">
        <w:rPr>
          <w:sz w:val="22"/>
          <w:szCs w:val="22"/>
        </w:rPr>
        <w:t>bijel</w:t>
      </w:r>
      <w:r w:rsidR="00926F1A">
        <w:rPr>
          <w:sz w:val="22"/>
          <w:szCs w:val="22"/>
        </w:rPr>
        <w:t>a</w:t>
      </w:r>
      <w:r w:rsidRPr="00BD141A">
        <w:rPr>
          <w:sz w:val="22"/>
          <w:szCs w:val="22"/>
        </w:rPr>
        <w:t>, ovaln</w:t>
      </w:r>
      <w:r w:rsidR="00926F1A">
        <w:rPr>
          <w:sz w:val="22"/>
          <w:szCs w:val="22"/>
        </w:rPr>
        <w:t>a film</w:t>
      </w:r>
      <w:r w:rsidRPr="00BD141A">
        <w:rPr>
          <w:sz w:val="22"/>
          <w:szCs w:val="22"/>
        </w:rPr>
        <w:t xml:space="preserve"> tablet</w:t>
      </w:r>
      <w:r w:rsidR="00926F1A">
        <w:rPr>
          <w:sz w:val="22"/>
          <w:szCs w:val="22"/>
        </w:rPr>
        <w:t>a</w:t>
      </w:r>
      <w:r w:rsidRPr="00BD141A">
        <w:rPr>
          <w:sz w:val="22"/>
          <w:szCs w:val="22"/>
        </w:rPr>
        <w:t>, du</w:t>
      </w:r>
      <w:r w:rsidRPr="00BD141A">
        <w:rPr>
          <w:sz w:val="22"/>
          <w:szCs w:val="22"/>
          <w:lang w:val="sr-Latn-RS"/>
        </w:rPr>
        <w:t>ž</w:t>
      </w:r>
      <w:r w:rsidRPr="00BD141A">
        <w:rPr>
          <w:sz w:val="22"/>
          <w:szCs w:val="22"/>
        </w:rPr>
        <w:t>ine 16 mm, širine 8 mm, sa utisnut</w:t>
      </w:r>
      <w:r w:rsidR="00926F1A">
        <w:rPr>
          <w:sz w:val="22"/>
          <w:szCs w:val="22"/>
        </w:rPr>
        <w:t>o</w:t>
      </w:r>
      <w:r w:rsidRPr="00BD141A">
        <w:rPr>
          <w:sz w:val="22"/>
          <w:szCs w:val="22"/>
        </w:rPr>
        <w:t>m oznak</w:t>
      </w:r>
      <w:r w:rsidR="00926F1A">
        <w:rPr>
          <w:sz w:val="22"/>
          <w:szCs w:val="22"/>
        </w:rPr>
        <w:t>o</w:t>
      </w:r>
      <w:r w:rsidRPr="00BD141A">
        <w:rPr>
          <w:sz w:val="22"/>
          <w:szCs w:val="22"/>
        </w:rPr>
        <w:t xml:space="preserve">m „300“ </w:t>
      </w:r>
      <w:r w:rsidR="00926F1A">
        <w:rPr>
          <w:sz w:val="22"/>
          <w:szCs w:val="22"/>
        </w:rPr>
        <w:t>sa</w:t>
      </w:r>
      <w:r w:rsidRPr="00BD141A">
        <w:rPr>
          <w:sz w:val="22"/>
          <w:szCs w:val="22"/>
        </w:rPr>
        <w:t xml:space="preserve"> jedn</w:t>
      </w:r>
      <w:r w:rsidR="00926F1A">
        <w:rPr>
          <w:sz w:val="22"/>
          <w:szCs w:val="22"/>
        </w:rPr>
        <w:t>e</w:t>
      </w:r>
      <w:r w:rsidRPr="00BD141A">
        <w:rPr>
          <w:sz w:val="22"/>
          <w:szCs w:val="22"/>
        </w:rPr>
        <w:t xml:space="preserve"> stran</w:t>
      </w:r>
      <w:r w:rsidR="00926F1A">
        <w:rPr>
          <w:sz w:val="22"/>
          <w:szCs w:val="22"/>
        </w:rPr>
        <w:t>e</w:t>
      </w:r>
      <w:r w:rsidRPr="00BD141A">
        <w:rPr>
          <w:sz w:val="22"/>
          <w:szCs w:val="22"/>
        </w:rPr>
        <w:t xml:space="preserve"> i oznak</w:t>
      </w:r>
      <w:r w:rsidR="00926F1A">
        <w:rPr>
          <w:sz w:val="22"/>
          <w:szCs w:val="22"/>
        </w:rPr>
        <w:t>o</w:t>
      </w:r>
      <w:r w:rsidRPr="00BD141A">
        <w:rPr>
          <w:sz w:val="22"/>
          <w:szCs w:val="22"/>
        </w:rPr>
        <w:t>m „B</w:t>
      </w:r>
      <w:r w:rsidR="00926F1A">
        <w:rPr>
          <w:sz w:val="22"/>
          <w:szCs w:val="22"/>
        </w:rPr>
        <w:t>AYER</w:t>
      </w:r>
      <w:r w:rsidRPr="00BD141A">
        <w:rPr>
          <w:sz w:val="22"/>
          <w:szCs w:val="22"/>
        </w:rPr>
        <w:t xml:space="preserve">“ </w:t>
      </w:r>
      <w:r w:rsidR="00926F1A">
        <w:rPr>
          <w:sz w:val="22"/>
          <w:szCs w:val="22"/>
        </w:rPr>
        <w:t>s</w:t>
      </w:r>
      <w:r w:rsidRPr="00BD141A">
        <w:rPr>
          <w:sz w:val="22"/>
          <w:szCs w:val="22"/>
        </w:rPr>
        <w:t>a drug</w:t>
      </w:r>
      <w:r w:rsidR="00926F1A">
        <w:rPr>
          <w:sz w:val="22"/>
          <w:szCs w:val="22"/>
        </w:rPr>
        <w:t>e</w:t>
      </w:r>
      <w:r w:rsidRPr="00BD141A">
        <w:rPr>
          <w:sz w:val="22"/>
          <w:szCs w:val="22"/>
        </w:rPr>
        <w:t xml:space="preserve"> stran</w:t>
      </w:r>
      <w:r w:rsidR="00926F1A">
        <w:rPr>
          <w:sz w:val="22"/>
          <w:szCs w:val="22"/>
        </w:rPr>
        <w:t>e</w:t>
      </w:r>
      <w:r w:rsidRPr="00BD141A">
        <w:rPr>
          <w:sz w:val="22"/>
          <w:szCs w:val="22"/>
        </w:rPr>
        <w:t>.</w:t>
      </w:r>
      <w:bookmarkEnd w:id="0"/>
    </w:p>
    <w:p w14:paraId="597D9A68" w14:textId="77777777" w:rsidR="00447278" w:rsidRPr="00BD141A" w:rsidRDefault="00447278">
      <w:pPr>
        <w:rPr>
          <w:bCs/>
          <w:sz w:val="22"/>
          <w:szCs w:val="22"/>
          <w:lang w:val="sr-Latn-CS"/>
        </w:rPr>
      </w:pPr>
    </w:p>
    <w:p w14:paraId="0D66AB70" w14:textId="77777777" w:rsidR="00EC2532" w:rsidRPr="00BD141A" w:rsidRDefault="00EC2532">
      <w:pPr>
        <w:rPr>
          <w:bCs/>
          <w:sz w:val="22"/>
          <w:szCs w:val="22"/>
          <w:lang w:val="sr-Latn-CS"/>
        </w:rPr>
      </w:pPr>
    </w:p>
    <w:p w14:paraId="36CB99E4" w14:textId="77777777" w:rsidR="00411B4B" w:rsidRPr="00BD141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4.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KLINIČKI PODACI</w:t>
      </w:r>
    </w:p>
    <w:p w14:paraId="3BDB8E21" w14:textId="77777777" w:rsidR="00CD6F02" w:rsidRPr="00BD141A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0E85AB5" w14:textId="77777777" w:rsidR="00411B4B" w:rsidRPr="00BD141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4.1.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Terapijske indikacije</w:t>
      </w:r>
    </w:p>
    <w:p w14:paraId="1CECBFFA" w14:textId="2DE9995E" w:rsidR="00411B4B" w:rsidRPr="00BD141A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EFE8665" w14:textId="4D016646" w:rsidR="006E3FEF" w:rsidRDefault="00447278" w:rsidP="0078283F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Lijek</w:t>
      </w:r>
      <w:r w:rsidRPr="00BD141A">
        <w:rPr>
          <w:sz w:val="22"/>
          <w:szCs w:val="22"/>
          <w:lang w:val="sr-Latn-RS"/>
        </w:rPr>
        <w:t xml:space="preserve"> NUBEQA je indikovan za</w:t>
      </w:r>
      <w:r w:rsidR="006E3FEF" w:rsidRPr="004E3491">
        <w:rPr>
          <w:sz w:val="22"/>
          <w:szCs w:val="22"/>
          <w:lang w:val="sr-Latn-RS"/>
        </w:rPr>
        <w:t xml:space="preserve"> prim</w:t>
      </w:r>
      <w:r w:rsidR="004E3491" w:rsidRPr="004E3491">
        <w:rPr>
          <w:sz w:val="22"/>
          <w:szCs w:val="22"/>
          <w:lang w:val="sr-Latn-RS"/>
        </w:rPr>
        <w:t>j</w:t>
      </w:r>
      <w:r w:rsidR="006E3FEF" w:rsidRPr="004E3491">
        <w:rPr>
          <w:sz w:val="22"/>
          <w:szCs w:val="22"/>
          <w:lang w:val="sr-Latn-RS"/>
        </w:rPr>
        <w:t>enu kod odraslih muškaraca za</w:t>
      </w:r>
      <w:r w:rsidRPr="004E3491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>terapiju</w:t>
      </w:r>
      <w:r w:rsidR="006E3FEF">
        <w:rPr>
          <w:sz w:val="22"/>
          <w:szCs w:val="22"/>
          <w:lang w:val="sr-Latn-RS"/>
        </w:rPr>
        <w:t>:</w:t>
      </w:r>
      <w:r w:rsidRPr="00BD141A">
        <w:rPr>
          <w:sz w:val="22"/>
          <w:szCs w:val="22"/>
          <w:lang w:val="sr-Latn-RS"/>
        </w:rPr>
        <w:t xml:space="preserve"> </w:t>
      </w:r>
    </w:p>
    <w:p w14:paraId="709961FF" w14:textId="5B8CE05E" w:rsidR="00447278" w:rsidRDefault="00447278" w:rsidP="006E3FEF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4E3491">
        <w:rPr>
          <w:sz w:val="22"/>
          <w:szCs w:val="22"/>
          <w:lang w:val="sr-Latn-RS"/>
        </w:rPr>
        <w:t>nemetastatskog ka</w:t>
      </w:r>
      <w:r w:rsidR="00465EC3" w:rsidRPr="004E3491">
        <w:rPr>
          <w:sz w:val="22"/>
          <w:szCs w:val="22"/>
          <w:lang w:val="sr-Latn-RS"/>
        </w:rPr>
        <w:t>r</w:t>
      </w:r>
      <w:r w:rsidRPr="004E3491">
        <w:rPr>
          <w:sz w:val="22"/>
          <w:szCs w:val="22"/>
          <w:lang w:val="sr-Latn-RS"/>
        </w:rPr>
        <w:t>cinoma prostate, rezistentnog na kastraciju (eng</w:t>
      </w:r>
      <w:r w:rsidR="00FE0E7B" w:rsidRPr="004E3491">
        <w:rPr>
          <w:sz w:val="22"/>
          <w:szCs w:val="22"/>
          <w:lang w:val="sr-Latn-RS"/>
        </w:rPr>
        <w:t>l</w:t>
      </w:r>
      <w:r w:rsidRPr="004E3491">
        <w:rPr>
          <w:sz w:val="22"/>
          <w:szCs w:val="22"/>
          <w:lang w:val="sr-Latn-RS"/>
        </w:rPr>
        <w:t xml:space="preserve">. </w:t>
      </w:r>
      <w:r w:rsidRPr="004E3491">
        <w:rPr>
          <w:i/>
          <w:iCs/>
          <w:sz w:val="22"/>
          <w:szCs w:val="22"/>
          <w:lang w:val="sr-Latn-RS"/>
        </w:rPr>
        <w:t>non-metastatic castration resistant prostate cancer, nmCRPC</w:t>
      </w:r>
      <w:r w:rsidRPr="004E3491">
        <w:rPr>
          <w:sz w:val="22"/>
          <w:szCs w:val="22"/>
          <w:lang w:val="sr-Latn-RS"/>
        </w:rPr>
        <w:t>), kod kojih postoji visok rizik za razvoj metastatskog oblika bolesti (vidjeti dio 5.1).</w:t>
      </w:r>
    </w:p>
    <w:p w14:paraId="78BC2866" w14:textId="54AB02B9" w:rsidR="006E3FEF" w:rsidRPr="009927B0" w:rsidRDefault="006E3FEF" w:rsidP="009927B0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6E3FEF">
        <w:rPr>
          <w:sz w:val="22"/>
          <w:szCs w:val="22"/>
          <w:lang w:val="sr-Latn-RS"/>
        </w:rPr>
        <w:t xml:space="preserve">metastatskog hormon senzitivnog karcinoma prostate (eng. </w:t>
      </w:r>
      <w:r w:rsidRPr="009927B0">
        <w:rPr>
          <w:i/>
          <w:iCs/>
          <w:sz w:val="22"/>
          <w:szCs w:val="22"/>
          <w:lang w:val="sr-Latn-RS"/>
        </w:rPr>
        <w:t>metastatic hormon-sensitive prostate cancer, mHSPC</w:t>
      </w:r>
      <w:r w:rsidRPr="006E3FEF">
        <w:rPr>
          <w:sz w:val="22"/>
          <w:szCs w:val="22"/>
          <w:lang w:val="sr-Latn-RS"/>
        </w:rPr>
        <w:t>) u kombinaciji sa docetakselom i terapijom deprivacije androgena (vid</w:t>
      </w:r>
      <w:r>
        <w:rPr>
          <w:sz w:val="22"/>
          <w:szCs w:val="22"/>
          <w:lang w:val="sr-Latn-RS"/>
        </w:rPr>
        <w:t>j</w:t>
      </w:r>
      <w:r w:rsidRPr="006E3FEF">
        <w:rPr>
          <w:sz w:val="22"/>
          <w:szCs w:val="22"/>
          <w:lang w:val="sr-Latn-RS"/>
        </w:rPr>
        <w:t xml:space="preserve">eti </w:t>
      </w:r>
      <w:r>
        <w:rPr>
          <w:sz w:val="22"/>
          <w:szCs w:val="22"/>
          <w:lang w:val="sr-Latn-RS"/>
        </w:rPr>
        <w:t>dio</w:t>
      </w:r>
      <w:r w:rsidRPr="006E3FEF">
        <w:rPr>
          <w:sz w:val="22"/>
          <w:szCs w:val="22"/>
          <w:lang w:val="sr-Latn-RS"/>
        </w:rPr>
        <w:t xml:space="preserve"> 5.1).</w:t>
      </w:r>
    </w:p>
    <w:p w14:paraId="6911F2B8" w14:textId="77777777" w:rsidR="00447278" w:rsidRPr="00BD141A" w:rsidRDefault="00447278" w:rsidP="004111E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18D94CA" w14:textId="77777777" w:rsidR="00411B4B" w:rsidRPr="00BD141A" w:rsidRDefault="00411B4B" w:rsidP="004111E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4.2.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Doziranje i način primjene</w:t>
      </w:r>
    </w:p>
    <w:p w14:paraId="6F91E159" w14:textId="5E900086" w:rsidR="0072020E" w:rsidRPr="00BD141A" w:rsidRDefault="0072020E" w:rsidP="004111E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570F3D6" w14:textId="4E88ADFB" w:rsidR="00447278" w:rsidRPr="00BD141A" w:rsidRDefault="00447278" w:rsidP="004111E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BD141A">
        <w:rPr>
          <w:bCs/>
          <w:sz w:val="22"/>
          <w:szCs w:val="22"/>
        </w:rPr>
        <w:t xml:space="preserve">Terapiju treba da </w:t>
      </w:r>
      <w:r w:rsidR="00356B33">
        <w:rPr>
          <w:bCs/>
          <w:sz w:val="22"/>
          <w:szCs w:val="22"/>
        </w:rPr>
        <w:t>započne</w:t>
      </w:r>
      <w:r w:rsidRPr="00BD141A">
        <w:rPr>
          <w:bCs/>
          <w:sz w:val="22"/>
          <w:szCs w:val="22"/>
        </w:rPr>
        <w:t xml:space="preserve"> i nadzire ljekar specijalista sa iskustvom u </w:t>
      </w:r>
      <w:r w:rsidR="00356B33">
        <w:rPr>
          <w:bCs/>
          <w:sz w:val="22"/>
          <w:szCs w:val="22"/>
        </w:rPr>
        <w:t>liječenju</w:t>
      </w:r>
      <w:r w:rsidRPr="00BD141A">
        <w:rPr>
          <w:bCs/>
          <w:sz w:val="22"/>
          <w:szCs w:val="22"/>
        </w:rPr>
        <w:t xml:space="preserve"> karcinoma prostate.</w:t>
      </w:r>
    </w:p>
    <w:p w14:paraId="7055E177" w14:textId="77777777" w:rsidR="00447278" w:rsidRPr="00BD141A" w:rsidRDefault="00447278" w:rsidP="004111E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A7EF69D" w14:textId="77777777" w:rsidR="00452E9D" w:rsidRPr="00BD141A" w:rsidRDefault="00452E9D" w:rsidP="004111E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BD141A">
        <w:rPr>
          <w:bCs/>
          <w:sz w:val="22"/>
          <w:szCs w:val="22"/>
          <w:u w:val="single"/>
        </w:rPr>
        <w:t>Doziranje</w:t>
      </w:r>
    </w:p>
    <w:p w14:paraId="03C7B271" w14:textId="3FAF198F" w:rsidR="00452E9D" w:rsidRPr="00BD141A" w:rsidRDefault="00452E9D" w:rsidP="004111E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34E6F980" w14:textId="67A4A43A" w:rsidR="00447278" w:rsidRDefault="00447278" w:rsidP="00AA5780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Preporučena doza je 600 mg darolutamida (dvije tablete od 300 mg)</w:t>
      </w:r>
      <w:r w:rsidR="00465EC3">
        <w:rPr>
          <w:sz w:val="22"/>
          <w:szCs w:val="22"/>
          <w:lang w:val="sr-Latn-RS"/>
        </w:rPr>
        <w:t>,</w:t>
      </w:r>
      <w:r w:rsidRPr="00BD141A">
        <w:rPr>
          <w:sz w:val="22"/>
          <w:szCs w:val="22"/>
          <w:lang w:val="sr-Latn-RS"/>
        </w:rPr>
        <w:t xml:space="preserve"> </w:t>
      </w:r>
      <w:r w:rsidR="00356B33">
        <w:rPr>
          <w:sz w:val="22"/>
          <w:szCs w:val="22"/>
          <w:lang w:val="sr-Latn-RS"/>
        </w:rPr>
        <w:t xml:space="preserve">koja se uzima </w:t>
      </w:r>
      <w:r w:rsidRPr="00BD141A">
        <w:rPr>
          <w:sz w:val="22"/>
          <w:szCs w:val="22"/>
          <w:lang w:val="sr-Latn-RS"/>
        </w:rPr>
        <w:t>dva puta dnevno, što odgovara ukupnoj dnevnoj dozi od 1200 mg (vidjeti dio 5.2).</w:t>
      </w:r>
    </w:p>
    <w:p w14:paraId="323D2EA5" w14:textId="77777777" w:rsidR="00932041" w:rsidRPr="00BD141A" w:rsidRDefault="00932041" w:rsidP="00AA5780">
      <w:pPr>
        <w:jc w:val="both"/>
        <w:rPr>
          <w:sz w:val="22"/>
          <w:szCs w:val="22"/>
          <w:lang w:val="sr-Latn-RS"/>
        </w:rPr>
      </w:pPr>
    </w:p>
    <w:p w14:paraId="1BFE75C6" w14:textId="2C29A8CF" w:rsidR="00447278" w:rsidRPr="00BD141A" w:rsidRDefault="00932041" w:rsidP="004111E5">
      <w:pPr>
        <w:jc w:val="both"/>
        <w:rPr>
          <w:sz w:val="22"/>
          <w:szCs w:val="22"/>
          <w:lang w:val="sr-Latn-RS"/>
        </w:rPr>
      </w:pPr>
      <w:r w:rsidRPr="00932041">
        <w:rPr>
          <w:sz w:val="22"/>
          <w:szCs w:val="22"/>
          <w:lang w:val="sr-Latn-RS"/>
        </w:rPr>
        <w:lastRenderedPageBreak/>
        <w:t>Prim</w:t>
      </w:r>
      <w:r>
        <w:rPr>
          <w:sz w:val="22"/>
          <w:szCs w:val="22"/>
          <w:lang w:val="sr-Latn-RS"/>
        </w:rPr>
        <w:t>j</w:t>
      </w:r>
      <w:r w:rsidRPr="00932041">
        <w:rPr>
          <w:sz w:val="22"/>
          <w:szCs w:val="22"/>
          <w:lang w:val="sr-Latn-RS"/>
        </w:rPr>
        <w:t>enu darolutamida treba nastaviti do progresije bolesti ili do pojave neprihvatljive toksičnosti.</w:t>
      </w:r>
    </w:p>
    <w:p w14:paraId="7A3DB3DA" w14:textId="77777777" w:rsidR="00932041" w:rsidRDefault="00932041" w:rsidP="00AA5780">
      <w:pPr>
        <w:jc w:val="both"/>
        <w:rPr>
          <w:sz w:val="22"/>
          <w:szCs w:val="22"/>
          <w:lang w:val="sr-Latn-RS"/>
        </w:rPr>
      </w:pPr>
    </w:p>
    <w:p w14:paraId="0BF8F158" w14:textId="70334728" w:rsidR="00447278" w:rsidRPr="00BD141A" w:rsidRDefault="00447278" w:rsidP="00AA5780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Kod pacijenata koji nijesu podvrgnuti hirurškoj kastraciji, potrebno je tokom terapije nastaviti sa primjenom farmakološke kastracije analogom hormona koji oslobađa luteinizirajući hormon (eng</w:t>
      </w:r>
      <w:r w:rsidR="00FE0E7B">
        <w:rPr>
          <w:sz w:val="22"/>
          <w:szCs w:val="22"/>
          <w:lang w:val="sr-Latn-RS"/>
        </w:rPr>
        <w:t>l</w:t>
      </w:r>
      <w:r w:rsidRPr="00BD141A">
        <w:rPr>
          <w:sz w:val="22"/>
          <w:szCs w:val="22"/>
          <w:lang w:val="sr-Latn-RS"/>
        </w:rPr>
        <w:t xml:space="preserve">. </w:t>
      </w:r>
      <w:r w:rsidRPr="00BD141A">
        <w:rPr>
          <w:i/>
          <w:iCs/>
          <w:sz w:val="22"/>
          <w:szCs w:val="22"/>
          <w:lang w:val="sr-Latn-RS"/>
        </w:rPr>
        <w:t>luteinising hormone</w:t>
      </w:r>
      <w:r w:rsidR="00356B33">
        <w:rPr>
          <w:i/>
          <w:iCs/>
          <w:sz w:val="22"/>
          <w:szCs w:val="22"/>
          <w:lang w:val="sr-Latn-RS"/>
        </w:rPr>
        <w:t>-</w:t>
      </w:r>
      <w:r w:rsidRPr="00BD141A">
        <w:rPr>
          <w:i/>
          <w:iCs/>
          <w:sz w:val="22"/>
          <w:szCs w:val="22"/>
          <w:lang w:val="sr-Latn-RS"/>
        </w:rPr>
        <w:t>releasing hormone, LHRH</w:t>
      </w:r>
      <w:r w:rsidRPr="00BD141A">
        <w:rPr>
          <w:sz w:val="22"/>
          <w:szCs w:val="22"/>
          <w:lang w:val="sr-Latn-RS"/>
        </w:rPr>
        <w:t>).</w:t>
      </w:r>
    </w:p>
    <w:p w14:paraId="684F6A39" w14:textId="608DB787" w:rsidR="00447278" w:rsidRPr="00932041" w:rsidRDefault="00447278" w:rsidP="00447278">
      <w:pPr>
        <w:rPr>
          <w:sz w:val="22"/>
          <w:szCs w:val="22"/>
          <w:lang w:val="sr-Latn-RS"/>
        </w:rPr>
      </w:pPr>
    </w:p>
    <w:p w14:paraId="59CC68C7" w14:textId="77777777" w:rsidR="00932041" w:rsidRPr="00932041" w:rsidRDefault="00932041" w:rsidP="00932041">
      <w:pPr>
        <w:rPr>
          <w:sz w:val="22"/>
          <w:szCs w:val="22"/>
          <w:lang w:val="sr-Latn-RS"/>
        </w:rPr>
      </w:pPr>
      <w:r w:rsidRPr="00932041">
        <w:rPr>
          <w:i/>
          <w:iCs/>
          <w:sz w:val="22"/>
          <w:szCs w:val="22"/>
          <w:lang w:val="sr-Latn-RS"/>
        </w:rPr>
        <w:t>Metastatski hormon senzitivni karcinom prostate (mHSPC)</w:t>
      </w:r>
    </w:p>
    <w:p w14:paraId="11DC8358" w14:textId="1ACD48D0" w:rsidR="00932041" w:rsidRPr="00932041" w:rsidRDefault="00932041" w:rsidP="00932041">
      <w:pPr>
        <w:jc w:val="both"/>
        <w:rPr>
          <w:sz w:val="22"/>
          <w:szCs w:val="22"/>
          <w:lang w:val="sr-Latn-RS"/>
        </w:rPr>
      </w:pPr>
      <w:r w:rsidRPr="00932041">
        <w:rPr>
          <w:sz w:val="22"/>
          <w:szCs w:val="22"/>
          <w:lang w:val="sr-Latn-RS"/>
        </w:rPr>
        <w:t>Pacijenti sa mHSPC treba da započnu terapiju darolutamidom u kombinaciji sa docetakselom (vidjeti dio 5.1). Prvi od 6 ciklusa prim</w:t>
      </w:r>
      <w:r>
        <w:rPr>
          <w:sz w:val="22"/>
          <w:szCs w:val="22"/>
          <w:lang w:val="sr-Latn-RS"/>
        </w:rPr>
        <w:t>j</w:t>
      </w:r>
      <w:r w:rsidRPr="00932041">
        <w:rPr>
          <w:sz w:val="22"/>
          <w:szCs w:val="22"/>
          <w:lang w:val="sr-Latn-RS"/>
        </w:rPr>
        <w:t>ene docetakcela treba prim</w:t>
      </w:r>
      <w:r w:rsidR="000E7BED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sr-Latn-RS"/>
        </w:rPr>
        <w:t>j</w:t>
      </w:r>
      <w:r w:rsidRPr="00932041">
        <w:rPr>
          <w:sz w:val="22"/>
          <w:szCs w:val="22"/>
          <w:lang w:val="sr-Latn-RS"/>
        </w:rPr>
        <w:t>eniti unutar 6 ned</w:t>
      </w:r>
      <w:r>
        <w:rPr>
          <w:sz w:val="22"/>
          <w:szCs w:val="22"/>
          <w:lang w:val="sr-Latn-RS"/>
        </w:rPr>
        <w:t>j</w:t>
      </w:r>
      <w:r w:rsidRPr="00932041">
        <w:rPr>
          <w:sz w:val="22"/>
          <w:szCs w:val="22"/>
          <w:lang w:val="sr-Latn-RS"/>
        </w:rPr>
        <w:t>elja od početka terapije darolutamidom. Preporuka je da se pritom prate preporuke iz sažetka informacija o l</w:t>
      </w:r>
      <w:r w:rsidR="000E7BED">
        <w:rPr>
          <w:sz w:val="22"/>
          <w:szCs w:val="22"/>
          <w:lang w:val="sr-Latn-RS"/>
        </w:rPr>
        <w:t>ij</w:t>
      </w:r>
      <w:r w:rsidRPr="00932041">
        <w:rPr>
          <w:sz w:val="22"/>
          <w:szCs w:val="22"/>
          <w:lang w:val="sr-Latn-RS"/>
        </w:rPr>
        <w:t>eku za docetaksel. Terapiju darolutamidom treba nastaviti do progresije bolesti ili do pojave neprihvatljive toksičnosti čak i u slučaju kada je ciklus prim</w:t>
      </w:r>
      <w:r>
        <w:rPr>
          <w:sz w:val="22"/>
          <w:szCs w:val="22"/>
          <w:lang w:val="sr-Latn-RS"/>
        </w:rPr>
        <w:t>j</w:t>
      </w:r>
      <w:r w:rsidRPr="00932041">
        <w:rPr>
          <w:sz w:val="22"/>
          <w:szCs w:val="22"/>
          <w:lang w:val="sr-Latn-RS"/>
        </w:rPr>
        <w:t>ene docetaksela odložen, prekinut ili obustavljen.</w:t>
      </w:r>
    </w:p>
    <w:p w14:paraId="37C69EF2" w14:textId="77777777" w:rsidR="00932041" w:rsidRPr="00BD141A" w:rsidRDefault="00932041" w:rsidP="00447278">
      <w:pPr>
        <w:rPr>
          <w:sz w:val="22"/>
          <w:szCs w:val="22"/>
          <w:lang w:val="sr-Latn-RS"/>
        </w:rPr>
      </w:pPr>
    </w:p>
    <w:p w14:paraId="49AB01D2" w14:textId="77777777" w:rsidR="00447278" w:rsidRPr="00BD141A" w:rsidRDefault="00447278" w:rsidP="00447278">
      <w:pPr>
        <w:rPr>
          <w:i/>
          <w:iCs/>
          <w:sz w:val="22"/>
          <w:szCs w:val="22"/>
          <w:lang w:val="sr-Latn-RS"/>
        </w:rPr>
      </w:pPr>
      <w:r w:rsidRPr="00BD141A">
        <w:rPr>
          <w:i/>
          <w:iCs/>
          <w:sz w:val="22"/>
          <w:szCs w:val="22"/>
          <w:lang w:val="sr-Latn-RS"/>
        </w:rPr>
        <w:t>Propuštena doza</w:t>
      </w:r>
    </w:p>
    <w:p w14:paraId="4071AB75" w14:textId="64273904" w:rsidR="00447278" w:rsidRPr="00BD141A" w:rsidRDefault="00447278" w:rsidP="00447278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Ako pacijent propusti dozu lijeka, treba da je uzme što prije, čim se sjeti, a prije naredne doze. Pacijent ne smije uzeti dvije doze odje</w:t>
      </w:r>
      <w:r w:rsidR="00591AA0" w:rsidRPr="00BD141A">
        <w:rPr>
          <w:sz w:val="22"/>
          <w:szCs w:val="22"/>
          <w:lang w:val="sr-Latn-RS"/>
        </w:rPr>
        <w:t>d</w:t>
      </w:r>
      <w:r w:rsidRPr="00BD141A">
        <w:rPr>
          <w:sz w:val="22"/>
          <w:szCs w:val="22"/>
          <w:lang w:val="sr-Latn-RS"/>
        </w:rPr>
        <w:t>nom kako bi na</w:t>
      </w:r>
      <w:r w:rsidR="00356B33">
        <w:rPr>
          <w:sz w:val="22"/>
          <w:szCs w:val="22"/>
          <w:lang w:val="sr-Latn-RS"/>
        </w:rPr>
        <w:t>d</w:t>
      </w:r>
      <w:r w:rsidRPr="00BD141A">
        <w:rPr>
          <w:sz w:val="22"/>
          <w:szCs w:val="22"/>
          <w:lang w:val="sr-Latn-RS"/>
        </w:rPr>
        <w:t>oknadio propuštenu dozu.</w:t>
      </w:r>
    </w:p>
    <w:p w14:paraId="63CB7CFF" w14:textId="77777777" w:rsidR="00447278" w:rsidRPr="00BD141A" w:rsidRDefault="00447278" w:rsidP="00447278">
      <w:pPr>
        <w:rPr>
          <w:sz w:val="22"/>
          <w:szCs w:val="22"/>
          <w:lang w:val="sr-Latn-RS"/>
        </w:rPr>
      </w:pPr>
    </w:p>
    <w:p w14:paraId="10872625" w14:textId="77777777" w:rsidR="00447278" w:rsidRPr="00BD141A" w:rsidRDefault="00447278" w:rsidP="00447278">
      <w:pPr>
        <w:rPr>
          <w:i/>
          <w:iCs/>
          <w:sz w:val="22"/>
          <w:szCs w:val="22"/>
          <w:lang w:val="sr-Latn-RS"/>
        </w:rPr>
      </w:pPr>
      <w:r w:rsidRPr="00BD141A">
        <w:rPr>
          <w:i/>
          <w:iCs/>
          <w:sz w:val="22"/>
          <w:szCs w:val="22"/>
          <w:lang w:val="sr-Latn-RS"/>
        </w:rPr>
        <w:t>Modifikacija doziranja</w:t>
      </w:r>
    </w:p>
    <w:p w14:paraId="2BCF1550" w14:textId="7282F739" w:rsidR="00447278" w:rsidRPr="00BD141A" w:rsidRDefault="00447278" w:rsidP="00447278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Ako se kod pacijenta jave toksičnost ≥ 3. stepena ili nepodnošljiva neželjena reakcija</w:t>
      </w:r>
      <w:r w:rsidR="00932041">
        <w:rPr>
          <w:sz w:val="22"/>
          <w:szCs w:val="22"/>
          <w:lang w:val="sr-Latn-RS"/>
        </w:rPr>
        <w:t xml:space="preserve"> u vezi sa primjenom darolutamida</w:t>
      </w:r>
      <w:r w:rsidRPr="00BD141A">
        <w:rPr>
          <w:sz w:val="22"/>
          <w:szCs w:val="22"/>
          <w:lang w:val="sr-Latn-RS"/>
        </w:rPr>
        <w:t xml:space="preserve"> (vidjeti d</w:t>
      </w:r>
      <w:r w:rsidR="00555585">
        <w:rPr>
          <w:sz w:val="22"/>
          <w:szCs w:val="22"/>
          <w:lang w:val="sr-Latn-RS"/>
        </w:rPr>
        <w:t>jel</w:t>
      </w:r>
      <w:r w:rsidRPr="00BD141A">
        <w:rPr>
          <w:sz w:val="22"/>
          <w:szCs w:val="22"/>
          <w:lang w:val="sr-Latn-RS"/>
        </w:rPr>
        <w:t>o</w:t>
      </w:r>
      <w:r w:rsidR="00555585">
        <w:rPr>
          <w:sz w:val="22"/>
          <w:szCs w:val="22"/>
          <w:lang w:val="sr-Latn-RS"/>
        </w:rPr>
        <w:t>ve</w:t>
      </w:r>
      <w:r w:rsidR="00B316EB">
        <w:rPr>
          <w:sz w:val="22"/>
          <w:szCs w:val="22"/>
          <w:lang w:val="sr-Latn-RS"/>
        </w:rPr>
        <w:t xml:space="preserve"> 4.4 i</w:t>
      </w:r>
      <w:r w:rsidRPr="00BD141A">
        <w:rPr>
          <w:sz w:val="22"/>
          <w:szCs w:val="22"/>
          <w:lang w:val="sr-Latn-RS"/>
        </w:rPr>
        <w:t xml:space="preserve"> 4.8), </w:t>
      </w:r>
      <w:r w:rsidR="00356B33">
        <w:rPr>
          <w:sz w:val="22"/>
          <w:szCs w:val="22"/>
          <w:lang w:val="sr-Latn-RS"/>
        </w:rPr>
        <w:t>primjenu</w:t>
      </w:r>
      <w:r w:rsidRPr="00BD141A">
        <w:rPr>
          <w:sz w:val="22"/>
          <w:szCs w:val="22"/>
          <w:lang w:val="sr-Latn-RS"/>
        </w:rPr>
        <w:t xml:space="preserve"> treba obustaviti ili smanjiti</w:t>
      </w:r>
      <w:r w:rsidR="00356B33">
        <w:rPr>
          <w:sz w:val="22"/>
          <w:szCs w:val="22"/>
          <w:lang w:val="sr-Latn-RS"/>
        </w:rPr>
        <w:t xml:space="preserve"> dozu</w:t>
      </w:r>
      <w:r w:rsidRPr="00BD141A">
        <w:rPr>
          <w:sz w:val="22"/>
          <w:szCs w:val="22"/>
          <w:lang w:val="sr-Latn-RS"/>
        </w:rPr>
        <w:t xml:space="preserve"> na 300 mg dva puta dnevno, dok se simptomi ne povuku. Nakon toga, </w:t>
      </w:r>
      <w:r w:rsidR="00356B33">
        <w:rPr>
          <w:sz w:val="22"/>
          <w:szCs w:val="22"/>
          <w:lang w:val="sr-Latn-RS"/>
        </w:rPr>
        <w:t>liječenje</w:t>
      </w:r>
      <w:r w:rsidRPr="00BD141A">
        <w:rPr>
          <w:sz w:val="22"/>
          <w:szCs w:val="22"/>
          <w:lang w:val="sr-Latn-RS"/>
        </w:rPr>
        <w:t xml:space="preserve"> se može nastaviti dozom od 600 mg dva puta dnevno.</w:t>
      </w:r>
    </w:p>
    <w:p w14:paraId="4271568F" w14:textId="77777777" w:rsidR="00447278" w:rsidRPr="00BD141A" w:rsidRDefault="00447278" w:rsidP="00447278">
      <w:pPr>
        <w:rPr>
          <w:sz w:val="22"/>
          <w:szCs w:val="22"/>
          <w:lang w:val="sr-Latn-RS"/>
        </w:rPr>
      </w:pPr>
    </w:p>
    <w:p w14:paraId="11128425" w14:textId="77777777" w:rsidR="00447278" w:rsidRPr="00BD141A" w:rsidRDefault="00447278" w:rsidP="00447278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Ne preporučuje se smanjenje doze ispod 300 mg dva puta dnevno, jer efikasnost pri takvom doziranju nije dokazana.</w:t>
      </w:r>
    </w:p>
    <w:p w14:paraId="0E642AE7" w14:textId="77777777" w:rsidR="00447278" w:rsidRPr="00BD141A" w:rsidRDefault="00447278" w:rsidP="00447278">
      <w:pPr>
        <w:rPr>
          <w:sz w:val="22"/>
          <w:szCs w:val="22"/>
          <w:lang w:val="sr-Latn-RS"/>
        </w:rPr>
      </w:pPr>
    </w:p>
    <w:p w14:paraId="33CEA0E2" w14:textId="77777777" w:rsidR="00447278" w:rsidRPr="00BD141A" w:rsidRDefault="00447278" w:rsidP="00447278">
      <w:pPr>
        <w:rPr>
          <w:sz w:val="22"/>
          <w:szCs w:val="22"/>
          <w:u w:val="single"/>
          <w:lang w:val="sr-Latn-RS"/>
        </w:rPr>
      </w:pPr>
      <w:r w:rsidRPr="00BD141A">
        <w:rPr>
          <w:sz w:val="22"/>
          <w:szCs w:val="22"/>
          <w:u w:val="single"/>
          <w:lang w:val="sr-Latn-RS"/>
        </w:rPr>
        <w:t>Posebne populacije</w:t>
      </w:r>
    </w:p>
    <w:p w14:paraId="18FEC416" w14:textId="77777777" w:rsidR="00447278" w:rsidRPr="00BD141A" w:rsidRDefault="00447278" w:rsidP="00447278">
      <w:pPr>
        <w:rPr>
          <w:sz w:val="22"/>
          <w:szCs w:val="22"/>
          <w:lang w:val="sr-Latn-RS"/>
        </w:rPr>
      </w:pPr>
    </w:p>
    <w:p w14:paraId="00B54C80" w14:textId="311A77BC" w:rsidR="00447278" w:rsidRPr="00BD141A" w:rsidRDefault="00447278" w:rsidP="00447278">
      <w:pPr>
        <w:rPr>
          <w:i/>
          <w:iCs/>
          <w:sz w:val="22"/>
          <w:szCs w:val="22"/>
          <w:lang w:val="sr-Latn-RS"/>
        </w:rPr>
      </w:pPr>
      <w:r w:rsidRPr="00BD141A">
        <w:rPr>
          <w:i/>
          <w:iCs/>
          <w:sz w:val="22"/>
          <w:szCs w:val="22"/>
          <w:lang w:val="sr-Latn-RS"/>
        </w:rPr>
        <w:t>Starij</w:t>
      </w:r>
      <w:r w:rsidR="00926F1A">
        <w:rPr>
          <w:i/>
          <w:iCs/>
          <w:sz w:val="22"/>
          <w:szCs w:val="22"/>
          <w:lang w:val="sr-Latn-RS"/>
        </w:rPr>
        <w:t>i pacijenti</w:t>
      </w:r>
    </w:p>
    <w:p w14:paraId="46446912" w14:textId="38E77DDF" w:rsidR="00447278" w:rsidRPr="00BD141A" w:rsidRDefault="00447278" w:rsidP="00447278">
      <w:pPr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Kod starijih pacijenata nije potrebno prilagođavanje doze (vidjeti dio 5.2).</w:t>
      </w:r>
    </w:p>
    <w:p w14:paraId="497FB593" w14:textId="77777777" w:rsidR="00447278" w:rsidRPr="00BD141A" w:rsidRDefault="00447278" w:rsidP="00447278">
      <w:pPr>
        <w:rPr>
          <w:sz w:val="22"/>
          <w:szCs w:val="22"/>
          <w:lang w:val="sr-Latn-RS"/>
        </w:rPr>
      </w:pPr>
    </w:p>
    <w:p w14:paraId="4365AC22" w14:textId="77777777" w:rsidR="00447278" w:rsidRPr="00BD141A" w:rsidRDefault="00447278" w:rsidP="00447278">
      <w:pPr>
        <w:rPr>
          <w:i/>
          <w:iCs/>
          <w:sz w:val="22"/>
          <w:szCs w:val="22"/>
          <w:lang w:val="sr-Latn-RS"/>
        </w:rPr>
      </w:pPr>
      <w:r w:rsidRPr="00BD141A">
        <w:rPr>
          <w:i/>
          <w:iCs/>
          <w:sz w:val="22"/>
          <w:szCs w:val="22"/>
          <w:lang w:val="sr-Latn-RS"/>
        </w:rPr>
        <w:t>Oštećenje funkcije bubrega</w:t>
      </w:r>
    </w:p>
    <w:p w14:paraId="2E896520" w14:textId="5F704302" w:rsidR="00447278" w:rsidRPr="00BD141A" w:rsidRDefault="00447278" w:rsidP="00447278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Nije potrebno prilagođavanje doze kod pacijenata sa blagim ili um</w:t>
      </w:r>
      <w:r w:rsidR="00926F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erenim oštećenjem funkcije bubrega.</w:t>
      </w:r>
    </w:p>
    <w:p w14:paraId="67F94F1E" w14:textId="5E6AA57E" w:rsidR="00447278" w:rsidRPr="00BD141A" w:rsidRDefault="00447278" w:rsidP="00447278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Kod pacijenata sa teškim oštećenjem funkcije bubrega (eGFR 15-29 mL/min/1,73 m</w:t>
      </w:r>
      <w:r w:rsidRPr="00BD141A">
        <w:rPr>
          <w:sz w:val="22"/>
          <w:szCs w:val="22"/>
          <w:vertAlign w:val="superscript"/>
          <w:lang w:val="sr-Latn-RS"/>
        </w:rPr>
        <w:t>2</w:t>
      </w:r>
      <w:r w:rsidRPr="00BD141A">
        <w:rPr>
          <w:sz w:val="22"/>
          <w:szCs w:val="22"/>
          <w:lang w:val="sr-Latn-RS"/>
        </w:rPr>
        <w:t>) koji nijesu na hemodijalizi, preporučena početna doza iznosi 300 mg dva puta dnevno (vidjeti djelove 4.4 i 5.2).</w:t>
      </w:r>
    </w:p>
    <w:p w14:paraId="625D3193" w14:textId="77777777" w:rsidR="00447278" w:rsidRPr="00BD141A" w:rsidRDefault="00447278" w:rsidP="00447278">
      <w:pPr>
        <w:rPr>
          <w:sz w:val="22"/>
          <w:szCs w:val="22"/>
          <w:lang w:val="sr-Latn-RS"/>
        </w:rPr>
      </w:pPr>
    </w:p>
    <w:p w14:paraId="2C43C206" w14:textId="77777777" w:rsidR="00447278" w:rsidRPr="00BD141A" w:rsidRDefault="00447278" w:rsidP="00447278">
      <w:pPr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  <w:lang w:val="sr-Latn-RS"/>
        </w:rPr>
        <w:t>Oštećenje funkcije jetre</w:t>
      </w:r>
    </w:p>
    <w:p w14:paraId="3E77300E" w14:textId="77777777" w:rsidR="00447278" w:rsidRPr="00BD141A" w:rsidRDefault="00447278" w:rsidP="00447278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Nije potrebno prilagođavanje doze kod pacijenata sa blagim oštećenjem funkcije jetre.</w:t>
      </w:r>
    </w:p>
    <w:p w14:paraId="7D7B54AF" w14:textId="460B04CF" w:rsidR="00447278" w:rsidRPr="00BD141A" w:rsidRDefault="00447278" w:rsidP="00447278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Dostupni podaci o farmakokinetici darolutamida kod pacijenata sa umjerenim oštećenjem funkcije jetre su ograničeni. Prim</w:t>
      </w:r>
      <w:r w:rsidR="00591AA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ena darolutamida nije ispitivana kod pacijenata sa teškim oštećenjem funkcije jetre.</w:t>
      </w:r>
    </w:p>
    <w:p w14:paraId="7F6CC856" w14:textId="70C78A27" w:rsidR="00447278" w:rsidRPr="00BD141A" w:rsidRDefault="00447278" w:rsidP="00447278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Kod pacijenata sa um</w:t>
      </w:r>
      <w:r w:rsidR="00926F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erenim i teškim oštećenjem funkcije jetre (</w:t>
      </w:r>
      <w:r w:rsidRPr="00BD141A">
        <w:rPr>
          <w:i/>
          <w:iCs/>
          <w:sz w:val="22"/>
          <w:szCs w:val="22"/>
          <w:lang w:val="sr-Latn-RS"/>
        </w:rPr>
        <w:t>Child-Pugh</w:t>
      </w:r>
      <w:r w:rsidRPr="00BD141A">
        <w:rPr>
          <w:sz w:val="22"/>
          <w:szCs w:val="22"/>
          <w:lang w:val="sr-Latn-RS"/>
        </w:rPr>
        <w:t xml:space="preserve"> stadijuma B i C) preporučena početna doza iznosi 300 mg dva puta dnevno (vidjeti djelove 4.4 i 5.2).</w:t>
      </w:r>
    </w:p>
    <w:p w14:paraId="0B4E9ABC" w14:textId="77777777" w:rsidR="00447278" w:rsidRPr="00BD141A" w:rsidRDefault="00447278" w:rsidP="00447278">
      <w:pPr>
        <w:rPr>
          <w:sz w:val="22"/>
          <w:szCs w:val="22"/>
          <w:lang w:val="sr-Latn-RS"/>
        </w:rPr>
      </w:pPr>
    </w:p>
    <w:p w14:paraId="6192CBC7" w14:textId="77777777" w:rsidR="00447278" w:rsidRPr="00BD141A" w:rsidRDefault="00447278" w:rsidP="00447278">
      <w:pPr>
        <w:rPr>
          <w:i/>
          <w:iCs/>
          <w:sz w:val="22"/>
          <w:szCs w:val="22"/>
          <w:lang w:val="sr-Latn-RS"/>
        </w:rPr>
      </w:pPr>
      <w:r w:rsidRPr="00BD141A">
        <w:rPr>
          <w:i/>
          <w:iCs/>
          <w:sz w:val="22"/>
          <w:szCs w:val="22"/>
          <w:lang w:val="sr-Latn-RS"/>
        </w:rPr>
        <w:t>Pedijatrijska populacija</w:t>
      </w:r>
    </w:p>
    <w:p w14:paraId="57A074F2" w14:textId="46886857" w:rsidR="00447278" w:rsidRPr="00BD141A" w:rsidRDefault="00926F1A" w:rsidP="00447278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Nema relevantnih razloga za p</w:t>
      </w:r>
      <w:r w:rsidR="00591AA0" w:rsidRPr="00BD141A">
        <w:rPr>
          <w:sz w:val="22"/>
          <w:szCs w:val="22"/>
          <w:lang w:val="sr-Latn-RS"/>
        </w:rPr>
        <w:t>rimjen</w:t>
      </w:r>
      <w:r>
        <w:rPr>
          <w:sz w:val="22"/>
          <w:szCs w:val="22"/>
          <w:lang w:val="sr-Latn-RS"/>
        </w:rPr>
        <w:t>u</w:t>
      </w:r>
      <w:r w:rsidR="00447278" w:rsidRPr="00BD141A">
        <w:rPr>
          <w:sz w:val="22"/>
          <w:szCs w:val="22"/>
          <w:lang w:val="sr-Latn-RS"/>
        </w:rPr>
        <w:t xml:space="preserve"> darolutamida u pedijatrijskoj populaciji.</w:t>
      </w:r>
    </w:p>
    <w:p w14:paraId="42EDB935" w14:textId="77777777" w:rsidR="00447278" w:rsidRPr="00BD141A" w:rsidRDefault="00447278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</w:p>
    <w:p w14:paraId="1F153E84" w14:textId="77777777" w:rsidR="00452E9D" w:rsidRPr="00BD141A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  <w:r w:rsidRPr="00BD141A">
        <w:rPr>
          <w:bCs/>
          <w:sz w:val="22"/>
          <w:szCs w:val="22"/>
          <w:u w:val="single"/>
        </w:rPr>
        <w:t>Način primjene</w:t>
      </w:r>
    </w:p>
    <w:p w14:paraId="0D0C20E7" w14:textId="01801576" w:rsidR="00452E9D" w:rsidRPr="00BD141A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A403AB2" w14:textId="7B54BEB0" w:rsidR="00447278" w:rsidRPr="00BD141A" w:rsidRDefault="00447278" w:rsidP="00447278">
      <w:pPr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L</w:t>
      </w:r>
      <w:r w:rsidR="00591AA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 xml:space="preserve">ek NUBEQA namijenjen je za oralnu </w:t>
      </w:r>
      <w:r w:rsidR="00926F1A">
        <w:rPr>
          <w:sz w:val="22"/>
          <w:szCs w:val="22"/>
          <w:lang w:val="sr-Latn-RS"/>
        </w:rPr>
        <w:t>upotrebu</w:t>
      </w:r>
      <w:r w:rsidRPr="00BD141A">
        <w:rPr>
          <w:sz w:val="22"/>
          <w:szCs w:val="22"/>
          <w:lang w:val="sr-Latn-RS"/>
        </w:rPr>
        <w:t>.</w:t>
      </w:r>
    </w:p>
    <w:p w14:paraId="6D18AD2E" w14:textId="77777777" w:rsidR="00447278" w:rsidRPr="00BD141A" w:rsidRDefault="00447278" w:rsidP="00447278">
      <w:pPr>
        <w:rPr>
          <w:sz w:val="22"/>
          <w:szCs w:val="22"/>
          <w:lang w:val="sr-Latn-RS"/>
        </w:rPr>
      </w:pPr>
    </w:p>
    <w:p w14:paraId="66B8BAD7" w14:textId="2EC6E760" w:rsidR="00447278" w:rsidRPr="00BD141A" w:rsidRDefault="00447278" w:rsidP="00447278">
      <w:pPr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Tablete treba uzeti cijele </w:t>
      </w:r>
      <w:r w:rsidR="00356B33">
        <w:rPr>
          <w:sz w:val="22"/>
          <w:szCs w:val="22"/>
          <w:lang w:val="sr-Latn-RS"/>
        </w:rPr>
        <w:t>uz</w:t>
      </w:r>
      <w:r w:rsidRPr="00BD141A">
        <w:rPr>
          <w:sz w:val="22"/>
          <w:szCs w:val="22"/>
          <w:lang w:val="sr-Latn-RS"/>
        </w:rPr>
        <w:t xml:space="preserve"> hran</w:t>
      </w:r>
      <w:r w:rsidR="00356B33">
        <w:rPr>
          <w:sz w:val="22"/>
          <w:szCs w:val="22"/>
          <w:lang w:val="sr-Latn-RS"/>
        </w:rPr>
        <w:t xml:space="preserve">u </w:t>
      </w:r>
      <w:r w:rsidRPr="00BD141A">
        <w:rPr>
          <w:sz w:val="22"/>
          <w:szCs w:val="22"/>
          <w:lang w:val="sr-Latn-RS"/>
        </w:rPr>
        <w:t>(vidjeti dio 5.2).</w:t>
      </w:r>
    </w:p>
    <w:p w14:paraId="5A5717FD" w14:textId="77777777" w:rsidR="00447278" w:rsidRPr="00BD141A" w:rsidRDefault="00447278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556F451" w14:textId="77777777" w:rsidR="00411B4B" w:rsidRPr="00BD141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4.3.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Kontraindikacije</w:t>
      </w:r>
    </w:p>
    <w:p w14:paraId="13E79C53" w14:textId="3C5BBD3F" w:rsidR="0072020E" w:rsidRPr="00BD141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9D54D98" w14:textId="23C8D217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Preosjetljivost na aktivnu supstancu ili na bilo koj</w:t>
      </w:r>
      <w:r w:rsidR="00FA0244">
        <w:rPr>
          <w:sz w:val="22"/>
          <w:szCs w:val="22"/>
        </w:rPr>
        <w:t>u</w:t>
      </w:r>
      <w:r w:rsidRPr="00BD141A">
        <w:rPr>
          <w:sz w:val="22"/>
          <w:szCs w:val="22"/>
        </w:rPr>
        <w:t xml:space="preserve"> od </w:t>
      </w:r>
      <w:r w:rsidR="00FA0244">
        <w:rPr>
          <w:sz w:val="22"/>
          <w:szCs w:val="22"/>
        </w:rPr>
        <w:t>pomoćnih supstanci (</w:t>
      </w:r>
      <w:r w:rsidRPr="00BD141A">
        <w:rPr>
          <w:sz w:val="22"/>
          <w:szCs w:val="22"/>
        </w:rPr>
        <w:t>ekscipijenasa</w:t>
      </w:r>
      <w:r w:rsidR="00FA0244">
        <w:rPr>
          <w:sz w:val="22"/>
          <w:szCs w:val="22"/>
        </w:rPr>
        <w:t>)</w:t>
      </w:r>
      <w:r w:rsidRPr="00BD141A">
        <w:rPr>
          <w:sz w:val="22"/>
          <w:szCs w:val="22"/>
        </w:rPr>
        <w:t xml:space="preserve"> navedenih u dijelu 6.1.</w:t>
      </w:r>
    </w:p>
    <w:p w14:paraId="670EA179" w14:textId="3BF79A9E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Trudnice ili žene u reproduktivnom periodu (vidjeti dio 4.6).</w:t>
      </w:r>
    </w:p>
    <w:p w14:paraId="2677F800" w14:textId="77777777" w:rsidR="00A31BA4" w:rsidRPr="00BD141A" w:rsidRDefault="00A31BA4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764C7E9" w14:textId="77777777" w:rsidR="00411B4B" w:rsidRPr="00BD141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4.4.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Posebna upozorenja i mjere opreza pri upotrebi lijeka</w:t>
      </w:r>
    </w:p>
    <w:p w14:paraId="3056127B" w14:textId="24F36DDA" w:rsidR="0072020E" w:rsidRPr="00BD141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1882303F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Oštećenje funkcije bubrega</w:t>
      </w:r>
    </w:p>
    <w:p w14:paraId="5581AF09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6B24D76A" w14:textId="77777777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Dostupni podaci kod pacijenata sa teškim oštećenjem funkcije bubrega su ograničeni.</w:t>
      </w:r>
    </w:p>
    <w:p w14:paraId="7F68F3F7" w14:textId="565DB1FD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 xml:space="preserve">Obzirom da kod takvih pacijenata </w:t>
      </w:r>
      <w:r w:rsidRPr="00BD141A">
        <w:rPr>
          <w:sz w:val="22"/>
          <w:szCs w:val="22"/>
          <w:lang w:val="sr-Latn-RS"/>
        </w:rPr>
        <w:t>izloženost može biti povećana, potrebno je njihovo pažljivo praćenje zbog pojave neželjenih reakcija (vidjeti djelove</w:t>
      </w:r>
      <w:r w:rsidRPr="00BD141A">
        <w:rPr>
          <w:sz w:val="22"/>
          <w:szCs w:val="22"/>
        </w:rPr>
        <w:t xml:space="preserve"> 4.2 i 5.2).</w:t>
      </w:r>
    </w:p>
    <w:p w14:paraId="786451AC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3B9E38EF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Oštećenje funkcije jetre</w:t>
      </w:r>
    </w:p>
    <w:p w14:paraId="3FFAEFA2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18C7E648" w14:textId="22ABD434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Dostupni podaci kod pacijenata sa um</w:t>
      </w:r>
      <w:r w:rsidR="00172C8F">
        <w:rPr>
          <w:sz w:val="22"/>
          <w:szCs w:val="22"/>
        </w:rPr>
        <w:t>j</w:t>
      </w:r>
      <w:r w:rsidRPr="00BD141A">
        <w:rPr>
          <w:sz w:val="22"/>
          <w:szCs w:val="22"/>
        </w:rPr>
        <w:t>erenim oštećenjem funkcije jetre su ograničeni, a primjena darolutamida nije ispitivana kod pacijenata sa teškim oštećenjem funkcije jetre.</w:t>
      </w:r>
    </w:p>
    <w:p w14:paraId="47DA161F" w14:textId="4833383C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 xml:space="preserve">Obzirom da kod takvih pacijenata </w:t>
      </w:r>
      <w:r w:rsidRPr="00BD141A">
        <w:rPr>
          <w:sz w:val="22"/>
          <w:szCs w:val="22"/>
          <w:lang w:val="sr-Latn-RS"/>
        </w:rPr>
        <w:t>izloženost može biti povećana, potrebno je njihovo pažljivo praćenje zbog pojave neželjenih reakcija (vidjeti djelove</w:t>
      </w:r>
      <w:r w:rsidRPr="00BD141A">
        <w:rPr>
          <w:sz w:val="22"/>
          <w:szCs w:val="22"/>
        </w:rPr>
        <w:t xml:space="preserve"> 4.2 i 5.2).</w:t>
      </w:r>
    </w:p>
    <w:p w14:paraId="148F856C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60FE31C3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Nedavna kardiovaskularna bolest</w:t>
      </w:r>
    </w:p>
    <w:p w14:paraId="12C7E228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193BC39E" w14:textId="5B3B60F9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U klinička ispitivanja nijesu bili uključeni pacijenti sa klinički značajnom kardiovaskularnom bolešću u prethodnih 6 mjeseci, uključujući moždani udar, infarkt miokarda, tešku/nestabilnu anginu pektoris, hirur</w:t>
      </w:r>
      <w:r w:rsidRPr="00BD141A">
        <w:rPr>
          <w:sz w:val="22"/>
          <w:szCs w:val="22"/>
          <w:lang w:val="sr-Latn-RS"/>
        </w:rPr>
        <w:t>šku revaskularizaciju</w:t>
      </w:r>
      <w:r w:rsidRPr="00BD141A">
        <w:rPr>
          <w:sz w:val="22"/>
          <w:szCs w:val="22"/>
        </w:rPr>
        <w:t xml:space="preserve"> koronarnih/perifernih arterija (</w:t>
      </w:r>
      <w:r w:rsidRPr="00356B33">
        <w:rPr>
          <w:i/>
          <w:iCs/>
          <w:sz w:val="22"/>
          <w:szCs w:val="22"/>
        </w:rPr>
        <w:t>bypass graft</w:t>
      </w:r>
      <w:r w:rsidRPr="00BD141A">
        <w:rPr>
          <w:sz w:val="22"/>
          <w:szCs w:val="22"/>
        </w:rPr>
        <w:t xml:space="preserve">) i simptomatsku kongestivnu </w:t>
      </w:r>
      <w:r w:rsidRPr="00BD141A">
        <w:rPr>
          <w:sz w:val="22"/>
          <w:szCs w:val="22"/>
          <w:lang w:val="sr-Latn-RS"/>
        </w:rPr>
        <w:t>srčanu insuficijenciju</w:t>
      </w:r>
      <w:r w:rsidRPr="00BD141A">
        <w:rPr>
          <w:sz w:val="22"/>
          <w:szCs w:val="22"/>
        </w:rPr>
        <w:t xml:space="preserve">. </w:t>
      </w:r>
      <w:r w:rsidRPr="00BD141A">
        <w:rPr>
          <w:sz w:val="22"/>
          <w:szCs w:val="22"/>
          <w:lang w:val="sr-Latn-RS"/>
        </w:rPr>
        <w:t>Zbog toga, bezbjednost darolutamida kod ovih pacijenata nije utvrđena</w:t>
      </w:r>
      <w:r w:rsidRPr="00BD141A">
        <w:rPr>
          <w:sz w:val="22"/>
          <w:szCs w:val="22"/>
        </w:rPr>
        <w:t>.</w:t>
      </w:r>
    </w:p>
    <w:p w14:paraId="24CC48E3" w14:textId="07611C00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Ukoliko im se prop</w:t>
      </w:r>
      <w:r w:rsidR="00356B33">
        <w:rPr>
          <w:sz w:val="22"/>
          <w:szCs w:val="22"/>
        </w:rPr>
        <w:t>i</w:t>
      </w:r>
      <w:r w:rsidRPr="00BD141A">
        <w:rPr>
          <w:sz w:val="22"/>
          <w:szCs w:val="22"/>
          <w:lang w:val="sr-Latn-RS"/>
        </w:rPr>
        <w:t>še terapija l</w:t>
      </w:r>
      <w:r w:rsidR="00591AA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ekom NUBEQA, pacijente sa klinički značajnom kardiovaskular</w:t>
      </w:r>
      <w:r w:rsidR="00465EC3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>om bolešću treba l</w:t>
      </w:r>
      <w:r w:rsidR="00591AA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ečiti u skladu sa utvrđenim sm</w:t>
      </w:r>
      <w:r w:rsidR="00591AA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ernicama za terapiju takvih stanja.</w:t>
      </w:r>
    </w:p>
    <w:p w14:paraId="54DCFAEB" w14:textId="77777777" w:rsidR="00932041" w:rsidRPr="00932041" w:rsidRDefault="00932041" w:rsidP="00932041">
      <w:pPr>
        <w:rPr>
          <w:sz w:val="22"/>
          <w:szCs w:val="22"/>
          <w:lang w:val="sr-Latn-RS"/>
        </w:rPr>
      </w:pPr>
    </w:p>
    <w:p w14:paraId="3C92FD96" w14:textId="79555D54" w:rsidR="00932041" w:rsidRPr="00932041" w:rsidRDefault="00B316EB" w:rsidP="00932041">
      <w:pPr>
        <w:rPr>
          <w:sz w:val="22"/>
          <w:szCs w:val="22"/>
          <w:lang w:val="sr-Latn-RS"/>
        </w:rPr>
      </w:pPr>
      <w:r>
        <w:rPr>
          <w:sz w:val="22"/>
          <w:szCs w:val="22"/>
          <w:u w:val="single"/>
          <w:lang w:val="sr-Latn-RS"/>
        </w:rPr>
        <w:t>Hepatotoksičnost</w:t>
      </w:r>
    </w:p>
    <w:p w14:paraId="6E1732C4" w14:textId="77777777" w:rsidR="00932041" w:rsidRPr="00932041" w:rsidRDefault="00932041" w:rsidP="00932041">
      <w:pPr>
        <w:rPr>
          <w:sz w:val="22"/>
          <w:szCs w:val="22"/>
          <w:lang w:val="sr-Latn-RS"/>
        </w:rPr>
      </w:pPr>
    </w:p>
    <w:p w14:paraId="0B0369CA" w14:textId="615CF444" w:rsidR="00932041" w:rsidRPr="00932041" w:rsidRDefault="00932041" w:rsidP="00932041">
      <w:pPr>
        <w:jc w:val="both"/>
        <w:rPr>
          <w:sz w:val="22"/>
          <w:szCs w:val="22"/>
          <w:lang w:val="sr-Latn-RS"/>
        </w:rPr>
      </w:pPr>
      <w:r w:rsidRPr="00932041">
        <w:rPr>
          <w:sz w:val="22"/>
          <w:szCs w:val="22"/>
          <w:lang w:val="sr-Latn-RS"/>
        </w:rPr>
        <w:t xml:space="preserve">U slučaju </w:t>
      </w:r>
      <w:r w:rsidR="0018538F">
        <w:rPr>
          <w:sz w:val="22"/>
          <w:szCs w:val="22"/>
          <w:lang w:val="sr-Latn-RS"/>
        </w:rPr>
        <w:t>odstupanja u rezultatima testova funkcije</w:t>
      </w:r>
      <w:r w:rsidRPr="00932041">
        <w:rPr>
          <w:sz w:val="22"/>
          <w:szCs w:val="22"/>
          <w:lang w:val="sr-Latn-RS"/>
        </w:rPr>
        <w:t xml:space="preserve"> jetre, koj</w:t>
      </w:r>
      <w:r w:rsidR="0018538F">
        <w:rPr>
          <w:sz w:val="22"/>
          <w:szCs w:val="22"/>
          <w:lang w:val="sr-Latn-RS"/>
        </w:rPr>
        <w:t>a</w:t>
      </w:r>
      <w:r w:rsidRPr="00932041">
        <w:rPr>
          <w:sz w:val="22"/>
          <w:szCs w:val="22"/>
          <w:lang w:val="sr-Latn-RS"/>
        </w:rPr>
        <w:t xml:space="preserve"> sugeriš</w:t>
      </w:r>
      <w:r w:rsidR="0018538F">
        <w:rPr>
          <w:sz w:val="22"/>
          <w:szCs w:val="22"/>
          <w:lang w:val="sr-Latn-RS"/>
        </w:rPr>
        <w:t>u</w:t>
      </w:r>
      <w:r w:rsidRPr="00932041">
        <w:rPr>
          <w:sz w:val="22"/>
          <w:szCs w:val="22"/>
          <w:lang w:val="sr-Latn-RS"/>
        </w:rPr>
        <w:t xml:space="preserve"> na idiosinkratsko, l</w:t>
      </w:r>
      <w:r>
        <w:rPr>
          <w:sz w:val="22"/>
          <w:szCs w:val="22"/>
          <w:lang w:val="sr-Latn-RS"/>
        </w:rPr>
        <w:t>ij</w:t>
      </w:r>
      <w:r w:rsidRPr="00932041">
        <w:rPr>
          <w:sz w:val="22"/>
          <w:szCs w:val="22"/>
          <w:lang w:val="sr-Latn-RS"/>
        </w:rPr>
        <w:t>ekom izazvano oštećenje jetre, potrebno je trajno prekinuti terapiju darolutamidom (vid</w:t>
      </w:r>
      <w:r>
        <w:rPr>
          <w:sz w:val="22"/>
          <w:szCs w:val="22"/>
          <w:lang w:val="sr-Latn-RS"/>
        </w:rPr>
        <w:t>j</w:t>
      </w:r>
      <w:r w:rsidRPr="00932041">
        <w:rPr>
          <w:sz w:val="22"/>
          <w:szCs w:val="22"/>
          <w:lang w:val="sr-Latn-RS"/>
        </w:rPr>
        <w:t xml:space="preserve">eti </w:t>
      </w:r>
      <w:r>
        <w:rPr>
          <w:sz w:val="22"/>
          <w:szCs w:val="22"/>
          <w:lang w:val="sr-Latn-RS"/>
        </w:rPr>
        <w:t>dio</w:t>
      </w:r>
      <w:r w:rsidRPr="00932041">
        <w:rPr>
          <w:sz w:val="22"/>
          <w:szCs w:val="22"/>
          <w:lang w:val="sr-Latn-RS"/>
        </w:rPr>
        <w:t xml:space="preserve"> 4.8).</w:t>
      </w:r>
    </w:p>
    <w:p w14:paraId="4C14E0B1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57FCB0EE" w14:textId="76FDA731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 xml:space="preserve">Istovremena </w:t>
      </w:r>
      <w:r w:rsidR="00591AA0" w:rsidRPr="00BD141A">
        <w:rPr>
          <w:sz w:val="22"/>
          <w:szCs w:val="22"/>
          <w:u w:val="single"/>
        </w:rPr>
        <w:t>primjen</w:t>
      </w:r>
      <w:r w:rsidRPr="00BD141A">
        <w:rPr>
          <w:sz w:val="22"/>
          <w:szCs w:val="22"/>
          <w:u w:val="single"/>
        </w:rPr>
        <w:t>a sa drugim l</w:t>
      </w:r>
      <w:r w:rsidR="00591AA0" w:rsidRPr="00BD141A">
        <w:rPr>
          <w:sz w:val="22"/>
          <w:szCs w:val="22"/>
          <w:u w:val="single"/>
        </w:rPr>
        <w:t>j</w:t>
      </w:r>
      <w:r w:rsidRPr="00BD141A">
        <w:rPr>
          <w:sz w:val="22"/>
          <w:szCs w:val="22"/>
          <w:u w:val="single"/>
        </w:rPr>
        <w:t>ekovima</w:t>
      </w:r>
    </w:p>
    <w:p w14:paraId="141C7102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22280556" w14:textId="0E0666CD" w:rsidR="00A31BA4" w:rsidRPr="00BD141A" w:rsidRDefault="00591AA0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Primjen</w:t>
      </w:r>
      <w:r w:rsidR="00A31BA4" w:rsidRPr="00BD141A">
        <w:rPr>
          <w:sz w:val="22"/>
          <w:szCs w:val="22"/>
        </w:rPr>
        <w:t xml:space="preserve">a </w:t>
      </w:r>
      <w:r w:rsidR="00356B33">
        <w:rPr>
          <w:sz w:val="22"/>
          <w:szCs w:val="22"/>
        </w:rPr>
        <w:t>snažnih</w:t>
      </w:r>
      <w:r w:rsidR="00A31BA4" w:rsidRPr="00BD141A">
        <w:rPr>
          <w:sz w:val="22"/>
          <w:szCs w:val="22"/>
        </w:rPr>
        <w:t xml:space="preserve"> induktora CYP3A4 i P-gp tokom terapije darolutamidom može</w:t>
      </w:r>
      <w:r w:rsidR="00356B33">
        <w:rPr>
          <w:sz w:val="22"/>
          <w:szCs w:val="22"/>
        </w:rPr>
        <w:t xml:space="preserve"> da</w:t>
      </w:r>
      <w:r w:rsidR="00A31BA4" w:rsidRPr="00BD141A">
        <w:rPr>
          <w:sz w:val="22"/>
          <w:szCs w:val="22"/>
        </w:rPr>
        <w:t xml:space="preserve"> smanji koncentraciju darolutamida u plazmi i ne preporučuje se, osim u </w:t>
      </w:r>
      <w:r w:rsidR="00A31BA4" w:rsidRPr="00BD141A">
        <w:rPr>
          <w:sz w:val="22"/>
          <w:szCs w:val="22"/>
          <w:lang w:val="sr-Latn-RS"/>
        </w:rPr>
        <w:t xml:space="preserve">slučaju </w:t>
      </w:r>
      <w:r w:rsidR="00356B33">
        <w:rPr>
          <w:sz w:val="22"/>
          <w:szCs w:val="22"/>
          <w:lang w:val="sr-Latn-RS"/>
        </w:rPr>
        <w:t>ka</w:t>
      </w:r>
      <w:r w:rsidR="00A31BA4" w:rsidRPr="00BD141A">
        <w:rPr>
          <w:sz w:val="22"/>
          <w:szCs w:val="22"/>
          <w:lang w:val="sr-Latn-RS"/>
        </w:rPr>
        <w:t>da ne postoji terapijska alternativa</w:t>
      </w:r>
      <w:r w:rsidR="00A31BA4" w:rsidRPr="00BD141A">
        <w:rPr>
          <w:sz w:val="22"/>
          <w:szCs w:val="22"/>
        </w:rPr>
        <w:t xml:space="preserve">. Potrebno je razmotriti istovremenu </w:t>
      </w:r>
      <w:r w:rsidRPr="00BD141A">
        <w:rPr>
          <w:sz w:val="22"/>
          <w:szCs w:val="22"/>
        </w:rPr>
        <w:t>primjen</w:t>
      </w:r>
      <w:r w:rsidR="00A31BA4" w:rsidRPr="00BD141A">
        <w:rPr>
          <w:sz w:val="22"/>
          <w:szCs w:val="22"/>
        </w:rPr>
        <w:t>u drugog l</w:t>
      </w:r>
      <w:r w:rsidRPr="00BD141A">
        <w:rPr>
          <w:sz w:val="22"/>
          <w:szCs w:val="22"/>
        </w:rPr>
        <w:t>ij</w:t>
      </w:r>
      <w:r w:rsidR="00A31BA4" w:rsidRPr="00BD141A">
        <w:rPr>
          <w:sz w:val="22"/>
          <w:szCs w:val="22"/>
        </w:rPr>
        <w:t xml:space="preserve">eka, sa manjim potencijalom </w:t>
      </w:r>
      <w:r w:rsidR="00A31BA4" w:rsidRPr="00BD141A">
        <w:rPr>
          <w:sz w:val="22"/>
          <w:szCs w:val="22"/>
          <w:lang w:val="sr-Latn-RS"/>
        </w:rPr>
        <w:t>za indukciju</w:t>
      </w:r>
      <w:r w:rsidR="00A31BA4" w:rsidRPr="00BD141A">
        <w:rPr>
          <w:sz w:val="22"/>
          <w:szCs w:val="22"/>
        </w:rPr>
        <w:t xml:space="preserve"> CYP3A4 ili P-gp (</w:t>
      </w:r>
      <w:r w:rsidRPr="00BD141A">
        <w:rPr>
          <w:sz w:val="22"/>
          <w:szCs w:val="22"/>
        </w:rPr>
        <w:t>vidjet</w:t>
      </w:r>
      <w:r w:rsidR="00A31BA4" w:rsidRPr="00BD141A">
        <w:rPr>
          <w:sz w:val="22"/>
          <w:szCs w:val="22"/>
        </w:rPr>
        <w:t xml:space="preserve">i </w:t>
      </w:r>
      <w:r w:rsidRPr="00BD141A">
        <w:rPr>
          <w:sz w:val="22"/>
          <w:szCs w:val="22"/>
        </w:rPr>
        <w:t>dio</w:t>
      </w:r>
      <w:r w:rsidR="00A31BA4" w:rsidRPr="00BD141A">
        <w:rPr>
          <w:sz w:val="22"/>
          <w:szCs w:val="22"/>
        </w:rPr>
        <w:t xml:space="preserve"> 4.5).</w:t>
      </w:r>
    </w:p>
    <w:p w14:paraId="74618324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5BF0E02E" w14:textId="39B9717D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 xml:space="preserve">U </w:t>
      </w:r>
      <w:r w:rsidRPr="00BD141A">
        <w:rPr>
          <w:sz w:val="22"/>
          <w:szCs w:val="22"/>
          <w:lang w:val="sr-Latn-RS"/>
        </w:rPr>
        <w:t xml:space="preserve">slučaju istovremene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 xml:space="preserve">e supstrata </w:t>
      </w:r>
      <w:r w:rsidRPr="00BD141A">
        <w:rPr>
          <w:sz w:val="22"/>
          <w:szCs w:val="22"/>
        </w:rPr>
        <w:t>BCRP, OATP1B1 i OATP1B3</w:t>
      </w:r>
      <w:r w:rsidRPr="00BD141A">
        <w:rPr>
          <w:sz w:val="22"/>
          <w:szCs w:val="22"/>
          <w:lang w:val="sr-Latn-RS"/>
        </w:rPr>
        <w:t xml:space="preserve"> potrebno je pratiti pacijente na neželjene reakcije ovih </w:t>
      </w:r>
      <w:r w:rsidR="00356B33">
        <w:rPr>
          <w:sz w:val="22"/>
          <w:szCs w:val="22"/>
          <w:lang w:val="sr-Latn-RS"/>
        </w:rPr>
        <w:t>ljekova</w:t>
      </w:r>
      <w:r w:rsidRPr="00BD141A">
        <w:rPr>
          <w:sz w:val="22"/>
          <w:szCs w:val="22"/>
          <w:lang w:val="sr-Latn-RS"/>
        </w:rPr>
        <w:t xml:space="preserve">, jer istovremena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a sa darolutamidom može dovesti do povećanja njihove koncentracije u plazmi.</w:t>
      </w:r>
    </w:p>
    <w:p w14:paraId="42D53853" w14:textId="30EAB4F5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Treba izb</w:t>
      </w:r>
      <w:r w:rsidR="00591AA0" w:rsidRPr="00BD141A">
        <w:rPr>
          <w:sz w:val="22"/>
          <w:szCs w:val="22"/>
        </w:rPr>
        <w:t>j</w:t>
      </w:r>
      <w:r w:rsidRPr="00BD141A">
        <w:rPr>
          <w:sz w:val="22"/>
          <w:szCs w:val="22"/>
        </w:rPr>
        <w:t xml:space="preserve">egavati istovremenu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u sa rosuvastatinom, osim u slu</w:t>
      </w:r>
      <w:r w:rsidRPr="00BD141A">
        <w:rPr>
          <w:sz w:val="22"/>
          <w:szCs w:val="22"/>
          <w:lang w:val="sr-Latn-RS"/>
        </w:rPr>
        <w:t xml:space="preserve">čaju </w:t>
      </w:r>
      <w:r w:rsidR="00356B33">
        <w:rPr>
          <w:sz w:val="22"/>
          <w:szCs w:val="22"/>
          <w:lang w:val="sr-Latn-RS"/>
        </w:rPr>
        <w:t>ka</w:t>
      </w:r>
      <w:r w:rsidRPr="00BD141A">
        <w:rPr>
          <w:sz w:val="22"/>
          <w:szCs w:val="22"/>
          <w:lang w:val="sr-Latn-RS"/>
        </w:rPr>
        <w:t>da</w:t>
      </w:r>
      <w:r w:rsidRPr="00BD141A">
        <w:rPr>
          <w:sz w:val="22"/>
          <w:szCs w:val="22"/>
        </w:rPr>
        <w:t xml:space="preserve"> ne postoji terapijska alternativa (</w:t>
      </w:r>
      <w:r w:rsidR="00591AA0" w:rsidRPr="00BD141A">
        <w:rPr>
          <w:sz w:val="22"/>
          <w:szCs w:val="22"/>
        </w:rPr>
        <w:t>vidjet</w:t>
      </w:r>
      <w:r w:rsidRPr="00BD141A">
        <w:rPr>
          <w:sz w:val="22"/>
          <w:szCs w:val="22"/>
        </w:rPr>
        <w:t xml:space="preserve">i </w:t>
      </w:r>
      <w:r w:rsidR="00591AA0" w:rsidRPr="00BD141A">
        <w:rPr>
          <w:sz w:val="22"/>
          <w:szCs w:val="22"/>
        </w:rPr>
        <w:t>dio</w:t>
      </w:r>
      <w:r w:rsidRPr="00BD141A">
        <w:rPr>
          <w:sz w:val="22"/>
          <w:szCs w:val="22"/>
        </w:rPr>
        <w:t xml:space="preserve"> 4.5).</w:t>
      </w:r>
    </w:p>
    <w:p w14:paraId="08DEAC69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6188ECF8" w14:textId="602DA551" w:rsidR="00A31BA4" w:rsidRPr="00BD141A" w:rsidRDefault="00A31BA4" w:rsidP="00A31BA4">
      <w:pPr>
        <w:jc w:val="both"/>
        <w:rPr>
          <w:sz w:val="22"/>
          <w:szCs w:val="22"/>
          <w:u w:val="single"/>
          <w:lang w:val="sr-Latn-RS"/>
        </w:rPr>
      </w:pPr>
      <w:r w:rsidRPr="00BD141A">
        <w:rPr>
          <w:sz w:val="22"/>
          <w:szCs w:val="22"/>
          <w:u w:val="single"/>
        </w:rPr>
        <w:t xml:space="preserve">Terapija </w:t>
      </w:r>
      <w:r w:rsidR="00FA0244">
        <w:rPr>
          <w:sz w:val="22"/>
          <w:szCs w:val="22"/>
          <w:u w:val="single"/>
        </w:rPr>
        <w:t>androgenom</w:t>
      </w:r>
      <w:r w:rsidR="00FA0244" w:rsidRPr="00BD141A">
        <w:rPr>
          <w:sz w:val="22"/>
          <w:szCs w:val="22"/>
          <w:u w:val="single"/>
        </w:rPr>
        <w:t xml:space="preserve"> </w:t>
      </w:r>
      <w:r w:rsidRPr="00BD141A">
        <w:rPr>
          <w:sz w:val="22"/>
          <w:szCs w:val="22"/>
          <w:u w:val="single"/>
        </w:rPr>
        <w:t>deprivacij</w:t>
      </w:r>
      <w:r w:rsidR="00FA0244">
        <w:rPr>
          <w:sz w:val="22"/>
          <w:szCs w:val="22"/>
          <w:u w:val="single"/>
        </w:rPr>
        <w:t>om</w:t>
      </w:r>
      <w:r w:rsidRPr="00BD141A">
        <w:rPr>
          <w:sz w:val="22"/>
          <w:szCs w:val="22"/>
          <w:u w:val="single"/>
        </w:rPr>
        <w:t xml:space="preserve"> mo</w:t>
      </w:r>
      <w:r w:rsidRPr="00BD141A">
        <w:rPr>
          <w:sz w:val="22"/>
          <w:szCs w:val="22"/>
          <w:u w:val="single"/>
          <w:lang w:val="sr-Latn-RS"/>
        </w:rPr>
        <w:t>že produžiti QT interval</w:t>
      </w:r>
    </w:p>
    <w:p w14:paraId="5CF7C21B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27DE61BF" w14:textId="1D69E5F2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Kod pacijenata </w:t>
      </w:r>
      <w:r w:rsidR="00356B33">
        <w:rPr>
          <w:sz w:val="22"/>
          <w:szCs w:val="22"/>
          <w:lang w:val="sr-Latn-RS"/>
        </w:rPr>
        <w:t>koji u anamnezi imaju</w:t>
      </w:r>
      <w:r w:rsidRPr="00BD141A">
        <w:rPr>
          <w:sz w:val="22"/>
          <w:szCs w:val="22"/>
          <w:lang w:val="sr-Latn-RS"/>
        </w:rPr>
        <w:t xml:space="preserve"> faktor</w:t>
      </w:r>
      <w:r w:rsidR="00356B33">
        <w:rPr>
          <w:sz w:val="22"/>
          <w:szCs w:val="22"/>
          <w:lang w:val="sr-Latn-RS"/>
        </w:rPr>
        <w:t>e</w:t>
      </w:r>
      <w:r w:rsidRPr="00BD141A">
        <w:rPr>
          <w:sz w:val="22"/>
          <w:szCs w:val="22"/>
          <w:lang w:val="sr-Latn-RS"/>
        </w:rPr>
        <w:t xml:space="preserve"> rizika za produženje QT intervala, kao i kod onih koji </w:t>
      </w:r>
      <w:r w:rsidR="00356B33">
        <w:rPr>
          <w:sz w:val="22"/>
          <w:szCs w:val="22"/>
          <w:lang w:val="sr-Latn-RS"/>
        </w:rPr>
        <w:t xml:space="preserve">su </w:t>
      </w:r>
      <w:r w:rsidRPr="00BD141A">
        <w:rPr>
          <w:sz w:val="22"/>
          <w:szCs w:val="22"/>
          <w:lang w:val="sr-Latn-RS"/>
        </w:rPr>
        <w:t xml:space="preserve">istovremeno </w:t>
      </w:r>
      <w:r w:rsidR="00356B33">
        <w:rPr>
          <w:sz w:val="22"/>
          <w:szCs w:val="22"/>
          <w:lang w:val="sr-Latn-RS"/>
        </w:rPr>
        <w:t>na</w:t>
      </w:r>
      <w:r w:rsidRPr="00BD141A">
        <w:rPr>
          <w:sz w:val="22"/>
          <w:szCs w:val="22"/>
          <w:lang w:val="sr-Latn-RS"/>
        </w:rPr>
        <w:t xml:space="preserve"> terapij</w:t>
      </w:r>
      <w:r w:rsidR="00356B33">
        <w:rPr>
          <w:sz w:val="22"/>
          <w:szCs w:val="22"/>
          <w:lang w:val="sr-Latn-RS"/>
        </w:rPr>
        <w:t>i</w:t>
      </w:r>
      <w:r w:rsidRPr="00BD141A">
        <w:rPr>
          <w:sz w:val="22"/>
          <w:szCs w:val="22"/>
          <w:lang w:val="sr-Latn-RS"/>
        </w:rPr>
        <w:t xml:space="preserve"> l</w:t>
      </w:r>
      <w:r w:rsidR="00591AA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ekovima koji mogu da produže QT interval (</w:t>
      </w:r>
      <w:r w:rsidR="00591AA0" w:rsidRPr="00BD141A">
        <w:rPr>
          <w:sz w:val="22"/>
          <w:szCs w:val="22"/>
          <w:lang w:val="sr-Latn-RS"/>
        </w:rPr>
        <w:t>vidjet</w:t>
      </w:r>
      <w:r w:rsidRPr="00BD141A">
        <w:rPr>
          <w:sz w:val="22"/>
          <w:szCs w:val="22"/>
          <w:lang w:val="sr-Latn-RS"/>
        </w:rPr>
        <w:t xml:space="preserve">i </w:t>
      </w:r>
      <w:r w:rsidR="00591AA0" w:rsidRPr="00BD141A">
        <w:rPr>
          <w:sz w:val="22"/>
          <w:szCs w:val="22"/>
          <w:lang w:val="sr-Latn-RS"/>
        </w:rPr>
        <w:t>dio</w:t>
      </w:r>
      <w:r w:rsidRPr="00BD141A">
        <w:rPr>
          <w:sz w:val="22"/>
          <w:szCs w:val="22"/>
          <w:lang w:val="sr-Latn-RS"/>
        </w:rPr>
        <w:t xml:space="preserve"> 4.5), pr</w:t>
      </w:r>
      <w:r w:rsidR="00591AA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 xml:space="preserve">e početka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e l</w:t>
      </w:r>
      <w:r w:rsidR="00591AA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eka NUBEQA l</w:t>
      </w:r>
      <w:r w:rsidR="00591AA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ekar treba da izvrši proc</w:t>
      </w:r>
      <w:r w:rsidR="00591AA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 xml:space="preserve">enu koristi i rizika, uključujući i mogućnost </w:t>
      </w:r>
      <w:bookmarkStart w:id="1" w:name="_Hlk81910495"/>
      <w:r w:rsidRPr="00BD141A">
        <w:rPr>
          <w:sz w:val="22"/>
          <w:szCs w:val="22"/>
          <w:lang w:val="sr-Latn-RS"/>
        </w:rPr>
        <w:t xml:space="preserve">pojave </w:t>
      </w:r>
      <w:r w:rsidRPr="00BD141A">
        <w:rPr>
          <w:i/>
          <w:iCs/>
          <w:sz w:val="22"/>
          <w:szCs w:val="22"/>
          <w:lang w:val="sr-Latn-RS"/>
        </w:rPr>
        <w:t>torsade de pointes</w:t>
      </w:r>
      <w:bookmarkEnd w:id="1"/>
      <w:r w:rsidRPr="00BD141A">
        <w:rPr>
          <w:sz w:val="22"/>
          <w:szCs w:val="22"/>
          <w:lang w:val="sr-Latn-RS"/>
        </w:rPr>
        <w:t>.</w:t>
      </w:r>
    </w:p>
    <w:p w14:paraId="1958B15C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7A98C925" w14:textId="20F86359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Podaci o pomo</w:t>
      </w:r>
      <w:r w:rsidRPr="00BD141A">
        <w:rPr>
          <w:sz w:val="22"/>
          <w:szCs w:val="22"/>
          <w:u w:val="single"/>
          <w:lang w:val="sr-Latn-RS"/>
        </w:rPr>
        <w:t>ć</w:t>
      </w:r>
      <w:r w:rsidRPr="00BD141A">
        <w:rPr>
          <w:sz w:val="22"/>
          <w:szCs w:val="22"/>
          <w:u w:val="single"/>
        </w:rPr>
        <w:t xml:space="preserve">nim supstancama </w:t>
      </w:r>
      <w:r w:rsidR="007B475F" w:rsidRPr="00BD141A">
        <w:rPr>
          <w:sz w:val="22"/>
          <w:szCs w:val="22"/>
          <w:u w:val="single"/>
        </w:rPr>
        <w:t>lijek</w:t>
      </w:r>
      <w:r w:rsidRPr="00BD141A">
        <w:rPr>
          <w:sz w:val="22"/>
          <w:szCs w:val="22"/>
          <w:u w:val="single"/>
        </w:rPr>
        <w:t>a</w:t>
      </w:r>
    </w:p>
    <w:p w14:paraId="52698F85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36B3BD8E" w14:textId="522BF109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Lijek NUBEQA sadrži laktozu. Pacijenti sa r</w:t>
      </w:r>
      <w:r w:rsidR="00591AA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etkim nasl</w:t>
      </w:r>
      <w:r w:rsidR="00465EC3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ednim p</w:t>
      </w:r>
      <w:r w:rsidR="00FA0244">
        <w:rPr>
          <w:sz w:val="22"/>
          <w:szCs w:val="22"/>
          <w:lang w:val="sr-Latn-RS"/>
        </w:rPr>
        <w:t>oremećajem</w:t>
      </w:r>
      <w:r w:rsidRPr="00BD141A">
        <w:rPr>
          <w:sz w:val="22"/>
          <w:szCs w:val="22"/>
          <w:lang w:val="sr-Latn-RS"/>
        </w:rPr>
        <w:t xml:space="preserve"> intolerancije na galaktozu, potpunim nedostatkom laktaze ili glukozno-galaktoznom malapsorpcijom, ne bi trebal</w:t>
      </w:r>
      <w:r w:rsidR="00356B33">
        <w:rPr>
          <w:sz w:val="22"/>
          <w:szCs w:val="22"/>
          <w:lang w:val="sr-Latn-RS"/>
        </w:rPr>
        <w:t>o</w:t>
      </w:r>
      <w:r w:rsidRPr="00BD141A">
        <w:rPr>
          <w:sz w:val="22"/>
          <w:szCs w:val="22"/>
          <w:lang w:val="sr-Latn-RS"/>
        </w:rPr>
        <w:t xml:space="preserve"> da uzimaju ovaj l</w:t>
      </w:r>
      <w:r w:rsidR="00591AA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ek.</w:t>
      </w:r>
    </w:p>
    <w:p w14:paraId="0759CCDD" w14:textId="77777777" w:rsidR="00057E35" w:rsidRPr="00BD141A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1B14F136" w14:textId="77777777" w:rsidR="00411B4B" w:rsidRPr="00BD141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>4.5.</w:t>
      </w:r>
      <w:r w:rsidR="000D60CC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Interakcije sa drugim ljekovima i druge vrste interakcija</w:t>
      </w:r>
    </w:p>
    <w:p w14:paraId="0D765D91" w14:textId="1BAE6BE5" w:rsidR="0072020E" w:rsidRPr="00BD141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FFB7997" w14:textId="2061147A" w:rsidR="00A31BA4" w:rsidRPr="00BD141A" w:rsidRDefault="00A31BA4" w:rsidP="00A31BA4">
      <w:pPr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Efekti drugih l</w:t>
      </w:r>
      <w:r w:rsidR="00591AA0" w:rsidRPr="00BD141A">
        <w:rPr>
          <w:sz w:val="22"/>
          <w:szCs w:val="22"/>
          <w:u w:val="single"/>
        </w:rPr>
        <w:t>j</w:t>
      </w:r>
      <w:r w:rsidRPr="00BD141A">
        <w:rPr>
          <w:sz w:val="22"/>
          <w:szCs w:val="22"/>
          <w:u w:val="single"/>
        </w:rPr>
        <w:t>ekova na darolutamid</w:t>
      </w:r>
    </w:p>
    <w:p w14:paraId="1D7497A2" w14:textId="77777777" w:rsidR="00A31BA4" w:rsidRPr="00BD141A" w:rsidRDefault="00A31BA4" w:rsidP="00A31BA4">
      <w:pPr>
        <w:rPr>
          <w:sz w:val="22"/>
          <w:szCs w:val="22"/>
        </w:rPr>
      </w:pPr>
    </w:p>
    <w:p w14:paraId="1CE9EC68" w14:textId="77777777" w:rsidR="00A31BA4" w:rsidRPr="00BD141A" w:rsidRDefault="00A31BA4" w:rsidP="00A31BA4">
      <w:pPr>
        <w:jc w:val="both"/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</w:rPr>
        <w:t>Induktori CYP3A4 i P-gp</w:t>
      </w:r>
    </w:p>
    <w:p w14:paraId="551F215B" w14:textId="77777777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Darolutamid je supstrat za CYP3A4 i P-glikoprotein (P-gp).</w:t>
      </w:r>
    </w:p>
    <w:p w14:paraId="264F7627" w14:textId="00A175F6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Ne preporu</w:t>
      </w:r>
      <w:r w:rsidRPr="00BD141A">
        <w:rPr>
          <w:sz w:val="22"/>
          <w:szCs w:val="22"/>
          <w:lang w:val="sr-Latn-RS"/>
        </w:rPr>
        <w:t xml:space="preserve">čuje se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a</w:t>
      </w:r>
      <w:r w:rsidRPr="00BD141A">
        <w:rPr>
          <w:sz w:val="22"/>
          <w:szCs w:val="22"/>
        </w:rPr>
        <w:t xml:space="preserve"> </w:t>
      </w:r>
      <w:r w:rsidR="00356B33">
        <w:rPr>
          <w:sz w:val="22"/>
          <w:szCs w:val="22"/>
        </w:rPr>
        <w:t>snažnih</w:t>
      </w:r>
      <w:r w:rsidRPr="00BD141A">
        <w:rPr>
          <w:sz w:val="22"/>
          <w:szCs w:val="22"/>
        </w:rPr>
        <w:t xml:space="preserve"> i um</w:t>
      </w:r>
      <w:r w:rsidR="00591AA0" w:rsidRPr="00BD141A">
        <w:rPr>
          <w:sz w:val="22"/>
          <w:szCs w:val="22"/>
        </w:rPr>
        <w:t>j</w:t>
      </w:r>
      <w:r w:rsidRPr="00BD141A">
        <w:rPr>
          <w:sz w:val="22"/>
          <w:szCs w:val="22"/>
        </w:rPr>
        <w:t>erenih induktora</w:t>
      </w:r>
      <w:r w:rsidRPr="00BD141A">
        <w:rPr>
          <w:sz w:val="22"/>
          <w:szCs w:val="22"/>
          <w:lang w:val="sr-Latn-RS"/>
        </w:rPr>
        <w:t xml:space="preserve"> CYP3A4 i P-gp (npr. karbamazepin, fenobarbital, kantarion, fenitoin i rifampcin) tokom terapije darolutamidom, osim u slučaju </w:t>
      </w:r>
      <w:r w:rsidR="00356B33">
        <w:rPr>
          <w:sz w:val="22"/>
          <w:szCs w:val="22"/>
          <w:lang w:val="sr-Latn-RS"/>
        </w:rPr>
        <w:t>ka</w:t>
      </w:r>
      <w:r w:rsidRPr="00BD141A">
        <w:rPr>
          <w:sz w:val="22"/>
          <w:szCs w:val="22"/>
          <w:lang w:val="sr-Latn-RS"/>
        </w:rPr>
        <w:t xml:space="preserve">da ne postoji terapijska alternativa. Potrebno je razmotriti istovremenu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u drugog l</w:t>
      </w:r>
      <w:r w:rsidR="00591AA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eka,</w:t>
      </w:r>
      <w:r w:rsidR="00356B33">
        <w:rPr>
          <w:sz w:val="22"/>
          <w:szCs w:val="22"/>
          <w:lang w:val="sr-Latn-RS"/>
        </w:rPr>
        <w:t xml:space="preserve"> koji je</w:t>
      </w:r>
      <w:r w:rsidRPr="00BD141A">
        <w:rPr>
          <w:sz w:val="22"/>
          <w:szCs w:val="22"/>
          <w:lang w:val="sr-Latn-RS"/>
        </w:rPr>
        <w:t xml:space="preserve"> bez uticaja ili sa slabim potencijalom za indukciju CYP3A4 ili P-gp.</w:t>
      </w:r>
    </w:p>
    <w:p w14:paraId="517484B1" w14:textId="5F3C09BB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 xml:space="preserve">Ponovljena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 xml:space="preserve">a rifampicina (600 mg), </w:t>
      </w:r>
      <w:r w:rsidR="00356B33">
        <w:rPr>
          <w:sz w:val="22"/>
          <w:szCs w:val="22"/>
        </w:rPr>
        <w:t>snažnog</w:t>
      </w:r>
      <w:r w:rsidRPr="00BD141A">
        <w:rPr>
          <w:sz w:val="22"/>
          <w:szCs w:val="22"/>
        </w:rPr>
        <w:t xml:space="preserve"> induktora CYP3A4 i P-gp, </w:t>
      </w:r>
      <w:bookmarkStart w:id="2" w:name="_Hlk81674817"/>
      <w:r w:rsidRPr="00BD141A">
        <w:rPr>
          <w:sz w:val="22"/>
          <w:szCs w:val="22"/>
        </w:rPr>
        <w:t>sa pojedina</w:t>
      </w:r>
      <w:r w:rsidRPr="00BD141A">
        <w:rPr>
          <w:sz w:val="22"/>
          <w:szCs w:val="22"/>
          <w:lang w:val="sr-Latn-RS"/>
        </w:rPr>
        <w:t>čnom dozom darolutamida (600 mg) uzetom sa hranom, dovela je do smanjenja srednje izloženosti (</w:t>
      </w:r>
      <w:r w:rsidR="00356B33">
        <w:rPr>
          <w:sz w:val="22"/>
          <w:szCs w:val="22"/>
          <w:lang w:val="sr-Latn-RS"/>
        </w:rPr>
        <w:t>PIK</w:t>
      </w:r>
      <w:r w:rsidRPr="00BD141A">
        <w:rPr>
          <w:sz w:val="22"/>
          <w:szCs w:val="22"/>
          <w:vertAlign w:val="subscript"/>
          <w:lang w:val="sr-Latn-RS"/>
        </w:rPr>
        <w:t>0-72</w:t>
      </w:r>
      <w:r w:rsidRPr="00BD141A">
        <w:rPr>
          <w:sz w:val="22"/>
          <w:szCs w:val="22"/>
          <w:lang w:val="sr-Latn-RS"/>
        </w:rPr>
        <w:t>) za 72% i smanjenj</w:t>
      </w:r>
      <w:r w:rsidR="00356B33">
        <w:rPr>
          <w:sz w:val="22"/>
          <w:szCs w:val="22"/>
          <w:lang w:val="sr-Latn-RS"/>
        </w:rPr>
        <w:t>a</w:t>
      </w:r>
      <w:r w:rsidRPr="00BD141A">
        <w:rPr>
          <w:sz w:val="22"/>
          <w:szCs w:val="22"/>
          <w:lang w:val="sr-Latn-RS"/>
        </w:rPr>
        <w:t xml:space="preserve"> C</w:t>
      </w:r>
      <w:r w:rsidRPr="00BD141A">
        <w:rPr>
          <w:sz w:val="22"/>
          <w:szCs w:val="22"/>
          <w:vertAlign w:val="subscript"/>
          <w:lang w:val="sr-Latn-RS"/>
        </w:rPr>
        <w:t>max</w:t>
      </w:r>
      <w:r w:rsidRPr="00BD141A">
        <w:rPr>
          <w:sz w:val="22"/>
          <w:szCs w:val="22"/>
          <w:lang w:val="sr-Latn-RS"/>
        </w:rPr>
        <w:t xml:space="preserve"> darolutamida za 52%.</w:t>
      </w:r>
    </w:p>
    <w:bookmarkEnd w:id="2"/>
    <w:p w14:paraId="7E1361EC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48A0A2F4" w14:textId="77777777" w:rsidR="00A31BA4" w:rsidRPr="00BD141A" w:rsidRDefault="00A31BA4" w:rsidP="00A31BA4">
      <w:pPr>
        <w:jc w:val="both"/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</w:rPr>
        <w:t xml:space="preserve">Inhibitori </w:t>
      </w:r>
      <w:bookmarkStart w:id="3" w:name="_Hlk81674016"/>
      <w:bookmarkStart w:id="4" w:name="_Hlk81674793"/>
      <w:r w:rsidRPr="00BD141A">
        <w:rPr>
          <w:i/>
          <w:iCs/>
          <w:sz w:val="22"/>
          <w:szCs w:val="22"/>
        </w:rPr>
        <w:t>CYP3A4, P-gp i BCRP</w:t>
      </w:r>
      <w:bookmarkEnd w:id="3"/>
    </w:p>
    <w:bookmarkEnd w:id="4"/>
    <w:p w14:paraId="55984D2C" w14:textId="04061A48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Darolutamid je supstrat za CYP3A4, P-gp i protein rezistencije karcinoma dojke (eng</w:t>
      </w:r>
      <w:r w:rsidR="00E7063D">
        <w:rPr>
          <w:sz w:val="22"/>
          <w:szCs w:val="22"/>
          <w:lang w:val="sr-Latn-RS"/>
        </w:rPr>
        <w:t>l</w:t>
      </w:r>
      <w:r w:rsidRPr="00BD141A">
        <w:rPr>
          <w:sz w:val="22"/>
          <w:szCs w:val="22"/>
          <w:lang w:val="sr-Latn-RS"/>
        </w:rPr>
        <w:t xml:space="preserve">. </w:t>
      </w:r>
      <w:r w:rsidRPr="00BD141A">
        <w:rPr>
          <w:i/>
          <w:iCs/>
          <w:sz w:val="22"/>
          <w:szCs w:val="22"/>
          <w:lang w:val="sr-Latn-RS"/>
        </w:rPr>
        <w:t>breast cancer resistance protein, BCRP</w:t>
      </w:r>
      <w:r w:rsidRPr="00BD141A">
        <w:rPr>
          <w:sz w:val="22"/>
          <w:szCs w:val="22"/>
          <w:lang w:val="sr-Latn-RS"/>
        </w:rPr>
        <w:t>).</w:t>
      </w:r>
    </w:p>
    <w:p w14:paraId="4ED5655A" w14:textId="6C05AA90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 xml:space="preserve">Pri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i inhibitora CYP3A4, P-gp i</w:t>
      </w:r>
      <w:r w:rsidR="00356B33">
        <w:rPr>
          <w:sz w:val="22"/>
          <w:szCs w:val="22"/>
        </w:rPr>
        <w:t>li</w:t>
      </w:r>
      <w:r w:rsidRPr="00BD141A">
        <w:rPr>
          <w:sz w:val="22"/>
          <w:szCs w:val="22"/>
        </w:rPr>
        <w:t xml:space="preserve"> BCRP ne o</w:t>
      </w:r>
      <w:r w:rsidRPr="00BD141A">
        <w:rPr>
          <w:sz w:val="22"/>
          <w:szCs w:val="22"/>
          <w:lang w:val="sr-Latn-RS"/>
        </w:rPr>
        <w:t>čekuju se klinički značajne interakcije. Darolutamid se može davati istovremeno sa inhibitorima CYP3A4, P-gp i</w:t>
      </w:r>
      <w:r w:rsidR="00356B33">
        <w:rPr>
          <w:sz w:val="22"/>
          <w:szCs w:val="22"/>
          <w:lang w:val="sr-Latn-RS"/>
        </w:rPr>
        <w:t>li</w:t>
      </w:r>
      <w:r w:rsidRPr="00BD141A">
        <w:rPr>
          <w:sz w:val="22"/>
          <w:szCs w:val="22"/>
          <w:lang w:val="sr-Latn-RS"/>
        </w:rPr>
        <w:t xml:space="preserve"> BCRP. Istovremena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a darolutamida sa kombinacijom inhibitor</w:t>
      </w:r>
      <w:r w:rsidR="00591AA0" w:rsidRPr="00BD141A">
        <w:rPr>
          <w:sz w:val="22"/>
          <w:szCs w:val="22"/>
          <w:lang w:val="sr-Latn-RS"/>
        </w:rPr>
        <w:t>a</w:t>
      </w:r>
      <w:r w:rsidRPr="00BD141A">
        <w:rPr>
          <w:sz w:val="22"/>
          <w:szCs w:val="22"/>
          <w:lang w:val="sr-Latn-RS"/>
        </w:rPr>
        <w:t xml:space="preserve"> P-gp i </w:t>
      </w:r>
      <w:r w:rsidR="00356B33">
        <w:rPr>
          <w:sz w:val="22"/>
          <w:szCs w:val="22"/>
          <w:lang w:val="sr-Latn-RS"/>
        </w:rPr>
        <w:t>snažnog</w:t>
      </w:r>
      <w:r w:rsidRPr="00BD141A">
        <w:rPr>
          <w:sz w:val="22"/>
          <w:szCs w:val="22"/>
          <w:lang w:val="sr-Latn-RS"/>
        </w:rPr>
        <w:t xml:space="preserve"> CYP3A4 inhibitor</w:t>
      </w:r>
      <w:r w:rsidR="00591AA0" w:rsidRPr="00BD141A">
        <w:rPr>
          <w:sz w:val="22"/>
          <w:szCs w:val="22"/>
          <w:lang w:val="sr-Latn-RS"/>
        </w:rPr>
        <w:t>a</w:t>
      </w:r>
      <w:r w:rsidRPr="00BD141A">
        <w:rPr>
          <w:sz w:val="22"/>
          <w:szCs w:val="22"/>
          <w:lang w:val="sr-Latn-RS"/>
        </w:rPr>
        <w:t xml:space="preserve"> povećava izloženost darolutamidu, što može </w:t>
      </w:r>
      <w:r w:rsidR="00AA2DB9">
        <w:rPr>
          <w:sz w:val="22"/>
          <w:szCs w:val="22"/>
          <w:lang w:val="sr-Latn-RS"/>
        </w:rPr>
        <w:t xml:space="preserve">da </w:t>
      </w:r>
      <w:r w:rsidRPr="00BD141A">
        <w:rPr>
          <w:sz w:val="22"/>
          <w:szCs w:val="22"/>
          <w:lang w:val="sr-Latn-RS"/>
        </w:rPr>
        <w:t>poveća rizik od pojave neželjenih reakcija na darolutamid. Preporučuje se češće praćenje pacijenata na neželjene reakcije darolutamida i, prema potrebi, modifikacija doze darolutamida.</w:t>
      </w:r>
    </w:p>
    <w:p w14:paraId="6B9E1BC3" w14:textId="7ACAD396" w:rsidR="00A31BA4" w:rsidRPr="00BD141A" w:rsidRDefault="00591AA0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Primjen</w:t>
      </w:r>
      <w:r w:rsidR="00A31BA4" w:rsidRPr="00BD141A">
        <w:rPr>
          <w:sz w:val="22"/>
          <w:szCs w:val="22"/>
          <w:lang w:val="sr-Latn-RS"/>
        </w:rPr>
        <w:t>a itrakonazola</w:t>
      </w:r>
      <w:r w:rsidR="00FA0244">
        <w:rPr>
          <w:sz w:val="22"/>
          <w:szCs w:val="22"/>
          <w:lang w:val="sr-Latn-RS"/>
        </w:rPr>
        <w:t xml:space="preserve"> </w:t>
      </w:r>
      <w:r w:rsidR="00FA0244" w:rsidRPr="00BD141A">
        <w:rPr>
          <w:sz w:val="22"/>
          <w:szCs w:val="22"/>
          <w:lang w:val="sr-Latn-RS"/>
        </w:rPr>
        <w:t>(200 mg dva puta dnevno prvog dana i jednom dnevno tokom narednih 7 dana)</w:t>
      </w:r>
      <w:r w:rsidR="00A31BA4" w:rsidRPr="00BD141A">
        <w:rPr>
          <w:sz w:val="22"/>
          <w:szCs w:val="22"/>
          <w:lang w:val="sr-Latn-RS"/>
        </w:rPr>
        <w:t xml:space="preserve">, </w:t>
      </w:r>
      <w:r w:rsidR="00AA2DB9">
        <w:rPr>
          <w:sz w:val="22"/>
          <w:szCs w:val="22"/>
          <w:lang w:val="sr-Latn-RS"/>
        </w:rPr>
        <w:t>snažnog</w:t>
      </w:r>
      <w:r w:rsidR="00A31BA4" w:rsidRPr="00BD141A">
        <w:rPr>
          <w:sz w:val="22"/>
          <w:szCs w:val="22"/>
          <w:lang w:val="sr-Latn-RS"/>
        </w:rPr>
        <w:t xml:space="preserve"> inhibitora CYP3A4, P-gp i BCRP, sa pojedinačnom dozom darolutamida (600 mg petog dana, uzeto</w:t>
      </w:r>
      <w:r w:rsidR="00AA2DB9">
        <w:rPr>
          <w:sz w:val="22"/>
          <w:szCs w:val="22"/>
          <w:lang w:val="sr-Latn-RS"/>
        </w:rPr>
        <w:t>g</w:t>
      </w:r>
      <w:r w:rsidR="00A31BA4" w:rsidRPr="00BD141A">
        <w:rPr>
          <w:sz w:val="22"/>
          <w:szCs w:val="22"/>
          <w:lang w:val="sr-Latn-RS"/>
        </w:rPr>
        <w:t xml:space="preserve"> sa hranom), dovela je do povećanja srednje izloženosti (</w:t>
      </w:r>
      <w:r w:rsidR="00AA2DB9">
        <w:rPr>
          <w:sz w:val="22"/>
          <w:szCs w:val="22"/>
          <w:lang w:val="sr-Latn-RS"/>
        </w:rPr>
        <w:t>PIK</w:t>
      </w:r>
      <w:r w:rsidR="00A31BA4" w:rsidRPr="00BD141A">
        <w:rPr>
          <w:sz w:val="22"/>
          <w:szCs w:val="22"/>
          <w:vertAlign w:val="subscript"/>
          <w:lang w:val="sr-Latn-RS"/>
        </w:rPr>
        <w:t>0-72</w:t>
      </w:r>
      <w:r w:rsidR="00A31BA4" w:rsidRPr="00BD141A">
        <w:rPr>
          <w:sz w:val="22"/>
          <w:szCs w:val="22"/>
          <w:lang w:val="sr-Latn-RS"/>
        </w:rPr>
        <w:t>) 1,7 puta i povećanja C</w:t>
      </w:r>
      <w:r w:rsidR="00A31BA4" w:rsidRPr="00BD141A">
        <w:rPr>
          <w:sz w:val="22"/>
          <w:szCs w:val="22"/>
          <w:vertAlign w:val="subscript"/>
          <w:lang w:val="sr-Latn-RS"/>
        </w:rPr>
        <w:t>max</w:t>
      </w:r>
      <w:r w:rsidR="00A31BA4" w:rsidRPr="00BD141A">
        <w:rPr>
          <w:sz w:val="22"/>
          <w:szCs w:val="22"/>
          <w:lang w:val="sr-Latn-RS"/>
        </w:rPr>
        <w:t xml:space="preserve"> darolutamida 1,4 puta.</w:t>
      </w:r>
    </w:p>
    <w:p w14:paraId="2B9C0186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1AF34AEC" w14:textId="77777777" w:rsidR="00A31BA4" w:rsidRPr="00BD141A" w:rsidRDefault="00A31BA4" w:rsidP="00A31BA4">
      <w:pPr>
        <w:jc w:val="both"/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</w:rPr>
        <w:t>Inhibitori UGT1A9</w:t>
      </w:r>
    </w:p>
    <w:p w14:paraId="028E0007" w14:textId="77777777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Darolutamiod je supstrat za UGT1A9.</w:t>
      </w:r>
    </w:p>
    <w:p w14:paraId="1CA3BA2D" w14:textId="632F9561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 xml:space="preserve">Pri istovremenoj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 xml:space="preserve">i sa </w:t>
      </w:r>
      <w:bookmarkStart w:id="5" w:name="_Hlk81904206"/>
      <w:r w:rsidRPr="00BD141A">
        <w:rPr>
          <w:sz w:val="22"/>
          <w:szCs w:val="22"/>
        </w:rPr>
        <w:t>inhibitorima UGT1A9</w:t>
      </w:r>
      <w:bookmarkEnd w:id="5"/>
      <w:r w:rsidRPr="00BD141A">
        <w:rPr>
          <w:sz w:val="22"/>
          <w:szCs w:val="22"/>
        </w:rPr>
        <w:t xml:space="preserve"> ne </w:t>
      </w:r>
      <w:r w:rsidRPr="00BD141A">
        <w:rPr>
          <w:sz w:val="22"/>
          <w:szCs w:val="22"/>
          <w:lang w:val="sr-Latn-RS"/>
        </w:rPr>
        <w:t xml:space="preserve">očekuju se klinički značajne interakcije. Darolutamid se može davati istovremeno sa inhibitorima </w:t>
      </w:r>
      <w:r w:rsidRPr="00BD141A">
        <w:rPr>
          <w:sz w:val="22"/>
          <w:szCs w:val="22"/>
        </w:rPr>
        <w:t>UGT1A9.</w:t>
      </w:r>
    </w:p>
    <w:p w14:paraId="502A1B94" w14:textId="0584F04D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Populaciona farmakokinetička analiza pokazala je da istovre</w:t>
      </w:r>
      <w:r w:rsidRPr="00BD141A">
        <w:rPr>
          <w:sz w:val="22"/>
          <w:szCs w:val="22"/>
          <w:lang w:val="sr-Latn-RS"/>
        </w:rPr>
        <w:t xml:space="preserve">mena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a inhibitora UGT1A9 sa darolutamidom dovodi do povećanja izloženosti (</w:t>
      </w:r>
      <w:r w:rsidR="00AA2DB9">
        <w:rPr>
          <w:sz w:val="22"/>
          <w:szCs w:val="22"/>
          <w:lang w:val="sr-Latn-RS"/>
        </w:rPr>
        <w:t>PIK</w:t>
      </w:r>
      <w:r w:rsidRPr="00BD141A">
        <w:rPr>
          <w:sz w:val="22"/>
          <w:szCs w:val="22"/>
          <w:vertAlign w:val="subscript"/>
          <w:lang w:val="sr-Latn-RS"/>
        </w:rPr>
        <w:t>0-72</w:t>
      </w:r>
      <w:r w:rsidRPr="00BD141A">
        <w:rPr>
          <w:sz w:val="22"/>
          <w:szCs w:val="22"/>
          <w:lang w:val="sr-Latn-RS"/>
        </w:rPr>
        <w:t xml:space="preserve">) darolutamidu 1,2 puta. </w:t>
      </w:r>
    </w:p>
    <w:p w14:paraId="0D57B8F8" w14:textId="77777777" w:rsidR="00932041" w:rsidRPr="00932041" w:rsidRDefault="00932041" w:rsidP="00932041">
      <w:pPr>
        <w:jc w:val="both"/>
        <w:rPr>
          <w:sz w:val="22"/>
          <w:szCs w:val="22"/>
          <w:lang w:val="sr-Latn-RS"/>
        </w:rPr>
      </w:pPr>
    </w:p>
    <w:p w14:paraId="795FAEE6" w14:textId="77777777" w:rsidR="00932041" w:rsidRPr="00932041" w:rsidRDefault="00932041" w:rsidP="00932041">
      <w:pPr>
        <w:jc w:val="both"/>
        <w:rPr>
          <w:sz w:val="22"/>
          <w:szCs w:val="22"/>
          <w:lang w:val="sr-Latn-RS"/>
        </w:rPr>
      </w:pPr>
      <w:r w:rsidRPr="00932041">
        <w:rPr>
          <w:i/>
          <w:iCs/>
          <w:sz w:val="22"/>
          <w:szCs w:val="22"/>
          <w:lang w:val="sr-Latn-RS"/>
        </w:rPr>
        <w:t>Docetaksel</w:t>
      </w:r>
    </w:p>
    <w:p w14:paraId="66C59F38" w14:textId="765F0879" w:rsidR="00932041" w:rsidRPr="00932041" w:rsidRDefault="00932041" w:rsidP="00932041">
      <w:pPr>
        <w:jc w:val="both"/>
        <w:rPr>
          <w:sz w:val="22"/>
          <w:szCs w:val="22"/>
          <w:lang w:val="sr-Latn-RS"/>
        </w:rPr>
      </w:pPr>
      <w:r w:rsidRPr="00932041">
        <w:rPr>
          <w:sz w:val="22"/>
          <w:szCs w:val="22"/>
          <w:lang w:val="sr-Latn-RS"/>
        </w:rPr>
        <w:t>Prim</w:t>
      </w:r>
      <w:r>
        <w:rPr>
          <w:sz w:val="22"/>
          <w:szCs w:val="22"/>
          <w:lang w:val="sr-Latn-RS"/>
        </w:rPr>
        <w:t>j</w:t>
      </w:r>
      <w:r w:rsidRPr="00932041">
        <w:rPr>
          <w:sz w:val="22"/>
          <w:szCs w:val="22"/>
          <w:lang w:val="sr-Latn-RS"/>
        </w:rPr>
        <w:t>ena darolutamida u kombinaciji sa docetakselom nije dovela do klinički značajnih prom</w:t>
      </w:r>
      <w:r>
        <w:rPr>
          <w:sz w:val="22"/>
          <w:szCs w:val="22"/>
          <w:lang w:val="sr-Latn-RS"/>
        </w:rPr>
        <w:t>j</w:t>
      </w:r>
      <w:r w:rsidRPr="00932041">
        <w:rPr>
          <w:sz w:val="22"/>
          <w:szCs w:val="22"/>
          <w:lang w:val="sr-Latn-RS"/>
        </w:rPr>
        <w:t>ena u farmakokinetici darolutamida kod pacijenata sa mHSPC (vid</w:t>
      </w:r>
      <w:r>
        <w:rPr>
          <w:sz w:val="22"/>
          <w:szCs w:val="22"/>
          <w:lang w:val="sr-Latn-RS"/>
        </w:rPr>
        <w:t>j</w:t>
      </w:r>
      <w:r w:rsidRPr="00932041">
        <w:rPr>
          <w:sz w:val="22"/>
          <w:szCs w:val="22"/>
          <w:lang w:val="sr-Latn-RS"/>
        </w:rPr>
        <w:t xml:space="preserve">eti </w:t>
      </w:r>
      <w:r>
        <w:rPr>
          <w:sz w:val="22"/>
          <w:szCs w:val="22"/>
          <w:lang w:val="sr-Latn-RS"/>
        </w:rPr>
        <w:t>dio</w:t>
      </w:r>
      <w:r w:rsidRPr="00932041">
        <w:rPr>
          <w:sz w:val="22"/>
          <w:szCs w:val="22"/>
          <w:lang w:val="sr-Latn-RS"/>
        </w:rPr>
        <w:t xml:space="preserve"> 5.1).</w:t>
      </w:r>
    </w:p>
    <w:p w14:paraId="7A70D554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55B4EC2E" w14:textId="5DB1CC59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Efekti darolutamida na druge l</w:t>
      </w:r>
      <w:r w:rsidR="007B475F" w:rsidRPr="00BD141A">
        <w:rPr>
          <w:sz w:val="22"/>
          <w:szCs w:val="22"/>
          <w:u w:val="single"/>
        </w:rPr>
        <w:t>j</w:t>
      </w:r>
      <w:r w:rsidRPr="00BD141A">
        <w:rPr>
          <w:sz w:val="22"/>
          <w:szCs w:val="22"/>
          <w:u w:val="single"/>
        </w:rPr>
        <w:t>ekove</w:t>
      </w:r>
    </w:p>
    <w:p w14:paraId="18D57382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4FBD110D" w14:textId="77777777" w:rsidR="00A31BA4" w:rsidRPr="00BD141A" w:rsidRDefault="00A31BA4" w:rsidP="00A31BA4">
      <w:pPr>
        <w:jc w:val="both"/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</w:rPr>
        <w:t xml:space="preserve">Supstrati </w:t>
      </w:r>
      <w:bookmarkStart w:id="6" w:name="_Hlk81907067"/>
      <w:r w:rsidRPr="00BD141A">
        <w:rPr>
          <w:i/>
          <w:iCs/>
          <w:sz w:val="22"/>
          <w:szCs w:val="22"/>
        </w:rPr>
        <w:t>BCRP, OATP1B1 i OATP1B3</w:t>
      </w:r>
    </w:p>
    <w:bookmarkEnd w:id="6"/>
    <w:p w14:paraId="2343FCDC" w14:textId="30D568F6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 xml:space="preserve">Darolutamid je inhibitor proteina rezistencije karcinoma dojke (BCRP) i polipeptida </w:t>
      </w:r>
      <w:r w:rsidRPr="00BD141A">
        <w:rPr>
          <w:sz w:val="22"/>
          <w:szCs w:val="22"/>
          <w:lang w:val="sr-Latn-RS"/>
        </w:rPr>
        <w:t>za transport organskih anjona (eng</w:t>
      </w:r>
      <w:r w:rsidR="00E7063D">
        <w:rPr>
          <w:sz w:val="22"/>
          <w:szCs w:val="22"/>
          <w:lang w:val="sr-Latn-RS"/>
        </w:rPr>
        <w:t>l</w:t>
      </w:r>
      <w:r w:rsidRPr="00BD141A">
        <w:rPr>
          <w:sz w:val="22"/>
          <w:szCs w:val="22"/>
          <w:lang w:val="sr-Latn-RS"/>
        </w:rPr>
        <w:t xml:space="preserve">. </w:t>
      </w:r>
      <w:r w:rsidRPr="00BD141A">
        <w:rPr>
          <w:i/>
          <w:iCs/>
          <w:sz w:val="22"/>
          <w:szCs w:val="22"/>
          <w:lang w:val="sr-Latn-RS"/>
        </w:rPr>
        <w:t>Organic Anion Transporting Polypeptides, OATP</w:t>
      </w:r>
      <w:r w:rsidRPr="00BD141A">
        <w:rPr>
          <w:sz w:val="22"/>
          <w:szCs w:val="22"/>
          <w:lang w:val="sr-Latn-RS"/>
        </w:rPr>
        <w:t>) 1B1 i 1B3.</w:t>
      </w:r>
    </w:p>
    <w:p w14:paraId="0248554C" w14:textId="16AD24E6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Ne preporučuje se istovremena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a sa rosuvastatinom</w:t>
      </w:r>
      <w:r w:rsidRPr="00BD141A">
        <w:rPr>
          <w:sz w:val="22"/>
          <w:szCs w:val="22"/>
        </w:rPr>
        <w:t xml:space="preserve">, osim u slučaju </w:t>
      </w:r>
      <w:r w:rsidR="00AA2DB9">
        <w:rPr>
          <w:sz w:val="22"/>
          <w:szCs w:val="22"/>
        </w:rPr>
        <w:t>ka</w:t>
      </w:r>
      <w:r w:rsidRPr="00BD141A">
        <w:rPr>
          <w:sz w:val="22"/>
          <w:szCs w:val="22"/>
        </w:rPr>
        <w:t xml:space="preserve">da ne postoji terapijska alternativa. Za istovremenu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u p</w:t>
      </w:r>
      <w:r w:rsidRPr="00BD141A">
        <w:rPr>
          <w:sz w:val="22"/>
          <w:szCs w:val="22"/>
          <w:lang w:val="sr-Latn-RS"/>
        </w:rPr>
        <w:t>otrebno je razmotriti izbor drugog l</w:t>
      </w:r>
      <w:r w:rsidR="007B475F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eka sa nižim potencijalom za inhibiciju BCRP, OATP1B1 i OATP1B3.</w:t>
      </w:r>
    </w:p>
    <w:p w14:paraId="2BFD0221" w14:textId="30D362B1" w:rsidR="00A31BA4" w:rsidRPr="00BD141A" w:rsidRDefault="00591AA0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Primjen</w:t>
      </w:r>
      <w:r w:rsidR="00A31BA4" w:rsidRPr="00BD141A">
        <w:rPr>
          <w:sz w:val="22"/>
          <w:szCs w:val="22"/>
        </w:rPr>
        <w:t xml:space="preserve">a darolutamida (600 mg dva puta dnevno, tokom 5 dana) </w:t>
      </w:r>
      <w:r w:rsidRPr="00BD141A">
        <w:rPr>
          <w:sz w:val="22"/>
          <w:szCs w:val="22"/>
        </w:rPr>
        <w:t>prije</w:t>
      </w:r>
      <w:r w:rsidR="007B475F" w:rsidRPr="00BD141A">
        <w:rPr>
          <w:sz w:val="22"/>
          <w:szCs w:val="22"/>
        </w:rPr>
        <w:t xml:space="preserve"> </w:t>
      </w:r>
      <w:r w:rsidR="00A31BA4" w:rsidRPr="00BD141A">
        <w:rPr>
          <w:sz w:val="22"/>
          <w:szCs w:val="22"/>
        </w:rPr>
        <w:t xml:space="preserve">istovremene </w:t>
      </w:r>
      <w:r w:rsidRPr="00BD141A">
        <w:rPr>
          <w:sz w:val="22"/>
          <w:szCs w:val="22"/>
        </w:rPr>
        <w:t>primjen</w:t>
      </w:r>
      <w:r w:rsidR="00A31BA4" w:rsidRPr="00BD141A">
        <w:rPr>
          <w:sz w:val="22"/>
          <w:szCs w:val="22"/>
        </w:rPr>
        <w:t>e pojedi</w:t>
      </w:r>
      <w:r w:rsidR="00AA2DB9">
        <w:rPr>
          <w:sz w:val="22"/>
          <w:szCs w:val="22"/>
        </w:rPr>
        <w:t>n</w:t>
      </w:r>
      <w:r w:rsidR="00A31BA4" w:rsidRPr="00BD141A">
        <w:rPr>
          <w:sz w:val="22"/>
          <w:szCs w:val="22"/>
        </w:rPr>
        <w:t>a</w:t>
      </w:r>
      <w:r w:rsidR="00A31BA4" w:rsidRPr="00BD141A">
        <w:rPr>
          <w:sz w:val="22"/>
          <w:szCs w:val="22"/>
          <w:lang w:val="sr-Latn-RS"/>
        </w:rPr>
        <w:t>čne doze rosuvastatina (5 mg), uzete</w:t>
      </w:r>
      <w:r w:rsidR="00AA2DB9">
        <w:rPr>
          <w:sz w:val="22"/>
          <w:szCs w:val="22"/>
          <w:lang w:val="sr-Latn-RS"/>
        </w:rPr>
        <w:t xml:space="preserve"> zajedno</w:t>
      </w:r>
      <w:r w:rsidR="00A31BA4" w:rsidRPr="00BD141A">
        <w:rPr>
          <w:sz w:val="22"/>
          <w:szCs w:val="22"/>
          <w:lang w:val="sr-Latn-RS"/>
        </w:rPr>
        <w:t xml:space="preserve"> sa hranom, dovela je do povećanja srednje izloženosti (</w:t>
      </w:r>
      <w:r w:rsidR="00AA2DB9">
        <w:rPr>
          <w:sz w:val="22"/>
          <w:szCs w:val="22"/>
          <w:lang w:val="sr-Latn-RS"/>
        </w:rPr>
        <w:t>PIK</w:t>
      </w:r>
      <w:r w:rsidR="00A31BA4" w:rsidRPr="00BD141A">
        <w:rPr>
          <w:sz w:val="22"/>
          <w:szCs w:val="22"/>
          <w:lang w:val="sr-Latn-RS"/>
        </w:rPr>
        <w:t>) i povećanja C</w:t>
      </w:r>
      <w:r w:rsidR="00A31BA4" w:rsidRPr="00BD141A">
        <w:rPr>
          <w:sz w:val="22"/>
          <w:szCs w:val="22"/>
          <w:vertAlign w:val="subscript"/>
          <w:lang w:val="sr-Latn-RS"/>
        </w:rPr>
        <w:t>max</w:t>
      </w:r>
      <w:r w:rsidR="00A31BA4" w:rsidRPr="00BD141A">
        <w:rPr>
          <w:sz w:val="22"/>
          <w:szCs w:val="22"/>
          <w:lang w:val="sr-Latn-RS"/>
        </w:rPr>
        <w:t xml:space="preserve"> rosuvastatina za oko 5 puta.</w:t>
      </w:r>
    </w:p>
    <w:p w14:paraId="24476457" w14:textId="7CE93613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Potrebno je i</w:t>
      </w:r>
      <w:r w:rsidRPr="00BD141A">
        <w:rPr>
          <w:sz w:val="22"/>
          <w:szCs w:val="22"/>
          <w:lang w:val="sr-Latn-RS"/>
        </w:rPr>
        <w:t>zb</w:t>
      </w:r>
      <w:r w:rsidR="007B475F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 xml:space="preserve">egavati istovremenu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 xml:space="preserve">u darolutamida </w:t>
      </w:r>
      <w:proofErr w:type="gramStart"/>
      <w:r w:rsidRPr="00BD141A">
        <w:rPr>
          <w:sz w:val="22"/>
          <w:szCs w:val="22"/>
          <w:lang w:val="sr-Latn-RS"/>
        </w:rPr>
        <w:t>sa</w:t>
      </w:r>
      <w:proofErr w:type="gramEnd"/>
      <w:r w:rsidRPr="00BD141A">
        <w:rPr>
          <w:sz w:val="22"/>
          <w:szCs w:val="22"/>
          <w:lang w:val="sr-Latn-RS"/>
        </w:rPr>
        <w:t xml:space="preserve"> drugim supstratima BCRP kad god je to moguće. Istovremena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 xml:space="preserve">a darolutamida može dovesti do povećanja koncentracije u plazmi drugih supstrata </w:t>
      </w:r>
      <w:r w:rsidR="00AA2DB9">
        <w:rPr>
          <w:sz w:val="22"/>
          <w:szCs w:val="22"/>
          <w:lang w:val="sr-Latn-RS"/>
        </w:rPr>
        <w:t xml:space="preserve">za </w:t>
      </w:r>
      <w:r w:rsidRPr="00BD141A">
        <w:rPr>
          <w:sz w:val="22"/>
          <w:szCs w:val="22"/>
          <w:lang w:val="sr-Latn-RS"/>
        </w:rPr>
        <w:t xml:space="preserve">BCRP, OATP1B1 i OATP1B3 (npr. metotreksata, sulfasalazina, fluvastatina, atorvastatina, pitavastatina). Zbog toga se preporučuje praćenje pacijenata </w:t>
      </w:r>
      <w:r w:rsidR="00AA2DB9">
        <w:rPr>
          <w:sz w:val="22"/>
          <w:szCs w:val="22"/>
          <w:lang w:val="sr-Latn-RS"/>
        </w:rPr>
        <w:t>na</w:t>
      </w:r>
      <w:r w:rsidRPr="00BD141A">
        <w:rPr>
          <w:sz w:val="22"/>
          <w:szCs w:val="22"/>
          <w:lang w:val="sr-Latn-RS"/>
        </w:rPr>
        <w:t xml:space="preserve"> neželje</w:t>
      </w:r>
      <w:r w:rsidR="00AA2DB9">
        <w:rPr>
          <w:sz w:val="22"/>
          <w:szCs w:val="22"/>
          <w:lang w:val="sr-Latn-RS"/>
        </w:rPr>
        <w:t>ne</w:t>
      </w:r>
      <w:r w:rsidRPr="00BD141A">
        <w:rPr>
          <w:sz w:val="22"/>
          <w:szCs w:val="22"/>
          <w:lang w:val="sr-Latn-RS"/>
        </w:rPr>
        <w:t xml:space="preserve"> reakcij</w:t>
      </w:r>
      <w:r w:rsidR="00AA2DB9">
        <w:rPr>
          <w:sz w:val="22"/>
          <w:szCs w:val="22"/>
          <w:lang w:val="sr-Latn-RS"/>
        </w:rPr>
        <w:t>e</w:t>
      </w:r>
      <w:r w:rsidRPr="00BD141A">
        <w:rPr>
          <w:sz w:val="22"/>
          <w:szCs w:val="22"/>
          <w:lang w:val="sr-Latn-RS"/>
        </w:rPr>
        <w:t xml:space="preserve"> supstrata</w:t>
      </w:r>
      <w:r w:rsidR="00AA2DB9">
        <w:rPr>
          <w:sz w:val="22"/>
          <w:szCs w:val="22"/>
          <w:lang w:val="sr-Latn-RS"/>
        </w:rPr>
        <w:t xml:space="preserve"> za</w:t>
      </w:r>
      <w:r w:rsidRPr="00BD141A">
        <w:rPr>
          <w:sz w:val="22"/>
          <w:szCs w:val="22"/>
          <w:lang w:val="sr-Latn-RS"/>
        </w:rPr>
        <w:t xml:space="preserve"> BCRP, OATP1B1 i OATP1B3. Osim toga, kada se ti supstrati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juju istovremeno sa darolutamidom, potrebno je pratiti odgovarajuće preporuke navedene u sažecima karakteristika l</w:t>
      </w:r>
      <w:r w:rsidR="007B475F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eka za te l</w:t>
      </w:r>
      <w:r w:rsidR="007B475F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ekove.</w:t>
      </w:r>
    </w:p>
    <w:p w14:paraId="61E1187F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1375B780" w14:textId="77777777" w:rsidR="00A31BA4" w:rsidRPr="00BD141A" w:rsidRDefault="00A31BA4" w:rsidP="00A31BA4">
      <w:pPr>
        <w:jc w:val="both"/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</w:rPr>
        <w:t xml:space="preserve">Supstrati P-gp </w:t>
      </w:r>
    </w:p>
    <w:p w14:paraId="260D6A8A" w14:textId="52242238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lastRenderedPageBreak/>
        <w:t xml:space="preserve">Pri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i supstrata</w:t>
      </w:r>
      <w:r w:rsidR="00AA2DB9">
        <w:rPr>
          <w:sz w:val="22"/>
          <w:szCs w:val="22"/>
        </w:rPr>
        <w:t xml:space="preserve"> za</w:t>
      </w:r>
      <w:r w:rsidRPr="00BD141A">
        <w:rPr>
          <w:sz w:val="22"/>
          <w:szCs w:val="22"/>
        </w:rPr>
        <w:t xml:space="preserve"> P-gp ne očekuju se klinički značajne interakcije. Darolutamid se može davati istovremeno sa supstratima P-gp (npr. digoksin, verapamil ili nifedipin). Istovremena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a darolutamida sa dabigatra</w:t>
      </w:r>
      <w:r w:rsidR="00395F0A">
        <w:rPr>
          <w:sz w:val="22"/>
          <w:szCs w:val="22"/>
        </w:rPr>
        <w:t>n</w:t>
      </w:r>
      <w:r w:rsidRPr="00BD141A">
        <w:rPr>
          <w:sz w:val="22"/>
          <w:szCs w:val="22"/>
        </w:rPr>
        <w:t>ene</w:t>
      </w:r>
      <w:r w:rsidR="00AA2DB9">
        <w:rPr>
          <w:sz w:val="22"/>
          <w:szCs w:val="22"/>
        </w:rPr>
        <w:t>te</w:t>
      </w:r>
      <w:r w:rsidRPr="00BD141A">
        <w:rPr>
          <w:sz w:val="22"/>
          <w:szCs w:val="22"/>
        </w:rPr>
        <w:t>ksilatom, os</w:t>
      </w:r>
      <w:r w:rsidR="007B475F" w:rsidRPr="00BD141A">
        <w:rPr>
          <w:sz w:val="22"/>
          <w:szCs w:val="22"/>
        </w:rPr>
        <w:t>j</w:t>
      </w:r>
      <w:r w:rsidRPr="00BD141A">
        <w:rPr>
          <w:sz w:val="22"/>
          <w:szCs w:val="22"/>
        </w:rPr>
        <w:t>etljivim supstratom P-gp, nije dovela do</w:t>
      </w:r>
      <w:r w:rsidRPr="00BD141A">
        <w:rPr>
          <w:sz w:val="22"/>
          <w:szCs w:val="22"/>
          <w:lang w:val="sr-Latn-RS"/>
        </w:rPr>
        <w:t xml:space="preserve"> povećanja izloženosti (</w:t>
      </w:r>
      <w:r w:rsidR="00AA2DB9">
        <w:rPr>
          <w:sz w:val="22"/>
          <w:szCs w:val="22"/>
          <w:lang w:val="sr-Latn-RS"/>
        </w:rPr>
        <w:t>PIK</w:t>
      </w:r>
      <w:r w:rsidRPr="00BD141A">
        <w:rPr>
          <w:sz w:val="22"/>
          <w:szCs w:val="22"/>
          <w:lang w:val="sr-Latn-RS"/>
        </w:rPr>
        <w:t xml:space="preserve"> i C</w:t>
      </w:r>
      <w:r w:rsidRPr="00BD141A">
        <w:rPr>
          <w:sz w:val="22"/>
          <w:szCs w:val="22"/>
          <w:vertAlign w:val="subscript"/>
          <w:lang w:val="sr-Latn-RS"/>
        </w:rPr>
        <w:t>max</w:t>
      </w:r>
      <w:r w:rsidRPr="00BD141A">
        <w:rPr>
          <w:sz w:val="22"/>
          <w:szCs w:val="22"/>
          <w:lang w:val="sr-Latn-RS"/>
        </w:rPr>
        <w:t>) dabigatranu</w:t>
      </w:r>
      <w:r w:rsidRPr="00BD141A">
        <w:rPr>
          <w:sz w:val="22"/>
          <w:szCs w:val="22"/>
        </w:rPr>
        <w:t>.</w:t>
      </w:r>
    </w:p>
    <w:p w14:paraId="6BBCFD15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4C45FD5F" w14:textId="77777777" w:rsidR="00A31BA4" w:rsidRPr="00BD141A" w:rsidRDefault="00A31BA4" w:rsidP="00A31BA4">
      <w:pPr>
        <w:jc w:val="both"/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</w:rPr>
        <w:t>Supstrati CYP3A4</w:t>
      </w:r>
    </w:p>
    <w:p w14:paraId="34161156" w14:textId="77777777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Darolutamid je blagi induktor CYP3A4.</w:t>
      </w:r>
    </w:p>
    <w:p w14:paraId="4DA3D254" w14:textId="73198F5F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 xml:space="preserve">Pri istovremenoj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i sa supstra</w:t>
      </w:r>
      <w:r w:rsidR="00AA2DB9">
        <w:rPr>
          <w:sz w:val="22"/>
          <w:szCs w:val="22"/>
        </w:rPr>
        <w:t>t</w:t>
      </w:r>
      <w:r w:rsidRPr="00BD141A">
        <w:rPr>
          <w:sz w:val="22"/>
          <w:szCs w:val="22"/>
        </w:rPr>
        <w:t>ima CYP ne očekuju se klinički značajne interakcije. Darolutamid se može davati istovremeno sa supstratima CYP (npr. varfarin, L-tiroksin, omeprazol).</w:t>
      </w:r>
    </w:p>
    <w:p w14:paraId="20C8C24D" w14:textId="2DA0F302" w:rsidR="00A31BA4" w:rsidRPr="00BD141A" w:rsidRDefault="00591AA0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Primjen</w:t>
      </w:r>
      <w:r w:rsidR="00A31BA4" w:rsidRPr="00BD141A">
        <w:rPr>
          <w:sz w:val="22"/>
          <w:szCs w:val="22"/>
        </w:rPr>
        <w:t xml:space="preserve">a darolutamida (600 mg dva puta dnevno, tokom 9 dana) </w:t>
      </w:r>
      <w:r w:rsidRPr="00BD141A">
        <w:rPr>
          <w:sz w:val="22"/>
          <w:szCs w:val="22"/>
        </w:rPr>
        <w:t>prije</w:t>
      </w:r>
      <w:r w:rsidR="007B475F" w:rsidRPr="00BD141A">
        <w:rPr>
          <w:sz w:val="22"/>
          <w:szCs w:val="22"/>
        </w:rPr>
        <w:t xml:space="preserve"> </w:t>
      </w:r>
      <w:r w:rsidR="00A31BA4" w:rsidRPr="00BD141A">
        <w:rPr>
          <w:sz w:val="22"/>
          <w:szCs w:val="22"/>
        </w:rPr>
        <w:t xml:space="preserve">istovremene </w:t>
      </w:r>
      <w:r w:rsidRPr="00BD141A">
        <w:rPr>
          <w:sz w:val="22"/>
          <w:szCs w:val="22"/>
        </w:rPr>
        <w:t>primjen</w:t>
      </w:r>
      <w:r w:rsidR="00A31BA4" w:rsidRPr="00BD141A">
        <w:rPr>
          <w:sz w:val="22"/>
          <w:szCs w:val="22"/>
        </w:rPr>
        <w:t xml:space="preserve">e </w:t>
      </w:r>
      <w:r w:rsidR="00A31BA4" w:rsidRPr="00BD141A">
        <w:rPr>
          <w:sz w:val="22"/>
          <w:szCs w:val="22"/>
          <w:lang w:val="sr-Latn-RS"/>
        </w:rPr>
        <w:t xml:space="preserve">pojedinačne doze </w:t>
      </w:r>
      <w:r w:rsidR="0009502F" w:rsidRPr="00BD141A">
        <w:rPr>
          <w:sz w:val="22"/>
          <w:szCs w:val="22"/>
          <w:lang w:val="sr-Latn-RS"/>
        </w:rPr>
        <w:t>osjetljivog supstrata CYP3A4</w:t>
      </w:r>
      <w:r w:rsidR="0009502F">
        <w:rPr>
          <w:sz w:val="22"/>
          <w:szCs w:val="22"/>
          <w:lang w:val="sr-Latn-RS"/>
        </w:rPr>
        <w:t xml:space="preserve"> </w:t>
      </w:r>
      <w:r w:rsidR="00A31BA4" w:rsidRPr="00BD141A">
        <w:rPr>
          <w:sz w:val="22"/>
          <w:szCs w:val="22"/>
          <w:lang w:val="sr-Latn-RS"/>
        </w:rPr>
        <w:t xml:space="preserve">midazolama (1 mg), uzete </w:t>
      </w:r>
      <w:r w:rsidR="00AA2DB9">
        <w:rPr>
          <w:sz w:val="22"/>
          <w:szCs w:val="22"/>
          <w:lang w:val="sr-Latn-RS"/>
        </w:rPr>
        <w:t xml:space="preserve">zajedno </w:t>
      </w:r>
      <w:r w:rsidR="00A31BA4" w:rsidRPr="00BD141A">
        <w:rPr>
          <w:sz w:val="22"/>
          <w:szCs w:val="22"/>
          <w:lang w:val="sr-Latn-RS"/>
        </w:rPr>
        <w:t>sa hranom, dovela je do smanjenja srednje izloženosti (</w:t>
      </w:r>
      <w:r w:rsidR="00AA2DB9">
        <w:rPr>
          <w:sz w:val="22"/>
          <w:szCs w:val="22"/>
          <w:lang w:val="sr-Latn-RS"/>
        </w:rPr>
        <w:t>PIK</w:t>
      </w:r>
      <w:r w:rsidR="00A31BA4" w:rsidRPr="00BD141A">
        <w:rPr>
          <w:sz w:val="22"/>
          <w:szCs w:val="22"/>
          <w:lang w:val="sr-Latn-RS"/>
        </w:rPr>
        <w:t>) i C</w:t>
      </w:r>
      <w:r w:rsidR="00A31BA4" w:rsidRPr="00BD141A">
        <w:rPr>
          <w:sz w:val="22"/>
          <w:szCs w:val="22"/>
          <w:vertAlign w:val="subscript"/>
          <w:lang w:val="sr-Latn-RS"/>
        </w:rPr>
        <w:t>max</w:t>
      </w:r>
      <w:r w:rsidR="00A31BA4" w:rsidRPr="00BD141A">
        <w:rPr>
          <w:sz w:val="22"/>
          <w:szCs w:val="22"/>
          <w:lang w:val="sr-Latn-RS"/>
        </w:rPr>
        <w:t xml:space="preserve"> midazolama za 29%, odnosno 32%. </w:t>
      </w:r>
    </w:p>
    <w:p w14:paraId="50D2B905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Darolutamid nije inhibirao metabolizam izabranih supstrata CYP </w:t>
      </w:r>
      <w:r w:rsidRPr="00BD141A">
        <w:rPr>
          <w:i/>
          <w:iCs/>
          <w:sz w:val="22"/>
          <w:szCs w:val="22"/>
          <w:lang w:val="sr-Latn-RS"/>
        </w:rPr>
        <w:t>in vitro</w:t>
      </w:r>
      <w:r w:rsidRPr="00BD141A">
        <w:rPr>
          <w:sz w:val="22"/>
          <w:szCs w:val="22"/>
          <w:lang w:val="sr-Latn-RS"/>
        </w:rPr>
        <w:t xml:space="preserve"> pri klinički značajnim koncentracijama.</w:t>
      </w:r>
    </w:p>
    <w:p w14:paraId="04FD687A" w14:textId="77777777" w:rsidR="00C52015" w:rsidRPr="00C52015" w:rsidRDefault="00C52015" w:rsidP="00C52015">
      <w:pPr>
        <w:jc w:val="both"/>
        <w:rPr>
          <w:sz w:val="22"/>
          <w:szCs w:val="22"/>
          <w:lang w:val="sr-Latn-RS"/>
        </w:rPr>
      </w:pPr>
    </w:p>
    <w:p w14:paraId="089DC9A5" w14:textId="77777777" w:rsidR="00C52015" w:rsidRPr="00C52015" w:rsidRDefault="00C52015" w:rsidP="00C52015">
      <w:pPr>
        <w:jc w:val="both"/>
        <w:rPr>
          <w:sz w:val="22"/>
          <w:szCs w:val="22"/>
          <w:lang w:val="sr-Latn-RS"/>
        </w:rPr>
      </w:pPr>
      <w:r w:rsidRPr="00C52015">
        <w:rPr>
          <w:i/>
          <w:iCs/>
          <w:sz w:val="22"/>
          <w:szCs w:val="22"/>
          <w:lang w:val="sr-Latn-RS"/>
        </w:rPr>
        <w:t>Docetaksel</w:t>
      </w:r>
    </w:p>
    <w:p w14:paraId="284D70B2" w14:textId="599BA2B4" w:rsidR="00C52015" w:rsidRPr="00C52015" w:rsidRDefault="00C52015" w:rsidP="00C52015">
      <w:pPr>
        <w:jc w:val="both"/>
        <w:rPr>
          <w:sz w:val="22"/>
          <w:szCs w:val="22"/>
          <w:lang w:val="sr-Latn-RS"/>
        </w:rPr>
      </w:pPr>
      <w:r w:rsidRPr="00C52015">
        <w:rPr>
          <w:sz w:val="22"/>
          <w:szCs w:val="22"/>
          <w:lang w:val="sr-Latn-RS"/>
        </w:rPr>
        <w:t>Prim</w:t>
      </w:r>
      <w:r>
        <w:rPr>
          <w:sz w:val="22"/>
          <w:szCs w:val="22"/>
          <w:lang w:val="sr-Latn-RS"/>
        </w:rPr>
        <w:t>j</w:t>
      </w:r>
      <w:r w:rsidRPr="00C52015">
        <w:rPr>
          <w:sz w:val="22"/>
          <w:szCs w:val="22"/>
          <w:lang w:val="sr-Latn-RS"/>
        </w:rPr>
        <w:t>ena darolutamida u kombinaciji sa docetakselom nije dovela do klinički značajnih prom</w:t>
      </w:r>
      <w:r>
        <w:rPr>
          <w:sz w:val="22"/>
          <w:szCs w:val="22"/>
          <w:lang w:val="sr-Latn-RS"/>
        </w:rPr>
        <w:t>j</w:t>
      </w:r>
      <w:r w:rsidRPr="00C52015">
        <w:rPr>
          <w:sz w:val="22"/>
          <w:szCs w:val="22"/>
          <w:lang w:val="sr-Latn-RS"/>
        </w:rPr>
        <w:t>ena u farmakokinetici docetaksela kod pacijenata sa mHSPC (vid</w:t>
      </w:r>
      <w:r>
        <w:rPr>
          <w:sz w:val="22"/>
          <w:szCs w:val="22"/>
          <w:lang w:val="sr-Latn-RS"/>
        </w:rPr>
        <w:t>j</w:t>
      </w:r>
      <w:r w:rsidRPr="00C52015">
        <w:rPr>
          <w:sz w:val="22"/>
          <w:szCs w:val="22"/>
          <w:lang w:val="sr-Latn-RS"/>
        </w:rPr>
        <w:t xml:space="preserve">eti </w:t>
      </w:r>
      <w:r>
        <w:rPr>
          <w:sz w:val="22"/>
          <w:szCs w:val="22"/>
          <w:lang w:val="sr-Latn-RS"/>
        </w:rPr>
        <w:t>dio</w:t>
      </w:r>
      <w:r w:rsidRPr="00C52015">
        <w:rPr>
          <w:sz w:val="22"/>
          <w:szCs w:val="22"/>
          <w:lang w:val="sr-Latn-RS"/>
        </w:rPr>
        <w:t xml:space="preserve"> 5.1).</w:t>
      </w:r>
    </w:p>
    <w:p w14:paraId="3F10E5BC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064A2CE0" w14:textId="09F92234" w:rsidR="00A31BA4" w:rsidRPr="009927B0" w:rsidRDefault="00A31BA4" w:rsidP="00A31BA4">
      <w:pPr>
        <w:jc w:val="both"/>
        <w:rPr>
          <w:sz w:val="22"/>
          <w:szCs w:val="22"/>
          <w:u w:val="single"/>
          <w:lang w:val="sr-Latn-RS"/>
        </w:rPr>
      </w:pPr>
      <w:r w:rsidRPr="009927B0">
        <w:rPr>
          <w:sz w:val="22"/>
          <w:szCs w:val="22"/>
          <w:u w:val="single"/>
        </w:rPr>
        <w:t>L</w:t>
      </w:r>
      <w:r w:rsidR="007B475F" w:rsidRPr="009927B0">
        <w:rPr>
          <w:sz w:val="22"/>
          <w:szCs w:val="22"/>
          <w:u w:val="single"/>
        </w:rPr>
        <w:t>j</w:t>
      </w:r>
      <w:r w:rsidRPr="009927B0">
        <w:rPr>
          <w:sz w:val="22"/>
          <w:szCs w:val="22"/>
          <w:u w:val="single"/>
        </w:rPr>
        <w:t>ekovi koji p</w:t>
      </w:r>
      <w:r w:rsidRPr="009927B0">
        <w:rPr>
          <w:sz w:val="22"/>
          <w:szCs w:val="22"/>
          <w:u w:val="single"/>
          <w:lang w:val="sr-Latn-RS"/>
        </w:rPr>
        <w:t>rodužavaju QT interval</w:t>
      </w:r>
    </w:p>
    <w:p w14:paraId="012D07CD" w14:textId="77777777" w:rsidR="00C52015" w:rsidRDefault="00C52015" w:rsidP="00A31BA4">
      <w:pPr>
        <w:jc w:val="both"/>
        <w:rPr>
          <w:sz w:val="22"/>
          <w:szCs w:val="22"/>
          <w:lang w:val="sr-Latn-RS"/>
        </w:rPr>
      </w:pPr>
    </w:p>
    <w:p w14:paraId="66A83D1A" w14:textId="42BDA9EF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  <w:lang w:val="sr-Latn-RS"/>
        </w:rPr>
        <w:t xml:space="preserve">Obzirom da terapija </w:t>
      </w:r>
      <w:r w:rsidR="0009502F">
        <w:rPr>
          <w:sz w:val="22"/>
          <w:szCs w:val="22"/>
          <w:lang w:val="sr-Latn-RS"/>
        </w:rPr>
        <w:t>androgenom</w:t>
      </w:r>
      <w:r w:rsidR="0009502F" w:rsidRPr="00BD141A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>deprivacij</w:t>
      </w:r>
      <w:r w:rsidR="0009502F">
        <w:rPr>
          <w:sz w:val="22"/>
          <w:szCs w:val="22"/>
          <w:lang w:val="sr-Latn-RS"/>
        </w:rPr>
        <w:t>om</w:t>
      </w:r>
      <w:r w:rsidRPr="00BD141A">
        <w:rPr>
          <w:sz w:val="22"/>
          <w:szCs w:val="22"/>
          <w:lang w:val="sr-Latn-RS"/>
        </w:rPr>
        <w:t xml:space="preserve"> može dovesti do produženja QT intervala, potrebno je pažljivo </w:t>
      </w:r>
      <w:r w:rsidR="007B475F" w:rsidRPr="00BD141A">
        <w:rPr>
          <w:sz w:val="22"/>
          <w:szCs w:val="22"/>
          <w:lang w:val="sr-Latn-RS"/>
        </w:rPr>
        <w:t>procijeniti</w:t>
      </w:r>
      <w:r w:rsidRPr="00BD141A">
        <w:rPr>
          <w:sz w:val="22"/>
          <w:szCs w:val="22"/>
          <w:lang w:val="sr-Latn-RS"/>
        </w:rPr>
        <w:t xml:space="preserve"> istovremenu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 xml:space="preserve">u sa </w:t>
      </w:r>
      <w:r w:rsidR="007B475F" w:rsidRPr="00BD141A">
        <w:rPr>
          <w:sz w:val="22"/>
          <w:szCs w:val="22"/>
          <w:lang w:val="sr-Latn-RS"/>
        </w:rPr>
        <w:t>ljekovi</w:t>
      </w:r>
      <w:r w:rsidRPr="00BD141A">
        <w:rPr>
          <w:sz w:val="22"/>
          <w:szCs w:val="22"/>
          <w:lang w:val="sr-Latn-RS"/>
        </w:rPr>
        <w:t xml:space="preserve">ma za koje se zna da produžavaju QT interval ili </w:t>
      </w:r>
      <w:r w:rsidR="007B475F" w:rsidRPr="00BD141A">
        <w:rPr>
          <w:sz w:val="22"/>
          <w:szCs w:val="22"/>
          <w:lang w:val="sr-Latn-RS"/>
        </w:rPr>
        <w:t>ljekovi</w:t>
      </w:r>
      <w:r w:rsidRPr="00BD141A">
        <w:rPr>
          <w:sz w:val="22"/>
          <w:szCs w:val="22"/>
          <w:lang w:val="sr-Latn-RS"/>
        </w:rPr>
        <w:t xml:space="preserve">ma koji mogu da indukuju pojavu </w:t>
      </w:r>
      <w:r w:rsidRPr="00BD141A">
        <w:rPr>
          <w:i/>
          <w:iCs/>
          <w:sz w:val="22"/>
          <w:szCs w:val="22"/>
          <w:lang w:val="sr-Latn-RS"/>
        </w:rPr>
        <w:t>torsade de pointes</w:t>
      </w:r>
      <w:r w:rsidRPr="00BD141A">
        <w:rPr>
          <w:sz w:val="22"/>
          <w:szCs w:val="22"/>
          <w:lang w:val="sr-Latn-RS"/>
        </w:rPr>
        <w:t>. To uključuje l</w:t>
      </w:r>
      <w:r w:rsidR="007B475F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 xml:space="preserve">ekove kao što su antiaritmici IA grupe (npr. </w:t>
      </w:r>
      <w:r w:rsidR="00AA2DB9">
        <w:rPr>
          <w:sz w:val="22"/>
          <w:szCs w:val="22"/>
          <w:lang w:val="sr-Latn-RS"/>
        </w:rPr>
        <w:t>kv</w:t>
      </w:r>
      <w:r w:rsidRPr="00BD141A">
        <w:rPr>
          <w:sz w:val="22"/>
          <w:szCs w:val="22"/>
          <w:lang w:val="sr-Latn-RS"/>
        </w:rPr>
        <w:t>inidin, dizopiramid) ili III grupe (npr. amjodaron, sotalol, dofetilid, ibutilid), metadon, moksifloksacin i antipsihotici (npr. haloperidol).</w:t>
      </w:r>
    </w:p>
    <w:p w14:paraId="5EAD5C03" w14:textId="77777777" w:rsidR="00A31BA4" w:rsidRPr="00BD141A" w:rsidRDefault="00A31BA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0F038F4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BD141A">
        <w:rPr>
          <w:b/>
          <w:bCs/>
          <w:sz w:val="22"/>
          <w:szCs w:val="22"/>
        </w:rPr>
        <w:t xml:space="preserve">4.6. </w:t>
      </w:r>
      <w:r w:rsidR="00480FB1" w:rsidRPr="00BD141A">
        <w:rPr>
          <w:b/>
          <w:bCs/>
          <w:sz w:val="22"/>
          <w:szCs w:val="22"/>
        </w:rPr>
        <w:tab/>
      </w:r>
      <w:r w:rsidR="006D20A5" w:rsidRPr="00BD141A">
        <w:rPr>
          <w:b/>
          <w:sz w:val="22"/>
          <w:szCs w:val="22"/>
          <w:lang w:val="sr-Latn-CS"/>
        </w:rPr>
        <w:t>Plodnost, trudnoća i dojenje</w:t>
      </w:r>
    </w:p>
    <w:p w14:paraId="6AC5A1BC" w14:textId="77777777" w:rsidR="002031B3" w:rsidRPr="00BD141A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</w:p>
    <w:p w14:paraId="23F7732A" w14:textId="78E882E9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Ovaj l</w:t>
      </w:r>
      <w:r w:rsidR="007B475F" w:rsidRPr="00BD141A">
        <w:rPr>
          <w:sz w:val="22"/>
          <w:szCs w:val="22"/>
        </w:rPr>
        <w:t>ij</w:t>
      </w:r>
      <w:r w:rsidRPr="00BD141A">
        <w:rPr>
          <w:sz w:val="22"/>
          <w:szCs w:val="22"/>
        </w:rPr>
        <w:t xml:space="preserve">ek nije indikovan kod </w:t>
      </w:r>
      <w:r w:rsidRPr="00BD141A">
        <w:rPr>
          <w:sz w:val="22"/>
          <w:szCs w:val="22"/>
          <w:lang w:val="sr-Latn-RS"/>
        </w:rPr>
        <w:t xml:space="preserve">žena </w:t>
      </w:r>
      <w:r w:rsidR="00AA2DB9">
        <w:rPr>
          <w:sz w:val="22"/>
          <w:szCs w:val="22"/>
          <w:lang w:val="sr-Latn-RS"/>
        </w:rPr>
        <w:t xml:space="preserve">koje su </w:t>
      </w:r>
      <w:r w:rsidRPr="00BD141A">
        <w:rPr>
          <w:sz w:val="22"/>
          <w:szCs w:val="22"/>
          <w:lang w:val="sr-Latn-RS"/>
        </w:rPr>
        <w:t>u reproduktivnom periodu. Ne sm</w:t>
      </w:r>
      <w:r w:rsidR="007B475F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 xml:space="preserve">e se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jivati kod trudnica ili žena koje bi mogle biti trudne niti kod do</w:t>
      </w:r>
      <w:r w:rsidR="00AA2DB9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ilja (</w:t>
      </w:r>
      <w:r w:rsidR="00591AA0" w:rsidRPr="00BD141A">
        <w:rPr>
          <w:sz w:val="22"/>
          <w:szCs w:val="22"/>
          <w:lang w:val="sr-Latn-RS"/>
        </w:rPr>
        <w:t>vidjet</w:t>
      </w:r>
      <w:r w:rsidRPr="00BD141A">
        <w:rPr>
          <w:sz w:val="22"/>
          <w:szCs w:val="22"/>
          <w:lang w:val="sr-Latn-RS"/>
        </w:rPr>
        <w:t xml:space="preserve">i </w:t>
      </w:r>
      <w:r w:rsidR="007B475F" w:rsidRPr="00BD141A">
        <w:rPr>
          <w:sz w:val="22"/>
          <w:szCs w:val="22"/>
          <w:lang w:val="sr-Latn-RS"/>
        </w:rPr>
        <w:t>djelove</w:t>
      </w:r>
      <w:r w:rsidRPr="00BD141A">
        <w:rPr>
          <w:sz w:val="22"/>
          <w:szCs w:val="22"/>
          <w:lang w:val="sr-Latn-RS"/>
        </w:rPr>
        <w:t xml:space="preserve"> 4.1 i 4.3).</w:t>
      </w:r>
    </w:p>
    <w:p w14:paraId="6709CD73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7E1BA1A5" w14:textId="31AC4355" w:rsidR="00A31BA4" w:rsidRPr="00BD141A" w:rsidRDefault="00A31BA4" w:rsidP="00A31BA4">
      <w:pPr>
        <w:jc w:val="both"/>
        <w:rPr>
          <w:sz w:val="22"/>
          <w:szCs w:val="22"/>
          <w:u w:val="single"/>
          <w:lang w:val="sr-Latn-RS"/>
        </w:rPr>
      </w:pPr>
      <w:r w:rsidRPr="00BD141A">
        <w:rPr>
          <w:sz w:val="22"/>
          <w:szCs w:val="22"/>
          <w:u w:val="single"/>
          <w:lang w:val="sr-Latn-RS"/>
        </w:rPr>
        <w:t>Žene u reproduktiv</w:t>
      </w:r>
      <w:r w:rsidR="00465EC3">
        <w:rPr>
          <w:sz w:val="22"/>
          <w:szCs w:val="22"/>
          <w:u w:val="single"/>
          <w:lang w:val="sr-Latn-RS"/>
        </w:rPr>
        <w:t>n</w:t>
      </w:r>
      <w:r w:rsidRPr="00BD141A">
        <w:rPr>
          <w:sz w:val="22"/>
          <w:szCs w:val="22"/>
          <w:u w:val="single"/>
          <w:lang w:val="sr-Latn-RS"/>
        </w:rPr>
        <w:t>om periodu / kontracepcija kod muškaraca i žena</w:t>
      </w:r>
    </w:p>
    <w:p w14:paraId="0515343A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19813D29" w14:textId="43A6DB83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Nije poznato da li s</w:t>
      </w:r>
      <w:r w:rsidR="00395F0A">
        <w:rPr>
          <w:sz w:val="22"/>
          <w:szCs w:val="22"/>
          <w:lang w:val="sr-Latn-RS"/>
        </w:rPr>
        <w:t>u</w:t>
      </w:r>
      <w:r w:rsidRPr="00BD141A">
        <w:rPr>
          <w:sz w:val="22"/>
          <w:szCs w:val="22"/>
          <w:lang w:val="sr-Latn-RS"/>
        </w:rPr>
        <w:t xml:space="preserve"> darolutamid ili njegovi metaboliti </w:t>
      </w:r>
      <w:r w:rsidR="00395F0A">
        <w:rPr>
          <w:sz w:val="22"/>
          <w:szCs w:val="22"/>
          <w:lang w:val="sr-Latn-RS"/>
        </w:rPr>
        <w:t>prisutni</w:t>
      </w:r>
      <w:r w:rsidR="00395F0A" w:rsidRPr="00BD141A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>u s</w:t>
      </w:r>
      <w:r w:rsidR="00C51C6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emenoj tečnosti. Ukoliko je pacijent seksualno aktivan sa ženom</w:t>
      </w:r>
      <w:r w:rsidR="00AA2DB9">
        <w:rPr>
          <w:sz w:val="22"/>
          <w:szCs w:val="22"/>
          <w:lang w:val="sr-Latn-RS"/>
        </w:rPr>
        <w:t xml:space="preserve"> koja je</w:t>
      </w:r>
      <w:r w:rsidRPr="00BD141A">
        <w:rPr>
          <w:sz w:val="22"/>
          <w:szCs w:val="22"/>
          <w:lang w:val="sr-Latn-RS"/>
        </w:rPr>
        <w:t xml:space="preserve"> u reproduktiv</w:t>
      </w:r>
      <w:r w:rsidR="00465EC3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>om periodu, tokom terapije i ned</w:t>
      </w:r>
      <w:r w:rsidR="00C51C6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 xml:space="preserve">elju dana nakon završetka terapije </w:t>
      </w:r>
      <w:r w:rsidR="007B475F" w:rsidRPr="00BD141A">
        <w:rPr>
          <w:sz w:val="22"/>
          <w:szCs w:val="22"/>
          <w:lang w:val="sr-Latn-RS"/>
        </w:rPr>
        <w:t>lijek</w:t>
      </w:r>
      <w:r w:rsidRPr="00BD141A">
        <w:rPr>
          <w:sz w:val="22"/>
          <w:szCs w:val="22"/>
          <w:lang w:val="sr-Latn-RS"/>
        </w:rPr>
        <w:t xml:space="preserve">om NUBEQA potrebno je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jivati visoko ef</w:t>
      </w:r>
      <w:r w:rsidR="00AA2DB9">
        <w:rPr>
          <w:sz w:val="22"/>
          <w:szCs w:val="22"/>
          <w:lang w:val="sr-Latn-RS"/>
        </w:rPr>
        <w:t>ektivnu</w:t>
      </w:r>
      <w:r w:rsidRPr="00BD141A">
        <w:rPr>
          <w:sz w:val="22"/>
          <w:szCs w:val="22"/>
          <w:lang w:val="sr-Latn-RS"/>
        </w:rPr>
        <w:t xml:space="preserve"> metodu kontracepcije (stopa neusp</w:t>
      </w:r>
      <w:r w:rsidR="00C51C6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eha tokom jedne godine &lt;1%) kako bi se spr</w:t>
      </w:r>
      <w:r w:rsidR="00465EC3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ečila trudnoća.</w:t>
      </w:r>
    </w:p>
    <w:p w14:paraId="0E140831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318AFF6B" w14:textId="77777777" w:rsidR="00A31BA4" w:rsidRPr="00BD141A" w:rsidRDefault="00A31BA4" w:rsidP="00A31BA4">
      <w:pPr>
        <w:jc w:val="both"/>
        <w:rPr>
          <w:sz w:val="22"/>
          <w:szCs w:val="22"/>
          <w:u w:val="single"/>
          <w:lang w:val="sr-Latn-RS"/>
        </w:rPr>
      </w:pPr>
      <w:r w:rsidRPr="00BD141A">
        <w:rPr>
          <w:sz w:val="22"/>
          <w:szCs w:val="22"/>
          <w:u w:val="single"/>
          <w:lang w:val="sr-Latn-RS"/>
        </w:rPr>
        <w:t>Trudnoća</w:t>
      </w:r>
    </w:p>
    <w:p w14:paraId="3C756784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7F10FCE7" w14:textId="36100F2F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Na os</w:t>
      </w:r>
      <w:r w:rsidR="00465EC3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>ovu mehanizma d</w:t>
      </w:r>
      <w:r w:rsidR="00C51C6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elovanja, darolutamid može</w:t>
      </w:r>
      <w:r w:rsidR="00AA2DB9">
        <w:rPr>
          <w:sz w:val="22"/>
          <w:szCs w:val="22"/>
          <w:lang w:val="sr-Latn-RS"/>
        </w:rPr>
        <w:t xml:space="preserve"> da</w:t>
      </w:r>
      <w:r w:rsidRPr="00BD141A">
        <w:rPr>
          <w:sz w:val="22"/>
          <w:szCs w:val="22"/>
          <w:lang w:val="sr-Latn-RS"/>
        </w:rPr>
        <w:t xml:space="preserve"> uzrok</w:t>
      </w:r>
      <w:r w:rsidR="00AA2DB9">
        <w:rPr>
          <w:sz w:val="22"/>
          <w:szCs w:val="22"/>
          <w:lang w:val="sr-Latn-RS"/>
        </w:rPr>
        <w:t>uje</w:t>
      </w:r>
      <w:r w:rsidRPr="00BD141A">
        <w:rPr>
          <w:sz w:val="22"/>
          <w:szCs w:val="22"/>
          <w:lang w:val="sr-Latn-RS"/>
        </w:rPr>
        <w:t xml:space="preserve"> štetne efekte na fetus. </w:t>
      </w:r>
      <w:r w:rsidR="00591AA0" w:rsidRPr="00BD141A">
        <w:rPr>
          <w:sz w:val="22"/>
          <w:szCs w:val="22"/>
          <w:lang w:val="sr-Latn-RS"/>
        </w:rPr>
        <w:t>Nijesu</w:t>
      </w:r>
      <w:r w:rsidRPr="00BD141A">
        <w:rPr>
          <w:sz w:val="22"/>
          <w:szCs w:val="22"/>
          <w:lang w:val="sr-Latn-RS"/>
        </w:rPr>
        <w:t xml:space="preserve"> sprovođena pre</w:t>
      </w:r>
      <w:r w:rsidR="00AA2DB9">
        <w:rPr>
          <w:sz w:val="22"/>
          <w:szCs w:val="22"/>
          <w:lang w:val="sr-Latn-RS"/>
        </w:rPr>
        <w:t>t</w:t>
      </w:r>
      <w:r w:rsidRPr="00BD141A">
        <w:rPr>
          <w:sz w:val="22"/>
          <w:szCs w:val="22"/>
          <w:lang w:val="sr-Latn-RS"/>
        </w:rPr>
        <w:t>klinička ispitivanja reproduktivne toksičnosti (</w:t>
      </w:r>
      <w:r w:rsidR="00591AA0" w:rsidRPr="00BD141A">
        <w:rPr>
          <w:sz w:val="22"/>
          <w:szCs w:val="22"/>
          <w:lang w:val="sr-Latn-RS"/>
        </w:rPr>
        <w:t>vidjet</w:t>
      </w:r>
      <w:r w:rsidRPr="00BD141A">
        <w:rPr>
          <w:sz w:val="22"/>
          <w:szCs w:val="22"/>
          <w:lang w:val="sr-Latn-RS"/>
        </w:rPr>
        <w:t xml:space="preserve">i </w:t>
      </w:r>
      <w:r w:rsidR="007B475F" w:rsidRPr="00BD141A">
        <w:rPr>
          <w:sz w:val="22"/>
          <w:szCs w:val="22"/>
          <w:lang w:val="sr-Latn-RS"/>
        </w:rPr>
        <w:t>dio</w:t>
      </w:r>
      <w:r w:rsidRPr="00BD141A">
        <w:rPr>
          <w:sz w:val="22"/>
          <w:szCs w:val="22"/>
          <w:lang w:val="sr-Latn-RS"/>
        </w:rPr>
        <w:t xml:space="preserve"> 5.3).</w:t>
      </w:r>
    </w:p>
    <w:p w14:paraId="49C334D6" w14:textId="7D52734F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Nije poznato da li s</w:t>
      </w:r>
      <w:r w:rsidR="00303CA0">
        <w:rPr>
          <w:sz w:val="22"/>
          <w:szCs w:val="22"/>
          <w:lang w:val="sr-Latn-RS"/>
        </w:rPr>
        <w:t>u</w:t>
      </w:r>
      <w:r w:rsidRPr="00BD141A">
        <w:rPr>
          <w:sz w:val="22"/>
          <w:szCs w:val="22"/>
          <w:lang w:val="sr-Latn-RS"/>
        </w:rPr>
        <w:t xml:space="preserve"> darolutamid ili njegovi metaboliti </w:t>
      </w:r>
      <w:r w:rsidR="00303CA0">
        <w:rPr>
          <w:sz w:val="22"/>
          <w:szCs w:val="22"/>
          <w:lang w:val="sr-Latn-RS"/>
        </w:rPr>
        <w:t>prisutni</w:t>
      </w:r>
      <w:r w:rsidR="00303CA0" w:rsidRPr="00BD141A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 xml:space="preserve">u </w:t>
      </w:r>
      <w:r w:rsidR="00C51C60" w:rsidRPr="00BD141A">
        <w:rPr>
          <w:sz w:val="22"/>
          <w:szCs w:val="22"/>
          <w:lang w:val="sr-Latn-RS"/>
        </w:rPr>
        <w:t>sjeme</w:t>
      </w:r>
      <w:r w:rsidRPr="00BD141A">
        <w:rPr>
          <w:sz w:val="22"/>
          <w:szCs w:val="22"/>
          <w:lang w:val="sr-Latn-RS"/>
        </w:rPr>
        <w:t>noj tečnosti. Ukoliko je pacijent seksual</w:t>
      </w:r>
      <w:r w:rsidR="00AA2DB9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 xml:space="preserve">o aktivan sa ženom </w:t>
      </w:r>
      <w:r w:rsidR="00AA2DB9">
        <w:rPr>
          <w:sz w:val="22"/>
          <w:szCs w:val="22"/>
          <w:lang w:val="sr-Latn-RS"/>
        </w:rPr>
        <w:t>koja je trudna</w:t>
      </w:r>
      <w:r w:rsidRPr="00BD141A">
        <w:rPr>
          <w:sz w:val="22"/>
          <w:szCs w:val="22"/>
          <w:lang w:val="sr-Latn-RS"/>
        </w:rPr>
        <w:t xml:space="preserve">, tokom terapije i </w:t>
      </w:r>
      <w:r w:rsidR="00C51C60" w:rsidRPr="00BD141A">
        <w:rPr>
          <w:sz w:val="22"/>
          <w:szCs w:val="22"/>
          <w:lang w:val="sr-Latn-RS"/>
        </w:rPr>
        <w:t>nedjelj</w:t>
      </w:r>
      <w:r w:rsidRPr="00BD141A">
        <w:rPr>
          <w:sz w:val="22"/>
          <w:szCs w:val="22"/>
          <w:lang w:val="sr-Latn-RS"/>
        </w:rPr>
        <w:t xml:space="preserve">u dana nakon završetka terapije </w:t>
      </w:r>
      <w:r w:rsidR="007B475F" w:rsidRPr="00BD141A">
        <w:rPr>
          <w:sz w:val="22"/>
          <w:szCs w:val="22"/>
          <w:lang w:val="sr-Latn-RS"/>
        </w:rPr>
        <w:t>lijek</w:t>
      </w:r>
      <w:r w:rsidRPr="00BD141A">
        <w:rPr>
          <w:sz w:val="22"/>
          <w:szCs w:val="22"/>
          <w:lang w:val="sr-Latn-RS"/>
        </w:rPr>
        <w:t>om NUBEQA potrebno je koristiti kondom. Potrebno je izb</w:t>
      </w:r>
      <w:r w:rsidR="00C51C6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eći izloženost fetusa inhibitoru androgenih receptora putem pr</w:t>
      </w:r>
      <w:r w:rsidR="00C51C6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 xml:space="preserve">enosa </w:t>
      </w:r>
      <w:r w:rsidR="00C51C60" w:rsidRPr="00BD141A">
        <w:rPr>
          <w:sz w:val="22"/>
          <w:szCs w:val="22"/>
          <w:lang w:val="sr-Latn-RS"/>
        </w:rPr>
        <w:t>sjeme</w:t>
      </w:r>
      <w:r w:rsidRPr="00BD141A">
        <w:rPr>
          <w:sz w:val="22"/>
          <w:szCs w:val="22"/>
          <w:lang w:val="sr-Latn-RS"/>
        </w:rPr>
        <w:t>n</w:t>
      </w:r>
      <w:r w:rsidR="00AA2DB9">
        <w:rPr>
          <w:sz w:val="22"/>
          <w:szCs w:val="22"/>
          <w:lang w:val="sr-Latn-RS"/>
        </w:rPr>
        <w:t>om</w:t>
      </w:r>
      <w:r w:rsidRPr="00BD141A">
        <w:rPr>
          <w:sz w:val="22"/>
          <w:szCs w:val="22"/>
          <w:lang w:val="sr-Latn-RS"/>
        </w:rPr>
        <w:t xml:space="preserve"> teč</w:t>
      </w:r>
      <w:r w:rsidR="00465EC3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>o</w:t>
      </w:r>
      <w:r w:rsidR="00AA2DB9">
        <w:rPr>
          <w:sz w:val="22"/>
          <w:szCs w:val="22"/>
          <w:lang w:val="sr-Latn-RS"/>
        </w:rPr>
        <w:t>šću</w:t>
      </w:r>
      <w:r w:rsidRPr="00BD141A">
        <w:rPr>
          <w:sz w:val="22"/>
          <w:szCs w:val="22"/>
          <w:lang w:val="sr-Latn-RS"/>
        </w:rPr>
        <w:t xml:space="preserve"> trudnici, obzirom da bi to moglo</w:t>
      </w:r>
      <w:r w:rsidR="00AA2DB9">
        <w:rPr>
          <w:sz w:val="22"/>
          <w:szCs w:val="22"/>
          <w:lang w:val="sr-Latn-RS"/>
        </w:rPr>
        <w:t xml:space="preserve"> da</w:t>
      </w:r>
      <w:r w:rsidRPr="00BD141A">
        <w:rPr>
          <w:sz w:val="22"/>
          <w:szCs w:val="22"/>
          <w:lang w:val="sr-Latn-RS"/>
        </w:rPr>
        <w:t xml:space="preserve"> uti</w:t>
      </w:r>
      <w:r w:rsidR="00AA2DB9">
        <w:rPr>
          <w:sz w:val="22"/>
          <w:szCs w:val="22"/>
          <w:lang w:val="sr-Latn-RS"/>
        </w:rPr>
        <w:t>če</w:t>
      </w:r>
      <w:r w:rsidRPr="00BD141A">
        <w:rPr>
          <w:sz w:val="22"/>
          <w:szCs w:val="22"/>
          <w:lang w:val="sr-Latn-RS"/>
        </w:rPr>
        <w:t xml:space="preserve"> na razvoj fetusa.</w:t>
      </w:r>
    </w:p>
    <w:p w14:paraId="60CEC697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77A56851" w14:textId="77777777" w:rsidR="00A31BA4" w:rsidRPr="00BD141A" w:rsidRDefault="00A31BA4" w:rsidP="00A31BA4">
      <w:pPr>
        <w:jc w:val="both"/>
        <w:rPr>
          <w:sz w:val="22"/>
          <w:szCs w:val="22"/>
          <w:u w:val="single"/>
          <w:lang w:val="sr-Latn-RS"/>
        </w:rPr>
      </w:pPr>
      <w:r w:rsidRPr="00BD141A">
        <w:rPr>
          <w:sz w:val="22"/>
          <w:szCs w:val="22"/>
          <w:u w:val="single"/>
          <w:lang w:val="sr-Latn-RS"/>
        </w:rPr>
        <w:t>Dojenje</w:t>
      </w:r>
    </w:p>
    <w:p w14:paraId="1F9FE6FC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546D1941" w14:textId="4FB43382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Nije poznato da li se darolutamid ili njegovi metaboliti izlučuju u majčino m</w:t>
      </w:r>
      <w:r w:rsidR="007B475F" w:rsidRPr="00BD141A">
        <w:rPr>
          <w:sz w:val="22"/>
          <w:szCs w:val="22"/>
          <w:lang w:val="sr-Latn-RS"/>
        </w:rPr>
        <w:t>lijek</w:t>
      </w:r>
      <w:r w:rsidRPr="00BD141A">
        <w:rPr>
          <w:sz w:val="22"/>
          <w:szCs w:val="22"/>
          <w:lang w:val="sr-Latn-RS"/>
        </w:rPr>
        <w:t xml:space="preserve">o. </w:t>
      </w:r>
      <w:r w:rsidR="00591AA0" w:rsidRPr="00BD141A">
        <w:rPr>
          <w:sz w:val="22"/>
          <w:szCs w:val="22"/>
          <w:lang w:val="sr-Latn-RS"/>
        </w:rPr>
        <w:t>Nijesu</w:t>
      </w:r>
      <w:r w:rsidRPr="00BD141A">
        <w:rPr>
          <w:sz w:val="22"/>
          <w:szCs w:val="22"/>
          <w:lang w:val="sr-Latn-RS"/>
        </w:rPr>
        <w:t xml:space="preserve"> </w:t>
      </w:r>
      <w:r w:rsidR="00AA2DB9">
        <w:rPr>
          <w:sz w:val="22"/>
          <w:szCs w:val="22"/>
          <w:lang w:val="sr-Latn-RS"/>
        </w:rPr>
        <w:t>sprovedena</w:t>
      </w:r>
      <w:r w:rsidRPr="00BD141A">
        <w:rPr>
          <w:sz w:val="22"/>
          <w:szCs w:val="22"/>
          <w:lang w:val="sr-Latn-RS"/>
        </w:rPr>
        <w:t xml:space="preserve"> ispitivanja na životinjama k</w:t>
      </w:r>
      <w:r w:rsidR="00AA2DB9">
        <w:rPr>
          <w:sz w:val="22"/>
          <w:szCs w:val="22"/>
          <w:lang w:val="sr-Latn-RS"/>
        </w:rPr>
        <w:t>ojima</w:t>
      </w:r>
      <w:r w:rsidRPr="00BD141A">
        <w:rPr>
          <w:sz w:val="22"/>
          <w:szCs w:val="22"/>
          <w:lang w:val="sr-Latn-RS"/>
        </w:rPr>
        <w:t xml:space="preserve"> bi se proc</w:t>
      </w:r>
      <w:r w:rsidR="00C51C6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enilo izlučivanje darolutamida ili njegovih metabolita u m</w:t>
      </w:r>
      <w:r w:rsidR="007B475F" w:rsidRPr="00BD141A">
        <w:rPr>
          <w:sz w:val="22"/>
          <w:szCs w:val="22"/>
          <w:lang w:val="sr-Latn-RS"/>
        </w:rPr>
        <w:t>lijek</w:t>
      </w:r>
      <w:r w:rsidRPr="00BD141A">
        <w:rPr>
          <w:sz w:val="22"/>
          <w:szCs w:val="22"/>
          <w:lang w:val="sr-Latn-RS"/>
        </w:rPr>
        <w:t>o (</w:t>
      </w:r>
      <w:r w:rsidR="00591AA0" w:rsidRPr="00BD141A">
        <w:rPr>
          <w:sz w:val="22"/>
          <w:szCs w:val="22"/>
          <w:lang w:val="sr-Latn-RS"/>
        </w:rPr>
        <w:t>vidjet</w:t>
      </w:r>
      <w:r w:rsidRPr="00BD141A">
        <w:rPr>
          <w:sz w:val="22"/>
          <w:szCs w:val="22"/>
          <w:lang w:val="sr-Latn-RS"/>
        </w:rPr>
        <w:t xml:space="preserve">i </w:t>
      </w:r>
      <w:r w:rsidR="007B475F" w:rsidRPr="00BD141A">
        <w:rPr>
          <w:sz w:val="22"/>
          <w:szCs w:val="22"/>
          <w:lang w:val="sr-Latn-RS"/>
        </w:rPr>
        <w:t>dio</w:t>
      </w:r>
      <w:r w:rsidRPr="00BD141A">
        <w:rPr>
          <w:sz w:val="22"/>
          <w:szCs w:val="22"/>
          <w:lang w:val="sr-Latn-RS"/>
        </w:rPr>
        <w:t xml:space="preserve"> 5.3). Ne može se isključiti rizik po odojče.</w:t>
      </w:r>
    </w:p>
    <w:p w14:paraId="786EA5EE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47E09B10" w14:textId="77777777" w:rsidR="00A31BA4" w:rsidRPr="00BD141A" w:rsidRDefault="00A31BA4" w:rsidP="00A31BA4">
      <w:pPr>
        <w:jc w:val="both"/>
        <w:rPr>
          <w:sz w:val="22"/>
          <w:szCs w:val="22"/>
          <w:u w:val="single"/>
          <w:lang w:val="sr-Latn-RS"/>
        </w:rPr>
      </w:pPr>
      <w:r w:rsidRPr="00BD141A">
        <w:rPr>
          <w:sz w:val="22"/>
          <w:szCs w:val="22"/>
          <w:u w:val="single"/>
          <w:lang w:val="sr-Latn-RS"/>
        </w:rPr>
        <w:t>Plodnost</w:t>
      </w:r>
    </w:p>
    <w:p w14:paraId="0EA99B8B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1BC0D819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lastRenderedPageBreak/>
        <w:t xml:space="preserve">Nema podataka o uticaju darolutamida na plodnost kod ljudi. </w:t>
      </w:r>
    </w:p>
    <w:p w14:paraId="502EFE30" w14:textId="3A5F02BB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Na osnovu ispitivanja na životinjama, </w:t>
      </w:r>
      <w:r w:rsidR="007B475F" w:rsidRPr="00BD141A">
        <w:rPr>
          <w:sz w:val="22"/>
          <w:szCs w:val="22"/>
          <w:lang w:val="sr-Latn-RS"/>
        </w:rPr>
        <w:t>lijek</w:t>
      </w:r>
      <w:r w:rsidRPr="00BD141A">
        <w:rPr>
          <w:sz w:val="22"/>
          <w:szCs w:val="22"/>
          <w:lang w:val="sr-Latn-RS"/>
        </w:rPr>
        <w:t xml:space="preserve"> NUBEQA može </w:t>
      </w:r>
      <w:r w:rsidR="00AA2DB9">
        <w:rPr>
          <w:sz w:val="22"/>
          <w:szCs w:val="22"/>
          <w:lang w:val="sr-Latn-RS"/>
        </w:rPr>
        <w:t>da utiče</w:t>
      </w:r>
      <w:r w:rsidRPr="00BD141A">
        <w:rPr>
          <w:sz w:val="22"/>
          <w:szCs w:val="22"/>
          <w:lang w:val="sr-Latn-RS"/>
        </w:rPr>
        <w:t xml:space="preserve"> na plodnost kod muškaraca koji imaju reproduktivni pote</w:t>
      </w:r>
      <w:r w:rsidR="00AA2DB9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>cijal (</w:t>
      </w:r>
      <w:r w:rsidR="00591AA0" w:rsidRPr="00BD141A">
        <w:rPr>
          <w:sz w:val="22"/>
          <w:szCs w:val="22"/>
          <w:lang w:val="sr-Latn-RS"/>
        </w:rPr>
        <w:t>vidjet</w:t>
      </w:r>
      <w:r w:rsidRPr="00BD141A">
        <w:rPr>
          <w:sz w:val="22"/>
          <w:szCs w:val="22"/>
          <w:lang w:val="sr-Latn-RS"/>
        </w:rPr>
        <w:t xml:space="preserve">i </w:t>
      </w:r>
      <w:r w:rsidR="007B475F" w:rsidRPr="00BD141A">
        <w:rPr>
          <w:sz w:val="22"/>
          <w:szCs w:val="22"/>
          <w:lang w:val="sr-Latn-RS"/>
        </w:rPr>
        <w:t>dio</w:t>
      </w:r>
      <w:r w:rsidRPr="00BD141A">
        <w:rPr>
          <w:sz w:val="22"/>
          <w:szCs w:val="22"/>
          <w:lang w:val="sr-Latn-RS"/>
        </w:rPr>
        <w:t xml:space="preserve"> 5.3).</w:t>
      </w:r>
    </w:p>
    <w:p w14:paraId="4142CA21" w14:textId="77777777" w:rsidR="00227BDB" w:rsidRPr="00BD141A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3A512A02" w14:textId="77777777" w:rsidR="0072020E" w:rsidRPr="00BD141A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4.7.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 xml:space="preserve">Uticaj na </w:t>
      </w:r>
      <w:r w:rsidR="002031B3" w:rsidRPr="00BD141A">
        <w:rPr>
          <w:b/>
          <w:bCs/>
          <w:sz w:val="22"/>
          <w:szCs w:val="22"/>
        </w:rPr>
        <w:t xml:space="preserve">sposobnost </w:t>
      </w:r>
      <w:r w:rsidR="00F34554" w:rsidRPr="00BD141A">
        <w:rPr>
          <w:b/>
          <w:bCs/>
          <w:sz w:val="22"/>
          <w:szCs w:val="22"/>
        </w:rPr>
        <w:t>upravljanja vozili</w:t>
      </w:r>
      <w:r w:rsidRPr="00BD141A">
        <w:rPr>
          <w:b/>
          <w:bCs/>
          <w:sz w:val="22"/>
          <w:szCs w:val="22"/>
        </w:rPr>
        <w:t>m</w:t>
      </w:r>
      <w:r w:rsidR="00F34554" w:rsidRPr="00BD141A">
        <w:rPr>
          <w:b/>
          <w:bCs/>
          <w:sz w:val="22"/>
          <w:szCs w:val="22"/>
        </w:rPr>
        <w:t>a</w:t>
      </w:r>
      <w:r w:rsidRPr="00BD141A">
        <w:rPr>
          <w:b/>
          <w:bCs/>
          <w:sz w:val="22"/>
          <w:szCs w:val="22"/>
        </w:rPr>
        <w:t xml:space="preserve"> i </w:t>
      </w:r>
      <w:r w:rsidR="000D3449" w:rsidRPr="00BD141A">
        <w:rPr>
          <w:b/>
          <w:bCs/>
          <w:sz w:val="22"/>
          <w:szCs w:val="22"/>
        </w:rPr>
        <w:t xml:space="preserve">rukovanje </w:t>
      </w:r>
      <w:r w:rsidRPr="00BD141A">
        <w:rPr>
          <w:b/>
          <w:bCs/>
          <w:sz w:val="22"/>
          <w:szCs w:val="22"/>
        </w:rPr>
        <w:t>mašinama</w:t>
      </w:r>
    </w:p>
    <w:p w14:paraId="56C55648" w14:textId="408B6F98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16C4530" w14:textId="27C02CE3" w:rsidR="00A31BA4" w:rsidRPr="00BD141A" w:rsidRDefault="007B475F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Lijek</w:t>
      </w:r>
      <w:r w:rsidR="00A31BA4" w:rsidRPr="00BD141A">
        <w:rPr>
          <w:sz w:val="22"/>
          <w:szCs w:val="22"/>
        </w:rPr>
        <w:t xml:space="preserve"> NUBEQA nema ili ima zanemarljiv uticaj na sposobnost upravljanja vozilima i rukovanja mašinama.</w:t>
      </w:r>
    </w:p>
    <w:p w14:paraId="4044E06D" w14:textId="77777777" w:rsidR="00A31BA4" w:rsidRPr="00BD141A" w:rsidRDefault="00A31BA4" w:rsidP="00480FB1">
      <w:pPr>
        <w:tabs>
          <w:tab w:val="left" w:pos="540"/>
          <w:tab w:val="left" w:pos="569"/>
        </w:tabs>
        <w:rPr>
          <w:sz w:val="22"/>
          <w:szCs w:val="22"/>
        </w:rPr>
      </w:pPr>
    </w:p>
    <w:p w14:paraId="6B8BF3E7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4.8.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Neželjena dejstva</w:t>
      </w:r>
    </w:p>
    <w:p w14:paraId="7318C666" w14:textId="687F7A83" w:rsidR="004E70AD" w:rsidRPr="00BD141A" w:rsidRDefault="004E70AD" w:rsidP="00480FB1">
      <w:pPr>
        <w:tabs>
          <w:tab w:val="left" w:pos="540"/>
          <w:tab w:val="left" w:pos="569"/>
        </w:tabs>
        <w:rPr>
          <w:sz w:val="22"/>
          <w:szCs w:val="22"/>
        </w:rPr>
      </w:pPr>
    </w:p>
    <w:p w14:paraId="52A64E41" w14:textId="5B8CA742" w:rsidR="00A31BA4" w:rsidRPr="00BD141A" w:rsidRDefault="00A31BA4" w:rsidP="00A31BA4">
      <w:pPr>
        <w:jc w:val="both"/>
        <w:rPr>
          <w:noProof/>
          <w:sz w:val="22"/>
          <w:szCs w:val="22"/>
          <w:u w:val="single"/>
          <w:lang w:val="sr-Latn-RS"/>
        </w:rPr>
      </w:pPr>
      <w:r w:rsidRPr="00BD141A">
        <w:rPr>
          <w:noProof/>
          <w:sz w:val="22"/>
          <w:szCs w:val="22"/>
          <w:u w:val="single"/>
          <w:lang w:val="hr-HR"/>
        </w:rPr>
        <w:t>Sa</w:t>
      </w:r>
      <w:r w:rsidRPr="00BD141A">
        <w:rPr>
          <w:noProof/>
          <w:sz w:val="22"/>
          <w:szCs w:val="22"/>
          <w:u w:val="single"/>
          <w:lang w:val="sr-Latn-RS"/>
        </w:rPr>
        <w:t>žetak bezb</w:t>
      </w:r>
      <w:r w:rsidR="00C51C60" w:rsidRPr="00BD141A">
        <w:rPr>
          <w:noProof/>
          <w:sz w:val="22"/>
          <w:szCs w:val="22"/>
          <w:u w:val="single"/>
          <w:lang w:val="sr-Latn-RS"/>
        </w:rPr>
        <w:t>j</w:t>
      </w:r>
      <w:r w:rsidRPr="00BD141A">
        <w:rPr>
          <w:noProof/>
          <w:sz w:val="22"/>
          <w:szCs w:val="22"/>
          <w:u w:val="single"/>
          <w:lang w:val="sr-Latn-RS"/>
        </w:rPr>
        <w:t>ednosnog profila</w:t>
      </w:r>
    </w:p>
    <w:p w14:paraId="5114F9AA" w14:textId="77777777" w:rsidR="00A31BA4" w:rsidRPr="00BD141A" w:rsidRDefault="00A31BA4" w:rsidP="00A31BA4">
      <w:pPr>
        <w:jc w:val="both"/>
        <w:rPr>
          <w:noProof/>
          <w:sz w:val="22"/>
          <w:szCs w:val="22"/>
          <w:lang w:val="hr-HR"/>
        </w:rPr>
      </w:pPr>
    </w:p>
    <w:p w14:paraId="01A79239" w14:textId="2E2391FD" w:rsidR="004E3491" w:rsidRDefault="00A31BA4" w:rsidP="00A31BA4">
      <w:pPr>
        <w:jc w:val="both"/>
        <w:rPr>
          <w:noProof/>
          <w:sz w:val="22"/>
          <w:szCs w:val="22"/>
          <w:lang w:val="hr-HR"/>
        </w:rPr>
      </w:pPr>
      <w:r w:rsidRPr="00BD141A">
        <w:rPr>
          <w:noProof/>
          <w:sz w:val="22"/>
          <w:szCs w:val="22"/>
          <w:lang w:val="hr-HR"/>
        </w:rPr>
        <w:t>Najčešć</w:t>
      </w:r>
      <w:r w:rsidR="004E3491">
        <w:rPr>
          <w:noProof/>
          <w:sz w:val="22"/>
          <w:szCs w:val="22"/>
          <w:lang w:val="hr-HR"/>
        </w:rPr>
        <w:t>e</w:t>
      </w:r>
      <w:r w:rsidR="00AA2DB9">
        <w:rPr>
          <w:noProof/>
          <w:sz w:val="22"/>
          <w:szCs w:val="22"/>
          <w:lang w:val="hr-HR"/>
        </w:rPr>
        <w:t xml:space="preserve"> uočen</w:t>
      </w:r>
      <w:r w:rsidR="004E3491">
        <w:rPr>
          <w:noProof/>
          <w:sz w:val="22"/>
          <w:szCs w:val="22"/>
          <w:lang w:val="hr-HR"/>
        </w:rPr>
        <w:t>e</w:t>
      </w:r>
      <w:r w:rsidRPr="00BD141A">
        <w:rPr>
          <w:noProof/>
          <w:sz w:val="22"/>
          <w:szCs w:val="22"/>
          <w:lang w:val="hr-HR"/>
        </w:rPr>
        <w:t xml:space="preserve"> neželjen</w:t>
      </w:r>
      <w:r w:rsidR="004E3491">
        <w:rPr>
          <w:noProof/>
          <w:sz w:val="22"/>
          <w:szCs w:val="22"/>
          <w:lang w:val="hr-HR"/>
        </w:rPr>
        <w:t>e</w:t>
      </w:r>
      <w:r w:rsidRPr="00BD141A">
        <w:rPr>
          <w:noProof/>
          <w:sz w:val="22"/>
          <w:szCs w:val="22"/>
          <w:lang w:val="hr-HR"/>
        </w:rPr>
        <w:t xml:space="preserve"> reakcij</w:t>
      </w:r>
      <w:r w:rsidR="004E3491">
        <w:rPr>
          <w:noProof/>
          <w:sz w:val="22"/>
          <w:szCs w:val="22"/>
          <w:lang w:val="hr-HR"/>
        </w:rPr>
        <w:t>e kod pacijenata sa</w:t>
      </w:r>
    </w:p>
    <w:p w14:paraId="6FD47C81" w14:textId="12C2571D" w:rsidR="004E3491" w:rsidRDefault="004E3491" w:rsidP="004E3491">
      <w:pPr>
        <w:pStyle w:val="ListParagraph"/>
        <w:numPr>
          <w:ilvl w:val="0"/>
          <w:numId w:val="12"/>
        </w:numPr>
        <w:jc w:val="both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nmCRPC koji primaju darolutamid su</w:t>
      </w:r>
      <w:r w:rsidR="00A31BA4" w:rsidRPr="009927B0">
        <w:rPr>
          <w:noProof/>
          <w:sz w:val="22"/>
          <w:szCs w:val="22"/>
          <w:lang w:val="hr-HR"/>
        </w:rPr>
        <w:t xml:space="preserve"> </w:t>
      </w:r>
      <w:r>
        <w:rPr>
          <w:noProof/>
          <w:sz w:val="22"/>
          <w:szCs w:val="22"/>
          <w:lang w:val="hr-HR"/>
        </w:rPr>
        <w:t>umor</w:t>
      </w:r>
      <w:r w:rsidR="00A31BA4" w:rsidRPr="009927B0">
        <w:rPr>
          <w:noProof/>
          <w:sz w:val="22"/>
          <w:szCs w:val="22"/>
          <w:lang w:val="hr-HR"/>
        </w:rPr>
        <w:t>/astenija (15,8%)</w:t>
      </w:r>
    </w:p>
    <w:p w14:paraId="2CBAD7BC" w14:textId="3955903A" w:rsidR="00A31BA4" w:rsidRPr="009927B0" w:rsidRDefault="004E3491" w:rsidP="009927B0">
      <w:pPr>
        <w:pStyle w:val="ListParagraph"/>
        <w:numPr>
          <w:ilvl w:val="0"/>
          <w:numId w:val="12"/>
        </w:numPr>
        <w:jc w:val="both"/>
        <w:rPr>
          <w:noProof/>
          <w:sz w:val="22"/>
          <w:szCs w:val="22"/>
          <w:lang w:val="hr-HR"/>
        </w:rPr>
      </w:pPr>
      <w:r w:rsidRPr="004E3491">
        <w:rPr>
          <w:noProof/>
          <w:sz w:val="22"/>
          <w:szCs w:val="22"/>
          <w:lang w:val="hr-HR"/>
        </w:rPr>
        <w:t>mHSPC koji primaju darolutamid u kombinaciji sa docetakselom su osip (16,6%) i hipertenzija (13,8%</w:t>
      </w:r>
      <w:r>
        <w:rPr>
          <w:noProof/>
          <w:sz w:val="22"/>
          <w:szCs w:val="22"/>
          <w:lang w:val="hr-HR"/>
        </w:rPr>
        <w:t>)</w:t>
      </w:r>
      <w:r w:rsidR="00A31BA4" w:rsidRPr="009927B0">
        <w:rPr>
          <w:noProof/>
          <w:sz w:val="22"/>
          <w:szCs w:val="22"/>
          <w:lang w:val="hr-HR"/>
        </w:rPr>
        <w:t>.</w:t>
      </w:r>
    </w:p>
    <w:p w14:paraId="7AEDCD0B" w14:textId="77777777" w:rsidR="004E3491" w:rsidRPr="004E3491" w:rsidRDefault="004E3491" w:rsidP="004E3491">
      <w:pPr>
        <w:rPr>
          <w:noProof/>
          <w:sz w:val="22"/>
          <w:szCs w:val="22"/>
          <w:lang w:val="hr-HR"/>
        </w:rPr>
      </w:pPr>
    </w:p>
    <w:p w14:paraId="16F30D22" w14:textId="76ADD11F" w:rsidR="00A31BA4" w:rsidRDefault="004E3491" w:rsidP="004E3491">
      <w:pPr>
        <w:jc w:val="both"/>
        <w:rPr>
          <w:noProof/>
          <w:sz w:val="22"/>
          <w:szCs w:val="22"/>
          <w:lang w:val="hr-HR"/>
        </w:rPr>
      </w:pPr>
      <w:r w:rsidRPr="004E3491">
        <w:rPr>
          <w:noProof/>
          <w:sz w:val="22"/>
          <w:szCs w:val="22"/>
          <w:lang w:val="hr-HR"/>
        </w:rPr>
        <w:t>Za dodatne informacije o bezb</w:t>
      </w:r>
      <w:r>
        <w:rPr>
          <w:noProof/>
          <w:sz w:val="22"/>
          <w:szCs w:val="22"/>
          <w:lang w:val="hr-HR"/>
        </w:rPr>
        <w:t>j</w:t>
      </w:r>
      <w:r w:rsidRPr="004E3491">
        <w:rPr>
          <w:noProof/>
          <w:sz w:val="22"/>
          <w:szCs w:val="22"/>
          <w:lang w:val="hr-HR"/>
        </w:rPr>
        <w:t>ednosti u slučaju kada se darolutamid prim</w:t>
      </w:r>
      <w:r>
        <w:rPr>
          <w:noProof/>
          <w:sz w:val="22"/>
          <w:szCs w:val="22"/>
          <w:lang w:val="hr-HR"/>
        </w:rPr>
        <w:t>j</w:t>
      </w:r>
      <w:r w:rsidRPr="004E3491">
        <w:rPr>
          <w:noProof/>
          <w:sz w:val="22"/>
          <w:szCs w:val="22"/>
          <w:lang w:val="hr-HR"/>
        </w:rPr>
        <w:t>enjuje u kombinaciji sa drugim l</w:t>
      </w:r>
      <w:r w:rsidR="001C639E">
        <w:rPr>
          <w:noProof/>
          <w:sz w:val="22"/>
          <w:szCs w:val="22"/>
          <w:lang w:val="hr-HR"/>
        </w:rPr>
        <w:t>j</w:t>
      </w:r>
      <w:r w:rsidRPr="004E3491">
        <w:rPr>
          <w:noProof/>
          <w:sz w:val="22"/>
          <w:szCs w:val="22"/>
          <w:lang w:val="hr-HR"/>
        </w:rPr>
        <w:t>ekovima, proučite sažetke karakteristika l</w:t>
      </w:r>
      <w:r>
        <w:rPr>
          <w:noProof/>
          <w:sz w:val="22"/>
          <w:szCs w:val="22"/>
          <w:lang w:val="hr-HR"/>
        </w:rPr>
        <w:t>j</w:t>
      </w:r>
      <w:r w:rsidRPr="004E3491">
        <w:rPr>
          <w:noProof/>
          <w:sz w:val="22"/>
          <w:szCs w:val="22"/>
          <w:lang w:val="hr-HR"/>
        </w:rPr>
        <w:t>ekova za te pojedinačne l</w:t>
      </w:r>
      <w:r>
        <w:rPr>
          <w:noProof/>
          <w:sz w:val="22"/>
          <w:szCs w:val="22"/>
          <w:lang w:val="hr-HR"/>
        </w:rPr>
        <w:t>j</w:t>
      </w:r>
      <w:r w:rsidRPr="004E3491">
        <w:rPr>
          <w:noProof/>
          <w:sz w:val="22"/>
          <w:szCs w:val="22"/>
          <w:lang w:val="hr-HR"/>
        </w:rPr>
        <w:t>ekove</w:t>
      </w:r>
      <w:r>
        <w:rPr>
          <w:noProof/>
          <w:sz w:val="22"/>
          <w:szCs w:val="22"/>
          <w:lang w:val="hr-HR"/>
        </w:rPr>
        <w:t>.</w:t>
      </w:r>
    </w:p>
    <w:p w14:paraId="58B5BE74" w14:textId="77777777" w:rsidR="004E3491" w:rsidRPr="00BD141A" w:rsidRDefault="004E3491" w:rsidP="004E3491">
      <w:pPr>
        <w:jc w:val="both"/>
        <w:rPr>
          <w:noProof/>
          <w:sz w:val="22"/>
          <w:szCs w:val="22"/>
          <w:lang w:val="hr-HR"/>
        </w:rPr>
      </w:pPr>
    </w:p>
    <w:p w14:paraId="054B8FEC" w14:textId="77777777" w:rsidR="00A31BA4" w:rsidRPr="00BD141A" w:rsidRDefault="00A31BA4" w:rsidP="00A31BA4">
      <w:pPr>
        <w:jc w:val="both"/>
        <w:rPr>
          <w:noProof/>
          <w:sz w:val="22"/>
          <w:szCs w:val="22"/>
          <w:u w:val="single"/>
          <w:lang w:val="hr-HR"/>
        </w:rPr>
      </w:pPr>
      <w:r w:rsidRPr="00BD141A">
        <w:rPr>
          <w:noProof/>
          <w:sz w:val="22"/>
          <w:szCs w:val="22"/>
          <w:u w:val="single"/>
          <w:lang w:val="hr-HR"/>
        </w:rPr>
        <w:t>Tabelarni prikaz neželjenih reakcija</w:t>
      </w:r>
    </w:p>
    <w:p w14:paraId="3EDCF78C" w14:textId="77777777" w:rsidR="00A31BA4" w:rsidRPr="00BD141A" w:rsidRDefault="00A31BA4" w:rsidP="00A31BA4">
      <w:pPr>
        <w:jc w:val="both"/>
        <w:rPr>
          <w:noProof/>
          <w:sz w:val="22"/>
          <w:szCs w:val="22"/>
          <w:lang w:val="hr-HR"/>
        </w:rPr>
      </w:pPr>
    </w:p>
    <w:p w14:paraId="3E119325" w14:textId="171B4E8D" w:rsidR="00A31BA4" w:rsidRPr="00BD141A" w:rsidRDefault="004E3491" w:rsidP="00A31BA4">
      <w:pPr>
        <w:jc w:val="both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N</w:t>
      </w:r>
      <w:r w:rsidR="00A31BA4" w:rsidRPr="00BD141A">
        <w:rPr>
          <w:noProof/>
          <w:sz w:val="22"/>
          <w:szCs w:val="22"/>
          <w:lang w:val="hr-HR"/>
        </w:rPr>
        <w:t>eželjene reakcije</w:t>
      </w:r>
      <w:r w:rsidRPr="004E3491">
        <w:t xml:space="preserve"> </w:t>
      </w:r>
      <w:r w:rsidRPr="004E3491">
        <w:rPr>
          <w:noProof/>
          <w:sz w:val="22"/>
          <w:szCs w:val="22"/>
          <w:lang w:val="hr-HR"/>
        </w:rPr>
        <w:t>prijavljene kod pacijenata sa nmCRPC na terapiji darolutamidom</w:t>
      </w:r>
      <w:r w:rsidR="00A31BA4" w:rsidRPr="00BD141A">
        <w:rPr>
          <w:noProof/>
          <w:sz w:val="22"/>
          <w:szCs w:val="22"/>
          <w:lang w:val="hr-HR"/>
        </w:rPr>
        <w:t xml:space="preserve"> prikazane u Tabeli 1</w:t>
      </w:r>
      <w:r w:rsidR="00B0206C">
        <w:rPr>
          <w:noProof/>
          <w:sz w:val="22"/>
          <w:szCs w:val="22"/>
          <w:lang w:val="hr-HR"/>
        </w:rPr>
        <w:t xml:space="preserve">. </w:t>
      </w:r>
      <w:r w:rsidR="00B0206C" w:rsidRPr="00B0206C">
        <w:rPr>
          <w:noProof/>
          <w:sz w:val="22"/>
          <w:szCs w:val="22"/>
          <w:lang w:val="hr-HR"/>
        </w:rPr>
        <w:t>Neželjene reakcije prijavljene kod pacijenata sa mHSPC na terapiji darolutamidom u kombinaciji sa docetakselom prikazane su u Tabeli 2</w:t>
      </w:r>
      <w:r w:rsidR="00303CA0">
        <w:rPr>
          <w:noProof/>
          <w:sz w:val="22"/>
          <w:szCs w:val="22"/>
          <w:lang w:val="hr-HR"/>
        </w:rPr>
        <w:t>.</w:t>
      </w:r>
    </w:p>
    <w:p w14:paraId="4346D1C0" w14:textId="496324AD" w:rsidR="00A31BA4" w:rsidRPr="00BD141A" w:rsidRDefault="00A31BA4" w:rsidP="00A31BA4">
      <w:pPr>
        <w:jc w:val="both"/>
        <w:rPr>
          <w:noProof/>
          <w:sz w:val="22"/>
          <w:szCs w:val="22"/>
          <w:lang w:val="hr-HR"/>
        </w:rPr>
      </w:pPr>
      <w:r w:rsidRPr="00BD141A">
        <w:rPr>
          <w:noProof/>
          <w:sz w:val="22"/>
          <w:szCs w:val="22"/>
          <w:lang w:val="hr-HR"/>
        </w:rPr>
        <w:t>Neželjene reakcije su grupisane</w:t>
      </w:r>
      <w:r w:rsidR="00B0206C">
        <w:rPr>
          <w:noProof/>
          <w:sz w:val="22"/>
          <w:szCs w:val="22"/>
          <w:lang w:val="hr-HR"/>
        </w:rPr>
        <w:t xml:space="preserve"> po klasama sistema organa i</w:t>
      </w:r>
      <w:r w:rsidRPr="00BD141A">
        <w:rPr>
          <w:noProof/>
          <w:sz w:val="22"/>
          <w:szCs w:val="22"/>
          <w:lang w:val="hr-HR"/>
        </w:rPr>
        <w:t xml:space="preserve"> prema učestalosti</w:t>
      </w:r>
      <w:r w:rsidR="00AA2DB9">
        <w:rPr>
          <w:noProof/>
          <w:sz w:val="22"/>
          <w:szCs w:val="22"/>
          <w:lang w:val="hr-HR"/>
        </w:rPr>
        <w:t>. Grupe učestalosti su definisane</w:t>
      </w:r>
      <w:r w:rsidRPr="00BD141A">
        <w:rPr>
          <w:noProof/>
          <w:sz w:val="22"/>
          <w:szCs w:val="22"/>
          <w:lang w:val="hr-HR"/>
        </w:rPr>
        <w:t xml:space="preserve"> korišćenjem sl</w:t>
      </w:r>
      <w:r w:rsidR="00AA2DB9">
        <w:rPr>
          <w:noProof/>
          <w:sz w:val="22"/>
          <w:szCs w:val="22"/>
          <w:lang w:val="hr-HR"/>
        </w:rPr>
        <w:t>j</w:t>
      </w:r>
      <w:r w:rsidRPr="00BD141A">
        <w:rPr>
          <w:noProof/>
          <w:sz w:val="22"/>
          <w:szCs w:val="22"/>
          <w:lang w:val="hr-HR"/>
        </w:rPr>
        <w:t>edeće klasifikacije: veoma često (≥1/10); često (≥1/100 do &lt;1/10); povremeno (≥1/1000 do &lt;1/100); r</w:t>
      </w:r>
      <w:r w:rsidR="00C51C60" w:rsidRPr="00BD141A">
        <w:rPr>
          <w:noProof/>
          <w:sz w:val="22"/>
          <w:szCs w:val="22"/>
          <w:lang w:val="hr-HR"/>
        </w:rPr>
        <w:t>ij</w:t>
      </w:r>
      <w:r w:rsidRPr="00BD141A">
        <w:rPr>
          <w:noProof/>
          <w:sz w:val="22"/>
          <w:szCs w:val="22"/>
          <w:lang w:val="hr-HR"/>
        </w:rPr>
        <w:t>etko (≥1/10000 do &lt; 1/1000</w:t>
      </w:r>
      <w:r w:rsidR="00B975E7">
        <w:rPr>
          <w:noProof/>
          <w:sz w:val="22"/>
          <w:szCs w:val="22"/>
          <w:lang w:val="hr-HR"/>
        </w:rPr>
        <w:t>)</w:t>
      </w:r>
      <w:r w:rsidRPr="00BD141A">
        <w:rPr>
          <w:noProof/>
          <w:sz w:val="22"/>
          <w:szCs w:val="22"/>
          <w:lang w:val="hr-HR"/>
        </w:rPr>
        <w:t>; veoma r</w:t>
      </w:r>
      <w:r w:rsidR="00C51C60" w:rsidRPr="00BD141A">
        <w:rPr>
          <w:noProof/>
          <w:sz w:val="22"/>
          <w:szCs w:val="22"/>
          <w:lang w:val="hr-HR"/>
        </w:rPr>
        <w:t>ij</w:t>
      </w:r>
      <w:r w:rsidRPr="00BD141A">
        <w:rPr>
          <w:noProof/>
          <w:sz w:val="22"/>
          <w:szCs w:val="22"/>
          <w:lang w:val="hr-HR"/>
        </w:rPr>
        <w:t xml:space="preserve">etko (&lt;1/10000); nepoznata učestalost (ne može se </w:t>
      </w:r>
      <w:r w:rsidR="007B475F" w:rsidRPr="00BD141A">
        <w:rPr>
          <w:noProof/>
          <w:sz w:val="22"/>
          <w:szCs w:val="22"/>
          <w:lang w:val="hr-HR"/>
        </w:rPr>
        <w:t>procijeniti</w:t>
      </w:r>
      <w:r w:rsidRPr="00BD141A">
        <w:rPr>
          <w:noProof/>
          <w:sz w:val="22"/>
          <w:szCs w:val="22"/>
          <w:lang w:val="hr-HR"/>
        </w:rPr>
        <w:t xml:space="preserve"> na osnovu dostupnih podataka).</w:t>
      </w:r>
    </w:p>
    <w:p w14:paraId="0EE98E64" w14:textId="6A54AAB5" w:rsidR="00A31BA4" w:rsidRDefault="00A31BA4" w:rsidP="00A31BA4">
      <w:pPr>
        <w:jc w:val="both"/>
        <w:rPr>
          <w:noProof/>
          <w:sz w:val="22"/>
          <w:szCs w:val="22"/>
          <w:lang w:val="hr-HR"/>
        </w:rPr>
      </w:pPr>
      <w:r w:rsidRPr="00BD141A">
        <w:rPr>
          <w:noProof/>
          <w:sz w:val="22"/>
          <w:szCs w:val="22"/>
          <w:lang w:val="hr-HR"/>
        </w:rPr>
        <w:t>U okviru svake grupe učestalosti, neželjen</w:t>
      </w:r>
      <w:r w:rsidR="00AA2DB9">
        <w:rPr>
          <w:noProof/>
          <w:sz w:val="22"/>
          <w:szCs w:val="22"/>
          <w:lang w:val="hr-HR"/>
        </w:rPr>
        <w:t>e reakcije</w:t>
      </w:r>
      <w:r w:rsidRPr="00BD141A">
        <w:rPr>
          <w:noProof/>
          <w:sz w:val="22"/>
          <w:szCs w:val="22"/>
          <w:lang w:val="hr-HR"/>
        </w:rPr>
        <w:t xml:space="preserve"> su prikazan</w:t>
      </w:r>
      <w:r w:rsidR="00AA2DB9">
        <w:rPr>
          <w:noProof/>
          <w:sz w:val="22"/>
          <w:szCs w:val="22"/>
          <w:lang w:val="hr-HR"/>
        </w:rPr>
        <w:t>e</w:t>
      </w:r>
      <w:r w:rsidRPr="00BD141A">
        <w:rPr>
          <w:noProof/>
          <w:sz w:val="22"/>
          <w:szCs w:val="22"/>
          <w:lang w:val="hr-HR"/>
        </w:rPr>
        <w:t xml:space="preserve"> redosl</w:t>
      </w:r>
      <w:r w:rsidR="00C51C60" w:rsidRPr="00BD141A">
        <w:rPr>
          <w:noProof/>
          <w:sz w:val="22"/>
          <w:szCs w:val="22"/>
          <w:lang w:val="hr-HR"/>
        </w:rPr>
        <w:t>j</w:t>
      </w:r>
      <w:r w:rsidRPr="00BD141A">
        <w:rPr>
          <w:noProof/>
          <w:sz w:val="22"/>
          <w:szCs w:val="22"/>
          <w:lang w:val="hr-HR"/>
        </w:rPr>
        <w:t>edom prema opadajućoj ozbiljnosti.</w:t>
      </w:r>
    </w:p>
    <w:p w14:paraId="4D25DD89" w14:textId="24ABB40B" w:rsidR="00010C76" w:rsidRDefault="00010C76" w:rsidP="00A31BA4">
      <w:pPr>
        <w:jc w:val="both"/>
        <w:rPr>
          <w:noProof/>
          <w:sz w:val="22"/>
          <w:szCs w:val="22"/>
          <w:lang w:val="hr-HR"/>
        </w:rPr>
      </w:pPr>
    </w:p>
    <w:p w14:paraId="264257CF" w14:textId="7B82E2C7" w:rsidR="00A31BA4" w:rsidRPr="00BD141A" w:rsidRDefault="00A31BA4" w:rsidP="00A31BA4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BD141A">
        <w:rPr>
          <w:b/>
          <w:sz w:val="22"/>
          <w:szCs w:val="22"/>
          <w:lang w:val="sr-Latn-RS"/>
        </w:rPr>
        <w:t>Tabela 1</w:t>
      </w:r>
      <w:r w:rsidRPr="00BD141A">
        <w:rPr>
          <w:b/>
          <w:bCs/>
          <w:sz w:val="22"/>
          <w:szCs w:val="22"/>
          <w:lang w:val="sr-Latn-RS"/>
        </w:rPr>
        <w:t>: Neželjene reakcije prijavljene u ARAMIS ispitivanju</w:t>
      </w:r>
      <w:r w:rsidR="00B0206C" w:rsidRPr="00B0206C">
        <w:rPr>
          <w:b/>
          <w:bCs/>
          <w:sz w:val="22"/>
          <w:szCs w:val="22"/>
          <w:vertAlign w:val="superscript"/>
          <w:lang w:val="sr-Latn-RS"/>
        </w:rPr>
        <w:t>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23"/>
        <w:gridCol w:w="3148"/>
        <w:gridCol w:w="3192"/>
      </w:tblGrid>
      <w:tr w:rsidR="00A31BA4" w:rsidRPr="00BD141A" w14:paraId="4B4176B3" w14:textId="77777777" w:rsidTr="00A31BA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78CE" w14:textId="77777777" w:rsidR="00A31BA4" w:rsidRDefault="00A31BA4" w:rsidP="00A31BA4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BD141A">
              <w:rPr>
                <w:b/>
                <w:noProof/>
                <w:sz w:val="22"/>
                <w:szCs w:val="22"/>
                <w:lang w:val="hr-HR"/>
              </w:rPr>
              <w:t>Klasa sistema organa</w:t>
            </w:r>
          </w:p>
          <w:p w14:paraId="5A2F776A" w14:textId="695F04B2" w:rsidR="00AA2DB9" w:rsidRPr="00BD141A" w:rsidRDefault="00AA2DB9" w:rsidP="00A31BA4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>
              <w:rPr>
                <w:b/>
                <w:noProof/>
                <w:sz w:val="22"/>
                <w:szCs w:val="22"/>
                <w:lang w:val="hr-HR"/>
              </w:rPr>
              <w:t>(MedDRA)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07D4" w14:textId="77777777" w:rsidR="00A31BA4" w:rsidRPr="00BD141A" w:rsidRDefault="00A31BA4" w:rsidP="00A31BA4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BD141A">
              <w:rPr>
                <w:b/>
                <w:noProof/>
                <w:sz w:val="22"/>
                <w:szCs w:val="22"/>
                <w:lang w:val="hr-HR"/>
              </w:rPr>
              <w:t>Veoma često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468D" w14:textId="77777777" w:rsidR="00A31BA4" w:rsidRPr="00BD141A" w:rsidRDefault="00A31BA4" w:rsidP="00A31BA4">
            <w:pPr>
              <w:jc w:val="both"/>
              <w:rPr>
                <w:b/>
                <w:noProof/>
                <w:sz w:val="22"/>
                <w:szCs w:val="22"/>
                <w:lang w:val="hr-HR"/>
              </w:rPr>
            </w:pPr>
            <w:r w:rsidRPr="00BD141A">
              <w:rPr>
                <w:b/>
                <w:noProof/>
                <w:sz w:val="22"/>
                <w:szCs w:val="22"/>
                <w:lang w:val="hr-HR"/>
              </w:rPr>
              <w:t>Često</w:t>
            </w:r>
          </w:p>
        </w:tc>
      </w:tr>
      <w:tr w:rsidR="00A31BA4" w:rsidRPr="00BD141A" w14:paraId="03A589CB" w14:textId="77777777" w:rsidTr="00A31BA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84F3" w14:textId="77777777" w:rsidR="00A31BA4" w:rsidRPr="00BD141A" w:rsidRDefault="00A31BA4" w:rsidP="00A31BA4">
            <w:pPr>
              <w:rPr>
                <w:bCs/>
                <w:noProof/>
                <w:sz w:val="22"/>
                <w:szCs w:val="22"/>
                <w:lang w:val="hr-HR"/>
              </w:rPr>
            </w:pPr>
            <w:r w:rsidRPr="00BD141A">
              <w:rPr>
                <w:bCs/>
                <w:noProof/>
                <w:sz w:val="22"/>
                <w:szCs w:val="22"/>
                <w:lang w:val="hr-HR"/>
              </w:rPr>
              <w:t>Kardiološki poremećaji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289" w14:textId="77777777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CDD2" w14:textId="77777777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  <w:r w:rsidRPr="00BD141A">
              <w:rPr>
                <w:noProof/>
                <w:sz w:val="22"/>
                <w:szCs w:val="22"/>
                <w:lang w:val="hr-HR"/>
              </w:rPr>
              <w:t>Ishemijska bolest srca</w:t>
            </w:r>
            <w:r w:rsidRPr="00BD141A">
              <w:rPr>
                <w:noProof/>
                <w:sz w:val="22"/>
                <w:szCs w:val="22"/>
                <w:vertAlign w:val="superscript"/>
                <w:lang w:val="hr-HR"/>
              </w:rPr>
              <w:t>b</w:t>
            </w:r>
          </w:p>
          <w:p w14:paraId="4259A1EB" w14:textId="77777777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  <w:r w:rsidRPr="00BD141A">
              <w:rPr>
                <w:noProof/>
                <w:sz w:val="22"/>
                <w:szCs w:val="22"/>
                <w:lang w:val="hr-HR"/>
              </w:rPr>
              <w:t>Sr</w:t>
            </w:r>
            <w:r w:rsidRPr="00BD141A">
              <w:rPr>
                <w:noProof/>
                <w:sz w:val="22"/>
                <w:szCs w:val="22"/>
                <w:lang w:val="sr-Latn-RS"/>
              </w:rPr>
              <w:t>č</w:t>
            </w:r>
            <w:r w:rsidRPr="00BD141A">
              <w:rPr>
                <w:noProof/>
                <w:sz w:val="22"/>
                <w:szCs w:val="22"/>
                <w:lang w:val="hr-HR"/>
              </w:rPr>
              <w:t>ana insuficijencija</w:t>
            </w:r>
            <w:r w:rsidRPr="00BD141A">
              <w:rPr>
                <w:noProof/>
                <w:sz w:val="22"/>
                <w:szCs w:val="22"/>
                <w:vertAlign w:val="superscript"/>
                <w:lang w:val="hr-HR"/>
              </w:rPr>
              <w:t>c</w:t>
            </w:r>
          </w:p>
        </w:tc>
      </w:tr>
      <w:tr w:rsidR="00A31BA4" w:rsidRPr="00BD141A" w14:paraId="21638B84" w14:textId="77777777" w:rsidTr="00A31BA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E6EC" w14:textId="77777777" w:rsidR="00A31BA4" w:rsidRPr="00BD141A" w:rsidRDefault="00A31BA4" w:rsidP="00A31BA4">
            <w:pPr>
              <w:rPr>
                <w:bCs/>
                <w:noProof/>
                <w:sz w:val="22"/>
                <w:szCs w:val="22"/>
                <w:lang w:val="hr-HR"/>
              </w:rPr>
            </w:pPr>
            <w:r w:rsidRPr="00BD141A">
              <w:rPr>
                <w:bCs/>
                <w:noProof/>
                <w:sz w:val="22"/>
                <w:szCs w:val="22"/>
                <w:lang w:val="hr-HR"/>
              </w:rPr>
              <w:t>Poremećaji kože i potkožnog tkiva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BBA" w14:textId="77777777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B6B2" w14:textId="6742D5A4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  <w:r w:rsidRPr="00BD141A">
              <w:rPr>
                <w:noProof/>
                <w:sz w:val="22"/>
                <w:szCs w:val="22"/>
                <w:lang w:val="hr-HR"/>
              </w:rPr>
              <w:t>Osip</w:t>
            </w:r>
            <w:r w:rsidR="00B0206C" w:rsidRPr="00B0206C">
              <w:rPr>
                <w:noProof/>
                <w:sz w:val="22"/>
                <w:szCs w:val="22"/>
                <w:vertAlign w:val="superscript"/>
                <w:lang w:val="hr-HR"/>
              </w:rPr>
              <w:t>d</w:t>
            </w:r>
          </w:p>
        </w:tc>
      </w:tr>
      <w:tr w:rsidR="00A31BA4" w:rsidRPr="00BD141A" w14:paraId="69F17063" w14:textId="77777777" w:rsidTr="00A31BA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15A2" w14:textId="77777777" w:rsidR="00A31BA4" w:rsidRPr="00BD141A" w:rsidRDefault="00A31BA4" w:rsidP="00A31BA4">
            <w:pPr>
              <w:rPr>
                <w:bCs/>
                <w:noProof/>
                <w:sz w:val="22"/>
                <w:szCs w:val="22"/>
                <w:lang w:val="hr-HR"/>
              </w:rPr>
            </w:pPr>
            <w:r w:rsidRPr="00BD141A">
              <w:rPr>
                <w:bCs/>
                <w:noProof/>
                <w:sz w:val="22"/>
                <w:szCs w:val="22"/>
                <w:lang w:val="hr-HR"/>
              </w:rPr>
              <w:t>Poremećaji mišićno-koštanog sistema i vezivnog tkiva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0B0" w14:textId="77777777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898E" w14:textId="77777777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  <w:r w:rsidRPr="00BD141A">
              <w:rPr>
                <w:noProof/>
                <w:sz w:val="22"/>
                <w:szCs w:val="22"/>
                <w:lang w:val="hr-HR"/>
              </w:rPr>
              <w:t>Bol u ekstremitetima</w:t>
            </w:r>
          </w:p>
          <w:p w14:paraId="7E4EE05A" w14:textId="77777777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  <w:r w:rsidRPr="00BD141A">
              <w:rPr>
                <w:noProof/>
                <w:sz w:val="22"/>
                <w:szCs w:val="22"/>
                <w:lang w:val="hr-HR"/>
              </w:rPr>
              <w:t>Bol u kostima i mišićima</w:t>
            </w:r>
          </w:p>
          <w:p w14:paraId="3301DFBF" w14:textId="4B42B463" w:rsidR="00A31BA4" w:rsidRPr="00BD141A" w:rsidRDefault="00AA2DB9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Frakture</w:t>
            </w:r>
          </w:p>
        </w:tc>
      </w:tr>
      <w:tr w:rsidR="00A31BA4" w:rsidRPr="00BD141A" w14:paraId="4474039E" w14:textId="77777777" w:rsidTr="00A31BA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632C" w14:textId="3170FE42" w:rsidR="00A31BA4" w:rsidRPr="00BD141A" w:rsidRDefault="00A31BA4" w:rsidP="00A31BA4">
            <w:pPr>
              <w:rPr>
                <w:bCs/>
                <w:noProof/>
                <w:sz w:val="22"/>
                <w:szCs w:val="22"/>
                <w:lang w:val="hr-HR"/>
              </w:rPr>
            </w:pPr>
            <w:r w:rsidRPr="00BD141A">
              <w:rPr>
                <w:bCs/>
                <w:noProof/>
                <w:sz w:val="22"/>
                <w:szCs w:val="22"/>
                <w:lang w:val="hr-HR"/>
              </w:rPr>
              <w:t>Opšti poremećaji i reakcije na m</w:t>
            </w:r>
            <w:r w:rsidR="00BD141A" w:rsidRPr="00BD141A">
              <w:rPr>
                <w:bCs/>
                <w:noProof/>
                <w:sz w:val="22"/>
                <w:szCs w:val="22"/>
                <w:lang w:val="hr-HR"/>
              </w:rPr>
              <w:t>j</w:t>
            </w:r>
            <w:r w:rsidRPr="00BD141A">
              <w:rPr>
                <w:bCs/>
                <w:noProof/>
                <w:sz w:val="22"/>
                <w:szCs w:val="22"/>
                <w:lang w:val="hr-HR"/>
              </w:rPr>
              <w:t xml:space="preserve">estu </w:t>
            </w:r>
            <w:r w:rsidR="00591AA0" w:rsidRPr="00BD141A">
              <w:rPr>
                <w:bCs/>
                <w:noProof/>
                <w:sz w:val="22"/>
                <w:szCs w:val="22"/>
                <w:lang w:val="hr-HR"/>
              </w:rPr>
              <w:t>primjen</w:t>
            </w:r>
            <w:r w:rsidRPr="00BD141A">
              <w:rPr>
                <w:bCs/>
                <w:noProof/>
                <w:sz w:val="22"/>
                <w:szCs w:val="22"/>
                <w:lang w:val="hr-HR"/>
              </w:rPr>
              <w:t>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8DB1" w14:textId="0DA13664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  <w:r w:rsidRPr="00BD141A">
              <w:rPr>
                <w:noProof/>
                <w:sz w:val="22"/>
                <w:szCs w:val="22"/>
                <w:lang w:val="hr-HR"/>
              </w:rPr>
              <w:t>Stanje zamora/astenija</w:t>
            </w:r>
            <w:r w:rsidR="00B0206C">
              <w:rPr>
                <w:noProof/>
                <w:sz w:val="22"/>
                <w:szCs w:val="22"/>
                <w:vertAlign w:val="superscript"/>
                <w:lang w:val="hr-HR"/>
              </w:rPr>
              <w:t>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8C6" w14:textId="77777777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</w:p>
        </w:tc>
      </w:tr>
      <w:tr w:rsidR="00A31BA4" w:rsidRPr="00BD141A" w14:paraId="5B690A94" w14:textId="77777777" w:rsidTr="00A31BA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AD60" w14:textId="7CB05285" w:rsidR="00A31BA4" w:rsidRPr="00BD141A" w:rsidRDefault="00A31BA4" w:rsidP="00A31BA4">
            <w:pPr>
              <w:rPr>
                <w:bCs/>
                <w:noProof/>
                <w:sz w:val="22"/>
                <w:szCs w:val="22"/>
                <w:lang w:val="hr-HR"/>
              </w:rPr>
            </w:pPr>
            <w:r w:rsidRPr="00BD141A">
              <w:rPr>
                <w:bCs/>
                <w:noProof/>
                <w:sz w:val="22"/>
                <w:szCs w:val="22"/>
                <w:lang w:val="hr-HR"/>
              </w:rPr>
              <w:t>Ispitivanja</w:t>
            </w:r>
            <w:r w:rsidR="00B0206C">
              <w:rPr>
                <w:bCs/>
                <w:noProof/>
                <w:sz w:val="22"/>
                <w:szCs w:val="22"/>
                <w:vertAlign w:val="superscript"/>
                <w:lang w:val="hr-HR"/>
              </w:rPr>
              <w:t>f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01B6" w14:textId="77777777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  <w:r w:rsidRPr="00BD141A">
              <w:rPr>
                <w:noProof/>
                <w:sz w:val="22"/>
                <w:szCs w:val="22"/>
                <w:lang w:val="hr-HR"/>
              </w:rPr>
              <w:t>Smanjen broj neutrofila</w:t>
            </w:r>
          </w:p>
          <w:p w14:paraId="2A0961AF" w14:textId="5B2E6026" w:rsidR="00A31BA4" w:rsidRPr="00BD141A" w:rsidRDefault="00A31BA4" w:rsidP="00BD141A">
            <w:pPr>
              <w:rPr>
                <w:noProof/>
                <w:sz w:val="22"/>
                <w:szCs w:val="22"/>
                <w:lang w:val="hr-HR"/>
              </w:rPr>
            </w:pPr>
            <w:r w:rsidRPr="00BD141A">
              <w:rPr>
                <w:noProof/>
                <w:sz w:val="22"/>
                <w:szCs w:val="22"/>
                <w:lang w:val="hr-HR"/>
              </w:rPr>
              <w:t>Povećanje vr</w:t>
            </w:r>
            <w:r w:rsidR="00BD141A" w:rsidRPr="00BD141A">
              <w:rPr>
                <w:noProof/>
                <w:sz w:val="22"/>
                <w:szCs w:val="22"/>
                <w:lang w:val="hr-HR"/>
              </w:rPr>
              <w:t>ij</w:t>
            </w:r>
            <w:r w:rsidRPr="00BD141A">
              <w:rPr>
                <w:noProof/>
                <w:sz w:val="22"/>
                <w:szCs w:val="22"/>
                <w:lang w:val="hr-HR"/>
              </w:rPr>
              <w:t>ednosti bilirubina</w:t>
            </w:r>
            <w:r w:rsidR="00B0206C">
              <w:rPr>
                <w:noProof/>
                <w:sz w:val="22"/>
                <w:szCs w:val="22"/>
                <w:lang w:val="hr-HR"/>
              </w:rPr>
              <w:t xml:space="preserve"> u krvi</w:t>
            </w:r>
          </w:p>
          <w:p w14:paraId="44F543C0" w14:textId="03104750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  <w:r w:rsidRPr="00BD141A">
              <w:rPr>
                <w:noProof/>
                <w:sz w:val="22"/>
                <w:szCs w:val="22"/>
                <w:lang w:val="hr-HR"/>
              </w:rPr>
              <w:t>Povećanje vr</w:t>
            </w:r>
            <w:r w:rsidR="00BD141A" w:rsidRPr="00BD141A">
              <w:rPr>
                <w:noProof/>
                <w:sz w:val="22"/>
                <w:szCs w:val="22"/>
                <w:lang w:val="hr-HR"/>
              </w:rPr>
              <w:t>ij</w:t>
            </w:r>
            <w:r w:rsidRPr="00BD141A">
              <w:rPr>
                <w:noProof/>
                <w:sz w:val="22"/>
                <w:szCs w:val="22"/>
                <w:lang w:val="hr-HR"/>
              </w:rPr>
              <w:t>ednosti AST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A0A" w14:textId="77777777" w:rsidR="00A31BA4" w:rsidRPr="00BD141A" w:rsidRDefault="00A31BA4" w:rsidP="00A31BA4">
            <w:pPr>
              <w:jc w:val="both"/>
              <w:rPr>
                <w:noProof/>
                <w:sz w:val="22"/>
                <w:szCs w:val="22"/>
                <w:lang w:val="hr-HR"/>
              </w:rPr>
            </w:pPr>
          </w:p>
        </w:tc>
      </w:tr>
    </w:tbl>
    <w:p w14:paraId="4C4AB893" w14:textId="1BB8C8CE" w:rsidR="00A31BA4" w:rsidRDefault="00A31BA4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>
        <w:rPr>
          <w:noProof/>
          <w:sz w:val="20"/>
          <w:szCs w:val="20"/>
          <w:vertAlign w:val="superscript"/>
          <w:lang w:val="hr-HR"/>
        </w:rPr>
        <w:t>a</w:t>
      </w:r>
      <w:r>
        <w:rPr>
          <w:noProof/>
          <w:sz w:val="20"/>
          <w:szCs w:val="20"/>
          <w:lang w:val="hr-HR"/>
        </w:rPr>
        <w:tab/>
      </w:r>
      <w:r w:rsidR="00B0206C" w:rsidRPr="00B0206C">
        <w:rPr>
          <w:noProof/>
          <w:sz w:val="20"/>
          <w:szCs w:val="20"/>
          <w:lang w:val="hr-HR"/>
        </w:rPr>
        <w:t>Srednje trajanje izloženosti bilo je 14,8 m</w:t>
      </w:r>
      <w:r w:rsidR="00B0206C">
        <w:rPr>
          <w:noProof/>
          <w:sz w:val="20"/>
          <w:szCs w:val="20"/>
          <w:lang w:val="hr-HR"/>
        </w:rPr>
        <w:t>j</w:t>
      </w:r>
      <w:r w:rsidR="00B0206C" w:rsidRPr="00B0206C">
        <w:rPr>
          <w:noProof/>
          <w:sz w:val="20"/>
          <w:szCs w:val="20"/>
          <w:lang w:val="hr-HR"/>
        </w:rPr>
        <w:t>eseci (raspon: 0,0 do 44,3 m</w:t>
      </w:r>
      <w:r w:rsidR="00B0206C">
        <w:rPr>
          <w:noProof/>
          <w:sz w:val="20"/>
          <w:szCs w:val="20"/>
          <w:lang w:val="hr-HR"/>
        </w:rPr>
        <w:t>j</w:t>
      </w:r>
      <w:r w:rsidR="00B0206C" w:rsidRPr="00B0206C">
        <w:rPr>
          <w:noProof/>
          <w:sz w:val="20"/>
          <w:szCs w:val="20"/>
          <w:lang w:val="hr-HR"/>
        </w:rPr>
        <w:t>eseca) kod pacijenata na terapiji darolutamidom i 11,0 m</w:t>
      </w:r>
      <w:r w:rsidR="00B0206C">
        <w:rPr>
          <w:noProof/>
          <w:sz w:val="20"/>
          <w:szCs w:val="20"/>
          <w:lang w:val="hr-HR"/>
        </w:rPr>
        <w:t>j</w:t>
      </w:r>
      <w:r w:rsidR="00B0206C" w:rsidRPr="00B0206C">
        <w:rPr>
          <w:noProof/>
          <w:sz w:val="20"/>
          <w:szCs w:val="20"/>
          <w:lang w:val="hr-HR"/>
        </w:rPr>
        <w:t>eseci (raspon: 0,1 do 40,5 m</w:t>
      </w:r>
      <w:r w:rsidR="00B0206C">
        <w:rPr>
          <w:noProof/>
          <w:sz w:val="20"/>
          <w:szCs w:val="20"/>
          <w:lang w:val="hr-HR"/>
        </w:rPr>
        <w:t>j</w:t>
      </w:r>
      <w:r w:rsidR="00B0206C" w:rsidRPr="00B0206C">
        <w:rPr>
          <w:noProof/>
          <w:sz w:val="20"/>
          <w:szCs w:val="20"/>
          <w:lang w:val="hr-HR"/>
        </w:rPr>
        <w:t>eseci) kod pacijenata koji su primali placeb</w:t>
      </w:r>
      <w:r w:rsidR="00B0206C">
        <w:rPr>
          <w:noProof/>
          <w:sz w:val="20"/>
          <w:szCs w:val="20"/>
          <w:lang w:val="hr-HR"/>
        </w:rPr>
        <w:t>o</w:t>
      </w:r>
      <w:r>
        <w:rPr>
          <w:noProof/>
          <w:sz w:val="20"/>
          <w:szCs w:val="20"/>
          <w:lang w:val="hr-HR"/>
        </w:rPr>
        <w:t>.</w:t>
      </w:r>
    </w:p>
    <w:p w14:paraId="6997B5B8" w14:textId="77777777" w:rsidR="00A31BA4" w:rsidRDefault="00A31BA4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>
        <w:rPr>
          <w:noProof/>
          <w:sz w:val="20"/>
          <w:szCs w:val="20"/>
          <w:vertAlign w:val="superscript"/>
          <w:lang w:val="hr-HR"/>
        </w:rPr>
        <w:t>b</w:t>
      </w:r>
      <w:r>
        <w:rPr>
          <w:noProof/>
          <w:sz w:val="20"/>
          <w:szCs w:val="20"/>
          <w:lang w:val="hr-HR"/>
        </w:rPr>
        <w:tab/>
        <w:t>Uključuje arteriosklerozu koronarnih arterija, bolest koronarnih arterija, okluziju koronarnih arterija, stenozu koronarnih arterija, akutni koronarni sindrom, akutni infarkt miokarda, anginu pektoris, nestabilnu anginu, infarkt miokarda, ishemiju miokarda.</w:t>
      </w:r>
    </w:p>
    <w:p w14:paraId="7C233745" w14:textId="721BF4B5" w:rsidR="00A31BA4" w:rsidRDefault="00A31BA4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>
        <w:rPr>
          <w:noProof/>
          <w:sz w:val="20"/>
          <w:szCs w:val="20"/>
          <w:vertAlign w:val="superscript"/>
          <w:lang w:val="hr-HR"/>
        </w:rPr>
        <w:t>c</w:t>
      </w:r>
      <w:r>
        <w:rPr>
          <w:noProof/>
          <w:sz w:val="20"/>
          <w:szCs w:val="20"/>
          <w:lang w:val="hr-HR"/>
        </w:rPr>
        <w:tab/>
        <w:t>Uključuje srčanu isuficijenciju, akutnu srčanu insuficijenciju, hroničnu srčanu insuficijenciju, kongestivnu srčanu isuficijenciju, kardiogeni šok.</w:t>
      </w:r>
    </w:p>
    <w:p w14:paraId="32F43115" w14:textId="77777777" w:rsidR="00B0206C" w:rsidRDefault="00B0206C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 w:rsidRPr="005351AD">
        <w:rPr>
          <w:noProof/>
          <w:sz w:val="20"/>
          <w:szCs w:val="20"/>
          <w:vertAlign w:val="superscript"/>
          <w:lang w:val="hr-HR"/>
        </w:rPr>
        <w:t>d</w:t>
      </w:r>
      <w:r>
        <w:rPr>
          <w:noProof/>
          <w:sz w:val="20"/>
          <w:szCs w:val="20"/>
          <w:lang w:val="hr-HR"/>
        </w:rPr>
        <w:tab/>
      </w:r>
      <w:r w:rsidRPr="001F4EAF">
        <w:rPr>
          <w:noProof/>
          <w:sz w:val="20"/>
          <w:szCs w:val="20"/>
          <w:lang w:val="hr-HR"/>
        </w:rPr>
        <w:t>Uključuje osip, makularni osip, makulo-papularni osip, papularni osip, pustularni osip</w:t>
      </w:r>
      <w:r>
        <w:rPr>
          <w:noProof/>
          <w:sz w:val="20"/>
          <w:szCs w:val="20"/>
          <w:lang w:val="hr-HR"/>
        </w:rPr>
        <w:t>, eritem, dermatitis</w:t>
      </w:r>
      <w:r w:rsidRPr="000A6758">
        <w:rPr>
          <w:noProof/>
          <w:sz w:val="20"/>
          <w:szCs w:val="20"/>
          <w:lang w:val="hr-HR"/>
        </w:rPr>
        <w:t xml:space="preserve"> </w:t>
      </w:r>
    </w:p>
    <w:p w14:paraId="3587B9EB" w14:textId="34A5A99A" w:rsidR="00B0206C" w:rsidRDefault="00B0206C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>
        <w:rPr>
          <w:noProof/>
          <w:szCs w:val="22"/>
          <w:vertAlign w:val="superscript"/>
          <w:lang w:val="hr-HR"/>
        </w:rPr>
        <w:lastRenderedPageBreak/>
        <w:t>e</w:t>
      </w:r>
      <w:r>
        <w:rPr>
          <w:noProof/>
          <w:szCs w:val="22"/>
          <w:vertAlign w:val="superscript"/>
          <w:lang w:val="hr-HR"/>
        </w:rPr>
        <w:tab/>
      </w:r>
      <w:r w:rsidRPr="008437BB">
        <w:rPr>
          <w:noProof/>
          <w:sz w:val="20"/>
          <w:szCs w:val="20"/>
          <w:lang w:val="hr-HR"/>
        </w:rPr>
        <w:t>Uključuje umor i asteniju, letargiju i malaksalost.</w:t>
      </w:r>
    </w:p>
    <w:p w14:paraId="6E0C53B1" w14:textId="1AFC4D45" w:rsidR="00A31BA4" w:rsidRDefault="00B0206C" w:rsidP="00CA109F">
      <w:pPr>
        <w:ind w:left="284" w:hanging="284"/>
        <w:jc w:val="both"/>
        <w:rPr>
          <w:noProof/>
          <w:sz w:val="22"/>
          <w:szCs w:val="22"/>
          <w:lang w:val="hr-HR"/>
        </w:rPr>
      </w:pPr>
      <w:r>
        <w:rPr>
          <w:noProof/>
          <w:sz w:val="20"/>
          <w:szCs w:val="20"/>
          <w:vertAlign w:val="superscript"/>
          <w:lang w:val="hr-HR"/>
        </w:rPr>
        <w:t>f</w:t>
      </w:r>
      <w:r w:rsidR="00A31BA4">
        <w:rPr>
          <w:noProof/>
          <w:sz w:val="20"/>
          <w:szCs w:val="20"/>
          <w:lang w:val="hr-HR"/>
        </w:rPr>
        <w:tab/>
        <w:t xml:space="preserve">Zajednički terminološki kriterijumi za neželjene događaje (eng. </w:t>
      </w:r>
      <w:r w:rsidR="00A31BA4">
        <w:rPr>
          <w:i/>
          <w:iCs/>
          <w:noProof/>
          <w:sz w:val="20"/>
          <w:szCs w:val="20"/>
          <w:lang w:val="hr-HR"/>
        </w:rPr>
        <w:t>Common Terminology Criteria for Adverse Events, CTCAE</w:t>
      </w:r>
      <w:r w:rsidR="00A31BA4">
        <w:rPr>
          <w:noProof/>
          <w:sz w:val="20"/>
          <w:szCs w:val="20"/>
          <w:lang w:val="hr-HR"/>
        </w:rPr>
        <w:t>) verzija 4.03.</w:t>
      </w:r>
      <w:r>
        <w:rPr>
          <w:noProof/>
          <w:sz w:val="20"/>
          <w:szCs w:val="20"/>
          <w:lang w:val="hr-HR"/>
        </w:rPr>
        <w:t xml:space="preserve"> </w:t>
      </w:r>
      <w:r w:rsidRPr="00B0206C">
        <w:rPr>
          <w:noProof/>
          <w:sz w:val="20"/>
          <w:szCs w:val="20"/>
          <w:lang w:val="hr-HR"/>
        </w:rPr>
        <w:t>Incidenca je zasnovana na vr</w:t>
      </w:r>
      <w:r>
        <w:rPr>
          <w:noProof/>
          <w:sz w:val="20"/>
          <w:szCs w:val="20"/>
          <w:lang w:val="hr-HR"/>
        </w:rPr>
        <w:t>ij</w:t>
      </w:r>
      <w:r w:rsidRPr="00B0206C">
        <w:rPr>
          <w:noProof/>
          <w:sz w:val="20"/>
          <w:szCs w:val="20"/>
          <w:lang w:val="hr-HR"/>
        </w:rPr>
        <w:t>ednostima prijavljenim kao odstupanja od normalnih vr</w:t>
      </w:r>
      <w:r>
        <w:rPr>
          <w:noProof/>
          <w:sz w:val="20"/>
          <w:szCs w:val="20"/>
          <w:lang w:val="hr-HR"/>
        </w:rPr>
        <w:t>ij</w:t>
      </w:r>
      <w:r w:rsidRPr="00B0206C">
        <w:rPr>
          <w:noProof/>
          <w:sz w:val="20"/>
          <w:szCs w:val="20"/>
          <w:lang w:val="hr-HR"/>
        </w:rPr>
        <w:t>ednosti laboratorijskih testova</w:t>
      </w:r>
      <w:r>
        <w:rPr>
          <w:noProof/>
          <w:sz w:val="20"/>
          <w:szCs w:val="20"/>
          <w:lang w:val="hr-HR"/>
        </w:rPr>
        <w:t>.</w:t>
      </w:r>
    </w:p>
    <w:p w14:paraId="578A33F7" w14:textId="7F0F31F4" w:rsidR="00A31BA4" w:rsidRDefault="00A31BA4" w:rsidP="000E7BED">
      <w:pPr>
        <w:jc w:val="both"/>
        <w:rPr>
          <w:noProof/>
          <w:sz w:val="22"/>
          <w:szCs w:val="22"/>
          <w:u w:val="single"/>
          <w:lang w:val="hr-HR"/>
        </w:rPr>
      </w:pPr>
    </w:p>
    <w:p w14:paraId="35C3F6B2" w14:textId="77777777" w:rsidR="00B0206C" w:rsidRPr="00B33134" w:rsidRDefault="00B0206C" w:rsidP="00B33134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RS"/>
        </w:rPr>
      </w:pPr>
      <w:r w:rsidRPr="00B33134">
        <w:rPr>
          <w:b/>
          <w:sz w:val="22"/>
          <w:szCs w:val="22"/>
          <w:lang w:val="sr-Latn-RS"/>
        </w:rPr>
        <w:t>Tabela 2</w:t>
      </w:r>
      <w:r w:rsidRPr="00B33134">
        <w:rPr>
          <w:b/>
          <w:bCs/>
          <w:sz w:val="22"/>
          <w:szCs w:val="22"/>
          <w:lang w:val="sr-Latn-RS"/>
        </w:rPr>
        <w:t>: Neželjene reakcije prijavljene kod pacijenata sa mHSPC na terapiji darolutamidom u kombinaciji sa docetakseom u ARASENS ispitivanju</w:t>
      </w:r>
      <w:r w:rsidRPr="00B33134">
        <w:rPr>
          <w:b/>
          <w:bCs/>
          <w:sz w:val="22"/>
          <w:szCs w:val="22"/>
          <w:vertAlign w:val="superscript"/>
          <w:lang w:val="sr-Latn-RS"/>
        </w:rPr>
        <w:t>a, b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3686"/>
        <w:gridCol w:w="2405"/>
      </w:tblGrid>
      <w:tr w:rsidR="00B0206C" w:rsidRPr="00B33134" w14:paraId="5C2B91D0" w14:textId="77777777" w:rsidTr="00B331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D944" w14:textId="77777777" w:rsidR="00B0206C" w:rsidRPr="00B33134" w:rsidRDefault="00B0206C" w:rsidP="000632D6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33134">
              <w:rPr>
                <w:b/>
                <w:noProof/>
                <w:sz w:val="22"/>
                <w:szCs w:val="22"/>
                <w:lang w:val="hr-HR"/>
              </w:rPr>
              <w:t>Klasa sistema organa</w:t>
            </w:r>
          </w:p>
          <w:p w14:paraId="422ACDEF" w14:textId="77777777" w:rsidR="00B0206C" w:rsidRPr="00B33134" w:rsidRDefault="00B0206C" w:rsidP="000632D6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33134">
              <w:rPr>
                <w:b/>
                <w:noProof/>
                <w:sz w:val="22"/>
                <w:szCs w:val="22"/>
                <w:lang w:val="hr-HR"/>
              </w:rPr>
              <w:t>(MedDRA)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278E" w14:textId="77777777" w:rsidR="00B0206C" w:rsidRPr="00B33134" w:rsidRDefault="00B0206C" w:rsidP="000632D6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33134">
              <w:rPr>
                <w:b/>
                <w:noProof/>
                <w:sz w:val="22"/>
                <w:szCs w:val="22"/>
                <w:lang w:val="hr-HR"/>
              </w:rPr>
              <w:t>Veoma često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BB5" w14:textId="77777777" w:rsidR="00B0206C" w:rsidRPr="00B33134" w:rsidRDefault="00B0206C" w:rsidP="000632D6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B33134">
              <w:rPr>
                <w:b/>
                <w:noProof/>
                <w:sz w:val="22"/>
                <w:szCs w:val="22"/>
                <w:lang w:val="hr-HR"/>
              </w:rPr>
              <w:t>Često</w:t>
            </w:r>
          </w:p>
        </w:tc>
      </w:tr>
      <w:tr w:rsidR="00B0206C" w:rsidRPr="00B33134" w14:paraId="30CE5A9E" w14:textId="77777777" w:rsidTr="00B331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C836" w14:textId="77777777" w:rsidR="00B0206C" w:rsidRPr="00B33134" w:rsidRDefault="00B0206C" w:rsidP="000632D6">
            <w:pPr>
              <w:rPr>
                <w:bCs/>
                <w:noProof/>
                <w:sz w:val="22"/>
                <w:szCs w:val="22"/>
                <w:lang w:val="hr-HR"/>
              </w:rPr>
            </w:pPr>
            <w:r w:rsidRPr="00B33134">
              <w:rPr>
                <w:bCs/>
                <w:noProof/>
                <w:sz w:val="22"/>
                <w:szCs w:val="22"/>
                <w:lang w:val="hr-HR"/>
              </w:rPr>
              <w:t>Vaskularni poremećaji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575" w14:textId="77777777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  <w:r w:rsidRPr="00B33134">
              <w:rPr>
                <w:noProof/>
                <w:sz w:val="22"/>
                <w:szCs w:val="22"/>
                <w:lang w:val="hr-HR"/>
              </w:rPr>
              <w:t>Hipertenzija</w:t>
            </w:r>
            <w:r w:rsidRPr="00B33134">
              <w:rPr>
                <w:noProof/>
                <w:sz w:val="22"/>
                <w:szCs w:val="22"/>
                <w:vertAlign w:val="superscript"/>
                <w:lang w:val="hr-HR"/>
              </w:rPr>
              <w:t>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08ED" w14:textId="77777777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</w:p>
        </w:tc>
      </w:tr>
      <w:tr w:rsidR="00B0206C" w:rsidRPr="00B33134" w14:paraId="524A0959" w14:textId="77777777" w:rsidTr="00B331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362A" w14:textId="77777777" w:rsidR="00B0206C" w:rsidRPr="00B33134" w:rsidRDefault="00B0206C" w:rsidP="000632D6">
            <w:pPr>
              <w:rPr>
                <w:bCs/>
                <w:noProof/>
                <w:sz w:val="22"/>
                <w:szCs w:val="22"/>
                <w:lang w:val="hr-HR"/>
              </w:rPr>
            </w:pPr>
            <w:r w:rsidRPr="00B33134">
              <w:rPr>
                <w:bCs/>
                <w:noProof/>
                <w:sz w:val="22"/>
                <w:szCs w:val="22"/>
                <w:lang w:val="hr-HR"/>
              </w:rPr>
              <w:t>Poremećaji kože i potkožnog tkiva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023" w14:textId="77777777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  <w:r w:rsidRPr="00B33134">
              <w:rPr>
                <w:noProof/>
                <w:sz w:val="22"/>
                <w:szCs w:val="22"/>
                <w:lang w:val="hr-HR"/>
              </w:rPr>
              <w:t>Osip</w:t>
            </w:r>
            <w:r w:rsidRPr="00B33134">
              <w:rPr>
                <w:noProof/>
                <w:sz w:val="22"/>
                <w:szCs w:val="22"/>
                <w:vertAlign w:val="superscript"/>
                <w:lang w:val="hr-HR"/>
              </w:rPr>
              <w:t>d, 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153" w14:textId="77777777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</w:p>
        </w:tc>
      </w:tr>
      <w:tr w:rsidR="00B0206C" w:rsidRPr="00B33134" w14:paraId="17CB0337" w14:textId="77777777" w:rsidTr="00B331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042" w14:textId="77777777" w:rsidR="00B0206C" w:rsidRPr="00B33134" w:rsidRDefault="00B0206C" w:rsidP="000632D6">
            <w:pPr>
              <w:rPr>
                <w:bCs/>
                <w:noProof/>
                <w:sz w:val="22"/>
                <w:szCs w:val="22"/>
                <w:lang w:val="hr-HR"/>
              </w:rPr>
            </w:pPr>
            <w:r w:rsidRPr="00B33134">
              <w:rPr>
                <w:bCs/>
                <w:noProof/>
                <w:sz w:val="22"/>
                <w:szCs w:val="22"/>
                <w:lang w:val="hr-HR"/>
              </w:rPr>
              <w:t>Poremećaji mišićno-koštanog sistema i vezivnog tkiva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5784" w14:textId="77777777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4063" w14:textId="77777777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  <w:r w:rsidRPr="00B33134">
              <w:rPr>
                <w:noProof/>
                <w:sz w:val="22"/>
                <w:szCs w:val="22"/>
                <w:lang w:val="hr-HR"/>
              </w:rPr>
              <w:t>Frakture</w:t>
            </w:r>
          </w:p>
        </w:tc>
      </w:tr>
      <w:tr w:rsidR="00B0206C" w:rsidRPr="00B33134" w14:paraId="18F7DC73" w14:textId="77777777" w:rsidTr="00B331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203" w14:textId="77777777" w:rsidR="00B0206C" w:rsidRPr="00B33134" w:rsidRDefault="00B0206C" w:rsidP="000632D6">
            <w:pPr>
              <w:rPr>
                <w:bCs/>
                <w:noProof/>
                <w:sz w:val="22"/>
                <w:szCs w:val="22"/>
                <w:lang w:val="hr-HR"/>
              </w:rPr>
            </w:pPr>
            <w:r w:rsidRPr="00B33134">
              <w:rPr>
                <w:bCs/>
                <w:noProof/>
                <w:sz w:val="22"/>
                <w:szCs w:val="22"/>
                <w:lang w:val="hr-HR"/>
              </w:rPr>
              <w:t>Poremećaji reproduktivnog sistema i dojki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0D4C" w14:textId="77777777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FF23" w14:textId="77777777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  <w:r w:rsidRPr="00B33134">
              <w:rPr>
                <w:noProof/>
                <w:sz w:val="22"/>
                <w:szCs w:val="22"/>
                <w:lang w:val="hr-HR"/>
              </w:rPr>
              <w:t>Ginekomastija</w:t>
            </w:r>
          </w:p>
        </w:tc>
      </w:tr>
      <w:tr w:rsidR="00B0206C" w:rsidRPr="00B33134" w14:paraId="19701A59" w14:textId="77777777" w:rsidTr="00B331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FA1" w14:textId="77777777" w:rsidR="00B0206C" w:rsidRPr="00B33134" w:rsidRDefault="00B0206C" w:rsidP="000632D6">
            <w:pPr>
              <w:rPr>
                <w:bCs/>
                <w:noProof/>
                <w:sz w:val="22"/>
                <w:szCs w:val="22"/>
                <w:lang w:val="hr-HR"/>
              </w:rPr>
            </w:pPr>
            <w:r w:rsidRPr="00B33134">
              <w:rPr>
                <w:bCs/>
                <w:noProof/>
                <w:sz w:val="22"/>
                <w:szCs w:val="22"/>
                <w:lang w:val="hr-HR"/>
              </w:rPr>
              <w:t>Ispitivanja</w:t>
            </w:r>
            <w:r w:rsidRPr="00B33134">
              <w:rPr>
                <w:bCs/>
                <w:noProof/>
                <w:sz w:val="22"/>
                <w:szCs w:val="22"/>
                <w:vertAlign w:val="superscript"/>
                <w:lang w:val="hr-HR"/>
              </w:rPr>
              <w:t>f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FB1C" w14:textId="77777777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  <w:r w:rsidRPr="00B33134">
              <w:rPr>
                <w:noProof/>
                <w:sz w:val="22"/>
                <w:szCs w:val="22"/>
                <w:lang w:val="hr-HR"/>
              </w:rPr>
              <w:t>Smanjen broj neutrofila</w:t>
            </w:r>
          </w:p>
          <w:p w14:paraId="1FFF3252" w14:textId="7275887A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  <w:r w:rsidRPr="00B33134">
              <w:rPr>
                <w:noProof/>
                <w:sz w:val="22"/>
                <w:szCs w:val="22"/>
                <w:lang w:val="hr-HR"/>
              </w:rPr>
              <w:t>Povećanje vr</w:t>
            </w:r>
            <w:r w:rsidR="00B33134">
              <w:rPr>
                <w:noProof/>
                <w:sz w:val="22"/>
                <w:szCs w:val="22"/>
                <w:lang w:val="hr-HR"/>
              </w:rPr>
              <w:t>ij</w:t>
            </w:r>
            <w:r w:rsidRPr="00B33134">
              <w:rPr>
                <w:noProof/>
                <w:sz w:val="22"/>
                <w:szCs w:val="22"/>
                <w:lang w:val="hr-HR"/>
              </w:rPr>
              <w:t>ednosti bilirubina u krvi</w:t>
            </w:r>
          </w:p>
          <w:p w14:paraId="1C3A42C4" w14:textId="36F1CA03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  <w:r w:rsidRPr="00B33134">
              <w:rPr>
                <w:noProof/>
                <w:sz w:val="22"/>
                <w:szCs w:val="22"/>
                <w:lang w:val="hr-HR"/>
              </w:rPr>
              <w:t>Povećanje vr</w:t>
            </w:r>
            <w:r w:rsidR="00B33134">
              <w:rPr>
                <w:noProof/>
                <w:sz w:val="22"/>
                <w:szCs w:val="22"/>
                <w:lang w:val="hr-HR"/>
              </w:rPr>
              <w:t>ij</w:t>
            </w:r>
            <w:r w:rsidRPr="00B33134">
              <w:rPr>
                <w:noProof/>
                <w:sz w:val="22"/>
                <w:szCs w:val="22"/>
                <w:lang w:val="hr-HR"/>
              </w:rPr>
              <w:t>ednosti ALT</w:t>
            </w:r>
          </w:p>
          <w:p w14:paraId="02201DEB" w14:textId="4374DB93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  <w:r w:rsidRPr="00B33134">
              <w:rPr>
                <w:noProof/>
                <w:sz w:val="22"/>
                <w:szCs w:val="22"/>
                <w:lang w:val="hr-HR"/>
              </w:rPr>
              <w:t>Povećanje vr</w:t>
            </w:r>
            <w:r w:rsidR="00B33134">
              <w:rPr>
                <w:noProof/>
                <w:sz w:val="22"/>
                <w:szCs w:val="22"/>
                <w:lang w:val="hr-HR"/>
              </w:rPr>
              <w:t>ij</w:t>
            </w:r>
            <w:r w:rsidRPr="00B33134">
              <w:rPr>
                <w:noProof/>
                <w:sz w:val="22"/>
                <w:szCs w:val="22"/>
                <w:lang w:val="hr-HR"/>
              </w:rPr>
              <w:t>ednosti AST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324" w14:textId="77777777" w:rsidR="00B0206C" w:rsidRPr="00B33134" w:rsidRDefault="00B0206C" w:rsidP="000632D6">
            <w:pPr>
              <w:rPr>
                <w:noProof/>
                <w:sz w:val="22"/>
                <w:szCs w:val="22"/>
                <w:lang w:val="hr-HR"/>
              </w:rPr>
            </w:pPr>
          </w:p>
        </w:tc>
      </w:tr>
    </w:tbl>
    <w:p w14:paraId="7CAF90A2" w14:textId="06CEEB61" w:rsidR="00B0206C" w:rsidRPr="008437BB" w:rsidRDefault="00B0206C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 w:rsidRPr="005351AD">
        <w:rPr>
          <w:noProof/>
          <w:sz w:val="20"/>
          <w:szCs w:val="20"/>
          <w:vertAlign w:val="superscript"/>
          <w:lang w:val="hr-HR"/>
        </w:rPr>
        <w:t>a</w:t>
      </w:r>
      <w:r>
        <w:rPr>
          <w:noProof/>
          <w:sz w:val="20"/>
          <w:szCs w:val="20"/>
          <w:lang w:val="hr-HR"/>
        </w:rPr>
        <w:tab/>
        <w:t>Srednje trajanje izloženosti bilo je 41,0 m</w:t>
      </w:r>
      <w:r w:rsidR="00B33134">
        <w:rPr>
          <w:noProof/>
          <w:sz w:val="20"/>
          <w:szCs w:val="20"/>
          <w:lang w:val="hr-HR"/>
        </w:rPr>
        <w:t>j</w:t>
      </w:r>
      <w:r>
        <w:rPr>
          <w:noProof/>
          <w:sz w:val="20"/>
          <w:szCs w:val="20"/>
          <w:lang w:val="hr-HR"/>
        </w:rPr>
        <w:t>esec (raspon: 0,1 do 56,5 m</w:t>
      </w:r>
      <w:r w:rsidR="00B33134">
        <w:rPr>
          <w:noProof/>
          <w:sz w:val="20"/>
          <w:szCs w:val="20"/>
          <w:lang w:val="hr-HR"/>
        </w:rPr>
        <w:t>j</w:t>
      </w:r>
      <w:r>
        <w:rPr>
          <w:noProof/>
          <w:sz w:val="20"/>
          <w:szCs w:val="20"/>
          <w:lang w:val="hr-HR"/>
        </w:rPr>
        <w:t>eseci) kod pacijenata na terapiji darolutamidom u kombinaciji sa docetakselom i 16,7 m</w:t>
      </w:r>
      <w:r w:rsidR="00B33134">
        <w:rPr>
          <w:noProof/>
          <w:sz w:val="20"/>
          <w:szCs w:val="20"/>
          <w:lang w:val="hr-HR"/>
        </w:rPr>
        <w:t>j</w:t>
      </w:r>
      <w:r>
        <w:rPr>
          <w:noProof/>
          <w:sz w:val="20"/>
          <w:szCs w:val="20"/>
          <w:lang w:val="hr-HR"/>
        </w:rPr>
        <w:t>eseci (raspon: 0,3 do 55,8 m</w:t>
      </w:r>
      <w:r w:rsidR="00B33134">
        <w:rPr>
          <w:noProof/>
          <w:sz w:val="20"/>
          <w:szCs w:val="20"/>
          <w:lang w:val="hr-HR"/>
        </w:rPr>
        <w:t>j</w:t>
      </w:r>
      <w:r>
        <w:rPr>
          <w:noProof/>
          <w:sz w:val="20"/>
          <w:szCs w:val="20"/>
          <w:lang w:val="hr-HR"/>
        </w:rPr>
        <w:t>eseci) kod pacijenata koji su primali placebo u kombinaciji sa docetakselom.</w:t>
      </w:r>
    </w:p>
    <w:p w14:paraId="764CA1EA" w14:textId="4B288995" w:rsidR="00B0206C" w:rsidRPr="008437BB" w:rsidRDefault="00B0206C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 w:rsidRPr="008437BB">
        <w:rPr>
          <w:noProof/>
          <w:sz w:val="20"/>
          <w:szCs w:val="20"/>
          <w:vertAlign w:val="superscript"/>
          <w:lang w:val="hr-HR"/>
        </w:rPr>
        <w:t>b</w:t>
      </w:r>
      <w:r>
        <w:rPr>
          <w:noProof/>
          <w:sz w:val="20"/>
          <w:szCs w:val="20"/>
          <w:lang w:val="hr-HR"/>
        </w:rPr>
        <w:tab/>
        <w:t>Incidence neželjenih reakcija se ne mogu pripisati samo darolutamidu, već mogu sadržati doprinos drugih l</w:t>
      </w:r>
      <w:r w:rsidR="00B33134">
        <w:rPr>
          <w:noProof/>
          <w:sz w:val="20"/>
          <w:szCs w:val="20"/>
          <w:lang w:val="hr-HR"/>
        </w:rPr>
        <w:t>j</w:t>
      </w:r>
      <w:r>
        <w:rPr>
          <w:noProof/>
          <w:sz w:val="20"/>
          <w:szCs w:val="20"/>
          <w:lang w:val="hr-HR"/>
        </w:rPr>
        <w:t>ekova koji se koriste u kombinaciji sa darolutamidom.</w:t>
      </w:r>
    </w:p>
    <w:p w14:paraId="74EC9301" w14:textId="77777777" w:rsidR="00B0206C" w:rsidRDefault="00B0206C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 w:rsidRPr="008437BB">
        <w:rPr>
          <w:noProof/>
          <w:sz w:val="20"/>
          <w:szCs w:val="20"/>
          <w:vertAlign w:val="superscript"/>
          <w:lang w:val="hr-HR"/>
        </w:rPr>
        <w:t>c</w:t>
      </w:r>
      <w:r>
        <w:rPr>
          <w:noProof/>
          <w:sz w:val="20"/>
          <w:szCs w:val="20"/>
          <w:lang w:val="hr-HR"/>
        </w:rPr>
        <w:tab/>
      </w:r>
      <w:r w:rsidRPr="008437BB">
        <w:rPr>
          <w:noProof/>
          <w:sz w:val="20"/>
          <w:szCs w:val="20"/>
          <w:lang w:val="hr-HR"/>
        </w:rPr>
        <w:t>Uključuje</w:t>
      </w:r>
      <w:r>
        <w:rPr>
          <w:noProof/>
          <w:sz w:val="20"/>
          <w:szCs w:val="20"/>
          <w:lang w:val="hr-HR"/>
        </w:rPr>
        <w:t xml:space="preserve"> hipertenziju, povišenje krvnog pritiska, hitne slučajeve u vezi sa hipertenzijom</w:t>
      </w:r>
      <w:r w:rsidRPr="008437BB">
        <w:rPr>
          <w:noProof/>
          <w:sz w:val="20"/>
          <w:szCs w:val="20"/>
          <w:lang w:val="hr-HR"/>
        </w:rPr>
        <w:t>.</w:t>
      </w:r>
      <w:r w:rsidRPr="005351AD">
        <w:rPr>
          <w:noProof/>
          <w:sz w:val="20"/>
          <w:szCs w:val="20"/>
          <w:lang w:val="hr-HR"/>
        </w:rPr>
        <w:t xml:space="preserve"> </w:t>
      </w:r>
    </w:p>
    <w:p w14:paraId="32D07717" w14:textId="55A5D104" w:rsidR="00B0206C" w:rsidRDefault="00B0206C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 w:rsidRPr="005351AD">
        <w:rPr>
          <w:noProof/>
          <w:sz w:val="20"/>
          <w:szCs w:val="20"/>
          <w:vertAlign w:val="superscript"/>
          <w:lang w:val="hr-HR"/>
        </w:rPr>
        <w:t>d</w:t>
      </w:r>
      <w:r>
        <w:rPr>
          <w:noProof/>
          <w:sz w:val="20"/>
          <w:szCs w:val="20"/>
          <w:lang w:val="hr-HR"/>
        </w:rPr>
        <w:tab/>
      </w:r>
      <w:r w:rsidRPr="001F4EAF">
        <w:rPr>
          <w:noProof/>
          <w:sz w:val="20"/>
          <w:szCs w:val="20"/>
          <w:lang w:val="hr-HR"/>
        </w:rPr>
        <w:t>Uključuje osip,</w:t>
      </w:r>
      <w:r>
        <w:rPr>
          <w:noProof/>
          <w:sz w:val="20"/>
          <w:szCs w:val="20"/>
          <w:lang w:val="hr-HR"/>
        </w:rPr>
        <w:t xml:space="preserve"> erupcije izazvane l</w:t>
      </w:r>
      <w:r w:rsidR="00B33134">
        <w:rPr>
          <w:noProof/>
          <w:sz w:val="20"/>
          <w:szCs w:val="20"/>
          <w:lang w:val="hr-HR"/>
        </w:rPr>
        <w:t>ij</w:t>
      </w:r>
      <w:r>
        <w:rPr>
          <w:noProof/>
          <w:sz w:val="20"/>
          <w:szCs w:val="20"/>
          <w:lang w:val="hr-HR"/>
        </w:rPr>
        <w:t xml:space="preserve">ekom, eritematozni </w:t>
      </w:r>
      <w:r w:rsidRPr="001F4EAF">
        <w:rPr>
          <w:noProof/>
          <w:sz w:val="20"/>
          <w:szCs w:val="20"/>
          <w:lang w:val="hr-HR"/>
        </w:rPr>
        <w:t xml:space="preserve">osip, </w:t>
      </w:r>
      <w:r>
        <w:rPr>
          <w:noProof/>
          <w:sz w:val="20"/>
          <w:szCs w:val="20"/>
          <w:lang w:val="hr-HR"/>
        </w:rPr>
        <w:t xml:space="preserve">folikularni osip, makularni osip, </w:t>
      </w:r>
      <w:r w:rsidRPr="001F4EAF">
        <w:rPr>
          <w:noProof/>
          <w:sz w:val="20"/>
          <w:szCs w:val="20"/>
          <w:lang w:val="hr-HR"/>
        </w:rPr>
        <w:t xml:space="preserve">makulo-papularni osip, papularni osip, </w:t>
      </w:r>
      <w:r>
        <w:rPr>
          <w:noProof/>
          <w:sz w:val="20"/>
          <w:szCs w:val="20"/>
          <w:lang w:val="hr-HR"/>
        </w:rPr>
        <w:t xml:space="preserve">pruritozni osip, </w:t>
      </w:r>
      <w:r w:rsidRPr="001F4EAF">
        <w:rPr>
          <w:noProof/>
          <w:sz w:val="20"/>
          <w:szCs w:val="20"/>
          <w:lang w:val="hr-HR"/>
        </w:rPr>
        <w:t>pustularni osip</w:t>
      </w:r>
      <w:r>
        <w:rPr>
          <w:noProof/>
          <w:sz w:val="20"/>
          <w:szCs w:val="20"/>
          <w:lang w:val="hr-HR"/>
        </w:rPr>
        <w:t>, vezikularni osip, eritem, dermatitis.</w:t>
      </w:r>
      <w:r w:rsidRPr="000A6758">
        <w:rPr>
          <w:noProof/>
          <w:sz w:val="20"/>
          <w:szCs w:val="20"/>
          <w:lang w:val="hr-HR"/>
        </w:rPr>
        <w:t xml:space="preserve"> </w:t>
      </w:r>
    </w:p>
    <w:p w14:paraId="02756C39" w14:textId="55506D2E" w:rsidR="00B0206C" w:rsidRPr="001F4EAF" w:rsidRDefault="00B0206C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>
        <w:rPr>
          <w:noProof/>
          <w:szCs w:val="22"/>
          <w:vertAlign w:val="superscript"/>
          <w:lang w:val="hr-HR"/>
        </w:rPr>
        <w:t>e</w:t>
      </w:r>
      <w:r>
        <w:rPr>
          <w:noProof/>
          <w:szCs w:val="22"/>
          <w:vertAlign w:val="superscript"/>
          <w:lang w:val="hr-HR"/>
        </w:rPr>
        <w:tab/>
      </w:r>
      <w:r>
        <w:rPr>
          <w:noProof/>
          <w:sz w:val="20"/>
          <w:szCs w:val="20"/>
          <w:lang w:val="hr-HR"/>
        </w:rPr>
        <w:t>Incidenca je bila najviša tokom prvih 6 m</w:t>
      </w:r>
      <w:r w:rsidR="00B33134">
        <w:rPr>
          <w:noProof/>
          <w:sz w:val="20"/>
          <w:szCs w:val="20"/>
          <w:lang w:val="hr-HR"/>
        </w:rPr>
        <w:t>j</w:t>
      </w:r>
      <w:r>
        <w:rPr>
          <w:noProof/>
          <w:sz w:val="20"/>
          <w:szCs w:val="20"/>
          <w:lang w:val="hr-HR"/>
        </w:rPr>
        <w:t>eseci terapije</w:t>
      </w:r>
      <w:r w:rsidRPr="008437BB">
        <w:rPr>
          <w:noProof/>
          <w:sz w:val="20"/>
          <w:szCs w:val="20"/>
          <w:lang w:val="hr-HR"/>
        </w:rPr>
        <w:t>.</w:t>
      </w:r>
    </w:p>
    <w:p w14:paraId="6DC58964" w14:textId="18C48BF1" w:rsidR="00B0206C" w:rsidRPr="005351AD" w:rsidRDefault="00B0206C" w:rsidP="00CA109F">
      <w:pPr>
        <w:ind w:left="284" w:hanging="284"/>
        <w:jc w:val="both"/>
        <w:rPr>
          <w:noProof/>
          <w:sz w:val="20"/>
          <w:szCs w:val="20"/>
          <w:lang w:val="hr-HR"/>
        </w:rPr>
      </w:pPr>
      <w:r>
        <w:rPr>
          <w:noProof/>
          <w:sz w:val="20"/>
          <w:szCs w:val="20"/>
          <w:vertAlign w:val="superscript"/>
          <w:lang w:val="hr-HR"/>
        </w:rPr>
        <w:t>f</w:t>
      </w:r>
      <w:r>
        <w:rPr>
          <w:noProof/>
          <w:sz w:val="20"/>
          <w:szCs w:val="20"/>
          <w:lang w:val="hr-HR"/>
        </w:rPr>
        <w:tab/>
      </w:r>
      <w:r w:rsidRPr="008437BB">
        <w:rPr>
          <w:noProof/>
          <w:sz w:val="20"/>
          <w:szCs w:val="20"/>
          <w:lang w:val="hr-HR"/>
        </w:rPr>
        <w:t>Zajednički terminološki kriterij</w:t>
      </w:r>
      <w:r>
        <w:rPr>
          <w:noProof/>
          <w:sz w:val="20"/>
          <w:szCs w:val="20"/>
          <w:lang w:val="hr-HR"/>
        </w:rPr>
        <w:t>umi</w:t>
      </w:r>
      <w:r w:rsidRPr="008437BB">
        <w:rPr>
          <w:noProof/>
          <w:sz w:val="20"/>
          <w:szCs w:val="20"/>
          <w:lang w:val="hr-HR"/>
        </w:rPr>
        <w:t xml:space="preserve"> za n</w:t>
      </w:r>
      <w:r>
        <w:rPr>
          <w:noProof/>
          <w:sz w:val="20"/>
          <w:szCs w:val="20"/>
          <w:lang w:val="hr-HR"/>
        </w:rPr>
        <w:t>eželjene događaje</w:t>
      </w:r>
      <w:r w:rsidRPr="008437BB">
        <w:rPr>
          <w:noProof/>
          <w:sz w:val="20"/>
          <w:szCs w:val="20"/>
          <w:lang w:val="hr-HR"/>
        </w:rPr>
        <w:t xml:space="preserve"> (eng. </w:t>
      </w:r>
      <w:r w:rsidRPr="008437BB">
        <w:rPr>
          <w:i/>
          <w:iCs/>
          <w:noProof/>
          <w:sz w:val="20"/>
          <w:szCs w:val="20"/>
          <w:lang w:val="hr-HR"/>
        </w:rPr>
        <w:t>Common Terminology Criteria for Adverse Events, CTCAE</w:t>
      </w:r>
      <w:r w:rsidRPr="008437BB">
        <w:rPr>
          <w:noProof/>
          <w:sz w:val="20"/>
          <w:szCs w:val="20"/>
          <w:lang w:val="hr-HR"/>
        </w:rPr>
        <w:t>) verzija 4.03.</w:t>
      </w:r>
      <w:r>
        <w:rPr>
          <w:noProof/>
          <w:sz w:val="20"/>
          <w:szCs w:val="20"/>
          <w:lang w:val="hr-HR"/>
        </w:rPr>
        <w:t xml:space="preserve"> Incidenca je zasnovana na vr</w:t>
      </w:r>
      <w:r w:rsidR="000632D6">
        <w:rPr>
          <w:noProof/>
          <w:sz w:val="20"/>
          <w:szCs w:val="20"/>
          <w:lang w:val="hr-HR"/>
        </w:rPr>
        <w:t>ij</w:t>
      </w:r>
      <w:r>
        <w:rPr>
          <w:noProof/>
          <w:sz w:val="20"/>
          <w:szCs w:val="20"/>
          <w:lang w:val="hr-HR"/>
        </w:rPr>
        <w:t>ednostima prijavljenim kao odstupanja od normalnih vr</w:t>
      </w:r>
      <w:r w:rsidR="00B33134">
        <w:rPr>
          <w:noProof/>
          <w:sz w:val="20"/>
          <w:szCs w:val="20"/>
          <w:lang w:val="hr-HR"/>
        </w:rPr>
        <w:t>ij</w:t>
      </w:r>
      <w:r>
        <w:rPr>
          <w:noProof/>
          <w:sz w:val="20"/>
          <w:szCs w:val="20"/>
          <w:lang w:val="hr-HR"/>
        </w:rPr>
        <w:t>ednosti laboratorijskih testova.</w:t>
      </w:r>
    </w:p>
    <w:p w14:paraId="04FC5F92" w14:textId="77777777" w:rsidR="00B0206C" w:rsidRPr="00BD141A" w:rsidRDefault="00B0206C" w:rsidP="00DB1D78">
      <w:pPr>
        <w:jc w:val="both"/>
        <w:rPr>
          <w:noProof/>
          <w:sz w:val="22"/>
          <w:szCs w:val="22"/>
          <w:u w:val="single"/>
          <w:lang w:val="hr-HR"/>
        </w:rPr>
      </w:pPr>
    </w:p>
    <w:p w14:paraId="6BF87D25" w14:textId="590F1BD2" w:rsidR="00A31BA4" w:rsidRPr="00BD141A" w:rsidRDefault="00A31BA4" w:rsidP="00A31BA4">
      <w:pPr>
        <w:jc w:val="both"/>
        <w:rPr>
          <w:noProof/>
          <w:sz w:val="22"/>
          <w:szCs w:val="22"/>
          <w:u w:val="single"/>
          <w:lang w:val="hr-HR"/>
        </w:rPr>
      </w:pPr>
      <w:r w:rsidRPr="00BD141A">
        <w:rPr>
          <w:noProof/>
          <w:sz w:val="22"/>
          <w:szCs w:val="22"/>
          <w:u w:val="single"/>
          <w:lang w:val="hr-HR"/>
        </w:rPr>
        <w:t>Opis izabra</w:t>
      </w:r>
      <w:r w:rsidR="00AA2DB9">
        <w:rPr>
          <w:noProof/>
          <w:sz w:val="22"/>
          <w:szCs w:val="22"/>
          <w:u w:val="single"/>
          <w:lang w:val="hr-HR"/>
        </w:rPr>
        <w:t>n</w:t>
      </w:r>
      <w:r w:rsidRPr="00BD141A">
        <w:rPr>
          <w:noProof/>
          <w:sz w:val="22"/>
          <w:szCs w:val="22"/>
          <w:u w:val="single"/>
          <w:lang w:val="hr-HR"/>
        </w:rPr>
        <w:t>ih neželjenih reakcija</w:t>
      </w:r>
    </w:p>
    <w:p w14:paraId="047AC418" w14:textId="77777777" w:rsidR="00B33134" w:rsidRPr="00B33134" w:rsidRDefault="00B33134" w:rsidP="00B33134">
      <w:pPr>
        <w:jc w:val="both"/>
        <w:rPr>
          <w:noProof/>
          <w:sz w:val="22"/>
          <w:szCs w:val="22"/>
          <w:u w:val="single"/>
          <w:lang w:val="hr-HR"/>
        </w:rPr>
      </w:pPr>
    </w:p>
    <w:p w14:paraId="74C17002" w14:textId="3279BC52" w:rsidR="00B33134" w:rsidRPr="00B33134" w:rsidRDefault="00C254EE" w:rsidP="00B33134">
      <w:pPr>
        <w:jc w:val="both"/>
        <w:rPr>
          <w:noProof/>
          <w:sz w:val="22"/>
          <w:szCs w:val="22"/>
          <w:lang w:val="hr-HR"/>
        </w:rPr>
      </w:pPr>
      <w:r>
        <w:rPr>
          <w:i/>
          <w:iCs/>
          <w:noProof/>
          <w:sz w:val="22"/>
          <w:szCs w:val="22"/>
          <w:lang w:val="hr-HR"/>
        </w:rPr>
        <w:t>Testovi funkcije</w:t>
      </w:r>
      <w:r w:rsidR="00B33134" w:rsidRPr="00B33134">
        <w:rPr>
          <w:i/>
          <w:iCs/>
          <w:noProof/>
          <w:sz w:val="22"/>
          <w:szCs w:val="22"/>
          <w:lang w:val="hr-HR"/>
        </w:rPr>
        <w:t xml:space="preserve"> jetre</w:t>
      </w:r>
    </w:p>
    <w:p w14:paraId="3BF2EBC5" w14:textId="00E8EA10" w:rsidR="00B33134" w:rsidRPr="00B33134" w:rsidRDefault="00C254EE" w:rsidP="00B33134">
      <w:pPr>
        <w:jc w:val="both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Tokom terapijske primjene</w:t>
      </w:r>
      <w:r w:rsidR="00B33134" w:rsidRPr="00B33134">
        <w:rPr>
          <w:noProof/>
          <w:sz w:val="22"/>
          <w:szCs w:val="22"/>
          <w:lang w:val="hr-HR"/>
        </w:rPr>
        <w:t xml:space="preserve"> darolutamid</w:t>
      </w:r>
      <w:r w:rsidR="005E4C47">
        <w:rPr>
          <w:noProof/>
          <w:sz w:val="22"/>
          <w:szCs w:val="22"/>
          <w:lang w:val="hr-HR"/>
        </w:rPr>
        <w:t>a</w:t>
      </w:r>
      <w:r w:rsidR="00B33134" w:rsidRPr="00B33134">
        <w:rPr>
          <w:noProof/>
          <w:sz w:val="22"/>
          <w:szCs w:val="22"/>
          <w:lang w:val="hr-HR"/>
        </w:rPr>
        <w:t xml:space="preserve"> prijavljeni su sučajevi idiosinkratskog, l</w:t>
      </w:r>
      <w:r w:rsidR="00B33134">
        <w:rPr>
          <w:noProof/>
          <w:sz w:val="22"/>
          <w:szCs w:val="22"/>
          <w:lang w:val="hr-HR"/>
        </w:rPr>
        <w:t>ij</w:t>
      </w:r>
      <w:r w:rsidR="00B33134" w:rsidRPr="00B33134">
        <w:rPr>
          <w:noProof/>
          <w:sz w:val="22"/>
          <w:szCs w:val="22"/>
          <w:lang w:val="hr-HR"/>
        </w:rPr>
        <w:t>ekom izazvanog oštećenja jetre sa povećanjem vr</w:t>
      </w:r>
      <w:r w:rsidR="00B33134">
        <w:rPr>
          <w:noProof/>
          <w:sz w:val="22"/>
          <w:szCs w:val="22"/>
          <w:lang w:val="hr-HR"/>
        </w:rPr>
        <w:t>ij</w:t>
      </w:r>
      <w:r w:rsidR="00B33134" w:rsidRPr="00B33134">
        <w:rPr>
          <w:noProof/>
          <w:sz w:val="22"/>
          <w:szCs w:val="22"/>
          <w:lang w:val="hr-HR"/>
        </w:rPr>
        <w:t>ednosti stepena 3 i 4 za alanin aminotransferazu (ALT) i</w:t>
      </w:r>
      <w:r w:rsidR="005E4C47">
        <w:rPr>
          <w:noProof/>
          <w:sz w:val="22"/>
          <w:szCs w:val="22"/>
          <w:lang w:val="hr-HR"/>
        </w:rPr>
        <w:t>/ili</w:t>
      </w:r>
      <w:r w:rsidR="00B33134" w:rsidRPr="00B33134">
        <w:rPr>
          <w:noProof/>
          <w:sz w:val="22"/>
          <w:szCs w:val="22"/>
          <w:lang w:val="hr-HR"/>
        </w:rPr>
        <w:t xml:space="preserve"> aspartat aminotransferazu (AST) do vr</w:t>
      </w:r>
      <w:r w:rsidR="00B33134">
        <w:rPr>
          <w:noProof/>
          <w:sz w:val="22"/>
          <w:szCs w:val="22"/>
          <w:lang w:val="hr-HR"/>
        </w:rPr>
        <w:t>ij</w:t>
      </w:r>
      <w:r w:rsidR="00B33134" w:rsidRPr="00B33134">
        <w:rPr>
          <w:noProof/>
          <w:sz w:val="22"/>
          <w:szCs w:val="22"/>
          <w:lang w:val="hr-HR"/>
        </w:rPr>
        <w:t>ednosti koje su ≥ 5, odnosno ≥ 20 puta više od normalnih vr</w:t>
      </w:r>
      <w:r w:rsidR="00B33134">
        <w:rPr>
          <w:noProof/>
          <w:sz w:val="22"/>
          <w:szCs w:val="22"/>
          <w:lang w:val="hr-HR"/>
        </w:rPr>
        <w:t>ij</w:t>
      </w:r>
      <w:r w:rsidR="00B33134" w:rsidRPr="00B33134">
        <w:rPr>
          <w:noProof/>
          <w:sz w:val="22"/>
          <w:szCs w:val="22"/>
          <w:lang w:val="hr-HR"/>
        </w:rPr>
        <w:t xml:space="preserve">ednosti (eng. </w:t>
      </w:r>
      <w:r w:rsidR="00B33134" w:rsidRPr="00B33134">
        <w:rPr>
          <w:i/>
          <w:iCs/>
          <w:noProof/>
          <w:sz w:val="22"/>
          <w:szCs w:val="22"/>
          <w:lang w:val="hr-HR"/>
        </w:rPr>
        <w:t>Upper limit of normal, ULN</w:t>
      </w:r>
      <w:r w:rsidR="00B33134" w:rsidRPr="00B33134">
        <w:rPr>
          <w:noProof/>
          <w:sz w:val="22"/>
          <w:szCs w:val="22"/>
          <w:lang w:val="hr-HR"/>
        </w:rPr>
        <w:t>), uključujući i povišenj</w:t>
      </w:r>
      <w:r w:rsidR="0062324D">
        <w:rPr>
          <w:noProof/>
          <w:sz w:val="22"/>
          <w:szCs w:val="22"/>
          <w:lang w:val="hr-HR"/>
        </w:rPr>
        <w:t>e</w:t>
      </w:r>
      <w:r w:rsidR="00B33134" w:rsidRPr="00B33134">
        <w:rPr>
          <w:noProof/>
          <w:sz w:val="22"/>
          <w:szCs w:val="22"/>
          <w:lang w:val="hr-HR"/>
        </w:rPr>
        <w:t xml:space="preserve"> transaminaza zajedno sa istovremenim povišenjem ukupnog bilirubina od </w:t>
      </w:r>
      <w:r w:rsidR="003102DA" w:rsidRPr="00B33134">
        <w:rPr>
          <w:noProof/>
          <w:sz w:val="22"/>
          <w:szCs w:val="22"/>
          <w:lang w:val="hr-HR"/>
        </w:rPr>
        <w:t xml:space="preserve">≥ </w:t>
      </w:r>
      <w:r w:rsidR="003102DA">
        <w:rPr>
          <w:noProof/>
          <w:sz w:val="22"/>
          <w:szCs w:val="22"/>
          <w:lang w:val="hr-HR"/>
        </w:rPr>
        <w:t>2</w:t>
      </w:r>
      <w:r w:rsidR="00B33134" w:rsidRPr="00B33134">
        <w:rPr>
          <w:noProof/>
          <w:sz w:val="22"/>
          <w:szCs w:val="22"/>
          <w:lang w:val="hr-HR"/>
        </w:rPr>
        <w:t xml:space="preserve"> x ULN. Vr</w:t>
      </w:r>
      <w:r w:rsidR="00B33134">
        <w:rPr>
          <w:noProof/>
          <w:sz w:val="22"/>
          <w:szCs w:val="22"/>
          <w:lang w:val="hr-HR"/>
        </w:rPr>
        <w:t>ij</w:t>
      </w:r>
      <w:r w:rsidR="00B33134" w:rsidRPr="00B33134">
        <w:rPr>
          <w:noProof/>
          <w:sz w:val="22"/>
          <w:szCs w:val="22"/>
          <w:lang w:val="hr-HR"/>
        </w:rPr>
        <w:t>eme do nastupanja ovih prom</w:t>
      </w:r>
      <w:r w:rsidR="00B33134">
        <w:rPr>
          <w:noProof/>
          <w:sz w:val="22"/>
          <w:szCs w:val="22"/>
          <w:lang w:val="hr-HR"/>
        </w:rPr>
        <w:t>j</w:t>
      </w:r>
      <w:r w:rsidR="00B33134" w:rsidRPr="00B33134">
        <w:rPr>
          <w:noProof/>
          <w:sz w:val="22"/>
          <w:szCs w:val="22"/>
          <w:lang w:val="hr-HR"/>
        </w:rPr>
        <w:t>ena kretalo se od 1 m</w:t>
      </w:r>
      <w:r w:rsidR="00B33134">
        <w:rPr>
          <w:noProof/>
          <w:sz w:val="22"/>
          <w:szCs w:val="22"/>
          <w:lang w:val="hr-HR"/>
        </w:rPr>
        <w:t>j</w:t>
      </w:r>
      <w:r w:rsidR="00B33134" w:rsidRPr="00B33134">
        <w:rPr>
          <w:noProof/>
          <w:sz w:val="22"/>
          <w:szCs w:val="22"/>
          <w:lang w:val="hr-HR"/>
        </w:rPr>
        <w:t>eseca do 1</w:t>
      </w:r>
      <w:r w:rsidR="003102DA">
        <w:rPr>
          <w:noProof/>
          <w:sz w:val="22"/>
          <w:szCs w:val="22"/>
          <w:lang w:val="hr-HR"/>
        </w:rPr>
        <w:t>2</w:t>
      </w:r>
      <w:r w:rsidR="00B33134" w:rsidRPr="00B33134">
        <w:rPr>
          <w:noProof/>
          <w:sz w:val="22"/>
          <w:szCs w:val="22"/>
          <w:lang w:val="hr-HR"/>
        </w:rPr>
        <w:t xml:space="preserve"> m</w:t>
      </w:r>
      <w:r w:rsidR="00B33134">
        <w:rPr>
          <w:noProof/>
          <w:sz w:val="22"/>
          <w:szCs w:val="22"/>
          <w:lang w:val="hr-HR"/>
        </w:rPr>
        <w:t>j</w:t>
      </w:r>
      <w:r w:rsidR="00B33134" w:rsidRPr="00B33134">
        <w:rPr>
          <w:noProof/>
          <w:sz w:val="22"/>
          <w:szCs w:val="22"/>
          <w:lang w:val="hr-HR"/>
        </w:rPr>
        <w:t>eseci nakon početka prim</w:t>
      </w:r>
      <w:r w:rsidR="00B33134">
        <w:rPr>
          <w:noProof/>
          <w:sz w:val="22"/>
          <w:szCs w:val="22"/>
          <w:lang w:val="hr-HR"/>
        </w:rPr>
        <w:t>j</w:t>
      </w:r>
      <w:r w:rsidR="00B33134" w:rsidRPr="00B33134">
        <w:rPr>
          <w:noProof/>
          <w:sz w:val="22"/>
          <w:szCs w:val="22"/>
          <w:lang w:val="hr-HR"/>
        </w:rPr>
        <w:t xml:space="preserve">ene darolutamida. </w:t>
      </w:r>
      <w:r w:rsidR="00D27FD9">
        <w:rPr>
          <w:noProof/>
          <w:sz w:val="22"/>
          <w:szCs w:val="22"/>
          <w:lang w:val="hr-HR"/>
        </w:rPr>
        <w:t>U velikom broju slučajeva p</w:t>
      </w:r>
      <w:r w:rsidR="00B33134" w:rsidRPr="00B33134">
        <w:rPr>
          <w:noProof/>
          <w:sz w:val="22"/>
          <w:szCs w:val="22"/>
          <w:lang w:val="hr-HR"/>
        </w:rPr>
        <w:t>ovišenja vr</w:t>
      </w:r>
      <w:r w:rsidR="000632D6">
        <w:rPr>
          <w:noProof/>
          <w:sz w:val="22"/>
          <w:szCs w:val="22"/>
          <w:lang w:val="hr-HR"/>
        </w:rPr>
        <w:t>ij</w:t>
      </w:r>
      <w:r w:rsidR="00B33134" w:rsidRPr="00B33134">
        <w:rPr>
          <w:noProof/>
          <w:sz w:val="22"/>
          <w:szCs w:val="22"/>
          <w:lang w:val="hr-HR"/>
        </w:rPr>
        <w:t>ednosti ALT i AST bila su reverzibilna nakon prestanka prim</w:t>
      </w:r>
      <w:r w:rsidR="00B33134">
        <w:rPr>
          <w:noProof/>
          <w:sz w:val="22"/>
          <w:szCs w:val="22"/>
          <w:lang w:val="hr-HR"/>
        </w:rPr>
        <w:t>j</w:t>
      </w:r>
      <w:r w:rsidR="00B33134" w:rsidRPr="00B33134">
        <w:rPr>
          <w:noProof/>
          <w:sz w:val="22"/>
          <w:szCs w:val="22"/>
          <w:lang w:val="hr-HR"/>
        </w:rPr>
        <w:t>ene darolutamida. Za specifične preporuke vid</w:t>
      </w:r>
      <w:r w:rsidR="00B33134">
        <w:rPr>
          <w:noProof/>
          <w:sz w:val="22"/>
          <w:szCs w:val="22"/>
          <w:lang w:val="hr-HR"/>
        </w:rPr>
        <w:t>j</w:t>
      </w:r>
      <w:r w:rsidR="00B33134" w:rsidRPr="00B33134">
        <w:rPr>
          <w:noProof/>
          <w:sz w:val="22"/>
          <w:szCs w:val="22"/>
          <w:lang w:val="hr-HR"/>
        </w:rPr>
        <w:t xml:space="preserve">eti </w:t>
      </w:r>
      <w:r w:rsidR="00B33134">
        <w:rPr>
          <w:noProof/>
          <w:sz w:val="22"/>
          <w:szCs w:val="22"/>
          <w:lang w:val="hr-HR"/>
        </w:rPr>
        <w:t>dio</w:t>
      </w:r>
      <w:r w:rsidR="00B33134" w:rsidRPr="00B33134">
        <w:rPr>
          <w:noProof/>
          <w:sz w:val="22"/>
          <w:szCs w:val="22"/>
          <w:lang w:val="hr-HR"/>
        </w:rPr>
        <w:t xml:space="preserve"> 4.4.</w:t>
      </w:r>
    </w:p>
    <w:p w14:paraId="714BC5E5" w14:textId="77777777" w:rsidR="00B33134" w:rsidRPr="00B33134" w:rsidRDefault="00B33134" w:rsidP="00B33134">
      <w:pPr>
        <w:jc w:val="both"/>
        <w:rPr>
          <w:noProof/>
          <w:sz w:val="22"/>
          <w:szCs w:val="22"/>
          <w:u w:val="single"/>
          <w:lang w:val="hr-HR"/>
        </w:rPr>
      </w:pPr>
    </w:p>
    <w:p w14:paraId="36E5DC4B" w14:textId="153C7029" w:rsidR="00A31BA4" w:rsidRPr="00BD141A" w:rsidRDefault="00B33134" w:rsidP="00B33134">
      <w:pPr>
        <w:jc w:val="both"/>
        <w:rPr>
          <w:noProof/>
          <w:sz w:val="22"/>
          <w:szCs w:val="22"/>
          <w:u w:val="single"/>
          <w:lang w:val="hr-HR"/>
        </w:rPr>
      </w:pPr>
      <w:r w:rsidRPr="00B33134">
        <w:rPr>
          <w:i/>
          <w:iCs/>
          <w:noProof/>
          <w:sz w:val="22"/>
          <w:szCs w:val="22"/>
          <w:u w:val="single"/>
          <w:lang w:val="hr-HR"/>
        </w:rPr>
        <w:t>Nemetastatski karcinom prostate rezistentan na kastraciju (nmCRPC)</w:t>
      </w:r>
    </w:p>
    <w:p w14:paraId="2B40F9CC" w14:textId="77777777" w:rsidR="00A31BA4" w:rsidRPr="00BD141A" w:rsidRDefault="00A31BA4" w:rsidP="00A31BA4">
      <w:pPr>
        <w:jc w:val="both"/>
        <w:rPr>
          <w:i/>
          <w:iCs/>
          <w:noProof/>
          <w:sz w:val="22"/>
          <w:szCs w:val="22"/>
          <w:lang w:val="hr-HR"/>
        </w:rPr>
      </w:pPr>
      <w:r w:rsidRPr="00BD141A">
        <w:rPr>
          <w:i/>
          <w:iCs/>
          <w:noProof/>
          <w:sz w:val="22"/>
          <w:szCs w:val="22"/>
          <w:lang w:val="hr-HR"/>
        </w:rPr>
        <w:t>Zamor</w:t>
      </w:r>
    </w:p>
    <w:p w14:paraId="76BBC4B3" w14:textId="52780DBE" w:rsidR="00A31BA4" w:rsidRPr="004111E5" w:rsidRDefault="00A31BA4" w:rsidP="00A31BA4">
      <w:pPr>
        <w:jc w:val="both"/>
        <w:rPr>
          <w:noProof/>
          <w:sz w:val="22"/>
          <w:szCs w:val="22"/>
          <w:lang w:val="hr-HR"/>
        </w:rPr>
      </w:pPr>
      <w:r w:rsidRPr="00BD141A">
        <w:rPr>
          <w:noProof/>
          <w:sz w:val="22"/>
          <w:szCs w:val="22"/>
          <w:lang w:val="hr-HR"/>
        </w:rPr>
        <w:t>Stanja zamora/astenije</w:t>
      </w:r>
      <w:r w:rsidRPr="00BD141A">
        <w:rPr>
          <w:sz w:val="22"/>
          <w:szCs w:val="22"/>
          <w:lang w:val="hr-HR"/>
        </w:rPr>
        <w:t xml:space="preserve"> </w:t>
      </w:r>
      <w:r w:rsidRPr="00BD141A">
        <w:rPr>
          <w:noProof/>
          <w:sz w:val="22"/>
          <w:szCs w:val="22"/>
          <w:lang w:val="hr-HR"/>
        </w:rPr>
        <w:t xml:space="preserve">prijavljena su kod 15,8% pacijenata </w:t>
      </w:r>
      <w:r w:rsidRPr="004111E5">
        <w:rPr>
          <w:noProof/>
          <w:sz w:val="22"/>
          <w:szCs w:val="22"/>
          <w:lang w:val="hr-HR"/>
        </w:rPr>
        <w:t>l</w:t>
      </w:r>
      <w:r w:rsidR="00BD141A" w:rsidRPr="004111E5">
        <w:rPr>
          <w:noProof/>
          <w:sz w:val="22"/>
          <w:szCs w:val="22"/>
          <w:lang w:val="hr-HR"/>
        </w:rPr>
        <w:t>ij</w:t>
      </w:r>
      <w:r w:rsidRPr="004111E5">
        <w:rPr>
          <w:noProof/>
          <w:sz w:val="22"/>
          <w:szCs w:val="22"/>
          <w:lang w:val="hr-HR"/>
        </w:rPr>
        <w:t>ečenih darolutamidom, odnosno kod 11,4% pacijenata koji su dobijali placebo. Događaji sa najtežim stepen</w:t>
      </w:r>
      <w:r w:rsidR="00AA2DB9" w:rsidRPr="004111E5">
        <w:rPr>
          <w:noProof/>
          <w:sz w:val="22"/>
          <w:szCs w:val="22"/>
          <w:lang w:val="hr-HR"/>
        </w:rPr>
        <w:t>om</w:t>
      </w:r>
      <w:r w:rsidRPr="004111E5">
        <w:rPr>
          <w:noProof/>
          <w:sz w:val="22"/>
          <w:szCs w:val="22"/>
          <w:lang w:val="hr-HR"/>
        </w:rPr>
        <w:t xml:space="preserve"> težine </w:t>
      </w:r>
      <w:r w:rsidR="00AA2DB9" w:rsidRPr="004111E5">
        <w:rPr>
          <w:noProof/>
          <w:sz w:val="22"/>
          <w:szCs w:val="22"/>
          <w:lang w:val="hr-HR"/>
        </w:rPr>
        <w:t xml:space="preserve">3 </w:t>
      </w:r>
      <w:r w:rsidRPr="004111E5">
        <w:rPr>
          <w:noProof/>
          <w:sz w:val="22"/>
          <w:szCs w:val="22"/>
          <w:lang w:val="hr-HR"/>
        </w:rPr>
        <w:t>prijavljeni su kod 0,6% pacijenata l</w:t>
      </w:r>
      <w:r w:rsidR="00BD141A" w:rsidRPr="004111E5">
        <w:rPr>
          <w:noProof/>
          <w:sz w:val="22"/>
          <w:szCs w:val="22"/>
          <w:lang w:val="hr-HR"/>
        </w:rPr>
        <w:t>ij</w:t>
      </w:r>
      <w:r w:rsidRPr="004111E5">
        <w:rPr>
          <w:noProof/>
          <w:sz w:val="22"/>
          <w:szCs w:val="22"/>
          <w:lang w:val="hr-HR"/>
        </w:rPr>
        <w:t>ečenih darolutamidom i kod 1,1% pacijenata koji su dobijali placebo. Zamor (koji ne uključuje asteniju, letargiju ili malaksalost) javio se kod većine pacijenata (12,1% pacijenata l</w:t>
      </w:r>
      <w:r w:rsidR="00BD141A" w:rsidRPr="004111E5">
        <w:rPr>
          <w:noProof/>
          <w:sz w:val="22"/>
          <w:szCs w:val="22"/>
          <w:lang w:val="hr-HR"/>
        </w:rPr>
        <w:t>ij</w:t>
      </w:r>
      <w:r w:rsidRPr="004111E5">
        <w:rPr>
          <w:noProof/>
          <w:sz w:val="22"/>
          <w:szCs w:val="22"/>
          <w:lang w:val="hr-HR"/>
        </w:rPr>
        <w:t>ečenih darolutamidom i 8,7% pacijenata koji su dobijali placebo).</w:t>
      </w:r>
    </w:p>
    <w:p w14:paraId="1C75ECB5" w14:textId="77777777" w:rsidR="00A31BA4" w:rsidRPr="004111E5" w:rsidRDefault="00A31BA4" w:rsidP="00A31BA4">
      <w:pPr>
        <w:jc w:val="both"/>
        <w:rPr>
          <w:noProof/>
          <w:sz w:val="22"/>
          <w:szCs w:val="22"/>
          <w:lang w:val="hr-HR"/>
        </w:rPr>
      </w:pPr>
    </w:p>
    <w:p w14:paraId="7306A1F5" w14:textId="7560A87E" w:rsidR="00A31BA4" w:rsidRPr="004111E5" w:rsidRDefault="00AA2DB9" w:rsidP="00A31BA4">
      <w:pPr>
        <w:jc w:val="both"/>
        <w:rPr>
          <w:noProof/>
          <w:sz w:val="22"/>
          <w:szCs w:val="22"/>
          <w:lang w:val="hr-HR"/>
        </w:rPr>
      </w:pPr>
      <w:r w:rsidRPr="004111E5">
        <w:rPr>
          <w:i/>
          <w:iCs/>
          <w:noProof/>
          <w:sz w:val="22"/>
          <w:szCs w:val="22"/>
          <w:lang w:val="hr-HR"/>
        </w:rPr>
        <w:t>Frakture</w:t>
      </w:r>
    </w:p>
    <w:p w14:paraId="60803BC6" w14:textId="74733306" w:rsidR="00A31BA4" w:rsidRPr="004111E5" w:rsidRDefault="00AA2DB9" w:rsidP="00A31BA4">
      <w:pPr>
        <w:jc w:val="both"/>
        <w:rPr>
          <w:noProof/>
          <w:sz w:val="22"/>
          <w:szCs w:val="22"/>
          <w:lang w:val="hr-HR"/>
        </w:rPr>
      </w:pPr>
      <w:r w:rsidRPr="004111E5">
        <w:rPr>
          <w:noProof/>
          <w:sz w:val="22"/>
          <w:szCs w:val="22"/>
          <w:lang w:val="hr-HR"/>
        </w:rPr>
        <w:t>Frakture</w:t>
      </w:r>
      <w:r w:rsidR="00A31BA4" w:rsidRPr="004111E5">
        <w:rPr>
          <w:noProof/>
          <w:sz w:val="22"/>
          <w:szCs w:val="22"/>
          <w:lang w:val="hr-HR"/>
        </w:rPr>
        <w:t xml:space="preserve"> su se </w:t>
      </w:r>
      <w:r w:rsidRPr="004111E5">
        <w:rPr>
          <w:noProof/>
          <w:sz w:val="22"/>
          <w:szCs w:val="22"/>
          <w:lang w:val="hr-HR"/>
        </w:rPr>
        <w:t>dogodile</w:t>
      </w:r>
      <w:r w:rsidR="00A31BA4" w:rsidRPr="004111E5">
        <w:rPr>
          <w:noProof/>
          <w:sz w:val="22"/>
          <w:szCs w:val="22"/>
          <w:lang w:val="hr-HR"/>
        </w:rPr>
        <w:t xml:space="preserve"> kod 4,2% pacijenata l</w:t>
      </w:r>
      <w:r w:rsidR="00BD141A" w:rsidRPr="004111E5">
        <w:rPr>
          <w:noProof/>
          <w:sz w:val="22"/>
          <w:szCs w:val="22"/>
          <w:lang w:val="hr-HR"/>
        </w:rPr>
        <w:t>ij</w:t>
      </w:r>
      <w:r w:rsidR="00A31BA4" w:rsidRPr="004111E5">
        <w:rPr>
          <w:noProof/>
          <w:sz w:val="22"/>
          <w:szCs w:val="22"/>
          <w:lang w:val="hr-HR"/>
        </w:rPr>
        <w:t>ečenih darolutamidom i kod 3,6% pacijenata koji su dobijali placebo.</w:t>
      </w:r>
    </w:p>
    <w:p w14:paraId="3281F9DD" w14:textId="77777777" w:rsidR="00A31BA4" w:rsidRPr="004111E5" w:rsidRDefault="00A31BA4" w:rsidP="00A31BA4">
      <w:pPr>
        <w:jc w:val="both"/>
        <w:rPr>
          <w:noProof/>
          <w:sz w:val="22"/>
          <w:szCs w:val="22"/>
          <w:lang w:val="hr-HR"/>
        </w:rPr>
      </w:pPr>
    </w:p>
    <w:p w14:paraId="3F5B7272" w14:textId="77777777" w:rsidR="00A31BA4" w:rsidRPr="004111E5" w:rsidRDefault="00A31BA4" w:rsidP="00A31BA4">
      <w:pPr>
        <w:jc w:val="both"/>
        <w:rPr>
          <w:i/>
          <w:iCs/>
          <w:noProof/>
          <w:sz w:val="22"/>
          <w:szCs w:val="22"/>
          <w:lang w:val="hr-HR"/>
        </w:rPr>
      </w:pPr>
      <w:r w:rsidRPr="004111E5">
        <w:rPr>
          <w:i/>
          <w:iCs/>
          <w:noProof/>
          <w:sz w:val="22"/>
          <w:szCs w:val="22"/>
          <w:lang w:val="hr-HR"/>
        </w:rPr>
        <w:t>Ishemijska bolest srca i srčana insuficijencija</w:t>
      </w:r>
    </w:p>
    <w:p w14:paraId="32424D1E" w14:textId="65B103B8" w:rsidR="00A31BA4" w:rsidRPr="004111E5" w:rsidRDefault="00A31BA4" w:rsidP="00A31BA4">
      <w:pPr>
        <w:jc w:val="both"/>
        <w:rPr>
          <w:noProof/>
          <w:sz w:val="22"/>
          <w:szCs w:val="22"/>
          <w:lang w:val="hr-HR"/>
        </w:rPr>
      </w:pPr>
      <w:r w:rsidRPr="004111E5">
        <w:rPr>
          <w:noProof/>
          <w:sz w:val="22"/>
          <w:szCs w:val="22"/>
          <w:lang w:val="hr-HR"/>
        </w:rPr>
        <w:lastRenderedPageBreak/>
        <w:t xml:space="preserve">Ishemijska bolest srca javila se kod 3,2% pacijenata </w:t>
      </w:r>
      <w:r w:rsidR="00BD141A" w:rsidRPr="004111E5">
        <w:rPr>
          <w:noProof/>
          <w:sz w:val="22"/>
          <w:szCs w:val="22"/>
          <w:lang w:val="hr-HR"/>
        </w:rPr>
        <w:t>liječe</w:t>
      </w:r>
      <w:r w:rsidRPr="004111E5">
        <w:rPr>
          <w:noProof/>
          <w:sz w:val="22"/>
          <w:szCs w:val="22"/>
          <w:lang w:val="hr-HR"/>
        </w:rPr>
        <w:t xml:space="preserve">nih darolutamidom i kod 2,5% pacijenata koji su dobijali placebo. Događaji 5. stepena javili su se kod 0,3% pacijenata </w:t>
      </w:r>
      <w:r w:rsidR="00BD141A" w:rsidRPr="004111E5">
        <w:rPr>
          <w:noProof/>
          <w:sz w:val="22"/>
          <w:szCs w:val="22"/>
          <w:lang w:val="hr-HR"/>
        </w:rPr>
        <w:t>liječe</w:t>
      </w:r>
      <w:r w:rsidRPr="004111E5">
        <w:rPr>
          <w:noProof/>
          <w:sz w:val="22"/>
          <w:szCs w:val="22"/>
          <w:lang w:val="hr-HR"/>
        </w:rPr>
        <w:t xml:space="preserve">nih darolutamidom i kod 0,2% pacijenata koji su dobijali placebo. Srčana insuficijencija se javila kod 1,9% pacijenata </w:t>
      </w:r>
      <w:r w:rsidR="00BD141A" w:rsidRPr="004111E5">
        <w:rPr>
          <w:noProof/>
          <w:sz w:val="22"/>
          <w:szCs w:val="22"/>
          <w:lang w:val="hr-HR"/>
        </w:rPr>
        <w:t>liječe</w:t>
      </w:r>
      <w:r w:rsidRPr="004111E5">
        <w:rPr>
          <w:noProof/>
          <w:sz w:val="22"/>
          <w:szCs w:val="22"/>
          <w:lang w:val="hr-HR"/>
        </w:rPr>
        <w:t>nih darolutamidom i kod 0,9% pacijenata koji su dobijali placebo.</w:t>
      </w:r>
    </w:p>
    <w:p w14:paraId="3495393D" w14:textId="77777777" w:rsidR="00A31BA4" w:rsidRPr="004111E5" w:rsidRDefault="00A31BA4" w:rsidP="00A31BA4">
      <w:pPr>
        <w:jc w:val="both"/>
        <w:rPr>
          <w:noProof/>
          <w:sz w:val="22"/>
          <w:szCs w:val="22"/>
          <w:lang w:val="hr-HR"/>
        </w:rPr>
      </w:pPr>
    </w:p>
    <w:p w14:paraId="5BC19B9F" w14:textId="77777777" w:rsidR="00A31BA4" w:rsidRPr="004111E5" w:rsidRDefault="00A31BA4" w:rsidP="00A31BA4">
      <w:pPr>
        <w:jc w:val="both"/>
        <w:rPr>
          <w:noProof/>
          <w:sz w:val="22"/>
          <w:szCs w:val="22"/>
          <w:lang w:val="hr-HR"/>
        </w:rPr>
      </w:pPr>
      <w:r w:rsidRPr="004111E5">
        <w:rPr>
          <w:i/>
          <w:iCs/>
          <w:noProof/>
          <w:sz w:val="22"/>
          <w:szCs w:val="22"/>
          <w:lang w:val="hr-HR"/>
        </w:rPr>
        <w:t>Smanjen broj neutrofila</w:t>
      </w:r>
    </w:p>
    <w:p w14:paraId="2D7C0106" w14:textId="0AB18B4C" w:rsidR="00A31BA4" w:rsidRPr="004111E5" w:rsidRDefault="00A31BA4" w:rsidP="00A31BA4">
      <w:pPr>
        <w:jc w:val="both"/>
        <w:rPr>
          <w:noProof/>
          <w:sz w:val="22"/>
          <w:szCs w:val="22"/>
          <w:lang w:val="hr-HR"/>
        </w:rPr>
      </w:pPr>
      <w:r w:rsidRPr="004111E5">
        <w:rPr>
          <w:noProof/>
          <w:sz w:val="22"/>
          <w:szCs w:val="22"/>
          <w:lang w:val="hr-HR"/>
        </w:rPr>
        <w:t>Smanjenje broja neutrofila kao laboratorijski nalaz</w:t>
      </w:r>
      <w:r w:rsidR="00535894" w:rsidRPr="004111E5">
        <w:rPr>
          <w:noProof/>
          <w:sz w:val="22"/>
          <w:szCs w:val="22"/>
          <w:lang w:val="hr-HR"/>
        </w:rPr>
        <w:t xml:space="preserve"> izvan referentnih graničnih vrijednosti</w:t>
      </w:r>
      <w:r w:rsidRPr="004111E5">
        <w:rPr>
          <w:noProof/>
          <w:sz w:val="22"/>
          <w:szCs w:val="22"/>
          <w:lang w:val="hr-HR"/>
        </w:rPr>
        <w:t xml:space="preserve"> prijavljeno je kod 19,6% pacijenata </w:t>
      </w:r>
      <w:r w:rsidR="00BD141A" w:rsidRPr="004111E5">
        <w:rPr>
          <w:noProof/>
          <w:sz w:val="22"/>
          <w:szCs w:val="22"/>
          <w:lang w:val="hr-HR"/>
        </w:rPr>
        <w:t>liječe</w:t>
      </w:r>
      <w:r w:rsidRPr="004111E5">
        <w:rPr>
          <w:noProof/>
          <w:sz w:val="22"/>
          <w:szCs w:val="22"/>
          <w:lang w:val="hr-HR"/>
        </w:rPr>
        <w:t>nih darolutamidom i kod 9,4% pacijenata koji su dobijali placebo. Medijana vremena do najniže vr</w:t>
      </w:r>
      <w:r w:rsidR="00BD141A" w:rsidRPr="004111E5">
        <w:rPr>
          <w:noProof/>
          <w:sz w:val="22"/>
          <w:szCs w:val="22"/>
          <w:lang w:val="hr-HR"/>
        </w:rPr>
        <w:t>ij</w:t>
      </w:r>
      <w:r w:rsidRPr="004111E5">
        <w:rPr>
          <w:noProof/>
          <w:sz w:val="22"/>
          <w:szCs w:val="22"/>
          <w:lang w:val="hr-HR"/>
        </w:rPr>
        <w:t xml:space="preserve">ednosti bila je 256 dana. </w:t>
      </w:r>
      <w:bookmarkStart w:id="7" w:name="_Hlk81921727"/>
      <w:r w:rsidR="00535894" w:rsidRPr="004111E5">
        <w:rPr>
          <w:noProof/>
          <w:sz w:val="22"/>
          <w:szCs w:val="22"/>
          <w:lang w:val="hr-HR"/>
        </w:rPr>
        <w:t>L</w:t>
      </w:r>
      <w:r w:rsidRPr="004111E5">
        <w:rPr>
          <w:noProof/>
          <w:sz w:val="22"/>
          <w:szCs w:val="22"/>
          <w:lang w:val="hr-HR"/>
        </w:rPr>
        <w:t>aboratorijski nalaz</w:t>
      </w:r>
      <w:r w:rsidR="00535894" w:rsidRPr="004111E5">
        <w:rPr>
          <w:noProof/>
          <w:sz w:val="22"/>
          <w:szCs w:val="22"/>
          <w:lang w:val="hr-HR"/>
        </w:rPr>
        <w:t>i</w:t>
      </w:r>
      <w:r w:rsidRPr="004111E5">
        <w:rPr>
          <w:noProof/>
          <w:sz w:val="22"/>
          <w:szCs w:val="22"/>
          <w:lang w:val="hr-HR"/>
        </w:rPr>
        <w:t xml:space="preserve"> </w:t>
      </w:r>
      <w:r w:rsidR="00535894" w:rsidRPr="004111E5">
        <w:rPr>
          <w:noProof/>
          <w:sz w:val="22"/>
          <w:szCs w:val="22"/>
          <w:lang w:val="hr-HR"/>
        </w:rPr>
        <w:t xml:space="preserve">izvan referentnih graničnih vrijednosti </w:t>
      </w:r>
      <w:r w:rsidRPr="004111E5">
        <w:rPr>
          <w:noProof/>
          <w:sz w:val="22"/>
          <w:szCs w:val="22"/>
          <w:lang w:val="hr-HR"/>
        </w:rPr>
        <w:t>bil</w:t>
      </w:r>
      <w:r w:rsidR="00535894" w:rsidRPr="004111E5">
        <w:rPr>
          <w:noProof/>
          <w:sz w:val="22"/>
          <w:szCs w:val="22"/>
          <w:lang w:val="hr-HR"/>
        </w:rPr>
        <w:t>i</w:t>
      </w:r>
      <w:r w:rsidRPr="004111E5">
        <w:rPr>
          <w:noProof/>
          <w:sz w:val="22"/>
          <w:szCs w:val="22"/>
          <w:lang w:val="hr-HR"/>
        </w:rPr>
        <w:t xml:space="preserve"> su predominantno stepena </w:t>
      </w:r>
      <w:r w:rsidR="00EB6E80" w:rsidRPr="004111E5">
        <w:rPr>
          <w:noProof/>
          <w:sz w:val="22"/>
          <w:szCs w:val="22"/>
          <w:lang w:val="hr-HR"/>
        </w:rPr>
        <w:t xml:space="preserve">intenziteta </w:t>
      </w:r>
      <w:r w:rsidRPr="004111E5">
        <w:rPr>
          <w:noProof/>
          <w:sz w:val="22"/>
          <w:szCs w:val="22"/>
          <w:lang w:val="hr-HR"/>
        </w:rPr>
        <w:t>1 ili 2</w:t>
      </w:r>
      <w:bookmarkEnd w:id="7"/>
      <w:r w:rsidRPr="004111E5">
        <w:rPr>
          <w:noProof/>
          <w:sz w:val="22"/>
          <w:szCs w:val="22"/>
          <w:lang w:val="hr-HR"/>
        </w:rPr>
        <w:t>. Smanjenje broja neutrofila stepena 3 ili 4 prijavljeno je kod 3,5%, odnosno 0,5% pacijenata. Terapija darolutamidom je zbog neutropenije trajno obustavljena samo kod jednog pacijenta. Neutropenija je bila prolazna ili reverzibilna (88% pacijenata) i nije bila povezana sa bilo kakvim klinički značajnim znacima ili simptomima.</w:t>
      </w:r>
    </w:p>
    <w:p w14:paraId="094009FE" w14:textId="77777777" w:rsidR="00A31BA4" w:rsidRPr="004111E5" w:rsidRDefault="00A31BA4" w:rsidP="00A31BA4">
      <w:pPr>
        <w:jc w:val="both"/>
        <w:rPr>
          <w:noProof/>
          <w:sz w:val="22"/>
          <w:szCs w:val="22"/>
          <w:lang w:val="hr-HR"/>
        </w:rPr>
      </w:pPr>
    </w:p>
    <w:p w14:paraId="78CBFB55" w14:textId="4B32C082" w:rsidR="00A31BA4" w:rsidRPr="004111E5" w:rsidRDefault="00A31BA4" w:rsidP="00A31BA4">
      <w:pPr>
        <w:jc w:val="both"/>
        <w:rPr>
          <w:noProof/>
          <w:sz w:val="22"/>
          <w:szCs w:val="22"/>
          <w:lang w:val="hr-HR"/>
        </w:rPr>
      </w:pPr>
      <w:r w:rsidRPr="004111E5">
        <w:rPr>
          <w:i/>
          <w:iCs/>
          <w:noProof/>
          <w:sz w:val="22"/>
          <w:szCs w:val="22"/>
          <w:lang w:val="hr-HR"/>
        </w:rPr>
        <w:t xml:space="preserve">Povećanje </w:t>
      </w:r>
      <w:r w:rsidR="00BD141A" w:rsidRPr="004111E5">
        <w:rPr>
          <w:i/>
          <w:iCs/>
          <w:noProof/>
          <w:sz w:val="22"/>
          <w:szCs w:val="22"/>
          <w:lang w:val="hr-HR"/>
        </w:rPr>
        <w:t>vrijedno</w:t>
      </w:r>
      <w:r w:rsidRPr="004111E5">
        <w:rPr>
          <w:i/>
          <w:iCs/>
          <w:noProof/>
          <w:sz w:val="22"/>
          <w:szCs w:val="22"/>
          <w:lang w:val="hr-HR"/>
        </w:rPr>
        <w:t>sti bilirubina</w:t>
      </w:r>
      <w:r w:rsidR="00B33134">
        <w:rPr>
          <w:i/>
          <w:iCs/>
          <w:noProof/>
          <w:sz w:val="22"/>
          <w:szCs w:val="22"/>
          <w:lang w:val="hr-HR"/>
        </w:rPr>
        <w:t xml:space="preserve"> u krvi</w:t>
      </w:r>
    </w:p>
    <w:p w14:paraId="4475F692" w14:textId="390194F3" w:rsidR="00A31BA4" w:rsidRPr="00BD141A" w:rsidRDefault="00A31BA4" w:rsidP="00A31BA4">
      <w:pPr>
        <w:jc w:val="both"/>
        <w:rPr>
          <w:noProof/>
          <w:sz w:val="22"/>
          <w:szCs w:val="22"/>
          <w:lang w:val="hr-HR"/>
        </w:rPr>
      </w:pPr>
      <w:r w:rsidRPr="004111E5">
        <w:rPr>
          <w:noProof/>
          <w:sz w:val="22"/>
          <w:szCs w:val="22"/>
          <w:lang w:val="hr-HR"/>
        </w:rPr>
        <w:t xml:space="preserve">Povećanje </w:t>
      </w:r>
      <w:r w:rsidR="00BD141A" w:rsidRPr="004111E5">
        <w:rPr>
          <w:noProof/>
          <w:sz w:val="22"/>
          <w:szCs w:val="22"/>
          <w:lang w:val="hr-HR"/>
        </w:rPr>
        <w:t>vrijedno</w:t>
      </w:r>
      <w:r w:rsidRPr="004111E5">
        <w:rPr>
          <w:noProof/>
          <w:sz w:val="22"/>
          <w:szCs w:val="22"/>
          <w:lang w:val="hr-HR"/>
        </w:rPr>
        <w:t>sti bilirubina kao laboratorijski nalaz</w:t>
      </w:r>
      <w:r w:rsidR="00535894" w:rsidRPr="004111E5">
        <w:rPr>
          <w:noProof/>
          <w:sz w:val="22"/>
          <w:szCs w:val="22"/>
          <w:lang w:val="hr-HR"/>
        </w:rPr>
        <w:t xml:space="preserve"> izvan referentnih graničnih vrijednosti</w:t>
      </w:r>
      <w:r w:rsidRPr="004111E5">
        <w:rPr>
          <w:noProof/>
          <w:sz w:val="22"/>
          <w:szCs w:val="22"/>
          <w:lang w:val="hr-HR"/>
        </w:rPr>
        <w:t xml:space="preserve"> </w:t>
      </w:r>
      <w:bookmarkStart w:id="8" w:name="_Hlk81921922"/>
      <w:r w:rsidRPr="004111E5">
        <w:rPr>
          <w:noProof/>
          <w:sz w:val="22"/>
          <w:szCs w:val="22"/>
          <w:lang w:val="hr-HR"/>
        </w:rPr>
        <w:t xml:space="preserve">prijavljeno je kod 16,4% pacijenata </w:t>
      </w:r>
      <w:r w:rsidR="00BD141A" w:rsidRPr="004111E5">
        <w:rPr>
          <w:noProof/>
          <w:sz w:val="22"/>
          <w:szCs w:val="22"/>
          <w:lang w:val="hr-HR"/>
        </w:rPr>
        <w:t>liječe</w:t>
      </w:r>
      <w:r w:rsidRPr="004111E5">
        <w:rPr>
          <w:noProof/>
          <w:sz w:val="22"/>
          <w:szCs w:val="22"/>
          <w:lang w:val="hr-HR"/>
        </w:rPr>
        <w:t>nih darolutamidom i kod 6,9% pacijenata koji su dobijali placebo</w:t>
      </w:r>
      <w:bookmarkEnd w:id="8"/>
      <w:r w:rsidRPr="004111E5">
        <w:rPr>
          <w:noProof/>
          <w:sz w:val="22"/>
          <w:szCs w:val="22"/>
          <w:lang w:val="hr-HR"/>
        </w:rPr>
        <w:t>. Događaji</w:t>
      </w:r>
      <w:r w:rsidR="00535894" w:rsidRPr="004111E5">
        <w:rPr>
          <w:noProof/>
          <w:sz w:val="22"/>
          <w:szCs w:val="22"/>
          <w:lang w:val="hr-HR"/>
        </w:rPr>
        <w:t xml:space="preserve"> (epizode)</w:t>
      </w:r>
      <w:r w:rsidRPr="004111E5">
        <w:rPr>
          <w:noProof/>
          <w:sz w:val="22"/>
          <w:szCs w:val="22"/>
          <w:lang w:val="hr-HR"/>
        </w:rPr>
        <w:t xml:space="preserve"> su bili predominantno stepena intenziteta 1 ili 2, </w:t>
      </w:r>
      <w:r w:rsidR="00591AA0" w:rsidRPr="004111E5">
        <w:rPr>
          <w:noProof/>
          <w:sz w:val="22"/>
          <w:szCs w:val="22"/>
          <w:lang w:val="hr-HR"/>
        </w:rPr>
        <w:t>nijesu</w:t>
      </w:r>
      <w:r w:rsidRPr="004111E5">
        <w:rPr>
          <w:noProof/>
          <w:sz w:val="22"/>
          <w:szCs w:val="22"/>
          <w:lang w:val="hr-HR"/>
        </w:rPr>
        <w:t xml:space="preserve"> bili povezani sa bilo kakvim klinički značajnim znacima ili simptomima i povlačili su se nakon prekida terapije darolutamidom. Povećanje </w:t>
      </w:r>
      <w:r w:rsidR="00BD141A" w:rsidRPr="004111E5">
        <w:rPr>
          <w:noProof/>
          <w:sz w:val="22"/>
          <w:szCs w:val="22"/>
          <w:lang w:val="hr-HR"/>
        </w:rPr>
        <w:t>vrijedno</w:t>
      </w:r>
      <w:r w:rsidRPr="004111E5">
        <w:rPr>
          <w:noProof/>
          <w:sz w:val="22"/>
          <w:szCs w:val="22"/>
          <w:lang w:val="hr-HR"/>
        </w:rPr>
        <w:t xml:space="preserve">sti bilirubina stepena 3 prijavljeno je kod 0,1% pacijenata </w:t>
      </w:r>
      <w:r w:rsidR="00BD141A" w:rsidRPr="004111E5">
        <w:rPr>
          <w:noProof/>
          <w:sz w:val="22"/>
          <w:szCs w:val="22"/>
          <w:lang w:val="hr-HR"/>
        </w:rPr>
        <w:t>liječe</w:t>
      </w:r>
      <w:r w:rsidRPr="004111E5">
        <w:rPr>
          <w:noProof/>
          <w:sz w:val="22"/>
          <w:szCs w:val="22"/>
          <w:lang w:val="hr-HR"/>
        </w:rPr>
        <w:t>nih</w:t>
      </w:r>
      <w:r w:rsidRPr="00BD141A">
        <w:rPr>
          <w:noProof/>
          <w:sz w:val="22"/>
          <w:szCs w:val="22"/>
          <w:lang w:val="hr-HR"/>
        </w:rPr>
        <w:t xml:space="preserve"> darolutamidom i kod 0% pacijenata koji su </w:t>
      </w:r>
      <w:r w:rsidRPr="004111E5">
        <w:rPr>
          <w:noProof/>
          <w:sz w:val="22"/>
          <w:szCs w:val="22"/>
          <w:lang w:val="hr-HR"/>
        </w:rPr>
        <w:t>dobijali</w:t>
      </w:r>
      <w:r w:rsidRPr="00BD141A">
        <w:rPr>
          <w:noProof/>
          <w:sz w:val="22"/>
          <w:szCs w:val="22"/>
          <w:lang w:val="hr-HR"/>
        </w:rPr>
        <w:t xml:space="preserve"> placebo. U grupi koja je primala darolutamid, srednja </w:t>
      </w:r>
      <w:r w:rsidR="00BD141A" w:rsidRPr="00BD141A">
        <w:rPr>
          <w:noProof/>
          <w:sz w:val="22"/>
          <w:szCs w:val="22"/>
          <w:lang w:val="hr-HR"/>
        </w:rPr>
        <w:t>vrijedno</w:t>
      </w:r>
      <w:r w:rsidRPr="00BD141A">
        <w:rPr>
          <w:noProof/>
          <w:sz w:val="22"/>
          <w:szCs w:val="22"/>
          <w:lang w:val="hr-HR"/>
        </w:rPr>
        <w:t xml:space="preserve">st vremena do prvog povećanja </w:t>
      </w:r>
      <w:r w:rsidR="00BD141A" w:rsidRPr="00BD141A">
        <w:rPr>
          <w:noProof/>
          <w:sz w:val="22"/>
          <w:szCs w:val="22"/>
          <w:lang w:val="hr-HR"/>
        </w:rPr>
        <w:t>vrijedno</w:t>
      </w:r>
      <w:r w:rsidRPr="00BD141A">
        <w:rPr>
          <w:noProof/>
          <w:sz w:val="22"/>
          <w:szCs w:val="22"/>
          <w:lang w:val="hr-HR"/>
        </w:rPr>
        <w:t xml:space="preserve">sti bilirubina bila je 153 dana, a srednja </w:t>
      </w:r>
      <w:r w:rsidR="00BD141A" w:rsidRPr="00BD141A">
        <w:rPr>
          <w:noProof/>
          <w:sz w:val="22"/>
          <w:szCs w:val="22"/>
          <w:lang w:val="hr-HR"/>
        </w:rPr>
        <w:t>vrijedno</w:t>
      </w:r>
      <w:r w:rsidRPr="00BD141A">
        <w:rPr>
          <w:noProof/>
          <w:sz w:val="22"/>
          <w:szCs w:val="22"/>
          <w:lang w:val="hr-HR"/>
        </w:rPr>
        <w:t xml:space="preserve">st trajanja prve epizode bila je 182 dana. Nijedan pacijent nije trajno prekinuo terapiju zbog povećane </w:t>
      </w:r>
      <w:r w:rsidR="00BD141A" w:rsidRPr="00BD141A">
        <w:rPr>
          <w:noProof/>
          <w:sz w:val="22"/>
          <w:szCs w:val="22"/>
          <w:lang w:val="hr-HR"/>
        </w:rPr>
        <w:t>vrijedno</w:t>
      </w:r>
      <w:r w:rsidRPr="00BD141A">
        <w:rPr>
          <w:noProof/>
          <w:sz w:val="22"/>
          <w:szCs w:val="22"/>
          <w:lang w:val="hr-HR"/>
        </w:rPr>
        <w:t>sti bilirubina.</w:t>
      </w:r>
    </w:p>
    <w:p w14:paraId="7C812144" w14:textId="77777777" w:rsidR="00A31BA4" w:rsidRPr="00BD141A" w:rsidRDefault="00A31BA4" w:rsidP="00A31BA4">
      <w:pPr>
        <w:jc w:val="both"/>
        <w:rPr>
          <w:noProof/>
          <w:sz w:val="22"/>
          <w:szCs w:val="22"/>
          <w:lang w:val="hr-HR"/>
        </w:rPr>
      </w:pPr>
    </w:p>
    <w:p w14:paraId="00E632EE" w14:textId="3024232D" w:rsidR="00A31BA4" w:rsidRPr="00BD141A" w:rsidRDefault="00A31BA4" w:rsidP="00A31BA4">
      <w:pPr>
        <w:jc w:val="both"/>
        <w:rPr>
          <w:i/>
          <w:iCs/>
          <w:noProof/>
          <w:sz w:val="22"/>
          <w:szCs w:val="22"/>
          <w:lang w:val="hr-HR"/>
        </w:rPr>
      </w:pPr>
      <w:r w:rsidRPr="00BD141A">
        <w:rPr>
          <w:i/>
          <w:iCs/>
          <w:noProof/>
          <w:sz w:val="22"/>
          <w:szCs w:val="22"/>
          <w:lang w:val="hr-HR"/>
        </w:rPr>
        <w:t xml:space="preserve">Povećanje </w:t>
      </w:r>
      <w:r w:rsidR="00BD141A" w:rsidRPr="00BD141A">
        <w:rPr>
          <w:i/>
          <w:iCs/>
          <w:noProof/>
          <w:sz w:val="22"/>
          <w:szCs w:val="22"/>
          <w:lang w:val="hr-HR"/>
        </w:rPr>
        <w:t>vrijedno</w:t>
      </w:r>
      <w:r w:rsidRPr="00BD141A">
        <w:rPr>
          <w:i/>
          <w:iCs/>
          <w:noProof/>
          <w:sz w:val="22"/>
          <w:szCs w:val="22"/>
          <w:lang w:val="hr-HR"/>
        </w:rPr>
        <w:t xml:space="preserve">sti AST </w:t>
      </w:r>
    </w:p>
    <w:p w14:paraId="1A3C8671" w14:textId="7E34A67E" w:rsidR="00A31BA4" w:rsidRPr="00BD141A" w:rsidRDefault="00A31BA4" w:rsidP="00A31BA4">
      <w:pPr>
        <w:jc w:val="both"/>
        <w:rPr>
          <w:noProof/>
          <w:sz w:val="22"/>
          <w:szCs w:val="22"/>
          <w:lang w:val="hr-HR"/>
        </w:rPr>
      </w:pPr>
      <w:r w:rsidRPr="00BD141A">
        <w:rPr>
          <w:noProof/>
          <w:sz w:val="22"/>
          <w:szCs w:val="22"/>
          <w:lang w:val="hr-HR"/>
        </w:rPr>
        <w:t xml:space="preserve">Povećanje </w:t>
      </w:r>
      <w:r w:rsidR="00BD141A" w:rsidRPr="00BD141A">
        <w:rPr>
          <w:noProof/>
          <w:sz w:val="22"/>
          <w:szCs w:val="22"/>
          <w:lang w:val="hr-HR"/>
        </w:rPr>
        <w:t>vrijedno</w:t>
      </w:r>
      <w:r w:rsidRPr="00BD141A">
        <w:rPr>
          <w:noProof/>
          <w:sz w:val="22"/>
          <w:szCs w:val="22"/>
          <w:lang w:val="hr-HR"/>
        </w:rPr>
        <w:t>sti AST kao laboratorijski nalaz</w:t>
      </w:r>
      <w:r w:rsidR="00535894">
        <w:rPr>
          <w:noProof/>
          <w:sz w:val="22"/>
          <w:szCs w:val="22"/>
          <w:lang w:val="hr-HR"/>
        </w:rPr>
        <w:t xml:space="preserve"> izvan referentnih graničnih vrijednosti</w:t>
      </w:r>
      <w:r w:rsidRPr="00BD141A">
        <w:rPr>
          <w:noProof/>
          <w:sz w:val="22"/>
          <w:szCs w:val="22"/>
          <w:lang w:val="hr-HR"/>
        </w:rPr>
        <w:t xml:space="preserve"> prijavljeno je kod 22,5% pacijenata </w:t>
      </w:r>
      <w:r w:rsidR="00BD141A" w:rsidRPr="00BD141A">
        <w:rPr>
          <w:noProof/>
          <w:sz w:val="22"/>
          <w:szCs w:val="22"/>
          <w:lang w:val="hr-HR"/>
        </w:rPr>
        <w:t>liječe</w:t>
      </w:r>
      <w:r w:rsidRPr="00BD141A">
        <w:rPr>
          <w:noProof/>
          <w:sz w:val="22"/>
          <w:szCs w:val="22"/>
          <w:lang w:val="hr-HR"/>
        </w:rPr>
        <w:t xml:space="preserve">nih darolutamidom i kod 13,6% pacijenata koji su dobijali placebo. Događaji su bili predominantno stepena intenziteta 1 ili 2, </w:t>
      </w:r>
      <w:r w:rsidR="00591AA0" w:rsidRPr="00BD141A">
        <w:rPr>
          <w:noProof/>
          <w:sz w:val="22"/>
          <w:szCs w:val="22"/>
          <w:lang w:val="hr-HR"/>
        </w:rPr>
        <w:t>nijesu</w:t>
      </w:r>
      <w:r w:rsidRPr="00BD141A">
        <w:rPr>
          <w:noProof/>
          <w:sz w:val="22"/>
          <w:szCs w:val="22"/>
          <w:lang w:val="hr-HR"/>
        </w:rPr>
        <w:t xml:space="preserve"> bili povezani sa bilo kakvim klinički značajnim znacima ili simptomima i povlačili su se nakon prekida terapije darolutamidom. Povećanje </w:t>
      </w:r>
      <w:r w:rsidR="00BD141A" w:rsidRPr="00BD141A">
        <w:rPr>
          <w:noProof/>
          <w:sz w:val="22"/>
          <w:szCs w:val="22"/>
          <w:lang w:val="hr-HR"/>
        </w:rPr>
        <w:t>vrijedno</w:t>
      </w:r>
      <w:r w:rsidRPr="00BD141A">
        <w:rPr>
          <w:noProof/>
          <w:sz w:val="22"/>
          <w:szCs w:val="22"/>
          <w:lang w:val="hr-HR"/>
        </w:rPr>
        <w:t xml:space="preserve">sti AST stepena 3 prijavljeno je kod 0,5% pacijenata </w:t>
      </w:r>
      <w:r w:rsidR="00BD141A" w:rsidRPr="00BD141A">
        <w:rPr>
          <w:noProof/>
          <w:sz w:val="22"/>
          <w:szCs w:val="22"/>
          <w:lang w:val="hr-HR"/>
        </w:rPr>
        <w:t>liječe</w:t>
      </w:r>
      <w:r w:rsidRPr="00BD141A">
        <w:rPr>
          <w:noProof/>
          <w:sz w:val="22"/>
          <w:szCs w:val="22"/>
          <w:lang w:val="hr-HR"/>
        </w:rPr>
        <w:t xml:space="preserve">nih darolutamidom i kod 0,2% pacijenata koji su </w:t>
      </w:r>
      <w:r w:rsidRPr="004111E5">
        <w:rPr>
          <w:noProof/>
          <w:sz w:val="22"/>
          <w:szCs w:val="22"/>
          <w:lang w:val="hr-HR"/>
        </w:rPr>
        <w:t>dobijali</w:t>
      </w:r>
      <w:r w:rsidRPr="00BD141A">
        <w:rPr>
          <w:noProof/>
          <w:sz w:val="22"/>
          <w:szCs w:val="22"/>
          <w:lang w:val="hr-HR"/>
        </w:rPr>
        <w:t xml:space="preserve"> placebo. U grupi koja je primala darolutamid, srednja </w:t>
      </w:r>
      <w:r w:rsidR="00BD141A" w:rsidRPr="00BD141A">
        <w:rPr>
          <w:noProof/>
          <w:sz w:val="22"/>
          <w:szCs w:val="22"/>
          <w:lang w:val="hr-HR"/>
        </w:rPr>
        <w:t>vrijedno</w:t>
      </w:r>
      <w:r w:rsidRPr="00BD141A">
        <w:rPr>
          <w:noProof/>
          <w:sz w:val="22"/>
          <w:szCs w:val="22"/>
          <w:lang w:val="hr-HR"/>
        </w:rPr>
        <w:t xml:space="preserve">st vremena do prvog povećanja </w:t>
      </w:r>
      <w:r w:rsidR="00BD141A" w:rsidRPr="00BD141A">
        <w:rPr>
          <w:noProof/>
          <w:sz w:val="22"/>
          <w:szCs w:val="22"/>
          <w:lang w:val="hr-HR"/>
        </w:rPr>
        <w:t>vrijedno</w:t>
      </w:r>
      <w:r w:rsidRPr="00BD141A">
        <w:rPr>
          <w:noProof/>
          <w:sz w:val="22"/>
          <w:szCs w:val="22"/>
          <w:lang w:val="hr-HR"/>
        </w:rPr>
        <w:t xml:space="preserve">sti AST bila je 258 dana, a srednja </w:t>
      </w:r>
      <w:r w:rsidR="00BD141A" w:rsidRPr="00BD141A">
        <w:rPr>
          <w:noProof/>
          <w:sz w:val="22"/>
          <w:szCs w:val="22"/>
          <w:lang w:val="hr-HR"/>
        </w:rPr>
        <w:t>vrijedno</w:t>
      </w:r>
      <w:r w:rsidRPr="00BD141A">
        <w:rPr>
          <w:noProof/>
          <w:sz w:val="22"/>
          <w:szCs w:val="22"/>
          <w:lang w:val="hr-HR"/>
        </w:rPr>
        <w:t xml:space="preserve">st trajanja prve epizode bila je 118 dana. Nijedan pacijent nije trajno prekinuo terapiju zbog povećane </w:t>
      </w:r>
      <w:r w:rsidR="00BD141A" w:rsidRPr="00BD141A">
        <w:rPr>
          <w:noProof/>
          <w:sz w:val="22"/>
          <w:szCs w:val="22"/>
          <w:lang w:val="hr-HR"/>
        </w:rPr>
        <w:t>vrijedno</w:t>
      </w:r>
      <w:r w:rsidRPr="00BD141A">
        <w:rPr>
          <w:noProof/>
          <w:sz w:val="22"/>
          <w:szCs w:val="22"/>
          <w:lang w:val="hr-HR"/>
        </w:rPr>
        <w:t>sti AST.</w:t>
      </w:r>
    </w:p>
    <w:p w14:paraId="3CF32E4F" w14:textId="77777777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</w:p>
    <w:p w14:paraId="58446F74" w14:textId="77777777" w:rsidR="00B33134" w:rsidRPr="00B33134" w:rsidRDefault="00B33134" w:rsidP="00B33134">
      <w:pPr>
        <w:jc w:val="both"/>
        <w:rPr>
          <w:i/>
          <w:iCs/>
          <w:noProof/>
          <w:sz w:val="22"/>
          <w:szCs w:val="22"/>
          <w:u w:val="single"/>
          <w:lang w:val="hr-HR"/>
        </w:rPr>
      </w:pPr>
      <w:r w:rsidRPr="00B33134">
        <w:rPr>
          <w:i/>
          <w:iCs/>
          <w:noProof/>
          <w:sz w:val="22"/>
          <w:szCs w:val="22"/>
          <w:u w:val="single"/>
          <w:lang w:val="hr-HR"/>
        </w:rPr>
        <w:t>Metastatski hormon senzitivni karcinom prostate (mHSPC)</w:t>
      </w:r>
    </w:p>
    <w:p w14:paraId="54749E6A" w14:textId="77777777" w:rsidR="00B33134" w:rsidRPr="00B33134" w:rsidRDefault="00B33134" w:rsidP="00B33134">
      <w:pPr>
        <w:jc w:val="both"/>
        <w:rPr>
          <w:i/>
          <w:iCs/>
          <w:noProof/>
          <w:sz w:val="22"/>
          <w:szCs w:val="22"/>
          <w:lang w:val="hr-HR"/>
        </w:rPr>
      </w:pPr>
      <w:r w:rsidRPr="00B33134">
        <w:rPr>
          <w:i/>
          <w:iCs/>
          <w:noProof/>
          <w:sz w:val="22"/>
          <w:szCs w:val="22"/>
          <w:lang w:val="hr-HR"/>
        </w:rPr>
        <w:t>Hipertenzija</w:t>
      </w:r>
    </w:p>
    <w:p w14:paraId="18EE2A38" w14:textId="454D7C2F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  <w:r w:rsidRPr="00B33134">
        <w:rPr>
          <w:noProof/>
          <w:sz w:val="22"/>
          <w:szCs w:val="22"/>
          <w:lang w:val="hr-HR"/>
        </w:rPr>
        <w:t>U ispitivanju ARASENS hipertenzija je prijavljena kod 13,8% pacijenata l</w:t>
      </w:r>
      <w:r>
        <w:rPr>
          <w:noProof/>
          <w:sz w:val="22"/>
          <w:szCs w:val="22"/>
          <w:lang w:val="hr-HR"/>
        </w:rPr>
        <w:t>ij</w:t>
      </w:r>
      <w:r w:rsidRPr="00B33134">
        <w:rPr>
          <w:noProof/>
          <w:sz w:val="22"/>
          <w:szCs w:val="22"/>
          <w:lang w:val="hr-HR"/>
        </w:rPr>
        <w:t>ečenih darolutamidom u kombinaciji sa docetakselom i kod 9,4% pacijenata koji su dobijali placebo i docetaksel.</w:t>
      </w:r>
    </w:p>
    <w:p w14:paraId="03D6546E" w14:textId="77777777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  <w:r w:rsidRPr="00B33134">
        <w:rPr>
          <w:noProof/>
          <w:sz w:val="22"/>
          <w:szCs w:val="22"/>
          <w:lang w:val="hr-HR"/>
        </w:rPr>
        <w:t>Hipertenzija stepena 3 prijavljena je kod 6,4% pacijenata koji su dobijali darolutamid u kombinaciji sa docetakselom u poređenju sa 3,5% pacijenata koji su primali placebo i docetaksel. U svakoj od terapijskih grupa jedan pacijent je imao hipertenziju stepena 4.</w:t>
      </w:r>
    </w:p>
    <w:p w14:paraId="5071A846" w14:textId="7E2ACBC0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  <w:r w:rsidRPr="00B33134">
        <w:rPr>
          <w:noProof/>
          <w:sz w:val="22"/>
          <w:szCs w:val="22"/>
          <w:lang w:val="hr-HR"/>
        </w:rPr>
        <w:t>Prijavljen je jedan slučaj hipertenzije stepena 5 sa arteriosklerozom stepena 5 u grupi koja je bila na terapiji darolutamidom u kombinaciji sa docetakselom. Ovaj pacijent je imao dugu istoriju hipertenzije i pušenja i slučaj se javio nakon više od tri godine od početka terapije darolutamidom. Slučajevi hipertenzije češće su prijavljivani kod pacijenata bez hipertenzije u anamnezi u ob</w:t>
      </w:r>
      <w:r w:rsidR="0060016A">
        <w:rPr>
          <w:noProof/>
          <w:sz w:val="22"/>
          <w:szCs w:val="22"/>
          <w:lang w:val="hr-HR"/>
        </w:rPr>
        <w:t>j</w:t>
      </w:r>
      <w:r w:rsidRPr="00B33134">
        <w:rPr>
          <w:noProof/>
          <w:sz w:val="22"/>
          <w:szCs w:val="22"/>
          <w:lang w:val="hr-HR"/>
        </w:rPr>
        <w:t>e ispitivane grupe.</w:t>
      </w:r>
    </w:p>
    <w:p w14:paraId="335154A1" w14:textId="77777777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</w:p>
    <w:p w14:paraId="52287E1A" w14:textId="77777777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  <w:r w:rsidRPr="00B33134">
        <w:rPr>
          <w:i/>
          <w:iCs/>
          <w:noProof/>
          <w:sz w:val="22"/>
          <w:szCs w:val="22"/>
          <w:lang w:val="hr-HR"/>
        </w:rPr>
        <w:t>Frakture</w:t>
      </w:r>
    </w:p>
    <w:p w14:paraId="767A8E93" w14:textId="05D54781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  <w:r w:rsidRPr="00B33134">
        <w:rPr>
          <w:noProof/>
          <w:sz w:val="22"/>
          <w:szCs w:val="22"/>
          <w:lang w:val="hr-HR"/>
        </w:rPr>
        <w:t>Frakture su se dogodile kod 7,5% pacijenata l</w:t>
      </w:r>
      <w:r>
        <w:rPr>
          <w:noProof/>
          <w:sz w:val="22"/>
          <w:szCs w:val="22"/>
          <w:lang w:val="hr-HR"/>
        </w:rPr>
        <w:t>ij</w:t>
      </w:r>
      <w:r w:rsidRPr="00B33134">
        <w:rPr>
          <w:noProof/>
          <w:sz w:val="22"/>
          <w:szCs w:val="22"/>
          <w:lang w:val="hr-HR"/>
        </w:rPr>
        <w:t>ečenih darolutamidom u kombinaciji sa docetakselom i kod 5,1% pacijenata koji su dobijali placebo sa docetakselom.</w:t>
      </w:r>
    </w:p>
    <w:p w14:paraId="56BC8327" w14:textId="77777777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</w:p>
    <w:p w14:paraId="190062C9" w14:textId="77777777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  <w:r w:rsidRPr="00B33134">
        <w:rPr>
          <w:i/>
          <w:iCs/>
          <w:noProof/>
          <w:sz w:val="22"/>
          <w:szCs w:val="22"/>
          <w:lang w:val="hr-HR"/>
        </w:rPr>
        <w:t>Smanjen broj neutrofila</w:t>
      </w:r>
    </w:p>
    <w:p w14:paraId="3EDA76E9" w14:textId="69084ACF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  <w:r w:rsidRPr="00B33134">
        <w:rPr>
          <w:noProof/>
          <w:sz w:val="22"/>
          <w:szCs w:val="22"/>
          <w:lang w:val="hr-HR"/>
        </w:rPr>
        <w:t>Smanjenje broja neutrofila kao laboratorijski nalaz izvan referentnih graničnih vr</w:t>
      </w:r>
      <w:r>
        <w:rPr>
          <w:noProof/>
          <w:sz w:val="22"/>
          <w:szCs w:val="22"/>
          <w:lang w:val="hr-HR"/>
        </w:rPr>
        <w:t>ij</w:t>
      </w:r>
      <w:r w:rsidRPr="00B33134">
        <w:rPr>
          <w:noProof/>
          <w:sz w:val="22"/>
          <w:szCs w:val="22"/>
          <w:lang w:val="hr-HR"/>
        </w:rPr>
        <w:t>ednosti prijavljeno je kod 50,6% pacijenata l</w:t>
      </w:r>
      <w:r>
        <w:rPr>
          <w:noProof/>
          <w:sz w:val="22"/>
          <w:szCs w:val="22"/>
          <w:lang w:val="hr-HR"/>
        </w:rPr>
        <w:t>ij</w:t>
      </w:r>
      <w:r w:rsidRPr="00B33134">
        <w:rPr>
          <w:noProof/>
          <w:sz w:val="22"/>
          <w:szCs w:val="22"/>
          <w:lang w:val="hr-HR"/>
        </w:rPr>
        <w:t>ečenih darolutamidom u kombinaciji sa docetakselom i kod 45,5% pacijenata koji su dobijali placebo sa docetakselom. Smanjenje broja neutrofila stepena 3 ili 4 prijavljeno je kod 34,4% pacijenata koji su primali terapiju darolutamidom u kombinaciji sa docetakselom, odnosno kod 31,4% pacijenata koji su dobijali placebo u kombinaciji sa docetakselom. U ob</w:t>
      </w:r>
      <w:r w:rsidR="0060016A">
        <w:rPr>
          <w:noProof/>
          <w:sz w:val="22"/>
          <w:szCs w:val="22"/>
          <w:lang w:val="hr-HR"/>
        </w:rPr>
        <w:t>j</w:t>
      </w:r>
      <w:r w:rsidRPr="00B33134">
        <w:rPr>
          <w:noProof/>
          <w:sz w:val="22"/>
          <w:szCs w:val="22"/>
          <w:lang w:val="hr-HR"/>
        </w:rPr>
        <w:t xml:space="preserve">e terapijske grupe, </w:t>
      </w:r>
      <w:r w:rsidRPr="00B33134">
        <w:rPr>
          <w:noProof/>
          <w:sz w:val="22"/>
          <w:szCs w:val="22"/>
          <w:lang w:val="hr-HR"/>
        </w:rPr>
        <w:lastRenderedPageBreak/>
        <w:t>incidenca pojave smanjenja broja neutrofila i neutropenije bila je najviša tokom prvih m</w:t>
      </w:r>
      <w:r>
        <w:rPr>
          <w:noProof/>
          <w:sz w:val="22"/>
          <w:szCs w:val="22"/>
          <w:lang w:val="hr-HR"/>
        </w:rPr>
        <w:t>j</w:t>
      </w:r>
      <w:r w:rsidRPr="00B33134">
        <w:rPr>
          <w:noProof/>
          <w:sz w:val="22"/>
          <w:szCs w:val="22"/>
          <w:lang w:val="hr-HR"/>
        </w:rPr>
        <w:t>eseci terapije, nakon čega su se incidenca i težina događaja smanjivali.</w:t>
      </w:r>
    </w:p>
    <w:p w14:paraId="5E10A3D5" w14:textId="77777777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</w:p>
    <w:p w14:paraId="3F69FE64" w14:textId="77777777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  <w:r w:rsidRPr="00B33134">
        <w:rPr>
          <w:i/>
          <w:iCs/>
          <w:noProof/>
          <w:sz w:val="22"/>
          <w:szCs w:val="22"/>
          <w:lang w:val="hr-HR"/>
        </w:rPr>
        <w:t>Povećanje koncentracije bilirubina u krvi</w:t>
      </w:r>
    </w:p>
    <w:p w14:paraId="60511E43" w14:textId="11F90EAE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  <w:r w:rsidRPr="00B33134">
        <w:rPr>
          <w:noProof/>
          <w:sz w:val="22"/>
          <w:szCs w:val="22"/>
          <w:lang w:val="hr-HR"/>
        </w:rPr>
        <w:t>Povećanje koncentracije bilirubina kao laboratorijski nalaz izvan referentnih graničnih koncentracija prijavljeno je kod 19,6% pacijenata l</w:t>
      </w:r>
      <w:r w:rsidR="0060016A">
        <w:rPr>
          <w:noProof/>
          <w:sz w:val="22"/>
          <w:szCs w:val="22"/>
          <w:lang w:val="hr-HR"/>
        </w:rPr>
        <w:t>ij</w:t>
      </w:r>
      <w:r w:rsidRPr="00B33134">
        <w:rPr>
          <w:noProof/>
          <w:sz w:val="22"/>
          <w:szCs w:val="22"/>
          <w:lang w:val="hr-HR"/>
        </w:rPr>
        <w:t>ečenih darolutamidom u kombinaciji sa docetakselom i kod 10,0% pacijenata koji su dobijali placebo sa docetakse</w:t>
      </w:r>
      <w:r w:rsidR="0060016A">
        <w:rPr>
          <w:noProof/>
          <w:sz w:val="22"/>
          <w:szCs w:val="22"/>
          <w:lang w:val="hr-HR"/>
        </w:rPr>
        <w:t>l</w:t>
      </w:r>
      <w:r w:rsidRPr="00B33134">
        <w:rPr>
          <w:noProof/>
          <w:sz w:val="22"/>
          <w:szCs w:val="22"/>
          <w:lang w:val="hr-HR"/>
        </w:rPr>
        <w:t>om. Događaji su bili predominantno stepena intenziteta 1 ili 2. Povećanje vr</w:t>
      </w:r>
      <w:r w:rsidR="0060016A">
        <w:rPr>
          <w:noProof/>
          <w:sz w:val="22"/>
          <w:szCs w:val="22"/>
          <w:lang w:val="hr-HR"/>
        </w:rPr>
        <w:t>ij</w:t>
      </w:r>
      <w:r w:rsidRPr="00B33134">
        <w:rPr>
          <w:noProof/>
          <w:sz w:val="22"/>
          <w:szCs w:val="22"/>
          <w:lang w:val="hr-HR"/>
        </w:rPr>
        <w:t>ednosti bilirubina stepena 3 i 4 prijavljeno je kod 0,5% pacijenata l</w:t>
      </w:r>
      <w:r w:rsidR="0060016A">
        <w:rPr>
          <w:noProof/>
          <w:sz w:val="22"/>
          <w:szCs w:val="22"/>
          <w:lang w:val="hr-HR"/>
        </w:rPr>
        <w:t>ij</w:t>
      </w:r>
      <w:r w:rsidRPr="00B33134">
        <w:rPr>
          <w:noProof/>
          <w:sz w:val="22"/>
          <w:szCs w:val="22"/>
          <w:lang w:val="hr-HR"/>
        </w:rPr>
        <w:t>ečenih darolutamidom u kombinaciji sa docetakselom i kod 0,3% pacijenata koji su dobijali placebo u kombinaciji sa docetakselom.</w:t>
      </w:r>
    </w:p>
    <w:p w14:paraId="2302EBAD" w14:textId="77777777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</w:p>
    <w:p w14:paraId="4217FE93" w14:textId="77777777" w:rsidR="00B33134" w:rsidRPr="00B33134" w:rsidRDefault="00B33134" w:rsidP="00B33134">
      <w:pPr>
        <w:jc w:val="both"/>
        <w:rPr>
          <w:i/>
          <w:iCs/>
          <w:noProof/>
          <w:sz w:val="22"/>
          <w:szCs w:val="22"/>
          <w:lang w:val="hr-HR"/>
        </w:rPr>
      </w:pPr>
      <w:r w:rsidRPr="00B33134">
        <w:rPr>
          <w:i/>
          <w:iCs/>
          <w:noProof/>
          <w:sz w:val="22"/>
          <w:szCs w:val="22"/>
          <w:lang w:val="hr-HR"/>
        </w:rPr>
        <w:t xml:space="preserve">Povećanje koncentracije ALT i AST </w:t>
      </w:r>
    </w:p>
    <w:p w14:paraId="2D8E261E" w14:textId="65FE9C40" w:rsidR="00B33134" w:rsidRPr="00B33134" w:rsidRDefault="00B33134" w:rsidP="00B33134">
      <w:pPr>
        <w:jc w:val="both"/>
        <w:rPr>
          <w:noProof/>
          <w:sz w:val="22"/>
          <w:szCs w:val="22"/>
          <w:lang w:val="hr-HR"/>
        </w:rPr>
      </w:pPr>
      <w:r w:rsidRPr="00B33134">
        <w:rPr>
          <w:noProof/>
          <w:sz w:val="22"/>
          <w:szCs w:val="22"/>
          <w:lang w:val="hr-HR"/>
        </w:rPr>
        <w:t>Povećanje koncentracije alanin aminotransfera</w:t>
      </w:r>
      <w:r w:rsidRPr="00B33134">
        <w:rPr>
          <w:noProof/>
          <w:sz w:val="22"/>
          <w:szCs w:val="22"/>
          <w:lang w:val="sr-Latn-RS"/>
        </w:rPr>
        <w:t>ze (ALT) kao laboratorijski nalaz izvan referentnih graničnih koncentracija prijavljeno je kod 42,3% pacijenata l</w:t>
      </w:r>
      <w:r w:rsidR="0060016A">
        <w:rPr>
          <w:noProof/>
          <w:sz w:val="22"/>
          <w:szCs w:val="22"/>
          <w:lang w:val="sr-Latn-RS"/>
        </w:rPr>
        <w:t>ij</w:t>
      </w:r>
      <w:r w:rsidRPr="00B33134">
        <w:rPr>
          <w:noProof/>
          <w:sz w:val="22"/>
          <w:szCs w:val="22"/>
          <w:lang w:val="sr-Latn-RS"/>
        </w:rPr>
        <w:t>ečenih darolutamidom u kombinaciji sa docetakselom i kod 38,0% pacijenata koji su dobijali placebo sa docetakselom. Povećanje nivoa alanin aminotransferaze (</w:t>
      </w:r>
      <w:r w:rsidRPr="00B33134">
        <w:rPr>
          <w:noProof/>
          <w:sz w:val="22"/>
          <w:szCs w:val="22"/>
          <w:lang w:val="hr-HR"/>
        </w:rPr>
        <w:t>AST) kao laboratorijski nalaz izvan referentnih graničnih koncentracija prijavljeno je kod 43,9% pacijenata l</w:t>
      </w:r>
      <w:r w:rsidR="0060016A">
        <w:rPr>
          <w:noProof/>
          <w:sz w:val="22"/>
          <w:szCs w:val="22"/>
          <w:lang w:val="hr-HR"/>
        </w:rPr>
        <w:t>ij</w:t>
      </w:r>
      <w:r w:rsidRPr="00B33134">
        <w:rPr>
          <w:noProof/>
          <w:sz w:val="22"/>
          <w:szCs w:val="22"/>
          <w:lang w:val="hr-HR"/>
        </w:rPr>
        <w:t>ečenih darolutamidom u kombinaciji sa docetakselom i kod 39,3% pacijenata koji su dobijali placebo u kombinaciji sa docetakselom. Povećanja vr</w:t>
      </w:r>
      <w:r w:rsidR="0060016A">
        <w:rPr>
          <w:noProof/>
          <w:sz w:val="22"/>
          <w:szCs w:val="22"/>
          <w:lang w:val="hr-HR"/>
        </w:rPr>
        <w:t>ij</w:t>
      </w:r>
      <w:r w:rsidRPr="00B33134">
        <w:rPr>
          <w:noProof/>
          <w:sz w:val="22"/>
          <w:szCs w:val="22"/>
          <w:lang w:val="hr-HR"/>
        </w:rPr>
        <w:t>ednosti ALT i AST bila</w:t>
      </w:r>
      <w:r w:rsidRPr="00B33134">
        <w:rPr>
          <w:noProof/>
          <w:sz w:val="22"/>
          <w:szCs w:val="22"/>
          <w:lang w:val="sr-Latn-RS"/>
        </w:rPr>
        <w:t xml:space="preserve"> su predominantno stepena intenziteta 1. Povećanje vr</w:t>
      </w:r>
      <w:r w:rsidR="0060016A">
        <w:rPr>
          <w:noProof/>
          <w:sz w:val="22"/>
          <w:szCs w:val="22"/>
          <w:lang w:val="sr-Latn-RS"/>
        </w:rPr>
        <w:t>ij</w:t>
      </w:r>
      <w:r w:rsidRPr="00B33134">
        <w:rPr>
          <w:noProof/>
          <w:sz w:val="22"/>
          <w:szCs w:val="22"/>
          <w:lang w:val="sr-Latn-RS"/>
        </w:rPr>
        <w:t>ednosti ALT stepena 3 i 4 prijavljeno je kod 3,7% pacijenata l</w:t>
      </w:r>
      <w:r w:rsidR="0060016A">
        <w:rPr>
          <w:noProof/>
          <w:sz w:val="22"/>
          <w:szCs w:val="22"/>
          <w:lang w:val="sr-Latn-RS"/>
        </w:rPr>
        <w:t>ij</w:t>
      </w:r>
      <w:r w:rsidRPr="00B33134">
        <w:rPr>
          <w:noProof/>
          <w:sz w:val="22"/>
          <w:szCs w:val="22"/>
          <w:lang w:val="sr-Latn-RS"/>
        </w:rPr>
        <w:t>ečenih darolutamidom u kombinaciji sa docetakselom i kod 3,0% pacijenata koji su dobijali placebo u kombinaciji sa docetakselom. Povećanje vr</w:t>
      </w:r>
      <w:r w:rsidR="0060016A">
        <w:rPr>
          <w:noProof/>
          <w:sz w:val="22"/>
          <w:szCs w:val="22"/>
          <w:lang w:val="sr-Latn-RS"/>
        </w:rPr>
        <w:t>ij</w:t>
      </w:r>
      <w:r w:rsidRPr="00B33134">
        <w:rPr>
          <w:noProof/>
          <w:sz w:val="22"/>
          <w:szCs w:val="22"/>
          <w:lang w:val="sr-Latn-RS"/>
        </w:rPr>
        <w:t>ednosti AST stepena 3 i 4 prijavljeno je kod 3,6% pacijenata l</w:t>
      </w:r>
      <w:r w:rsidR="0060016A">
        <w:rPr>
          <w:noProof/>
          <w:sz w:val="22"/>
          <w:szCs w:val="22"/>
          <w:lang w:val="sr-Latn-RS"/>
        </w:rPr>
        <w:t>ij</w:t>
      </w:r>
      <w:r w:rsidRPr="00B33134">
        <w:rPr>
          <w:noProof/>
          <w:sz w:val="22"/>
          <w:szCs w:val="22"/>
          <w:lang w:val="sr-Latn-RS"/>
        </w:rPr>
        <w:t xml:space="preserve">ečenih darolutamidom u kombinaciji sa docetakselom i kod 2,3% pacijenata koji su dobijali placebo u kombinaciji sa docetakselom. </w:t>
      </w:r>
    </w:p>
    <w:p w14:paraId="11844D01" w14:textId="77777777" w:rsidR="00A31BA4" w:rsidRPr="00BD141A" w:rsidRDefault="00A31BA4" w:rsidP="00480FB1">
      <w:pPr>
        <w:tabs>
          <w:tab w:val="left" w:pos="540"/>
          <w:tab w:val="left" w:pos="569"/>
        </w:tabs>
        <w:rPr>
          <w:sz w:val="22"/>
          <w:szCs w:val="22"/>
        </w:rPr>
      </w:pPr>
    </w:p>
    <w:p w14:paraId="18801D09" w14:textId="77777777" w:rsidR="005A23D2" w:rsidRPr="00786071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05E69DFE" w14:textId="7FB70151" w:rsidR="005A23D2" w:rsidRPr="00786071" w:rsidRDefault="005A23D2" w:rsidP="00A46C9A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</w:t>
      </w:r>
      <w:r w:rsidR="00BD141A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7B47C3D4" w14:textId="77777777" w:rsidR="005A23D2" w:rsidRPr="00786071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0B30A2D1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63E2D6B5" w14:textId="77777777" w:rsidR="00EA5765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1053D318" w14:textId="77777777" w:rsidR="00EA5765" w:rsidRPr="00786071" w:rsidRDefault="00EA5765" w:rsidP="00A46C9A">
      <w:pPr>
        <w:pStyle w:val="NoSpacing"/>
        <w:rPr>
          <w:rFonts w:eastAsia="Calibri"/>
          <w:sz w:val="22"/>
          <w:szCs w:val="22"/>
          <w:lang w:val="sr-Latn-RS"/>
        </w:rPr>
      </w:pPr>
    </w:p>
    <w:p w14:paraId="7AD6046D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7F74B916" w14:textId="77777777" w:rsidR="00EA5765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</w:p>
    <w:p w14:paraId="3BED8BFC" w14:textId="77777777" w:rsidR="005A23D2" w:rsidRPr="00786071" w:rsidRDefault="006C4A16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3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23201A4A" w14:textId="77777777" w:rsidR="00EA5765" w:rsidRPr="00786071" w:rsidRDefault="006C4A16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4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219D5743" w14:textId="0FA61D84" w:rsidR="005A23D2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72C71669" w14:textId="3057055E" w:rsidR="00BB6E2C" w:rsidRDefault="00BB6E2C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8C49AEE" w14:textId="77777777" w:rsidR="00BB6E2C" w:rsidRPr="00BB6E2C" w:rsidRDefault="00BB6E2C" w:rsidP="00BB6E2C">
      <w:pPr>
        <w:jc w:val="both"/>
        <w:rPr>
          <w:rFonts w:eastAsia="Calibri"/>
          <w:sz w:val="22"/>
          <w:szCs w:val="22"/>
          <w:lang w:val="sr-Latn-RS"/>
        </w:rPr>
      </w:pPr>
      <w:r w:rsidRPr="00BB6E2C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497854A8" w14:textId="77777777" w:rsidR="00BB6E2C" w:rsidRPr="00BB6E2C" w:rsidRDefault="00BB6E2C" w:rsidP="00BB6E2C">
      <w:pPr>
        <w:jc w:val="both"/>
        <w:rPr>
          <w:rFonts w:eastAsia="Calibri"/>
          <w:sz w:val="22"/>
          <w:szCs w:val="22"/>
          <w:lang w:val="sr-Latn-RS"/>
        </w:rPr>
      </w:pPr>
    </w:p>
    <w:p w14:paraId="1575C5C9" w14:textId="1E455A1D" w:rsidR="00BB6E2C" w:rsidRPr="00786071" w:rsidRDefault="00022755" w:rsidP="00022755">
      <w:pPr>
        <w:rPr>
          <w:rFonts w:eastAsia="Calibri"/>
          <w:sz w:val="22"/>
          <w:szCs w:val="22"/>
          <w:lang w:val="sr-Latn-RS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0D31DCC6" wp14:editId="4CEF3DFE">
            <wp:extent cx="980796" cy="972000"/>
            <wp:effectExtent l="0" t="0" r="0" b="0"/>
            <wp:docPr id="10" name="Picture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9" w:name="_GoBack"/>
      <w:bookmarkEnd w:id="9"/>
    </w:p>
    <w:p w14:paraId="2C2958AB" w14:textId="77777777" w:rsidR="00836B35" w:rsidRPr="00BD141A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93B5BDB" w14:textId="77777777" w:rsidR="00CD6F02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4.9.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Predoziranje</w:t>
      </w:r>
      <w:r w:rsidR="002846DB" w:rsidRPr="00BD141A">
        <w:rPr>
          <w:b/>
          <w:bCs/>
          <w:sz w:val="22"/>
          <w:szCs w:val="22"/>
        </w:rPr>
        <w:t xml:space="preserve"> </w:t>
      </w:r>
    </w:p>
    <w:p w14:paraId="053FC232" w14:textId="2EDCE756" w:rsidR="00CD6F02" w:rsidRPr="00BD141A" w:rsidRDefault="00CD6F02" w:rsidP="00480FB1">
      <w:pPr>
        <w:tabs>
          <w:tab w:val="left" w:pos="540"/>
          <w:tab w:val="left" w:pos="569"/>
        </w:tabs>
        <w:rPr>
          <w:sz w:val="22"/>
          <w:szCs w:val="22"/>
        </w:rPr>
      </w:pPr>
    </w:p>
    <w:p w14:paraId="2AEFC37C" w14:textId="44E41959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Najvi</w:t>
      </w:r>
      <w:r w:rsidRPr="00BD141A">
        <w:rPr>
          <w:sz w:val="22"/>
          <w:szCs w:val="22"/>
          <w:lang w:val="sr-Latn-RS"/>
        </w:rPr>
        <w:t>ša klinički ispitana doza darolutamida bila je 900 mg dva puta dnevno, što odgovara ukupnoj dnevnoj dozi od 1800 mg. Pri ovoj dozi nije uočena toksič</w:t>
      </w:r>
      <w:r w:rsidR="00535894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>ost koja ograničava dozu.</w:t>
      </w:r>
    </w:p>
    <w:p w14:paraId="4B2B43F0" w14:textId="520E2DF2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Obzirom na saturabilnu resorpciju (</w:t>
      </w:r>
      <w:r w:rsidR="00591AA0" w:rsidRPr="00BD141A">
        <w:rPr>
          <w:sz w:val="22"/>
          <w:szCs w:val="22"/>
          <w:lang w:val="sr-Latn-RS"/>
        </w:rPr>
        <w:t>vidjet</w:t>
      </w:r>
      <w:r w:rsidRPr="00BD141A">
        <w:rPr>
          <w:sz w:val="22"/>
          <w:szCs w:val="22"/>
          <w:lang w:val="sr-Latn-RS"/>
        </w:rPr>
        <w:t xml:space="preserve">i </w:t>
      </w:r>
      <w:r w:rsidR="007B475F" w:rsidRPr="00BD141A">
        <w:rPr>
          <w:sz w:val="22"/>
          <w:szCs w:val="22"/>
          <w:lang w:val="sr-Latn-RS"/>
        </w:rPr>
        <w:t>dio</w:t>
      </w:r>
      <w:r w:rsidRPr="00BD141A">
        <w:rPr>
          <w:sz w:val="22"/>
          <w:szCs w:val="22"/>
          <w:lang w:val="sr-Latn-RS"/>
        </w:rPr>
        <w:t xml:space="preserve"> 5.2) i odsustvo dokaza za akutnu toksičnost, ne očekuje se da bi uzimanje darolutamida u dozi većoj od preporučene moglo </w:t>
      </w:r>
      <w:r w:rsidR="00535894">
        <w:rPr>
          <w:sz w:val="22"/>
          <w:szCs w:val="22"/>
          <w:lang w:val="sr-Latn-RS"/>
        </w:rPr>
        <w:t xml:space="preserve">da </w:t>
      </w:r>
      <w:r w:rsidRPr="00BD141A">
        <w:rPr>
          <w:sz w:val="22"/>
          <w:szCs w:val="22"/>
          <w:lang w:val="sr-Latn-RS"/>
        </w:rPr>
        <w:t>dove</w:t>
      </w:r>
      <w:r w:rsidR="00535894">
        <w:rPr>
          <w:sz w:val="22"/>
          <w:szCs w:val="22"/>
          <w:lang w:val="sr-Latn-RS"/>
        </w:rPr>
        <w:t>de</w:t>
      </w:r>
      <w:r w:rsidRPr="00BD141A">
        <w:rPr>
          <w:sz w:val="22"/>
          <w:szCs w:val="22"/>
          <w:lang w:val="sr-Latn-RS"/>
        </w:rPr>
        <w:t xml:space="preserve"> do toksičnosti.</w:t>
      </w:r>
    </w:p>
    <w:p w14:paraId="55DA2A80" w14:textId="3E605673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U slučaju uzimanja više doze od one koja je preporučena, terapija darolutamidom može </w:t>
      </w:r>
      <w:r w:rsidR="00535894">
        <w:rPr>
          <w:sz w:val="22"/>
          <w:szCs w:val="22"/>
          <w:lang w:val="sr-Latn-RS"/>
        </w:rPr>
        <w:t xml:space="preserve">da </w:t>
      </w:r>
      <w:r w:rsidRPr="00BD141A">
        <w:rPr>
          <w:sz w:val="22"/>
          <w:szCs w:val="22"/>
          <w:lang w:val="sr-Latn-RS"/>
        </w:rPr>
        <w:t>se nastavi uzimanjem naredne doze prema rasporedu.</w:t>
      </w:r>
    </w:p>
    <w:p w14:paraId="2D9D41F3" w14:textId="2E5399D2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lastRenderedPageBreak/>
        <w:t xml:space="preserve">Ne postoji specifičan antidot za darolutamid, a simptomi predoziranja </w:t>
      </w:r>
      <w:r w:rsidR="00591AA0" w:rsidRPr="00BD141A">
        <w:rPr>
          <w:sz w:val="22"/>
          <w:szCs w:val="22"/>
          <w:lang w:val="sr-Latn-RS"/>
        </w:rPr>
        <w:t>nijesu</w:t>
      </w:r>
      <w:r w:rsidRPr="00BD141A">
        <w:rPr>
          <w:sz w:val="22"/>
          <w:szCs w:val="22"/>
          <w:lang w:val="sr-Latn-RS"/>
        </w:rPr>
        <w:t xml:space="preserve"> u</w:t>
      </w:r>
      <w:r w:rsidR="00535894">
        <w:rPr>
          <w:sz w:val="22"/>
          <w:szCs w:val="22"/>
          <w:lang w:val="sr-Latn-RS"/>
        </w:rPr>
        <w:t>tvrđeni</w:t>
      </w:r>
      <w:r w:rsidRPr="00BD141A">
        <w:rPr>
          <w:sz w:val="22"/>
          <w:szCs w:val="22"/>
          <w:lang w:val="sr-Latn-RS"/>
        </w:rPr>
        <w:t>.</w:t>
      </w:r>
    </w:p>
    <w:p w14:paraId="7A099F46" w14:textId="07771507" w:rsidR="00227BDB" w:rsidRDefault="00227BDB" w:rsidP="00480FB1">
      <w:pPr>
        <w:tabs>
          <w:tab w:val="left" w:pos="540"/>
          <w:tab w:val="left" w:pos="569"/>
        </w:tabs>
        <w:rPr>
          <w:sz w:val="22"/>
          <w:szCs w:val="22"/>
        </w:rPr>
      </w:pPr>
    </w:p>
    <w:p w14:paraId="7E6E58C6" w14:textId="77777777" w:rsidR="00A864D0" w:rsidRPr="00BD141A" w:rsidRDefault="00A864D0" w:rsidP="00480FB1">
      <w:pPr>
        <w:tabs>
          <w:tab w:val="left" w:pos="540"/>
          <w:tab w:val="left" w:pos="569"/>
        </w:tabs>
        <w:rPr>
          <w:sz w:val="22"/>
          <w:szCs w:val="22"/>
        </w:rPr>
      </w:pPr>
    </w:p>
    <w:p w14:paraId="5E303996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5.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FARMAKOLOŠK</w:t>
      </w:r>
      <w:r w:rsidR="000D425A" w:rsidRPr="00BD141A">
        <w:rPr>
          <w:b/>
          <w:bCs/>
          <w:sz w:val="22"/>
          <w:szCs w:val="22"/>
        </w:rPr>
        <w:t>I</w:t>
      </w:r>
      <w:r w:rsidRPr="00BD141A">
        <w:rPr>
          <w:b/>
          <w:bCs/>
          <w:sz w:val="22"/>
          <w:szCs w:val="22"/>
        </w:rPr>
        <w:t xml:space="preserve"> PODACI</w:t>
      </w:r>
    </w:p>
    <w:p w14:paraId="7B1E24C0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E74E438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5.1.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Farmakodinamski podaci</w:t>
      </w:r>
      <w:r w:rsidR="003A7059" w:rsidRPr="00BD141A">
        <w:rPr>
          <w:b/>
          <w:bCs/>
          <w:sz w:val="22"/>
          <w:szCs w:val="22"/>
        </w:rPr>
        <w:t xml:space="preserve"> </w:t>
      </w:r>
    </w:p>
    <w:p w14:paraId="75640598" w14:textId="77777777" w:rsidR="00F45F77" w:rsidRPr="00BD141A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66E67C7" w14:textId="10E845DE" w:rsidR="00A31BA4" w:rsidRPr="00BD141A" w:rsidRDefault="0072020E" w:rsidP="00A31BA4">
      <w:pPr>
        <w:jc w:val="both"/>
        <w:rPr>
          <w:sz w:val="22"/>
          <w:szCs w:val="22"/>
          <w:lang w:val="sr-Latn-RS"/>
        </w:rPr>
      </w:pPr>
      <w:r w:rsidRPr="00BD141A">
        <w:rPr>
          <w:bCs/>
          <w:sz w:val="22"/>
          <w:szCs w:val="22"/>
        </w:rPr>
        <w:t>Farmakoterapijska grupa:</w:t>
      </w:r>
      <w:r w:rsidR="00A31BA4" w:rsidRPr="00BD141A">
        <w:rPr>
          <w:bCs/>
          <w:sz w:val="22"/>
          <w:szCs w:val="22"/>
        </w:rPr>
        <w:t xml:space="preserve"> </w:t>
      </w:r>
      <w:r w:rsidR="00A31BA4" w:rsidRPr="00BD141A">
        <w:rPr>
          <w:sz w:val="22"/>
          <w:szCs w:val="22"/>
        </w:rPr>
        <w:t>Endokrinolo</w:t>
      </w:r>
      <w:r w:rsidR="00A31BA4" w:rsidRPr="00BD141A">
        <w:rPr>
          <w:sz w:val="22"/>
          <w:szCs w:val="22"/>
          <w:lang w:val="sr-Latn-RS"/>
        </w:rPr>
        <w:t xml:space="preserve">ška terapija, hormonski antagonisti i srodni </w:t>
      </w:r>
      <w:r w:rsidR="007B475F" w:rsidRPr="00BD141A">
        <w:rPr>
          <w:sz w:val="22"/>
          <w:szCs w:val="22"/>
          <w:lang w:val="sr-Latn-RS"/>
        </w:rPr>
        <w:t>ljekovi</w:t>
      </w:r>
      <w:r w:rsidR="00A31BA4" w:rsidRPr="00BD141A">
        <w:rPr>
          <w:sz w:val="22"/>
          <w:szCs w:val="22"/>
          <w:lang w:val="sr-Latn-RS"/>
        </w:rPr>
        <w:t>, antiandrogeni</w:t>
      </w:r>
    </w:p>
    <w:p w14:paraId="00AF094C" w14:textId="77777777" w:rsidR="0072020E" w:rsidRPr="00BD141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D590CA1" w14:textId="75F0B7EF" w:rsidR="00A31BA4" w:rsidRPr="00BD141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BD141A">
        <w:rPr>
          <w:bCs/>
          <w:sz w:val="22"/>
          <w:szCs w:val="22"/>
        </w:rPr>
        <w:t>ATC kod:</w:t>
      </w:r>
      <w:r w:rsidR="00A31BA4" w:rsidRPr="00BD141A">
        <w:rPr>
          <w:bCs/>
          <w:sz w:val="22"/>
          <w:szCs w:val="22"/>
        </w:rPr>
        <w:t xml:space="preserve"> </w:t>
      </w:r>
      <w:r w:rsidR="00A31BA4" w:rsidRPr="00BD141A">
        <w:rPr>
          <w:sz w:val="22"/>
          <w:szCs w:val="22"/>
        </w:rPr>
        <w:t>L02BB06</w:t>
      </w:r>
    </w:p>
    <w:p w14:paraId="424551BD" w14:textId="77777777" w:rsidR="00A31BA4" w:rsidRPr="00BD141A" w:rsidRDefault="00A31BA4" w:rsidP="00A31BA4">
      <w:pPr>
        <w:rPr>
          <w:sz w:val="22"/>
          <w:szCs w:val="22"/>
        </w:rPr>
      </w:pPr>
    </w:p>
    <w:p w14:paraId="785D86D7" w14:textId="217EE7B9" w:rsidR="00A31BA4" w:rsidRPr="00BD141A" w:rsidRDefault="00A31BA4" w:rsidP="00A31BA4">
      <w:pPr>
        <w:rPr>
          <w:sz w:val="22"/>
          <w:szCs w:val="22"/>
          <w:u w:val="single"/>
          <w:lang w:val="sr-Latn-RS"/>
        </w:rPr>
      </w:pPr>
      <w:r w:rsidRPr="00BD141A">
        <w:rPr>
          <w:sz w:val="22"/>
          <w:szCs w:val="22"/>
          <w:u w:val="single"/>
        </w:rPr>
        <w:t>Meha</w:t>
      </w:r>
      <w:r w:rsidR="00B079D3">
        <w:rPr>
          <w:sz w:val="22"/>
          <w:szCs w:val="22"/>
          <w:u w:val="single"/>
        </w:rPr>
        <w:t>n</w:t>
      </w:r>
      <w:r w:rsidRPr="00BD141A">
        <w:rPr>
          <w:sz w:val="22"/>
          <w:szCs w:val="22"/>
          <w:u w:val="single"/>
        </w:rPr>
        <w:t>iz</w:t>
      </w:r>
      <w:r w:rsidRPr="00BD141A">
        <w:rPr>
          <w:sz w:val="22"/>
          <w:szCs w:val="22"/>
          <w:u w:val="single"/>
          <w:lang w:val="sr-Latn-RS"/>
        </w:rPr>
        <w:t>am dejstva</w:t>
      </w:r>
    </w:p>
    <w:p w14:paraId="370AE0D7" w14:textId="77777777" w:rsidR="00A31BA4" w:rsidRPr="00BD141A" w:rsidRDefault="00A31BA4" w:rsidP="00A31BA4">
      <w:pPr>
        <w:rPr>
          <w:sz w:val="22"/>
          <w:szCs w:val="22"/>
          <w:lang w:val="sr-Latn-RS"/>
        </w:rPr>
      </w:pPr>
    </w:p>
    <w:p w14:paraId="37605FF6" w14:textId="7BFD865A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Darolutamid je inhibitor androgenih receptora (AR), sa fleksibilnom polarno supstituisanom pirazolskom strukturom, koji se sa visokim afinitetom vezuje direktno na receptorski domen za vez</w:t>
      </w:r>
      <w:r w:rsidR="00535894">
        <w:rPr>
          <w:sz w:val="22"/>
          <w:szCs w:val="22"/>
          <w:lang w:val="sr-Latn-RS"/>
        </w:rPr>
        <w:t>iv</w:t>
      </w:r>
      <w:r w:rsidRPr="00BD141A">
        <w:rPr>
          <w:sz w:val="22"/>
          <w:szCs w:val="22"/>
          <w:lang w:val="sr-Latn-RS"/>
        </w:rPr>
        <w:t>anje liganda. Darolutamid kompetitivno inhibira vez</w:t>
      </w:r>
      <w:r w:rsidR="00BD141A">
        <w:rPr>
          <w:sz w:val="22"/>
          <w:szCs w:val="22"/>
          <w:lang w:val="sr-Latn-RS"/>
        </w:rPr>
        <w:t>iv</w:t>
      </w:r>
      <w:r w:rsidRPr="00BD141A">
        <w:rPr>
          <w:sz w:val="22"/>
          <w:szCs w:val="22"/>
          <w:lang w:val="sr-Latn-RS"/>
        </w:rPr>
        <w:t xml:space="preserve">anje androgena, translokaciju androgenih receptora u jedru, kao i transkripciju posredovanu androgenim receptorima. Glavni metabolit, ketodarolutamid, pokazao je sličnu </w:t>
      </w:r>
      <w:r w:rsidRPr="00BD141A">
        <w:rPr>
          <w:i/>
          <w:iCs/>
          <w:sz w:val="22"/>
          <w:szCs w:val="22"/>
          <w:lang w:val="sr-Latn-RS"/>
        </w:rPr>
        <w:t>in vitro</w:t>
      </w:r>
      <w:r w:rsidRPr="00BD141A">
        <w:rPr>
          <w:sz w:val="22"/>
          <w:szCs w:val="22"/>
          <w:lang w:val="sr-Latn-RS"/>
        </w:rPr>
        <w:t xml:space="preserve"> aktivnost kao</w:t>
      </w:r>
      <w:r w:rsidR="009257B7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>darolutamid. Terapija darolutamidom smanjuje proliferaciju ćelija tumora prostate što dovodi do snaž</w:t>
      </w:r>
      <w:r w:rsidR="00535894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>e antitumorske aktiv</w:t>
      </w:r>
      <w:r w:rsidR="00535894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>osti.</w:t>
      </w:r>
    </w:p>
    <w:p w14:paraId="074E41A1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6038681F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Farmakodinamsko dejstvo</w:t>
      </w:r>
    </w:p>
    <w:p w14:paraId="6EFF54A9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545FCAB5" w14:textId="730D5E94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 xml:space="preserve">Nakon oralne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e 600 mg darolutamida dva puta dnevno nije uo</w:t>
      </w:r>
      <w:r w:rsidRPr="00BD141A">
        <w:rPr>
          <w:sz w:val="22"/>
          <w:szCs w:val="22"/>
          <w:lang w:val="sr-Latn-RS"/>
        </w:rPr>
        <w:t xml:space="preserve">čeno produženje srednje </w:t>
      </w:r>
      <w:r w:rsidR="00BD141A" w:rsidRPr="00BD141A">
        <w:rPr>
          <w:sz w:val="22"/>
          <w:szCs w:val="22"/>
          <w:lang w:val="sr-Latn-RS"/>
        </w:rPr>
        <w:t>vrijedno</w:t>
      </w:r>
      <w:r w:rsidRPr="00BD141A">
        <w:rPr>
          <w:sz w:val="22"/>
          <w:szCs w:val="22"/>
          <w:lang w:val="sr-Latn-RS"/>
        </w:rPr>
        <w:t>sti QTcF intervala (tj. više od 10 ms), u poređenju sa placebom.</w:t>
      </w:r>
    </w:p>
    <w:p w14:paraId="79F07092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181B83AF" w14:textId="110B78AB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Klinička efikasnost i bezb</w:t>
      </w:r>
      <w:r w:rsidR="00BD141A">
        <w:rPr>
          <w:sz w:val="22"/>
          <w:szCs w:val="22"/>
          <w:u w:val="single"/>
        </w:rPr>
        <w:t>j</w:t>
      </w:r>
      <w:r w:rsidRPr="00BD141A">
        <w:rPr>
          <w:sz w:val="22"/>
          <w:szCs w:val="22"/>
          <w:u w:val="single"/>
        </w:rPr>
        <w:t>ednost</w:t>
      </w:r>
    </w:p>
    <w:p w14:paraId="729780C0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1ACAA769" w14:textId="00C09F3C" w:rsidR="0060016A" w:rsidRPr="0060016A" w:rsidRDefault="0060016A" w:rsidP="0060016A">
      <w:pPr>
        <w:jc w:val="both"/>
        <w:rPr>
          <w:sz w:val="22"/>
          <w:szCs w:val="22"/>
          <w:lang w:val="sr-Latn-RS"/>
        </w:rPr>
      </w:pPr>
      <w:r w:rsidRPr="0060016A">
        <w:rPr>
          <w:sz w:val="22"/>
          <w:szCs w:val="22"/>
          <w:lang w:val="sr-Latn-RS"/>
        </w:rPr>
        <w:t>Efikasnost i bezb</w:t>
      </w:r>
      <w:r>
        <w:rPr>
          <w:sz w:val="22"/>
          <w:szCs w:val="22"/>
          <w:lang w:val="sr-Latn-RS"/>
        </w:rPr>
        <w:t>j</w:t>
      </w:r>
      <w:r w:rsidRPr="0060016A">
        <w:rPr>
          <w:sz w:val="22"/>
          <w:szCs w:val="22"/>
          <w:lang w:val="sr-Latn-RS"/>
        </w:rPr>
        <w:t xml:space="preserve">ednost su ustanovljene u dva randomizovana placebom kontrolisana multicentrična ispitivanja faze III kod pacijenata sa nmCRPC (ARAMIS) i mHSPC (ARASENS). Svi pacijenti su istovremeno primali analog hormona koji oslobađa luteinizirajući hormon (eng. </w:t>
      </w:r>
      <w:r w:rsidRPr="0060016A">
        <w:rPr>
          <w:i/>
          <w:iCs/>
          <w:sz w:val="22"/>
          <w:szCs w:val="22"/>
          <w:lang w:val="sr-Latn-RS"/>
        </w:rPr>
        <w:t>luteinising hormone releasing hormone, LHRH</w:t>
      </w:r>
      <w:r w:rsidRPr="0060016A">
        <w:rPr>
          <w:sz w:val="22"/>
          <w:szCs w:val="22"/>
          <w:lang w:val="sr-Latn-RS"/>
        </w:rPr>
        <w:t>) ili su bili podvrgnuti bilateralnoj orhiektomiji.</w:t>
      </w:r>
    </w:p>
    <w:p w14:paraId="6B85343E" w14:textId="77777777" w:rsidR="0060016A" w:rsidRPr="0060016A" w:rsidRDefault="0060016A" w:rsidP="0060016A">
      <w:pPr>
        <w:jc w:val="both"/>
        <w:rPr>
          <w:sz w:val="22"/>
          <w:szCs w:val="22"/>
          <w:lang w:val="sr-Latn-RS"/>
        </w:rPr>
      </w:pPr>
    </w:p>
    <w:p w14:paraId="70322B34" w14:textId="77777777" w:rsidR="0060016A" w:rsidRPr="0060016A" w:rsidRDefault="0060016A" w:rsidP="0060016A">
      <w:pPr>
        <w:jc w:val="both"/>
        <w:rPr>
          <w:sz w:val="22"/>
          <w:szCs w:val="22"/>
          <w:lang w:val="sr-Latn-RS"/>
        </w:rPr>
      </w:pPr>
      <w:r w:rsidRPr="0060016A">
        <w:rPr>
          <w:i/>
          <w:iCs/>
          <w:sz w:val="22"/>
          <w:szCs w:val="22"/>
          <w:lang w:val="sr-Latn-RS"/>
        </w:rPr>
        <w:t>Nemetastatski karcinom prostate rezistentan na kastraciju (nmCRPC)</w:t>
      </w:r>
    </w:p>
    <w:p w14:paraId="39333E16" w14:textId="290AAC91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Efikasnost i bezb</w:t>
      </w:r>
      <w:r w:rsid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ednost darolutamida proc</w:t>
      </w:r>
      <w:r w:rsidR="00C51C6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enjen</w:t>
      </w:r>
      <w:r w:rsidR="00535894">
        <w:rPr>
          <w:sz w:val="22"/>
          <w:szCs w:val="22"/>
          <w:lang w:val="sr-Latn-RS"/>
        </w:rPr>
        <w:t>i</w:t>
      </w:r>
      <w:r w:rsidRPr="00BD141A">
        <w:rPr>
          <w:sz w:val="22"/>
          <w:szCs w:val="22"/>
          <w:lang w:val="sr-Latn-RS"/>
        </w:rPr>
        <w:t xml:space="preserve"> su u randomizovanom, dvostruko sl</w:t>
      </w:r>
      <w:r w:rsidR="00D276D2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epom, placebom kontrolisanom, multicentričnom ispitivanju faze III (ARAMIS) kod pacijenata sa nemetastatskim (proc</w:t>
      </w:r>
      <w:r w:rsidR="00C51C6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 xml:space="preserve">enjeno konvencionalnom kompjuterizovanom tomografijom (CT), scintigrafijom kostiju, magnetnom rezonancom (MRI)) karcinomom prostate rezistentnim na kastraciju, sa vremenom do udvostručenja </w:t>
      </w:r>
      <w:r w:rsidR="00BD141A" w:rsidRPr="00BD141A">
        <w:rPr>
          <w:sz w:val="22"/>
          <w:szCs w:val="22"/>
          <w:lang w:val="sr-Latn-RS"/>
        </w:rPr>
        <w:t>vrijedno</w:t>
      </w:r>
      <w:r w:rsidRPr="00BD141A">
        <w:rPr>
          <w:sz w:val="22"/>
          <w:szCs w:val="22"/>
          <w:lang w:val="sr-Latn-RS"/>
        </w:rPr>
        <w:t>sti antigena specifičnog za prostatu (eng</w:t>
      </w:r>
      <w:r w:rsidR="00B700CB">
        <w:rPr>
          <w:sz w:val="22"/>
          <w:szCs w:val="22"/>
          <w:lang w:val="sr-Latn-RS"/>
        </w:rPr>
        <w:t>l</w:t>
      </w:r>
      <w:r w:rsidRPr="00BD141A">
        <w:rPr>
          <w:sz w:val="22"/>
          <w:szCs w:val="22"/>
          <w:lang w:val="sr-Latn-RS"/>
        </w:rPr>
        <w:t xml:space="preserve">. </w:t>
      </w:r>
      <w:r w:rsidRPr="00BD141A">
        <w:rPr>
          <w:i/>
          <w:iCs/>
          <w:sz w:val="22"/>
          <w:szCs w:val="22"/>
          <w:lang w:val="sr-Latn-RS"/>
        </w:rPr>
        <w:t>prostate specific antigen doubling time, PSADT</w:t>
      </w:r>
      <w:r w:rsidRPr="00BD141A">
        <w:rPr>
          <w:sz w:val="22"/>
          <w:szCs w:val="22"/>
          <w:lang w:val="sr-Latn-RS"/>
        </w:rPr>
        <w:t>) od ≤ 10 m</w:t>
      </w:r>
      <w:r w:rsidR="00D276D2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eseci.</w:t>
      </w:r>
    </w:p>
    <w:p w14:paraId="7DE1A10A" w14:textId="48181BFD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Pacijenti su bili uključeni u ispitivanje ako su tokom terapije deprivacij</w:t>
      </w:r>
      <w:r w:rsidR="00FD63AB">
        <w:rPr>
          <w:sz w:val="22"/>
          <w:szCs w:val="22"/>
        </w:rPr>
        <w:t>om</w:t>
      </w:r>
      <w:r w:rsidRPr="00BD141A">
        <w:rPr>
          <w:sz w:val="22"/>
          <w:szCs w:val="22"/>
        </w:rPr>
        <w:t xml:space="preserve"> androgena, nakon najniže izm</w:t>
      </w:r>
      <w:r w:rsidR="00D276D2">
        <w:rPr>
          <w:sz w:val="22"/>
          <w:szCs w:val="22"/>
        </w:rPr>
        <w:t>j</w:t>
      </w:r>
      <w:r w:rsidRPr="00BD141A">
        <w:rPr>
          <w:sz w:val="22"/>
          <w:szCs w:val="22"/>
        </w:rPr>
        <w:t xml:space="preserve">erene </w:t>
      </w:r>
      <w:r w:rsidR="00BD141A" w:rsidRPr="00BD141A">
        <w:rPr>
          <w:sz w:val="22"/>
          <w:szCs w:val="22"/>
        </w:rPr>
        <w:t>vrijedno</w:t>
      </w:r>
      <w:r w:rsidRPr="00BD141A">
        <w:rPr>
          <w:sz w:val="22"/>
          <w:szCs w:val="22"/>
        </w:rPr>
        <w:t>sti, pri 3 m</w:t>
      </w:r>
      <w:r w:rsidR="00D276D2">
        <w:rPr>
          <w:sz w:val="22"/>
          <w:szCs w:val="22"/>
        </w:rPr>
        <w:t>j</w:t>
      </w:r>
      <w:r w:rsidRPr="00BD141A">
        <w:rPr>
          <w:sz w:val="22"/>
          <w:szCs w:val="22"/>
        </w:rPr>
        <w:t xml:space="preserve">erenja u razmaku od po najmanje </w:t>
      </w:r>
      <w:r w:rsidR="00C51C60" w:rsidRPr="00BD141A">
        <w:rPr>
          <w:sz w:val="22"/>
          <w:szCs w:val="22"/>
        </w:rPr>
        <w:t>nedjelj</w:t>
      </w:r>
      <w:r w:rsidRPr="00BD141A">
        <w:rPr>
          <w:sz w:val="22"/>
          <w:szCs w:val="22"/>
        </w:rPr>
        <w:t>u dana, imali zab</w:t>
      </w:r>
      <w:r w:rsidR="00D276D2">
        <w:rPr>
          <w:sz w:val="22"/>
          <w:szCs w:val="22"/>
        </w:rPr>
        <w:t>ilj</w:t>
      </w:r>
      <w:r w:rsidRPr="00BD141A">
        <w:rPr>
          <w:sz w:val="22"/>
          <w:szCs w:val="22"/>
        </w:rPr>
        <w:t xml:space="preserve">ežen porast </w:t>
      </w:r>
      <w:r w:rsidR="00BD141A" w:rsidRPr="00BD141A">
        <w:rPr>
          <w:sz w:val="22"/>
          <w:szCs w:val="22"/>
        </w:rPr>
        <w:t>vrijedno</w:t>
      </w:r>
      <w:r w:rsidRPr="00BD141A">
        <w:rPr>
          <w:sz w:val="22"/>
          <w:szCs w:val="22"/>
        </w:rPr>
        <w:t>sti antigena specifičnog za prostatu (eng</w:t>
      </w:r>
      <w:r w:rsidR="00B700CB">
        <w:rPr>
          <w:sz w:val="22"/>
          <w:szCs w:val="22"/>
        </w:rPr>
        <w:t>l</w:t>
      </w:r>
      <w:r w:rsidRPr="00BD141A">
        <w:rPr>
          <w:sz w:val="22"/>
          <w:szCs w:val="22"/>
        </w:rPr>
        <w:t xml:space="preserve">. </w:t>
      </w:r>
      <w:r w:rsidRPr="00BD141A">
        <w:rPr>
          <w:i/>
          <w:iCs/>
          <w:sz w:val="22"/>
          <w:szCs w:val="22"/>
        </w:rPr>
        <w:t>prostate specific antigen, PSA</w:t>
      </w:r>
      <w:r w:rsidRPr="00BD141A">
        <w:rPr>
          <w:sz w:val="22"/>
          <w:szCs w:val="22"/>
        </w:rPr>
        <w:t>) PSA ≥</w:t>
      </w:r>
      <w:r w:rsidR="00B700CB">
        <w:rPr>
          <w:sz w:val="22"/>
          <w:szCs w:val="22"/>
        </w:rPr>
        <w:t xml:space="preserve"> </w:t>
      </w:r>
      <w:r w:rsidRPr="00BD141A">
        <w:rPr>
          <w:sz w:val="22"/>
          <w:szCs w:val="22"/>
        </w:rPr>
        <w:t xml:space="preserve">2 ng/ml pri skriningu, </w:t>
      </w:r>
      <w:r w:rsidRPr="00BD141A">
        <w:rPr>
          <w:sz w:val="22"/>
          <w:szCs w:val="22"/>
          <w:lang w:val="sr-Latn-RS"/>
        </w:rPr>
        <w:t>i nivo</w:t>
      </w:r>
      <w:r w:rsidRPr="00BD141A">
        <w:rPr>
          <w:sz w:val="22"/>
          <w:szCs w:val="22"/>
        </w:rPr>
        <w:t xml:space="preserve"> testosterona u serumu &lt; 1,7 nmol/L nakon kastracije.</w:t>
      </w:r>
    </w:p>
    <w:p w14:paraId="53EBEEAC" w14:textId="4F8BDC52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Pacijenti</w:t>
      </w:r>
      <w:r w:rsidR="00535894">
        <w:rPr>
          <w:sz w:val="22"/>
          <w:szCs w:val="22"/>
        </w:rPr>
        <w:t>ma</w:t>
      </w:r>
      <w:r w:rsidRPr="00BD141A">
        <w:rPr>
          <w:sz w:val="22"/>
          <w:szCs w:val="22"/>
        </w:rPr>
        <w:t xml:space="preserve"> koji su u anamnezi imali epileptične napade, </w:t>
      </w:r>
      <w:r w:rsidR="00535894">
        <w:rPr>
          <w:sz w:val="22"/>
          <w:szCs w:val="22"/>
        </w:rPr>
        <w:t>bilo je dozvoljeno da učestvuju</w:t>
      </w:r>
      <w:r w:rsidRPr="00BD141A">
        <w:rPr>
          <w:sz w:val="22"/>
          <w:szCs w:val="22"/>
        </w:rPr>
        <w:t xml:space="preserve"> u ispitivanj</w:t>
      </w:r>
      <w:r w:rsidR="00535894">
        <w:rPr>
          <w:sz w:val="22"/>
          <w:szCs w:val="22"/>
        </w:rPr>
        <w:t>u</w:t>
      </w:r>
      <w:r w:rsidRPr="00BD141A">
        <w:rPr>
          <w:sz w:val="22"/>
          <w:szCs w:val="22"/>
        </w:rPr>
        <w:t xml:space="preserve">. U grupu </w:t>
      </w:r>
      <w:r w:rsidR="004111E5">
        <w:rPr>
          <w:sz w:val="22"/>
          <w:szCs w:val="22"/>
        </w:rPr>
        <w:t>za</w:t>
      </w:r>
      <w:r w:rsidRPr="00BD141A">
        <w:rPr>
          <w:sz w:val="22"/>
          <w:szCs w:val="22"/>
        </w:rPr>
        <w:t xml:space="preserve"> </w:t>
      </w:r>
      <w:r w:rsidR="00B700CB">
        <w:rPr>
          <w:sz w:val="22"/>
          <w:szCs w:val="22"/>
        </w:rPr>
        <w:t xml:space="preserve">liječenje </w:t>
      </w:r>
      <w:r w:rsidRPr="00BD141A">
        <w:rPr>
          <w:sz w:val="22"/>
          <w:szCs w:val="22"/>
        </w:rPr>
        <w:t>darolutamid</w:t>
      </w:r>
      <w:r w:rsidR="004111E5">
        <w:rPr>
          <w:sz w:val="22"/>
          <w:szCs w:val="22"/>
        </w:rPr>
        <w:t>om</w:t>
      </w:r>
      <w:r w:rsidRPr="00BD141A">
        <w:rPr>
          <w:sz w:val="22"/>
          <w:szCs w:val="22"/>
        </w:rPr>
        <w:t xml:space="preserve"> bilo je uključeno 12 pacijenata (0,21 %) sa epileptičnim napadima u anamnezi.</w:t>
      </w:r>
    </w:p>
    <w:p w14:paraId="1D302802" w14:textId="75AE4495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Pacijenti sa nekontrolisanom hipertenzijom ili nedavnim (u zadnjih 6 m</w:t>
      </w:r>
      <w:r w:rsidR="00D276D2">
        <w:rPr>
          <w:sz w:val="22"/>
          <w:szCs w:val="22"/>
        </w:rPr>
        <w:t>j</w:t>
      </w:r>
      <w:r w:rsidRPr="00BD141A">
        <w:rPr>
          <w:sz w:val="22"/>
          <w:szCs w:val="22"/>
        </w:rPr>
        <w:t>eseci) moždanim udarom, infarktom miokarda, teškom/nestabilnom anginom pektoris, revaskularizacijom koronarnih/perifernih arterija</w:t>
      </w:r>
      <w:r w:rsidR="00535894">
        <w:rPr>
          <w:sz w:val="22"/>
          <w:szCs w:val="22"/>
        </w:rPr>
        <w:t xml:space="preserve"> (</w:t>
      </w:r>
      <w:r w:rsidR="00535894">
        <w:rPr>
          <w:i/>
          <w:iCs/>
          <w:sz w:val="22"/>
          <w:szCs w:val="22"/>
        </w:rPr>
        <w:t>b</w:t>
      </w:r>
      <w:r w:rsidR="00465EC3">
        <w:rPr>
          <w:i/>
          <w:iCs/>
          <w:sz w:val="22"/>
          <w:szCs w:val="22"/>
        </w:rPr>
        <w:t>y</w:t>
      </w:r>
      <w:r w:rsidR="00535894">
        <w:rPr>
          <w:i/>
          <w:iCs/>
          <w:sz w:val="22"/>
          <w:szCs w:val="22"/>
        </w:rPr>
        <w:t>pass graft</w:t>
      </w:r>
      <w:r w:rsidR="00535894">
        <w:rPr>
          <w:sz w:val="22"/>
          <w:szCs w:val="22"/>
        </w:rPr>
        <w:t>)</w:t>
      </w:r>
      <w:r w:rsidRPr="00BD141A">
        <w:rPr>
          <w:sz w:val="22"/>
          <w:szCs w:val="22"/>
        </w:rPr>
        <w:t>, kongestivnom sr</w:t>
      </w:r>
      <w:r w:rsidR="00D276D2">
        <w:rPr>
          <w:sz w:val="22"/>
          <w:szCs w:val="22"/>
          <w:lang w:val="sr-Latn-RS"/>
        </w:rPr>
        <w:t>č</w:t>
      </w:r>
      <w:r w:rsidRPr="00BD141A">
        <w:rPr>
          <w:sz w:val="22"/>
          <w:szCs w:val="22"/>
        </w:rPr>
        <w:t>anom insuficijencijom</w:t>
      </w:r>
      <w:r w:rsidR="00D276D2">
        <w:rPr>
          <w:sz w:val="22"/>
          <w:szCs w:val="22"/>
        </w:rPr>
        <w:t>,</w:t>
      </w:r>
      <w:r w:rsidRPr="00BD141A">
        <w:rPr>
          <w:sz w:val="22"/>
          <w:szCs w:val="22"/>
        </w:rPr>
        <w:t xml:space="preserve"> III ili IV stepena prema </w:t>
      </w:r>
      <w:r w:rsidRPr="004111E5">
        <w:rPr>
          <w:i/>
          <w:iCs/>
          <w:sz w:val="22"/>
          <w:szCs w:val="22"/>
        </w:rPr>
        <w:t>New York Heart Association</w:t>
      </w:r>
      <w:r w:rsidRPr="00BD141A">
        <w:rPr>
          <w:sz w:val="22"/>
          <w:szCs w:val="22"/>
        </w:rPr>
        <w:t xml:space="preserve"> (NYHA) klasifikaciji, bili su isključeni iz ispitivanja.</w:t>
      </w:r>
    </w:p>
    <w:p w14:paraId="5B7BA14D" w14:textId="520F5138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 xml:space="preserve">Pacijenti koji su prethodno bili na terapiji drugom generacijom inhibitora androgenih receptora, kao što su enzalutamid, apalutamid i darolutamid, ili inhibitorima enzima CYP17, kao što je abirateronacetat, kao i pacijenti koji su primali sistemske kortikosteroide u dozi većoj od one koja odgovara 10 mg prednizona dnevno tokom 28 dana </w:t>
      </w:r>
      <w:r w:rsidR="00591AA0" w:rsidRPr="00BD141A">
        <w:rPr>
          <w:sz w:val="22"/>
          <w:szCs w:val="22"/>
        </w:rPr>
        <w:t>prije</w:t>
      </w:r>
      <w:r w:rsidR="00D276D2">
        <w:rPr>
          <w:sz w:val="22"/>
          <w:szCs w:val="22"/>
        </w:rPr>
        <w:t xml:space="preserve"> </w:t>
      </w:r>
      <w:r w:rsidRPr="00BD141A">
        <w:rPr>
          <w:sz w:val="22"/>
          <w:szCs w:val="22"/>
        </w:rPr>
        <w:t>randomizacije, bili su isključeni iz ispitivanja.</w:t>
      </w:r>
    </w:p>
    <w:p w14:paraId="30E7F93D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Ukupno 1509 pacijenata randomizovano je u odnosu 2:1</w:t>
      </w:r>
      <w:r w:rsidRPr="00BD141A">
        <w:rPr>
          <w:sz w:val="22"/>
          <w:szCs w:val="22"/>
          <w:lang w:val="sr-Latn-RS"/>
        </w:rPr>
        <w:t xml:space="preserve"> tako da dobijaju ili 600 mg darolutamida </w:t>
      </w:r>
      <w:r w:rsidRPr="00535894">
        <w:rPr>
          <w:i/>
          <w:iCs/>
          <w:sz w:val="22"/>
          <w:szCs w:val="22"/>
          <w:lang w:val="sr-Latn-RS"/>
        </w:rPr>
        <w:t>per os</w:t>
      </w:r>
      <w:r w:rsidRPr="00BD141A">
        <w:rPr>
          <w:sz w:val="22"/>
          <w:szCs w:val="22"/>
          <w:lang w:val="sr-Latn-RS"/>
        </w:rPr>
        <w:t xml:space="preserve"> dva puta dnevno (n=955), ili odgovarajući placebo (n=554).</w:t>
      </w:r>
    </w:p>
    <w:p w14:paraId="4E517313" w14:textId="0D1D8B84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lastRenderedPageBreak/>
        <w:t>Pacijenti koji su ispod bifurkacije aorte imali pelvične limfne čvorove veličine &lt; 2 cm po kraćoj osi, mogli su biti uključeni u ispitivanje. Odsustvo ili prisustvo metastaza bilo je proc</w:t>
      </w:r>
      <w:r w:rsidR="00C51C6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 xml:space="preserve">enjeno nezavisnom centralnom radiološkom procjenom. U analizu je bilo uključeno 89 pacijenata za koje je retrospektivno utvrđeno da su imali metastaze na početku. Randomizacija je bila stratifikovana prema PSADT (≤ 6 </w:t>
      </w:r>
      <w:r w:rsidR="00D276D2">
        <w:rPr>
          <w:sz w:val="22"/>
          <w:szCs w:val="22"/>
          <w:lang w:val="sr-Latn-RS"/>
        </w:rPr>
        <w:t>mjesec</w:t>
      </w:r>
      <w:r w:rsidRPr="00BD141A">
        <w:rPr>
          <w:sz w:val="22"/>
          <w:szCs w:val="22"/>
          <w:lang w:val="sr-Latn-RS"/>
        </w:rPr>
        <w:t xml:space="preserve">i ili &gt; 6 </w:t>
      </w:r>
      <w:r w:rsidR="00D276D2">
        <w:rPr>
          <w:sz w:val="22"/>
          <w:szCs w:val="22"/>
          <w:lang w:val="sr-Latn-RS"/>
        </w:rPr>
        <w:t>mjesec</w:t>
      </w:r>
      <w:r w:rsidRPr="00BD141A">
        <w:rPr>
          <w:sz w:val="22"/>
          <w:szCs w:val="22"/>
          <w:lang w:val="sr-Latn-RS"/>
        </w:rPr>
        <w:t xml:space="preserve">i) i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 xml:space="preserve">i terapije </w:t>
      </w:r>
      <w:r w:rsidR="007B475F" w:rsidRPr="00BD141A">
        <w:rPr>
          <w:sz w:val="22"/>
          <w:szCs w:val="22"/>
          <w:lang w:val="sr-Latn-RS"/>
        </w:rPr>
        <w:t>ljekovi</w:t>
      </w:r>
      <w:r w:rsidRPr="00BD141A">
        <w:rPr>
          <w:sz w:val="22"/>
          <w:szCs w:val="22"/>
          <w:lang w:val="sr-Latn-RS"/>
        </w:rPr>
        <w:t>ma koji d</w:t>
      </w:r>
      <w:r w:rsidR="00D276D2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 xml:space="preserve">eluju na osteoklaste </w:t>
      </w:r>
      <w:r w:rsidR="00E53B57">
        <w:rPr>
          <w:sz w:val="22"/>
          <w:szCs w:val="22"/>
          <w:lang w:val="sr-Latn-RS"/>
        </w:rPr>
        <w:t xml:space="preserve">i bili su primjenjivani </w:t>
      </w:r>
      <w:r w:rsidRPr="00BD141A">
        <w:rPr>
          <w:sz w:val="22"/>
          <w:szCs w:val="22"/>
          <w:lang w:val="sr-Latn-RS"/>
        </w:rPr>
        <w:t>u vr</w:t>
      </w:r>
      <w:r w:rsidR="00D276D2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eme uključivanja u ispitivanje (da ili ne).</w:t>
      </w:r>
    </w:p>
    <w:p w14:paraId="25B8788B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30F541C4" w14:textId="07EB0444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Sl</w:t>
      </w:r>
      <w:r w:rsidR="00457204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edeće demografske karakteristike pacijenata i karakteristike njihove bolesti bile su ravnomer</w:t>
      </w:r>
      <w:r w:rsidR="00535894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 xml:space="preserve">o raspoređene među terapijskim grupama. Medijana </w:t>
      </w:r>
      <w:r w:rsidR="00E53B57">
        <w:rPr>
          <w:sz w:val="22"/>
          <w:szCs w:val="22"/>
          <w:lang w:val="sr-Latn-RS"/>
        </w:rPr>
        <w:t>uzrasta</w:t>
      </w:r>
      <w:r w:rsidR="00E53B57" w:rsidRPr="00BD141A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 xml:space="preserve">bila je 74 godine (raspon 48-95), a 9% pacijenata bili su </w:t>
      </w:r>
      <w:r w:rsidR="00E53B57">
        <w:rPr>
          <w:sz w:val="22"/>
          <w:szCs w:val="22"/>
          <w:lang w:val="sr-Latn-RS"/>
        </w:rPr>
        <w:t>uzrasta</w:t>
      </w:r>
      <w:r w:rsidR="00E53B57" w:rsidRPr="00BD141A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>85 ili više godina. Prema rasnoj pripadnosti, distribucija je bila 79% b</w:t>
      </w:r>
      <w:r w:rsidR="00457204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 xml:space="preserve">ele, 13% azijske, </w:t>
      </w:r>
      <w:r w:rsidR="00465EC3">
        <w:rPr>
          <w:sz w:val="22"/>
          <w:szCs w:val="22"/>
          <w:lang w:val="sr-Latn-RS"/>
        </w:rPr>
        <w:t>i</w:t>
      </w:r>
      <w:r w:rsidRPr="00BD141A">
        <w:rPr>
          <w:sz w:val="22"/>
          <w:szCs w:val="22"/>
          <w:lang w:val="sr-Latn-RS"/>
        </w:rPr>
        <w:t xml:space="preserve"> 3% crne rase. Većina pacijenata imala je u vr</w:t>
      </w:r>
      <w:r w:rsidR="00457204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 xml:space="preserve">eme dijagnoze </w:t>
      </w:r>
      <w:r w:rsidRPr="00535894">
        <w:rPr>
          <w:i/>
          <w:iCs/>
          <w:sz w:val="22"/>
          <w:szCs w:val="22"/>
          <w:lang w:val="sr-Latn-RS"/>
        </w:rPr>
        <w:t>Gleason</w:t>
      </w:r>
      <w:r w:rsidRPr="00BD141A">
        <w:rPr>
          <w:sz w:val="22"/>
          <w:szCs w:val="22"/>
          <w:lang w:val="sr-Latn-RS"/>
        </w:rPr>
        <w:t xml:space="preserve"> skor 7 ili više (73%). Medijana PSADT bila je 4,5 </w:t>
      </w:r>
      <w:r w:rsidR="00D276D2">
        <w:rPr>
          <w:sz w:val="22"/>
          <w:szCs w:val="22"/>
          <w:lang w:val="sr-Latn-RS"/>
        </w:rPr>
        <w:t>mjesec</w:t>
      </w:r>
      <w:r w:rsidRPr="00BD141A">
        <w:rPr>
          <w:sz w:val="22"/>
          <w:szCs w:val="22"/>
          <w:lang w:val="sr-Latn-RS"/>
        </w:rPr>
        <w:t>a. Devet procenata (9%) pacijenata prethodno je bilo podvrgnuto orhiektomiji, 25% prostatektomiji, a 50% pacijenata prethodno je primilo najmanje jednu radioterapiju. Sedamdeset i šest procenata (76%) pacijenata prethodno je primilo više od jedne antihormonske terapije. Pacijenti su pri ulasku u ispitivanje imali ECOG funkcionalni status (eng</w:t>
      </w:r>
      <w:r w:rsidR="0061242E">
        <w:rPr>
          <w:sz w:val="22"/>
          <w:szCs w:val="22"/>
          <w:lang w:val="sr-Latn-RS"/>
        </w:rPr>
        <w:t>l</w:t>
      </w:r>
      <w:r w:rsidRPr="00BD141A">
        <w:rPr>
          <w:sz w:val="22"/>
          <w:szCs w:val="22"/>
          <w:lang w:val="sr-Latn-RS"/>
        </w:rPr>
        <w:t xml:space="preserve">. </w:t>
      </w:r>
      <w:r w:rsidRPr="00BD141A">
        <w:rPr>
          <w:i/>
          <w:iCs/>
          <w:sz w:val="22"/>
          <w:szCs w:val="22"/>
          <w:lang w:val="sr-Latn-RS"/>
        </w:rPr>
        <w:t>Eastern Cooperative Oncology Group Performance Status, ECOG PS</w:t>
      </w:r>
      <w:r w:rsidRPr="00BD141A">
        <w:rPr>
          <w:sz w:val="22"/>
          <w:szCs w:val="22"/>
          <w:lang w:val="sr-Latn-RS"/>
        </w:rPr>
        <w:t>) 0 (69 %) ili 1 (31%).</w:t>
      </w:r>
    </w:p>
    <w:p w14:paraId="4BE8CACD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3CB90911" w14:textId="3984A68F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Terapija darolutamidom je nastavljena do radiografski potvrđene progresije bolesti, proc</w:t>
      </w:r>
      <w:r w:rsidR="00C51C60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enjeno konvencionalnim metodama snimanja (CT, scintigrafija kostiju, MR) sa sl</w:t>
      </w:r>
      <w:r w:rsidR="00457204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epom centralnom proc</w:t>
      </w:r>
      <w:r w:rsidR="00C51C6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 xml:space="preserve">enom, do neprihvatljive toksičnosti ili </w:t>
      </w:r>
      <w:r w:rsidR="00535894">
        <w:rPr>
          <w:sz w:val="22"/>
          <w:szCs w:val="22"/>
          <w:lang w:val="sr-Latn-RS"/>
        </w:rPr>
        <w:t>povlačenja</w:t>
      </w:r>
      <w:r w:rsidRPr="00BD141A">
        <w:rPr>
          <w:sz w:val="22"/>
          <w:szCs w:val="22"/>
          <w:lang w:val="sr-Latn-RS"/>
        </w:rPr>
        <w:t xml:space="preserve"> pacijenta iz ispitivanja.</w:t>
      </w:r>
    </w:p>
    <w:p w14:paraId="219DAEEA" w14:textId="78E4DD1C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Primarni ishod za proc</w:t>
      </w:r>
      <w:r w:rsidR="00C51C60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enu efikas</w:t>
      </w:r>
      <w:r w:rsidR="00535894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>osti bilo je preživljavanje bez metastaza (eng</w:t>
      </w:r>
      <w:r w:rsidR="0061242E">
        <w:rPr>
          <w:sz w:val="22"/>
          <w:szCs w:val="22"/>
          <w:lang w:val="sr-Latn-RS"/>
        </w:rPr>
        <w:t>l</w:t>
      </w:r>
      <w:r w:rsidRPr="00BD141A">
        <w:rPr>
          <w:sz w:val="22"/>
          <w:szCs w:val="22"/>
          <w:lang w:val="sr-Latn-RS"/>
        </w:rPr>
        <w:t xml:space="preserve">. </w:t>
      </w:r>
      <w:r w:rsidRPr="00BD141A">
        <w:rPr>
          <w:i/>
          <w:iCs/>
          <w:sz w:val="22"/>
          <w:szCs w:val="22"/>
          <w:lang w:val="sr-Latn-RS"/>
        </w:rPr>
        <w:t>metastasis free survival, MFS</w:t>
      </w:r>
      <w:r w:rsidRPr="00BD141A">
        <w:rPr>
          <w:sz w:val="22"/>
          <w:szCs w:val="22"/>
          <w:lang w:val="sr-Latn-RS"/>
        </w:rPr>
        <w:t>). Sekundarni ishodi bili su ukupno preživljavanje (eng</w:t>
      </w:r>
      <w:r w:rsidR="0061242E">
        <w:rPr>
          <w:sz w:val="22"/>
          <w:szCs w:val="22"/>
          <w:lang w:val="sr-Latn-RS"/>
        </w:rPr>
        <w:t>l</w:t>
      </w:r>
      <w:r w:rsidRPr="00BD141A">
        <w:rPr>
          <w:sz w:val="22"/>
          <w:szCs w:val="22"/>
          <w:lang w:val="sr-Latn-RS"/>
        </w:rPr>
        <w:t xml:space="preserve">. </w:t>
      </w:r>
      <w:r w:rsidRPr="00BD141A">
        <w:rPr>
          <w:i/>
          <w:iCs/>
          <w:sz w:val="22"/>
          <w:szCs w:val="22"/>
          <w:lang w:val="sr-Latn-RS"/>
        </w:rPr>
        <w:t>overall survival, OS</w:t>
      </w:r>
      <w:r w:rsidRPr="00BD141A">
        <w:rPr>
          <w:sz w:val="22"/>
          <w:szCs w:val="22"/>
          <w:lang w:val="sr-Latn-RS"/>
        </w:rPr>
        <w:t>), vr</w:t>
      </w:r>
      <w:r w:rsidR="00457204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eme do progresije bola, vr</w:t>
      </w:r>
      <w:r w:rsidR="00457204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eme do uvođenja prve citotoksične hemioterapije za karci</w:t>
      </w:r>
      <w:r w:rsidR="00535894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 xml:space="preserve">om prostate i </w:t>
      </w:r>
      <w:r w:rsidR="00457204">
        <w:rPr>
          <w:sz w:val="22"/>
          <w:szCs w:val="22"/>
          <w:lang w:val="sr-Latn-RS"/>
        </w:rPr>
        <w:t>vijem</w:t>
      </w:r>
      <w:r w:rsidRPr="00BD141A">
        <w:rPr>
          <w:sz w:val="22"/>
          <w:szCs w:val="22"/>
          <w:lang w:val="sr-Latn-RS"/>
        </w:rPr>
        <w:t>e do prvih simptomatskih događaja na kostima (definisanih kao pojava bilo čega od sl</w:t>
      </w:r>
      <w:r w:rsidR="00457204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 xml:space="preserve">edećeg: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a spoljne radioterapije za olakšanje simptoma na kostima, novi simptomatski patološki pr</w:t>
      </w:r>
      <w:r w:rsidR="00457204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elom kosti, kompresija kičmene moždine ili ortopedski hirurški zahvat zbog tumora).</w:t>
      </w:r>
    </w:p>
    <w:p w14:paraId="394C0367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342B4954" w14:textId="417E0BAA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Terapija darolutamidom dovela je do poboljšanja MFS u poređenju sa placebom (</w:t>
      </w:r>
      <w:r w:rsidR="00591AA0" w:rsidRPr="00BD141A">
        <w:rPr>
          <w:sz w:val="22"/>
          <w:szCs w:val="22"/>
          <w:lang w:val="sr-Latn-RS"/>
        </w:rPr>
        <w:t>vidjet</w:t>
      </w:r>
      <w:r w:rsidRPr="00BD141A">
        <w:rPr>
          <w:sz w:val="22"/>
          <w:szCs w:val="22"/>
          <w:lang w:val="sr-Latn-RS"/>
        </w:rPr>
        <w:t xml:space="preserve">i Tabelu </w:t>
      </w:r>
      <w:r w:rsidR="0060016A">
        <w:rPr>
          <w:sz w:val="22"/>
          <w:szCs w:val="22"/>
          <w:lang w:val="sr-Latn-RS"/>
        </w:rPr>
        <w:t>3</w:t>
      </w:r>
      <w:r w:rsidRPr="00BD141A">
        <w:rPr>
          <w:sz w:val="22"/>
          <w:szCs w:val="22"/>
          <w:lang w:val="sr-Latn-RS"/>
        </w:rPr>
        <w:t xml:space="preserve"> i Sliku 1).</w:t>
      </w:r>
    </w:p>
    <w:p w14:paraId="1AEEFE32" w14:textId="1B9241E4" w:rsidR="00E27E7E" w:rsidRPr="00BD141A" w:rsidRDefault="00A31BA4" w:rsidP="0060016A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MFS rezultati </w:t>
      </w:r>
      <w:r w:rsidR="00E27E7E">
        <w:rPr>
          <w:sz w:val="22"/>
          <w:szCs w:val="22"/>
          <w:lang w:val="sr-Latn-RS"/>
        </w:rPr>
        <w:t>se</w:t>
      </w:r>
      <w:r w:rsidR="00E27E7E" w:rsidRPr="00BD141A">
        <w:rPr>
          <w:sz w:val="22"/>
          <w:szCs w:val="22"/>
          <w:lang w:val="sr-Latn-RS"/>
        </w:rPr>
        <w:t xml:space="preserve"> </w:t>
      </w:r>
      <w:r w:rsidR="00E27E7E">
        <w:rPr>
          <w:sz w:val="22"/>
          <w:szCs w:val="22"/>
          <w:lang w:val="sr-Latn-RS"/>
        </w:rPr>
        <w:t>nijesu razlikovali</w:t>
      </w:r>
      <w:r w:rsidRPr="00BD141A">
        <w:rPr>
          <w:sz w:val="22"/>
          <w:szCs w:val="22"/>
          <w:lang w:val="sr-Latn-RS"/>
        </w:rPr>
        <w:t xml:space="preserve"> u </w:t>
      </w:r>
      <w:r w:rsidR="00E27E7E">
        <w:rPr>
          <w:sz w:val="22"/>
          <w:szCs w:val="22"/>
          <w:lang w:val="sr-Latn-RS"/>
        </w:rPr>
        <w:t xml:space="preserve">različitim </w:t>
      </w:r>
      <w:r w:rsidRPr="00BD141A">
        <w:rPr>
          <w:sz w:val="22"/>
          <w:szCs w:val="22"/>
          <w:lang w:val="sr-Latn-RS"/>
        </w:rPr>
        <w:t xml:space="preserve">podgrupama pacijenata, nezavisno od PSADT, prethodne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e l</w:t>
      </w:r>
      <w:r w:rsidR="007B475F" w:rsidRPr="00BD141A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ekova sa d</w:t>
      </w:r>
      <w:r w:rsidR="00457204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 xml:space="preserve">elovanjem na kosti ili lokoregionalnu bolest. Dodatne podgrupe sa </w:t>
      </w:r>
      <w:r w:rsidR="00E27E7E">
        <w:rPr>
          <w:sz w:val="22"/>
          <w:szCs w:val="22"/>
          <w:lang w:val="sr-Latn-RS"/>
        </w:rPr>
        <w:t>postojanim</w:t>
      </w:r>
      <w:r w:rsidR="00E27E7E" w:rsidRPr="00BD141A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 xml:space="preserve">MFS rezultatima uključivale su PSA na početku, </w:t>
      </w:r>
      <w:r w:rsidRPr="00535894">
        <w:rPr>
          <w:i/>
          <w:iCs/>
          <w:sz w:val="22"/>
          <w:szCs w:val="22"/>
          <w:lang w:val="sr-Latn-RS"/>
        </w:rPr>
        <w:t>Gleason</w:t>
      </w:r>
      <w:r w:rsidRPr="00BD141A">
        <w:rPr>
          <w:sz w:val="22"/>
          <w:szCs w:val="22"/>
          <w:lang w:val="sr-Latn-RS"/>
        </w:rPr>
        <w:t xml:space="preserve"> skor u </w:t>
      </w:r>
      <w:r w:rsidR="00457204">
        <w:rPr>
          <w:sz w:val="22"/>
          <w:szCs w:val="22"/>
          <w:lang w:val="sr-Latn-RS"/>
        </w:rPr>
        <w:t>vijem</w:t>
      </w:r>
      <w:r w:rsidRPr="00BD141A">
        <w:rPr>
          <w:sz w:val="22"/>
          <w:szCs w:val="22"/>
          <w:lang w:val="sr-Latn-RS"/>
        </w:rPr>
        <w:t xml:space="preserve">e dijagnoze, </w:t>
      </w:r>
      <w:r w:rsidR="00E27E7E">
        <w:rPr>
          <w:sz w:val="22"/>
          <w:szCs w:val="22"/>
          <w:lang w:val="sr-Latn-RS"/>
        </w:rPr>
        <w:t>uzrast</w:t>
      </w:r>
      <w:r w:rsidRPr="00BD141A">
        <w:rPr>
          <w:sz w:val="22"/>
          <w:szCs w:val="22"/>
          <w:lang w:val="sr-Latn-RS"/>
        </w:rPr>
        <w:t xml:space="preserve">, geografsku regiju, ECOG PS na početku, rasu i broj prethodno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jenih hormonskih terapija.</w:t>
      </w:r>
    </w:p>
    <w:p w14:paraId="1D074827" w14:textId="286CAA9D" w:rsidR="00A31BA4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Nakon primarne analize MFS, nakon otvaranja ispitivanja, pacijentima koji su dobijali placebo ponuđena je terapija darolutamidom u otvorenom ispitivanju (</w:t>
      </w:r>
      <w:r w:rsidRPr="00535894">
        <w:rPr>
          <w:i/>
          <w:iCs/>
          <w:sz w:val="22"/>
          <w:szCs w:val="22"/>
          <w:lang w:val="sr-Latn-RS"/>
        </w:rPr>
        <w:t>open-label, cross over</w:t>
      </w:r>
      <w:r w:rsidRPr="00BD141A">
        <w:rPr>
          <w:sz w:val="22"/>
          <w:szCs w:val="22"/>
          <w:lang w:val="sr-Latn-RS"/>
        </w:rPr>
        <w:t xml:space="preserve"> </w:t>
      </w:r>
      <w:r w:rsidR="00535894">
        <w:rPr>
          <w:sz w:val="22"/>
          <w:szCs w:val="22"/>
          <w:lang w:val="sr-Latn-RS"/>
        </w:rPr>
        <w:t>ispitivanje</w:t>
      </w:r>
      <w:r w:rsidRPr="00BD141A">
        <w:rPr>
          <w:sz w:val="22"/>
          <w:szCs w:val="22"/>
          <w:lang w:val="sr-Latn-RS"/>
        </w:rPr>
        <w:t>). Od 554 pacijenta randomizovanih u placebo grupu, 170 (31%) je prešlo na terapiju darolutamidom. Analiza OS nije prilagođena tako da uzme u obzir faktore povezane sa prelaskom na terapiju darolutamidom.</w:t>
      </w:r>
    </w:p>
    <w:p w14:paraId="11CEBF56" w14:textId="77777777" w:rsidR="00E27E7E" w:rsidRPr="00BD141A" w:rsidRDefault="00E27E7E" w:rsidP="00A31BA4">
      <w:pPr>
        <w:jc w:val="both"/>
        <w:rPr>
          <w:sz w:val="22"/>
          <w:szCs w:val="22"/>
          <w:lang w:val="sr-Latn-RS"/>
        </w:rPr>
      </w:pPr>
    </w:p>
    <w:p w14:paraId="3B67CEEB" w14:textId="54F68618" w:rsidR="00A31BA4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U </w:t>
      </w:r>
      <w:r w:rsidR="00457204">
        <w:rPr>
          <w:sz w:val="22"/>
          <w:szCs w:val="22"/>
          <w:lang w:val="sr-Latn-RS"/>
        </w:rPr>
        <w:t>v</w:t>
      </w:r>
      <w:r w:rsidR="00465EC3">
        <w:rPr>
          <w:sz w:val="22"/>
          <w:szCs w:val="22"/>
          <w:lang w:val="sr-Latn-RS"/>
        </w:rPr>
        <w:t>r</w:t>
      </w:r>
      <w:r w:rsidR="00457204">
        <w:rPr>
          <w:sz w:val="22"/>
          <w:szCs w:val="22"/>
          <w:lang w:val="sr-Latn-RS"/>
        </w:rPr>
        <w:t>ijem</w:t>
      </w:r>
      <w:r w:rsidRPr="00BD141A">
        <w:rPr>
          <w:sz w:val="22"/>
          <w:szCs w:val="22"/>
          <w:lang w:val="sr-Latn-RS"/>
        </w:rPr>
        <w:t>e završne analize, terapija darolutamidom dovela je do statistički značajnog poboljšanja u ukup</w:t>
      </w:r>
      <w:r w:rsidR="00535894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 xml:space="preserve">om preživljavanju u poređenju sa placebom (medijana nije dostignuta </w:t>
      </w:r>
      <w:r w:rsidR="00FB708E">
        <w:rPr>
          <w:sz w:val="22"/>
          <w:szCs w:val="22"/>
          <w:lang w:val="sr-Latn-RS"/>
        </w:rPr>
        <w:t>n</w:t>
      </w:r>
      <w:r w:rsidRPr="00BD141A">
        <w:rPr>
          <w:sz w:val="22"/>
          <w:szCs w:val="22"/>
          <w:lang w:val="sr-Latn-RS"/>
        </w:rPr>
        <w:t xml:space="preserve">i u jednoj terapijskoj grupi, </w:t>
      </w:r>
      <w:r w:rsidR="00591AA0" w:rsidRPr="00BD141A">
        <w:rPr>
          <w:sz w:val="22"/>
          <w:szCs w:val="22"/>
          <w:lang w:val="sr-Latn-RS"/>
        </w:rPr>
        <w:t>vidjet</w:t>
      </w:r>
      <w:r w:rsidRPr="00BD141A">
        <w:rPr>
          <w:sz w:val="22"/>
          <w:szCs w:val="22"/>
          <w:lang w:val="sr-Latn-RS"/>
        </w:rPr>
        <w:t xml:space="preserve">i Tabelu </w:t>
      </w:r>
      <w:r w:rsidR="0060016A">
        <w:rPr>
          <w:sz w:val="22"/>
          <w:szCs w:val="22"/>
          <w:lang w:val="sr-Latn-RS"/>
        </w:rPr>
        <w:t>3</w:t>
      </w:r>
      <w:r w:rsidRPr="00BD141A">
        <w:rPr>
          <w:sz w:val="22"/>
          <w:szCs w:val="22"/>
          <w:lang w:val="sr-Latn-RS"/>
        </w:rPr>
        <w:t xml:space="preserve"> i Sliku 2).</w:t>
      </w:r>
    </w:p>
    <w:p w14:paraId="1879E38B" w14:textId="10831E63" w:rsidR="00A31BA4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Terapija darolutamidom rezultovala je i statistički značajnim odlaganjem </w:t>
      </w:r>
      <w:r w:rsidR="00457204">
        <w:rPr>
          <w:sz w:val="22"/>
          <w:szCs w:val="22"/>
          <w:lang w:val="sr-Latn-RS"/>
        </w:rPr>
        <w:t>vrem</w:t>
      </w:r>
      <w:r w:rsidRPr="00BD141A">
        <w:rPr>
          <w:sz w:val="22"/>
          <w:szCs w:val="22"/>
          <w:lang w:val="sr-Latn-RS"/>
        </w:rPr>
        <w:t>ena do progresije bola, vremena do uvođenja prve citotoksične hemioterapije i vremena do prvog simptomatskog događaja na kostima u poređenju sa placebom (</w:t>
      </w:r>
      <w:r w:rsidR="00591AA0" w:rsidRPr="00BD141A">
        <w:rPr>
          <w:sz w:val="22"/>
          <w:szCs w:val="22"/>
          <w:lang w:val="sr-Latn-RS"/>
        </w:rPr>
        <w:t>vidjet</w:t>
      </w:r>
      <w:r w:rsidRPr="00BD141A">
        <w:rPr>
          <w:sz w:val="22"/>
          <w:szCs w:val="22"/>
          <w:lang w:val="sr-Latn-RS"/>
        </w:rPr>
        <w:t xml:space="preserve">i Tabelu </w:t>
      </w:r>
      <w:r w:rsidR="0060016A">
        <w:rPr>
          <w:sz w:val="22"/>
          <w:szCs w:val="22"/>
          <w:lang w:val="sr-Latn-RS"/>
        </w:rPr>
        <w:t>3</w:t>
      </w:r>
      <w:r w:rsidRPr="00BD141A">
        <w:rPr>
          <w:sz w:val="22"/>
          <w:szCs w:val="22"/>
          <w:lang w:val="sr-Latn-RS"/>
        </w:rPr>
        <w:t>).</w:t>
      </w:r>
    </w:p>
    <w:p w14:paraId="0678AF57" w14:textId="77777777" w:rsidR="0060016A" w:rsidRPr="00BD141A" w:rsidRDefault="0060016A" w:rsidP="00A31BA4">
      <w:pPr>
        <w:jc w:val="both"/>
        <w:rPr>
          <w:sz w:val="22"/>
          <w:szCs w:val="22"/>
          <w:lang w:val="sr-Latn-RS"/>
        </w:rPr>
      </w:pPr>
    </w:p>
    <w:p w14:paraId="5560DDCB" w14:textId="0024CD0C" w:rsidR="0060016A" w:rsidRPr="0060016A" w:rsidRDefault="0060016A" w:rsidP="0060016A">
      <w:pPr>
        <w:jc w:val="both"/>
        <w:rPr>
          <w:sz w:val="22"/>
          <w:szCs w:val="22"/>
          <w:lang w:val="sr-Latn-RS"/>
        </w:rPr>
      </w:pPr>
      <w:r w:rsidRPr="0060016A">
        <w:rPr>
          <w:sz w:val="22"/>
          <w:szCs w:val="22"/>
          <w:lang w:val="sr-Latn-RS"/>
        </w:rPr>
        <w:t>U vr</w:t>
      </w:r>
      <w:r>
        <w:rPr>
          <w:sz w:val="22"/>
          <w:szCs w:val="22"/>
          <w:lang w:val="sr-Latn-RS"/>
        </w:rPr>
        <w:t>ij</w:t>
      </w:r>
      <w:r w:rsidRPr="0060016A">
        <w:rPr>
          <w:sz w:val="22"/>
          <w:szCs w:val="22"/>
          <w:lang w:val="sr-Latn-RS"/>
        </w:rPr>
        <w:t>eme završne analize, medijana dužine trajanja terapije kod pacijenata l</w:t>
      </w:r>
      <w:r>
        <w:rPr>
          <w:sz w:val="22"/>
          <w:szCs w:val="22"/>
          <w:lang w:val="sr-Latn-RS"/>
        </w:rPr>
        <w:t>ij</w:t>
      </w:r>
      <w:r w:rsidRPr="0060016A">
        <w:rPr>
          <w:sz w:val="22"/>
          <w:szCs w:val="22"/>
          <w:lang w:val="sr-Latn-RS"/>
        </w:rPr>
        <w:t>ečenih darolutamidom bila je 33,3 m</w:t>
      </w:r>
      <w:r>
        <w:rPr>
          <w:sz w:val="22"/>
          <w:szCs w:val="22"/>
          <w:lang w:val="sr-Latn-RS"/>
        </w:rPr>
        <w:t>j</w:t>
      </w:r>
      <w:r w:rsidRPr="0060016A">
        <w:rPr>
          <w:sz w:val="22"/>
          <w:szCs w:val="22"/>
          <w:lang w:val="sr-Latn-RS"/>
        </w:rPr>
        <w:t>eseca (raspon: 0,0 do 74,0 m</w:t>
      </w:r>
      <w:r>
        <w:rPr>
          <w:sz w:val="22"/>
          <w:szCs w:val="22"/>
          <w:lang w:val="sr-Latn-RS"/>
        </w:rPr>
        <w:t>j</w:t>
      </w:r>
      <w:r w:rsidRPr="0060016A">
        <w:rPr>
          <w:sz w:val="22"/>
          <w:szCs w:val="22"/>
          <w:lang w:val="sr-Latn-RS"/>
        </w:rPr>
        <w:t>esec</w:t>
      </w:r>
      <w:r>
        <w:rPr>
          <w:sz w:val="22"/>
          <w:szCs w:val="22"/>
          <w:lang w:val="sr-Latn-RS"/>
        </w:rPr>
        <w:t>a</w:t>
      </w:r>
      <w:r w:rsidRPr="0060016A">
        <w:rPr>
          <w:sz w:val="22"/>
          <w:szCs w:val="22"/>
          <w:lang w:val="sr-Latn-RS"/>
        </w:rPr>
        <w:t>) tokom trajanja kombinovanog dvostruko sl</w:t>
      </w:r>
      <w:r w:rsidR="001C639E">
        <w:rPr>
          <w:sz w:val="22"/>
          <w:szCs w:val="22"/>
          <w:lang w:val="sr-Latn-RS"/>
        </w:rPr>
        <w:t>ij</w:t>
      </w:r>
      <w:r w:rsidRPr="0060016A">
        <w:rPr>
          <w:sz w:val="22"/>
          <w:szCs w:val="22"/>
          <w:lang w:val="sr-Latn-RS"/>
        </w:rPr>
        <w:t>epog i otvorenog d</w:t>
      </w:r>
      <w:r>
        <w:rPr>
          <w:sz w:val="22"/>
          <w:szCs w:val="22"/>
          <w:lang w:val="sr-Latn-RS"/>
        </w:rPr>
        <w:t>ij</w:t>
      </w:r>
      <w:r w:rsidRPr="0060016A">
        <w:rPr>
          <w:sz w:val="22"/>
          <w:szCs w:val="22"/>
          <w:lang w:val="sr-Latn-RS"/>
        </w:rPr>
        <w:t>ela ispitivanja.</w:t>
      </w:r>
    </w:p>
    <w:p w14:paraId="171AFAA1" w14:textId="77777777" w:rsidR="00A31BA4" w:rsidRPr="00BD141A" w:rsidRDefault="00A31BA4" w:rsidP="00A31BA4">
      <w:pPr>
        <w:rPr>
          <w:sz w:val="22"/>
          <w:szCs w:val="22"/>
          <w:lang w:val="sr-Latn-RS"/>
        </w:rPr>
      </w:pPr>
    </w:p>
    <w:p w14:paraId="010DAFA2" w14:textId="77777777" w:rsidR="00A31BA4" w:rsidRPr="00BD141A" w:rsidRDefault="00A31BA4" w:rsidP="00A31BA4">
      <w:pPr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Sve analize su izvršene na kompletnom skupu podataka za analizu.</w:t>
      </w:r>
    </w:p>
    <w:p w14:paraId="051795B9" w14:textId="77777777" w:rsidR="00A31BA4" w:rsidRPr="00BD141A" w:rsidRDefault="00A31BA4" w:rsidP="00A31BA4">
      <w:pPr>
        <w:rPr>
          <w:sz w:val="22"/>
          <w:szCs w:val="22"/>
          <w:lang w:val="sr-Latn-RS"/>
        </w:rPr>
      </w:pPr>
    </w:p>
    <w:p w14:paraId="74D792B4" w14:textId="11318360" w:rsidR="00A31BA4" w:rsidRPr="00BD141A" w:rsidRDefault="00A31BA4" w:rsidP="00A31BA4">
      <w:pPr>
        <w:rPr>
          <w:sz w:val="22"/>
          <w:szCs w:val="22"/>
          <w:lang w:val="sr-Latn-RS"/>
        </w:rPr>
      </w:pPr>
      <w:r w:rsidRPr="00BD141A">
        <w:rPr>
          <w:b/>
          <w:bCs/>
          <w:sz w:val="22"/>
          <w:szCs w:val="22"/>
        </w:rPr>
        <w:t xml:space="preserve">Tabela </w:t>
      </w:r>
      <w:r w:rsidR="0060016A">
        <w:rPr>
          <w:b/>
          <w:bCs/>
          <w:sz w:val="22"/>
          <w:szCs w:val="22"/>
        </w:rPr>
        <w:t>3</w:t>
      </w:r>
      <w:r w:rsidRPr="00BD141A">
        <w:rPr>
          <w:b/>
          <w:bCs/>
          <w:sz w:val="22"/>
          <w:szCs w:val="22"/>
        </w:rPr>
        <w:t>: Rezultati efikasnosti iz</w:t>
      </w:r>
      <w:r w:rsidRPr="00BD141A">
        <w:rPr>
          <w:b/>
          <w:bCs/>
          <w:spacing w:val="-1"/>
          <w:sz w:val="22"/>
          <w:szCs w:val="22"/>
        </w:rPr>
        <w:t xml:space="preserve"> </w:t>
      </w:r>
      <w:r w:rsidRPr="00BD141A">
        <w:rPr>
          <w:b/>
          <w:bCs/>
          <w:sz w:val="22"/>
          <w:szCs w:val="22"/>
        </w:rPr>
        <w:t>ispitivanja ARAMIS</w:t>
      </w: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1418"/>
        <w:gridCol w:w="1419"/>
        <w:gridCol w:w="1418"/>
        <w:gridCol w:w="1419"/>
        <w:gridCol w:w="1843"/>
      </w:tblGrid>
      <w:tr w:rsidR="00A31BA4" w:rsidRPr="00BD141A" w14:paraId="665A6D3B" w14:textId="77777777" w:rsidTr="00A31BA4">
        <w:trPr>
          <w:trHeight w:val="39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3E715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 w:right="66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Parametar</w:t>
            </w:r>
            <w:r w:rsidRPr="00BD141A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efikasnosti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C335" w14:textId="650E82CD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06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Broj</w:t>
            </w:r>
            <w:r w:rsidRPr="00BD141A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60016A">
              <w:rPr>
                <w:b/>
                <w:bCs/>
                <w:spacing w:val="-1"/>
                <w:sz w:val="22"/>
                <w:szCs w:val="22"/>
              </w:rPr>
              <w:t xml:space="preserve">pacijenata sa </w:t>
            </w:r>
            <w:r w:rsidRPr="00BD141A">
              <w:rPr>
                <w:b/>
                <w:bCs/>
                <w:sz w:val="22"/>
                <w:szCs w:val="22"/>
              </w:rPr>
              <w:t>događaj</w:t>
            </w:r>
            <w:r w:rsidR="0060016A">
              <w:rPr>
                <w:b/>
                <w:bCs/>
                <w:sz w:val="22"/>
                <w:szCs w:val="22"/>
              </w:rPr>
              <w:t>im</w:t>
            </w:r>
            <w:r w:rsidRPr="00BD141A">
              <w:rPr>
                <w:b/>
                <w:bCs/>
                <w:sz w:val="22"/>
                <w:szCs w:val="22"/>
              </w:rPr>
              <w:t>a (%)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9308" w14:textId="24847B06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03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Medijana</w:t>
            </w:r>
            <w:r w:rsidRPr="00BD141A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60016A">
              <w:rPr>
                <w:b/>
                <w:bCs/>
                <w:spacing w:val="-1"/>
                <w:sz w:val="22"/>
                <w:szCs w:val="22"/>
              </w:rPr>
              <w:t xml:space="preserve">(mjeseci) </w:t>
            </w:r>
            <w:r w:rsidRPr="00BD141A">
              <w:rPr>
                <w:b/>
                <w:bCs/>
                <w:sz w:val="22"/>
                <w:szCs w:val="22"/>
              </w:rPr>
              <w:t>(95</w:t>
            </w:r>
            <w:r w:rsidRPr="00BD141A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% CI)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7E62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5" w:right="64"/>
              <w:jc w:val="center"/>
              <w:rPr>
                <w:spacing w:val="1"/>
                <w:sz w:val="22"/>
                <w:szCs w:val="22"/>
              </w:rPr>
            </w:pPr>
            <w:r w:rsidRPr="00535894">
              <w:rPr>
                <w:b/>
                <w:bCs/>
                <w:i/>
                <w:iCs/>
                <w:sz w:val="22"/>
                <w:szCs w:val="22"/>
              </w:rPr>
              <w:t>Hazard ratio</w:t>
            </w:r>
            <w:r w:rsidRPr="00BD141A">
              <w:rPr>
                <w:sz w:val="22"/>
                <w:szCs w:val="22"/>
                <w:vertAlign w:val="superscript"/>
              </w:rPr>
              <w:t>b</w:t>
            </w:r>
            <w:r w:rsidRPr="00BD141A">
              <w:rPr>
                <w:spacing w:val="1"/>
                <w:sz w:val="22"/>
                <w:szCs w:val="22"/>
              </w:rPr>
              <w:t xml:space="preserve"> </w:t>
            </w:r>
          </w:p>
          <w:p w14:paraId="590765C5" w14:textId="6BDA18D5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5" w:right="64"/>
              <w:jc w:val="center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(95% interval</w:t>
            </w:r>
            <w:r w:rsidRPr="00BD141A">
              <w:rPr>
                <w:b/>
                <w:bCs/>
                <w:spacing w:val="-53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pouzdanosti</w:t>
            </w:r>
            <w:r w:rsidRPr="00BD141A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[CI])</w:t>
            </w:r>
          </w:p>
          <w:p w14:paraId="0BD80D30" w14:textId="73089495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4" w:right="64"/>
              <w:jc w:val="center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p-</w:t>
            </w:r>
            <w:r w:rsidR="00BD141A" w:rsidRPr="00BD141A">
              <w:rPr>
                <w:b/>
                <w:bCs/>
                <w:sz w:val="22"/>
                <w:szCs w:val="22"/>
              </w:rPr>
              <w:t>vrijedno</w:t>
            </w:r>
            <w:r w:rsidRPr="00BD141A">
              <w:rPr>
                <w:b/>
                <w:bCs/>
                <w:sz w:val="22"/>
                <w:szCs w:val="22"/>
              </w:rPr>
              <w:t xml:space="preserve">st </w:t>
            </w:r>
          </w:p>
          <w:p w14:paraId="7A7E9D03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4" w:right="64"/>
              <w:jc w:val="center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(dvostrana)</w:t>
            </w:r>
          </w:p>
        </w:tc>
      </w:tr>
      <w:tr w:rsidR="00A31BA4" w:rsidRPr="00BD141A" w14:paraId="0FE594A3" w14:textId="77777777" w:rsidTr="00A31BA4">
        <w:trPr>
          <w:trHeight w:val="85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5510" w14:textId="77777777" w:rsidR="00A31BA4" w:rsidRPr="00BD141A" w:rsidRDefault="00A31B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51E7B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1" w:right="99" w:hanging="11"/>
              <w:jc w:val="center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Darolutamid</w:t>
            </w:r>
          </w:p>
          <w:p w14:paraId="427F1C17" w14:textId="3389B153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1" w:right="99" w:hanging="11"/>
              <w:jc w:val="center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(</w:t>
            </w:r>
            <w:r w:rsidR="0060016A">
              <w:rPr>
                <w:b/>
                <w:bCs/>
                <w:sz w:val="22"/>
                <w:szCs w:val="22"/>
              </w:rPr>
              <w:t>N</w:t>
            </w:r>
            <w:r w:rsidRPr="00BD141A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=</w:t>
            </w:r>
            <w:r w:rsidRPr="00BD141A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955)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7C2B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43" w:right="75"/>
              <w:jc w:val="center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Placebo</w:t>
            </w:r>
            <w:r w:rsidRPr="00BD141A">
              <w:rPr>
                <w:b/>
                <w:bCs/>
                <w:sz w:val="22"/>
                <w:szCs w:val="22"/>
                <w:vertAlign w:val="superscript"/>
              </w:rPr>
              <w:t>a</w:t>
            </w:r>
          </w:p>
          <w:p w14:paraId="4D5940FB" w14:textId="44648083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43" w:right="75"/>
              <w:jc w:val="center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(</w:t>
            </w:r>
            <w:r w:rsidR="0060016A">
              <w:rPr>
                <w:b/>
                <w:bCs/>
                <w:sz w:val="22"/>
                <w:szCs w:val="22"/>
              </w:rPr>
              <w:t>N</w:t>
            </w:r>
            <w:r w:rsidRPr="00BD141A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=</w:t>
            </w:r>
            <w:r w:rsidRPr="00BD141A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554)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C255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4" w:right="130"/>
              <w:jc w:val="center"/>
              <w:rPr>
                <w:b/>
                <w:bCs/>
                <w:spacing w:val="-52"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Darolutamid</w:t>
            </w:r>
          </w:p>
          <w:p w14:paraId="5B123F52" w14:textId="5EA306BE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4" w:right="130"/>
              <w:jc w:val="center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(</w:t>
            </w:r>
            <w:r w:rsidR="0060016A">
              <w:rPr>
                <w:b/>
                <w:bCs/>
                <w:sz w:val="22"/>
                <w:szCs w:val="22"/>
              </w:rPr>
              <w:t>N</w:t>
            </w:r>
            <w:r w:rsidRPr="00BD141A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=</w:t>
            </w:r>
            <w:r w:rsidRPr="00BD141A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955)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2426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firstLine="18"/>
              <w:jc w:val="center"/>
              <w:rPr>
                <w:spacing w:val="-52"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Placebo</w:t>
            </w:r>
            <w:r w:rsidRPr="00BD141A">
              <w:rPr>
                <w:b/>
                <w:bCs/>
                <w:sz w:val="22"/>
                <w:szCs w:val="22"/>
                <w:vertAlign w:val="superscript"/>
              </w:rPr>
              <w:t>a</w:t>
            </w:r>
          </w:p>
          <w:p w14:paraId="2DBBAD35" w14:textId="2F46891B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firstLine="18"/>
              <w:jc w:val="center"/>
              <w:rPr>
                <w:b/>
                <w:bCs/>
                <w:sz w:val="22"/>
                <w:szCs w:val="22"/>
              </w:rPr>
            </w:pPr>
            <w:r w:rsidRPr="00BD141A">
              <w:rPr>
                <w:b/>
                <w:bCs/>
                <w:sz w:val="22"/>
                <w:szCs w:val="22"/>
              </w:rPr>
              <w:t>(</w:t>
            </w:r>
            <w:r w:rsidR="0060016A">
              <w:rPr>
                <w:b/>
                <w:bCs/>
                <w:sz w:val="22"/>
                <w:szCs w:val="22"/>
              </w:rPr>
              <w:t>N</w:t>
            </w:r>
            <w:r w:rsidRPr="00BD141A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=</w:t>
            </w:r>
            <w:r w:rsidRPr="00BD141A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BD141A">
              <w:rPr>
                <w:b/>
                <w:bCs/>
                <w:sz w:val="22"/>
                <w:szCs w:val="22"/>
              </w:rPr>
              <w:t>554)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09735" w14:textId="77777777" w:rsidR="00A31BA4" w:rsidRPr="00BD141A" w:rsidRDefault="00A31B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31BA4" w:rsidRPr="00BD141A" w14:paraId="03A4D9E6" w14:textId="77777777" w:rsidTr="00A31BA4">
        <w:trPr>
          <w:trHeight w:val="7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83F685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lastRenderedPageBreak/>
              <w:t>Preživljavanje bez</w:t>
            </w:r>
            <w:r w:rsidRPr="00BD141A">
              <w:rPr>
                <w:spacing w:val="-3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metastaza</w:t>
            </w:r>
            <w:r w:rsidRPr="00BD141A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954D31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7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221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(23,1%)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BF3AD4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216 (39,0%)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408B52" w14:textId="542BDE38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40,4</w:t>
            </w:r>
          </w:p>
          <w:p w14:paraId="522D7406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14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(34,3;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ND)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C8DC9A" w14:textId="0424BED2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18,4</w:t>
            </w:r>
          </w:p>
          <w:p w14:paraId="18C3D24B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56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(15,5;</w:t>
            </w:r>
            <w:r w:rsidRPr="00BD141A">
              <w:rPr>
                <w:spacing w:val="-2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22,3)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6752A0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4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0,413</w:t>
            </w:r>
          </w:p>
          <w:p w14:paraId="35D993A0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3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(0,341;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0,500)</w:t>
            </w:r>
          </w:p>
          <w:p w14:paraId="7701303F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73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&lt;</w:t>
            </w:r>
            <w:r w:rsidRPr="00BD141A">
              <w:rPr>
                <w:spacing w:val="-2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0,000001</w:t>
            </w:r>
          </w:p>
        </w:tc>
      </w:tr>
      <w:tr w:rsidR="00A31BA4" w:rsidRPr="00BD141A" w14:paraId="401D2826" w14:textId="77777777" w:rsidTr="00A31BA4">
        <w:trPr>
          <w:trHeight w:val="7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480D84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Ukupno preživljavanje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3B6D4C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7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148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(15,5%)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DCEF7A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106 (19,1%)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DBE054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ND</w:t>
            </w:r>
          </w:p>
          <w:p w14:paraId="0739DB86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14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(56,1;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ND)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A75176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ND</w:t>
            </w:r>
          </w:p>
          <w:p w14:paraId="1AECF509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56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(46,9;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ND)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811398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3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0,685</w:t>
            </w:r>
          </w:p>
          <w:p w14:paraId="65D95FF8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3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(0,533;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0,881)</w:t>
            </w:r>
          </w:p>
          <w:p w14:paraId="5F439E4F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73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0,003048</w:t>
            </w:r>
          </w:p>
        </w:tc>
      </w:tr>
      <w:tr w:rsidR="00A31BA4" w:rsidRPr="00BD141A" w14:paraId="024B18DC" w14:textId="77777777" w:rsidTr="00A31BA4">
        <w:trPr>
          <w:trHeight w:val="7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99FF6A" w14:textId="65F1447B" w:rsidR="00A31BA4" w:rsidRPr="00BD141A" w:rsidRDefault="0045720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Vrijem</w:t>
            </w:r>
            <w:r w:rsidR="00A31BA4" w:rsidRPr="00BD141A">
              <w:rPr>
                <w:sz w:val="22"/>
                <w:szCs w:val="22"/>
              </w:rPr>
              <w:t>e</w:t>
            </w:r>
            <w:r w:rsidR="00A31BA4" w:rsidRPr="00BD141A">
              <w:rPr>
                <w:spacing w:val="-2"/>
                <w:sz w:val="22"/>
                <w:szCs w:val="22"/>
              </w:rPr>
              <w:t xml:space="preserve"> </w:t>
            </w:r>
            <w:r w:rsidR="00A31BA4" w:rsidRPr="00BD141A">
              <w:rPr>
                <w:sz w:val="22"/>
                <w:szCs w:val="22"/>
              </w:rPr>
              <w:t>do progresije bola</w:t>
            </w:r>
            <w:r w:rsidR="00A31BA4" w:rsidRPr="00BD141A">
              <w:rPr>
                <w:sz w:val="22"/>
                <w:szCs w:val="22"/>
                <w:vertAlign w:val="superscript"/>
              </w:rPr>
              <w:t>c,</w:t>
            </w:r>
            <w:r w:rsidR="00A31BA4" w:rsidRPr="00BD141A">
              <w:rPr>
                <w:spacing w:val="-21"/>
                <w:sz w:val="22"/>
                <w:szCs w:val="22"/>
              </w:rPr>
              <w:t xml:space="preserve"> </w:t>
            </w:r>
            <w:r w:rsidR="00A31BA4" w:rsidRPr="00BD141A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E85588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7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251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(26,3%)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261BF2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178 (32,1%)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0AEF13" w14:textId="6CBF54E1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40,3</w:t>
            </w:r>
          </w:p>
          <w:p w14:paraId="668295C6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14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(33,2;</w:t>
            </w:r>
            <w:r w:rsidRPr="00BD141A">
              <w:rPr>
                <w:spacing w:val="-2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41,2)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B8C005" w14:textId="74E1C275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25,4</w:t>
            </w:r>
          </w:p>
          <w:p w14:paraId="5CAB59A7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56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(19,1;</w:t>
            </w:r>
            <w:r w:rsidRPr="00BD141A">
              <w:rPr>
                <w:spacing w:val="-2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29,6)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9B53B4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4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0,647</w:t>
            </w:r>
          </w:p>
          <w:p w14:paraId="45E6F9C8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3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(0,533;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0,785)</w:t>
            </w:r>
          </w:p>
          <w:p w14:paraId="49093BE2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73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0,000008</w:t>
            </w:r>
          </w:p>
        </w:tc>
      </w:tr>
      <w:tr w:rsidR="00A31BA4" w:rsidRPr="00BD141A" w14:paraId="54120357" w14:textId="77777777" w:rsidTr="004111E5">
        <w:trPr>
          <w:trHeight w:val="6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558A" w14:textId="01F85986" w:rsidR="00A31BA4" w:rsidRPr="00BD141A" w:rsidRDefault="0045720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 w:right="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Vrijem</w:t>
            </w:r>
            <w:r w:rsidR="00A31BA4" w:rsidRPr="00BD141A">
              <w:rPr>
                <w:sz w:val="22"/>
                <w:szCs w:val="22"/>
              </w:rPr>
              <w:t>e do</w:t>
            </w:r>
            <w:r w:rsidR="00A31BA4" w:rsidRPr="00BD141A">
              <w:rPr>
                <w:spacing w:val="1"/>
                <w:sz w:val="22"/>
                <w:szCs w:val="22"/>
              </w:rPr>
              <w:t xml:space="preserve"> </w:t>
            </w:r>
            <w:r w:rsidR="00A31BA4" w:rsidRPr="00BD141A">
              <w:rPr>
                <w:sz w:val="22"/>
                <w:szCs w:val="22"/>
              </w:rPr>
              <w:t>uvođenja prve</w:t>
            </w:r>
            <w:r w:rsidR="00A31BA4" w:rsidRPr="00BD141A">
              <w:rPr>
                <w:spacing w:val="-53"/>
                <w:sz w:val="22"/>
                <w:szCs w:val="22"/>
              </w:rPr>
              <w:t xml:space="preserve"> </w:t>
            </w:r>
            <w:r w:rsidR="00A31BA4" w:rsidRPr="00BD141A">
              <w:rPr>
                <w:sz w:val="22"/>
                <w:szCs w:val="22"/>
              </w:rPr>
              <w:t xml:space="preserve"> citotoksične hemioterapije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F49A7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7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127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(13,3%)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97731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98</w:t>
            </w:r>
            <w:r w:rsidRPr="00BD141A">
              <w:rPr>
                <w:spacing w:val="-2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(17,7%)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5F60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ND</w:t>
            </w:r>
          </w:p>
          <w:p w14:paraId="69ADD823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(ND;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ND)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9B6FE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ND</w:t>
            </w:r>
          </w:p>
          <w:p w14:paraId="1FFE06EA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(ND; ND)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1446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3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0,579</w:t>
            </w:r>
          </w:p>
          <w:p w14:paraId="3A82B665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2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(0,444;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0,755)</w:t>
            </w:r>
          </w:p>
          <w:p w14:paraId="439C08FF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2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0,000044</w:t>
            </w:r>
          </w:p>
        </w:tc>
      </w:tr>
      <w:tr w:rsidR="00A31BA4" w:rsidRPr="00BD141A" w14:paraId="3DEDCB53" w14:textId="77777777" w:rsidTr="00A31BA4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16FF3D" w14:textId="227AC0E5" w:rsidR="00A31BA4" w:rsidRPr="00BD141A" w:rsidRDefault="0045720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Vrijem</w:t>
            </w:r>
            <w:r w:rsidR="00A31BA4" w:rsidRPr="00BD141A">
              <w:rPr>
                <w:sz w:val="22"/>
                <w:szCs w:val="22"/>
              </w:rPr>
              <w:t>e</w:t>
            </w:r>
            <w:r w:rsidR="00A31BA4" w:rsidRPr="00BD141A">
              <w:rPr>
                <w:spacing w:val="-2"/>
                <w:sz w:val="22"/>
                <w:szCs w:val="22"/>
              </w:rPr>
              <w:t xml:space="preserve"> </w:t>
            </w:r>
            <w:r w:rsidR="00A31BA4" w:rsidRPr="00BD141A">
              <w:rPr>
                <w:sz w:val="22"/>
                <w:szCs w:val="22"/>
              </w:rPr>
              <w:t>do prvog simptomatskog događaja na kostima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4AB0CF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7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29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(3,0%)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DD362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28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(5,1%)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533CCD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14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ND</w:t>
            </w:r>
          </w:p>
          <w:p w14:paraId="43507B62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148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(ND;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ND)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9A42A3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56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ND</w:t>
            </w:r>
          </w:p>
          <w:p w14:paraId="15FB0723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56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(ND;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ND)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4D8BBA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4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0,484</w:t>
            </w:r>
          </w:p>
          <w:p w14:paraId="6BF644E2" w14:textId="77777777" w:rsidR="00A31BA4" w:rsidRPr="00BD141A" w:rsidRDefault="00A31BA4">
            <w:pPr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ind w:left="73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(0,287;</w:t>
            </w:r>
            <w:r w:rsidRPr="00BD141A">
              <w:rPr>
                <w:spacing w:val="-1"/>
                <w:sz w:val="22"/>
                <w:szCs w:val="22"/>
              </w:rPr>
              <w:t xml:space="preserve"> </w:t>
            </w:r>
            <w:r w:rsidRPr="00BD141A">
              <w:rPr>
                <w:sz w:val="22"/>
                <w:szCs w:val="22"/>
              </w:rPr>
              <w:t>0,815)</w:t>
            </w:r>
          </w:p>
          <w:p w14:paraId="61BD803F" w14:textId="77777777" w:rsidR="00A31BA4" w:rsidRPr="00BD141A" w:rsidRDefault="00A31BA4">
            <w:pPr>
              <w:kinsoku w:val="0"/>
              <w:overflowPunct w:val="0"/>
              <w:autoSpaceDE w:val="0"/>
              <w:autoSpaceDN w:val="0"/>
              <w:adjustRightInd w:val="0"/>
              <w:ind w:left="71" w:right="64"/>
              <w:jc w:val="center"/>
              <w:rPr>
                <w:sz w:val="22"/>
                <w:szCs w:val="22"/>
              </w:rPr>
            </w:pPr>
            <w:r w:rsidRPr="00BD141A">
              <w:rPr>
                <w:sz w:val="22"/>
                <w:szCs w:val="22"/>
              </w:rPr>
              <w:t>0,005294</w:t>
            </w:r>
          </w:p>
        </w:tc>
      </w:tr>
    </w:tbl>
    <w:p w14:paraId="669E1235" w14:textId="77777777" w:rsidR="00A31BA4" w:rsidRDefault="00A31BA4" w:rsidP="00A31BA4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6"/>
        <w:jc w:val="both"/>
        <w:rPr>
          <w:sz w:val="20"/>
          <w:szCs w:val="20"/>
        </w:rPr>
      </w:pPr>
      <w:r w:rsidRPr="004111E5">
        <w:rPr>
          <w:sz w:val="20"/>
          <w:szCs w:val="20"/>
          <w:vertAlign w:val="superscript"/>
        </w:rPr>
        <w:t>a</w:t>
      </w:r>
      <w:r>
        <w:rPr>
          <w:sz w:val="20"/>
          <w:szCs w:val="20"/>
        </w:rPr>
        <w:tab/>
        <w:t>Uključujući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170</w:t>
      </w:r>
      <w:r>
        <w:rPr>
          <w:spacing w:val="-1"/>
          <w:sz w:val="20"/>
          <w:szCs w:val="20"/>
        </w:rPr>
        <w:t xml:space="preserve"> pacijenata </w:t>
      </w:r>
      <w:r>
        <w:rPr>
          <w:sz w:val="20"/>
          <w:szCs w:val="20"/>
        </w:rPr>
        <w:t>koji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 prešli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na terapiju otvorenog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tipa darolutamidom.</w:t>
      </w:r>
    </w:p>
    <w:p w14:paraId="592D5A09" w14:textId="77777777" w:rsidR="00A31BA4" w:rsidRDefault="00A31BA4" w:rsidP="00A31BA4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1"/>
        <w:jc w:val="both"/>
        <w:rPr>
          <w:sz w:val="20"/>
          <w:szCs w:val="20"/>
        </w:rPr>
      </w:pPr>
      <w:r w:rsidRPr="004111E5">
        <w:rPr>
          <w:sz w:val="20"/>
          <w:szCs w:val="20"/>
          <w:vertAlign w:val="superscript"/>
        </w:rPr>
        <w:t>b</w:t>
      </w:r>
      <w:r>
        <w:rPr>
          <w:sz w:val="20"/>
          <w:szCs w:val="20"/>
        </w:rPr>
        <w:tab/>
      </w:r>
      <w:r w:rsidRPr="00535894">
        <w:rPr>
          <w:i/>
          <w:iCs/>
          <w:sz w:val="20"/>
          <w:szCs w:val="20"/>
        </w:rPr>
        <w:t>Hazard ratio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&lt; 1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govori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prilog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darolutamidu.</w:t>
      </w:r>
    </w:p>
    <w:p w14:paraId="3BE402DB" w14:textId="7808BB29" w:rsidR="00A31BA4" w:rsidRDefault="00A31BA4" w:rsidP="00A31BA4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hanging="426"/>
        <w:jc w:val="both"/>
        <w:rPr>
          <w:sz w:val="20"/>
          <w:szCs w:val="20"/>
        </w:rPr>
      </w:pPr>
      <w:r w:rsidRPr="004111E5">
        <w:rPr>
          <w:sz w:val="20"/>
          <w:szCs w:val="20"/>
          <w:vertAlign w:val="superscript"/>
        </w:rPr>
        <w:t>c</w:t>
      </w:r>
      <w:r>
        <w:rPr>
          <w:sz w:val="20"/>
          <w:szCs w:val="20"/>
        </w:rPr>
        <w:tab/>
        <w:t>Za MFS i</w:t>
      </w:r>
      <w:r>
        <w:rPr>
          <w:spacing w:val="-2"/>
          <w:sz w:val="20"/>
          <w:szCs w:val="20"/>
        </w:rPr>
        <w:t xml:space="preserve"> </w:t>
      </w:r>
      <w:r w:rsidR="00457204">
        <w:rPr>
          <w:sz w:val="20"/>
          <w:szCs w:val="20"/>
        </w:rPr>
        <w:t>vrijem</w:t>
      </w:r>
      <w:r>
        <w:rPr>
          <w:sz w:val="20"/>
          <w:szCs w:val="20"/>
        </w:rPr>
        <w:t>e 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progresije bola analiza</w:t>
      </w:r>
      <w:r>
        <w:rPr>
          <w:spacing w:val="-1"/>
          <w:sz w:val="20"/>
          <w:szCs w:val="20"/>
        </w:rPr>
        <w:t xml:space="preserve"> </w:t>
      </w:r>
      <w:r w:rsidR="00535894">
        <w:rPr>
          <w:sz w:val="20"/>
          <w:szCs w:val="20"/>
        </w:rPr>
        <w:t>sprovedena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 xml:space="preserve"> </w:t>
      </w:r>
      <w:r w:rsidR="00457204">
        <w:rPr>
          <w:sz w:val="20"/>
          <w:szCs w:val="20"/>
        </w:rPr>
        <w:t>vrijem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primarnog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završetka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smatra se konačnom analizom.</w:t>
      </w:r>
    </w:p>
    <w:p w14:paraId="354E6181" w14:textId="0F905D11" w:rsidR="00A31BA4" w:rsidRDefault="00A31BA4" w:rsidP="00FB708E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hanging="426"/>
        <w:jc w:val="both"/>
        <w:rPr>
          <w:sz w:val="20"/>
          <w:szCs w:val="20"/>
        </w:rPr>
      </w:pPr>
      <w:r w:rsidRPr="004111E5">
        <w:rPr>
          <w:sz w:val="20"/>
          <w:szCs w:val="20"/>
          <w:vertAlign w:val="superscript"/>
        </w:rPr>
        <w:t>d</w:t>
      </w:r>
      <w:r>
        <w:rPr>
          <w:sz w:val="20"/>
          <w:szCs w:val="20"/>
        </w:rPr>
        <w:tab/>
        <w:t>Ishod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prijavljen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strane</w:t>
      </w:r>
      <w:r>
        <w:rPr>
          <w:spacing w:val="-1"/>
          <w:sz w:val="20"/>
          <w:szCs w:val="20"/>
        </w:rPr>
        <w:t xml:space="preserve"> pacijenta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proc</w:t>
      </w:r>
      <w:r w:rsidR="00C51C60">
        <w:rPr>
          <w:sz w:val="20"/>
          <w:szCs w:val="20"/>
        </w:rPr>
        <w:t>ij</w:t>
      </w:r>
      <w:r>
        <w:rPr>
          <w:sz w:val="20"/>
          <w:szCs w:val="20"/>
        </w:rPr>
        <w:t>enjen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Kratkim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upitnikom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bolu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(eng</w:t>
      </w:r>
      <w:r w:rsidR="00446582">
        <w:rPr>
          <w:sz w:val="20"/>
          <w:szCs w:val="20"/>
        </w:rPr>
        <w:t>l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Brief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Pain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Inventory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-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Short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Form</w:t>
      </w:r>
      <w:r>
        <w:rPr>
          <w:sz w:val="20"/>
          <w:szCs w:val="20"/>
        </w:rPr>
        <w:t>).</w:t>
      </w:r>
    </w:p>
    <w:p w14:paraId="1AFF5274" w14:textId="77777777" w:rsidR="00A31BA4" w:rsidRDefault="00A31BA4" w:rsidP="00A31BA4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30" w:lineRule="exact"/>
        <w:rPr>
          <w:sz w:val="20"/>
          <w:szCs w:val="20"/>
        </w:rPr>
      </w:pPr>
      <w:r>
        <w:rPr>
          <w:sz w:val="20"/>
          <w:szCs w:val="20"/>
        </w:rPr>
        <w:t>ND:</w:t>
      </w:r>
      <w:r>
        <w:rPr>
          <w:spacing w:val="22"/>
          <w:sz w:val="20"/>
          <w:szCs w:val="20"/>
        </w:rPr>
        <w:t xml:space="preserve"> </w:t>
      </w:r>
      <w:r>
        <w:rPr>
          <w:spacing w:val="22"/>
          <w:sz w:val="20"/>
          <w:szCs w:val="20"/>
        </w:rPr>
        <w:tab/>
      </w:r>
      <w:r>
        <w:rPr>
          <w:sz w:val="20"/>
          <w:szCs w:val="20"/>
        </w:rPr>
        <w:t>Nije dostignuto.</w:t>
      </w:r>
    </w:p>
    <w:p w14:paraId="500AF5A5" w14:textId="77777777" w:rsidR="00A31BA4" w:rsidRPr="00BD141A" w:rsidRDefault="00A31BA4" w:rsidP="00A31BA4">
      <w:pPr>
        <w:rPr>
          <w:sz w:val="22"/>
          <w:szCs w:val="22"/>
          <w:lang w:val="sr-Latn-RS"/>
        </w:rPr>
      </w:pPr>
    </w:p>
    <w:p w14:paraId="4F7E9C0C" w14:textId="615CEECD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Terapija darolutamidom dovela je do dužeg preživljavanja bez progresije bolesti (eng</w:t>
      </w:r>
      <w:r w:rsidR="00446582">
        <w:rPr>
          <w:sz w:val="22"/>
          <w:szCs w:val="22"/>
          <w:lang w:val="sr-Latn-RS"/>
        </w:rPr>
        <w:t>l</w:t>
      </w:r>
      <w:r w:rsidRPr="00BD141A">
        <w:rPr>
          <w:sz w:val="22"/>
          <w:szCs w:val="22"/>
          <w:lang w:val="sr-Latn-RS"/>
        </w:rPr>
        <w:t xml:space="preserve">. </w:t>
      </w:r>
      <w:r w:rsidRPr="00BD141A">
        <w:rPr>
          <w:i/>
          <w:iCs/>
          <w:sz w:val="22"/>
          <w:szCs w:val="22"/>
          <w:lang w:val="sr-Latn-RS"/>
        </w:rPr>
        <w:t>progression free survival, PFS</w:t>
      </w:r>
      <w:r w:rsidRPr="00BD141A">
        <w:rPr>
          <w:sz w:val="22"/>
          <w:szCs w:val="22"/>
          <w:lang w:val="sr-Latn-RS"/>
        </w:rPr>
        <w:t xml:space="preserve">) (PFS, medijana 36,8 u odnosu na 14,8 </w:t>
      </w:r>
      <w:r w:rsidR="00D276D2">
        <w:rPr>
          <w:sz w:val="22"/>
          <w:szCs w:val="22"/>
          <w:lang w:val="sr-Latn-RS"/>
        </w:rPr>
        <w:t>mjesec</w:t>
      </w:r>
      <w:r w:rsidRPr="00BD141A">
        <w:rPr>
          <w:sz w:val="22"/>
          <w:szCs w:val="22"/>
          <w:lang w:val="sr-Latn-RS"/>
        </w:rPr>
        <w:t xml:space="preserve">i; HR=0,380; nominalni p&lt;0,000001) i do dužeg vremena do progresije PSA (medijana 29,5 u odnosu na 7,2 </w:t>
      </w:r>
      <w:r w:rsidR="00D276D2">
        <w:rPr>
          <w:sz w:val="22"/>
          <w:szCs w:val="22"/>
          <w:lang w:val="sr-Latn-RS"/>
        </w:rPr>
        <w:t>mjesec</w:t>
      </w:r>
      <w:r w:rsidRPr="00BD141A">
        <w:rPr>
          <w:sz w:val="22"/>
          <w:szCs w:val="22"/>
          <w:lang w:val="sr-Latn-RS"/>
        </w:rPr>
        <w:t xml:space="preserve">i; HR=0,164; nominalni p&lt;0,000001). </w:t>
      </w:r>
      <w:r w:rsidR="00E27E7E">
        <w:rPr>
          <w:sz w:val="22"/>
          <w:szCs w:val="22"/>
          <w:lang w:val="sr-Latn-RS"/>
        </w:rPr>
        <w:t>Postojanost</w:t>
      </w:r>
      <w:r w:rsidR="00E27E7E" w:rsidRPr="00BD141A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>ovog efekta je prim</w:t>
      </w:r>
      <w:r w:rsidR="00FB708E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ećena u svim parametrima preživljavanja (MFS, OS i PFS).</w:t>
      </w:r>
    </w:p>
    <w:p w14:paraId="473561C9" w14:textId="77777777" w:rsidR="00A31BA4" w:rsidRPr="00BD141A" w:rsidRDefault="00A31BA4" w:rsidP="00A31BA4">
      <w:pPr>
        <w:autoSpaceDE w:val="0"/>
        <w:autoSpaceDN w:val="0"/>
        <w:adjustRightInd w:val="0"/>
        <w:rPr>
          <w:sz w:val="22"/>
          <w:szCs w:val="22"/>
        </w:rPr>
      </w:pPr>
    </w:p>
    <w:p w14:paraId="65F5254C" w14:textId="56948D13" w:rsidR="00A31BA4" w:rsidRPr="00BD141A" w:rsidRDefault="00A31BA4" w:rsidP="00A31BA4">
      <w:pPr>
        <w:keepNext/>
        <w:keepLines/>
        <w:rPr>
          <w:b/>
          <w:sz w:val="22"/>
          <w:szCs w:val="22"/>
        </w:rPr>
      </w:pPr>
      <w:r w:rsidRPr="00BD141A">
        <w:rPr>
          <w:b/>
          <w:sz w:val="22"/>
          <w:szCs w:val="22"/>
        </w:rPr>
        <w:t xml:space="preserve">Slika 1: </w:t>
      </w:r>
      <w:r w:rsidRPr="00535894">
        <w:rPr>
          <w:b/>
          <w:i/>
          <w:iCs/>
          <w:sz w:val="22"/>
          <w:szCs w:val="22"/>
        </w:rPr>
        <w:t>Kaplan</w:t>
      </w:r>
      <w:r w:rsidRPr="00535894">
        <w:rPr>
          <w:b/>
          <w:i/>
          <w:iCs/>
          <w:sz w:val="22"/>
          <w:szCs w:val="22"/>
        </w:rPr>
        <w:noBreakHyphen/>
        <w:t>Me</w:t>
      </w:r>
      <w:r w:rsidR="00535894" w:rsidRPr="00535894">
        <w:rPr>
          <w:b/>
          <w:i/>
          <w:iCs/>
          <w:sz w:val="22"/>
          <w:szCs w:val="22"/>
        </w:rPr>
        <w:t>ier</w:t>
      </w:r>
      <w:r w:rsidRPr="00BD141A">
        <w:rPr>
          <w:b/>
          <w:sz w:val="22"/>
          <w:szCs w:val="22"/>
        </w:rPr>
        <w:t xml:space="preserve"> kriv</w:t>
      </w:r>
      <w:r w:rsidR="00535894">
        <w:rPr>
          <w:b/>
          <w:sz w:val="22"/>
          <w:szCs w:val="22"/>
        </w:rPr>
        <w:t>a</w:t>
      </w:r>
      <w:r w:rsidRPr="00BD141A">
        <w:rPr>
          <w:b/>
          <w:sz w:val="22"/>
          <w:szCs w:val="22"/>
        </w:rPr>
        <w:t xml:space="preserve"> preživljavanja bez metastaza</w:t>
      </w:r>
      <w:r w:rsidR="00EB5D22">
        <w:rPr>
          <w:b/>
          <w:sz w:val="22"/>
          <w:szCs w:val="22"/>
        </w:rPr>
        <w:t xml:space="preserve"> (ARAMIS)</w:t>
      </w:r>
    </w:p>
    <w:p w14:paraId="08A4C72E" w14:textId="3DF2DB67" w:rsidR="00A31BA4" w:rsidRDefault="00A31BA4" w:rsidP="00A31BA4">
      <w:pPr>
        <w:keepNext/>
        <w:keepLines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20602A" wp14:editId="28FF4DCE">
                <wp:simplePos x="0" y="0"/>
                <wp:positionH relativeFrom="column">
                  <wp:posOffset>-289560</wp:posOffset>
                </wp:positionH>
                <wp:positionV relativeFrom="paragraph">
                  <wp:posOffset>101336</wp:posOffset>
                </wp:positionV>
                <wp:extent cx="5035550" cy="3582035"/>
                <wp:effectExtent l="533400" t="0" r="1270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35550" cy="3582035"/>
                          <a:chOff x="0" y="-42"/>
                          <a:chExt cx="7930" cy="5641"/>
                        </a:xfrm>
                      </wpg:grpSpPr>
                      <wps:wsp>
                        <wps:cNvPr id="12" name="Textfeld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73"/>
                            <a:ext cx="1367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E5A61" w14:textId="77777777" w:rsidR="000632D6" w:rsidRDefault="000632D6" w:rsidP="00A31BA4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Darolutamid</w:t>
                              </w:r>
                            </w:p>
                            <w:p w14:paraId="4CEDE8B8" w14:textId="77777777" w:rsidR="000632D6" w:rsidRDefault="000632D6" w:rsidP="00A31BA4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Placebo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feld 11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962" y="1876"/>
                            <a:ext cx="3997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9FE4F" w14:textId="692CB56A" w:rsidR="000632D6" w:rsidRDefault="000632D6" w:rsidP="00A31BA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szCs w:val="14"/>
                                </w:rPr>
                                <w:t>Vjerovatno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szCs w:val="14"/>
                                  <w:lang w:val="sr-Latn-RS"/>
                                </w:rPr>
                                <w:t>ća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szCs w:val="14"/>
                                </w:rPr>
                                <w:t xml:space="preserve"> preživlljavanja bez metastaza (%)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feld 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4560"/>
                            <a:ext cx="3125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C8594" w14:textId="2F153518" w:rsidR="000632D6" w:rsidRDefault="000632D6" w:rsidP="00A31BA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szCs w:val="14"/>
                                </w:rPr>
                                <w:t>Mjeseci od randomizacije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feld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31" y="4748"/>
                            <a:ext cx="1549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AFBE8" w14:textId="77777777" w:rsidR="000632D6" w:rsidRDefault="000632D6" w:rsidP="00A31BA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>Pacijenti sa rizikom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uppieren 3"/>
                        <wpg:cNvGrpSpPr>
                          <a:grpSpLocks/>
                        </wpg:cNvGrpSpPr>
                        <wpg:grpSpPr bwMode="auto">
                          <a:xfrm>
                            <a:off x="5492" y="-42"/>
                            <a:ext cx="2438" cy="567"/>
                            <a:chOff x="5492" y="-261"/>
                            <a:chExt cx="14727" cy="3647"/>
                          </a:xfrm>
                        </wpg:grpSpPr>
                        <wps:wsp>
                          <wps:cNvPr id="18" name="Textfeld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92" y="-261"/>
                              <a:ext cx="14727" cy="36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73C5177" w14:textId="77777777" w:rsidR="000632D6" w:rsidRDefault="000632D6" w:rsidP="00A31BA4">
                                <w:pPr>
                                  <w:spacing w:line="220" w:lineRule="exact"/>
                                  <w:ind w:firstLine="720"/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Darolutamid (N = 955)</w:t>
                                </w:r>
                              </w:p>
                              <w:p w14:paraId="600E4667" w14:textId="041BC0EC" w:rsidR="000632D6" w:rsidRDefault="000632D6" w:rsidP="00A31BA4">
                                <w:pPr>
                                  <w:spacing w:line="220" w:lineRule="exact"/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ab/>
                                  <w:t>Placebo (N = 554)</w:t>
                                </w:r>
                              </w:p>
                            </w:txbxContent>
                          </wps:txbx>
                          <wps:bodyPr rot="0" vert="horz" wrap="square" lIns="54000" tIns="10800" rIns="54000" bIns="10800" anchor="t" anchorCtr="0" upright="1">
                            <a:noAutofit/>
                          </wps:bodyPr>
                        </wps:wsp>
                        <wps:wsp>
                          <wps:cNvPr id="19" name="Gerade Verbindung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92" y="951"/>
                              <a:ext cx="33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Gerade Verbindung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1" y="2064"/>
                              <a:ext cx="33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20602A" id="Group 16" o:spid="_x0000_s1026" style="position:absolute;margin-left:-22.8pt;margin-top:8pt;width:396.5pt;height:282.05pt;z-index:251659264" coordorigin=",-42" coordsize="7930,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0" o:spid="_x0000_s1027" type="#_x0000_t202" style="position:absolute;top:4973;width:1367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44E5A61" w14:textId="77777777" w:rsidR="000632D6" w:rsidRDefault="000632D6" w:rsidP="00A31BA4">
                        <w:pPr>
                          <w:jc w:val="right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Darolutamid</w:t>
                        </w:r>
                      </w:p>
                      <w:p w14:paraId="4CEDE8B8" w14:textId="77777777" w:rsidR="000632D6" w:rsidRDefault="000632D6" w:rsidP="00A31BA4">
                        <w:pPr>
                          <w:jc w:val="right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Placebo</w:t>
                        </w:r>
                      </w:p>
                    </w:txbxContent>
                  </v:textbox>
                </v:shape>
                <v:shape id="Textfeld 11" o:spid="_x0000_s1028" type="#_x0000_t202" style="position:absolute;left:-962;top:1876;width:3997;height:38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" filled="f" stroked="f" strokeweight=".5pt">
                  <v:textbox style="layout-flow:vertical;mso-layout-flow-alt:bottom-to-top">
                    <w:txbxContent>
                      <w:p w14:paraId="1D69FE4F" w14:textId="692CB56A" w:rsidR="000632D6" w:rsidRDefault="000632D6" w:rsidP="00A31BA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  <w:szCs w:val="14"/>
                          </w:rPr>
                          <w:t>Vjerovatno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  <w:szCs w:val="14"/>
                            <w:lang w:val="sr-Latn-RS"/>
                          </w:rPr>
                          <w:t>ća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  <w:szCs w:val="14"/>
                          </w:rPr>
                          <w:t xml:space="preserve"> preživlljavanja bez metastaza (%)</w:t>
                        </w:r>
                      </w:p>
                    </w:txbxContent>
                  </v:textbox>
                </v:shape>
                <v:shape id="Textfeld 12" o:spid="_x0000_s1029" type="#_x0000_t202" style="position:absolute;left:2858;top:4560;width:3125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71BC8594" w14:textId="2F153518" w:rsidR="000632D6" w:rsidRDefault="000632D6" w:rsidP="00A31BA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  <w:szCs w:val="14"/>
                          </w:rPr>
                          <w:t>Mjeseci od randomizacije</w:t>
                        </w:r>
                      </w:p>
                    </w:txbxContent>
                  </v:textbox>
                </v:shape>
                <v:shape id="Textfeld 13" o:spid="_x0000_s1030" type="#_x0000_t202" style="position:absolute;left:1231;top:4748;width:1549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639AFBE8" w14:textId="77777777" w:rsidR="000632D6" w:rsidRDefault="000632D6" w:rsidP="00A31BA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Pacijenti sa rizikom</w:t>
                        </w:r>
                      </w:p>
                    </w:txbxContent>
                  </v:textbox>
                </v:shape>
                <v:group id="Gruppieren 3" o:spid="_x0000_s1031" style="position:absolute;left:5492;top:-42;width:2438;height:567" coordorigin="5492,-261" coordsize="14727,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Textfeld 4" o:spid="_x0000_s1032" type="#_x0000_t202" style="position:absolute;left:5492;top:-261;width:14727;height:3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" filled="f" strokeweight=".5pt">
                    <v:textbox inset="1.5mm,.3mm,1.5mm,.3mm">
                      <w:txbxContent>
                        <w:p w14:paraId="773C5177" w14:textId="77777777" w:rsidR="000632D6" w:rsidRDefault="000632D6" w:rsidP="00A31BA4">
                          <w:pPr>
                            <w:spacing w:line="220" w:lineRule="exact"/>
                            <w:ind w:firstLine="720"/>
                            <w:rPr>
                              <w:rFonts w:ascii="Arial" w:hAnsi="Arial"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Darolutamid (N = 955)</w:t>
                          </w:r>
                        </w:p>
                        <w:p w14:paraId="600E4667" w14:textId="041BC0EC" w:rsidR="000632D6" w:rsidRDefault="000632D6" w:rsidP="00A31BA4">
                          <w:pPr>
                            <w:spacing w:line="220" w:lineRule="exact"/>
                            <w:rPr>
                              <w:rFonts w:ascii="Arial" w:hAnsi="Arial"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ab/>
                            <w:t>Placebo (N = 554)</w:t>
                          </w:r>
                        </w:p>
                      </w:txbxContent>
                    </v:textbox>
                  </v:shape>
                  <v:line id="Gerade Verbindung 14" o:spid="_x0000_s1033" style="position:absolute;visibility:visible;mso-wrap-style:square" from="6292,951" to="9676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line id="Gerade Verbindung 16" o:spid="_x0000_s1034" style="position:absolute;visibility:visible;mso-wrap-style:square" from="6371,2064" to="9756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5k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NbLF/kBevkAAAD//wMAUEsBAi0AFAAGAAgAAAAhANvh9svuAAAAhQEAABMAAAAAAAAAAAAAAAAA&#10;AAAAAFtDb250ZW50X1R5cGVzXS54bWxQSwECLQAUAAYACAAAACEAWvQsW78AAAAVAQAACwAAAAAA&#10;AAAAAAAAAAAfAQAAX3JlbHMvLnJlbHNQSwECLQAUAAYACAAAACEAafNOZMAAAADbAAAADwAAAAAA&#10;AAAAAAAAAAAHAgAAZHJzL2Rvd25yZXYueG1sUEsFBgAAAAADAAMAtwAAAPQCAAAAAA==&#10;">
                    <v:stroke dashstyle="dash"/>
                  </v:line>
                </v:group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52E9324" wp14:editId="750594B8">
            <wp:extent cx="5210175" cy="357187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5718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479D8C6" w14:textId="77777777" w:rsidR="00A31BA4" w:rsidRDefault="00A31BA4" w:rsidP="00A31BA4">
      <w:pPr>
        <w:widowControl w:val="0"/>
      </w:pPr>
    </w:p>
    <w:p w14:paraId="417DEC16" w14:textId="04A51949" w:rsidR="00A31BA4" w:rsidRPr="00BD141A" w:rsidRDefault="00A31BA4" w:rsidP="00A31BA4">
      <w:pPr>
        <w:keepNext/>
        <w:keepLines/>
        <w:rPr>
          <w:b/>
          <w:sz w:val="22"/>
          <w:szCs w:val="22"/>
        </w:rPr>
      </w:pPr>
      <w:r w:rsidRPr="00BD141A">
        <w:rPr>
          <w:b/>
          <w:sz w:val="22"/>
          <w:szCs w:val="22"/>
        </w:rPr>
        <w:lastRenderedPageBreak/>
        <w:t xml:space="preserve">Slika 2: </w:t>
      </w:r>
      <w:r w:rsidRPr="00535894">
        <w:rPr>
          <w:b/>
          <w:i/>
          <w:iCs/>
          <w:sz w:val="22"/>
          <w:szCs w:val="22"/>
        </w:rPr>
        <w:t>Kaplan</w:t>
      </w:r>
      <w:r w:rsidRPr="00535894">
        <w:rPr>
          <w:b/>
          <w:i/>
          <w:iCs/>
          <w:sz w:val="22"/>
          <w:szCs w:val="22"/>
        </w:rPr>
        <w:noBreakHyphen/>
        <w:t>Me</w:t>
      </w:r>
      <w:r w:rsidR="00535894" w:rsidRPr="00535894">
        <w:rPr>
          <w:b/>
          <w:i/>
          <w:iCs/>
          <w:sz w:val="22"/>
          <w:szCs w:val="22"/>
        </w:rPr>
        <w:t>ier</w:t>
      </w:r>
      <w:r w:rsidRPr="00BD141A">
        <w:rPr>
          <w:b/>
          <w:sz w:val="22"/>
          <w:szCs w:val="22"/>
        </w:rPr>
        <w:t xml:space="preserve"> kriv</w:t>
      </w:r>
      <w:r w:rsidR="00535894">
        <w:rPr>
          <w:b/>
          <w:sz w:val="22"/>
          <w:szCs w:val="22"/>
        </w:rPr>
        <w:t>a</w:t>
      </w:r>
      <w:r w:rsidRPr="00BD141A">
        <w:rPr>
          <w:b/>
          <w:sz w:val="22"/>
          <w:szCs w:val="22"/>
        </w:rPr>
        <w:t xml:space="preserve"> ukupnog preživljavanja</w:t>
      </w:r>
      <w:r w:rsidR="00EB5D22">
        <w:rPr>
          <w:b/>
          <w:sz w:val="22"/>
          <w:szCs w:val="22"/>
        </w:rPr>
        <w:t xml:space="preserve"> (ARAMIS)</w:t>
      </w:r>
    </w:p>
    <w:p w14:paraId="16D6DEC3" w14:textId="2442C4B3" w:rsidR="00A31BA4" w:rsidRDefault="00A31BA4" w:rsidP="00A31BA4">
      <w:pPr>
        <w:keepNext/>
        <w:keepLines/>
        <w:rPr>
          <w:b/>
          <w:bCs/>
          <w:iCs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5E82D" wp14:editId="01513AA0">
                <wp:simplePos x="0" y="0"/>
                <wp:positionH relativeFrom="column">
                  <wp:posOffset>-214630</wp:posOffset>
                </wp:positionH>
                <wp:positionV relativeFrom="paragraph">
                  <wp:posOffset>3239770</wp:posOffset>
                </wp:positionV>
                <wp:extent cx="842010" cy="469900"/>
                <wp:effectExtent l="0" t="0" r="0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7953B" w14:textId="77777777" w:rsidR="000632D6" w:rsidRDefault="000632D6" w:rsidP="00A31B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Darolutamid</w:t>
                            </w:r>
                          </w:p>
                          <w:p w14:paraId="7EA4DA83" w14:textId="77777777" w:rsidR="000632D6" w:rsidRDefault="000632D6" w:rsidP="00A31B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Placebo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15E82D" id="Text Box 26" o:spid="_x0000_s1035" type="#_x0000_t202" style="position:absolute;margin-left:-16.9pt;margin-top:255.1pt;width:66.3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" filled="f" stroked="f" strokeweight=".25pt">
                <v:textbox>
                  <w:txbxContent>
                    <w:p w14:paraId="5877953B" w14:textId="77777777" w:rsidR="000632D6" w:rsidRDefault="000632D6" w:rsidP="00A31BA4">
                      <w:pPr>
                        <w:jc w:val="right"/>
                        <w:rPr>
                          <w:rFonts w:ascii="Arial" w:hAnsi="Arial" w:cs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Darolutamid</w:t>
                      </w:r>
                    </w:p>
                    <w:p w14:paraId="7EA4DA83" w14:textId="77777777" w:rsidR="000632D6" w:rsidRDefault="000632D6" w:rsidP="00A31BA4">
                      <w:pPr>
                        <w:jc w:val="right"/>
                        <w:rPr>
                          <w:rFonts w:ascii="Arial" w:hAnsi="Arial" w:cs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Placebo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8D3AC" wp14:editId="74BC4913">
                <wp:simplePos x="0" y="0"/>
                <wp:positionH relativeFrom="column">
                  <wp:posOffset>527050</wp:posOffset>
                </wp:positionH>
                <wp:positionV relativeFrom="paragraph">
                  <wp:posOffset>3096260</wp:posOffset>
                </wp:positionV>
                <wp:extent cx="983615" cy="340995"/>
                <wp:effectExtent l="0" t="0" r="0" b="190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6D3CF" w14:textId="77777777" w:rsidR="000632D6" w:rsidRDefault="000632D6" w:rsidP="00A31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Paijenti sa rizikom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78D3AC" id="Text Box 28" o:spid="_x0000_s1036" type="#_x0000_t202" style="position:absolute;margin-left:41.5pt;margin-top:243.8pt;width:77.4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" filled="f" stroked="f" strokeweight=".5pt">
                <v:textbox>
                  <w:txbxContent>
                    <w:p w14:paraId="16F6D3CF" w14:textId="77777777" w:rsidR="000632D6" w:rsidRDefault="000632D6" w:rsidP="00A31BA4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Paijenti sa rizikom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D58B5" wp14:editId="2C9B7F36">
                <wp:simplePos x="0" y="0"/>
                <wp:positionH relativeFrom="column">
                  <wp:posOffset>1743710</wp:posOffset>
                </wp:positionH>
                <wp:positionV relativeFrom="paragraph">
                  <wp:posOffset>2989580</wp:posOffset>
                </wp:positionV>
                <wp:extent cx="1924050" cy="257810"/>
                <wp:effectExtent l="0" t="0" r="0" b="889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AAE70" w14:textId="0B7BEA60" w:rsidR="000632D6" w:rsidRDefault="000632D6" w:rsidP="00A31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Mjeseci od randomizacije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5D58B5" id="Text Box 27" o:spid="_x0000_s1037" type="#_x0000_t202" style="position:absolute;margin-left:137.3pt;margin-top:235.4pt;width:151.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" filled="f" stroked="f" strokeweight=".25pt">
                <v:textbox>
                  <w:txbxContent>
                    <w:p w14:paraId="2A5AAE70" w14:textId="0B7BEA60" w:rsidR="000632D6" w:rsidRDefault="000632D6" w:rsidP="00A31BA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Mjeseci od randomizacije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0EED2" wp14:editId="3B650450">
                <wp:simplePos x="0" y="0"/>
                <wp:positionH relativeFrom="column">
                  <wp:posOffset>-803275</wp:posOffset>
                </wp:positionH>
                <wp:positionV relativeFrom="paragraph">
                  <wp:posOffset>1367790</wp:posOffset>
                </wp:positionV>
                <wp:extent cx="2488565" cy="344170"/>
                <wp:effectExtent l="995998" t="0" r="983932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885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D0212" w14:textId="73389FA9" w:rsidR="000632D6" w:rsidRDefault="000632D6" w:rsidP="00A31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Vjerovatno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  <w:lang w:val="sr-Latn-RS"/>
                              </w:rPr>
                              <w:t xml:space="preserve">ća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ukupnog preživljavanja (%)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20EED2" id="Text Box 4" o:spid="_x0000_s1038" type="#_x0000_t202" style="position:absolute;margin-left:-63.25pt;margin-top:107.7pt;width:195.95pt;height:27.1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" filled="f" stroked="f" strokeweight=".5pt">
                <v:textbox style="layout-flow:vertical;mso-layout-flow-alt:bottom-to-top">
                  <w:txbxContent>
                    <w:p w14:paraId="5E0D0212" w14:textId="73389FA9" w:rsidR="000632D6" w:rsidRDefault="000632D6" w:rsidP="00A31BA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Vjerovatno</w:t>
                      </w:r>
                      <w:r>
                        <w:rPr>
                          <w:rFonts w:ascii="Arial" w:hAnsi="Arial"/>
                          <w:b/>
                          <w:sz w:val="14"/>
                          <w:szCs w:val="14"/>
                          <w:lang w:val="sr-Latn-RS"/>
                        </w:rPr>
                        <w:t xml:space="preserve">ća </w:t>
                      </w:r>
                      <w:r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ukupnog preživljavanja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6CAAD" wp14:editId="1714FFBF">
                <wp:simplePos x="0" y="0"/>
                <wp:positionH relativeFrom="column">
                  <wp:posOffset>3509010</wp:posOffset>
                </wp:positionH>
                <wp:positionV relativeFrom="paragraph">
                  <wp:posOffset>550545</wp:posOffset>
                </wp:positionV>
                <wp:extent cx="355600" cy="0"/>
                <wp:effectExtent l="0" t="0" r="0" b="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A971AC" id="Straight Connector 3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pt,43.35pt" to="304.3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A2744" wp14:editId="5D89ADD1">
                <wp:simplePos x="0" y="0"/>
                <wp:positionH relativeFrom="column">
                  <wp:posOffset>3501390</wp:posOffset>
                </wp:positionH>
                <wp:positionV relativeFrom="paragraph">
                  <wp:posOffset>441325</wp:posOffset>
                </wp:positionV>
                <wp:extent cx="355600" cy="0"/>
                <wp:effectExtent l="0" t="0" r="0" b="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C12580" id="Straight Connector 2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7pt,34.75pt" to="303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11C11" wp14:editId="34412B79">
                <wp:simplePos x="0" y="0"/>
                <wp:positionH relativeFrom="column">
                  <wp:posOffset>3437890</wp:posOffset>
                </wp:positionH>
                <wp:positionV relativeFrom="paragraph">
                  <wp:posOffset>324485</wp:posOffset>
                </wp:positionV>
                <wp:extent cx="1548130" cy="360045"/>
                <wp:effectExtent l="0" t="0" r="13970" b="2095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61B015" w14:textId="77777777" w:rsidR="000632D6" w:rsidRDefault="000632D6" w:rsidP="00A31BA4">
                            <w:pPr>
                              <w:spacing w:line="220" w:lineRule="exact"/>
                              <w:ind w:firstLine="720"/>
                              <w:rPr>
                                <w:rFonts w:ascii="Arial" w:hAnsi="Arial" w:cs="Arial"/>
                                <w:b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Darolutamid (N = 955)</w:t>
                            </w:r>
                          </w:p>
                          <w:p w14:paraId="0BACD70B" w14:textId="5E5215C5" w:rsidR="000632D6" w:rsidRDefault="000632D6" w:rsidP="00A31BA4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ab/>
                              <w:t>Placebo (N = 554)</w:t>
                            </w: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D11C11" id="Text Box 25" o:spid="_x0000_s1039" type="#_x0000_t202" style="position:absolute;margin-left:270.7pt;margin-top:25.55pt;width:121.9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" filled="f" strokeweight=".5pt">
                <v:textbox inset="1.5mm,.3mm,1.5mm,.3mm">
                  <w:txbxContent>
                    <w:p w14:paraId="3161B015" w14:textId="77777777" w:rsidR="000632D6" w:rsidRDefault="000632D6" w:rsidP="00A31BA4">
                      <w:pPr>
                        <w:spacing w:line="220" w:lineRule="exact"/>
                        <w:ind w:firstLine="720"/>
                        <w:rPr>
                          <w:rFonts w:ascii="Arial" w:hAnsi="Arial" w:cs="Arial"/>
                          <w:b/>
                          <w:sz w:val="14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Darolutamid (N = 955)</w:t>
                      </w:r>
                    </w:p>
                    <w:p w14:paraId="0BACD70B" w14:textId="5E5215C5" w:rsidR="000632D6" w:rsidRDefault="000632D6" w:rsidP="00A31BA4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4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ab/>
                        <w:t>Placebo (N = 554)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w:drawing>
          <wp:inline distT="0" distB="0" distL="0" distR="0" wp14:anchorId="26CF9330" wp14:editId="0D6C07A1">
            <wp:extent cx="5305425" cy="3657600"/>
            <wp:effectExtent l="19050" t="19050" r="28575" b="19050"/>
            <wp:docPr id="2" name="Picture 2" descr="Kaplan-Meier - 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lan-Meier - O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0" t="-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6576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2C9F5A" w14:textId="77777777" w:rsidR="00A31BA4" w:rsidRPr="00BD141A" w:rsidRDefault="00A31BA4" w:rsidP="00A31BA4">
      <w:pPr>
        <w:rPr>
          <w:bCs/>
          <w:iCs/>
          <w:sz w:val="22"/>
          <w:szCs w:val="22"/>
        </w:rPr>
      </w:pPr>
    </w:p>
    <w:p w14:paraId="1669520F" w14:textId="77777777" w:rsidR="00EB5D22" w:rsidRDefault="00A31BA4" w:rsidP="00EB5D22">
      <w:pPr>
        <w:rPr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Kod pacijenata koji su dobijali darolutamid u ARAMIS ispitivanju (dvostruko sl</w:t>
      </w:r>
      <w:r w:rsidR="00FB708E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epa faza), pokazana je znatno viša potvrđena stopa odgovora PSA (definisano kao smanjenje ≥ 50% u odnosu</w:t>
      </w:r>
      <w:r w:rsidR="00535894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 xml:space="preserve">na početnu </w:t>
      </w:r>
      <w:r w:rsidR="00BD141A" w:rsidRPr="00BD141A">
        <w:rPr>
          <w:sz w:val="22"/>
          <w:szCs w:val="22"/>
          <w:lang w:val="sr-Latn-RS"/>
        </w:rPr>
        <w:t>vrijedno</w:t>
      </w:r>
      <w:r w:rsidRPr="00BD141A">
        <w:rPr>
          <w:sz w:val="22"/>
          <w:szCs w:val="22"/>
          <w:lang w:val="sr-Latn-RS"/>
        </w:rPr>
        <w:t>st), u poređenju sa pacijentima koji su dobijali placebo, i to 84,0% u odnosu na 7,9% (razlika = 76,1%, p&lt;0,000001 (nominaln</w:t>
      </w:r>
      <w:r w:rsidR="00446582">
        <w:rPr>
          <w:sz w:val="22"/>
          <w:szCs w:val="22"/>
          <w:lang w:val="sr-Latn-RS"/>
        </w:rPr>
        <w:t>a</w:t>
      </w:r>
      <w:r w:rsidRPr="00BD141A">
        <w:rPr>
          <w:sz w:val="22"/>
          <w:szCs w:val="22"/>
          <w:lang w:val="sr-Latn-RS"/>
        </w:rPr>
        <w:t xml:space="preserve"> p-</w:t>
      </w:r>
      <w:r w:rsidR="00446582">
        <w:rPr>
          <w:sz w:val="22"/>
          <w:szCs w:val="22"/>
          <w:lang w:val="sr-Latn-RS"/>
        </w:rPr>
        <w:t>vrednost</w:t>
      </w:r>
      <w:r w:rsidRPr="00BD141A">
        <w:rPr>
          <w:sz w:val="22"/>
          <w:szCs w:val="22"/>
          <w:lang w:val="sr-Latn-RS"/>
        </w:rPr>
        <w:t>, samo za informaciju)).</w:t>
      </w:r>
    </w:p>
    <w:p w14:paraId="617DBD13" w14:textId="77777777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</w:p>
    <w:p w14:paraId="2FCB6183" w14:textId="77777777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  <w:r w:rsidRPr="00EB5D22">
        <w:rPr>
          <w:i/>
          <w:iCs/>
          <w:sz w:val="22"/>
          <w:szCs w:val="22"/>
          <w:lang w:val="sr-Latn-RS"/>
        </w:rPr>
        <w:t>Metastatski hormon senzitivni karcinom prostate (mHSPC)</w:t>
      </w:r>
    </w:p>
    <w:p w14:paraId="2868AFBD" w14:textId="034B629B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  <w:r w:rsidRPr="00EB5D22">
        <w:rPr>
          <w:sz w:val="22"/>
          <w:szCs w:val="22"/>
          <w:lang w:val="sr-Latn-RS"/>
        </w:rPr>
        <w:t>Efikasnost i bezb</w:t>
      </w:r>
      <w:r>
        <w:rPr>
          <w:sz w:val="22"/>
          <w:szCs w:val="22"/>
          <w:lang w:val="sr-Latn-RS"/>
        </w:rPr>
        <w:t>j</w:t>
      </w:r>
      <w:r w:rsidRPr="00EB5D22">
        <w:rPr>
          <w:sz w:val="22"/>
          <w:szCs w:val="22"/>
          <w:lang w:val="sr-Latn-RS"/>
        </w:rPr>
        <w:t>ednost darolutamida u kombinaciji sa docetakselom proc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enjeni su u multicentričnom, dvostruko sl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epom, placebom kontrolisanom ispitivanju faze III (ARASENS) kod pacijenata sa mHSPC. Randomizovano je ukupno 1306 pacijenata u odnosu 1:1 tako da primaju darolutamid 600 mg oralno dva puta dnevno (n=651) ili odgovarajući placebo (n=655), istovremeno sa 75 mg/m</w:t>
      </w:r>
      <w:r w:rsidRPr="00EB5D22">
        <w:rPr>
          <w:sz w:val="22"/>
          <w:szCs w:val="22"/>
          <w:vertAlign w:val="superscript"/>
          <w:lang w:val="sr-Latn-RS"/>
        </w:rPr>
        <w:t>2</w:t>
      </w:r>
      <w:r w:rsidRPr="00EB5D22">
        <w:rPr>
          <w:sz w:val="22"/>
          <w:szCs w:val="22"/>
          <w:lang w:val="sr-Latn-RS"/>
        </w:rPr>
        <w:t xml:space="preserve"> docetaksela tokom 6 ciklusa. Terapija darolutamidom ili placebom nastavljena je do simptomatske progresije bolesti, prom</w:t>
      </w:r>
      <w:r>
        <w:rPr>
          <w:sz w:val="22"/>
          <w:szCs w:val="22"/>
          <w:lang w:val="sr-Latn-RS"/>
        </w:rPr>
        <w:t>j</w:t>
      </w:r>
      <w:r w:rsidRPr="00EB5D22">
        <w:rPr>
          <w:sz w:val="22"/>
          <w:szCs w:val="22"/>
          <w:lang w:val="sr-Latn-RS"/>
        </w:rPr>
        <w:t>ene citotoksične hemioterapije, pojave neprihvatljive toksičnosti, smrti ili povlačenja pacijenta iz ispitivanja.</w:t>
      </w:r>
    </w:p>
    <w:p w14:paraId="532AB4A2" w14:textId="77777777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</w:p>
    <w:p w14:paraId="286095ED" w14:textId="23619C83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  <w:r w:rsidRPr="00EB5D22">
        <w:rPr>
          <w:sz w:val="22"/>
          <w:szCs w:val="22"/>
          <w:lang w:val="sr-Latn-RS"/>
        </w:rPr>
        <w:t>Prisustvo metastaza je proc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enjeno nezavisnom centralnom radiološkom proc</w:t>
      </w:r>
      <w:r>
        <w:rPr>
          <w:sz w:val="22"/>
          <w:szCs w:val="22"/>
          <w:lang w:val="sr-Latn-RS"/>
        </w:rPr>
        <w:t>j</w:t>
      </w:r>
      <w:r w:rsidRPr="00EB5D22">
        <w:rPr>
          <w:sz w:val="22"/>
          <w:szCs w:val="22"/>
          <w:lang w:val="sr-Latn-RS"/>
        </w:rPr>
        <w:t>enom. Pacijenti sa zahvaćenim samo regionalnim limfnim čvorovima (M0) isključeni su iz ispitivanja. Randomizacija je stratifikovana prema stadijumu bolesti (samo metastaze u neregionalnim limfnim čvorovima (M1a), metastaze na kostima sa ili bez metastaza u limfnim čvorovima (M1b) ili visceralne metastaze sa ili bez metastaza u limfnim čvorovima ili sa ili bez metastaza na kostima (M1c)) i prema nivou alkalne fosfataze (&lt; ili ≥ ULN) na uključivanju u ispitivanje. Pacijenti sa metastazama na mozgu mogli su da budu uključeni u ispitivanje, ali nije bilo uključenih pacijenata sa metastazama na mozgu.</w:t>
      </w:r>
    </w:p>
    <w:p w14:paraId="1C646E3B" w14:textId="77777777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</w:p>
    <w:p w14:paraId="53E58BB3" w14:textId="36896949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  <w:r w:rsidRPr="00EB5D22">
        <w:rPr>
          <w:sz w:val="22"/>
          <w:szCs w:val="22"/>
          <w:lang w:val="sr-Latn-RS"/>
        </w:rPr>
        <w:t>Sl</w:t>
      </w:r>
      <w:r w:rsidR="00832AD5">
        <w:rPr>
          <w:sz w:val="22"/>
          <w:szCs w:val="22"/>
          <w:lang w:val="sr-Latn-RS"/>
        </w:rPr>
        <w:t>j</w:t>
      </w:r>
      <w:r w:rsidRPr="00EB5D22">
        <w:rPr>
          <w:sz w:val="22"/>
          <w:szCs w:val="22"/>
          <w:lang w:val="sr-Latn-RS"/>
        </w:rPr>
        <w:t>edeće demografske karakteristike pacijenata i karakteristike njihove bolesti bile su ravnom</w:t>
      </w:r>
      <w:r>
        <w:rPr>
          <w:sz w:val="22"/>
          <w:szCs w:val="22"/>
          <w:lang w:val="sr-Latn-RS"/>
        </w:rPr>
        <w:t>j</w:t>
      </w:r>
      <w:r w:rsidRPr="00EB5D22">
        <w:rPr>
          <w:sz w:val="22"/>
          <w:szCs w:val="22"/>
          <w:lang w:val="sr-Latn-RS"/>
        </w:rPr>
        <w:t>erno raspoređene među terapijskim grupama. Medijana starosti bila je 67 godina (raspon 41-89), a 0,5% pacijenata bili su stari 85 ili više godina. Prema rasnoj pripadnosti, distribucija je bila 52% b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ele, 36% azijske, and 4% crne rase. Većina pacijenata imala je u vr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eme dijagnoze Gleaseon skor 8 ili više (78%). Kod 71% pacijenata ECOG PS skor bio je 0, a 29% pacijenata imalo je ECOG PS skor 1. Bilo je 86</w:t>
      </w:r>
      <w:r>
        <w:rPr>
          <w:sz w:val="22"/>
          <w:szCs w:val="22"/>
          <w:lang w:val="sr-Latn-RS"/>
        </w:rPr>
        <w:t>,</w:t>
      </w:r>
      <w:r w:rsidRPr="00EB5D22">
        <w:rPr>
          <w:sz w:val="22"/>
          <w:szCs w:val="22"/>
          <w:lang w:val="sr-Latn-RS"/>
        </w:rPr>
        <w:t xml:space="preserve">1% pacijenata sa </w:t>
      </w:r>
      <w:r w:rsidRPr="00EB5D22">
        <w:rPr>
          <w:i/>
          <w:iCs/>
          <w:sz w:val="22"/>
          <w:szCs w:val="22"/>
          <w:lang w:val="sr-Latn-RS"/>
        </w:rPr>
        <w:t>de novo</w:t>
      </w:r>
      <w:r w:rsidRPr="00EB5D22">
        <w:rPr>
          <w:sz w:val="22"/>
          <w:szCs w:val="22"/>
          <w:lang w:val="sr-Latn-RS"/>
        </w:rPr>
        <w:t xml:space="preserve"> bolešću i 12</w:t>
      </w:r>
      <w:r>
        <w:rPr>
          <w:sz w:val="22"/>
          <w:szCs w:val="22"/>
          <w:lang w:val="sr-Latn-RS"/>
        </w:rPr>
        <w:t>,</w:t>
      </w:r>
      <w:r w:rsidRPr="00EB5D22">
        <w:rPr>
          <w:sz w:val="22"/>
          <w:szCs w:val="22"/>
          <w:lang w:val="sr-Latn-RS"/>
        </w:rPr>
        <w:t>9% pacijenata sa rekurentnom bolešću. Pri uključivanju u ispitivanje 3% pacijenata imalo je M1a, 79</w:t>
      </w:r>
      <w:r>
        <w:rPr>
          <w:sz w:val="22"/>
          <w:szCs w:val="22"/>
          <w:lang w:val="sr-Latn-RS"/>
        </w:rPr>
        <w:t>,</w:t>
      </w:r>
      <w:r w:rsidRPr="00EB5D22">
        <w:rPr>
          <w:sz w:val="22"/>
          <w:szCs w:val="22"/>
          <w:lang w:val="sr-Latn-RS"/>
        </w:rPr>
        <w:t>5% je imalo M1b i 17</w:t>
      </w:r>
      <w:r>
        <w:rPr>
          <w:sz w:val="22"/>
          <w:szCs w:val="22"/>
          <w:lang w:val="sr-Latn-RS"/>
        </w:rPr>
        <w:t>,</w:t>
      </w:r>
      <w:r w:rsidRPr="00EB5D22">
        <w:rPr>
          <w:sz w:val="22"/>
          <w:szCs w:val="22"/>
          <w:lang w:val="sr-Latn-RS"/>
        </w:rPr>
        <w:t>5% pacijenata je imalo M1c; alkalna fosfataza je bila &lt; ULN kod 44</w:t>
      </w:r>
      <w:r>
        <w:rPr>
          <w:sz w:val="22"/>
          <w:szCs w:val="22"/>
          <w:lang w:val="sr-Latn-RS"/>
        </w:rPr>
        <w:t>,</w:t>
      </w:r>
      <w:r w:rsidRPr="00EB5D22">
        <w:rPr>
          <w:sz w:val="22"/>
          <w:szCs w:val="22"/>
          <w:lang w:val="sr-Latn-RS"/>
        </w:rPr>
        <w:t>5% pacijenata i ≥ ULN kod 55</w:t>
      </w:r>
      <w:r>
        <w:rPr>
          <w:sz w:val="22"/>
          <w:szCs w:val="22"/>
          <w:lang w:val="sr-Latn-RS"/>
        </w:rPr>
        <w:t>,</w:t>
      </w:r>
      <w:r w:rsidRPr="00EB5D22">
        <w:rPr>
          <w:sz w:val="22"/>
          <w:szCs w:val="22"/>
          <w:lang w:val="sr-Latn-RS"/>
        </w:rPr>
        <w:t>5% pacijenata; medijana PSA nivoa na početku bila je 30</w:t>
      </w:r>
      <w:r>
        <w:rPr>
          <w:sz w:val="22"/>
          <w:szCs w:val="22"/>
          <w:lang w:val="sr-Latn-RS"/>
        </w:rPr>
        <w:t>,</w:t>
      </w:r>
      <w:r w:rsidRPr="00EB5D22">
        <w:rPr>
          <w:sz w:val="22"/>
          <w:szCs w:val="22"/>
          <w:lang w:val="sr-Latn-RS"/>
        </w:rPr>
        <w:t>3 µg/</w:t>
      </w:r>
      <w:r w:rsidR="00832AD5">
        <w:rPr>
          <w:sz w:val="22"/>
          <w:szCs w:val="22"/>
          <w:lang w:val="sr-Latn-RS"/>
        </w:rPr>
        <w:t>l</w:t>
      </w:r>
      <w:r w:rsidRPr="00EB5D22">
        <w:rPr>
          <w:sz w:val="22"/>
          <w:szCs w:val="22"/>
          <w:lang w:val="sr-Latn-RS"/>
        </w:rPr>
        <w:t xml:space="preserve"> za darolutamid grupu, odnosno 24</w:t>
      </w:r>
      <w:r w:rsidR="001C639E">
        <w:rPr>
          <w:sz w:val="22"/>
          <w:szCs w:val="22"/>
          <w:lang w:val="sr-Latn-RS"/>
        </w:rPr>
        <w:t>,</w:t>
      </w:r>
      <w:r w:rsidRPr="00EB5D22">
        <w:rPr>
          <w:sz w:val="22"/>
          <w:szCs w:val="22"/>
          <w:lang w:val="sr-Latn-RS"/>
        </w:rPr>
        <w:t>2 µg/</w:t>
      </w:r>
      <w:r w:rsidR="00832AD5">
        <w:rPr>
          <w:sz w:val="22"/>
          <w:szCs w:val="22"/>
          <w:lang w:val="sr-Latn-RS"/>
        </w:rPr>
        <w:t>l</w:t>
      </w:r>
      <w:r w:rsidRPr="00EB5D22">
        <w:rPr>
          <w:sz w:val="22"/>
          <w:szCs w:val="22"/>
          <w:lang w:val="sr-Latn-RS"/>
        </w:rPr>
        <w:t xml:space="preserve"> za placebo grupu. </w:t>
      </w:r>
      <w:r w:rsidRPr="00EB5D22">
        <w:rPr>
          <w:sz w:val="22"/>
          <w:szCs w:val="22"/>
        </w:rPr>
        <w:t>Pacijenti</w:t>
      </w:r>
      <w:r>
        <w:rPr>
          <w:sz w:val="22"/>
          <w:szCs w:val="22"/>
        </w:rPr>
        <w:t>ma</w:t>
      </w:r>
      <w:r w:rsidRPr="00EB5D22">
        <w:rPr>
          <w:sz w:val="22"/>
          <w:szCs w:val="22"/>
        </w:rPr>
        <w:t xml:space="preserve"> koji su u anamnezi </w:t>
      </w:r>
      <w:r w:rsidRPr="00EB5D22">
        <w:rPr>
          <w:sz w:val="22"/>
          <w:szCs w:val="22"/>
        </w:rPr>
        <w:lastRenderedPageBreak/>
        <w:t>imali epileptične napade, bilo je dozvoljeno da učestvuju u ispitivanju i 4 pacijenta (0,6%) bilo je uključeno u grupu koja je primala darolutamid u kombinaciji sa docetakselom.</w:t>
      </w:r>
    </w:p>
    <w:p w14:paraId="282D29B2" w14:textId="77777777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</w:p>
    <w:p w14:paraId="67A55912" w14:textId="49ACA12E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  <w:r w:rsidRPr="00EB5D22">
        <w:rPr>
          <w:sz w:val="22"/>
          <w:szCs w:val="22"/>
          <w:lang w:val="sr-Latn-RS"/>
        </w:rPr>
        <w:t>77</w:t>
      </w:r>
      <w:r w:rsidR="001C639E">
        <w:rPr>
          <w:sz w:val="22"/>
          <w:szCs w:val="22"/>
          <w:lang w:val="sr-Latn-RS"/>
        </w:rPr>
        <w:t>,</w:t>
      </w:r>
      <w:r w:rsidRPr="00EB5D22">
        <w:rPr>
          <w:sz w:val="22"/>
          <w:szCs w:val="22"/>
          <w:lang w:val="sr-Latn-RS"/>
        </w:rPr>
        <w:t>0% pacijenata je imalo bolest velikog volumena, a 23</w:t>
      </w:r>
      <w:r>
        <w:rPr>
          <w:sz w:val="22"/>
          <w:szCs w:val="22"/>
          <w:lang w:val="sr-Latn-RS"/>
        </w:rPr>
        <w:t>,</w:t>
      </w:r>
      <w:r w:rsidRPr="00EB5D22">
        <w:rPr>
          <w:sz w:val="22"/>
          <w:szCs w:val="22"/>
          <w:lang w:val="sr-Latn-RS"/>
        </w:rPr>
        <w:t>0% je imalo bolest malog volumena. Bolest velikog volumena definisana je kao prisustvo visceralnih metastaza ili 4 ili više lezija na kostima, sa bar jednom metastazom izvan kičmenog stuba i karličnih kostiju. Oko 25% pacijenata primalo je istovremenu terapiju bisfosfonatima ili denosumabom.</w:t>
      </w:r>
    </w:p>
    <w:p w14:paraId="4D56E559" w14:textId="77777777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</w:p>
    <w:p w14:paraId="19A9710F" w14:textId="6805AED2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  <w:r w:rsidRPr="00EB5D22">
        <w:rPr>
          <w:sz w:val="22"/>
          <w:szCs w:val="22"/>
          <w:lang w:val="sr-Latn-RS"/>
        </w:rPr>
        <w:t>Primarni ishod za proc</w:t>
      </w:r>
      <w:r>
        <w:rPr>
          <w:sz w:val="22"/>
          <w:szCs w:val="22"/>
          <w:lang w:val="sr-Latn-RS"/>
        </w:rPr>
        <w:t>j</w:t>
      </w:r>
      <w:r w:rsidRPr="00EB5D22">
        <w:rPr>
          <w:sz w:val="22"/>
          <w:szCs w:val="22"/>
          <w:lang w:val="sr-Latn-RS"/>
        </w:rPr>
        <w:t xml:space="preserve">enu efikasnosti bilo je ukupno preživljavanje (eng. </w:t>
      </w:r>
      <w:r w:rsidRPr="00EB5D22">
        <w:rPr>
          <w:i/>
          <w:iCs/>
          <w:sz w:val="22"/>
          <w:szCs w:val="22"/>
          <w:lang w:val="sr-Latn-RS"/>
        </w:rPr>
        <w:t>overall survival, OS</w:t>
      </w:r>
      <w:r w:rsidRPr="00EB5D22">
        <w:rPr>
          <w:sz w:val="22"/>
          <w:szCs w:val="22"/>
          <w:lang w:val="sr-Latn-RS"/>
        </w:rPr>
        <w:t>). Sekundarni ishodi bili su vr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eme do pojave karcinoma prostate rezistentnog na kastraciju, vr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 xml:space="preserve">eme do progresije bola, preživljavanje bez simptomatskih događaja na kostima (eng. </w:t>
      </w:r>
      <w:r w:rsidRPr="00EB5D22">
        <w:rPr>
          <w:i/>
          <w:iCs/>
          <w:sz w:val="22"/>
          <w:szCs w:val="22"/>
          <w:lang w:val="sr-Latn-RS"/>
        </w:rPr>
        <w:t>symptomatic skeletal event free survival - SSE FS</w:t>
      </w:r>
      <w:r w:rsidRPr="00EB5D22">
        <w:rPr>
          <w:sz w:val="22"/>
          <w:szCs w:val="22"/>
          <w:lang w:val="sr-Latn-RS"/>
        </w:rPr>
        <w:t>), vr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 xml:space="preserve">eme do prvih simptomatskih događaja na kostima (eng. </w:t>
      </w:r>
      <w:r w:rsidRPr="00EB5D22">
        <w:rPr>
          <w:i/>
          <w:iCs/>
          <w:sz w:val="22"/>
          <w:szCs w:val="22"/>
          <w:lang w:val="sr-Latn-RS"/>
        </w:rPr>
        <w:t>time to first symptomatic skeletal event - SSE</w:t>
      </w:r>
      <w:r w:rsidRPr="00EB5D22">
        <w:rPr>
          <w:sz w:val="22"/>
          <w:szCs w:val="22"/>
          <w:lang w:val="sr-Latn-RS"/>
        </w:rPr>
        <w:t>), vr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eme do uvođenja naknadne citotoksične hemioterapije, vr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eme do pogoršanja fizičkog stanja povezanog sa bolešću i vr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eme do početka upotrebe opioida tokom ≥ 7 uzastopnih dana. Progresija bola je proc</w:t>
      </w:r>
      <w:r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 xml:space="preserve">enjena korišćenjem ishoda koji je prijavio pacijent (eng. </w:t>
      </w:r>
      <w:r w:rsidRPr="00EB5D22">
        <w:rPr>
          <w:i/>
          <w:iCs/>
          <w:sz w:val="22"/>
          <w:szCs w:val="22"/>
          <w:lang w:val="sr-Latn-RS"/>
        </w:rPr>
        <w:t>patient reported outcome - PROs</w:t>
      </w:r>
      <w:r w:rsidRPr="00EB5D22">
        <w:rPr>
          <w:sz w:val="22"/>
          <w:szCs w:val="22"/>
          <w:lang w:val="sr-Latn-RS"/>
        </w:rPr>
        <w:t xml:space="preserve">) </w:t>
      </w:r>
      <w:r w:rsidRPr="00EB5D22">
        <w:rPr>
          <w:i/>
          <w:iCs/>
          <w:sz w:val="22"/>
          <w:szCs w:val="22"/>
          <w:lang w:val="sr-Latn-RS"/>
        </w:rPr>
        <w:t>Brief Pain Inventory Short Form</w:t>
      </w:r>
      <w:r w:rsidRPr="00EB5D22">
        <w:rPr>
          <w:sz w:val="22"/>
          <w:szCs w:val="22"/>
          <w:lang w:val="sr-Latn-RS"/>
        </w:rPr>
        <w:t xml:space="preserve"> (BPI-SF), definisano kao pogoršanje od najmanje 2 tačke od najnižeg nivoa, i početak upotrebe opioida kratkog ili dugotrajnog dejstva tokom ≥7 uzastopnih dana.</w:t>
      </w:r>
    </w:p>
    <w:p w14:paraId="14630B3E" w14:textId="77777777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</w:p>
    <w:p w14:paraId="36B3053E" w14:textId="0C8005AA" w:rsidR="00EB5D22" w:rsidRPr="00EB5D22" w:rsidRDefault="00EB5D22" w:rsidP="00EB5D22">
      <w:pPr>
        <w:jc w:val="both"/>
        <w:rPr>
          <w:sz w:val="22"/>
          <w:szCs w:val="22"/>
          <w:lang w:val="sr-Latn-RS"/>
        </w:rPr>
      </w:pPr>
      <w:r w:rsidRPr="00EB5D22">
        <w:rPr>
          <w:sz w:val="22"/>
          <w:szCs w:val="22"/>
          <w:lang w:val="sr-Latn-RS"/>
        </w:rPr>
        <w:t>Medijana dužine trajanja terapije kod pacijenata l</w:t>
      </w:r>
      <w:r w:rsidR="00832AD5"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ečenih darolutamidom u kombinaciji sa docetakselom bila je 41,0 m</w:t>
      </w:r>
      <w:r>
        <w:rPr>
          <w:sz w:val="22"/>
          <w:szCs w:val="22"/>
          <w:lang w:val="sr-Latn-RS"/>
        </w:rPr>
        <w:t>j</w:t>
      </w:r>
      <w:r w:rsidRPr="00EB5D22">
        <w:rPr>
          <w:sz w:val="22"/>
          <w:szCs w:val="22"/>
          <w:lang w:val="sr-Latn-RS"/>
        </w:rPr>
        <w:t>esec (raspon: 0,1 do 56,5 m</w:t>
      </w:r>
      <w:r>
        <w:rPr>
          <w:sz w:val="22"/>
          <w:szCs w:val="22"/>
          <w:lang w:val="sr-Latn-RS"/>
        </w:rPr>
        <w:t>j</w:t>
      </w:r>
      <w:r w:rsidRPr="00EB5D22">
        <w:rPr>
          <w:sz w:val="22"/>
          <w:szCs w:val="22"/>
          <w:lang w:val="sr-Latn-RS"/>
        </w:rPr>
        <w:t>eseci), odnosno 16,7 m</w:t>
      </w:r>
      <w:r>
        <w:rPr>
          <w:sz w:val="22"/>
          <w:szCs w:val="22"/>
          <w:lang w:val="sr-Latn-RS"/>
        </w:rPr>
        <w:t>j</w:t>
      </w:r>
      <w:r w:rsidRPr="00EB5D22">
        <w:rPr>
          <w:sz w:val="22"/>
          <w:szCs w:val="22"/>
          <w:lang w:val="sr-Latn-RS"/>
        </w:rPr>
        <w:t>eseci (raspon 0,3 do 55,8 m</w:t>
      </w:r>
      <w:r>
        <w:rPr>
          <w:sz w:val="22"/>
          <w:szCs w:val="22"/>
          <w:lang w:val="sr-Latn-RS"/>
        </w:rPr>
        <w:t>j</w:t>
      </w:r>
      <w:r w:rsidRPr="00EB5D22">
        <w:rPr>
          <w:sz w:val="22"/>
          <w:szCs w:val="22"/>
          <w:lang w:val="sr-Latn-RS"/>
        </w:rPr>
        <w:t>eseci) kod pacijenata koji su primali placebo u kombinaciji sa docetakselom. Punih 6 ciklusa terapije docetakselom primilo je 87,6% odnosno 85,5% pacijenata</w:t>
      </w:r>
      <w:r>
        <w:rPr>
          <w:sz w:val="22"/>
          <w:szCs w:val="22"/>
          <w:lang w:val="sr-Latn-RS"/>
        </w:rPr>
        <w:t xml:space="preserve"> </w:t>
      </w:r>
      <w:r w:rsidRPr="00EB5D22">
        <w:rPr>
          <w:sz w:val="22"/>
          <w:szCs w:val="22"/>
          <w:lang w:val="sr-Latn-RS"/>
        </w:rPr>
        <w:t>u grupama koje su primale darolutamid u kombinaciji sa docetakselom odosno placebo sa docetakselom, dok 1,5% odnosno 2,0% pacijenata nije primalo docetaksel u ove dv</w:t>
      </w:r>
      <w:r w:rsidR="001C639E">
        <w:rPr>
          <w:sz w:val="22"/>
          <w:szCs w:val="22"/>
          <w:lang w:val="sr-Latn-RS"/>
        </w:rPr>
        <w:t>ij</w:t>
      </w:r>
      <w:r w:rsidRPr="00EB5D22">
        <w:rPr>
          <w:sz w:val="22"/>
          <w:szCs w:val="22"/>
          <w:lang w:val="sr-Latn-RS"/>
        </w:rPr>
        <w:t>e grupe.</w:t>
      </w:r>
    </w:p>
    <w:p w14:paraId="0CDCEC73" w14:textId="77777777" w:rsidR="00EB5D22" w:rsidRPr="00EB5D22" w:rsidRDefault="00EB5D22" w:rsidP="00EB5D22">
      <w:pPr>
        <w:rPr>
          <w:sz w:val="22"/>
          <w:szCs w:val="22"/>
          <w:lang w:val="sr-Latn-RS"/>
        </w:rPr>
      </w:pPr>
    </w:p>
    <w:p w14:paraId="1267B1DA" w14:textId="77777777" w:rsidR="00EB5D22" w:rsidRPr="00EB5D22" w:rsidRDefault="00EB5D22" w:rsidP="00EB5D22">
      <w:pPr>
        <w:keepNext/>
        <w:keepLines/>
        <w:rPr>
          <w:bCs/>
          <w:iCs/>
          <w:noProof/>
          <w:sz w:val="22"/>
          <w:szCs w:val="22"/>
        </w:rPr>
      </w:pPr>
      <w:r w:rsidRPr="00EB5D22">
        <w:rPr>
          <w:b/>
          <w:iCs/>
          <w:noProof/>
          <w:sz w:val="22"/>
          <w:szCs w:val="22"/>
        </w:rPr>
        <w:t>Tabela 4: Rezultati efikasnosti iz ARASENS ispitivanja</w:t>
      </w:r>
    </w:p>
    <w:tbl>
      <w:tblPr>
        <w:tblW w:w="8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7"/>
        <w:gridCol w:w="1492"/>
        <w:gridCol w:w="1271"/>
        <w:gridCol w:w="1422"/>
        <w:gridCol w:w="1202"/>
        <w:gridCol w:w="1794"/>
      </w:tblGrid>
      <w:tr w:rsidR="00EB5D22" w:rsidRPr="00EB5D22" w14:paraId="42444E83" w14:textId="77777777" w:rsidTr="000632D6">
        <w:trPr>
          <w:trHeight w:val="397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EA2E8" w14:textId="77777777" w:rsidR="00EB5D22" w:rsidRPr="00EB5D22" w:rsidRDefault="00EB5D22" w:rsidP="000632D6">
            <w:pPr>
              <w:keepNext/>
              <w:keepLines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Parametar efikasnosti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64A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Broj (%) pacijenata sa događajima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EDB8" w14:textId="2B16FDC4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Medijana (m</w:t>
            </w:r>
            <w:r w:rsidR="001C639E">
              <w:rPr>
                <w:rFonts w:eastAsia="MS Mincho"/>
                <w:b/>
                <w:noProof/>
                <w:sz w:val="22"/>
                <w:szCs w:val="22"/>
              </w:rPr>
              <w:t>j</w:t>
            </w: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eseci) (95% CI)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4E3C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  <w:vertAlign w:val="superscript"/>
              </w:rPr>
            </w:pPr>
            <w:r w:rsidRPr="00EB5D22">
              <w:rPr>
                <w:rFonts w:eastAsia="MS Mincho"/>
                <w:b/>
                <w:i/>
                <w:iCs/>
                <w:noProof/>
                <w:sz w:val="22"/>
                <w:szCs w:val="22"/>
              </w:rPr>
              <w:t>Hazard Ratio</w:t>
            </w:r>
            <w:r w:rsidRPr="00EB5D22">
              <w:rPr>
                <w:rFonts w:eastAsia="MS Mincho"/>
                <w:noProof/>
                <w:sz w:val="22"/>
                <w:szCs w:val="22"/>
                <w:vertAlign w:val="superscript"/>
              </w:rPr>
              <w:t>b</w:t>
            </w:r>
          </w:p>
          <w:p w14:paraId="536E3BF2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b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(95% interval pouzdanosti [CI])</w:t>
            </w:r>
          </w:p>
          <w:p w14:paraId="46FE9F2F" w14:textId="3A5722A4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b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p</w:t>
            </w:r>
            <w:r w:rsidRPr="00EB5D22">
              <w:rPr>
                <w:rFonts w:eastAsia="MS Mincho"/>
                <w:b/>
                <w:noProof/>
                <w:sz w:val="22"/>
                <w:szCs w:val="22"/>
              </w:rPr>
              <w:noBreakHyphen/>
              <w:t>vr</w:t>
            </w:r>
            <w:r>
              <w:rPr>
                <w:rFonts w:eastAsia="MS Mincho"/>
                <w:b/>
                <w:noProof/>
                <w:sz w:val="22"/>
                <w:szCs w:val="22"/>
              </w:rPr>
              <w:t>ij</w:t>
            </w: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ednost</w:t>
            </w:r>
          </w:p>
          <w:p w14:paraId="312DB9F9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(jednostrana)</w:t>
            </w:r>
            <w:r w:rsidRPr="00EB5D22">
              <w:rPr>
                <w:rFonts w:eastAsia="MS Mincho"/>
                <w:bCs/>
                <w:noProof/>
                <w:sz w:val="22"/>
                <w:szCs w:val="22"/>
                <w:vertAlign w:val="superscript"/>
              </w:rPr>
              <w:t>c</w:t>
            </w:r>
          </w:p>
        </w:tc>
      </w:tr>
      <w:tr w:rsidR="00EB5D22" w:rsidRPr="00EB5D22" w14:paraId="16294635" w14:textId="77777777" w:rsidTr="000632D6"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540" w14:textId="77777777" w:rsidR="00EB5D22" w:rsidRPr="00EB5D22" w:rsidRDefault="00EB5D22" w:rsidP="000632D6">
            <w:pPr>
              <w:keepNext/>
              <w:keepLines/>
              <w:rPr>
                <w:rFonts w:eastAsia="MS Mincho"/>
                <w:noProof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409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b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Darolutamid + docetaksel</w:t>
            </w:r>
          </w:p>
          <w:p w14:paraId="44D44AAA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(N=651)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3D18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b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Placebo</w:t>
            </w:r>
          </w:p>
          <w:p w14:paraId="24D17353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b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+ docetaksel</w:t>
            </w:r>
          </w:p>
          <w:p w14:paraId="1241F412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(N=654)</w:t>
            </w:r>
            <w:r w:rsidRPr="00EB5D22">
              <w:rPr>
                <w:rFonts w:eastAsia="MS Mincho"/>
                <w:bCs/>
                <w:noProof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3DE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b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Darolutamid</w:t>
            </w:r>
          </w:p>
          <w:p w14:paraId="4F95C082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b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+ docetaksel</w:t>
            </w:r>
          </w:p>
          <w:p w14:paraId="3F07124B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(N=651)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3A3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b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Placebo</w:t>
            </w:r>
          </w:p>
          <w:p w14:paraId="29735645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b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+ docetaksel</w:t>
            </w:r>
          </w:p>
          <w:p w14:paraId="48C1556E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b/>
                <w:noProof/>
                <w:sz w:val="22"/>
                <w:szCs w:val="22"/>
              </w:rPr>
              <w:t>(N=654)</w:t>
            </w:r>
            <w:r w:rsidRPr="00EB5D22">
              <w:rPr>
                <w:rFonts w:eastAsia="MS Mincho"/>
                <w:bCs/>
                <w:noProof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37ED" w14:textId="77777777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</w:p>
        </w:tc>
      </w:tr>
      <w:tr w:rsidR="00EB5D22" w:rsidRPr="00EB5D22" w14:paraId="7CA34C08" w14:textId="77777777" w:rsidTr="000632D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2131" w14:textId="77777777" w:rsidR="00EB5D22" w:rsidRPr="00EB5D22" w:rsidRDefault="00EB5D22" w:rsidP="000632D6">
            <w:pPr>
              <w:keepNext/>
              <w:keepLines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noProof/>
                <w:sz w:val="22"/>
                <w:szCs w:val="22"/>
              </w:rPr>
              <w:t>Ukupno preživljavanje</w:t>
            </w:r>
            <w:r w:rsidRPr="00EB5D22">
              <w:rPr>
                <w:rFonts w:eastAsia="MS Mincho"/>
                <w:noProof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8A6" w14:textId="1338803C" w:rsidR="00EB5D22" w:rsidRPr="00EB5D22" w:rsidRDefault="00EB5D22" w:rsidP="000632D6">
            <w:pPr>
              <w:keepNext/>
              <w:keepLines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noProof/>
                <w:sz w:val="22"/>
                <w:szCs w:val="22"/>
              </w:rPr>
              <w:t>229 (35</w:t>
            </w:r>
            <w:r w:rsidR="001C639E">
              <w:rPr>
                <w:rFonts w:eastAsia="MS Mincho"/>
                <w:noProof/>
                <w:sz w:val="22"/>
                <w:szCs w:val="22"/>
              </w:rPr>
              <w:t>,</w:t>
            </w:r>
            <w:r w:rsidRPr="00EB5D22">
              <w:rPr>
                <w:rFonts w:eastAsia="MS Mincho"/>
                <w:noProof/>
                <w:sz w:val="22"/>
                <w:szCs w:val="22"/>
              </w:rPr>
              <w:t>2%)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2598" w14:textId="76DC0A74" w:rsidR="00EB5D22" w:rsidRPr="00EB5D22" w:rsidRDefault="00EB5D22" w:rsidP="000632D6">
            <w:pPr>
              <w:keepNext/>
              <w:keepLines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noProof/>
                <w:sz w:val="22"/>
                <w:szCs w:val="22"/>
              </w:rPr>
              <w:t>304 (46</w:t>
            </w:r>
            <w:r w:rsidR="001C639E">
              <w:rPr>
                <w:rFonts w:eastAsia="MS Mincho"/>
                <w:noProof/>
                <w:sz w:val="22"/>
                <w:szCs w:val="22"/>
              </w:rPr>
              <w:t>,</w:t>
            </w:r>
            <w:r w:rsidRPr="00EB5D22">
              <w:rPr>
                <w:rFonts w:eastAsia="MS Mincho"/>
                <w:noProof/>
                <w:sz w:val="22"/>
                <w:szCs w:val="22"/>
              </w:rPr>
              <w:t>5%)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862" w14:textId="77777777" w:rsidR="00EB5D22" w:rsidRPr="00EB5D22" w:rsidRDefault="00EB5D22" w:rsidP="000632D6">
            <w:pPr>
              <w:keepNext/>
              <w:keepLines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noProof/>
                <w:sz w:val="22"/>
                <w:szCs w:val="22"/>
              </w:rPr>
              <w:t>ND</w:t>
            </w:r>
          </w:p>
          <w:p w14:paraId="6E363494" w14:textId="77777777" w:rsidR="00EB5D22" w:rsidRPr="00EB5D22" w:rsidRDefault="00EB5D22" w:rsidP="000632D6">
            <w:pPr>
              <w:keepNext/>
              <w:keepLines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noProof/>
                <w:sz w:val="22"/>
                <w:szCs w:val="22"/>
              </w:rPr>
              <w:t>(ND, ND)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112" w14:textId="3356FB68" w:rsidR="00EB5D22" w:rsidRPr="00EB5D22" w:rsidRDefault="00EB5D22" w:rsidP="000632D6">
            <w:pPr>
              <w:keepNext/>
              <w:keepLines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noProof/>
                <w:sz w:val="22"/>
                <w:szCs w:val="22"/>
              </w:rPr>
              <w:t>48</w:t>
            </w:r>
            <w:r w:rsidR="001C639E">
              <w:rPr>
                <w:rFonts w:eastAsia="MS Mincho"/>
                <w:noProof/>
                <w:sz w:val="22"/>
                <w:szCs w:val="22"/>
              </w:rPr>
              <w:t>,</w:t>
            </w:r>
            <w:r w:rsidRPr="00EB5D22">
              <w:rPr>
                <w:rFonts w:eastAsia="MS Mincho"/>
                <w:noProof/>
                <w:sz w:val="22"/>
                <w:szCs w:val="22"/>
              </w:rPr>
              <w:t xml:space="preserve">9 </w:t>
            </w:r>
          </w:p>
          <w:p w14:paraId="0877AA65" w14:textId="4DF03A55" w:rsidR="00EB5D22" w:rsidRPr="00EB5D22" w:rsidRDefault="00EB5D22" w:rsidP="000632D6">
            <w:pPr>
              <w:keepNext/>
              <w:keepLines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noProof/>
                <w:sz w:val="22"/>
                <w:szCs w:val="22"/>
              </w:rPr>
              <w:t>(44</w:t>
            </w:r>
            <w:r w:rsidR="001C639E">
              <w:rPr>
                <w:rFonts w:eastAsia="MS Mincho"/>
                <w:noProof/>
                <w:sz w:val="22"/>
                <w:szCs w:val="22"/>
              </w:rPr>
              <w:t>,</w:t>
            </w:r>
            <w:r w:rsidRPr="00EB5D22">
              <w:rPr>
                <w:rFonts w:eastAsia="MS Mincho"/>
                <w:noProof/>
                <w:sz w:val="22"/>
                <w:szCs w:val="22"/>
              </w:rPr>
              <w:t>4, ND)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A9C6" w14:textId="77F79228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noProof/>
                <w:sz w:val="22"/>
                <w:szCs w:val="22"/>
              </w:rPr>
              <w:t>0</w:t>
            </w:r>
            <w:r w:rsidR="001C639E">
              <w:rPr>
                <w:rFonts w:eastAsia="MS Mincho"/>
                <w:noProof/>
                <w:sz w:val="22"/>
                <w:szCs w:val="22"/>
              </w:rPr>
              <w:t>,</w:t>
            </w:r>
            <w:r w:rsidRPr="00EB5D22">
              <w:rPr>
                <w:rFonts w:eastAsia="MS Mincho"/>
                <w:noProof/>
                <w:sz w:val="22"/>
                <w:szCs w:val="22"/>
              </w:rPr>
              <w:t>675</w:t>
            </w:r>
          </w:p>
          <w:p w14:paraId="6D0DFCE6" w14:textId="65AC44D4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rFonts w:eastAsia="MS Mincho"/>
                <w:noProof/>
                <w:sz w:val="22"/>
                <w:szCs w:val="22"/>
              </w:rPr>
              <w:t>(0</w:t>
            </w:r>
            <w:r w:rsidR="001C639E">
              <w:rPr>
                <w:rFonts w:eastAsia="MS Mincho"/>
                <w:noProof/>
                <w:sz w:val="22"/>
                <w:szCs w:val="22"/>
              </w:rPr>
              <w:t>,</w:t>
            </w:r>
            <w:r w:rsidRPr="00EB5D22">
              <w:rPr>
                <w:rFonts w:eastAsia="MS Mincho"/>
                <w:noProof/>
                <w:sz w:val="22"/>
                <w:szCs w:val="22"/>
              </w:rPr>
              <w:t>568, 0</w:t>
            </w:r>
            <w:r w:rsidR="001C639E">
              <w:rPr>
                <w:rFonts w:eastAsia="MS Mincho"/>
                <w:noProof/>
                <w:sz w:val="22"/>
                <w:szCs w:val="22"/>
              </w:rPr>
              <w:t>,</w:t>
            </w:r>
            <w:r w:rsidRPr="00EB5D22">
              <w:rPr>
                <w:rFonts w:eastAsia="MS Mincho"/>
                <w:noProof/>
                <w:sz w:val="22"/>
                <w:szCs w:val="22"/>
              </w:rPr>
              <w:t>801)</w:t>
            </w:r>
          </w:p>
          <w:p w14:paraId="4CABFA04" w14:textId="5B714905" w:rsidR="00EB5D22" w:rsidRPr="00EB5D22" w:rsidRDefault="00EB5D22" w:rsidP="000632D6">
            <w:pPr>
              <w:keepNext/>
              <w:keepLines/>
              <w:jc w:val="center"/>
              <w:rPr>
                <w:rFonts w:eastAsia="MS Mincho"/>
                <w:noProof/>
                <w:sz w:val="22"/>
                <w:szCs w:val="22"/>
              </w:rPr>
            </w:pPr>
            <w:r w:rsidRPr="00EB5D22">
              <w:rPr>
                <w:bCs/>
                <w:iCs/>
                <w:noProof/>
                <w:sz w:val="22"/>
                <w:szCs w:val="22"/>
              </w:rPr>
              <w:t>&lt;0</w:t>
            </w:r>
            <w:r w:rsidR="001C639E">
              <w:rPr>
                <w:bCs/>
                <w:iCs/>
                <w:noProof/>
                <w:sz w:val="22"/>
                <w:szCs w:val="22"/>
              </w:rPr>
              <w:t>,</w:t>
            </w:r>
            <w:r w:rsidRPr="00EB5D22">
              <w:rPr>
                <w:bCs/>
                <w:iCs/>
                <w:noProof/>
                <w:sz w:val="22"/>
                <w:szCs w:val="22"/>
              </w:rPr>
              <w:t>0001</w:t>
            </w:r>
          </w:p>
        </w:tc>
      </w:tr>
    </w:tbl>
    <w:p w14:paraId="1FA8D448" w14:textId="77777777" w:rsidR="00EB5D22" w:rsidRPr="00554A34" w:rsidRDefault="00EB5D22" w:rsidP="00CA109F">
      <w:pPr>
        <w:keepNext/>
        <w:keepLines/>
        <w:ind w:left="567" w:hanging="425"/>
        <w:jc w:val="both"/>
        <w:rPr>
          <w:bCs/>
          <w:iCs/>
          <w:noProof/>
          <w:sz w:val="20"/>
          <w:vertAlign w:val="superscript"/>
        </w:rPr>
      </w:pPr>
      <w:r w:rsidRPr="00C9789C">
        <w:rPr>
          <w:bCs/>
          <w:iCs/>
          <w:noProof/>
          <w:sz w:val="20"/>
          <w:vertAlign w:val="superscript"/>
        </w:rPr>
        <w:t>a</w:t>
      </w:r>
      <w:r w:rsidRPr="00C9789C">
        <w:rPr>
          <w:bCs/>
          <w:iCs/>
          <w:noProof/>
          <w:sz w:val="20"/>
          <w:vertAlign w:val="superscript"/>
        </w:rPr>
        <w:tab/>
      </w:r>
      <w:r>
        <w:rPr>
          <w:bCs/>
          <w:iCs/>
          <w:noProof/>
          <w:sz w:val="20"/>
        </w:rPr>
        <w:t>jedan pacijent iz grupe koja je primala placebo je isključen iz svih analiza</w:t>
      </w:r>
    </w:p>
    <w:p w14:paraId="2AE48DEC" w14:textId="77777777" w:rsidR="00EB5D22" w:rsidRPr="00554A34" w:rsidRDefault="00EB5D22" w:rsidP="00CA109F">
      <w:pPr>
        <w:keepNext/>
        <w:keepLines/>
        <w:ind w:left="567" w:hanging="425"/>
        <w:jc w:val="both"/>
        <w:rPr>
          <w:bCs/>
          <w:iCs/>
          <w:noProof/>
          <w:sz w:val="20"/>
        </w:rPr>
      </w:pPr>
      <w:r w:rsidRPr="00554A34">
        <w:rPr>
          <w:bCs/>
          <w:iCs/>
          <w:noProof/>
          <w:sz w:val="20"/>
          <w:vertAlign w:val="superscript"/>
        </w:rPr>
        <w:t>b</w:t>
      </w:r>
      <w:r w:rsidRPr="00554A34">
        <w:rPr>
          <w:bCs/>
          <w:iCs/>
          <w:noProof/>
          <w:sz w:val="20"/>
          <w:vertAlign w:val="superscript"/>
        </w:rPr>
        <w:tab/>
      </w:r>
      <w:r w:rsidRPr="00554A34">
        <w:rPr>
          <w:bCs/>
          <w:iCs/>
          <w:noProof/>
          <w:sz w:val="20"/>
        </w:rPr>
        <w:t>Hazard ratio &lt;</w:t>
      </w:r>
      <w:r>
        <w:rPr>
          <w:bCs/>
          <w:iCs/>
          <w:noProof/>
          <w:sz w:val="20"/>
        </w:rPr>
        <w:t xml:space="preserve"> </w:t>
      </w:r>
      <w:r w:rsidRPr="00554A34">
        <w:rPr>
          <w:bCs/>
          <w:iCs/>
          <w:noProof/>
          <w:sz w:val="20"/>
        </w:rPr>
        <w:t xml:space="preserve">1 </w:t>
      </w:r>
      <w:r>
        <w:rPr>
          <w:bCs/>
          <w:iCs/>
          <w:noProof/>
          <w:sz w:val="20"/>
        </w:rPr>
        <w:t>govori u prilog darolutamidu</w:t>
      </w:r>
    </w:p>
    <w:p w14:paraId="1D256051" w14:textId="77777777" w:rsidR="00EB5D22" w:rsidRPr="00554A34" w:rsidRDefault="00EB5D22" w:rsidP="00CA109F">
      <w:pPr>
        <w:keepNext/>
        <w:keepLines/>
        <w:ind w:left="567" w:hanging="425"/>
        <w:jc w:val="both"/>
        <w:rPr>
          <w:bCs/>
          <w:iCs/>
          <w:noProof/>
          <w:sz w:val="20"/>
        </w:rPr>
      </w:pPr>
      <w:r w:rsidRPr="00554A34">
        <w:rPr>
          <w:bCs/>
          <w:iCs/>
          <w:noProof/>
          <w:sz w:val="20"/>
          <w:vertAlign w:val="superscript"/>
        </w:rPr>
        <w:t>c</w:t>
      </w:r>
      <w:r w:rsidRPr="00554A34">
        <w:rPr>
          <w:bCs/>
          <w:iCs/>
          <w:noProof/>
          <w:sz w:val="20"/>
          <w:vertAlign w:val="superscript"/>
        </w:rPr>
        <w:tab/>
      </w:r>
      <w:r>
        <w:rPr>
          <w:bCs/>
          <w:iCs/>
          <w:noProof/>
          <w:sz w:val="20"/>
        </w:rPr>
        <w:t>na osnovu stratifikovanog</w:t>
      </w:r>
      <w:r w:rsidRPr="00554A34">
        <w:rPr>
          <w:bCs/>
          <w:iCs/>
          <w:noProof/>
          <w:sz w:val="20"/>
        </w:rPr>
        <w:t xml:space="preserve"> log</w:t>
      </w:r>
      <w:r w:rsidRPr="00554A34">
        <w:rPr>
          <w:bCs/>
          <w:iCs/>
          <w:noProof/>
          <w:sz w:val="20"/>
        </w:rPr>
        <w:noBreakHyphen/>
        <w:t>rank test</w:t>
      </w:r>
      <w:r>
        <w:rPr>
          <w:bCs/>
          <w:iCs/>
          <w:noProof/>
          <w:sz w:val="20"/>
        </w:rPr>
        <w:t>a</w:t>
      </w:r>
    </w:p>
    <w:p w14:paraId="3DECC523" w14:textId="77777777" w:rsidR="00EB5D22" w:rsidRPr="00554A34" w:rsidRDefault="00EB5D22" w:rsidP="00CA109F">
      <w:pPr>
        <w:keepNext/>
        <w:keepLines/>
        <w:ind w:left="567" w:hanging="425"/>
        <w:jc w:val="both"/>
        <w:rPr>
          <w:bCs/>
          <w:iCs/>
          <w:noProof/>
          <w:sz w:val="20"/>
        </w:rPr>
      </w:pPr>
      <w:r w:rsidRPr="00554A34">
        <w:rPr>
          <w:bCs/>
          <w:iCs/>
          <w:noProof/>
          <w:sz w:val="20"/>
          <w:vertAlign w:val="superscript"/>
        </w:rPr>
        <w:t>d</w:t>
      </w:r>
      <w:r w:rsidRPr="00554A34">
        <w:rPr>
          <w:bCs/>
          <w:iCs/>
          <w:noProof/>
          <w:sz w:val="20"/>
          <w:vertAlign w:val="superscript"/>
        </w:rPr>
        <w:tab/>
      </w:r>
      <w:r>
        <w:rPr>
          <w:bCs/>
          <w:iCs/>
          <w:noProof/>
          <w:sz w:val="20"/>
        </w:rPr>
        <w:t>Rezultati za ukupno preživljavanje bili su konzistentni u svim podgrupama pacijenata, uključujući stadijum bolesti i nivo alkalne fosfataze</w:t>
      </w:r>
    </w:p>
    <w:p w14:paraId="3F53B505" w14:textId="021BAF7F" w:rsidR="00EB5D22" w:rsidRPr="00554A34" w:rsidRDefault="00EB5D22" w:rsidP="00CA109F">
      <w:pPr>
        <w:keepNext/>
        <w:keepLines/>
        <w:ind w:left="567" w:hanging="425"/>
        <w:jc w:val="both"/>
        <w:rPr>
          <w:bCs/>
          <w:iCs/>
          <w:noProof/>
          <w:sz w:val="20"/>
        </w:rPr>
      </w:pPr>
      <w:r w:rsidRPr="00554A34">
        <w:rPr>
          <w:bCs/>
          <w:iCs/>
          <w:noProof/>
          <w:sz w:val="20"/>
        </w:rPr>
        <w:t>N</w:t>
      </w:r>
      <w:r>
        <w:rPr>
          <w:bCs/>
          <w:iCs/>
          <w:noProof/>
          <w:sz w:val="20"/>
        </w:rPr>
        <w:t>D</w:t>
      </w:r>
      <w:r w:rsidRPr="00554A34">
        <w:rPr>
          <w:bCs/>
          <w:iCs/>
          <w:noProof/>
          <w:sz w:val="20"/>
        </w:rPr>
        <w:t>:</w:t>
      </w:r>
      <w:r>
        <w:rPr>
          <w:bCs/>
          <w:iCs/>
          <w:noProof/>
          <w:sz w:val="20"/>
        </w:rPr>
        <w:tab/>
        <w:t>nije dostignuto</w:t>
      </w:r>
    </w:p>
    <w:p w14:paraId="09544A79" w14:textId="77777777" w:rsidR="00EB5D22" w:rsidRPr="00EB5D22" w:rsidRDefault="00EB5D22" w:rsidP="00EB5D22">
      <w:pPr>
        <w:jc w:val="both"/>
        <w:rPr>
          <w:bCs/>
          <w:iCs/>
          <w:noProof/>
          <w:sz w:val="22"/>
          <w:szCs w:val="22"/>
        </w:rPr>
      </w:pPr>
    </w:p>
    <w:p w14:paraId="01B9CCA4" w14:textId="27794EEA" w:rsidR="00EB5D22" w:rsidRPr="00EB5D22" w:rsidRDefault="00EB5D22" w:rsidP="00EB5D22">
      <w:pPr>
        <w:jc w:val="both"/>
        <w:rPr>
          <w:bCs/>
          <w:iCs/>
          <w:noProof/>
          <w:sz w:val="22"/>
          <w:szCs w:val="22"/>
        </w:rPr>
      </w:pPr>
      <w:r w:rsidRPr="00EB5D22">
        <w:rPr>
          <w:bCs/>
          <w:iCs/>
          <w:noProof/>
          <w:sz w:val="22"/>
          <w:szCs w:val="22"/>
        </w:rPr>
        <w:t>Sl</w:t>
      </w:r>
      <w:r w:rsidR="007C42CC">
        <w:rPr>
          <w:bCs/>
          <w:iCs/>
          <w:noProof/>
          <w:sz w:val="22"/>
          <w:szCs w:val="22"/>
        </w:rPr>
        <w:t>j</w:t>
      </w:r>
      <w:r w:rsidRPr="00EB5D22">
        <w:rPr>
          <w:bCs/>
          <w:iCs/>
          <w:noProof/>
          <w:sz w:val="22"/>
          <w:szCs w:val="22"/>
        </w:rPr>
        <w:t>edeći sekundarni ishodi za proc</w:t>
      </w:r>
      <w:r w:rsidR="007C42CC">
        <w:rPr>
          <w:bCs/>
          <w:iCs/>
          <w:noProof/>
          <w:sz w:val="22"/>
          <w:szCs w:val="22"/>
        </w:rPr>
        <w:t>j</w:t>
      </w:r>
      <w:r w:rsidRPr="00EB5D22">
        <w:rPr>
          <w:bCs/>
          <w:iCs/>
          <w:noProof/>
          <w:sz w:val="22"/>
          <w:szCs w:val="22"/>
        </w:rPr>
        <w:t>enu efikasnosti pokazali su statistički značajnu prednost u korist pacijenata koji su primali darolutamid u kombinaciji sa docetakselom u odnosu na pacijente u grupi koja je primala placebo u kombinaciji sa docetakselom: vr</w:t>
      </w:r>
      <w:r w:rsidR="007C42CC">
        <w:rPr>
          <w:bCs/>
          <w:iCs/>
          <w:noProof/>
          <w:sz w:val="22"/>
          <w:szCs w:val="22"/>
        </w:rPr>
        <w:t>ij</w:t>
      </w:r>
      <w:r w:rsidRPr="00EB5D22">
        <w:rPr>
          <w:bCs/>
          <w:iCs/>
          <w:noProof/>
          <w:sz w:val="22"/>
          <w:szCs w:val="22"/>
        </w:rPr>
        <w:t>eme do pojave karcinoma prostate rezistentnog na kastraciju (medijana ND u odnosu na 19,1 m</w:t>
      </w:r>
      <w:r w:rsidR="007C42CC">
        <w:rPr>
          <w:bCs/>
          <w:iCs/>
          <w:noProof/>
          <w:sz w:val="22"/>
          <w:szCs w:val="22"/>
        </w:rPr>
        <w:t>j</w:t>
      </w:r>
      <w:r w:rsidRPr="00EB5D22">
        <w:rPr>
          <w:bCs/>
          <w:iCs/>
          <w:noProof/>
          <w:sz w:val="22"/>
          <w:szCs w:val="22"/>
        </w:rPr>
        <w:t>esec; HR=0</w:t>
      </w:r>
      <w:r w:rsidR="001C639E">
        <w:rPr>
          <w:bCs/>
          <w:iCs/>
          <w:noProof/>
          <w:sz w:val="22"/>
          <w:szCs w:val="22"/>
        </w:rPr>
        <w:t>,</w:t>
      </w:r>
      <w:r w:rsidRPr="00EB5D22">
        <w:rPr>
          <w:bCs/>
          <w:iCs/>
          <w:noProof/>
          <w:sz w:val="22"/>
          <w:szCs w:val="22"/>
        </w:rPr>
        <w:t>357, p&lt;0</w:t>
      </w:r>
      <w:r w:rsidR="001C639E">
        <w:rPr>
          <w:bCs/>
          <w:iCs/>
          <w:noProof/>
          <w:sz w:val="22"/>
          <w:szCs w:val="22"/>
        </w:rPr>
        <w:t>,</w:t>
      </w:r>
      <w:r w:rsidRPr="00EB5D22">
        <w:rPr>
          <w:bCs/>
          <w:iCs/>
          <w:noProof/>
          <w:sz w:val="22"/>
          <w:szCs w:val="22"/>
        </w:rPr>
        <w:t>0001); vr</w:t>
      </w:r>
      <w:r w:rsidR="007C42CC">
        <w:rPr>
          <w:bCs/>
          <w:iCs/>
          <w:noProof/>
          <w:sz w:val="22"/>
          <w:szCs w:val="22"/>
        </w:rPr>
        <w:t>ij</w:t>
      </w:r>
      <w:r w:rsidRPr="00EB5D22">
        <w:rPr>
          <w:bCs/>
          <w:iCs/>
          <w:noProof/>
          <w:sz w:val="22"/>
          <w:szCs w:val="22"/>
        </w:rPr>
        <w:t>eme do prvih simptomatskih događaja na kostima (medijana ND u odnosu na ND m</w:t>
      </w:r>
      <w:r w:rsidR="007C42CC">
        <w:rPr>
          <w:bCs/>
          <w:iCs/>
          <w:noProof/>
          <w:sz w:val="22"/>
          <w:szCs w:val="22"/>
        </w:rPr>
        <w:t>j</w:t>
      </w:r>
      <w:r w:rsidRPr="00EB5D22">
        <w:rPr>
          <w:bCs/>
          <w:iCs/>
          <w:noProof/>
          <w:sz w:val="22"/>
          <w:szCs w:val="22"/>
        </w:rPr>
        <w:t>eseci; HR=0</w:t>
      </w:r>
      <w:r w:rsidR="001C639E">
        <w:rPr>
          <w:bCs/>
          <w:iCs/>
          <w:noProof/>
          <w:sz w:val="22"/>
          <w:szCs w:val="22"/>
        </w:rPr>
        <w:t>,</w:t>
      </w:r>
      <w:r w:rsidRPr="00EB5D22">
        <w:rPr>
          <w:bCs/>
          <w:iCs/>
          <w:noProof/>
          <w:sz w:val="22"/>
          <w:szCs w:val="22"/>
        </w:rPr>
        <w:t>712, p=0</w:t>
      </w:r>
      <w:r w:rsidR="001C639E">
        <w:rPr>
          <w:bCs/>
          <w:iCs/>
          <w:noProof/>
          <w:sz w:val="22"/>
          <w:szCs w:val="22"/>
        </w:rPr>
        <w:t>,</w:t>
      </w:r>
      <w:r w:rsidRPr="00EB5D22">
        <w:rPr>
          <w:bCs/>
          <w:iCs/>
          <w:noProof/>
          <w:sz w:val="22"/>
          <w:szCs w:val="22"/>
        </w:rPr>
        <w:t>0081); vr</w:t>
      </w:r>
      <w:r w:rsidR="007C42CC">
        <w:rPr>
          <w:bCs/>
          <w:iCs/>
          <w:noProof/>
          <w:sz w:val="22"/>
          <w:szCs w:val="22"/>
        </w:rPr>
        <w:t>ij</w:t>
      </w:r>
      <w:r w:rsidRPr="00EB5D22">
        <w:rPr>
          <w:bCs/>
          <w:iCs/>
          <w:noProof/>
          <w:sz w:val="22"/>
          <w:szCs w:val="22"/>
        </w:rPr>
        <w:t>eme do uvođenja naknadne citotoksične hemioterapije (medijana ND u odnosu na 25,3 m</w:t>
      </w:r>
      <w:r w:rsidR="007C42CC">
        <w:rPr>
          <w:bCs/>
          <w:iCs/>
          <w:noProof/>
          <w:sz w:val="22"/>
          <w:szCs w:val="22"/>
        </w:rPr>
        <w:t>j</w:t>
      </w:r>
      <w:r w:rsidRPr="00EB5D22">
        <w:rPr>
          <w:bCs/>
          <w:iCs/>
          <w:noProof/>
          <w:sz w:val="22"/>
          <w:szCs w:val="22"/>
        </w:rPr>
        <w:t>eseca; HR=0</w:t>
      </w:r>
      <w:r w:rsidR="007C42CC">
        <w:rPr>
          <w:bCs/>
          <w:iCs/>
          <w:noProof/>
          <w:sz w:val="22"/>
          <w:szCs w:val="22"/>
        </w:rPr>
        <w:t>,</w:t>
      </w:r>
      <w:r w:rsidRPr="00EB5D22">
        <w:rPr>
          <w:bCs/>
          <w:iCs/>
          <w:noProof/>
          <w:sz w:val="22"/>
          <w:szCs w:val="22"/>
        </w:rPr>
        <w:t>388, p&lt;0</w:t>
      </w:r>
      <w:r w:rsidR="007C42CC">
        <w:rPr>
          <w:bCs/>
          <w:iCs/>
          <w:noProof/>
          <w:sz w:val="22"/>
          <w:szCs w:val="22"/>
        </w:rPr>
        <w:t>,</w:t>
      </w:r>
      <w:r w:rsidRPr="00EB5D22">
        <w:rPr>
          <w:bCs/>
          <w:iCs/>
          <w:noProof/>
          <w:sz w:val="22"/>
          <w:szCs w:val="22"/>
        </w:rPr>
        <w:t>0001); vr</w:t>
      </w:r>
      <w:r w:rsidR="007C42CC">
        <w:rPr>
          <w:bCs/>
          <w:iCs/>
          <w:noProof/>
          <w:sz w:val="22"/>
          <w:szCs w:val="22"/>
        </w:rPr>
        <w:t>ij</w:t>
      </w:r>
      <w:r w:rsidRPr="00EB5D22">
        <w:rPr>
          <w:bCs/>
          <w:iCs/>
          <w:noProof/>
          <w:sz w:val="22"/>
          <w:szCs w:val="22"/>
        </w:rPr>
        <w:t>eme do progresije bola (medijana ND u odnosu na 27,5 m</w:t>
      </w:r>
      <w:r w:rsidR="007C42CC">
        <w:rPr>
          <w:bCs/>
          <w:iCs/>
          <w:noProof/>
          <w:sz w:val="22"/>
          <w:szCs w:val="22"/>
        </w:rPr>
        <w:t>j</w:t>
      </w:r>
      <w:r w:rsidRPr="00EB5D22">
        <w:rPr>
          <w:bCs/>
          <w:iCs/>
          <w:noProof/>
          <w:sz w:val="22"/>
          <w:szCs w:val="22"/>
        </w:rPr>
        <w:t>eseci; HR=0</w:t>
      </w:r>
      <w:r w:rsidR="007C42CC">
        <w:rPr>
          <w:bCs/>
          <w:iCs/>
          <w:noProof/>
          <w:sz w:val="22"/>
          <w:szCs w:val="22"/>
        </w:rPr>
        <w:t>,</w:t>
      </w:r>
      <w:r w:rsidRPr="00EB5D22">
        <w:rPr>
          <w:bCs/>
          <w:iCs/>
          <w:noProof/>
          <w:sz w:val="22"/>
          <w:szCs w:val="22"/>
        </w:rPr>
        <w:t>792, p=0</w:t>
      </w:r>
      <w:r w:rsidR="007C42CC">
        <w:rPr>
          <w:bCs/>
          <w:iCs/>
          <w:noProof/>
          <w:sz w:val="22"/>
          <w:szCs w:val="22"/>
        </w:rPr>
        <w:t>,</w:t>
      </w:r>
      <w:r w:rsidRPr="00EB5D22">
        <w:rPr>
          <w:bCs/>
          <w:iCs/>
          <w:noProof/>
          <w:sz w:val="22"/>
          <w:szCs w:val="22"/>
        </w:rPr>
        <w:t>0058); vr</w:t>
      </w:r>
      <w:r w:rsidR="007C42CC">
        <w:rPr>
          <w:bCs/>
          <w:iCs/>
          <w:noProof/>
          <w:sz w:val="22"/>
          <w:szCs w:val="22"/>
        </w:rPr>
        <w:t>ij</w:t>
      </w:r>
      <w:r w:rsidRPr="00EB5D22">
        <w:rPr>
          <w:bCs/>
          <w:iCs/>
          <w:noProof/>
          <w:sz w:val="22"/>
          <w:szCs w:val="22"/>
        </w:rPr>
        <w:t>eme preživljavanje bez simptomatskih događaja na kostima (medjana 51,2 u odnosu na 39,7 m</w:t>
      </w:r>
      <w:r w:rsidR="007C42CC">
        <w:rPr>
          <w:bCs/>
          <w:iCs/>
          <w:noProof/>
          <w:sz w:val="22"/>
          <w:szCs w:val="22"/>
        </w:rPr>
        <w:t>j</w:t>
      </w:r>
      <w:r w:rsidRPr="00EB5D22">
        <w:rPr>
          <w:bCs/>
          <w:iCs/>
          <w:noProof/>
          <w:sz w:val="22"/>
          <w:szCs w:val="22"/>
        </w:rPr>
        <w:t>eseci; HR=0</w:t>
      </w:r>
      <w:r w:rsidR="001C639E">
        <w:rPr>
          <w:bCs/>
          <w:iCs/>
          <w:noProof/>
          <w:sz w:val="22"/>
          <w:szCs w:val="22"/>
        </w:rPr>
        <w:t>,</w:t>
      </w:r>
      <w:r w:rsidRPr="00EB5D22">
        <w:rPr>
          <w:bCs/>
          <w:iCs/>
          <w:noProof/>
          <w:sz w:val="22"/>
          <w:szCs w:val="22"/>
        </w:rPr>
        <w:t>609, p&lt;0</w:t>
      </w:r>
      <w:r w:rsidR="007C42CC">
        <w:rPr>
          <w:bCs/>
          <w:iCs/>
          <w:noProof/>
          <w:sz w:val="22"/>
          <w:szCs w:val="22"/>
        </w:rPr>
        <w:t>,</w:t>
      </w:r>
      <w:r w:rsidRPr="00EB5D22">
        <w:rPr>
          <w:bCs/>
          <w:iCs/>
          <w:noProof/>
          <w:sz w:val="22"/>
          <w:szCs w:val="22"/>
        </w:rPr>
        <w:t>0001).</w:t>
      </w:r>
    </w:p>
    <w:p w14:paraId="4FEC6A65" w14:textId="77777777" w:rsidR="00EB5D22" w:rsidRPr="00EB5D22" w:rsidRDefault="00EB5D22" w:rsidP="00EB5D22">
      <w:pPr>
        <w:jc w:val="both"/>
        <w:rPr>
          <w:bCs/>
          <w:iCs/>
          <w:noProof/>
          <w:sz w:val="22"/>
          <w:szCs w:val="22"/>
        </w:rPr>
      </w:pPr>
    </w:p>
    <w:p w14:paraId="3BBA9516" w14:textId="77777777" w:rsidR="00EB5D22" w:rsidRPr="00EB5D22" w:rsidRDefault="00EB5D22" w:rsidP="00EB5D22">
      <w:pPr>
        <w:keepNext/>
        <w:keepLines/>
        <w:rPr>
          <w:bCs/>
          <w:iCs/>
          <w:noProof/>
          <w:sz w:val="22"/>
          <w:szCs w:val="22"/>
        </w:rPr>
      </w:pPr>
      <w:r w:rsidRPr="00EB5D22">
        <w:rPr>
          <w:b/>
          <w:bCs/>
          <w:iCs/>
          <w:noProof/>
          <w:sz w:val="22"/>
          <w:szCs w:val="22"/>
        </w:rPr>
        <w:lastRenderedPageBreak/>
        <w:t xml:space="preserve">Slika 3: </w:t>
      </w:r>
      <w:r w:rsidRPr="00EB5D22">
        <w:rPr>
          <w:b/>
          <w:bCs/>
          <w:i/>
          <w:noProof/>
          <w:sz w:val="22"/>
          <w:szCs w:val="22"/>
        </w:rPr>
        <w:t>Kaplan Meier</w:t>
      </w:r>
      <w:r w:rsidRPr="00EB5D22">
        <w:rPr>
          <w:b/>
          <w:bCs/>
          <w:iCs/>
          <w:noProof/>
          <w:sz w:val="22"/>
          <w:szCs w:val="22"/>
        </w:rPr>
        <w:t xml:space="preserve"> krive ukupnog preživljavanja </w:t>
      </w:r>
      <w:r w:rsidRPr="00EB5D22">
        <w:rPr>
          <w:b/>
          <w:noProof/>
          <w:sz w:val="22"/>
          <w:szCs w:val="22"/>
        </w:rPr>
        <w:t>(ARASENS)</w:t>
      </w:r>
      <w:r w:rsidRPr="00EB5D22">
        <w:rPr>
          <w:noProof/>
          <w:sz w:val="22"/>
          <w:szCs w:val="22"/>
          <w:vertAlign w:val="superscript"/>
        </w:rPr>
        <w:t>a</w:t>
      </w:r>
    </w:p>
    <w:p w14:paraId="7FF64927" w14:textId="77777777" w:rsidR="00EB5D22" w:rsidRPr="001B2FA2" w:rsidRDefault="00EB5D22" w:rsidP="00EB5D22">
      <w:pPr>
        <w:pStyle w:val="BayerBodytextFul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b/>
          <w:bCs/>
          <w:lang w:val="en-GB"/>
        </w:rPr>
      </w:pPr>
      <w:r w:rsidRPr="001B2FA2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453EC" wp14:editId="31D45E80">
                <wp:simplePos x="0" y="0"/>
                <wp:positionH relativeFrom="column">
                  <wp:posOffset>367665</wp:posOffset>
                </wp:positionH>
                <wp:positionV relativeFrom="paragraph">
                  <wp:posOffset>3442031</wp:posOffset>
                </wp:positionV>
                <wp:extent cx="1129030" cy="190500"/>
                <wp:effectExtent l="0" t="0" r="13970" b="0"/>
                <wp:wrapNone/>
                <wp:docPr id="40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D71B5" w14:textId="77777777" w:rsidR="000632D6" w:rsidRPr="00B8174A" w:rsidRDefault="000632D6" w:rsidP="00EB5D22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22"/>
                              </w:rPr>
                              <w:t>Pacijenti u riziku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C453EC" id="Textfeld 16" o:spid="_x0000_s1040" type="#_x0000_t202" style="position:absolute;margin-left:28.95pt;margin-top:271.05pt;width:88.9pt;height: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" filled="f" stroked="f" strokeweight=".5pt">
                <v:textbox inset="0,0,0,0">
                  <w:txbxContent>
                    <w:p w14:paraId="187D71B5" w14:textId="77777777" w:rsidR="000632D6" w:rsidRPr="00B8174A" w:rsidRDefault="000632D6" w:rsidP="00EB5D22">
                      <w:pPr>
                        <w:rPr>
                          <w:rFonts w:ascii="Arial" w:hAnsi="Arial" w:cs="Arial"/>
                          <w:b/>
                          <w:sz w:val="1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22"/>
                        </w:rPr>
                        <w:t>Pacijenti u riziku</w:t>
                      </w:r>
                    </w:p>
                  </w:txbxContent>
                </v:textbox>
              </v:shape>
            </w:pict>
          </mc:Fallback>
        </mc:AlternateContent>
      </w:r>
      <w:r w:rsidRPr="001B2FA2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A2AB5" wp14:editId="4185278D">
                <wp:simplePos x="0" y="0"/>
                <wp:positionH relativeFrom="column">
                  <wp:posOffset>2018030</wp:posOffset>
                </wp:positionH>
                <wp:positionV relativeFrom="paragraph">
                  <wp:posOffset>3367101</wp:posOffset>
                </wp:positionV>
                <wp:extent cx="1924050" cy="189865"/>
                <wp:effectExtent l="0" t="0" r="0" b="635"/>
                <wp:wrapNone/>
                <wp:docPr id="39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8986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074FE" w14:textId="37BF6759" w:rsidR="000632D6" w:rsidRPr="00B8174A" w:rsidRDefault="000632D6" w:rsidP="00EB5D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22"/>
                              </w:rPr>
                              <w:t>Mjeseci od randomizacije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3A2AB5" id="Textfeld 15" o:spid="_x0000_s1041" type="#_x0000_t202" style="position:absolute;margin-left:158.9pt;margin-top:265.15pt;width:151.5pt;height:1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" filled="f" stroked="f" strokeweight=".25pt">
                <v:textbox inset="0,0,0,0">
                  <w:txbxContent>
                    <w:p w14:paraId="0C5074FE" w14:textId="37BF6759" w:rsidR="000632D6" w:rsidRPr="00B8174A" w:rsidRDefault="000632D6" w:rsidP="00EB5D22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22"/>
                        </w:rPr>
                        <w:t>Mjeseci od randomizacije</w:t>
                      </w:r>
                    </w:p>
                  </w:txbxContent>
                </v:textbox>
              </v:shape>
            </w:pict>
          </mc:Fallback>
        </mc:AlternateContent>
      </w:r>
      <w:r w:rsidRPr="001B2FA2">
        <w:rPr>
          <w:b/>
          <w:bCs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C4B1A73" wp14:editId="58427987">
                <wp:simplePos x="0" y="0"/>
                <wp:positionH relativeFrom="column">
                  <wp:posOffset>626220</wp:posOffset>
                </wp:positionH>
                <wp:positionV relativeFrom="paragraph">
                  <wp:posOffset>2600436</wp:posOffset>
                </wp:positionV>
                <wp:extent cx="2087739" cy="431800"/>
                <wp:effectExtent l="0" t="0" r="27305" b="25400"/>
                <wp:wrapNone/>
                <wp:docPr id="43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739" cy="431800"/>
                          <a:chOff x="28092" y="28531"/>
                          <a:chExt cx="1479114" cy="221805"/>
                        </a:xfrm>
                        <a:noFill/>
                      </wpg:grpSpPr>
                      <wps:wsp>
                        <wps:cNvPr id="44" name="Textfeld 8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28092" y="28531"/>
                            <a:ext cx="1479114" cy="22180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9DF678" w14:textId="77777777" w:rsidR="000632D6" w:rsidRPr="00B8174A" w:rsidRDefault="000632D6" w:rsidP="00EB5D22">
                              <w:pPr>
                                <w:ind w:firstLine="708"/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  <w:t xml:space="preserve">1 – Darolutamid+docetaksel (N </w:t>
                              </w:r>
                              <w:r w:rsidRPr="00B8174A"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  <w:t>=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  <w:t xml:space="preserve"> 651)</w:t>
                              </w:r>
                            </w:p>
                            <w:p w14:paraId="67052592" w14:textId="70924DCB" w:rsidR="000632D6" w:rsidRPr="00B8174A" w:rsidRDefault="000632D6" w:rsidP="00EB5D22">
                              <w:pPr>
                                <w:ind w:left="709" w:hanging="709"/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</w:pPr>
                              <w:r w:rsidRPr="00B8174A"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  <w:t xml:space="preserve">2 – </w:t>
                              </w:r>
                              <w:r w:rsidRPr="00B8174A"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  <w:t>Placebo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  <w:t xml:space="preserve">+docetaksel </w:t>
                              </w:r>
                              <w:r w:rsidRPr="00B8174A"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  <w:t xml:space="preserve">(N =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  <w:t>6</w:t>
                              </w:r>
                              <w:r w:rsidRPr="00B8174A">
                                <w:rPr>
                                  <w:rFonts w:ascii="Arial" w:hAnsi="Arial" w:cs="Arial"/>
                                  <w:b/>
                                  <w:sz w:val="14"/>
                                  <w:szCs w:val="18"/>
                                </w:rPr>
                                <w:t>54)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Gerade Verbindung 13"/>
                        <wps:cNvCnPr/>
                        <wps:spPr>
                          <a:xfrm>
                            <a:off x="95416" y="103350"/>
                            <a:ext cx="178536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Gerade Verbindung 14"/>
                        <wps:cNvCnPr/>
                        <wps:spPr>
                          <a:xfrm>
                            <a:off x="103365" y="186092"/>
                            <a:ext cx="178536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4B1A73" id="Gruppieren 6" o:spid="_x0000_s1042" style="position:absolute;margin-left:49.3pt;margin-top:204.75pt;width:164.4pt;height:34pt;z-index:251671552;mso-width-relative:margin;mso-height-relative:margin" coordorigin="280,285" coordsize="14791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">
                <v:shape id="Textfeld 8" o:spid="_x0000_s1043" type="#_x0000_t202" style="position:absolute;left:280;top:285;width:14792;height:2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" filled="f" strokeweight=".5pt">
                  <v:textbox inset="0,0,0,0">
                    <w:txbxContent>
                      <w:p w14:paraId="209DF678" w14:textId="77777777" w:rsidR="000632D6" w:rsidRPr="00B8174A" w:rsidRDefault="000632D6" w:rsidP="00EB5D22">
                        <w:pPr>
                          <w:ind w:firstLine="708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  <w:t xml:space="preserve">1 – Darolutamid+docetaksel (N </w:t>
                        </w:r>
                        <w:r w:rsidRPr="00B8174A"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  <w:t>=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  <w:t xml:space="preserve"> 651)</w:t>
                        </w:r>
                      </w:p>
                      <w:p w14:paraId="67052592" w14:textId="70924DCB" w:rsidR="000632D6" w:rsidRPr="00B8174A" w:rsidRDefault="000632D6" w:rsidP="00EB5D22">
                        <w:pPr>
                          <w:ind w:left="709" w:hanging="709"/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</w:pPr>
                        <w:r w:rsidRPr="00B8174A"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  <w:t xml:space="preserve">2 – </w:t>
                        </w:r>
                        <w:r w:rsidRPr="00B8174A"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  <w:t>Placebo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  <w:t xml:space="preserve">+docetaksel </w:t>
                        </w:r>
                        <w:r w:rsidRPr="00B8174A"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  <w:t xml:space="preserve">(N = 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  <w:t>6</w:t>
                        </w:r>
                        <w:r w:rsidRPr="00B8174A">
                          <w:rPr>
                            <w:rFonts w:ascii="Arial" w:hAnsi="Arial" w:cs="Arial"/>
                            <w:b/>
                            <w:sz w:val="14"/>
                            <w:szCs w:val="18"/>
                          </w:rPr>
                          <w:t>54)</w:t>
                        </w:r>
                      </w:p>
                    </w:txbxContent>
                  </v:textbox>
                </v:shape>
                <v:line id="Gerade Verbindung 13" o:spid="_x0000_s1044" style="position:absolute;visibility:visible;mso-wrap-style:square" from="954,1033" to="2739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" strokecolor="black [3213]">
                  <v:stroke joinstyle="miter"/>
                </v:line>
                <v:line id="Gerade Verbindung 14" o:spid="_x0000_s1045" style="position:absolute;visibility:visible;mso-wrap-style:square" from="1033,1860" to="2819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" strokecolor="black [3213]" strokeweight=".5pt">
                  <v:stroke dashstyle="dash" joinstyle="miter"/>
                </v:line>
              </v:group>
            </w:pict>
          </mc:Fallback>
        </mc:AlternateContent>
      </w:r>
      <w:r w:rsidRPr="001B2FA2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3D2263" wp14:editId="095CEA7D">
                <wp:simplePos x="0" y="0"/>
                <wp:positionH relativeFrom="column">
                  <wp:posOffset>-1132840</wp:posOffset>
                </wp:positionH>
                <wp:positionV relativeFrom="paragraph">
                  <wp:posOffset>1513205</wp:posOffset>
                </wp:positionV>
                <wp:extent cx="2488565" cy="238125"/>
                <wp:effectExtent l="1270" t="0" r="8255" b="8255"/>
                <wp:wrapNone/>
                <wp:docPr id="42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8856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15C40" w14:textId="6D98B685" w:rsidR="000632D6" w:rsidRPr="00B8174A" w:rsidRDefault="000632D6" w:rsidP="00EB5D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Ukupna v</w:t>
                            </w:r>
                            <w:r w:rsidR="00832AD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erovatnoća preživljavanja</w:t>
                            </w:r>
                            <w:r w:rsidRPr="00B8174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3D2263" id="Textfeld 18" o:spid="_x0000_s1046" type="#_x0000_t202" style="position:absolute;margin-left:-89.2pt;margin-top:119.15pt;width:195.95pt;height:18.75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" filled="f" stroked="f" strokeweight=".5pt">
                <v:textbox inset="0,0,0,0">
                  <w:txbxContent>
                    <w:p w14:paraId="69D15C40" w14:textId="6D98B685" w:rsidR="000632D6" w:rsidRPr="00B8174A" w:rsidRDefault="000632D6" w:rsidP="00EB5D2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Ukupna v</w:t>
                      </w:r>
                      <w:r w:rsidR="00832AD5">
                        <w:rPr>
                          <w:rFonts w:ascii="Arial" w:hAnsi="Arial" w:cs="Arial"/>
                          <w:b/>
                          <w:sz w:val="16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erovatnoća preživljavanja</w:t>
                      </w:r>
                      <w:r w:rsidRPr="00B8174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(%)</w:t>
                      </w:r>
                    </w:p>
                  </w:txbxContent>
                </v:textbox>
              </v:shape>
            </w:pict>
          </mc:Fallback>
        </mc:AlternateContent>
      </w:r>
      <w:r w:rsidRPr="001B2FA2">
        <w:rPr>
          <w:noProof/>
          <w:lang w:eastAsia="en-US"/>
        </w:rPr>
        <w:drawing>
          <wp:inline distT="0" distB="0" distL="0" distR="0" wp14:anchorId="4C9C6B91" wp14:editId="27D76F52">
            <wp:extent cx="5760000" cy="4006800"/>
            <wp:effectExtent l="0" t="0" r="0" b="0"/>
            <wp:docPr id="49" name="Picture 4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72138" name="Picture 49" descr="Chart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00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61470B" w14:textId="44EC8BE3" w:rsidR="00EB5D22" w:rsidRPr="0072131D" w:rsidRDefault="00EB5D22" w:rsidP="00CA109F">
      <w:pPr>
        <w:ind w:left="284" w:hanging="284"/>
        <w:jc w:val="both"/>
        <w:rPr>
          <w:bCs/>
          <w:iCs/>
          <w:noProof/>
          <w:sz w:val="20"/>
        </w:rPr>
      </w:pPr>
      <w:r w:rsidRPr="0072131D">
        <w:rPr>
          <w:bCs/>
          <w:iCs/>
          <w:noProof/>
          <w:sz w:val="20"/>
          <w:vertAlign w:val="superscript"/>
        </w:rPr>
        <w:t>a</w:t>
      </w:r>
      <w:r w:rsidRPr="0072131D">
        <w:rPr>
          <w:bCs/>
          <w:iCs/>
          <w:noProof/>
          <w:sz w:val="20"/>
        </w:rPr>
        <w:tab/>
      </w:r>
      <w:r>
        <w:rPr>
          <w:bCs/>
          <w:iCs/>
          <w:noProof/>
          <w:sz w:val="20"/>
        </w:rPr>
        <w:t>Stopa ukupnog preživljavanja na nivou</w:t>
      </w:r>
      <w:r w:rsidRPr="0072131D">
        <w:rPr>
          <w:bCs/>
          <w:iCs/>
          <w:noProof/>
          <w:sz w:val="20"/>
        </w:rPr>
        <w:t xml:space="preserve"> 36</w:t>
      </w:r>
      <w:r>
        <w:rPr>
          <w:bCs/>
          <w:iCs/>
          <w:noProof/>
          <w:sz w:val="20"/>
        </w:rPr>
        <w:t xml:space="preserve"> m</w:t>
      </w:r>
      <w:r w:rsidR="007C42CC">
        <w:rPr>
          <w:bCs/>
          <w:iCs/>
          <w:noProof/>
          <w:sz w:val="20"/>
        </w:rPr>
        <w:t>j</w:t>
      </w:r>
      <w:r>
        <w:rPr>
          <w:bCs/>
          <w:iCs/>
          <w:noProof/>
          <w:sz w:val="20"/>
        </w:rPr>
        <w:t>eseci</w:t>
      </w:r>
      <w:r w:rsidRPr="0072131D">
        <w:rPr>
          <w:bCs/>
          <w:iCs/>
          <w:noProof/>
          <w:sz w:val="20"/>
        </w:rPr>
        <w:t xml:space="preserve"> </w:t>
      </w:r>
      <w:r>
        <w:rPr>
          <w:bCs/>
          <w:iCs/>
          <w:noProof/>
          <w:sz w:val="20"/>
        </w:rPr>
        <w:t>bila je</w:t>
      </w:r>
      <w:r w:rsidRPr="0072131D">
        <w:rPr>
          <w:bCs/>
          <w:iCs/>
          <w:noProof/>
          <w:sz w:val="20"/>
        </w:rPr>
        <w:t xml:space="preserve"> 72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>3% (95% CI, 68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 xml:space="preserve">8 </w:t>
      </w:r>
      <w:r>
        <w:rPr>
          <w:bCs/>
          <w:iCs/>
          <w:noProof/>
          <w:sz w:val="20"/>
        </w:rPr>
        <w:t>do</w:t>
      </w:r>
      <w:r w:rsidRPr="0072131D">
        <w:rPr>
          <w:bCs/>
          <w:iCs/>
          <w:noProof/>
          <w:sz w:val="20"/>
        </w:rPr>
        <w:t xml:space="preserve"> 75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 xml:space="preserve">8) </w:t>
      </w:r>
      <w:r>
        <w:rPr>
          <w:bCs/>
          <w:iCs/>
          <w:noProof/>
          <w:sz w:val="20"/>
        </w:rPr>
        <w:t>u grupi koja je primala darolutamid u kombinaciji sa docetakselom u odnosu na</w:t>
      </w:r>
      <w:r w:rsidRPr="0072131D">
        <w:rPr>
          <w:bCs/>
          <w:iCs/>
          <w:noProof/>
          <w:sz w:val="20"/>
        </w:rPr>
        <w:t xml:space="preserve"> 63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>8% (95% CI, 60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 xml:space="preserve">1 </w:t>
      </w:r>
      <w:r>
        <w:rPr>
          <w:bCs/>
          <w:iCs/>
          <w:noProof/>
          <w:sz w:val="20"/>
        </w:rPr>
        <w:t>do</w:t>
      </w:r>
      <w:r w:rsidRPr="0072131D">
        <w:rPr>
          <w:bCs/>
          <w:iCs/>
          <w:noProof/>
          <w:sz w:val="20"/>
        </w:rPr>
        <w:t xml:space="preserve"> 67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 xml:space="preserve">6) </w:t>
      </w:r>
      <w:r>
        <w:rPr>
          <w:bCs/>
          <w:iCs/>
          <w:noProof/>
          <w:sz w:val="20"/>
        </w:rPr>
        <w:t xml:space="preserve">u grupi koja je primala </w:t>
      </w:r>
      <w:r w:rsidRPr="0072131D">
        <w:rPr>
          <w:bCs/>
          <w:iCs/>
          <w:noProof/>
          <w:sz w:val="20"/>
        </w:rPr>
        <w:t>placebo</w:t>
      </w:r>
      <w:r>
        <w:rPr>
          <w:bCs/>
          <w:iCs/>
          <w:noProof/>
          <w:sz w:val="20"/>
        </w:rPr>
        <w:t xml:space="preserve"> u kombinaciji sa docetakselom.</w:t>
      </w:r>
    </w:p>
    <w:p w14:paraId="66EA2898" w14:textId="73D53754" w:rsidR="00A31BA4" w:rsidRPr="00BD141A" w:rsidRDefault="00EB5D22" w:rsidP="00CA109F">
      <w:pPr>
        <w:ind w:left="284" w:hanging="284"/>
        <w:jc w:val="both"/>
        <w:rPr>
          <w:sz w:val="22"/>
          <w:szCs w:val="22"/>
          <w:lang w:val="sr-Latn-RS"/>
        </w:rPr>
      </w:pPr>
      <w:r w:rsidRPr="0072131D">
        <w:rPr>
          <w:bCs/>
          <w:iCs/>
          <w:noProof/>
          <w:sz w:val="20"/>
        </w:rPr>
        <w:tab/>
      </w:r>
      <w:r w:rsidRPr="003A3849">
        <w:rPr>
          <w:bCs/>
          <w:iCs/>
          <w:noProof/>
          <w:sz w:val="20"/>
        </w:rPr>
        <w:t>Stopa ukupnog preživljavanja na nivou</w:t>
      </w:r>
      <w:r w:rsidRPr="0072131D">
        <w:rPr>
          <w:bCs/>
          <w:iCs/>
          <w:noProof/>
          <w:sz w:val="20"/>
        </w:rPr>
        <w:t xml:space="preserve"> 48</w:t>
      </w:r>
      <w:r>
        <w:rPr>
          <w:bCs/>
          <w:iCs/>
          <w:noProof/>
          <w:sz w:val="20"/>
        </w:rPr>
        <w:t xml:space="preserve"> m</w:t>
      </w:r>
      <w:r w:rsidR="007C42CC">
        <w:rPr>
          <w:bCs/>
          <w:iCs/>
          <w:noProof/>
          <w:sz w:val="20"/>
        </w:rPr>
        <w:t>j</w:t>
      </w:r>
      <w:r>
        <w:rPr>
          <w:bCs/>
          <w:iCs/>
          <w:noProof/>
          <w:sz w:val="20"/>
        </w:rPr>
        <w:t>eseci bila je</w:t>
      </w:r>
      <w:r w:rsidRPr="0072131D">
        <w:rPr>
          <w:bCs/>
          <w:iCs/>
          <w:noProof/>
          <w:sz w:val="20"/>
        </w:rPr>
        <w:t xml:space="preserve"> 62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>7% (95% CI, 58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 xml:space="preserve">7 </w:t>
      </w:r>
      <w:r>
        <w:rPr>
          <w:bCs/>
          <w:iCs/>
          <w:noProof/>
          <w:sz w:val="20"/>
        </w:rPr>
        <w:t>d</w:t>
      </w:r>
      <w:r w:rsidRPr="0072131D">
        <w:rPr>
          <w:bCs/>
          <w:iCs/>
          <w:noProof/>
          <w:sz w:val="20"/>
        </w:rPr>
        <w:t>o 66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 xml:space="preserve">7) </w:t>
      </w:r>
      <w:r w:rsidRPr="003A3849">
        <w:rPr>
          <w:bCs/>
          <w:iCs/>
          <w:noProof/>
          <w:sz w:val="20"/>
        </w:rPr>
        <w:t>u grupi koja je primala darolutamid u kombinaciji sa docetakselom u odnosu na</w:t>
      </w:r>
      <w:r w:rsidRPr="0072131D">
        <w:rPr>
          <w:bCs/>
          <w:iCs/>
          <w:noProof/>
          <w:sz w:val="20"/>
        </w:rPr>
        <w:t xml:space="preserve"> 50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>4% (95% CI, 46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 xml:space="preserve">3 </w:t>
      </w:r>
      <w:r>
        <w:rPr>
          <w:bCs/>
          <w:iCs/>
          <w:noProof/>
          <w:sz w:val="20"/>
        </w:rPr>
        <w:t>d</w:t>
      </w:r>
      <w:r w:rsidRPr="0072131D">
        <w:rPr>
          <w:bCs/>
          <w:iCs/>
          <w:noProof/>
          <w:sz w:val="20"/>
        </w:rPr>
        <w:t>o 54</w:t>
      </w:r>
      <w:r>
        <w:rPr>
          <w:bCs/>
          <w:iCs/>
          <w:noProof/>
          <w:sz w:val="20"/>
        </w:rPr>
        <w:t>,</w:t>
      </w:r>
      <w:r w:rsidRPr="0072131D">
        <w:rPr>
          <w:bCs/>
          <w:iCs/>
          <w:noProof/>
          <w:sz w:val="20"/>
        </w:rPr>
        <w:t xml:space="preserve">6) </w:t>
      </w:r>
      <w:r w:rsidRPr="003A3849">
        <w:rPr>
          <w:bCs/>
          <w:iCs/>
          <w:noProof/>
          <w:sz w:val="20"/>
        </w:rPr>
        <w:t>u grupi koja je primala placebo u kombinaciji sa docetakselom.</w:t>
      </w:r>
    </w:p>
    <w:p w14:paraId="40243472" w14:textId="77777777" w:rsidR="00A31BA4" w:rsidRPr="00BD141A" w:rsidRDefault="00A31BA4" w:rsidP="00A31BA4">
      <w:pPr>
        <w:rPr>
          <w:sz w:val="22"/>
          <w:szCs w:val="22"/>
          <w:lang w:val="sr-Latn-RS"/>
        </w:rPr>
      </w:pPr>
    </w:p>
    <w:p w14:paraId="47FCE277" w14:textId="77777777" w:rsidR="00A31BA4" w:rsidRPr="00BD141A" w:rsidRDefault="00A31BA4" w:rsidP="00A31BA4">
      <w:pPr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Pedijatrijska populacija</w:t>
      </w:r>
    </w:p>
    <w:p w14:paraId="4B88BC08" w14:textId="77777777" w:rsidR="00A31BA4" w:rsidRPr="00BD141A" w:rsidRDefault="00A31BA4" w:rsidP="00A31BA4">
      <w:pPr>
        <w:rPr>
          <w:sz w:val="22"/>
          <w:szCs w:val="22"/>
        </w:rPr>
      </w:pPr>
    </w:p>
    <w:p w14:paraId="57A25FB6" w14:textId="1E4E9A4A" w:rsidR="00A31BA4" w:rsidRPr="00BD141A" w:rsidRDefault="00A31BA4" w:rsidP="00FB708E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Evropska agencija za l</w:t>
      </w:r>
      <w:r w:rsidR="007B475F" w:rsidRPr="00BD141A">
        <w:rPr>
          <w:sz w:val="22"/>
          <w:szCs w:val="22"/>
        </w:rPr>
        <w:t>j</w:t>
      </w:r>
      <w:r w:rsidRPr="00BD141A">
        <w:rPr>
          <w:sz w:val="22"/>
          <w:szCs w:val="22"/>
        </w:rPr>
        <w:t>ekove izuzela je obavezu podnošenja rezultata ispitivanja darolutamida u svim podgrupama pedijatrijske populacije u terapiji malignih neoplazmi prostate (</w:t>
      </w:r>
      <w:r w:rsidR="00591AA0" w:rsidRPr="00BD141A">
        <w:rPr>
          <w:sz w:val="22"/>
          <w:szCs w:val="22"/>
        </w:rPr>
        <w:t>vidjet</w:t>
      </w:r>
      <w:r w:rsidRPr="00BD141A">
        <w:rPr>
          <w:sz w:val="22"/>
          <w:szCs w:val="22"/>
        </w:rPr>
        <w:t xml:space="preserve">i </w:t>
      </w:r>
      <w:r w:rsidR="007B475F" w:rsidRPr="00BD141A">
        <w:rPr>
          <w:sz w:val="22"/>
          <w:szCs w:val="22"/>
        </w:rPr>
        <w:t>dio</w:t>
      </w:r>
      <w:r w:rsidRPr="00BD141A">
        <w:rPr>
          <w:sz w:val="22"/>
          <w:szCs w:val="22"/>
        </w:rPr>
        <w:t xml:space="preserve"> 4.2 za informacije o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i u pedijatrijskoj populaciji).</w:t>
      </w:r>
    </w:p>
    <w:p w14:paraId="02B78DDD" w14:textId="77777777" w:rsidR="002E37A5" w:rsidRPr="00BD141A" w:rsidRDefault="002E37A5" w:rsidP="00480FB1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56CA121A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5.2.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Farmakokinetički podaci</w:t>
      </w:r>
      <w:r w:rsidR="003A7059" w:rsidRPr="00BD141A">
        <w:rPr>
          <w:b/>
          <w:bCs/>
          <w:sz w:val="22"/>
          <w:szCs w:val="22"/>
        </w:rPr>
        <w:t xml:space="preserve"> </w:t>
      </w:r>
    </w:p>
    <w:p w14:paraId="21255FD8" w14:textId="521866B9" w:rsidR="0072020E" w:rsidRPr="00BD141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CF52E6E" w14:textId="21F9DB6D" w:rsidR="00A31BA4" w:rsidRPr="00BD141A" w:rsidRDefault="00A31BA4" w:rsidP="00A31BA4">
      <w:pPr>
        <w:rPr>
          <w:sz w:val="22"/>
          <w:szCs w:val="22"/>
          <w:u w:val="single"/>
          <w:lang w:val="sr-Latn-RS"/>
        </w:rPr>
      </w:pPr>
      <w:r w:rsidRPr="00BD141A">
        <w:rPr>
          <w:sz w:val="22"/>
          <w:szCs w:val="22"/>
          <w:u w:val="single"/>
          <w:lang w:val="sr-Latn-RS"/>
        </w:rPr>
        <w:t>Opšt</w:t>
      </w:r>
      <w:r w:rsidR="00446582">
        <w:rPr>
          <w:sz w:val="22"/>
          <w:szCs w:val="22"/>
          <w:u w:val="single"/>
          <w:lang w:val="sr-Latn-RS"/>
        </w:rPr>
        <w:t>e informacije</w:t>
      </w:r>
    </w:p>
    <w:p w14:paraId="15032ECB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3626ECE6" w14:textId="0963A61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Darolutamid se sastoji od dva diastereoizomera </w:t>
      </w:r>
      <w:r w:rsidRPr="00BD141A">
        <w:rPr>
          <w:sz w:val="22"/>
          <w:szCs w:val="22"/>
        </w:rPr>
        <w:t>[(</w:t>
      </w:r>
      <w:r w:rsidRPr="00535894">
        <w:rPr>
          <w:i/>
          <w:iCs/>
          <w:sz w:val="22"/>
          <w:szCs w:val="22"/>
        </w:rPr>
        <w:t>S,R</w:t>
      </w:r>
      <w:r w:rsidRPr="00BD141A">
        <w:rPr>
          <w:sz w:val="22"/>
          <w:szCs w:val="22"/>
        </w:rPr>
        <w:t>)-darolutamid i (</w:t>
      </w:r>
      <w:r w:rsidRPr="00535894">
        <w:rPr>
          <w:i/>
          <w:iCs/>
          <w:sz w:val="22"/>
          <w:szCs w:val="22"/>
        </w:rPr>
        <w:t>S,S</w:t>
      </w:r>
      <w:r w:rsidRPr="00BD141A">
        <w:rPr>
          <w:sz w:val="22"/>
          <w:szCs w:val="22"/>
        </w:rPr>
        <w:t>)-darolutamid]</w:t>
      </w:r>
      <w:r w:rsidRPr="00BD141A">
        <w:rPr>
          <w:sz w:val="22"/>
          <w:szCs w:val="22"/>
          <w:lang w:val="sr-Latn-RS"/>
        </w:rPr>
        <w:t xml:space="preserve">, koji prelaze jedan u drugi preko glavnog metabolita u cirkulaciji, nazvanog ketodarolutamid. </w:t>
      </w:r>
      <w:r w:rsidRPr="00BD141A">
        <w:rPr>
          <w:i/>
          <w:iCs/>
          <w:sz w:val="22"/>
          <w:szCs w:val="22"/>
          <w:lang w:val="sr-Latn-RS"/>
        </w:rPr>
        <w:t>In vitro</w:t>
      </w:r>
      <w:r w:rsidRPr="00BD141A">
        <w:rPr>
          <w:sz w:val="22"/>
          <w:szCs w:val="22"/>
          <w:lang w:val="sr-Latn-RS"/>
        </w:rPr>
        <w:t>, sve tri supstance pokazuju sličnu farmakološku aktivnost. Darolutamid je slabo rastvorljiv u rastvaračima na bazi vode u širokom rasponu pH, i gener</w:t>
      </w:r>
      <w:r w:rsidR="008D4135">
        <w:rPr>
          <w:sz w:val="22"/>
          <w:szCs w:val="22"/>
          <w:lang w:val="sr-Latn-RS"/>
        </w:rPr>
        <w:t>a</w:t>
      </w:r>
      <w:r w:rsidRPr="00BD141A">
        <w:rPr>
          <w:sz w:val="22"/>
          <w:szCs w:val="22"/>
          <w:lang w:val="sr-Latn-RS"/>
        </w:rPr>
        <w:t>lno se bolje rastvara u organskim rastvaračima.</w:t>
      </w:r>
    </w:p>
    <w:p w14:paraId="0E5B1484" w14:textId="77777777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</w:p>
    <w:p w14:paraId="572EC114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Resorpcija</w:t>
      </w:r>
    </w:p>
    <w:p w14:paraId="37B1EDCA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3FFC29D6" w14:textId="137FEC7D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 xml:space="preserve">Nakon oralne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e 600 mg (2</w:t>
      </w:r>
      <w:r w:rsidRPr="00BD141A">
        <w:rPr>
          <w:sz w:val="22"/>
          <w:szCs w:val="22"/>
          <w:lang w:val="sr-Latn-RS"/>
        </w:rPr>
        <w:t xml:space="preserve"> tablete od 300 mg)</w:t>
      </w:r>
      <w:r w:rsidR="007C42CC">
        <w:rPr>
          <w:sz w:val="22"/>
          <w:szCs w:val="22"/>
          <w:lang w:val="sr-Latn-RS"/>
        </w:rPr>
        <w:t xml:space="preserve"> dva puta dnevno</w:t>
      </w:r>
      <w:r w:rsidRPr="00BD141A">
        <w:rPr>
          <w:sz w:val="22"/>
          <w:szCs w:val="22"/>
          <w:lang w:val="sr-Latn-RS"/>
        </w:rPr>
        <w:t xml:space="preserve">, </w:t>
      </w:r>
      <w:r w:rsidR="008D4135">
        <w:rPr>
          <w:sz w:val="22"/>
          <w:szCs w:val="22"/>
          <w:lang w:val="sr-Latn-RS"/>
        </w:rPr>
        <w:t>maksimalne</w:t>
      </w:r>
      <w:r w:rsidRPr="00BD141A">
        <w:rPr>
          <w:sz w:val="22"/>
          <w:szCs w:val="22"/>
          <w:lang w:val="sr-Latn-RS"/>
        </w:rPr>
        <w:t xml:space="preserve"> koncentracije darolutamida u plazmi</w:t>
      </w:r>
      <w:r w:rsidR="007C42CC">
        <w:rPr>
          <w:sz w:val="22"/>
          <w:szCs w:val="22"/>
          <w:lang w:val="sr-Latn-RS"/>
        </w:rPr>
        <w:t xml:space="preserve"> u stanju </w:t>
      </w:r>
      <w:r w:rsidR="00AA223D">
        <w:rPr>
          <w:sz w:val="22"/>
          <w:szCs w:val="22"/>
          <w:lang w:val="sr-Latn-RS"/>
        </w:rPr>
        <w:t xml:space="preserve">dinamičke </w:t>
      </w:r>
      <w:r w:rsidR="007C42CC">
        <w:rPr>
          <w:sz w:val="22"/>
          <w:szCs w:val="22"/>
          <w:lang w:val="sr-Latn-RS"/>
        </w:rPr>
        <w:t>ravnoteže bile su</w:t>
      </w:r>
      <w:r w:rsidRPr="00BD141A">
        <w:rPr>
          <w:sz w:val="22"/>
          <w:szCs w:val="22"/>
          <w:lang w:val="sr-Latn-RS"/>
        </w:rPr>
        <w:t xml:space="preserve"> 4,79 mg/</w:t>
      </w:r>
      <w:r w:rsidR="00AA223D">
        <w:rPr>
          <w:sz w:val="22"/>
          <w:szCs w:val="22"/>
          <w:lang w:val="sr-Latn-RS"/>
        </w:rPr>
        <w:t>l</w:t>
      </w:r>
      <w:r w:rsidRPr="00BD141A">
        <w:rPr>
          <w:sz w:val="22"/>
          <w:szCs w:val="22"/>
          <w:lang w:val="sr-Latn-RS"/>
        </w:rPr>
        <w:t xml:space="preserve"> (koeficijent varijacije: 30,9%) </w:t>
      </w:r>
      <w:r w:rsidR="007C42CC" w:rsidRPr="007C42CC">
        <w:rPr>
          <w:sz w:val="22"/>
          <w:szCs w:val="22"/>
          <w:lang w:val="sr-Latn-RS"/>
        </w:rPr>
        <w:t>kod nmCRPC pacijenata u ARAMIS ispitivanju, odnosno 3</w:t>
      </w:r>
      <w:r w:rsidR="001C639E">
        <w:rPr>
          <w:sz w:val="22"/>
          <w:szCs w:val="22"/>
          <w:lang w:val="sr-Latn-RS"/>
        </w:rPr>
        <w:t>,</w:t>
      </w:r>
      <w:r w:rsidR="007C42CC" w:rsidRPr="007C42CC">
        <w:rPr>
          <w:sz w:val="22"/>
          <w:szCs w:val="22"/>
          <w:lang w:val="sr-Latn-RS"/>
        </w:rPr>
        <w:t>84 mg/</w:t>
      </w:r>
      <w:r w:rsidR="00AA223D">
        <w:rPr>
          <w:sz w:val="22"/>
          <w:szCs w:val="22"/>
          <w:lang w:val="sr-Latn-RS"/>
        </w:rPr>
        <w:t>l</w:t>
      </w:r>
      <w:r w:rsidR="007C42CC" w:rsidRPr="007C42CC">
        <w:rPr>
          <w:sz w:val="22"/>
          <w:szCs w:val="22"/>
          <w:lang w:val="sr-Latn-RS"/>
        </w:rPr>
        <w:t xml:space="preserve"> (koeficijent varijacije: 35,6%) kod mHSPC pacijenata u ARASENS ispitivanju</w:t>
      </w:r>
      <w:r w:rsidRPr="00BD141A">
        <w:rPr>
          <w:sz w:val="22"/>
          <w:szCs w:val="22"/>
          <w:lang w:val="sr-Latn-RS"/>
        </w:rPr>
        <w:t>.</w:t>
      </w:r>
      <w:r w:rsidR="007C42CC">
        <w:rPr>
          <w:sz w:val="22"/>
          <w:szCs w:val="22"/>
          <w:lang w:val="sr-Latn-RS"/>
        </w:rPr>
        <w:t xml:space="preserve"> </w:t>
      </w:r>
      <w:r w:rsidR="007C42CC" w:rsidRPr="007C42CC">
        <w:rPr>
          <w:sz w:val="22"/>
          <w:szCs w:val="22"/>
          <w:lang w:val="sr-Latn-RS"/>
        </w:rPr>
        <w:t>Medijana vremena do dostizanja maksimalne koncentracije u plazmi bila je 3 do 4 sata.</w:t>
      </w:r>
      <w:r w:rsidRPr="00BD141A">
        <w:rPr>
          <w:sz w:val="22"/>
          <w:szCs w:val="22"/>
          <w:lang w:val="sr-Latn-RS"/>
        </w:rPr>
        <w:t xml:space="preserve"> Odnos dva diastereoizomera, (</w:t>
      </w:r>
      <w:r w:rsidRPr="008D4135">
        <w:rPr>
          <w:i/>
          <w:iCs/>
          <w:sz w:val="22"/>
          <w:szCs w:val="22"/>
          <w:lang w:val="sr-Latn-RS"/>
        </w:rPr>
        <w:t>S,R</w:t>
      </w:r>
      <w:r w:rsidRPr="00BD141A">
        <w:rPr>
          <w:sz w:val="22"/>
          <w:szCs w:val="22"/>
          <w:lang w:val="sr-Latn-RS"/>
        </w:rPr>
        <w:t>)-darolutamid prema (</w:t>
      </w:r>
      <w:r w:rsidRPr="008D4135">
        <w:rPr>
          <w:i/>
          <w:iCs/>
          <w:sz w:val="22"/>
          <w:szCs w:val="22"/>
          <w:lang w:val="sr-Latn-RS"/>
        </w:rPr>
        <w:t>S,S</w:t>
      </w:r>
      <w:r w:rsidRPr="00BD141A">
        <w:rPr>
          <w:sz w:val="22"/>
          <w:szCs w:val="22"/>
          <w:lang w:val="sr-Latn-RS"/>
        </w:rPr>
        <w:t>)-darolutamid, m</w:t>
      </w:r>
      <w:r w:rsidR="00FB708E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 xml:space="preserve">enja se iz 1:1, koliko je u tableti, na približno 1:9 u plazmi, zasnovano na podacima o </w:t>
      </w:r>
      <w:r w:rsidR="008D4135">
        <w:rPr>
          <w:sz w:val="22"/>
          <w:szCs w:val="22"/>
          <w:lang w:val="sr-Latn-RS"/>
        </w:rPr>
        <w:t>PIK</w:t>
      </w:r>
      <w:r w:rsidRPr="00BD141A">
        <w:rPr>
          <w:sz w:val="22"/>
          <w:szCs w:val="22"/>
          <w:vertAlign w:val="subscript"/>
          <w:lang w:val="sr-Latn-RS"/>
        </w:rPr>
        <w:t>0-12</w:t>
      </w:r>
      <w:r w:rsidRPr="00BD141A">
        <w:rPr>
          <w:sz w:val="22"/>
          <w:szCs w:val="22"/>
          <w:lang w:val="sr-Latn-RS"/>
        </w:rPr>
        <w:t xml:space="preserve"> u </w:t>
      </w:r>
      <w:r w:rsidRPr="00BD141A">
        <w:rPr>
          <w:sz w:val="22"/>
          <w:szCs w:val="22"/>
          <w:lang w:val="sr-Latn-RS"/>
        </w:rPr>
        <w:lastRenderedPageBreak/>
        <w:t xml:space="preserve">ravnotežnom stanju. Nakon oralne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 xml:space="preserve">e </w:t>
      </w:r>
      <w:r w:rsidR="007B475F" w:rsidRPr="00BD141A">
        <w:rPr>
          <w:sz w:val="22"/>
          <w:szCs w:val="22"/>
          <w:lang w:val="sr-Latn-RS"/>
        </w:rPr>
        <w:t>lijek</w:t>
      </w:r>
      <w:r w:rsidRPr="00BD141A">
        <w:rPr>
          <w:sz w:val="22"/>
          <w:szCs w:val="22"/>
          <w:lang w:val="sr-Latn-RS"/>
        </w:rPr>
        <w:t>a sa hranom, ravnotežno stanje se dostiže nakon 2-5 dana ponovljenog doziranja dva puta dnevno.</w:t>
      </w:r>
    </w:p>
    <w:p w14:paraId="47DDCD36" w14:textId="2D3CFDCC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Nakon oralne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e na</w:t>
      </w:r>
      <w:r w:rsidR="00A77E6E">
        <w:rPr>
          <w:sz w:val="22"/>
          <w:szCs w:val="22"/>
          <w:lang w:val="sr-Latn-RS"/>
        </w:rPr>
        <w:t>ta</w:t>
      </w:r>
      <w:r w:rsidRPr="00BD141A">
        <w:rPr>
          <w:sz w:val="22"/>
          <w:szCs w:val="22"/>
          <w:lang w:val="sr-Latn-RS"/>
        </w:rPr>
        <w:t>šte tablete l</w:t>
      </w:r>
      <w:r w:rsidR="007B475F" w:rsidRPr="00BD141A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 xml:space="preserve">eka NUBEQA, koja sadrži 300 mg darolutamida, apsolutna bioraspoloživost, u poređenju sa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om putem intravenske injekcije, iznosi približno 30%. Bioraspoloživ</w:t>
      </w:r>
      <w:r w:rsidR="008D4135">
        <w:rPr>
          <w:sz w:val="22"/>
          <w:szCs w:val="22"/>
          <w:lang w:val="sr-Latn-RS"/>
        </w:rPr>
        <w:t>o</w:t>
      </w:r>
      <w:r w:rsidRPr="00BD141A">
        <w:rPr>
          <w:sz w:val="22"/>
          <w:szCs w:val="22"/>
          <w:lang w:val="sr-Latn-RS"/>
        </w:rPr>
        <w:t xml:space="preserve">st darolutamida bila je povećana 2,0 do 2,5 puta kada je </w:t>
      </w:r>
      <w:r w:rsidR="007B475F" w:rsidRPr="00BD141A">
        <w:rPr>
          <w:sz w:val="22"/>
          <w:szCs w:val="22"/>
          <w:lang w:val="sr-Latn-RS"/>
        </w:rPr>
        <w:t>lijek</w:t>
      </w:r>
      <w:r w:rsidRPr="00BD141A">
        <w:rPr>
          <w:sz w:val="22"/>
          <w:szCs w:val="22"/>
          <w:lang w:val="sr-Latn-RS"/>
        </w:rPr>
        <w:t xml:space="preserve"> bio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jen sa hranom. Slično povećanje izloženosti uočeno je i za glavni metabolit, ketodarolutamid.</w:t>
      </w:r>
    </w:p>
    <w:p w14:paraId="23165B9F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2BC5B5C9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Distribucija</w:t>
      </w:r>
    </w:p>
    <w:p w14:paraId="5ADB9D62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3631AFBD" w14:textId="4D9297FA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 xml:space="preserve">Prividni volumen distribucije darolutamida nakon intravenske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e iznosi 119</w:t>
      </w:r>
      <w:r w:rsidR="00446582">
        <w:rPr>
          <w:sz w:val="22"/>
          <w:szCs w:val="22"/>
        </w:rPr>
        <w:t xml:space="preserve"> </w:t>
      </w:r>
      <w:r w:rsidRPr="00BD141A">
        <w:rPr>
          <w:sz w:val="22"/>
          <w:szCs w:val="22"/>
        </w:rPr>
        <w:t xml:space="preserve">L, </w:t>
      </w:r>
      <w:r w:rsidRPr="00BD141A">
        <w:rPr>
          <w:sz w:val="22"/>
          <w:szCs w:val="22"/>
          <w:lang w:val="sr-Latn-RS"/>
        </w:rPr>
        <w:t xml:space="preserve">što </w:t>
      </w:r>
      <w:r w:rsidRPr="00BD141A">
        <w:rPr>
          <w:sz w:val="22"/>
          <w:szCs w:val="22"/>
        </w:rPr>
        <w:t>ukazuj</w:t>
      </w:r>
      <w:r w:rsidRPr="00BD141A">
        <w:rPr>
          <w:sz w:val="22"/>
          <w:szCs w:val="22"/>
          <w:lang w:val="sr-Latn-RS"/>
        </w:rPr>
        <w:t>e na to da se široko distribuira po t</w:t>
      </w:r>
      <w:r w:rsidR="00FB708E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elu, intracelularno i u ekstracelularnoj tečnosti.</w:t>
      </w:r>
    </w:p>
    <w:p w14:paraId="2B2FB828" w14:textId="0747C28F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Darolutamid se um</w:t>
      </w:r>
      <w:r w:rsidR="00FB708E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ereno (92%) vezuje za proteine humane plazme, bez razlike između dva diastereoizomera. Glavni metabolit darolutamida, ketodarolutamid, u velikoj m</w:t>
      </w:r>
      <w:r w:rsidR="00FB708E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eri je vezan za proteine humane plazme (99,8%).</w:t>
      </w:r>
    </w:p>
    <w:p w14:paraId="60B8AFD8" w14:textId="2E4D0DED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 xml:space="preserve">Prolazak darolutamida kroz krvno-moždanu barijeru nije klinički ispitan. Ipak, </w:t>
      </w:r>
      <w:r w:rsidRPr="00BD141A">
        <w:rPr>
          <w:sz w:val="22"/>
          <w:szCs w:val="22"/>
          <w:lang w:val="sr-Latn-RS"/>
        </w:rPr>
        <w:t>izloženost mozga</w:t>
      </w:r>
      <w:r w:rsidRPr="00BD141A">
        <w:rPr>
          <w:sz w:val="22"/>
          <w:szCs w:val="22"/>
        </w:rPr>
        <w:t xml:space="preserve"> darolutamidu</w:t>
      </w:r>
      <w:r w:rsidRPr="00BD141A">
        <w:rPr>
          <w:sz w:val="22"/>
          <w:szCs w:val="22"/>
          <w:lang w:val="sr-Latn-RS"/>
        </w:rPr>
        <w:t xml:space="preserve">, izraženo kao </w:t>
      </w:r>
      <w:r w:rsidR="008D4135">
        <w:rPr>
          <w:sz w:val="22"/>
          <w:szCs w:val="22"/>
          <w:lang w:val="sr-Latn-RS"/>
        </w:rPr>
        <w:t>PIK</w:t>
      </w:r>
      <w:r w:rsidRPr="00BD141A">
        <w:rPr>
          <w:sz w:val="22"/>
          <w:szCs w:val="22"/>
          <w:vertAlign w:val="subscript"/>
          <w:lang w:val="sr-Latn-RS"/>
        </w:rPr>
        <w:t>0-24</w:t>
      </w:r>
      <w:r w:rsidRPr="00BD141A">
        <w:rPr>
          <w:sz w:val="22"/>
          <w:szCs w:val="22"/>
          <w:lang w:val="sr-Latn-RS"/>
        </w:rPr>
        <w:t xml:space="preserve">, vrlo je niska i iznosi 4,5% izloženosti </w:t>
      </w:r>
      <w:r w:rsidR="008D4135">
        <w:rPr>
          <w:sz w:val="22"/>
          <w:szCs w:val="22"/>
          <w:lang w:val="sr-Latn-RS"/>
        </w:rPr>
        <w:t xml:space="preserve">u </w:t>
      </w:r>
      <w:r w:rsidRPr="00BD141A">
        <w:rPr>
          <w:sz w:val="22"/>
          <w:szCs w:val="22"/>
          <w:lang w:val="sr-Latn-RS"/>
        </w:rPr>
        <w:t>plazm</w:t>
      </w:r>
      <w:r w:rsidR="008D4135">
        <w:rPr>
          <w:sz w:val="22"/>
          <w:szCs w:val="22"/>
          <w:lang w:val="sr-Latn-RS"/>
        </w:rPr>
        <w:t>i</w:t>
      </w:r>
      <w:r w:rsidRPr="00BD141A">
        <w:rPr>
          <w:sz w:val="22"/>
          <w:szCs w:val="22"/>
        </w:rPr>
        <w:t xml:space="preserve"> nakon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e</w:t>
      </w:r>
      <w:r w:rsidRPr="00BD141A">
        <w:rPr>
          <w:sz w:val="22"/>
          <w:szCs w:val="22"/>
          <w:lang w:val="sr-Latn-RS"/>
        </w:rPr>
        <w:t xml:space="preserve"> pojedinačne doze kod pacova, odnosno 1,9-3,9% kod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e ponovljenih doza kod miš</w:t>
      </w:r>
      <w:r w:rsidR="008D4135">
        <w:rPr>
          <w:sz w:val="22"/>
          <w:szCs w:val="22"/>
          <w:lang w:val="sr-Latn-RS"/>
        </w:rPr>
        <w:t>ev</w:t>
      </w:r>
      <w:r w:rsidRPr="00BD141A">
        <w:rPr>
          <w:sz w:val="22"/>
          <w:szCs w:val="22"/>
          <w:lang w:val="sr-Latn-RS"/>
        </w:rPr>
        <w:t>a. Ovo ukazuje na slab prolazak darolutamida kroz intaktnu krvno-moždanu barijeru kod pacova i miševa i na malu v</w:t>
      </w:r>
      <w:r w:rsidR="00FB708E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erovatnoću prolaska darolutamida kroz intaktnu krvno-moždanu barijeru kod čoveka u klinički značajnoj m</w:t>
      </w:r>
      <w:r w:rsidR="00FB708E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eri.</w:t>
      </w:r>
    </w:p>
    <w:p w14:paraId="283EDF17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0F01453B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Biotransformacija</w:t>
      </w:r>
    </w:p>
    <w:p w14:paraId="3EC9B409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5B0CA1AC" w14:textId="3B07474A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>Diastereoizomeri (</w:t>
      </w:r>
      <w:r w:rsidRPr="008D4135">
        <w:rPr>
          <w:i/>
          <w:iCs/>
          <w:sz w:val="22"/>
          <w:szCs w:val="22"/>
        </w:rPr>
        <w:t>S</w:t>
      </w:r>
      <w:proofErr w:type="gramStart"/>
      <w:r w:rsidRPr="008D4135">
        <w:rPr>
          <w:i/>
          <w:iCs/>
          <w:sz w:val="22"/>
          <w:szCs w:val="22"/>
        </w:rPr>
        <w:t>,R</w:t>
      </w:r>
      <w:proofErr w:type="gramEnd"/>
      <w:r w:rsidRPr="00BD141A">
        <w:rPr>
          <w:sz w:val="22"/>
          <w:szCs w:val="22"/>
        </w:rPr>
        <w:t>)-darolutamid i (</w:t>
      </w:r>
      <w:r w:rsidRPr="008D4135">
        <w:rPr>
          <w:i/>
          <w:iCs/>
          <w:sz w:val="22"/>
          <w:szCs w:val="22"/>
        </w:rPr>
        <w:t>S,S</w:t>
      </w:r>
      <w:r w:rsidRPr="00BD141A">
        <w:rPr>
          <w:sz w:val="22"/>
          <w:szCs w:val="22"/>
        </w:rPr>
        <w:t>)-darolutamid mogu prela</w:t>
      </w:r>
      <w:r w:rsidRPr="00BD141A">
        <w:rPr>
          <w:sz w:val="22"/>
          <w:szCs w:val="22"/>
          <w:lang w:val="sr-Latn-RS"/>
        </w:rPr>
        <w:t>ziti jedan u drugi preko metabolita ketodarolutamida, sa većim ud</w:t>
      </w:r>
      <w:r w:rsidR="00FB708E">
        <w:rPr>
          <w:sz w:val="22"/>
          <w:szCs w:val="22"/>
          <w:lang w:val="sr-Latn-RS"/>
        </w:rPr>
        <w:t>j</w:t>
      </w:r>
      <w:r w:rsidRPr="00BD141A">
        <w:rPr>
          <w:sz w:val="22"/>
          <w:szCs w:val="22"/>
          <w:lang w:val="sr-Latn-RS"/>
        </w:rPr>
        <w:t>elom (</w:t>
      </w:r>
      <w:r w:rsidRPr="008D4135">
        <w:rPr>
          <w:i/>
          <w:iCs/>
          <w:sz w:val="22"/>
          <w:szCs w:val="22"/>
          <w:lang w:val="sr-Latn-RS"/>
        </w:rPr>
        <w:t>S,S</w:t>
      </w:r>
      <w:r w:rsidRPr="00BD141A">
        <w:rPr>
          <w:sz w:val="22"/>
          <w:szCs w:val="22"/>
          <w:lang w:val="sr-Latn-RS"/>
        </w:rPr>
        <w:t>)-darolutamida.</w:t>
      </w:r>
    </w:p>
    <w:p w14:paraId="0EA32C9D" w14:textId="4EE76A64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Nakon oralne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 xml:space="preserve">e pojedinačne doze od 300 mg </w:t>
      </w:r>
      <w:r w:rsidRPr="00BD141A">
        <w:rPr>
          <w:sz w:val="22"/>
          <w:szCs w:val="22"/>
          <w:vertAlign w:val="superscript"/>
          <w:lang w:val="sr-Latn-RS"/>
        </w:rPr>
        <w:t>14</w:t>
      </w:r>
      <w:r w:rsidRPr="00BD141A">
        <w:rPr>
          <w:sz w:val="22"/>
          <w:szCs w:val="22"/>
          <w:lang w:val="sr-Latn-RS"/>
        </w:rPr>
        <w:t xml:space="preserve">C-darolutamida, u obliku oralnog rastvora, ketodarolutamid je jedini glavni metabolit sa oko 2 puta većom ukupnom izloženošću u plazmi u poređenju sa darolutamidom. Darolutamid i ketodarolutamid zajedno su činili 87,4% od </w:t>
      </w:r>
      <w:r w:rsidRPr="00BD141A">
        <w:rPr>
          <w:sz w:val="22"/>
          <w:szCs w:val="22"/>
          <w:vertAlign w:val="superscript"/>
          <w:lang w:val="sr-Latn-RS"/>
        </w:rPr>
        <w:t>14</w:t>
      </w:r>
      <w:r w:rsidRPr="00BD141A">
        <w:rPr>
          <w:sz w:val="22"/>
          <w:szCs w:val="22"/>
          <w:lang w:val="sr-Latn-RS"/>
        </w:rPr>
        <w:t>C-radioaktivnosti u plazmi, što ukazuje na to da su svi drugi metaboliti</w:t>
      </w:r>
      <w:r w:rsidR="008D4135">
        <w:rPr>
          <w:sz w:val="22"/>
          <w:szCs w:val="22"/>
          <w:lang w:val="sr-Latn-RS"/>
        </w:rPr>
        <w:t xml:space="preserve"> od</w:t>
      </w:r>
      <w:r w:rsidRPr="00BD141A">
        <w:rPr>
          <w:sz w:val="22"/>
          <w:szCs w:val="22"/>
          <w:lang w:val="sr-Latn-RS"/>
        </w:rPr>
        <w:t xml:space="preserve"> manje</w:t>
      </w:r>
      <w:r w:rsidR="008D4135">
        <w:rPr>
          <w:sz w:val="22"/>
          <w:szCs w:val="22"/>
          <w:lang w:val="sr-Latn-RS"/>
        </w:rPr>
        <w:t>g</w:t>
      </w:r>
      <w:r w:rsidRPr="00BD141A">
        <w:rPr>
          <w:sz w:val="22"/>
          <w:szCs w:val="22"/>
          <w:lang w:val="sr-Latn-RS"/>
        </w:rPr>
        <w:t xml:space="preserve"> </w:t>
      </w:r>
      <w:r w:rsidR="008D4135">
        <w:rPr>
          <w:sz w:val="22"/>
          <w:szCs w:val="22"/>
          <w:lang w:val="sr-Latn-RS"/>
        </w:rPr>
        <w:t>značaja</w:t>
      </w:r>
      <w:r w:rsidRPr="00BD141A">
        <w:rPr>
          <w:sz w:val="22"/>
          <w:szCs w:val="22"/>
          <w:lang w:val="sr-Latn-RS"/>
        </w:rPr>
        <w:t>.</w:t>
      </w:r>
    </w:p>
    <w:p w14:paraId="24F33072" w14:textId="1EE95459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>Darolutamid se prvenstveno metaboliše oksidativnim metabolizmom posredovanim uglavnom CYP3A4, kao i direktnom glukuronidacijom, posredovanom prvenstveno UGT1A9 i UGT1A1. Osim toga, pokazano je da redukciju ketodarolutamida u diastereomere supstance, katalizuju uglavnom izoforme AKR1C.</w:t>
      </w:r>
    </w:p>
    <w:p w14:paraId="20963BBD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3E7E8F96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Eliminacija</w:t>
      </w:r>
    </w:p>
    <w:p w14:paraId="185743BD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66CE5FC2" w14:textId="32AA0789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Efektivno polu</w:t>
      </w:r>
      <w:r w:rsidR="00457204">
        <w:rPr>
          <w:sz w:val="22"/>
          <w:szCs w:val="22"/>
        </w:rPr>
        <w:t>vrijem</w:t>
      </w:r>
      <w:r w:rsidRPr="00BD141A">
        <w:rPr>
          <w:sz w:val="22"/>
          <w:szCs w:val="22"/>
        </w:rPr>
        <w:t xml:space="preserve">e eliminacije darolutamida i ketodarolutamida u plazmi pacijenata iznosi približno </w:t>
      </w:r>
      <w:r w:rsidR="007C42CC">
        <w:rPr>
          <w:sz w:val="22"/>
          <w:szCs w:val="22"/>
        </w:rPr>
        <w:t xml:space="preserve">18 do </w:t>
      </w:r>
      <w:r w:rsidRPr="00BD141A">
        <w:rPr>
          <w:sz w:val="22"/>
          <w:szCs w:val="22"/>
        </w:rPr>
        <w:t xml:space="preserve">20 sati. Od dva diastereomera koji </w:t>
      </w:r>
      <w:r w:rsidRPr="00BD141A">
        <w:rPr>
          <w:sz w:val="22"/>
          <w:szCs w:val="22"/>
          <w:lang w:val="sr-Latn-RS"/>
        </w:rPr>
        <w:t>čine</w:t>
      </w:r>
      <w:r w:rsidRPr="00BD141A">
        <w:rPr>
          <w:sz w:val="22"/>
          <w:szCs w:val="22"/>
        </w:rPr>
        <w:t xml:space="preserve"> darolutamid, (</w:t>
      </w:r>
      <w:r w:rsidRPr="008D4135">
        <w:rPr>
          <w:i/>
          <w:iCs/>
          <w:sz w:val="22"/>
          <w:szCs w:val="22"/>
        </w:rPr>
        <w:t>S, R</w:t>
      </w:r>
      <w:r w:rsidRPr="00BD141A">
        <w:rPr>
          <w:sz w:val="22"/>
          <w:szCs w:val="22"/>
        </w:rPr>
        <w:t>)-darolutamid ima kraće efektivno poluvr</w:t>
      </w:r>
      <w:r w:rsidR="00FB708E">
        <w:rPr>
          <w:sz w:val="22"/>
          <w:szCs w:val="22"/>
        </w:rPr>
        <w:t>ij</w:t>
      </w:r>
      <w:r w:rsidR="008D4135">
        <w:rPr>
          <w:sz w:val="22"/>
          <w:szCs w:val="22"/>
        </w:rPr>
        <w:t>e</w:t>
      </w:r>
      <w:r w:rsidRPr="00BD141A">
        <w:rPr>
          <w:sz w:val="22"/>
          <w:szCs w:val="22"/>
        </w:rPr>
        <w:t>me eliminacije od 9 sati, u poređenju sa (</w:t>
      </w:r>
      <w:r w:rsidRPr="008D4135">
        <w:rPr>
          <w:i/>
          <w:iCs/>
          <w:sz w:val="22"/>
          <w:szCs w:val="22"/>
        </w:rPr>
        <w:t>S, S</w:t>
      </w:r>
      <w:r w:rsidRPr="00BD141A">
        <w:rPr>
          <w:sz w:val="22"/>
          <w:szCs w:val="22"/>
        </w:rPr>
        <w:t>)-darolutamidom koji ima efektivno polu</w:t>
      </w:r>
      <w:r w:rsidR="00457204">
        <w:rPr>
          <w:sz w:val="22"/>
          <w:szCs w:val="22"/>
        </w:rPr>
        <w:t>vrijem</w:t>
      </w:r>
      <w:r w:rsidRPr="00BD141A">
        <w:rPr>
          <w:sz w:val="22"/>
          <w:szCs w:val="22"/>
        </w:rPr>
        <w:t xml:space="preserve">e eliminacije od 22 sata. Klirens darolutamida nakon intravenske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e bio je 116 mL/min (CV: 39,7%). Ukupno 63,4% jedinjenja povezanih sa aktivnom supstancom izlučuje se urinom (približno 7% u neprom</w:t>
      </w:r>
      <w:r w:rsidR="00FB708E">
        <w:rPr>
          <w:sz w:val="22"/>
          <w:szCs w:val="22"/>
        </w:rPr>
        <w:t>ij</w:t>
      </w:r>
      <w:r w:rsidRPr="00BD141A">
        <w:rPr>
          <w:sz w:val="22"/>
          <w:szCs w:val="22"/>
        </w:rPr>
        <w:t>enjenom o</w:t>
      </w:r>
      <w:r w:rsidR="00920823">
        <w:rPr>
          <w:sz w:val="22"/>
          <w:szCs w:val="22"/>
        </w:rPr>
        <w:t>b</w:t>
      </w:r>
      <w:r w:rsidRPr="00BD141A">
        <w:rPr>
          <w:sz w:val="22"/>
          <w:szCs w:val="22"/>
        </w:rPr>
        <w:t xml:space="preserve">liku), a 32,4% se izlučuje fecesom. Više od 95% doze </w:t>
      </w:r>
      <w:r w:rsidR="0078283F">
        <w:rPr>
          <w:sz w:val="22"/>
          <w:szCs w:val="22"/>
        </w:rPr>
        <w:t>bilo je prikupljeno</w:t>
      </w:r>
      <w:r w:rsidRPr="00BD141A">
        <w:rPr>
          <w:sz w:val="22"/>
          <w:szCs w:val="22"/>
        </w:rPr>
        <w:t xml:space="preserve"> u roku od 7 dana nakon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e.</w:t>
      </w:r>
    </w:p>
    <w:p w14:paraId="163C74DD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285BFE87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Linearnost/nelinearnost</w:t>
      </w:r>
    </w:p>
    <w:p w14:paraId="6C405C61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7C24DF2F" w14:textId="10296EBB" w:rsidR="00A31BA4" w:rsidRPr="00BD141A" w:rsidRDefault="00A31BA4" w:rsidP="00A31BA4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</w:rPr>
        <w:t xml:space="preserve">U rasponu doza od 100 do 700 mg </w:t>
      </w:r>
      <w:r w:rsidRPr="00BD141A">
        <w:rPr>
          <w:sz w:val="22"/>
          <w:szCs w:val="22"/>
          <w:lang w:val="sr-Latn-RS"/>
        </w:rPr>
        <w:t xml:space="preserve">(nakon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e pojedinačne doze i u stanju ravnoteže), izloženost dv</w:t>
      </w:r>
      <w:r w:rsidR="008D4135">
        <w:rPr>
          <w:sz w:val="22"/>
          <w:szCs w:val="22"/>
          <w:lang w:val="sr-Latn-RS"/>
        </w:rPr>
        <w:t>o</w:t>
      </w:r>
      <w:r w:rsidRPr="00BD141A">
        <w:rPr>
          <w:sz w:val="22"/>
          <w:szCs w:val="22"/>
          <w:lang w:val="sr-Latn-RS"/>
        </w:rPr>
        <w:t>ma diastereoizomerima i glavnom metabolitu ketodarolutamidu povećava se linearno, gotovo na dozno</w:t>
      </w:r>
      <w:r w:rsidR="0078283F">
        <w:rPr>
          <w:sz w:val="22"/>
          <w:szCs w:val="22"/>
          <w:lang w:val="sr-Latn-RS"/>
        </w:rPr>
        <w:t xml:space="preserve"> </w:t>
      </w:r>
      <w:r w:rsidRPr="00BD141A">
        <w:rPr>
          <w:sz w:val="22"/>
          <w:szCs w:val="22"/>
          <w:lang w:val="sr-Latn-RS"/>
        </w:rPr>
        <w:t>zavis</w:t>
      </w:r>
      <w:r w:rsidR="0078283F">
        <w:rPr>
          <w:sz w:val="22"/>
          <w:szCs w:val="22"/>
          <w:lang w:val="sr-Latn-RS"/>
        </w:rPr>
        <w:t>t</w:t>
      </w:r>
      <w:r w:rsidRPr="00BD141A">
        <w:rPr>
          <w:sz w:val="22"/>
          <w:szCs w:val="22"/>
          <w:lang w:val="sr-Latn-RS"/>
        </w:rPr>
        <w:t>an način. Na osnovu saturaci</w:t>
      </w:r>
      <w:r w:rsidR="008D4135">
        <w:rPr>
          <w:sz w:val="22"/>
          <w:szCs w:val="22"/>
          <w:lang w:val="sr-Latn-RS"/>
        </w:rPr>
        <w:t>one</w:t>
      </w:r>
      <w:r w:rsidRPr="00BD141A">
        <w:rPr>
          <w:sz w:val="22"/>
          <w:szCs w:val="22"/>
          <w:lang w:val="sr-Latn-RS"/>
        </w:rPr>
        <w:t xml:space="preserve"> resorpcije, nije uočeno dalje povećane izloženosti darolutamidu pri </w:t>
      </w:r>
      <w:r w:rsidR="00591AA0" w:rsidRPr="00BD141A">
        <w:rPr>
          <w:sz w:val="22"/>
          <w:szCs w:val="22"/>
          <w:lang w:val="sr-Latn-RS"/>
        </w:rPr>
        <w:t>primjen</w:t>
      </w:r>
      <w:r w:rsidRPr="00BD141A">
        <w:rPr>
          <w:sz w:val="22"/>
          <w:szCs w:val="22"/>
          <w:lang w:val="sr-Latn-RS"/>
        </w:rPr>
        <w:t>i 900 mg dva puta dnevno.</w:t>
      </w:r>
    </w:p>
    <w:p w14:paraId="2D930849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7CB195E2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Posebne populacije</w:t>
      </w:r>
    </w:p>
    <w:p w14:paraId="43CFF63D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1C2654CF" w14:textId="77777777" w:rsidR="00A31BA4" w:rsidRPr="00BD141A" w:rsidRDefault="00A31BA4" w:rsidP="00A31BA4">
      <w:pPr>
        <w:jc w:val="both"/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</w:rPr>
        <w:t>Stariji pacijenti</w:t>
      </w:r>
    </w:p>
    <w:p w14:paraId="05904A17" w14:textId="236DBBCE" w:rsidR="00A31BA4" w:rsidRPr="00BD141A" w:rsidRDefault="00591AA0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Nijesu</w:t>
      </w:r>
      <w:r w:rsidR="00A31BA4" w:rsidRPr="00BD141A">
        <w:rPr>
          <w:sz w:val="22"/>
          <w:szCs w:val="22"/>
        </w:rPr>
        <w:t xml:space="preserve"> prim</w:t>
      </w:r>
      <w:r w:rsidR="00FB708E">
        <w:rPr>
          <w:sz w:val="22"/>
          <w:szCs w:val="22"/>
        </w:rPr>
        <w:t>j</w:t>
      </w:r>
      <w:r w:rsidR="00A31BA4" w:rsidRPr="00BD141A">
        <w:rPr>
          <w:sz w:val="22"/>
          <w:szCs w:val="22"/>
        </w:rPr>
        <w:t>ećene klinički značajne razlike u farmakokinetici darolutamida (65-95 godina).</w:t>
      </w:r>
    </w:p>
    <w:p w14:paraId="0B771360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722EF422" w14:textId="77777777" w:rsidR="00A31BA4" w:rsidRPr="00BD141A" w:rsidRDefault="00A31BA4" w:rsidP="00A31BA4">
      <w:pPr>
        <w:jc w:val="both"/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</w:rPr>
        <w:t>Oštećenje funkcije bubrega</w:t>
      </w:r>
    </w:p>
    <w:p w14:paraId="0E58A747" w14:textId="30C54CF4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lastRenderedPageBreak/>
        <w:t xml:space="preserve">U kliničkom ispitivanju farmakokinetike, </w:t>
      </w:r>
      <w:r w:rsidR="00BD141A" w:rsidRPr="00BD141A">
        <w:rPr>
          <w:sz w:val="22"/>
          <w:szCs w:val="22"/>
        </w:rPr>
        <w:t>vrijedno</w:t>
      </w:r>
      <w:r w:rsidRPr="00BD141A">
        <w:rPr>
          <w:sz w:val="22"/>
          <w:szCs w:val="22"/>
        </w:rPr>
        <w:t xml:space="preserve">sti </w:t>
      </w:r>
      <w:r w:rsidR="008D4135">
        <w:rPr>
          <w:sz w:val="22"/>
          <w:szCs w:val="22"/>
        </w:rPr>
        <w:t>PIK</w:t>
      </w:r>
      <w:r w:rsidRPr="00BD141A">
        <w:rPr>
          <w:sz w:val="22"/>
          <w:szCs w:val="22"/>
        </w:rPr>
        <w:t xml:space="preserve"> i C</w:t>
      </w:r>
      <w:r w:rsidRPr="00BD141A">
        <w:rPr>
          <w:sz w:val="22"/>
          <w:szCs w:val="22"/>
          <w:vertAlign w:val="subscript"/>
        </w:rPr>
        <w:t>max</w:t>
      </w:r>
      <w:r w:rsidRPr="00BD141A">
        <w:rPr>
          <w:sz w:val="22"/>
          <w:szCs w:val="22"/>
        </w:rPr>
        <w:t xml:space="preserve"> za darolutamid bile su 2,5 i 1,6 puta veće kod pacijenata sa teškim oštećenjem funkcije bubrega (proc</w:t>
      </w:r>
      <w:r w:rsidR="00C51C60" w:rsidRPr="00BD141A">
        <w:rPr>
          <w:sz w:val="22"/>
          <w:szCs w:val="22"/>
        </w:rPr>
        <w:t>ij</w:t>
      </w:r>
      <w:r w:rsidRPr="00BD141A">
        <w:rPr>
          <w:sz w:val="22"/>
          <w:szCs w:val="22"/>
        </w:rPr>
        <w:t>enjena brzina glomerularne filtracije [eGFR] od 15 do 29 mL/min/1,73 m</w:t>
      </w:r>
      <w:r w:rsidRPr="00BD141A">
        <w:rPr>
          <w:sz w:val="22"/>
          <w:szCs w:val="22"/>
          <w:vertAlign w:val="superscript"/>
        </w:rPr>
        <w:t>2</w:t>
      </w:r>
      <w:r w:rsidRPr="00BD141A">
        <w:rPr>
          <w:sz w:val="22"/>
          <w:szCs w:val="22"/>
        </w:rPr>
        <w:t>) nego kod zdravih dobrovoljaca.</w:t>
      </w:r>
    </w:p>
    <w:p w14:paraId="7A160A0F" w14:textId="7A7746FB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Populaciona farmako</w:t>
      </w:r>
      <w:r w:rsidRPr="00BD141A">
        <w:rPr>
          <w:sz w:val="22"/>
          <w:szCs w:val="22"/>
          <w:lang w:val="sr-Latn-RS"/>
        </w:rPr>
        <w:t>kinetička analiza</w:t>
      </w:r>
      <w:r w:rsidRPr="00BD141A">
        <w:rPr>
          <w:sz w:val="22"/>
          <w:szCs w:val="22"/>
        </w:rPr>
        <w:t xml:space="preserve"> ukazuje na 1,1</w:t>
      </w:r>
      <w:r w:rsidR="008D4135">
        <w:rPr>
          <w:sz w:val="22"/>
          <w:szCs w:val="22"/>
        </w:rPr>
        <w:t>-</w:t>
      </w:r>
      <w:r w:rsidRPr="00BD141A">
        <w:rPr>
          <w:sz w:val="22"/>
          <w:szCs w:val="22"/>
        </w:rPr>
        <w:t>, 1,3</w:t>
      </w:r>
      <w:r w:rsidR="008D4135">
        <w:rPr>
          <w:sz w:val="22"/>
          <w:szCs w:val="22"/>
        </w:rPr>
        <w:t>-</w:t>
      </w:r>
      <w:r w:rsidRPr="00BD141A">
        <w:rPr>
          <w:sz w:val="22"/>
          <w:szCs w:val="22"/>
        </w:rPr>
        <w:t xml:space="preserve"> i približno 1,5 puta veću izloženost (</w:t>
      </w:r>
      <w:r w:rsidR="008D4135">
        <w:rPr>
          <w:sz w:val="22"/>
          <w:szCs w:val="22"/>
        </w:rPr>
        <w:t>PIK</w:t>
      </w:r>
      <w:r w:rsidRPr="00BD141A">
        <w:rPr>
          <w:sz w:val="22"/>
          <w:szCs w:val="22"/>
        </w:rPr>
        <w:t>) darolutamidu kod pacijenata sa blagim, um</w:t>
      </w:r>
      <w:r w:rsidR="00FB708E">
        <w:rPr>
          <w:sz w:val="22"/>
          <w:szCs w:val="22"/>
        </w:rPr>
        <w:t>j</w:t>
      </w:r>
      <w:r w:rsidRPr="00BD141A">
        <w:rPr>
          <w:sz w:val="22"/>
          <w:szCs w:val="22"/>
        </w:rPr>
        <w:t>erenim, odnosno teškim oštećenjem funkcije bubrega (eGFR od 15 do 89 mL/min/1,73 m</w:t>
      </w:r>
      <w:r w:rsidRPr="00BD141A">
        <w:rPr>
          <w:sz w:val="22"/>
          <w:szCs w:val="22"/>
          <w:vertAlign w:val="superscript"/>
        </w:rPr>
        <w:t>2</w:t>
      </w:r>
      <w:r w:rsidRPr="00BD141A">
        <w:rPr>
          <w:sz w:val="22"/>
          <w:szCs w:val="22"/>
        </w:rPr>
        <w:t>) nego kod pacijenata sa normalnom funkcijom bubrega.</w:t>
      </w:r>
    </w:p>
    <w:p w14:paraId="3A8CD54A" w14:textId="77777777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Farmakokinetika darolutamida nije ispitivana kod pacijenata sa krajnjim stadijumom bolesti bubrega na dijalizi (eGFR &lt; 15 mL/min/1,73 m</w:t>
      </w:r>
      <w:r w:rsidRPr="00BD141A">
        <w:rPr>
          <w:sz w:val="22"/>
          <w:szCs w:val="22"/>
          <w:vertAlign w:val="superscript"/>
        </w:rPr>
        <w:t>2</w:t>
      </w:r>
      <w:r w:rsidRPr="00BD141A">
        <w:rPr>
          <w:sz w:val="22"/>
          <w:szCs w:val="22"/>
        </w:rPr>
        <w:t>).</w:t>
      </w:r>
    </w:p>
    <w:p w14:paraId="47DF4AD4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5C4683C7" w14:textId="77777777" w:rsidR="00A31BA4" w:rsidRPr="00BD141A" w:rsidRDefault="00A31BA4" w:rsidP="00A31BA4">
      <w:pPr>
        <w:jc w:val="both"/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</w:rPr>
        <w:t>Oštećenje funkcije jetre</w:t>
      </w:r>
    </w:p>
    <w:p w14:paraId="183A3E31" w14:textId="773E0279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 xml:space="preserve">U kliničkom ispitivanju farmakokinetike, </w:t>
      </w:r>
      <w:r w:rsidR="00BD141A" w:rsidRPr="00BD141A">
        <w:rPr>
          <w:sz w:val="22"/>
          <w:szCs w:val="22"/>
        </w:rPr>
        <w:t>vrijedno</w:t>
      </w:r>
      <w:r w:rsidRPr="00BD141A">
        <w:rPr>
          <w:sz w:val="22"/>
          <w:szCs w:val="22"/>
        </w:rPr>
        <w:t>sti C</w:t>
      </w:r>
      <w:r w:rsidRPr="00BD141A">
        <w:rPr>
          <w:sz w:val="22"/>
          <w:szCs w:val="22"/>
          <w:vertAlign w:val="subscript"/>
        </w:rPr>
        <w:t>max</w:t>
      </w:r>
      <w:r w:rsidRPr="00BD141A">
        <w:rPr>
          <w:sz w:val="22"/>
          <w:szCs w:val="22"/>
        </w:rPr>
        <w:t xml:space="preserve"> i </w:t>
      </w:r>
      <w:r w:rsidR="008D4135">
        <w:rPr>
          <w:sz w:val="22"/>
          <w:szCs w:val="22"/>
        </w:rPr>
        <w:t>PIK</w:t>
      </w:r>
      <w:r w:rsidRPr="00BD141A">
        <w:rPr>
          <w:sz w:val="22"/>
          <w:szCs w:val="22"/>
        </w:rPr>
        <w:t xml:space="preserve"> za darolutamid bile su 1,5 i 1,9 puta veće kod pacijenata sa um</w:t>
      </w:r>
      <w:r w:rsidR="00FB708E">
        <w:rPr>
          <w:sz w:val="22"/>
          <w:szCs w:val="22"/>
        </w:rPr>
        <w:t>j</w:t>
      </w:r>
      <w:r w:rsidRPr="00BD141A">
        <w:rPr>
          <w:sz w:val="22"/>
          <w:szCs w:val="22"/>
        </w:rPr>
        <w:t>erenim oštećenjem funkcije jetre (Child-Pugh stadijum B) nego kod zdravih dobrovoljaca. Nema podataka za pacijente sa teškim oštećenjem funkcije jetre (Child-Pugh stadijum C).</w:t>
      </w:r>
    </w:p>
    <w:p w14:paraId="0D708990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315A0FC9" w14:textId="77777777" w:rsidR="00A31BA4" w:rsidRPr="00BD141A" w:rsidRDefault="00A31BA4" w:rsidP="00A31BA4">
      <w:pPr>
        <w:jc w:val="both"/>
        <w:rPr>
          <w:i/>
          <w:iCs/>
          <w:sz w:val="22"/>
          <w:szCs w:val="22"/>
        </w:rPr>
      </w:pPr>
      <w:r w:rsidRPr="00BD141A">
        <w:rPr>
          <w:i/>
          <w:iCs/>
          <w:sz w:val="22"/>
          <w:szCs w:val="22"/>
        </w:rPr>
        <w:t>Etničke razlike</w:t>
      </w:r>
    </w:p>
    <w:p w14:paraId="671C6DE1" w14:textId="4BBC6CF8" w:rsidR="00A31BA4" w:rsidRPr="00BD141A" w:rsidRDefault="00591AA0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Nijesu</w:t>
      </w:r>
      <w:r w:rsidR="00A31BA4" w:rsidRPr="00BD141A">
        <w:rPr>
          <w:sz w:val="22"/>
          <w:szCs w:val="22"/>
        </w:rPr>
        <w:t xml:space="preserve"> uočene klinički značajne razlike u farmakokinetici darolutamida na osnovu etničke pripadnosti (b</w:t>
      </w:r>
      <w:r w:rsidR="00FB708E">
        <w:rPr>
          <w:sz w:val="22"/>
          <w:szCs w:val="22"/>
        </w:rPr>
        <w:t>ij</w:t>
      </w:r>
      <w:r w:rsidR="00A31BA4" w:rsidRPr="00BD141A">
        <w:rPr>
          <w:sz w:val="22"/>
          <w:szCs w:val="22"/>
        </w:rPr>
        <w:t>el</w:t>
      </w:r>
      <w:r w:rsidR="008D4135">
        <w:rPr>
          <w:sz w:val="22"/>
          <w:szCs w:val="22"/>
        </w:rPr>
        <w:t>a rasa</w:t>
      </w:r>
      <w:r w:rsidR="00A31BA4" w:rsidRPr="00BD141A">
        <w:rPr>
          <w:sz w:val="22"/>
          <w:szCs w:val="22"/>
        </w:rPr>
        <w:t xml:space="preserve">, Japanci, Azijati osim </w:t>
      </w:r>
      <w:r w:rsidR="00FB708E">
        <w:rPr>
          <w:sz w:val="22"/>
          <w:szCs w:val="22"/>
        </w:rPr>
        <w:t>J</w:t>
      </w:r>
      <w:r w:rsidR="00A31BA4" w:rsidRPr="00BD141A">
        <w:rPr>
          <w:sz w:val="22"/>
          <w:szCs w:val="22"/>
        </w:rPr>
        <w:t>apanaca, crn</w:t>
      </w:r>
      <w:r w:rsidR="008D4135">
        <w:rPr>
          <w:sz w:val="22"/>
          <w:szCs w:val="22"/>
        </w:rPr>
        <w:t>a rasa</w:t>
      </w:r>
      <w:r w:rsidR="00A31BA4" w:rsidRPr="00BD141A">
        <w:rPr>
          <w:sz w:val="22"/>
          <w:szCs w:val="22"/>
        </w:rPr>
        <w:t xml:space="preserve"> ili Afroamerikanci). Populac</w:t>
      </w:r>
      <w:r w:rsidR="00FB708E">
        <w:rPr>
          <w:sz w:val="22"/>
          <w:szCs w:val="22"/>
        </w:rPr>
        <w:t>iona</w:t>
      </w:r>
      <w:r w:rsidR="00A31BA4" w:rsidRPr="00BD141A">
        <w:rPr>
          <w:sz w:val="22"/>
          <w:szCs w:val="22"/>
        </w:rPr>
        <w:t xml:space="preserve"> farmakokinetička analiza pokazala je</w:t>
      </w:r>
      <w:r w:rsidR="007C42CC" w:rsidRPr="007C42CC">
        <w:rPr>
          <w:sz w:val="22"/>
          <w:szCs w:val="22"/>
        </w:rPr>
        <w:t xml:space="preserve"> geometrijsku sredinu povećanja izloženosti (PIK) do</w:t>
      </w:r>
      <w:r w:rsidR="00A31BA4" w:rsidRPr="00BD141A">
        <w:rPr>
          <w:sz w:val="22"/>
          <w:szCs w:val="22"/>
        </w:rPr>
        <w:t xml:space="preserve"> 1,</w:t>
      </w:r>
      <w:r w:rsidR="007C42CC">
        <w:rPr>
          <w:sz w:val="22"/>
          <w:szCs w:val="22"/>
        </w:rPr>
        <w:t>56</w:t>
      </w:r>
      <w:r w:rsidR="007C42CC" w:rsidRPr="00BD141A">
        <w:rPr>
          <w:sz w:val="22"/>
          <w:szCs w:val="22"/>
        </w:rPr>
        <w:t xml:space="preserve"> </w:t>
      </w:r>
      <w:r w:rsidR="00A31BA4" w:rsidRPr="00BD141A">
        <w:rPr>
          <w:sz w:val="22"/>
          <w:szCs w:val="22"/>
        </w:rPr>
        <w:t xml:space="preserve">puta </w:t>
      </w:r>
      <w:r w:rsidR="007C42CC" w:rsidRPr="00F44A47">
        <w:rPr>
          <w:szCs w:val="22"/>
        </w:rPr>
        <w:t>(90% CI: 1</w:t>
      </w:r>
      <w:r w:rsidR="007C42CC">
        <w:rPr>
          <w:szCs w:val="22"/>
        </w:rPr>
        <w:t>,</w:t>
      </w:r>
      <w:r w:rsidR="007C42CC" w:rsidRPr="00F44A47">
        <w:rPr>
          <w:szCs w:val="22"/>
        </w:rPr>
        <w:t xml:space="preserve">43 </w:t>
      </w:r>
      <w:r w:rsidR="007C42CC">
        <w:rPr>
          <w:szCs w:val="22"/>
        </w:rPr>
        <w:t>d</w:t>
      </w:r>
      <w:r w:rsidR="007C42CC" w:rsidRPr="00F44A47">
        <w:rPr>
          <w:szCs w:val="22"/>
        </w:rPr>
        <w:t>o 1</w:t>
      </w:r>
      <w:r w:rsidR="007C42CC">
        <w:rPr>
          <w:szCs w:val="22"/>
        </w:rPr>
        <w:t>,</w:t>
      </w:r>
      <w:r w:rsidR="007C42CC" w:rsidRPr="00F44A47">
        <w:rPr>
          <w:szCs w:val="22"/>
        </w:rPr>
        <w:t>70)</w:t>
      </w:r>
      <w:r w:rsidR="00A31BA4" w:rsidRPr="00BD141A">
        <w:rPr>
          <w:sz w:val="22"/>
          <w:szCs w:val="22"/>
        </w:rPr>
        <w:t xml:space="preserve"> kod japanskih pacijenata u pore</w:t>
      </w:r>
      <w:r w:rsidR="00A31BA4" w:rsidRPr="00BD141A">
        <w:rPr>
          <w:sz w:val="22"/>
          <w:szCs w:val="22"/>
          <w:lang w:val="sr-Latn-RS"/>
        </w:rPr>
        <w:t>đenju sa pacijentima</w:t>
      </w:r>
      <w:r w:rsidR="00A31BA4" w:rsidRPr="00BD141A">
        <w:rPr>
          <w:sz w:val="22"/>
          <w:szCs w:val="22"/>
        </w:rPr>
        <w:t xml:space="preserve"> iz svih ostalih regija</w:t>
      </w:r>
      <w:r w:rsidR="007C42CC" w:rsidRPr="007C42CC">
        <w:rPr>
          <w:sz w:val="22"/>
          <w:szCs w:val="22"/>
        </w:rPr>
        <w:t xml:space="preserve"> u oba ispitivanja, ARAMIS i ARASENS</w:t>
      </w:r>
      <w:r w:rsidR="00A31BA4" w:rsidRPr="00BD141A">
        <w:rPr>
          <w:sz w:val="22"/>
          <w:szCs w:val="22"/>
        </w:rPr>
        <w:t>.</w:t>
      </w:r>
    </w:p>
    <w:p w14:paraId="2E1BCFB3" w14:textId="77777777" w:rsidR="00A31BA4" w:rsidRPr="00BD141A" w:rsidRDefault="00A31BA4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1DA9745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5.3.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 xml:space="preserve">Pretklinički podaci o bezbjednosti </w:t>
      </w:r>
    </w:p>
    <w:p w14:paraId="29E9F594" w14:textId="0292DF08" w:rsidR="00836B35" w:rsidRPr="00BD141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1CDEACD" w14:textId="77777777" w:rsidR="00A31BA4" w:rsidRPr="00BD141A" w:rsidRDefault="00A31BA4" w:rsidP="00A31BA4">
      <w:pPr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Sistemska toksičnost</w:t>
      </w:r>
    </w:p>
    <w:p w14:paraId="63B5A3E5" w14:textId="77777777" w:rsidR="00A31BA4" w:rsidRPr="00BD141A" w:rsidRDefault="00A31BA4" w:rsidP="00A31BA4">
      <w:pPr>
        <w:rPr>
          <w:sz w:val="22"/>
          <w:szCs w:val="22"/>
        </w:rPr>
      </w:pPr>
    </w:p>
    <w:p w14:paraId="4A5D77D6" w14:textId="0DA997E8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U ispitivanjima toksičnosti ponovljenih doza na pacovima i psima, glavni nalaz bile su prom</w:t>
      </w:r>
      <w:r w:rsidR="00E556F5">
        <w:rPr>
          <w:sz w:val="22"/>
          <w:szCs w:val="22"/>
        </w:rPr>
        <w:t>j</w:t>
      </w:r>
      <w:r w:rsidRPr="00BD141A">
        <w:rPr>
          <w:sz w:val="22"/>
          <w:szCs w:val="22"/>
        </w:rPr>
        <w:t xml:space="preserve">ene muških reproduktivnih organa (smanjenje težine organa uz atrofiju prostate i epididimisa). Ovi efekti su se javili pri sistemskoj izloženosti u rasponu predviđene izloženosti kod ljudi ili </w:t>
      </w:r>
      <w:r w:rsidRPr="00BD141A">
        <w:rPr>
          <w:sz w:val="22"/>
          <w:szCs w:val="22"/>
          <w:lang w:val="sr-Latn-RS"/>
        </w:rPr>
        <w:t>nižim</w:t>
      </w:r>
      <w:r w:rsidRPr="00BD141A">
        <w:rPr>
          <w:sz w:val="22"/>
          <w:szCs w:val="22"/>
        </w:rPr>
        <w:t xml:space="preserve"> (zasnovano na poređenju </w:t>
      </w:r>
      <w:r w:rsidR="008D4135">
        <w:rPr>
          <w:sz w:val="22"/>
          <w:szCs w:val="22"/>
        </w:rPr>
        <w:t>PIK</w:t>
      </w:r>
      <w:r w:rsidRPr="00BD141A">
        <w:rPr>
          <w:sz w:val="22"/>
          <w:szCs w:val="22"/>
        </w:rPr>
        <w:t>). Dodatne prom</w:t>
      </w:r>
      <w:r w:rsidR="00E556F5">
        <w:rPr>
          <w:sz w:val="22"/>
          <w:szCs w:val="22"/>
        </w:rPr>
        <w:t>j</w:t>
      </w:r>
      <w:r w:rsidRPr="00BD141A">
        <w:rPr>
          <w:sz w:val="22"/>
          <w:szCs w:val="22"/>
        </w:rPr>
        <w:t>ene reproduktivnih tkiva uključivale su minimalno pove</w:t>
      </w:r>
      <w:r w:rsidRPr="00BD141A">
        <w:rPr>
          <w:sz w:val="22"/>
          <w:szCs w:val="22"/>
          <w:lang w:val="sr-Latn-RS"/>
        </w:rPr>
        <w:t>ćanje</w:t>
      </w:r>
      <w:r w:rsidRPr="00BD141A">
        <w:rPr>
          <w:sz w:val="22"/>
          <w:szCs w:val="22"/>
        </w:rPr>
        <w:t xml:space="preserve"> vakuolizacije hipofize, atrofiju i smanjenu sekreciju </w:t>
      </w:r>
      <w:r w:rsidR="00C51C60" w:rsidRPr="00BD141A">
        <w:rPr>
          <w:sz w:val="22"/>
          <w:szCs w:val="22"/>
        </w:rPr>
        <w:t>sjeme</w:t>
      </w:r>
      <w:r w:rsidRPr="00BD141A">
        <w:rPr>
          <w:sz w:val="22"/>
          <w:szCs w:val="22"/>
        </w:rPr>
        <w:t>nih mehurića i ml</w:t>
      </w:r>
      <w:r w:rsidR="000226A0">
        <w:rPr>
          <w:sz w:val="22"/>
          <w:szCs w:val="22"/>
        </w:rPr>
        <w:t>i</w:t>
      </w:r>
      <w:r w:rsidR="00E556F5">
        <w:rPr>
          <w:sz w:val="22"/>
          <w:szCs w:val="22"/>
        </w:rPr>
        <w:t>j</w:t>
      </w:r>
      <w:r w:rsidRPr="00BD141A">
        <w:rPr>
          <w:sz w:val="22"/>
          <w:szCs w:val="22"/>
        </w:rPr>
        <w:t>ečnih žl</w:t>
      </w:r>
      <w:r w:rsidR="00E556F5">
        <w:rPr>
          <w:sz w:val="22"/>
          <w:szCs w:val="22"/>
        </w:rPr>
        <w:t>ij</w:t>
      </w:r>
      <w:r w:rsidRPr="00BD141A">
        <w:rPr>
          <w:sz w:val="22"/>
          <w:szCs w:val="22"/>
        </w:rPr>
        <w:t xml:space="preserve">ezda kod pacova, kao i hipospermiju testisa, dilataciju i degeneraciju </w:t>
      </w:r>
      <w:r w:rsidR="00C51C60" w:rsidRPr="00BD141A">
        <w:rPr>
          <w:sz w:val="22"/>
          <w:szCs w:val="22"/>
        </w:rPr>
        <w:t>sjeme</w:t>
      </w:r>
      <w:r w:rsidRPr="00BD141A">
        <w:rPr>
          <w:sz w:val="22"/>
          <w:szCs w:val="22"/>
        </w:rPr>
        <w:t>nih kanalića kod pasa. Prom</w:t>
      </w:r>
      <w:r w:rsidR="00E556F5">
        <w:rPr>
          <w:sz w:val="22"/>
          <w:szCs w:val="22"/>
        </w:rPr>
        <w:t>j</w:t>
      </w:r>
      <w:r w:rsidRPr="00BD141A">
        <w:rPr>
          <w:sz w:val="22"/>
          <w:szCs w:val="22"/>
        </w:rPr>
        <w:t>ene muških reproduktivnih organa kod ob</w:t>
      </w:r>
      <w:r w:rsidR="00E556F5">
        <w:rPr>
          <w:sz w:val="22"/>
          <w:szCs w:val="22"/>
        </w:rPr>
        <w:t>j</w:t>
      </w:r>
      <w:r w:rsidRPr="00BD141A">
        <w:rPr>
          <w:sz w:val="22"/>
          <w:szCs w:val="22"/>
        </w:rPr>
        <w:t>e vrste bile su u skladu sa farmakološkim d</w:t>
      </w:r>
      <w:r w:rsidR="00E556F5">
        <w:rPr>
          <w:sz w:val="22"/>
          <w:szCs w:val="22"/>
        </w:rPr>
        <w:t>j</w:t>
      </w:r>
      <w:r w:rsidRPr="00BD141A">
        <w:rPr>
          <w:sz w:val="22"/>
          <w:szCs w:val="22"/>
        </w:rPr>
        <w:t>elovanjem darolutamida i potpuno ili delimično su se povukle 4 do 8 ned</w:t>
      </w:r>
      <w:r w:rsidR="00E556F5">
        <w:rPr>
          <w:sz w:val="22"/>
          <w:szCs w:val="22"/>
        </w:rPr>
        <w:t>j</w:t>
      </w:r>
      <w:r w:rsidRPr="00BD141A">
        <w:rPr>
          <w:sz w:val="22"/>
          <w:szCs w:val="22"/>
        </w:rPr>
        <w:t xml:space="preserve">elja nakon prestanka uzimanja </w:t>
      </w:r>
      <w:r w:rsidR="007B475F" w:rsidRPr="00BD141A">
        <w:rPr>
          <w:sz w:val="22"/>
          <w:szCs w:val="22"/>
        </w:rPr>
        <w:t>lijek</w:t>
      </w:r>
      <w:r w:rsidRPr="00BD141A">
        <w:rPr>
          <w:sz w:val="22"/>
          <w:szCs w:val="22"/>
        </w:rPr>
        <w:t>a.</w:t>
      </w:r>
    </w:p>
    <w:p w14:paraId="7ECB18F1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5088CB56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Embriotoksičnost/teratogenost</w:t>
      </w:r>
    </w:p>
    <w:p w14:paraId="2AED90C3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76D75F9B" w14:textId="5766D5C4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 xml:space="preserve">Ispitivanja razvojne toksičnosti </w:t>
      </w:r>
      <w:r w:rsidR="00591AA0" w:rsidRPr="00BD141A">
        <w:rPr>
          <w:sz w:val="22"/>
          <w:szCs w:val="22"/>
        </w:rPr>
        <w:t>nijesu</w:t>
      </w:r>
      <w:r w:rsidRPr="00BD141A">
        <w:rPr>
          <w:sz w:val="22"/>
          <w:szCs w:val="22"/>
        </w:rPr>
        <w:t xml:space="preserve"> sprovedena.</w:t>
      </w:r>
    </w:p>
    <w:p w14:paraId="3F7BA42F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0556880D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Reproduktivna toksičnost</w:t>
      </w:r>
    </w:p>
    <w:p w14:paraId="63AE208E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2A23CC84" w14:textId="4890E149" w:rsidR="00A31BA4" w:rsidRPr="00BD141A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 xml:space="preserve">Ispitivanja reproduktivne toksičnosti </w:t>
      </w:r>
      <w:r w:rsidR="00591AA0" w:rsidRPr="00BD141A">
        <w:rPr>
          <w:sz w:val="22"/>
          <w:szCs w:val="22"/>
        </w:rPr>
        <w:t>nijesu</w:t>
      </w:r>
      <w:r w:rsidRPr="00BD141A">
        <w:rPr>
          <w:sz w:val="22"/>
          <w:szCs w:val="22"/>
        </w:rPr>
        <w:t xml:space="preserve"> sprovedena. Međutim, na osnovu nalaza u ispitivanjima toksičnosti ponovljenih doza na pacovima i psima, v</w:t>
      </w:r>
      <w:r w:rsidR="00E556F5">
        <w:rPr>
          <w:sz w:val="22"/>
          <w:szCs w:val="22"/>
        </w:rPr>
        <w:t>j</w:t>
      </w:r>
      <w:r w:rsidRPr="00BD141A">
        <w:rPr>
          <w:sz w:val="22"/>
          <w:szCs w:val="22"/>
        </w:rPr>
        <w:t>erovatno je da će plodnost muškaraca biti oslabljena, što je u skladu sa farmakološkim d</w:t>
      </w:r>
      <w:r w:rsidR="00E556F5">
        <w:rPr>
          <w:sz w:val="22"/>
          <w:szCs w:val="22"/>
        </w:rPr>
        <w:t>j</w:t>
      </w:r>
      <w:r w:rsidRPr="00BD141A">
        <w:rPr>
          <w:sz w:val="22"/>
          <w:szCs w:val="22"/>
        </w:rPr>
        <w:t>elovanjem darolutamida.</w:t>
      </w:r>
    </w:p>
    <w:p w14:paraId="3A69B121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03BD1C47" w14:textId="77777777" w:rsidR="00A31BA4" w:rsidRPr="00BD141A" w:rsidRDefault="00A31BA4" w:rsidP="00A31BA4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Genotoksičnost i kancerogenost</w:t>
      </w:r>
    </w:p>
    <w:p w14:paraId="08F288BE" w14:textId="77777777" w:rsidR="00A31BA4" w:rsidRPr="00BD141A" w:rsidRDefault="00A31BA4" w:rsidP="00A31BA4">
      <w:pPr>
        <w:jc w:val="both"/>
        <w:rPr>
          <w:sz w:val="22"/>
          <w:szCs w:val="22"/>
        </w:rPr>
      </w:pPr>
    </w:p>
    <w:p w14:paraId="11F621D5" w14:textId="77777777" w:rsidR="007C42CC" w:rsidRDefault="00A31BA4" w:rsidP="00A31BA4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>Darolutamid nije izazvao mutacije u testu bakterijske mutage</w:t>
      </w:r>
      <w:r w:rsidRPr="00BD141A">
        <w:rPr>
          <w:sz w:val="22"/>
          <w:szCs w:val="22"/>
          <w:lang w:val="sr-Latn-RS"/>
        </w:rPr>
        <w:t>neze</w:t>
      </w:r>
      <w:r w:rsidRPr="00BD141A">
        <w:rPr>
          <w:sz w:val="22"/>
          <w:szCs w:val="22"/>
        </w:rPr>
        <w:t xml:space="preserve"> (Amesov test). Pri visokim koncentracijama, darolutamid je </w:t>
      </w:r>
      <w:r w:rsidRPr="00BD141A">
        <w:rPr>
          <w:i/>
          <w:iCs/>
          <w:sz w:val="22"/>
          <w:szCs w:val="22"/>
        </w:rPr>
        <w:t>in vitro</w:t>
      </w:r>
      <w:r w:rsidRPr="00BD141A">
        <w:rPr>
          <w:sz w:val="22"/>
          <w:szCs w:val="22"/>
        </w:rPr>
        <w:t xml:space="preserve"> izazvao strukturne aberacije hromozoma u kultivisanim humanim limfocitima. Međutim, u </w:t>
      </w:r>
      <w:r w:rsidRPr="00BD141A">
        <w:rPr>
          <w:i/>
          <w:iCs/>
          <w:sz w:val="22"/>
          <w:szCs w:val="22"/>
        </w:rPr>
        <w:t>in vivo</w:t>
      </w:r>
      <w:r w:rsidRPr="00BD141A">
        <w:rPr>
          <w:sz w:val="22"/>
          <w:szCs w:val="22"/>
        </w:rPr>
        <w:t xml:space="preserve"> kombinovanom mikronukleusnom testu na </w:t>
      </w:r>
      <w:r w:rsidR="0078283F" w:rsidRPr="00BD141A">
        <w:rPr>
          <w:sz w:val="22"/>
          <w:szCs w:val="22"/>
        </w:rPr>
        <w:t>ko</w:t>
      </w:r>
      <w:r w:rsidR="0078283F">
        <w:rPr>
          <w:sz w:val="22"/>
          <w:szCs w:val="22"/>
        </w:rPr>
        <w:t>stnoj</w:t>
      </w:r>
      <w:r w:rsidR="0078283F" w:rsidRPr="00BD141A">
        <w:rPr>
          <w:sz w:val="22"/>
          <w:szCs w:val="22"/>
        </w:rPr>
        <w:t xml:space="preserve"> </w:t>
      </w:r>
      <w:r w:rsidRPr="00BD141A">
        <w:rPr>
          <w:sz w:val="22"/>
          <w:szCs w:val="22"/>
        </w:rPr>
        <w:t xml:space="preserve">srži i </w:t>
      </w:r>
      <w:r w:rsidRPr="008D4135">
        <w:rPr>
          <w:i/>
          <w:iCs/>
          <w:sz w:val="22"/>
          <w:szCs w:val="22"/>
        </w:rPr>
        <w:t>Comet</w:t>
      </w:r>
      <w:r w:rsidRPr="00BD141A">
        <w:rPr>
          <w:sz w:val="22"/>
          <w:szCs w:val="22"/>
        </w:rPr>
        <w:t xml:space="preserve"> testu na jetri i duodenumu pacova nije prim</w:t>
      </w:r>
      <w:r w:rsidR="00E556F5">
        <w:rPr>
          <w:sz w:val="22"/>
          <w:szCs w:val="22"/>
        </w:rPr>
        <w:t>j</w:t>
      </w:r>
      <w:r w:rsidRPr="00BD141A">
        <w:rPr>
          <w:sz w:val="22"/>
          <w:szCs w:val="22"/>
        </w:rPr>
        <w:t xml:space="preserve">ećena genotoksičnost pri izloženostima koje premašuju maksimalnu izloženost kod ljudi. </w:t>
      </w:r>
    </w:p>
    <w:p w14:paraId="5B74964C" w14:textId="30CDD1E3" w:rsidR="00A31BA4" w:rsidRPr="00BD141A" w:rsidRDefault="007C42CC" w:rsidP="00A31BA4">
      <w:pPr>
        <w:jc w:val="both"/>
        <w:rPr>
          <w:sz w:val="22"/>
          <w:szCs w:val="22"/>
        </w:rPr>
      </w:pPr>
      <w:r w:rsidRPr="007C42CC">
        <w:rPr>
          <w:sz w:val="22"/>
          <w:szCs w:val="22"/>
        </w:rPr>
        <w:t>Oralna prim</w:t>
      </w:r>
      <w:r>
        <w:rPr>
          <w:sz w:val="22"/>
          <w:szCs w:val="22"/>
        </w:rPr>
        <w:t>j</w:t>
      </w:r>
      <w:r w:rsidRPr="007C42CC">
        <w:rPr>
          <w:sz w:val="22"/>
          <w:szCs w:val="22"/>
        </w:rPr>
        <w:t>ena darolutamida kod mu</w:t>
      </w:r>
      <w:r w:rsidR="00AA223D">
        <w:rPr>
          <w:sz w:val="22"/>
          <w:szCs w:val="22"/>
        </w:rPr>
        <w:t>žjaka</w:t>
      </w:r>
      <w:r w:rsidRPr="007C42CC">
        <w:rPr>
          <w:sz w:val="22"/>
          <w:szCs w:val="22"/>
        </w:rPr>
        <w:t xml:space="preserve"> rasH2 transgenskog miša tokom perioda od 6 m</w:t>
      </w:r>
      <w:r>
        <w:rPr>
          <w:sz w:val="22"/>
          <w:szCs w:val="22"/>
        </w:rPr>
        <w:t>j</w:t>
      </w:r>
      <w:r w:rsidRPr="007C42CC">
        <w:rPr>
          <w:sz w:val="22"/>
          <w:szCs w:val="22"/>
        </w:rPr>
        <w:t>eseci nije pokazala kancerogeni potencijal u dozama do 1000 mg/kg/dan, što je 0,9-1,3 puta više za darolutamid, odnosno 2,1-2,3 puta više za ketodarolutamid u odnosu na kliničku izloženost (PIK) pri prim</w:t>
      </w:r>
      <w:r>
        <w:rPr>
          <w:sz w:val="22"/>
          <w:szCs w:val="22"/>
        </w:rPr>
        <w:t>j</w:t>
      </w:r>
      <w:r w:rsidRPr="007C42CC">
        <w:rPr>
          <w:sz w:val="22"/>
          <w:szCs w:val="22"/>
        </w:rPr>
        <w:t>eni preporučene dnevne doze od 1200 mg/dan. Na osnovu ovog ispitivanja, kancerogeni rizik darolutamida ne može se kompletno isključiti</w:t>
      </w:r>
      <w:r w:rsidR="00A31BA4" w:rsidRPr="00BD141A">
        <w:rPr>
          <w:sz w:val="22"/>
          <w:szCs w:val="22"/>
        </w:rPr>
        <w:t>.</w:t>
      </w:r>
    </w:p>
    <w:p w14:paraId="22B6C112" w14:textId="77777777" w:rsidR="00A31BA4" w:rsidRPr="00BD141A" w:rsidRDefault="00A31BA4" w:rsidP="00A31BA4">
      <w:pPr>
        <w:rPr>
          <w:sz w:val="22"/>
          <w:szCs w:val="22"/>
        </w:rPr>
      </w:pPr>
    </w:p>
    <w:p w14:paraId="581992C0" w14:textId="4711E331" w:rsidR="00A31BA4" w:rsidRPr="00BD141A" w:rsidRDefault="00A31BA4" w:rsidP="00A31BA4">
      <w:pPr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lastRenderedPageBreak/>
        <w:t>Farmakologija bezb</w:t>
      </w:r>
      <w:r w:rsidR="00E556F5">
        <w:rPr>
          <w:sz w:val="22"/>
          <w:szCs w:val="22"/>
          <w:u w:val="single"/>
        </w:rPr>
        <w:t>j</w:t>
      </w:r>
      <w:r w:rsidRPr="00BD141A">
        <w:rPr>
          <w:sz w:val="22"/>
          <w:szCs w:val="22"/>
          <w:u w:val="single"/>
        </w:rPr>
        <w:t>ednosti</w:t>
      </w:r>
    </w:p>
    <w:p w14:paraId="681FA6F7" w14:textId="77777777" w:rsidR="00A31BA4" w:rsidRPr="00BD141A" w:rsidRDefault="00A31BA4" w:rsidP="00A31BA4">
      <w:pPr>
        <w:rPr>
          <w:sz w:val="22"/>
          <w:szCs w:val="22"/>
        </w:rPr>
      </w:pPr>
    </w:p>
    <w:p w14:paraId="21553C0E" w14:textId="3E3569E9" w:rsidR="00A31BA4" w:rsidRPr="00BD141A" w:rsidRDefault="00A31BA4" w:rsidP="004E05EB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 xml:space="preserve">Darolutamid je </w:t>
      </w:r>
      <w:r w:rsidRPr="00BD141A">
        <w:rPr>
          <w:i/>
          <w:iCs/>
          <w:sz w:val="22"/>
          <w:szCs w:val="22"/>
        </w:rPr>
        <w:t>in vitro</w:t>
      </w:r>
      <w:r w:rsidRPr="00BD141A">
        <w:rPr>
          <w:sz w:val="22"/>
          <w:szCs w:val="22"/>
        </w:rPr>
        <w:t xml:space="preserve"> slabo inhibirao protok kalijuma kroz hERG kanal i kalcijumov kanal L-tipa. </w:t>
      </w:r>
      <w:r w:rsidRPr="00BD141A">
        <w:rPr>
          <w:i/>
          <w:iCs/>
          <w:sz w:val="22"/>
          <w:szCs w:val="22"/>
        </w:rPr>
        <w:t>In vivo</w:t>
      </w:r>
      <w:r w:rsidR="008D4135">
        <w:rPr>
          <w:sz w:val="22"/>
          <w:szCs w:val="22"/>
        </w:rPr>
        <w:t>,</w:t>
      </w:r>
      <w:r w:rsidRPr="00BD141A">
        <w:rPr>
          <w:sz w:val="22"/>
          <w:szCs w:val="22"/>
        </w:rPr>
        <w:t xml:space="preserve"> darolutamid je blago smanjio trajanje QT intervala kod anesteziranih pasa, ali taj efekat nije pronađen kod pasa </w:t>
      </w:r>
      <w:r w:rsidR="008D4135">
        <w:rPr>
          <w:sz w:val="22"/>
          <w:szCs w:val="22"/>
        </w:rPr>
        <w:t>u sv</w:t>
      </w:r>
      <w:r w:rsidR="000226A0">
        <w:rPr>
          <w:sz w:val="22"/>
          <w:szCs w:val="22"/>
        </w:rPr>
        <w:t>j</w:t>
      </w:r>
      <w:r w:rsidR="008D4135">
        <w:rPr>
          <w:sz w:val="22"/>
          <w:szCs w:val="22"/>
        </w:rPr>
        <w:t>esnom stanju</w:t>
      </w:r>
      <w:r w:rsidRPr="00BD141A">
        <w:rPr>
          <w:sz w:val="22"/>
          <w:szCs w:val="22"/>
        </w:rPr>
        <w:t>.</w:t>
      </w:r>
    </w:p>
    <w:p w14:paraId="0F7EFB7F" w14:textId="4B02B42A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1C68E1E" w14:textId="77777777" w:rsidR="00A864D0" w:rsidRPr="00BD141A" w:rsidRDefault="00A864D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1582EA9E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6.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FARMACEUTSKI PODACI</w:t>
      </w:r>
    </w:p>
    <w:p w14:paraId="5A6F5AB5" w14:textId="77777777" w:rsidR="00836B35" w:rsidRPr="00BD141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CF7AB24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6.1.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Lista pomoćnih supstanci</w:t>
      </w:r>
      <w:r w:rsidR="002E0135" w:rsidRPr="00BD141A">
        <w:rPr>
          <w:b/>
          <w:bCs/>
          <w:sz w:val="22"/>
          <w:szCs w:val="22"/>
        </w:rPr>
        <w:t xml:space="preserve"> (ekscipijenasa)</w:t>
      </w:r>
    </w:p>
    <w:p w14:paraId="446D78AB" w14:textId="797A0503" w:rsidR="0072020E" w:rsidRPr="00BD141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2B26287" w14:textId="77777777" w:rsidR="00A31BA4" w:rsidRPr="00BD141A" w:rsidRDefault="00A31BA4" w:rsidP="00D07FA2">
      <w:pPr>
        <w:jc w:val="both"/>
        <w:rPr>
          <w:sz w:val="22"/>
          <w:szCs w:val="22"/>
          <w:u w:val="single"/>
        </w:rPr>
      </w:pPr>
      <w:r w:rsidRPr="00BD141A">
        <w:rPr>
          <w:sz w:val="22"/>
          <w:szCs w:val="22"/>
          <w:u w:val="single"/>
        </w:rPr>
        <w:t>Jezgro tablete</w:t>
      </w:r>
    </w:p>
    <w:p w14:paraId="407AD578" w14:textId="723F6E53" w:rsidR="00A31BA4" w:rsidRPr="00BD141A" w:rsidRDefault="00667F2B" w:rsidP="00D07FA2">
      <w:pPr>
        <w:jc w:val="both"/>
        <w:rPr>
          <w:sz w:val="22"/>
          <w:szCs w:val="22"/>
        </w:rPr>
      </w:pPr>
      <w:bookmarkStart w:id="10" w:name="_Hlk82070617"/>
      <w:r>
        <w:rPr>
          <w:sz w:val="22"/>
          <w:szCs w:val="22"/>
        </w:rPr>
        <w:t xml:space="preserve">- </w:t>
      </w:r>
      <w:proofErr w:type="gramStart"/>
      <w:r w:rsidR="008333B7">
        <w:rPr>
          <w:sz w:val="22"/>
          <w:szCs w:val="22"/>
        </w:rPr>
        <w:t>k</w:t>
      </w:r>
      <w:r w:rsidR="00A31BA4" w:rsidRPr="00BD141A">
        <w:rPr>
          <w:sz w:val="22"/>
          <w:szCs w:val="22"/>
        </w:rPr>
        <w:t>alcijum</w:t>
      </w:r>
      <w:proofErr w:type="gramEnd"/>
      <w:r w:rsidR="00BC4C4A">
        <w:rPr>
          <w:sz w:val="22"/>
          <w:szCs w:val="22"/>
        </w:rPr>
        <w:t xml:space="preserve"> </w:t>
      </w:r>
      <w:r w:rsidR="00A31BA4" w:rsidRPr="00BD141A">
        <w:rPr>
          <w:sz w:val="22"/>
          <w:szCs w:val="22"/>
        </w:rPr>
        <w:t>hidrogenfosfat (E 341)</w:t>
      </w:r>
      <w:r>
        <w:rPr>
          <w:sz w:val="22"/>
          <w:szCs w:val="22"/>
        </w:rPr>
        <w:t>;</w:t>
      </w:r>
    </w:p>
    <w:p w14:paraId="435C4352" w14:textId="2A2777A4" w:rsidR="00A31BA4" w:rsidRPr="00BD141A" w:rsidRDefault="00667F2B" w:rsidP="00D07F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="008333B7">
        <w:rPr>
          <w:sz w:val="22"/>
          <w:szCs w:val="22"/>
        </w:rPr>
        <w:t>k</w:t>
      </w:r>
      <w:r w:rsidR="00A31BA4" w:rsidRPr="00BD141A">
        <w:rPr>
          <w:sz w:val="22"/>
          <w:szCs w:val="22"/>
        </w:rPr>
        <w:t>roskarmeloza</w:t>
      </w:r>
      <w:proofErr w:type="gramEnd"/>
      <w:r w:rsidR="00BC4C4A">
        <w:rPr>
          <w:sz w:val="22"/>
          <w:szCs w:val="22"/>
        </w:rPr>
        <w:t xml:space="preserve"> </w:t>
      </w:r>
      <w:r w:rsidR="00A31BA4" w:rsidRPr="00BD141A">
        <w:rPr>
          <w:sz w:val="22"/>
          <w:szCs w:val="22"/>
        </w:rPr>
        <w:t>natrijum</w:t>
      </w:r>
      <w:r>
        <w:rPr>
          <w:sz w:val="22"/>
          <w:szCs w:val="22"/>
        </w:rPr>
        <w:t>;</w:t>
      </w:r>
    </w:p>
    <w:p w14:paraId="458F7BC1" w14:textId="6A525DE8" w:rsidR="00A31BA4" w:rsidRPr="00BD141A" w:rsidRDefault="00667F2B" w:rsidP="00D07F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="00A31BA4" w:rsidRPr="00BD141A">
        <w:rPr>
          <w:sz w:val="22"/>
          <w:szCs w:val="22"/>
        </w:rPr>
        <w:t>laktoza</w:t>
      </w:r>
      <w:proofErr w:type="gramEnd"/>
      <w:r w:rsidR="00A31BA4" w:rsidRPr="00BD141A">
        <w:rPr>
          <w:sz w:val="22"/>
          <w:szCs w:val="22"/>
        </w:rPr>
        <w:t>, monohidrat</w:t>
      </w:r>
      <w:r>
        <w:rPr>
          <w:sz w:val="22"/>
          <w:szCs w:val="22"/>
        </w:rPr>
        <w:t>;</w:t>
      </w:r>
    </w:p>
    <w:p w14:paraId="2C8B6239" w14:textId="4D77C2E5" w:rsidR="00A31BA4" w:rsidRPr="00BD141A" w:rsidRDefault="00667F2B" w:rsidP="00D07F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="00A31BA4" w:rsidRPr="00BD141A">
        <w:rPr>
          <w:sz w:val="22"/>
          <w:szCs w:val="22"/>
        </w:rPr>
        <w:t>magnezijum</w:t>
      </w:r>
      <w:proofErr w:type="gramEnd"/>
      <w:r w:rsidR="00BC4C4A">
        <w:rPr>
          <w:sz w:val="22"/>
          <w:szCs w:val="22"/>
        </w:rPr>
        <w:t xml:space="preserve"> </w:t>
      </w:r>
      <w:r w:rsidR="00A31BA4" w:rsidRPr="00BD141A">
        <w:rPr>
          <w:sz w:val="22"/>
          <w:szCs w:val="22"/>
        </w:rPr>
        <w:t>stearat (E 470b)</w:t>
      </w:r>
      <w:r>
        <w:rPr>
          <w:sz w:val="22"/>
          <w:szCs w:val="22"/>
        </w:rPr>
        <w:t>;</w:t>
      </w:r>
    </w:p>
    <w:p w14:paraId="7A43E6A4" w14:textId="3AC18607" w:rsidR="00A31BA4" w:rsidRPr="00BD141A" w:rsidRDefault="00667F2B" w:rsidP="00D07F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31BA4" w:rsidRPr="00BD141A">
        <w:rPr>
          <w:sz w:val="22"/>
          <w:szCs w:val="22"/>
        </w:rPr>
        <w:t>povidon (E 1201)</w:t>
      </w:r>
      <w:r>
        <w:rPr>
          <w:sz w:val="22"/>
          <w:szCs w:val="22"/>
        </w:rPr>
        <w:t>.</w:t>
      </w:r>
    </w:p>
    <w:p w14:paraId="19F41BCA" w14:textId="77777777" w:rsidR="00A31BA4" w:rsidRPr="00BD141A" w:rsidRDefault="00A31BA4" w:rsidP="00D07FA2">
      <w:pPr>
        <w:jc w:val="both"/>
        <w:rPr>
          <w:sz w:val="22"/>
          <w:szCs w:val="22"/>
        </w:rPr>
      </w:pPr>
    </w:p>
    <w:p w14:paraId="44DAD1C0" w14:textId="77777777" w:rsidR="00A31BA4" w:rsidRPr="00BD141A" w:rsidRDefault="00A31BA4" w:rsidP="00D07FA2">
      <w:pPr>
        <w:jc w:val="both"/>
        <w:rPr>
          <w:sz w:val="22"/>
          <w:szCs w:val="22"/>
          <w:u w:val="single"/>
          <w:lang w:val="sr-Latn-RS"/>
        </w:rPr>
      </w:pPr>
      <w:r w:rsidRPr="00BD141A">
        <w:rPr>
          <w:sz w:val="22"/>
          <w:szCs w:val="22"/>
          <w:u w:val="single"/>
        </w:rPr>
        <w:t>Film (obloga) tablete</w:t>
      </w:r>
    </w:p>
    <w:p w14:paraId="19AD8386" w14:textId="2BE6A609" w:rsidR="00A31BA4" w:rsidRPr="00BD141A" w:rsidRDefault="00667F2B" w:rsidP="00D07F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="00A31BA4" w:rsidRPr="00BD141A">
        <w:rPr>
          <w:sz w:val="22"/>
          <w:szCs w:val="22"/>
        </w:rPr>
        <w:t>hipromeloza</w:t>
      </w:r>
      <w:proofErr w:type="gramEnd"/>
      <w:r>
        <w:rPr>
          <w:sz w:val="22"/>
          <w:szCs w:val="22"/>
        </w:rPr>
        <w:t>;</w:t>
      </w:r>
    </w:p>
    <w:p w14:paraId="309B7E2D" w14:textId="649868E2" w:rsidR="00A31BA4" w:rsidRPr="00BD141A" w:rsidRDefault="00667F2B" w:rsidP="00D07F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="00A31BA4" w:rsidRPr="00BD141A">
        <w:rPr>
          <w:sz w:val="22"/>
          <w:szCs w:val="22"/>
        </w:rPr>
        <w:t>laktoza</w:t>
      </w:r>
      <w:proofErr w:type="gramEnd"/>
      <w:r w:rsidR="00A31BA4" w:rsidRPr="00BD141A">
        <w:rPr>
          <w:sz w:val="22"/>
          <w:szCs w:val="22"/>
        </w:rPr>
        <w:t>, monohidrat</w:t>
      </w:r>
      <w:r>
        <w:rPr>
          <w:sz w:val="22"/>
          <w:szCs w:val="22"/>
        </w:rPr>
        <w:t>;</w:t>
      </w:r>
    </w:p>
    <w:p w14:paraId="58445DA9" w14:textId="7D8214CE" w:rsidR="00A31BA4" w:rsidRPr="00BD141A" w:rsidRDefault="00667F2B" w:rsidP="00D07F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="00A31BA4" w:rsidRPr="00BD141A">
        <w:rPr>
          <w:sz w:val="22"/>
          <w:szCs w:val="22"/>
        </w:rPr>
        <w:t>makrogol</w:t>
      </w:r>
      <w:proofErr w:type="gramEnd"/>
      <w:r w:rsidR="00A31BA4" w:rsidRPr="00BD141A">
        <w:rPr>
          <w:sz w:val="22"/>
          <w:szCs w:val="22"/>
        </w:rPr>
        <w:t xml:space="preserve"> (E 1521)</w:t>
      </w:r>
      <w:r>
        <w:rPr>
          <w:sz w:val="22"/>
          <w:szCs w:val="22"/>
        </w:rPr>
        <w:t>;</w:t>
      </w:r>
    </w:p>
    <w:p w14:paraId="51CA0A04" w14:textId="635DA8AE" w:rsidR="00A31BA4" w:rsidRPr="00BD141A" w:rsidRDefault="00667F2B" w:rsidP="00D07F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31BA4" w:rsidRPr="00BD141A">
        <w:rPr>
          <w:sz w:val="22"/>
          <w:szCs w:val="22"/>
        </w:rPr>
        <w:t>titan</w:t>
      </w:r>
      <w:r w:rsidR="00BC4C4A">
        <w:rPr>
          <w:sz w:val="22"/>
          <w:szCs w:val="22"/>
        </w:rPr>
        <w:t xml:space="preserve"> </w:t>
      </w:r>
      <w:r w:rsidR="00A31BA4" w:rsidRPr="00BD141A">
        <w:rPr>
          <w:sz w:val="22"/>
          <w:szCs w:val="22"/>
        </w:rPr>
        <w:t>dioksid (E 171)</w:t>
      </w:r>
      <w:bookmarkEnd w:id="10"/>
      <w:r>
        <w:rPr>
          <w:sz w:val="22"/>
          <w:szCs w:val="22"/>
        </w:rPr>
        <w:t>.</w:t>
      </w:r>
    </w:p>
    <w:p w14:paraId="301F068B" w14:textId="77777777" w:rsidR="00A31BA4" w:rsidRPr="00BD141A" w:rsidRDefault="00A31BA4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6BB03E0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6.2.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Inkompatibilnost</w:t>
      </w:r>
      <w:r w:rsidR="002846DB" w:rsidRPr="00BD141A">
        <w:rPr>
          <w:b/>
          <w:bCs/>
          <w:sz w:val="22"/>
          <w:szCs w:val="22"/>
        </w:rPr>
        <w:t>i</w:t>
      </w:r>
    </w:p>
    <w:p w14:paraId="3F90745A" w14:textId="447A3AC9" w:rsidR="0072020E" w:rsidRPr="00BD141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02E0D7C" w14:textId="0C822609" w:rsidR="00A31BA4" w:rsidRPr="00BD141A" w:rsidRDefault="00A31BA4" w:rsidP="00D07FA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BD141A">
        <w:rPr>
          <w:sz w:val="22"/>
          <w:szCs w:val="22"/>
        </w:rPr>
        <w:t xml:space="preserve">Nije </w:t>
      </w:r>
      <w:r w:rsidR="00591AA0" w:rsidRPr="00BD141A">
        <w:rPr>
          <w:sz w:val="22"/>
          <w:szCs w:val="22"/>
        </w:rPr>
        <w:t>primjen</w:t>
      </w:r>
      <w:r w:rsidRPr="00BD141A">
        <w:rPr>
          <w:sz w:val="22"/>
          <w:szCs w:val="22"/>
        </w:rPr>
        <w:t>ljivo.</w:t>
      </w:r>
    </w:p>
    <w:p w14:paraId="57DD0CC9" w14:textId="77777777" w:rsidR="00A31BA4" w:rsidRPr="00BD141A" w:rsidRDefault="00A31BA4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3CC8194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>6.3.</w:t>
      </w:r>
      <w:r w:rsidR="00C05DF8" w:rsidRPr="00BD141A">
        <w:rPr>
          <w:b/>
          <w:bCs/>
          <w:sz w:val="22"/>
          <w:szCs w:val="22"/>
        </w:rPr>
        <w:t xml:space="preserve">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Rok upotrebe</w:t>
      </w:r>
    </w:p>
    <w:p w14:paraId="7793DF48" w14:textId="56406F3B" w:rsidR="0072020E" w:rsidRPr="00BD141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0F82013" w14:textId="6A3426DD" w:rsidR="00A31BA4" w:rsidRPr="00BD141A" w:rsidRDefault="00A31BA4" w:rsidP="00D07FA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BD141A">
        <w:rPr>
          <w:bCs/>
          <w:sz w:val="22"/>
          <w:szCs w:val="22"/>
        </w:rPr>
        <w:t>3 godine</w:t>
      </w:r>
    </w:p>
    <w:p w14:paraId="6DC3D40F" w14:textId="77777777" w:rsidR="00A31BA4" w:rsidRPr="00BD141A" w:rsidRDefault="00A31BA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7EE9C929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6.4.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Posebne mjere upozorenja pri čuvanju</w:t>
      </w:r>
      <w:r w:rsidR="00F8570A" w:rsidRPr="00BD141A">
        <w:rPr>
          <w:b/>
          <w:bCs/>
          <w:sz w:val="22"/>
          <w:szCs w:val="22"/>
        </w:rPr>
        <w:t xml:space="preserve"> lijeka</w:t>
      </w:r>
    </w:p>
    <w:p w14:paraId="69D71B69" w14:textId="1F9B5FF1" w:rsidR="00EC2532" w:rsidRPr="00BD141A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6BC6975" w14:textId="2AFA3688" w:rsidR="00A31BA4" w:rsidRPr="00BD141A" w:rsidRDefault="00A31BA4" w:rsidP="00D07F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BD141A">
        <w:rPr>
          <w:sz w:val="22"/>
          <w:szCs w:val="22"/>
        </w:rPr>
        <w:t xml:space="preserve">Ovaj </w:t>
      </w:r>
      <w:r w:rsidR="007B475F" w:rsidRPr="00BD141A">
        <w:rPr>
          <w:sz w:val="22"/>
          <w:szCs w:val="22"/>
        </w:rPr>
        <w:t>lijek</w:t>
      </w:r>
      <w:r w:rsidRPr="00BD141A">
        <w:rPr>
          <w:sz w:val="22"/>
          <w:szCs w:val="22"/>
        </w:rPr>
        <w:t xml:space="preserve"> ne </w:t>
      </w:r>
      <w:r w:rsidRPr="00BD141A">
        <w:rPr>
          <w:sz w:val="22"/>
          <w:szCs w:val="22"/>
          <w:lang w:val="sr-Latn-RS"/>
        </w:rPr>
        <w:t>zaht</w:t>
      </w:r>
      <w:r w:rsidR="00A864D0">
        <w:rPr>
          <w:sz w:val="22"/>
          <w:szCs w:val="22"/>
          <w:lang w:val="sr-Latn-RS"/>
        </w:rPr>
        <w:t>ij</w:t>
      </w:r>
      <w:r w:rsidRPr="00BD141A">
        <w:rPr>
          <w:sz w:val="22"/>
          <w:szCs w:val="22"/>
          <w:lang w:val="sr-Latn-RS"/>
        </w:rPr>
        <w:t>eva posebne uslove čuvanja.</w:t>
      </w:r>
    </w:p>
    <w:p w14:paraId="1ED9ABAA" w14:textId="77777777" w:rsidR="00A31BA4" w:rsidRPr="00BD141A" w:rsidRDefault="00A31BA4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C436C2C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6.5. </w:t>
      </w:r>
      <w:r w:rsidR="00480FB1" w:rsidRPr="00BD141A">
        <w:rPr>
          <w:b/>
          <w:bCs/>
          <w:sz w:val="22"/>
          <w:szCs w:val="22"/>
        </w:rPr>
        <w:tab/>
      </w:r>
      <w:r w:rsidR="002846DB" w:rsidRPr="00BD141A">
        <w:rPr>
          <w:b/>
          <w:bCs/>
          <w:sz w:val="22"/>
          <w:szCs w:val="22"/>
        </w:rPr>
        <w:t xml:space="preserve">Vrsta i sadržaj </w:t>
      </w:r>
      <w:r w:rsidR="00F8570A" w:rsidRPr="00BD141A">
        <w:rPr>
          <w:b/>
          <w:bCs/>
          <w:sz w:val="22"/>
          <w:szCs w:val="22"/>
        </w:rPr>
        <w:t>pakovanja</w:t>
      </w:r>
      <w:r w:rsidR="00C06864" w:rsidRPr="00BD141A">
        <w:rPr>
          <w:b/>
          <w:bCs/>
          <w:sz w:val="22"/>
          <w:szCs w:val="22"/>
        </w:rPr>
        <w:t xml:space="preserve"> </w:t>
      </w:r>
    </w:p>
    <w:p w14:paraId="4199DCCE" w14:textId="1416CB1A" w:rsidR="0072020E" w:rsidRPr="00BD141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3A7157E" w14:textId="554F2E80" w:rsidR="00591AA0" w:rsidRPr="00BD141A" w:rsidRDefault="00591AA0" w:rsidP="00D07FA2">
      <w:pPr>
        <w:jc w:val="both"/>
        <w:rPr>
          <w:sz w:val="22"/>
          <w:szCs w:val="22"/>
        </w:rPr>
      </w:pPr>
      <w:bookmarkStart w:id="11" w:name="_Hlk82071053"/>
      <w:r w:rsidRPr="00BD141A">
        <w:rPr>
          <w:sz w:val="22"/>
          <w:szCs w:val="22"/>
          <w:lang w:val="sr-Latn-RS"/>
        </w:rPr>
        <w:t xml:space="preserve">Unutrašnje pakovanje </w:t>
      </w:r>
      <w:r w:rsidR="007B475F" w:rsidRPr="00BD141A">
        <w:rPr>
          <w:sz w:val="22"/>
          <w:szCs w:val="22"/>
          <w:lang w:val="sr-Latn-RS"/>
        </w:rPr>
        <w:t>lijek</w:t>
      </w:r>
      <w:r w:rsidRPr="00BD141A">
        <w:rPr>
          <w:sz w:val="22"/>
          <w:szCs w:val="22"/>
          <w:lang w:val="sr-Latn-RS"/>
        </w:rPr>
        <w:t xml:space="preserve">a je </w:t>
      </w:r>
      <w:r w:rsidRPr="00BD141A">
        <w:rPr>
          <w:sz w:val="22"/>
          <w:szCs w:val="22"/>
        </w:rPr>
        <w:t>PVC/aluminijumski blister, u kome se nalazi 16 film tableta.</w:t>
      </w:r>
    </w:p>
    <w:p w14:paraId="3BF028D6" w14:textId="786FC863" w:rsidR="00591AA0" w:rsidRPr="00BD141A" w:rsidRDefault="00591AA0">
      <w:pPr>
        <w:jc w:val="both"/>
        <w:rPr>
          <w:sz w:val="22"/>
          <w:szCs w:val="22"/>
          <w:lang w:val="sr-Latn-RS"/>
        </w:rPr>
      </w:pPr>
      <w:r w:rsidRPr="00BD141A">
        <w:rPr>
          <w:sz w:val="22"/>
          <w:szCs w:val="22"/>
          <w:lang w:val="sr-Latn-RS"/>
        </w:rPr>
        <w:t xml:space="preserve">Spoljnje pakovanje je složiva kartonska kutija u kojoj se nalazi 7 blistera sa po 16 tableta (ukupno 112 tableta) i Uputstvo za </w:t>
      </w:r>
      <w:r w:rsidR="007B475F" w:rsidRPr="00BD141A">
        <w:rPr>
          <w:sz w:val="22"/>
          <w:szCs w:val="22"/>
          <w:lang w:val="sr-Latn-RS"/>
        </w:rPr>
        <w:t>lijek</w:t>
      </w:r>
      <w:r w:rsidRPr="00BD141A">
        <w:rPr>
          <w:sz w:val="22"/>
          <w:szCs w:val="22"/>
          <w:lang w:val="sr-Latn-RS"/>
        </w:rPr>
        <w:t>.</w:t>
      </w:r>
      <w:bookmarkEnd w:id="11"/>
    </w:p>
    <w:p w14:paraId="73668C87" w14:textId="77777777" w:rsidR="00591AA0" w:rsidRPr="00BD141A" w:rsidRDefault="00591AA0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6B89863" w14:textId="77777777" w:rsidR="002846DB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6.6.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BD141A">
        <w:rPr>
          <w:b/>
          <w:bCs/>
          <w:sz w:val="22"/>
          <w:szCs w:val="22"/>
        </w:rPr>
        <w:t xml:space="preserve"> </w:t>
      </w:r>
      <w:r w:rsidR="00310F03" w:rsidRPr="00BD141A">
        <w:rPr>
          <w:b/>
          <w:bCs/>
          <w:sz w:val="22"/>
          <w:szCs w:val="22"/>
        </w:rPr>
        <w:t>(i druga uputs</w:t>
      </w:r>
      <w:r w:rsidR="004109FA" w:rsidRPr="00BD141A">
        <w:rPr>
          <w:b/>
          <w:bCs/>
          <w:sz w:val="22"/>
          <w:szCs w:val="22"/>
        </w:rPr>
        <w:t>t</w:t>
      </w:r>
      <w:r w:rsidR="00310F03" w:rsidRPr="00BD141A">
        <w:rPr>
          <w:b/>
          <w:bCs/>
          <w:sz w:val="22"/>
          <w:szCs w:val="22"/>
        </w:rPr>
        <w:t xml:space="preserve">va za rukovanje lijekom) </w:t>
      </w:r>
    </w:p>
    <w:p w14:paraId="32BAE7BB" w14:textId="77777777" w:rsidR="00B66A70" w:rsidRPr="00BD141A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9118D83" w14:textId="01B7C7B4" w:rsidR="00591AA0" w:rsidRPr="00BD141A" w:rsidRDefault="00591AA0" w:rsidP="00D07FA2">
      <w:pPr>
        <w:jc w:val="both"/>
        <w:rPr>
          <w:sz w:val="22"/>
          <w:szCs w:val="22"/>
        </w:rPr>
      </w:pPr>
      <w:r w:rsidRPr="00BD141A">
        <w:rPr>
          <w:sz w:val="22"/>
          <w:szCs w:val="22"/>
        </w:rPr>
        <w:t xml:space="preserve">Svu neiskorišćenu količinu </w:t>
      </w:r>
      <w:r w:rsidR="007B475F" w:rsidRPr="00BD141A">
        <w:rPr>
          <w:sz w:val="22"/>
          <w:szCs w:val="22"/>
        </w:rPr>
        <w:t>lijek</w:t>
      </w:r>
      <w:r w:rsidRPr="00BD141A">
        <w:rPr>
          <w:sz w:val="22"/>
          <w:szCs w:val="22"/>
        </w:rPr>
        <w:t>a ili otpadnog materijala nakon njegove upotrebe treba ukloniti, u skladu sa važećim propisima</w:t>
      </w:r>
      <w:r w:rsidR="00667F2B">
        <w:rPr>
          <w:sz w:val="22"/>
          <w:szCs w:val="22"/>
        </w:rPr>
        <w:t>.</w:t>
      </w:r>
    </w:p>
    <w:p w14:paraId="4758BBA3" w14:textId="0C733ED9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C3ECB32" w14:textId="77777777" w:rsidR="00D57176" w:rsidRPr="00BD141A" w:rsidRDefault="00D57176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22339BA" w14:textId="77777777" w:rsidR="00F8570A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7.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NOSILAC DOZVOLE</w:t>
      </w:r>
      <w:r w:rsidR="00483928" w:rsidRPr="00BD141A">
        <w:rPr>
          <w:b/>
          <w:bCs/>
          <w:sz w:val="22"/>
          <w:szCs w:val="22"/>
        </w:rPr>
        <w:t xml:space="preserve"> </w:t>
      </w:r>
    </w:p>
    <w:p w14:paraId="52514CF5" w14:textId="77777777" w:rsidR="00B46B12" w:rsidRDefault="00B46B1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C6A626D" w14:textId="482A5D7F" w:rsidR="00C61BE0" w:rsidRPr="00BD141A" w:rsidRDefault="00B46B12" w:rsidP="00D07FA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B46B12">
        <w:rPr>
          <w:bCs/>
          <w:sz w:val="22"/>
          <w:szCs w:val="22"/>
        </w:rPr>
        <w:t>Evro</w:t>
      </w:r>
      <w:r w:rsidR="00C244F9">
        <w:rPr>
          <w:bCs/>
          <w:sz w:val="22"/>
          <w:szCs w:val="22"/>
        </w:rPr>
        <w:t>pa Lek Pharma d.o.o., Kritskog o</w:t>
      </w:r>
      <w:r w:rsidRPr="00B46B12">
        <w:rPr>
          <w:bCs/>
          <w:sz w:val="22"/>
          <w:szCs w:val="22"/>
        </w:rPr>
        <w:t>dreda 4/1, 81000 Podgorica, Crna Gora</w:t>
      </w:r>
    </w:p>
    <w:p w14:paraId="684E9882" w14:textId="6F691B5F"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E4C0173" w14:textId="77777777" w:rsidR="00D57176" w:rsidRPr="00BD141A" w:rsidRDefault="00D57176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A3D93D0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8.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>BROJ DOZVOLE</w:t>
      </w:r>
      <w:r w:rsidR="008A6D43" w:rsidRPr="00BD141A">
        <w:rPr>
          <w:b/>
          <w:bCs/>
          <w:sz w:val="22"/>
          <w:szCs w:val="22"/>
        </w:rPr>
        <w:t xml:space="preserve"> ZA STAVLJANJE LIJEKA U PROMET</w:t>
      </w:r>
    </w:p>
    <w:p w14:paraId="175C4B36" w14:textId="517058FA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E1260F0" w14:textId="67A182D4" w:rsidR="00AB20FB" w:rsidRPr="00BD141A" w:rsidRDefault="00AB20FB" w:rsidP="00D07FA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AB20FB">
        <w:rPr>
          <w:bCs/>
          <w:sz w:val="22"/>
          <w:szCs w:val="22"/>
        </w:rPr>
        <w:t>2030/22/4028 - 6951</w:t>
      </w:r>
    </w:p>
    <w:p w14:paraId="4ABE1661" w14:textId="71CDA55A" w:rsidR="00F45F7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94D70AB" w14:textId="77777777" w:rsidR="00667F2B" w:rsidRPr="00BD141A" w:rsidRDefault="00667F2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96D772E" w14:textId="77777777" w:rsidR="0072020E" w:rsidRPr="00BD141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9. </w:t>
      </w:r>
      <w:r w:rsidR="00480FB1" w:rsidRPr="00BD141A">
        <w:rPr>
          <w:b/>
          <w:bCs/>
          <w:sz w:val="22"/>
          <w:szCs w:val="22"/>
        </w:rPr>
        <w:tab/>
      </w:r>
      <w:r w:rsidRPr="00BD141A">
        <w:rPr>
          <w:b/>
          <w:bCs/>
          <w:sz w:val="22"/>
          <w:szCs w:val="22"/>
        </w:rPr>
        <w:t xml:space="preserve">DATUM </w:t>
      </w:r>
      <w:r w:rsidR="00C05DF8" w:rsidRPr="00BD141A">
        <w:rPr>
          <w:b/>
          <w:bCs/>
          <w:sz w:val="22"/>
          <w:szCs w:val="22"/>
        </w:rPr>
        <w:t xml:space="preserve">PRVE </w:t>
      </w:r>
      <w:r w:rsidR="008A6D43" w:rsidRPr="00BD141A">
        <w:rPr>
          <w:b/>
          <w:bCs/>
          <w:sz w:val="22"/>
          <w:szCs w:val="22"/>
        </w:rPr>
        <w:t>DOZVOLE</w:t>
      </w:r>
      <w:r w:rsidR="00C05DF8" w:rsidRPr="00BD141A">
        <w:rPr>
          <w:b/>
          <w:bCs/>
          <w:sz w:val="22"/>
          <w:szCs w:val="22"/>
        </w:rPr>
        <w:t>/OBNOVE DOZVOLE</w:t>
      </w:r>
      <w:r w:rsidR="008A6D43" w:rsidRPr="00BD141A">
        <w:rPr>
          <w:b/>
          <w:bCs/>
          <w:sz w:val="22"/>
          <w:szCs w:val="22"/>
        </w:rPr>
        <w:t xml:space="preserve"> ZA STAVLJANJE LIJEKA U PROMET</w:t>
      </w:r>
    </w:p>
    <w:p w14:paraId="778207C9" w14:textId="335E8E83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D8DFC4C" w14:textId="60CC68DA" w:rsidR="00AB20FB" w:rsidRPr="00BD141A" w:rsidRDefault="00AB20FB" w:rsidP="00D07FA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AB20FB">
        <w:rPr>
          <w:bCs/>
          <w:sz w:val="22"/>
          <w:szCs w:val="22"/>
        </w:rPr>
        <w:t>27.12.2022. godine</w:t>
      </w:r>
    </w:p>
    <w:p w14:paraId="52718F66" w14:textId="240C70FE"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C5793E6" w14:textId="77777777" w:rsidR="00667F2B" w:rsidRPr="00BD141A" w:rsidRDefault="00667F2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9970CC0" w14:textId="77777777" w:rsidR="003F6A59" w:rsidRPr="00BD141A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</w:rPr>
      </w:pPr>
      <w:r w:rsidRPr="00BD141A">
        <w:rPr>
          <w:b/>
          <w:bCs/>
          <w:sz w:val="22"/>
          <w:szCs w:val="22"/>
        </w:rPr>
        <w:t xml:space="preserve">10. </w:t>
      </w:r>
      <w:r w:rsidR="00480FB1" w:rsidRPr="00BD141A">
        <w:rPr>
          <w:b/>
          <w:bCs/>
          <w:sz w:val="22"/>
          <w:szCs w:val="22"/>
        </w:rPr>
        <w:tab/>
      </w:r>
      <w:r w:rsidR="002846DB" w:rsidRPr="00BD141A">
        <w:rPr>
          <w:b/>
          <w:bCs/>
          <w:sz w:val="22"/>
          <w:szCs w:val="22"/>
        </w:rPr>
        <w:t>D</w:t>
      </w:r>
      <w:r w:rsidR="00EC2532" w:rsidRPr="00BD141A">
        <w:rPr>
          <w:b/>
          <w:bCs/>
          <w:sz w:val="22"/>
          <w:szCs w:val="22"/>
        </w:rPr>
        <w:t xml:space="preserve">ATUM REVIZIJE TEKSTA </w:t>
      </w:r>
    </w:p>
    <w:p w14:paraId="62D113A4" w14:textId="77777777" w:rsidR="003F6A59" w:rsidRPr="00BD141A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9EB5804" w14:textId="29113FF2" w:rsidR="008A6D43" w:rsidRPr="00BD141A" w:rsidRDefault="00022755" w:rsidP="00D07FA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Okto</w:t>
      </w:r>
      <w:r>
        <w:rPr>
          <w:bCs/>
          <w:sz w:val="22"/>
          <w:szCs w:val="22"/>
        </w:rPr>
        <w:t>bar</w:t>
      </w:r>
      <w:r w:rsidR="00667F2B">
        <w:rPr>
          <w:bCs/>
          <w:sz w:val="22"/>
          <w:szCs w:val="22"/>
        </w:rPr>
        <w:t>, 2024. godine</w:t>
      </w:r>
    </w:p>
    <w:p w14:paraId="34C14B4F" w14:textId="0B6DDCD9" w:rsidR="003F6A59" w:rsidRPr="00BD141A" w:rsidRDefault="003F6A59" w:rsidP="00DE3F5C">
      <w:pPr>
        <w:rPr>
          <w:sz w:val="22"/>
          <w:szCs w:val="22"/>
          <w:lang w:val="pl-PL"/>
        </w:rPr>
      </w:pPr>
    </w:p>
    <w:sectPr w:rsidR="003F6A59" w:rsidRPr="00BD141A" w:rsidSect="006B5404">
      <w:footerReference w:type="default" r:id="rId2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C6DEE" w14:textId="77777777" w:rsidR="006C4A16" w:rsidRDefault="006C4A16">
      <w:r>
        <w:separator/>
      </w:r>
    </w:p>
  </w:endnote>
  <w:endnote w:type="continuationSeparator" w:id="0">
    <w:p w14:paraId="2613DB47" w14:textId="77777777" w:rsidR="006C4A16" w:rsidRDefault="006C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AC2F" w14:textId="0AAA5B6A" w:rsidR="000632D6" w:rsidRPr="00B23F69" w:rsidRDefault="000632D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22755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22755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1D402" w14:textId="77777777" w:rsidR="006C4A16" w:rsidRDefault="006C4A16">
      <w:r>
        <w:separator/>
      </w:r>
    </w:p>
  </w:footnote>
  <w:footnote w:type="continuationSeparator" w:id="0">
    <w:p w14:paraId="25073A62" w14:textId="77777777" w:rsidR="006C4A16" w:rsidRDefault="006C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55pt;height:14.4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170412"/>
    <w:multiLevelType w:val="hybridMultilevel"/>
    <w:tmpl w:val="B24C8796"/>
    <w:lvl w:ilvl="0" w:tplc="D7C42E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4BE"/>
    <w:rsid w:val="00010C76"/>
    <w:rsid w:val="000176CA"/>
    <w:rsid w:val="000226A0"/>
    <w:rsid w:val="00022755"/>
    <w:rsid w:val="00036FA0"/>
    <w:rsid w:val="0003793F"/>
    <w:rsid w:val="00057E35"/>
    <w:rsid w:val="000632D6"/>
    <w:rsid w:val="00076726"/>
    <w:rsid w:val="00080303"/>
    <w:rsid w:val="0009502F"/>
    <w:rsid w:val="000A3F58"/>
    <w:rsid w:val="000D2343"/>
    <w:rsid w:val="000D3449"/>
    <w:rsid w:val="000D425A"/>
    <w:rsid w:val="000D60CC"/>
    <w:rsid w:val="000E2084"/>
    <w:rsid w:val="000E378B"/>
    <w:rsid w:val="000E6F55"/>
    <w:rsid w:val="000E7BED"/>
    <w:rsid w:val="000F77FA"/>
    <w:rsid w:val="00107BF7"/>
    <w:rsid w:val="00110F8B"/>
    <w:rsid w:val="00112291"/>
    <w:rsid w:val="00126F53"/>
    <w:rsid w:val="0014766D"/>
    <w:rsid w:val="001536CC"/>
    <w:rsid w:val="00172C8F"/>
    <w:rsid w:val="0018538F"/>
    <w:rsid w:val="00191891"/>
    <w:rsid w:val="001A0CFB"/>
    <w:rsid w:val="001A3FBA"/>
    <w:rsid w:val="001A5518"/>
    <w:rsid w:val="001B1C6A"/>
    <w:rsid w:val="001C1263"/>
    <w:rsid w:val="001C1417"/>
    <w:rsid w:val="001C639E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66FD7"/>
    <w:rsid w:val="002846DB"/>
    <w:rsid w:val="00284CCD"/>
    <w:rsid w:val="002C6637"/>
    <w:rsid w:val="002E0135"/>
    <w:rsid w:val="002E37A5"/>
    <w:rsid w:val="00303CA0"/>
    <w:rsid w:val="003102DA"/>
    <w:rsid w:val="00310F03"/>
    <w:rsid w:val="003247D2"/>
    <w:rsid w:val="003445C1"/>
    <w:rsid w:val="00355B61"/>
    <w:rsid w:val="00356B33"/>
    <w:rsid w:val="00357CB3"/>
    <w:rsid w:val="00362686"/>
    <w:rsid w:val="00371510"/>
    <w:rsid w:val="00395F0A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1E5"/>
    <w:rsid w:val="00411B4B"/>
    <w:rsid w:val="00415BEE"/>
    <w:rsid w:val="004173E0"/>
    <w:rsid w:val="00427F85"/>
    <w:rsid w:val="00436F42"/>
    <w:rsid w:val="004378B4"/>
    <w:rsid w:val="00446582"/>
    <w:rsid w:val="00447278"/>
    <w:rsid w:val="00451314"/>
    <w:rsid w:val="00452E9D"/>
    <w:rsid w:val="004534C7"/>
    <w:rsid w:val="00457204"/>
    <w:rsid w:val="00465EC3"/>
    <w:rsid w:val="004671AA"/>
    <w:rsid w:val="00480FB1"/>
    <w:rsid w:val="00483928"/>
    <w:rsid w:val="004866FF"/>
    <w:rsid w:val="004C331F"/>
    <w:rsid w:val="004C387D"/>
    <w:rsid w:val="004C4EC0"/>
    <w:rsid w:val="004D6103"/>
    <w:rsid w:val="004E05EB"/>
    <w:rsid w:val="004E3491"/>
    <w:rsid w:val="004E3BCE"/>
    <w:rsid w:val="004E70AD"/>
    <w:rsid w:val="004F0E97"/>
    <w:rsid w:val="00501DD1"/>
    <w:rsid w:val="005111EC"/>
    <w:rsid w:val="00515C21"/>
    <w:rsid w:val="00523520"/>
    <w:rsid w:val="00530BD7"/>
    <w:rsid w:val="00535894"/>
    <w:rsid w:val="00545CD2"/>
    <w:rsid w:val="005476F3"/>
    <w:rsid w:val="00550E86"/>
    <w:rsid w:val="00555585"/>
    <w:rsid w:val="00572527"/>
    <w:rsid w:val="00573E40"/>
    <w:rsid w:val="00576348"/>
    <w:rsid w:val="00591AA0"/>
    <w:rsid w:val="005A0B2E"/>
    <w:rsid w:val="005A23D2"/>
    <w:rsid w:val="005A36CB"/>
    <w:rsid w:val="005B49B8"/>
    <w:rsid w:val="005C0741"/>
    <w:rsid w:val="005C1EEF"/>
    <w:rsid w:val="005C5EF4"/>
    <w:rsid w:val="005D67F3"/>
    <w:rsid w:val="005E2E0B"/>
    <w:rsid w:val="005E4C47"/>
    <w:rsid w:val="005E7A7D"/>
    <w:rsid w:val="0060016A"/>
    <w:rsid w:val="00602457"/>
    <w:rsid w:val="006120C8"/>
    <w:rsid w:val="0061242E"/>
    <w:rsid w:val="00622015"/>
    <w:rsid w:val="0062324D"/>
    <w:rsid w:val="00644FC3"/>
    <w:rsid w:val="00646BD1"/>
    <w:rsid w:val="006517AA"/>
    <w:rsid w:val="006561C2"/>
    <w:rsid w:val="00667F2B"/>
    <w:rsid w:val="00671CB3"/>
    <w:rsid w:val="00674BAF"/>
    <w:rsid w:val="00682200"/>
    <w:rsid w:val="00692BF6"/>
    <w:rsid w:val="006A1497"/>
    <w:rsid w:val="006B0BD1"/>
    <w:rsid w:val="006B5404"/>
    <w:rsid w:val="006C4A16"/>
    <w:rsid w:val="006C6909"/>
    <w:rsid w:val="006D20A5"/>
    <w:rsid w:val="006D37BF"/>
    <w:rsid w:val="006E3FEF"/>
    <w:rsid w:val="006F6512"/>
    <w:rsid w:val="00702E22"/>
    <w:rsid w:val="0072020E"/>
    <w:rsid w:val="0078283F"/>
    <w:rsid w:val="007828B3"/>
    <w:rsid w:val="00786071"/>
    <w:rsid w:val="007931EB"/>
    <w:rsid w:val="007A3ECB"/>
    <w:rsid w:val="007B475F"/>
    <w:rsid w:val="007C42CC"/>
    <w:rsid w:val="007C6BEB"/>
    <w:rsid w:val="007D7BB3"/>
    <w:rsid w:val="007E554A"/>
    <w:rsid w:val="00820558"/>
    <w:rsid w:val="00824AB9"/>
    <w:rsid w:val="00831449"/>
    <w:rsid w:val="00832AD5"/>
    <w:rsid w:val="008333B7"/>
    <w:rsid w:val="00836B35"/>
    <w:rsid w:val="00843BDE"/>
    <w:rsid w:val="0087588C"/>
    <w:rsid w:val="0089705C"/>
    <w:rsid w:val="008A6D43"/>
    <w:rsid w:val="008B491E"/>
    <w:rsid w:val="008C1A28"/>
    <w:rsid w:val="008C2E98"/>
    <w:rsid w:val="008D4135"/>
    <w:rsid w:val="008E49BD"/>
    <w:rsid w:val="008E53E9"/>
    <w:rsid w:val="008E5771"/>
    <w:rsid w:val="008F4ACF"/>
    <w:rsid w:val="00916CE3"/>
    <w:rsid w:val="00920823"/>
    <w:rsid w:val="00924166"/>
    <w:rsid w:val="009256C1"/>
    <w:rsid w:val="009257B7"/>
    <w:rsid w:val="00926F1A"/>
    <w:rsid w:val="00932041"/>
    <w:rsid w:val="00932E91"/>
    <w:rsid w:val="00940B9B"/>
    <w:rsid w:val="0095676E"/>
    <w:rsid w:val="00956983"/>
    <w:rsid w:val="00963CF0"/>
    <w:rsid w:val="00964BB1"/>
    <w:rsid w:val="009775D9"/>
    <w:rsid w:val="009927B0"/>
    <w:rsid w:val="00997175"/>
    <w:rsid w:val="009A1847"/>
    <w:rsid w:val="009A286D"/>
    <w:rsid w:val="009B062A"/>
    <w:rsid w:val="009C13FF"/>
    <w:rsid w:val="009E7C6F"/>
    <w:rsid w:val="009F135F"/>
    <w:rsid w:val="009F1793"/>
    <w:rsid w:val="009F2D23"/>
    <w:rsid w:val="00A01D69"/>
    <w:rsid w:val="00A02335"/>
    <w:rsid w:val="00A31BA4"/>
    <w:rsid w:val="00A46C9A"/>
    <w:rsid w:val="00A60535"/>
    <w:rsid w:val="00A619F3"/>
    <w:rsid w:val="00A62A73"/>
    <w:rsid w:val="00A77E6E"/>
    <w:rsid w:val="00A864D0"/>
    <w:rsid w:val="00A87FF6"/>
    <w:rsid w:val="00AA0A3B"/>
    <w:rsid w:val="00AA223D"/>
    <w:rsid w:val="00AA2763"/>
    <w:rsid w:val="00AA2DB9"/>
    <w:rsid w:val="00AA33B6"/>
    <w:rsid w:val="00AA5780"/>
    <w:rsid w:val="00AB20FB"/>
    <w:rsid w:val="00AB50CA"/>
    <w:rsid w:val="00AB6D64"/>
    <w:rsid w:val="00AC53CE"/>
    <w:rsid w:val="00AD2193"/>
    <w:rsid w:val="00AF2AC7"/>
    <w:rsid w:val="00AF74CE"/>
    <w:rsid w:val="00B0206C"/>
    <w:rsid w:val="00B079D3"/>
    <w:rsid w:val="00B208DB"/>
    <w:rsid w:val="00B23F69"/>
    <w:rsid w:val="00B316EB"/>
    <w:rsid w:val="00B33134"/>
    <w:rsid w:val="00B46B12"/>
    <w:rsid w:val="00B60619"/>
    <w:rsid w:val="00B66A70"/>
    <w:rsid w:val="00B67366"/>
    <w:rsid w:val="00B700CB"/>
    <w:rsid w:val="00B80EE1"/>
    <w:rsid w:val="00B81527"/>
    <w:rsid w:val="00B84135"/>
    <w:rsid w:val="00B975E7"/>
    <w:rsid w:val="00BB502D"/>
    <w:rsid w:val="00BB6E2C"/>
    <w:rsid w:val="00BC4C4A"/>
    <w:rsid w:val="00BC78CE"/>
    <w:rsid w:val="00BD141A"/>
    <w:rsid w:val="00BE7E65"/>
    <w:rsid w:val="00C04D34"/>
    <w:rsid w:val="00C05DF8"/>
    <w:rsid w:val="00C06864"/>
    <w:rsid w:val="00C10F54"/>
    <w:rsid w:val="00C23D8D"/>
    <w:rsid w:val="00C244F9"/>
    <w:rsid w:val="00C254EE"/>
    <w:rsid w:val="00C37AA3"/>
    <w:rsid w:val="00C37FD7"/>
    <w:rsid w:val="00C43419"/>
    <w:rsid w:val="00C44CF3"/>
    <w:rsid w:val="00C51C60"/>
    <w:rsid w:val="00C52015"/>
    <w:rsid w:val="00C61BE0"/>
    <w:rsid w:val="00C6707E"/>
    <w:rsid w:val="00C70B0E"/>
    <w:rsid w:val="00C773CA"/>
    <w:rsid w:val="00C83785"/>
    <w:rsid w:val="00C94C0D"/>
    <w:rsid w:val="00CA109F"/>
    <w:rsid w:val="00CA1FEB"/>
    <w:rsid w:val="00CA2030"/>
    <w:rsid w:val="00CA642D"/>
    <w:rsid w:val="00CD4F85"/>
    <w:rsid w:val="00CD6F02"/>
    <w:rsid w:val="00CE246D"/>
    <w:rsid w:val="00CF07A0"/>
    <w:rsid w:val="00CF3E03"/>
    <w:rsid w:val="00D0082A"/>
    <w:rsid w:val="00D07FA2"/>
    <w:rsid w:val="00D21455"/>
    <w:rsid w:val="00D276D2"/>
    <w:rsid w:val="00D27FD9"/>
    <w:rsid w:val="00D47634"/>
    <w:rsid w:val="00D53241"/>
    <w:rsid w:val="00D57176"/>
    <w:rsid w:val="00D709B3"/>
    <w:rsid w:val="00DA2ED6"/>
    <w:rsid w:val="00DB1D78"/>
    <w:rsid w:val="00DB2896"/>
    <w:rsid w:val="00DB5190"/>
    <w:rsid w:val="00DB76B8"/>
    <w:rsid w:val="00DC2EA1"/>
    <w:rsid w:val="00DD6AAF"/>
    <w:rsid w:val="00DE3F5C"/>
    <w:rsid w:val="00DF1D20"/>
    <w:rsid w:val="00E21324"/>
    <w:rsid w:val="00E246B9"/>
    <w:rsid w:val="00E27E7E"/>
    <w:rsid w:val="00E31FEA"/>
    <w:rsid w:val="00E45169"/>
    <w:rsid w:val="00E47787"/>
    <w:rsid w:val="00E51C30"/>
    <w:rsid w:val="00E53B57"/>
    <w:rsid w:val="00E556F5"/>
    <w:rsid w:val="00E64180"/>
    <w:rsid w:val="00E7063D"/>
    <w:rsid w:val="00E74AEE"/>
    <w:rsid w:val="00E868E5"/>
    <w:rsid w:val="00E9237A"/>
    <w:rsid w:val="00E939FA"/>
    <w:rsid w:val="00EA5765"/>
    <w:rsid w:val="00EB5D22"/>
    <w:rsid w:val="00EB6E80"/>
    <w:rsid w:val="00EC2532"/>
    <w:rsid w:val="00ED7812"/>
    <w:rsid w:val="00EF3B86"/>
    <w:rsid w:val="00F24103"/>
    <w:rsid w:val="00F317E9"/>
    <w:rsid w:val="00F34554"/>
    <w:rsid w:val="00F45F77"/>
    <w:rsid w:val="00F5167F"/>
    <w:rsid w:val="00F52258"/>
    <w:rsid w:val="00F52F2D"/>
    <w:rsid w:val="00F8570A"/>
    <w:rsid w:val="00F91C7B"/>
    <w:rsid w:val="00FA0244"/>
    <w:rsid w:val="00FB708E"/>
    <w:rsid w:val="00FD63AB"/>
    <w:rsid w:val="00FE0E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98FAD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A31BA4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0E7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E3FEF"/>
    <w:pPr>
      <w:ind w:left="720"/>
      <w:contextualSpacing/>
    </w:pPr>
  </w:style>
  <w:style w:type="paragraph" w:customStyle="1" w:styleId="BayerBodytextFull">
    <w:name w:val="Bayer Body text Full"/>
    <w:basedOn w:val="Normal"/>
    <w:link w:val="BayerBodytextFullZchn"/>
    <w:qFormat/>
    <w:rsid w:val="00EB5D22"/>
    <w:pPr>
      <w:spacing w:before="120" w:after="120"/>
    </w:pPr>
    <w:rPr>
      <w:rFonts w:eastAsia="MS Mincho"/>
      <w:szCs w:val="20"/>
      <w:lang w:eastAsia="zh-TW"/>
    </w:rPr>
  </w:style>
  <w:style w:type="character" w:customStyle="1" w:styleId="BayerBodytextFullZchn">
    <w:name w:val="Bayer Body text Full Zchn"/>
    <w:link w:val="BayerBodytextFull"/>
    <w:rsid w:val="00EB5D22"/>
    <w:rPr>
      <w:rFonts w:eastAsia="MS Mincho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inmed.me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vigiflow-eforms.who-umc.org/me/meadr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ezeljenadejstva@cinmed.me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bc43322-b630-4bac-8b27-31def233d1d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PublishingExpirationDate xmlns="http://schemas.microsoft.com/sharepoint/v3" xsi:nil="true"/>
    <PublishingStartDate xmlns="http://schemas.microsoft.com/sharepoint/v3" xsi:nil="true"/>
    <_dlc_ExpireDate xmlns="http://schemas.microsoft.com/sharepoint/v3" xsi:nil="true"/>
    <_dlc_Exempt xmlns="http://schemas.microsoft.com/sharepoint/v3" xsi:nil="true"/>
    <SharedWithUsers xmlns="f754d41b-893c-4d54-a0bb-b59c4aa27429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43391B52E0243877F9268BA5D6AB2" ma:contentTypeVersion="19" ma:contentTypeDescription="Create a new document." ma:contentTypeScope="" ma:versionID="e3eb9dcf29ca1a826f88bb4178097506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f754d41b-893c-4d54-a0bb-b59c4aa27429" xmlns:ns4="ccfde104-9ae0-4d05-a2f3-ec6cccb2614a" targetNamespace="http://schemas.microsoft.com/office/2006/metadata/properties" ma:root="true" ma:fieldsID="e6c789ec78e079188929444afd64c6e5" ns1:_="" ns2:_="" ns3:_="" ns4:_="">
    <xsd:import namespace="http://schemas.microsoft.com/sharepoint/v3"/>
    <xsd:import namespace="1a4d292e-883c-434b-96e3-060cfff16c86"/>
    <xsd:import namespace="f754d41b-893c-4d54-a0bb-b59c4aa27429"/>
    <xsd:import namespace="ccfde104-9ae0-4d05-a2f3-ec6cccb2614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a9a4e20-d25f-4043-a26a-3904dd100929}" ma:internalName="TaxCatchAll" ma:showField="CatchAllData" ma:web="f754d41b-893c-4d54-a0bb-b59c4aa27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a9a4e20-d25f-4043-a26a-3904dd100929}" ma:internalName="TaxCatchAllLabel" ma:readOnly="true" ma:showField="CatchAllDataLabel" ma:web="f754d41b-893c-4d54-a0bb-b59c4aa27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d41b-893c-4d54-a0bb-b59c4aa27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e104-9ae0-4d05-a2f3-ec6cccb26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3577-EDA6-4EBB-BA00-667767A6D9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A64BCFA-45C5-469E-9AA1-DD202F97D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87441-606D-4389-BF4F-CE12D759E3E1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f754d41b-893c-4d54-a0bb-b59c4aa27429"/>
  </ds:schemaRefs>
</ds:datastoreItem>
</file>

<file path=customXml/itemProps4.xml><?xml version="1.0" encoding="utf-8"?>
<ds:datastoreItem xmlns:ds="http://schemas.openxmlformats.org/officeDocument/2006/customXml" ds:itemID="{EB4109FA-55F2-4694-B4ED-9822B187A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f754d41b-893c-4d54-a0bb-b59c4aa27429"/>
    <ds:schemaRef ds:uri="ccfde104-9ae0-4d05-a2f3-ec6cccb26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56E8CB-87F0-4D32-9D07-4AD32386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8065</Words>
  <Characters>45974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53932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4</cp:revision>
  <dcterms:created xsi:type="dcterms:W3CDTF">2024-09-30T15:51:00Z</dcterms:created>
  <dcterms:modified xsi:type="dcterms:W3CDTF">2024-10-07T08:34:00Z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2022-11-16T11:32:39Z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b307722f-23fc-4879-8ade-552046acac4f</vt:lpwstr>
  </property>
  <property fmtid="{D5CDD505-2E9C-101B-9397-08002B2CF9AE}" pid="9" name="MSIP_Label_7f850223-87a8-40c3-9eb2-432606efca2a_ContentBits">
    <vt:lpwstr>0</vt:lpwstr>
  </property>
  <property fmtid="{D5CDD505-2E9C-101B-9397-08002B2CF9AE}" pid="10" name="ContentTypeId">
    <vt:lpwstr>0x0101009E043391B52E0243877F9268BA5D6AB2</vt:lpwstr>
  </property>
  <property fmtid="{D5CDD505-2E9C-101B-9397-08002B2CF9AE}" pid="11" name="43b072f0-0f82-4aac-be1e-8abeffc32f66">
    <vt:bool>false</vt:bool>
  </property>
</Properties>
</file>