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1A5518">
      <w:pPr>
        <w:rPr>
          <w:b/>
          <w:bCs/>
          <w:i/>
          <w:iCs/>
          <w:sz w:val="22"/>
          <w:szCs w:val="22"/>
          <w:u w:val="single"/>
        </w:rPr>
      </w:pPr>
    </w:p>
    <w:p w:rsidR="00F91C7B" w:rsidRPr="00786071" w:rsidRDefault="00F91C7B" w:rsidP="001A5518">
      <w:pPr>
        <w:rPr>
          <w:b/>
          <w:bCs/>
          <w:i/>
          <w:iCs/>
          <w:sz w:val="22"/>
          <w:szCs w:val="22"/>
          <w:u w:val="single"/>
        </w:rPr>
      </w:pPr>
    </w:p>
    <w:p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rsidR="003C17AB" w:rsidRDefault="003C17AB" w:rsidP="00F5167F">
      <w:pPr>
        <w:tabs>
          <w:tab w:val="left" w:pos="540"/>
          <w:tab w:val="left" w:pos="569"/>
        </w:tabs>
        <w:rPr>
          <w:noProof/>
          <w:sz w:val="22"/>
          <w:szCs w:val="22"/>
          <w:lang w:val="hr-HR"/>
        </w:rPr>
      </w:pPr>
    </w:p>
    <w:p w:rsidR="00C37FD7" w:rsidRPr="00786071" w:rsidRDefault="00C37FD7" w:rsidP="00A07EB0">
      <w:pPr>
        <w:tabs>
          <w:tab w:val="left" w:pos="540"/>
          <w:tab w:val="left" w:pos="569"/>
        </w:tabs>
        <w:jc w:val="both"/>
        <w:rPr>
          <w:bCs/>
          <w:sz w:val="22"/>
          <w:szCs w:val="22"/>
        </w:rPr>
      </w:pPr>
    </w:p>
    <w:p w:rsidR="00411B4B" w:rsidRPr="00880E7B" w:rsidRDefault="00411B4B" w:rsidP="00880E7B">
      <w:pPr>
        <w:tabs>
          <w:tab w:val="left" w:pos="540"/>
          <w:tab w:val="left" w:pos="569"/>
        </w:tabs>
        <w:jc w:val="both"/>
        <w:rPr>
          <w:b/>
          <w:bCs/>
          <w:sz w:val="22"/>
          <w:szCs w:val="22"/>
        </w:rPr>
      </w:pPr>
      <w:r w:rsidRPr="00880E7B">
        <w:rPr>
          <w:b/>
          <w:bCs/>
          <w:sz w:val="22"/>
          <w:szCs w:val="22"/>
        </w:rPr>
        <w:t>1.</w:t>
      </w:r>
      <w:r w:rsidR="00F5167F" w:rsidRPr="00880E7B">
        <w:rPr>
          <w:b/>
          <w:bCs/>
          <w:sz w:val="22"/>
          <w:szCs w:val="22"/>
        </w:rPr>
        <w:tab/>
      </w:r>
      <w:r w:rsidR="002846DB" w:rsidRPr="00880E7B">
        <w:rPr>
          <w:b/>
          <w:bCs/>
          <w:sz w:val="22"/>
          <w:szCs w:val="22"/>
        </w:rPr>
        <w:t xml:space="preserve">NAZIV </w:t>
      </w:r>
      <w:r w:rsidRPr="00880E7B">
        <w:rPr>
          <w:b/>
          <w:bCs/>
          <w:sz w:val="22"/>
          <w:szCs w:val="22"/>
        </w:rPr>
        <w:t>LIJEKA</w:t>
      </w:r>
    </w:p>
    <w:p w:rsidR="00EC2532" w:rsidRPr="00880E7B" w:rsidRDefault="00EC2532" w:rsidP="00880E7B">
      <w:pPr>
        <w:jc w:val="both"/>
        <w:rPr>
          <w:sz w:val="22"/>
          <w:szCs w:val="22"/>
          <w:lang w:val="pl-PL"/>
        </w:rPr>
      </w:pPr>
    </w:p>
    <w:p w:rsidR="00241CD1" w:rsidRPr="00880E7B" w:rsidRDefault="00EB7A9D" w:rsidP="00880E7B">
      <w:pPr>
        <w:jc w:val="both"/>
        <w:rPr>
          <w:iCs/>
          <w:color w:val="000000" w:themeColor="text1"/>
          <w:sz w:val="22"/>
          <w:szCs w:val="22"/>
          <w:lang w:val="sr-Latn-ME"/>
        </w:rPr>
      </w:pPr>
      <w:r w:rsidRPr="00880E7B">
        <w:rPr>
          <w:iCs/>
          <w:color w:val="000000" w:themeColor="text1"/>
          <w:sz w:val="22"/>
          <w:szCs w:val="22"/>
          <w:lang w:val="sr-Latn-ME"/>
        </w:rPr>
        <w:t>ESBRIET</w:t>
      </w:r>
      <w:r w:rsidR="006B7EA6" w:rsidRPr="00880E7B">
        <w:rPr>
          <w:iCs/>
          <w:color w:val="000000" w:themeColor="text1"/>
          <w:sz w:val="22"/>
          <w:szCs w:val="22"/>
          <w:lang w:val="sr-Latn-ME"/>
        </w:rPr>
        <w:t xml:space="preserve">, </w:t>
      </w:r>
      <w:r w:rsidRPr="00880E7B">
        <w:rPr>
          <w:iCs/>
          <w:color w:val="000000" w:themeColor="text1"/>
          <w:sz w:val="22"/>
          <w:szCs w:val="22"/>
          <w:lang w:val="sr-Latn-ME"/>
        </w:rPr>
        <w:t>267 mg</w:t>
      </w:r>
      <w:r w:rsidR="00241CD1" w:rsidRPr="00880E7B">
        <w:rPr>
          <w:iCs/>
          <w:color w:val="000000" w:themeColor="text1"/>
          <w:sz w:val="22"/>
          <w:szCs w:val="22"/>
          <w:lang w:val="sr-Latn-ME"/>
        </w:rPr>
        <w:t xml:space="preserve">, </w:t>
      </w:r>
      <w:r w:rsidRPr="00880E7B">
        <w:rPr>
          <w:iCs/>
          <w:color w:val="000000" w:themeColor="text1"/>
          <w:sz w:val="22"/>
          <w:szCs w:val="22"/>
          <w:lang w:val="sr-Latn-ME"/>
        </w:rPr>
        <w:t>film tablet</w:t>
      </w:r>
      <w:r w:rsidR="003C3D91" w:rsidRPr="00880E7B">
        <w:rPr>
          <w:iCs/>
          <w:color w:val="000000" w:themeColor="text1"/>
          <w:sz w:val="22"/>
          <w:szCs w:val="22"/>
          <w:lang w:val="sr-Latn-ME"/>
        </w:rPr>
        <w:t>a</w:t>
      </w:r>
    </w:p>
    <w:p w:rsidR="00EB7A9D" w:rsidRPr="00880E7B" w:rsidRDefault="00EB7A9D" w:rsidP="00880E7B">
      <w:pPr>
        <w:jc w:val="both"/>
        <w:rPr>
          <w:iCs/>
          <w:color w:val="000000" w:themeColor="text1"/>
          <w:sz w:val="22"/>
          <w:szCs w:val="22"/>
          <w:lang w:val="sr-Latn-ME"/>
        </w:rPr>
      </w:pPr>
      <w:r w:rsidRPr="00880E7B">
        <w:rPr>
          <w:iCs/>
          <w:color w:val="000000" w:themeColor="text1"/>
          <w:sz w:val="22"/>
          <w:szCs w:val="22"/>
          <w:lang w:val="sr-Latn-ME"/>
        </w:rPr>
        <w:t>ESBRIET, 801 mg, film tablet</w:t>
      </w:r>
      <w:r w:rsidR="003C3D91" w:rsidRPr="00880E7B">
        <w:rPr>
          <w:iCs/>
          <w:color w:val="000000" w:themeColor="text1"/>
          <w:sz w:val="22"/>
          <w:szCs w:val="22"/>
          <w:lang w:val="sr-Latn-ME"/>
        </w:rPr>
        <w:t>a</w:t>
      </w:r>
    </w:p>
    <w:p w:rsidR="000D425A" w:rsidRPr="00880E7B" w:rsidRDefault="000D425A" w:rsidP="00880E7B">
      <w:pPr>
        <w:jc w:val="both"/>
        <w:rPr>
          <w:bCs/>
          <w:sz w:val="22"/>
          <w:szCs w:val="22"/>
          <w:lang w:val="sv-SE"/>
        </w:rPr>
      </w:pPr>
    </w:p>
    <w:p w:rsidR="006D20A5" w:rsidRPr="00880E7B" w:rsidRDefault="006D20A5" w:rsidP="00880E7B">
      <w:pPr>
        <w:jc w:val="both"/>
        <w:rPr>
          <w:sz w:val="22"/>
          <w:szCs w:val="22"/>
          <w:lang w:val="sr-Latn-CS"/>
        </w:rPr>
      </w:pPr>
      <w:r w:rsidRPr="00880E7B">
        <w:rPr>
          <w:sz w:val="22"/>
          <w:szCs w:val="22"/>
          <w:lang w:val="sv-SE"/>
        </w:rPr>
        <w:t>INN:</w:t>
      </w:r>
      <w:r w:rsidR="00241CD1" w:rsidRPr="00880E7B">
        <w:rPr>
          <w:sz w:val="22"/>
          <w:szCs w:val="22"/>
          <w:lang w:val="sv-SE"/>
        </w:rPr>
        <w:t xml:space="preserve"> </w:t>
      </w:r>
      <w:r w:rsidR="00EB7A9D" w:rsidRPr="00880E7B">
        <w:rPr>
          <w:sz w:val="22"/>
          <w:szCs w:val="22"/>
          <w:lang w:val="sr-Latn-CS"/>
        </w:rPr>
        <w:t>pirfenidon</w:t>
      </w:r>
    </w:p>
    <w:p w:rsidR="006D20A5" w:rsidRPr="00880E7B" w:rsidRDefault="006D20A5" w:rsidP="00880E7B">
      <w:pPr>
        <w:jc w:val="both"/>
        <w:rPr>
          <w:bCs/>
          <w:sz w:val="22"/>
          <w:szCs w:val="22"/>
          <w:lang w:val="sv-SE"/>
        </w:rPr>
      </w:pPr>
    </w:p>
    <w:p w:rsidR="00530BD7" w:rsidRPr="00880E7B" w:rsidRDefault="00530BD7" w:rsidP="00880E7B">
      <w:pPr>
        <w:jc w:val="both"/>
        <w:rPr>
          <w:bCs/>
          <w:sz w:val="22"/>
          <w:szCs w:val="22"/>
          <w:lang w:val="sv-SE"/>
        </w:rPr>
      </w:pPr>
    </w:p>
    <w:p w:rsidR="00411B4B" w:rsidRPr="00880E7B" w:rsidRDefault="00411B4B" w:rsidP="00880E7B">
      <w:pPr>
        <w:tabs>
          <w:tab w:val="left" w:pos="540"/>
          <w:tab w:val="left" w:pos="569"/>
        </w:tabs>
        <w:jc w:val="both"/>
        <w:rPr>
          <w:b/>
          <w:bCs/>
          <w:sz w:val="22"/>
          <w:szCs w:val="22"/>
        </w:rPr>
      </w:pPr>
      <w:r w:rsidRPr="00880E7B">
        <w:rPr>
          <w:b/>
          <w:bCs/>
          <w:sz w:val="22"/>
          <w:szCs w:val="22"/>
        </w:rPr>
        <w:t xml:space="preserve">2. </w:t>
      </w:r>
      <w:r w:rsidR="00F5167F" w:rsidRPr="00880E7B">
        <w:rPr>
          <w:b/>
          <w:bCs/>
          <w:sz w:val="22"/>
          <w:szCs w:val="22"/>
        </w:rPr>
        <w:tab/>
      </w:r>
      <w:r w:rsidRPr="00880E7B">
        <w:rPr>
          <w:b/>
          <w:bCs/>
          <w:sz w:val="22"/>
          <w:szCs w:val="22"/>
        </w:rPr>
        <w:t>KVALITATIVNI I KVANTITATIVNI SASTAV</w:t>
      </w:r>
    </w:p>
    <w:p w:rsidR="005A0B2E" w:rsidRPr="00880E7B" w:rsidRDefault="005A0B2E" w:rsidP="00880E7B">
      <w:pPr>
        <w:jc w:val="both"/>
        <w:rPr>
          <w:sz w:val="22"/>
          <w:szCs w:val="22"/>
          <w:lang w:val="sr-Latn-CS"/>
        </w:rPr>
      </w:pPr>
    </w:p>
    <w:p w:rsidR="00EB7A9D" w:rsidRPr="00880E7B" w:rsidRDefault="00EB7A9D" w:rsidP="00880E7B">
      <w:pPr>
        <w:spacing w:line="240" w:lineRule="exact"/>
        <w:jc w:val="both"/>
        <w:rPr>
          <w:sz w:val="22"/>
          <w:szCs w:val="22"/>
          <w:lang w:val="it-IT"/>
        </w:rPr>
      </w:pPr>
      <w:r w:rsidRPr="00880E7B">
        <w:rPr>
          <w:sz w:val="22"/>
          <w:szCs w:val="22"/>
          <w:lang w:val="it-IT"/>
        </w:rPr>
        <w:t>Jedna film tableta sadrži 267 mg pirfenidona.</w:t>
      </w:r>
    </w:p>
    <w:p w:rsidR="00EB7A9D" w:rsidRPr="00880E7B" w:rsidRDefault="00EB7A9D" w:rsidP="00880E7B">
      <w:pPr>
        <w:spacing w:line="240" w:lineRule="exact"/>
        <w:jc w:val="both"/>
        <w:outlineLvl w:val="0"/>
        <w:rPr>
          <w:sz w:val="22"/>
          <w:szCs w:val="22"/>
          <w:lang w:val="it-IT"/>
        </w:rPr>
      </w:pPr>
      <w:r w:rsidRPr="00880E7B">
        <w:rPr>
          <w:sz w:val="22"/>
          <w:szCs w:val="22"/>
          <w:lang w:val="it-IT"/>
        </w:rPr>
        <w:t>Jedna film tableta sadrži 801 mg pirfenidona.</w:t>
      </w:r>
    </w:p>
    <w:p w:rsidR="00EB7A9D" w:rsidRPr="00880E7B" w:rsidRDefault="00EB7A9D" w:rsidP="00880E7B">
      <w:pPr>
        <w:jc w:val="both"/>
        <w:rPr>
          <w:sz w:val="22"/>
          <w:szCs w:val="22"/>
          <w:lang w:val="sr-Latn-ME"/>
        </w:rPr>
      </w:pPr>
    </w:p>
    <w:p w:rsidR="0003793F" w:rsidRPr="00880E7B" w:rsidRDefault="0003793F" w:rsidP="00880E7B">
      <w:pPr>
        <w:jc w:val="both"/>
        <w:rPr>
          <w:sz w:val="22"/>
          <w:szCs w:val="22"/>
          <w:lang w:val="sr-Latn-CS"/>
        </w:rPr>
      </w:pPr>
      <w:r w:rsidRPr="00880E7B">
        <w:rPr>
          <w:sz w:val="22"/>
          <w:szCs w:val="22"/>
          <w:lang w:val="sr-Latn-CS"/>
        </w:rPr>
        <w:t>Za spisak svih ekscipijenasa, pogledati dio 6.1.</w:t>
      </w:r>
    </w:p>
    <w:p w:rsidR="0003793F" w:rsidRPr="00880E7B" w:rsidRDefault="0003793F" w:rsidP="00880E7B">
      <w:pPr>
        <w:jc w:val="both"/>
        <w:rPr>
          <w:sz w:val="22"/>
          <w:szCs w:val="22"/>
          <w:lang w:val="sr-Latn-CS"/>
        </w:rPr>
      </w:pPr>
    </w:p>
    <w:p w:rsidR="00C37FD7" w:rsidRPr="00880E7B" w:rsidRDefault="00C37FD7" w:rsidP="00880E7B">
      <w:pPr>
        <w:jc w:val="both"/>
        <w:rPr>
          <w:sz w:val="22"/>
          <w:szCs w:val="22"/>
          <w:lang w:val="sr-Latn-CS"/>
        </w:rPr>
      </w:pPr>
    </w:p>
    <w:p w:rsidR="00411B4B" w:rsidRPr="00880E7B" w:rsidRDefault="00411B4B" w:rsidP="00880E7B">
      <w:pPr>
        <w:tabs>
          <w:tab w:val="left" w:pos="540"/>
          <w:tab w:val="left" w:pos="569"/>
        </w:tabs>
        <w:jc w:val="both"/>
        <w:rPr>
          <w:b/>
          <w:bCs/>
          <w:sz w:val="22"/>
          <w:szCs w:val="22"/>
        </w:rPr>
      </w:pPr>
      <w:r w:rsidRPr="00880E7B">
        <w:rPr>
          <w:b/>
          <w:bCs/>
          <w:sz w:val="22"/>
          <w:szCs w:val="22"/>
        </w:rPr>
        <w:t xml:space="preserve">3. </w:t>
      </w:r>
      <w:r w:rsidR="00F5167F" w:rsidRPr="00880E7B">
        <w:rPr>
          <w:b/>
          <w:bCs/>
          <w:sz w:val="22"/>
          <w:szCs w:val="22"/>
        </w:rPr>
        <w:tab/>
      </w:r>
      <w:r w:rsidRPr="00880E7B">
        <w:rPr>
          <w:b/>
          <w:bCs/>
          <w:sz w:val="22"/>
          <w:szCs w:val="22"/>
        </w:rPr>
        <w:t>FARMACEUTSKI OBLIK</w:t>
      </w:r>
      <w:r w:rsidR="009F2D23" w:rsidRPr="00880E7B">
        <w:rPr>
          <w:b/>
          <w:bCs/>
          <w:sz w:val="22"/>
          <w:szCs w:val="22"/>
        </w:rPr>
        <w:t xml:space="preserve"> </w:t>
      </w:r>
    </w:p>
    <w:p w:rsidR="00411B4B" w:rsidRPr="00880E7B" w:rsidRDefault="00411B4B" w:rsidP="00880E7B">
      <w:pPr>
        <w:jc w:val="both"/>
        <w:rPr>
          <w:bCs/>
          <w:sz w:val="22"/>
          <w:szCs w:val="22"/>
          <w:lang w:val="sr-Latn-CS"/>
        </w:rPr>
      </w:pPr>
    </w:p>
    <w:p w:rsidR="00EB7A9D" w:rsidRPr="00880E7B" w:rsidRDefault="00EB7A9D" w:rsidP="00880E7B">
      <w:pPr>
        <w:jc w:val="both"/>
        <w:rPr>
          <w:color w:val="000000"/>
          <w:sz w:val="22"/>
          <w:szCs w:val="22"/>
          <w:lang w:val="sr-Latn-CS"/>
        </w:rPr>
      </w:pPr>
      <w:r w:rsidRPr="00880E7B">
        <w:rPr>
          <w:color w:val="000000"/>
          <w:sz w:val="22"/>
          <w:szCs w:val="22"/>
          <w:lang w:val="sr-Latn-CS"/>
        </w:rPr>
        <w:t xml:space="preserve">Film tableta. </w:t>
      </w:r>
    </w:p>
    <w:p w:rsidR="00EB7A9D" w:rsidRPr="00880E7B" w:rsidRDefault="00EB7A9D" w:rsidP="00880E7B">
      <w:pPr>
        <w:jc w:val="both"/>
        <w:rPr>
          <w:color w:val="000000"/>
          <w:sz w:val="22"/>
          <w:szCs w:val="22"/>
          <w:lang w:val="sr-Latn-CS"/>
        </w:rPr>
      </w:pPr>
    </w:p>
    <w:p w:rsidR="00EB7A9D" w:rsidRPr="00880E7B" w:rsidRDefault="00EB7A9D" w:rsidP="00880E7B">
      <w:pPr>
        <w:jc w:val="both"/>
        <w:rPr>
          <w:color w:val="000000"/>
          <w:sz w:val="22"/>
          <w:szCs w:val="22"/>
          <w:lang w:val="sr-Latn-CS"/>
        </w:rPr>
      </w:pPr>
      <w:r w:rsidRPr="00880E7B">
        <w:rPr>
          <w:color w:val="000000"/>
          <w:sz w:val="22"/>
          <w:szCs w:val="22"/>
          <w:lang w:val="sr-Latn-CS"/>
        </w:rPr>
        <w:t>ESBRIET film tablete od 267 mg su žute, ovalne, bikonveksne film tablete</w:t>
      </w:r>
      <w:r w:rsidR="00442815" w:rsidRPr="00880E7B">
        <w:rPr>
          <w:color w:val="000000"/>
          <w:sz w:val="22"/>
          <w:szCs w:val="22"/>
          <w:lang w:val="sr-Latn-CS"/>
        </w:rPr>
        <w:t>, dimenzija približno 1,3 x 0,6 cm,</w:t>
      </w:r>
      <w:r w:rsidRPr="00880E7B">
        <w:rPr>
          <w:color w:val="000000"/>
          <w:sz w:val="22"/>
          <w:szCs w:val="22"/>
          <w:lang w:val="sr-Latn-CS"/>
        </w:rPr>
        <w:t xml:space="preserve"> sa utisnutom oznakom „PFD” na jednoj strani. </w:t>
      </w:r>
    </w:p>
    <w:p w:rsidR="00EB7A9D" w:rsidRPr="00880E7B" w:rsidRDefault="00EB7A9D" w:rsidP="00880E7B">
      <w:pPr>
        <w:jc w:val="both"/>
        <w:rPr>
          <w:color w:val="000000"/>
          <w:sz w:val="22"/>
          <w:szCs w:val="22"/>
          <w:lang w:val="sr-Latn-CS"/>
        </w:rPr>
      </w:pPr>
    </w:p>
    <w:p w:rsidR="00241CD1" w:rsidRPr="00880E7B" w:rsidRDefault="00EB7A9D" w:rsidP="00880E7B">
      <w:pPr>
        <w:jc w:val="both"/>
        <w:rPr>
          <w:sz w:val="22"/>
          <w:szCs w:val="22"/>
          <w:lang w:val="sr-Latn-CS"/>
        </w:rPr>
      </w:pPr>
      <w:r w:rsidRPr="00880E7B">
        <w:rPr>
          <w:color w:val="000000"/>
          <w:sz w:val="22"/>
          <w:szCs w:val="22"/>
          <w:lang w:val="sr-Latn-CS"/>
        </w:rPr>
        <w:t>ESBRIET film tablete od 801 mg su smeđe, ovalne, bikonveksne film tablete</w:t>
      </w:r>
      <w:r w:rsidR="00442815" w:rsidRPr="00880E7B">
        <w:rPr>
          <w:color w:val="000000"/>
          <w:sz w:val="22"/>
          <w:szCs w:val="22"/>
          <w:lang w:val="sr-Latn-CS"/>
        </w:rPr>
        <w:t>, dimenzija približno 2 x 0,9 cm,</w:t>
      </w:r>
      <w:r w:rsidRPr="00880E7B">
        <w:rPr>
          <w:color w:val="000000"/>
          <w:sz w:val="22"/>
          <w:szCs w:val="22"/>
          <w:lang w:val="sr-Latn-CS"/>
        </w:rPr>
        <w:t xml:space="preserve"> sa utisnutom oznakom „PFD”</w:t>
      </w:r>
      <w:r w:rsidR="00586F48" w:rsidRPr="00880E7B">
        <w:rPr>
          <w:color w:val="000000"/>
          <w:sz w:val="22"/>
          <w:szCs w:val="22"/>
          <w:lang w:val="sr-Latn-CS"/>
        </w:rPr>
        <w:t xml:space="preserve"> </w:t>
      </w:r>
      <w:r w:rsidRPr="00880E7B">
        <w:rPr>
          <w:color w:val="000000"/>
          <w:sz w:val="22"/>
          <w:szCs w:val="22"/>
          <w:lang w:val="sr-Latn-CS"/>
        </w:rPr>
        <w:t>na jednoj strani</w:t>
      </w:r>
      <w:r w:rsidR="00241CD1" w:rsidRPr="00880E7B">
        <w:rPr>
          <w:sz w:val="22"/>
          <w:szCs w:val="22"/>
          <w:lang w:val="sr-Latn-CS"/>
        </w:rPr>
        <w:t>.</w:t>
      </w:r>
    </w:p>
    <w:p w:rsidR="00EC2532" w:rsidRDefault="00EC2532" w:rsidP="00880E7B">
      <w:pPr>
        <w:jc w:val="both"/>
        <w:rPr>
          <w:bCs/>
          <w:sz w:val="22"/>
          <w:szCs w:val="22"/>
          <w:lang w:val="sr-Latn-CS"/>
        </w:rPr>
      </w:pPr>
    </w:p>
    <w:p w:rsidR="00423C76" w:rsidRPr="00880E7B" w:rsidRDefault="00423C76" w:rsidP="00880E7B">
      <w:pPr>
        <w:jc w:val="both"/>
        <w:rPr>
          <w:bCs/>
          <w:sz w:val="22"/>
          <w:szCs w:val="22"/>
          <w:lang w:val="sr-Latn-CS"/>
        </w:rPr>
      </w:pPr>
    </w:p>
    <w:p w:rsidR="00411B4B" w:rsidRPr="00880E7B" w:rsidRDefault="00411B4B" w:rsidP="00880E7B">
      <w:pPr>
        <w:tabs>
          <w:tab w:val="left" w:pos="540"/>
          <w:tab w:val="left" w:pos="569"/>
        </w:tabs>
        <w:jc w:val="both"/>
        <w:rPr>
          <w:b/>
          <w:bCs/>
          <w:sz w:val="22"/>
          <w:szCs w:val="22"/>
        </w:rPr>
      </w:pPr>
      <w:r w:rsidRPr="00880E7B">
        <w:rPr>
          <w:b/>
          <w:bCs/>
          <w:sz w:val="22"/>
          <w:szCs w:val="22"/>
        </w:rPr>
        <w:t xml:space="preserve">4. </w:t>
      </w:r>
      <w:r w:rsidR="00480FB1" w:rsidRPr="00880E7B">
        <w:rPr>
          <w:b/>
          <w:bCs/>
          <w:sz w:val="22"/>
          <w:szCs w:val="22"/>
        </w:rPr>
        <w:tab/>
      </w:r>
      <w:r w:rsidRPr="00880E7B">
        <w:rPr>
          <w:b/>
          <w:bCs/>
          <w:sz w:val="22"/>
          <w:szCs w:val="22"/>
        </w:rPr>
        <w:t>KLINIČKI PODACI</w:t>
      </w:r>
    </w:p>
    <w:p w:rsidR="00CD6F02" w:rsidRPr="00880E7B" w:rsidRDefault="00CD6F02" w:rsidP="00880E7B">
      <w:pPr>
        <w:tabs>
          <w:tab w:val="left" w:pos="540"/>
          <w:tab w:val="left" w:pos="569"/>
        </w:tabs>
        <w:jc w:val="both"/>
        <w:rPr>
          <w:bCs/>
          <w:sz w:val="22"/>
          <w:szCs w:val="22"/>
        </w:rPr>
      </w:pPr>
    </w:p>
    <w:p w:rsidR="00411B4B" w:rsidRPr="00880E7B" w:rsidRDefault="00411B4B" w:rsidP="00880E7B">
      <w:pPr>
        <w:tabs>
          <w:tab w:val="left" w:pos="540"/>
          <w:tab w:val="left" w:pos="569"/>
        </w:tabs>
        <w:jc w:val="both"/>
        <w:rPr>
          <w:b/>
          <w:bCs/>
          <w:sz w:val="22"/>
          <w:szCs w:val="22"/>
        </w:rPr>
      </w:pPr>
      <w:r w:rsidRPr="00880E7B">
        <w:rPr>
          <w:b/>
          <w:bCs/>
          <w:sz w:val="22"/>
          <w:szCs w:val="22"/>
        </w:rPr>
        <w:t xml:space="preserve">4.1. </w:t>
      </w:r>
      <w:r w:rsidR="00480FB1" w:rsidRPr="00880E7B">
        <w:rPr>
          <w:b/>
          <w:bCs/>
          <w:sz w:val="22"/>
          <w:szCs w:val="22"/>
        </w:rPr>
        <w:tab/>
      </w:r>
      <w:r w:rsidRPr="00880E7B">
        <w:rPr>
          <w:b/>
          <w:bCs/>
          <w:sz w:val="22"/>
          <w:szCs w:val="22"/>
        </w:rPr>
        <w:t>Terapijske indikacije</w:t>
      </w:r>
    </w:p>
    <w:p w:rsidR="00411B4B" w:rsidRPr="00880E7B" w:rsidRDefault="00411B4B" w:rsidP="00880E7B">
      <w:pPr>
        <w:tabs>
          <w:tab w:val="left" w:pos="540"/>
          <w:tab w:val="left" w:pos="569"/>
        </w:tabs>
        <w:jc w:val="both"/>
        <w:rPr>
          <w:bCs/>
          <w:sz w:val="22"/>
          <w:szCs w:val="22"/>
        </w:rPr>
      </w:pPr>
    </w:p>
    <w:p w:rsidR="00241CD1" w:rsidRPr="00880E7B" w:rsidRDefault="00EB7A9D" w:rsidP="00880E7B">
      <w:pPr>
        <w:tabs>
          <w:tab w:val="left" w:pos="540"/>
          <w:tab w:val="left" w:pos="569"/>
        </w:tabs>
        <w:jc w:val="both"/>
        <w:rPr>
          <w:sz w:val="22"/>
          <w:szCs w:val="22"/>
          <w:lang w:val="sr-Latn-CS"/>
        </w:rPr>
      </w:pPr>
      <w:r w:rsidRPr="00880E7B">
        <w:rPr>
          <w:sz w:val="22"/>
          <w:szCs w:val="22"/>
          <w:lang w:val="sr-Latn-CS"/>
        </w:rPr>
        <w:t>Lijek ESBRIET je indikovan kod odraslih osoba za terapiju idiopatske plućne fibroze (IPF).</w:t>
      </w:r>
    </w:p>
    <w:p w:rsidR="00EB7A9D" w:rsidRPr="00880E7B" w:rsidRDefault="00EB7A9D" w:rsidP="00880E7B">
      <w:pPr>
        <w:tabs>
          <w:tab w:val="left" w:pos="540"/>
          <w:tab w:val="left" w:pos="569"/>
        </w:tabs>
        <w:jc w:val="both"/>
        <w:rPr>
          <w:bCs/>
          <w:sz w:val="22"/>
          <w:szCs w:val="22"/>
        </w:rPr>
      </w:pPr>
    </w:p>
    <w:p w:rsidR="00411B4B" w:rsidRPr="00880E7B" w:rsidRDefault="00411B4B" w:rsidP="00880E7B">
      <w:pPr>
        <w:tabs>
          <w:tab w:val="left" w:pos="540"/>
          <w:tab w:val="left" w:pos="569"/>
        </w:tabs>
        <w:jc w:val="both"/>
        <w:rPr>
          <w:b/>
          <w:bCs/>
          <w:sz w:val="22"/>
          <w:szCs w:val="22"/>
        </w:rPr>
      </w:pPr>
      <w:r w:rsidRPr="00880E7B">
        <w:rPr>
          <w:b/>
          <w:bCs/>
          <w:sz w:val="22"/>
          <w:szCs w:val="22"/>
        </w:rPr>
        <w:t xml:space="preserve">4.2. </w:t>
      </w:r>
      <w:r w:rsidR="00480FB1" w:rsidRPr="00880E7B">
        <w:rPr>
          <w:b/>
          <w:bCs/>
          <w:sz w:val="22"/>
          <w:szCs w:val="22"/>
        </w:rPr>
        <w:tab/>
      </w:r>
      <w:r w:rsidRPr="00880E7B">
        <w:rPr>
          <w:b/>
          <w:bCs/>
          <w:sz w:val="22"/>
          <w:szCs w:val="22"/>
        </w:rPr>
        <w:t>Doziranje i način primjene</w:t>
      </w:r>
    </w:p>
    <w:p w:rsidR="0072020E" w:rsidRPr="00880E7B" w:rsidRDefault="0072020E" w:rsidP="00880E7B">
      <w:pPr>
        <w:tabs>
          <w:tab w:val="left" w:pos="540"/>
          <w:tab w:val="left" w:pos="569"/>
        </w:tabs>
        <w:jc w:val="both"/>
        <w:rPr>
          <w:bCs/>
          <w:sz w:val="22"/>
          <w:szCs w:val="22"/>
        </w:rPr>
      </w:pPr>
    </w:p>
    <w:p w:rsidR="00EB7A9D" w:rsidRPr="00880E7B" w:rsidRDefault="00EB7A9D" w:rsidP="00880E7B">
      <w:pPr>
        <w:tabs>
          <w:tab w:val="left" w:pos="540"/>
          <w:tab w:val="left" w:pos="569"/>
        </w:tabs>
        <w:jc w:val="both"/>
        <w:rPr>
          <w:bCs/>
          <w:sz w:val="22"/>
          <w:szCs w:val="22"/>
          <w:lang w:val="sr-Latn-CS"/>
        </w:rPr>
      </w:pPr>
      <w:r w:rsidRPr="00880E7B">
        <w:rPr>
          <w:bCs/>
          <w:sz w:val="22"/>
          <w:szCs w:val="22"/>
          <w:lang w:val="sr-Latn-CS"/>
        </w:rPr>
        <w:t xml:space="preserve">Terapiju lijekom ESBRIET treba da započne i nadgleda ljekar specijalista koji ima iskustva u </w:t>
      </w:r>
      <w:r w:rsidR="009F371D" w:rsidRPr="00880E7B">
        <w:rPr>
          <w:bCs/>
          <w:sz w:val="22"/>
          <w:szCs w:val="22"/>
          <w:lang w:val="sr-Latn-CS"/>
        </w:rPr>
        <w:t xml:space="preserve">dijagnostici </w:t>
      </w:r>
      <w:r w:rsidRPr="00880E7B">
        <w:rPr>
          <w:bCs/>
          <w:sz w:val="22"/>
          <w:szCs w:val="22"/>
          <w:lang w:val="sr-Latn-CS"/>
        </w:rPr>
        <w:t xml:space="preserve">i </w:t>
      </w:r>
      <w:r w:rsidR="009F371D" w:rsidRPr="00880E7B">
        <w:rPr>
          <w:bCs/>
          <w:sz w:val="22"/>
          <w:szCs w:val="22"/>
          <w:lang w:val="sr-Latn-CS"/>
        </w:rPr>
        <w:t xml:space="preserve">liječenju </w:t>
      </w:r>
      <w:r w:rsidRPr="00880E7B">
        <w:rPr>
          <w:bCs/>
          <w:sz w:val="22"/>
          <w:szCs w:val="22"/>
          <w:lang w:val="sr-Latn-CS"/>
        </w:rPr>
        <w:t>IPF.</w:t>
      </w:r>
    </w:p>
    <w:p w:rsidR="00EB7A9D" w:rsidRPr="00880E7B" w:rsidRDefault="00EB7A9D" w:rsidP="00880E7B">
      <w:pPr>
        <w:tabs>
          <w:tab w:val="left" w:pos="540"/>
          <w:tab w:val="left" w:pos="569"/>
        </w:tabs>
        <w:jc w:val="both"/>
        <w:rPr>
          <w:bCs/>
          <w:sz w:val="22"/>
          <w:szCs w:val="22"/>
          <w:lang w:val="sr-Latn-CS"/>
        </w:rPr>
      </w:pPr>
    </w:p>
    <w:p w:rsidR="00452E9D" w:rsidRPr="00880E7B" w:rsidRDefault="00452E9D" w:rsidP="00880E7B">
      <w:pPr>
        <w:tabs>
          <w:tab w:val="left" w:pos="540"/>
          <w:tab w:val="left" w:pos="569"/>
        </w:tabs>
        <w:jc w:val="both"/>
        <w:rPr>
          <w:bCs/>
          <w:sz w:val="22"/>
          <w:szCs w:val="22"/>
          <w:u w:val="single"/>
          <w:lang w:val="sr-Latn-CS"/>
        </w:rPr>
      </w:pPr>
      <w:r w:rsidRPr="00880E7B">
        <w:rPr>
          <w:bCs/>
          <w:sz w:val="22"/>
          <w:szCs w:val="22"/>
          <w:u w:val="single"/>
        </w:rPr>
        <w:t>Doziranje</w:t>
      </w:r>
    </w:p>
    <w:p w:rsidR="00452E9D" w:rsidRPr="00880E7B" w:rsidRDefault="00452E9D" w:rsidP="00880E7B">
      <w:pPr>
        <w:tabs>
          <w:tab w:val="left" w:pos="540"/>
          <w:tab w:val="left" w:pos="569"/>
        </w:tabs>
        <w:jc w:val="both"/>
        <w:rPr>
          <w:bCs/>
          <w:sz w:val="22"/>
          <w:szCs w:val="22"/>
          <w:u w:val="single"/>
          <w:lang w:val="sr-Latn-CS"/>
        </w:rPr>
      </w:pPr>
    </w:p>
    <w:p w:rsidR="00EB7A9D" w:rsidRPr="00880E7B" w:rsidRDefault="00EB7A9D" w:rsidP="00880E7B">
      <w:pPr>
        <w:autoSpaceDE w:val="0"/>
        <w:autoSpaceDN w:val="0"/>
        <w:adjustRightInd w:val="0"/>
        <w:spacing w:line="240" w:lineRule="exact"/>
        <w:jc w:val="both"/>
        <w:rPr>
          <w:sz w:val="22"/>
          <w:szCs w:val="22"/>
          <w:lang w:val="it-IT"/>
        </w:rPr>
      </w:pPr>
      <w:r w:rsidRPr="00880E7B">
        <w:rPr>
          <w:i/>
          <w:sz w:val="22"/>
          <w:szCs w:val="22"/>
          <w:u w:val="single"/>
          <w:lang w:val="it-IT"/>
        </w:rPr>
        <w:t>Odrasli</w:t>
      </w: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Nakon započinjanja terapije, dozu je potrebno titrirati do preporučene dnevne doze od 2403 mg dnevno u periodu od 14 dana na sl</w:t>
      </w:r>
      <w:r w:rsidR="00045D87" w:rsidRPr="00880E7B">
        <w:rPr>
          <w:sz w:val="22"/>
          <w:szCs w:val="22"/>
          <w:lang w:val="it-IT"/>
        </w:rPr>
        <w:t>j</w:t>
      </w:r>
      <w:r w:rsidRPr="00880E7B">
        <w:rPr>
          <w:sz w:val="22"/>
          <w:szCs w:val="22"/>
          <w:lang w:val="it-IT"/>
        </w:rPr>
        <w:t>edeći način:</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w:t>
      </w:r>
      <w:r w:rsidRPr="00880E7B">
        <w:rPr>
          <w:sz w:val="22"/>
          <w:szCs w:val="22"/>
          <w:lang w:val="it-IT"/>
        </w:rPr>
        <w:tab/>
        <w:t xml:space="preserve">1. do 7. dan: doza od 267 mg tri puta dnevno (801 mg dnevno), </w:t>
      </w: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w:t>
      </w:r>
      <w:r w:rsidRPr="00880E7B">
        <w:rPr>
          <w:sz w:val="22"/>
          <w:szCs w:val="22"/>
          <w:lang w:val="it-IT"/>
        </w:rPr>
        <w:tab/>
        <w:t xml:space="preserve">8. do 14. dan: doza od 534 mg tri puta dnevno (1602 mg dnevno), </w:t>
      </w: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w:t>
      </w:r>
      <w:r w:rsidRPr="00880E7B">
        <w:rPr>
          <w:sz w:val="22"/>
          <w:szCs w:val="22"/>
          <w:lang w:val="it-IT"/>
        </w:rPr>
        <w:tab/>
        <w:t xml:space="preserve">od 15. </w:t>
      </w:r>
      <w:r w:rsidR="00E2025F">
        <w:rPr>
          <w:sz w:val="22"/>
          <w:szCs w:val="22"/>
          <w:lang w:val="it-IT"/>
        </w:rPr>
        <w:t>d</w:t>
      </w:r>
      <w:r w:rsidRPr="00880E7B">
        <w:rPr>
          <w:sz w:val="22"/>
          <w:szCs w:val="22"/>
          <w:lang w:val="it-IT"/>
        </w:rPr>
        <w:t>ana</w:t>
      </w:r>
      <w:r w:rsidR="00E2025F">
        <w:rPr>
          <w:sz w:val="22"/>
          <w:szCs w:val="22"/>
          <w:lang w:val="it-IT"/>
        </w:rPr>
        <w:t xml:space="preserve"> nadalje</w:t>
      </w:r>
      <w:r w:rsidR="00880E7B">
        <w:rPr>
          <w:sz w:val="22"/>
          <w:szCs w:val="22"/>
          <w:lang w:val="it-IT"/>
        </w:rPr>
        <w:t xml:space="preserve"> </w:t>
      </w:r>
      <w:r w:rsidRPr="00880E7B">
        <w:rPr>
          <w:sz w:val="22"/>
          <w:szCs w:val="22"/>
          <w:lang w:val="it-IT"/>
        </w:rPr>
        <w:t xml:space="preserve">: doza od 801 mg tri puta dnevno (2403 mg dnevno). </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Preporučena dnevna doza održavanja lijeka ESBRIET je 801 mg tri puta dnevno uz obrok, do ukupno 2403 mg dnevno.</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Doze iznad 2403 mg dnevno ne preporučuju s</w:t>
      </w:r>
      <w:r w:rsidRPr="00880E7B">
        <w:rPr>
          <w:sz w:val="22"/>
          <w:szCs w:val="22"/>
        </w:rPr>
        <w:t>е</w:t>
      </w:r>
      <w:r w:rsidRPr="00880E7B">
        <w:rPr>
          <w:sz w:val="22"/>
          <w:szCs w:val="22"/>
          <w:lang w:val="it-IT"/>
        </w:rPr>
        <w:t xml:space="preserve"> ni za jednog pacijenta (pogledati </w:t>
      </w:r>
      <w:r w:rsidR="009F371D" w:rsidRPr="00880E7B">
        <w:rPr>
          <w:sz w:val="22"/>
          <w:szCs w:val="22"/>
          <w:lang w:val="it-IT"/>
        </w:rPr>
        <w:t xml:space="preserve">dio </w:t>
      </w:r>
      <w:r w:rsidRPr="00880E7B">
        <w:rPr>
          <w:sz w:val="22"/>
          <w:szCs w:val="22"/>
          <w:lang w:val="it-IT"/>
        </w:rPr>
        <w:t xml:space="preserve">4.9). </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lastRenderedPageBreak/>
        <w:t>Pacijenti koji propuste terapiju lijekom ESBRIET tokom 14 uzastopnih dana ili duže, treba da ponovo počnu sa terapijom tako što će proći inicijalni režim dvoned</w:t>
      </w:r>
      <w:r w:rsidR="00045D87" w:rsidRPr="00880E7B">
        <w:rPr>
          <w:sz w:val="22"/>
          <w:szCs w:val="22"/>
          <w:lang w:val="it-IT"/>
        </w:rPr>
        <w:t>j</w:t>
      </w:r>
      <w:r w:rsidRPr="00880E7B">
        <w:rPr>
          <w:sz w:val="22"/>
          <w:szCs w:val="22"/>
          <w:lang w:val="it-IT"/>
        </w:rPr>
        <w:t>eljne titracije do preporučene dnevne doze.</w:t>
      </w:r>
    </w:p>
    <w:p w:rsidR="00EB7A9D" w:rsidRPr="00880E7B" w:rsidRDefault="00EB7A9D" w:rsidP="00880E7B">
      <w:pPr>
        <w:autoSpaceDE w:val="0"/>
        <w:autoSpaceDN w:val="0"/>
        <w:adjustRightInd w:val="0"/>
        <w:spacing w:line="240" w:lineRule="exact"/>
        <w:jc w:val="both"/>
        <w:rPr>
          <w:i/>
          <w:sz w:val="22"/>
          <w:szCs w:val="22"/>
          <w:lang w:val="it-IT"/>
        </w:rPr>
      </w:pP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Za prekide u terapiji kraće od 14 uzastopnih dana, terapija se može nastaviti prethodnom preporučenom dnevnom dozom bez titracije.</w:t>
      </w:r>
    </w:p>
    <w:p w:rsidR="00EB7A9D" w:rsidRPr="00880E7B" w:rsidRDefault="00EB7A9D" w:rsidP="00880E7B">
      <w:pPr>
        <w:autoSpaceDE w:val="0"/>
        <w:autoSpaceDN w:val="0"/>
        <w:adjustRightInd w:val="0"/>
        <w:spacing w:line="240" w:lineRule="exact"/>
        <w:jc w:val="both"/>
        <w:rPr>
          <w:b/>
          <w:sz w:val="22"/>
          <w:szCs w:val="22"/>
          <w:lang w:val="it-IT"/>
        </w:rPr>
      </w:pPr>
    </w:p>
    <w:p w:rsidR="00EB7A9D" w:rsidRPr="00880E7B" w:rsidRDefault="00EB7A9D" w:rsidP="00880E7B">
      <w:pPr>
        <w:keepNext/>
        <w:autoSpaceDE w:val="0"/>
        <w:autoSpaceDN w:val="0"/>
        <w:adjustRightInd w:val="0"/>
        <w:spacing w:line="240" w:lineRule="exact"/>
        <w:jc w:val="both"/>
        <w:rPr>
          <w:bCs/>
          <w:i/>
          <w:sz w:val="22"/>
          <w:szCs w:val="22"/>
          <w:u w:val="single"/>
          <w:lang w:val="it-IT"/>
        </w:rPr>
      </w:pPr>
      <w:r w:rsidRPr="00880E7B">
        <w:rPr>
          <w:i/>
          <w:sz w:val="22"/>
          <w:szCs w:val="22"/>
          <w:u w:val="single"/>
          <w:lang w:val="it-IT"/>
        </w:rPr>
        <w:t>Prilagođavanje doze i ostale m</w:t>
      </w:r>
      <w:r w:rsidR="00045D87" w:rsidRPr="00880E7B">
        <w:rPr>
          <w:i/>
          <w:sz w:val="22"/>
          <w:szCs w:val="22"/>
          <w:u w:val="single"/>
          <w:lang w:val="it-IT"/>
        </w:rPr>
        <w:t>j</w:t>
      </w:r>
      <w:r w:rsidRPr="00880E7B">
        <w:rPr>
          <w:i/>
          <w:sz w:val="22"/>
          <w:szCs w:val="22"/>
          <w:u w:val="single"/>
          <w:lang w:val="it-IT"/>
        </w:rPr>
        <w:t>ere za b</w:t>
      </w:r>
      <w:r w:rsidR="001E4CF0" w:rsidRPr="00880E7B">
        <w:rPr>
          <w:i/>
          <w:sz w:val="22"/>
          <w:szCs w:val="22"/>
          <w:u w:val="single"/>
          <w:lang w:val="it-IT"/>
        </w:rPr>
        <w:t>j</w:t>
      </w:r>
      <w:r w:rsidRPr="00880E7B">
        <w:rPr>
          <w:i/>
          <w:sz w:val="22"/>
          <w:szCs w:val="22"/>
          <w:u w:val="single"/>
          <w:lang w:val="it-IT"/>
        </w:rPr>
        <w:t>ezbednu upotrebu</w:t>
      </w:r>
    </w:p>
    <w:p w:rsidR="00EB7A9D" w:rsidRPr="00880E7B" w:rsidRDefault="00EB7A9D" w:rsidP="00880E7B">
      <w:pPr>
        <w:autoSpaceDE w:val="0"/>
        <w:autoSpaceDN w:val="0"/>
        <w:adjustRightInd w:val="0"/>
        <w:spacing w:line="240" w:lineRule="exact"/>
        <w:jc w:val="both"/>
        <w:rPr>
          <w:sz w:val="22"/>
          <w:szCs w:val="22"/>
          <w:lang w:val="it-IT"/>
        </w:rPr>
      </w:pPr>
      <w:r w:rsidRPr="00880E7B">
        <w:rPr>
          <w:i/>
          <w:sz w:val="22"/>
          <w:szCs w:val="22"/>
          <w:lang w:val="it-IT"/>
        </w:rPr>
        <w:t>Gastrointestinalne smetnje:</w:t>
      </w:r>
      <w:r w:rsidRPr="00880E7B">
        <w:rPr>
          <w:sz w:val="22"/>
          <w:szCs w:val="22"/>
          <w:lang w:val="it-IT"/>
        </w:rPr>
        <w:t xml:space="preserve"> Pacijente koji ne podnose terapiju zbog gastrointestinalnih neželjenih reakcija treba pods</w:t>
      </w:r>
      <w:r w:rsidR="00FD599D" w:rsidRPr="00880E7B">
        <w:rPr>
          <w:sz w:val="22"/>
          <w:szCs w:val="22"/>
          <w:lang w:val="it-IT"/>
        </w:rPr>
        <w:t>j</w:t>
      </w:r>
      <w:r w:rsidRPr="00880E7B">
        <w:rPr>
          <w:sz w:val="22"/>
          <w:szCs w:val="22"/>
          <w:lang w:val="it-IT"/>
        </w:rPr>
        <w:t>etiti da l</w:t>
      </w:r>
      <w:r w:rsidR="00FE6000" w:rsidRPr="00880E7B">
        <w:rPr>
          <w:sz w:val="22"/>
          <w:szCs w:val="22"/>
          <w:lang w:val="it-IT"/>
        </w:rPr>
        <w:t>ij</w:t>
      </w:r>
      <w:r w:rsidRPr="00880E7B">
        <w:rPr>
          <w:sz w:val="22"/>
          <w:szCs w:val="22"/>
          <w:lang w:val="it-IT"/>
        </w:rPr>
        <w:t>ek uzimaju uz hranu. Ukoliko simptomi</w:t>
      </w:r>
      <w:r w:rsidR="00A455F2" w:rsidRPr="00880E7B">
        <w:rPr>
          <w:sz w:val="22"/>
          <w:szCs w:val="22"/>
          <w:lang w:val="it-IT"/>
        </w:rPr>
        <w:t xml:space="preserve"> i dalje budu prisutni</w:t>
      </w:r>
      <w:r w:rsidRPr="00880E7B">
        <w:rPr>
          <w:sz w:val="22"/>
          <w:szCs w:val="22"/>
          <w:lang w:val="it-IT"/>
        </w:rPr>
        <w:t>, doza pirfenidona može se smanjiti na</w:t>
      </w:r>
      <w:r w:rsidR="00A455F2" w:rsidRPr="00880E7B">
        <w:rPr>
          <w:sz w:val="22"/>
          <w:szCs w:val="22"/>
          <w:lang w:val="it-IT"/>
        </w:rPr>
        <w:t xml:space="preserve"> 1-2 kapsule</w:t>
      </w:r>
      <w:r w:rsidRPr="00880E7B">
        <w:rPr>
          <w:sz w:val="22"/>
          <w:szCs w:val="22"/>
          <w:lang w:val="it-IT"/>
        </w:rPr>
        <w:t xml:space="preserve"> </w:t>
      </w:r>
      <w:r w:rsidR="00A455F2" w:rsidRPr="00880E7B">
        <w:rPr>
          <w:sz w:val="22"/>
          <w:szCs w:val="22"/>
          <w:lang w:val="it-IT"/>
        </w:rPr>
        <w:t>(</w:t>
      </w:r>
      <w:r w:rsidRPr="00880E7B">
        <w:rPr>
          <w:sz w:val="22"/>
          <w:szCs w:val="22"/>
          <w:lang w:val="it-IT"/>
        </w:rPr>
        <w:t>267–534 mg</w:t>
      </w:r>
      <w:r w:rsidR="00A455F2" w:rsidRPr="00880E7B">
        <w:rPr>
          <w:sz w:val="22"/>
          <w:szCs w:val="22"/>
          <w:lang w:val="it-IT"/>
        </w:rPr>
        <w:t>)</w:t>
      </w:r>
      <w:r w:rsidRPr="00880E7B">
        <w:rPr>
          <w:sz w:val="22"/>
          <w:szCs w:val="22"/>
          <w:lang w:val="it-IT"/>
        </w:rPr>
        <w:t>, dva ili tri puta dnevno uz obrok sa postepenim povećanjem do preporučene dnevne doze koja se podnosi. Ukoliko se simptomi nastave, pacijentima se može naložiti da prekinu terapiju na jednu do dv</w:t>
      </w:r>
      <w:r w:rsidR="00FD599D" w:rsidRPr="00880E7B">
        <w:rPr>
          <w:sz w:val="22"/>
          <w:szCs w:val="22"/>
          <w:lang w:val="it-IT"/>
        </w:rPr>
        <w:t>ij</w:t>
      </w:r>
      <w:r w:rsidRPr="00880E7B">
        <w:rPr>
          <w:sz w:val="22"/>
          <w:szCs w:val="22"/>
          <w:lang w:val="it-IT"/>
        </w:rPr>
        <w:t>e ned</w:t>
      </w:r>
      <w:r w:rsidR="00FE6000" w:rsidRPr="00880E7B">
        <w:rPr>
          <w:sz w:val="22"/>
          <w:szCs w:val="22"/>
          <w:lang w:val="it-IT"/>
        </w:rPr>
        <w:t>j</w:t>
      </w:r>
      <w:r w:rsidRPr="00880E7B">
        <w:rPr>
          <w:sz w:val="22"/>
          <w:szCs w:val="22"/>
          <w:lang w:val="it-IT"/>
        </w:rPr>
        <w:t xml:space="preserve">elje dok se simptomi ne povuku. </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autoSpaceDE w:val="0"/>
        <w:autoSpaceDN w:val="0"/>
        <w:adjustRightInd w:val="0"/>
        <w:spacing w:line="240" w:lineRule="exact"/>
        <w:jc w:val="both"/>
        <w:rPr>
          <w:sz w:val="22"/>
          <w:szCs w:val="22"/>
          <w:lang w:val="it-IT"/>
        </w:rPr>
      </w:pPr>
      <w:r w:rsidRPr="00880E7B">
        <w:rPr>
          <w:i/>
          <w:sz w:val="22"/>
          <w:szCs w:val="22"/>
          <w:lang w:val="it-IT"/>
        </w:rPr>
        <w:t>Fotosenzitivna reakcija ili osip:</w:t>
      </w:r>
      <w:r w:rsidRPr="00880E7B">
        <w:rPr>
          <w:sz w:val="22"/>
          <w:szCs w:val="22"/>
          <w:lang w:val="it-IT"/>
        </w:rPr>
        <w:t xml:space="preserve"> Pacijente kod kojih se jave blaga do um</w:t>
      </w:r>
      <w:r w:rsidR="00FD599D" w:rsidRPr="00880E7B">
        <w:rPr>
          <w:sz w:val="22"/>
          <w:szCs w:val="22"/>
          <w:lang w:val="it-IT"/>
        </w:rPr>
        <w:t>j</w:t>
      </w:r>
      <w:r w:rsidRPr="00880E7B">
        <w:rPr>
          <w:sz w:val="22"/>
          <w:szCs w:val="22"/>
          <w:lang w:val="it-IT"/>
        </w:rPr>
        <w:t>erena fotosenzitivna reakcija ili osip potrebno je pods</w:t>
      </w:r>
      <w:r w:rsidR="00FD599D" w:rsidRPr="00880E7B">
        <w:rPr>
          <w:sz w:val="22"/>
          <w:szCs w:val="22"/>
          <w:lang w:val="it-IT"/>
        </w:rPr>
        <w:t>j</w:t>
      </w:r>
      <w:r w:rsidRPr="00880E7B">
        <w:rPr>
          <w:sz w:val="22"/>
          <w:szCs w:val="22"/>
          <w:lang w:val="it-IT"/>
        </w:rPr>
        <w:t>etiti da svakog dana koriste sredstvo sa zaštitnim faktorom i da izb</w:t>
      </w:r>
      <w:r w:rsidR="00FD599D" w:rsidRPr="00880E7B">
        <w:rPr>
          <w:sz w:val="22"/>
          <w:szCs w:val="22"/>
          <w:lang w:val="it-IT"/>
        </w:rPr>
        <w:t>j</w:t>
      </w:r>
      <w:r w:rsidRPr="00880E7B">
        <w:rPr>
          <w:sz w:val="22"/>
          <w:szCs w:val="22"/>
          <w:lang w:val="it-IT"/>
        </w:rPr>
        <w:t>egavaju izlaganje suncu (</w:t>
      </w:r>
      <w:r w:rsidR="00FE6000" w:rsidRPr="00880E7B">
        <w:rPr>
          <w:sz w:val="22"/>
          <w:szCs w:val="22"/>
          <w:lang w:val="it-IT"/>
        </w:rPr>
        <w:t>vidjeti</w:t>
      </w:r>
      <w:r w:rsidRPr="00880E7B">
        <w:rPr>
          <w:sz w:val="22"/>
          <w:szCs w:val="22"/>
          <w:lang w:val="it-IT"/>
        </w:rPr>
        <w:t xml:space="preserve"> </w:t>
      </w:r>
      <w:r w:rsidR="009B3DC1" w:rsidRPr="00880E7B">
        <w:rPr>
          <w:sz w:val="22"/>
          <w:szCs w:val="22"/>
          <w:lang w:val="it-IT"/>
        </w:rPr>
        <w:t xml:space="preserve">dio </w:t>
      </w:r>
      <w:r w:rsidRPr="00880E7B">
        <w:rPr>
          <w:sz w:val="22"/>
          <w:szCs w:val="22"/>
          <w:lang w:val="it-IT"/>
        </w:rPr>
        <w:t>4.4). Doza pirfenidona može se smanjiti na 801 mg svakog dana (267 mg tri puta dnevno). Ukoliko osip potraje duže od 7 dana, upotrebu l</w:t>
      </w:r>
      <w:r w:rsidR="00FE6000" w:rsidRPr="00880E7B">
        <w:rPr>
          <w:sz w:val="22"/>
          <w:szCs w:val="22"/>
          <w:lang w:val="it-IT"/>
        </w:rPr>
        <w:t>ij</w:t>
      </w:r>
      <w:r w:rsidRPr="00880E7B">
        <w:rPr>
          <w:sz w:val="22"/>
          <w:szCs w:val="22"/>
          <w:lang w:val="it-IT"/>
        </w:rPr>
        <w:t xml:space="preserve">eka ESBRIET treba obustaviti na 15 dana, sa ponovnim postepenim povećanjem do preporučene dnevne doze na isti način kao tokom perioda postepenog povećanja doze. </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Pacijentima kod kojih se jave teška fotosenzitivna reakcija ili osip trebalo bi naložiti da prekinu upotrebu l</w:t>
      </w:r>
      <w:r w:rsidR="00FE6000" w:rsidRPr="00880E7B">
        <w:rPr>
          <w:sz w:val="22"/>
          <w:szCs w:val="22"/>
          <w:lang w:val="it-IT"/>
        </w:rPr>
        <w:t>ij</w:t>
      </w:r>
      <w:r w:rsidRPr="00880E7B">
        <w:rPr>
          <w:sz w:val="22"/>
          <w:szCs w:val="22"/>
          <w:lang w:val="it-IT"/>
        </w:rPr>
        <w:t>eka i da potraže sav</w:t>
      </w:r>
      <w:r w:rsidR="00045D87" w:rsidRPr="00880E7B">
        <w:rPr>
          <w:sz w:val="22"/>
          <w:szCs w:val="22"/>
          <w:lang w:val="it-IT"/>
        </w:rPr>
        <w:t>j</w:t>
      </w:r>
      <w:r w:rsidRPr="00880E7B">
        <w:rPr>
          <w:sz w:val="22"/>
          <w:szCs w:val="22"/>
          <w:lang w:val="it-IT"/>
        </w:rPr>
        <w:t>et l</w:t>
      </w:r>
      <w:r w:rsidR="00FE6000" w:rsidRPr="00880E7B">
        <w:rPr>
          <w:sz w:val="22"/>
          <w:szCs w:val="22"/>
          <w:lang w:val="it-IT"/>
        </w:rPr>
        <w:t>j</w:t>
      </w:r>
      <w:r w:rsidRPr="00880E7B">
        <w:rPr>
          <w:sz w:val="22"/>
          <w:szCs w:val="22"/>
          <w:lang w:val="it-IT"/>
        </w:rPr>
        <w:t>ekara (vid</w:t>
      </w:r>
      <w:r w:rsidR="00FE6000" w:rsidRPr="00880E7B">
        <w:rPr>
          <w:sz w:val="22"/>
          <w:szCs w:val="22"/>
          <w:lang w:val="it-IT"/>
        </w:rPr>
        <w:t>j</w:t>
      </w:r>
      <w:r w:rsidRPr="00880E7B">
        <w:rPr>
          <w:sz w:val="22"/>
          <w:szCs w:val="22"/>
          <w:lang w:val="it-IT"/>
        </w:rPr>
        <w:t xml:space="preserve">eti </w:t>
      </w:r>
      <w:r w:rsidR="008F21AE" w:rsidRPr="00880E7B">
        <w:rPr>
          <w:sz w:val="22"/>
          <w:szCs w:val="22"/>
          <w:lang w:val="it-IT"/>
        </w:rPr>
        <w:t xml:space="preserve">dio </w:t>
      </w:r>
      <w:r w:rsidRPr="00880E7B">
        <w:rPr>
          <w:sz w:val="22"/>
          <w:szCs w:val="22"/>
          <w:lang w:val="it-IT"/>
        </w:rPr>
        <w:t>4.4). Kada se osip povuče, može se početi sa ponovnim korišćenjem l</w:t>
      </w:r>
      <w:r w:rsidR="00FE6000" w:rsidRPr="00880E7B">
        <w:rPr>
          <w:sz w:val="22"/>
          <w:szCs w:val="22"/>
          <w:lang w:val="it-IT"/>
        </w:rPr>
        <w:t>ij</w:t>
      </w:r>
      <w:r w:rsidRPr="00880E7B">
        <w:rPr>
          <w:sz w:val="22"/>
          <w:szCs w:val="22"/>
          <w:lang w:val="it-IT"/>
        </w:rPr>
        <w:t>eka ESBRIET uz ponovno postepeno povećanje do preporučene dnevne doze, prema odluci l</w:t>
      </w:r>
      <w:r w:rsidR="00FE6000" w:rsidRPr="00880E7B">
        <w:rPr>
          <w:sz w:val="22"/>
          <w:szCs w:val="22"/>
          <w:lang w:val="it-IT"/>
        </w:rPr>
        <w:t>j</w:t>
      </w:r>
      <w:r w:rsidRPr="00880E7B">
        <w:rPr>
          <w:sz w:val="22"/>
          <w:szCs w:val="22"/>
          <w:lang w:val="it-IT"/>
        </w:rPr>
        <w:t>ekara.</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autoSpaceDE w:val="0"/>
        <w:autoSpaceDN w:val="0"/>
        <w:adjustRightInd w:val="0"/>
        <w:spacing w:line="240" w:lineRule="exact"/>
        <w:jc w:val="both"/>
        <w:rPr>
          <w:b/>
          <w:sz w:val="22"/>
          <w:szCs w:val="22"/>
          <w:u w:val="single"/>
          <w:lang w:val="it-IT"/>
        </w:rPr>
      </w:pPr>
      <w:r w:rsidRPr="00880E7B">
        <w:rPr>
          <w:i/>
          <w:sz w:val="22"/>
          <w:szCs w:val="22"/>
          <w:lang w:val="it-IT"/>
        </w:rPr>
        <w:t>Funkcija jetre:</w:t>
      </w:r>
      <w:r w:rsidRPr="00880E7B">
        <w:rPr>
          <w:sz w:val="22"/>
          <w:szCs w:val="22"/>
          <w:lang w:val="it-IT"/>
        </w:rPr>
        <w:t xml:space="preserve"> U slučaju značajnog porasta alanin i/ili aspartat aminotransferaza (ALT/AST), sa povišenom koncentracijom bilirubina ili bez nje, dozu l</w:t>
      </w:r>
      <w:r w:rsidR="00FE6000" w:rsidRPr="00880E7B">
        <w:rPr>
          <w:sz w:val="22"/>
          <w:szCs w:val="22"/>
          <w:lang w:val="it-IT"/>
        </w:rPr>
        <w:t>ij</w:t>
      </w:r>
      <w:r w:rsidRPr="00880E7B">
        <w:rPr>
          <w:sz w:val="22"/>
          <w:szCs w:val="22"/>
          <w:lang w:val="it-IT"/>
        </w:rPr>
        <w:t>eka ESBRIET bi trebalo prilagoditi ili prekinuti terapiju prema sm</w:t>
      </w:r>
      <w:r w:rsidR="00FE6000" w:rsidRPr="00880E7B">
        <w:rPr>
          <w:sz w:val="22"/>
          <w:szCs w:val="22"/>
          <w:lang w:val="it-IT"/>
        </w:rPr>
        <w:t>j</w:t>
      </w:r>
      <w:r w:rsidRPr="00880E7B">
        <w:rPr>
          <w:sz w:val="22"/>
          <w:szCs w:val="22"/>
          <w:lang w:val="it-IT"/>
        </w:rPr>
        <w:t xml:space="preserve">ernicama navedenim u </w:t>
      </w:r>
      <w:r w:rsidR="00D93357">
        <w:rPr>
          <w:sz w:val="22"/>
          <w:szCs w:val="22"/>
          <w:lang w:val="it-IT"/>
        </w:rPr>
        <w:t>dijelu</w:t>
      </w:r>
      <w:r w:rsidR="00D93357" w:rsidRPr="00880E7B">
        <w:rPr>
          <w:sz w:val="22"/>
          <w:szCs w:val="22"/>
          <w:lang w:val="it-IT"/>
        </w:rPr>
        <w:t xml:space="preserve"> </w:t>
      </w:r>
      <w:r w:rsidRPr="00880E7B">
        <w:rPr>
          <w:sz w:val="22"/>
          <w:szCs w:val="22"/>
          <w:lang w:val="it-IT"/>
        </w:rPr>
        <w:t>4.4.</w:t>
      </w:r>
    </w:p>
    <w:p w:rsidR="00EB7A9D" w:rsidRPr="00880E7B" w:rsidRDefault="00EB7A9D" w:rsidP="00880E7B">
      <w:pPr>
        <w:autoSpaceDE w:val="0"/>
        <w:autoSpaceDN w:val="0"/>
        <w:adjustRightInd w:val="0"/>
        <w:spacing w:line="240" w:lineRule="exact"/>
        <w:jc w:val="both"/>
        <w:rPr>
          <w:b/>
          <w:sz w:val="22"/>
          <w:szCs w:val="22"/>
          <w:lang w:val="it-IT"/>
        </w:rPr>
      </w:pPr>
    </w:p>
    <w:p w:rsidR="00EB7A9D" w:rsidRPr="00880E7B" w:rsidRDefault="00EB7A9D" w:rsidP="00880E7B">
      <w:pPr>
        <w:autoSpaceDE w:val="0"/>
        <w:autoSpaceDN w:val="0"/>
        <w:adjustRightInd w:val="0"/>
        <w:spacing w:line="240" w:lineRule="exact"/>
        <w:jc w:val="both"/>
        <w:rPr>
          <w:bCs/>
          <w:sz w:val="22"/>
          <w:szCs w:val="22"/>
          <w:u w:val="single"/>
          <w:lang w:val="it-IT"/>
        </w:rPr>
      </w:pPr>
      <w:r w:rsidRPr="00880E7B">
        <w:rPr>
          <w:sz w:val="22"/>
          <w:szCs w:val="22"/>
          <w:u w:val="single"/>
          <w:lang w:val="it-IT"/>
        </w:rPr>
        <w:t>Posebne grupe pacijenata</w:t>
      </w:r>
    </w:p>
    <w:p w:rsidR="00EB7A9D" w:rsidRPr="00880E7B" w:rsidRDefault="00EB7A9D" w:rsidP="00880E7B">
      <w:pPr>
        <w:jc w:val="both"/>
        <w:rPr>
          <w:i/>
          <w:iCs/>
          <w:sz w:val="22"/>
          <w:szCs w:val="22"/>
          <w:lang w:val="it-IT"/>
        </w:rPr>
      </w:pPr>
    </w:p>
    <w:p w:rsidR="00EB7A9D" w:rsidRPr="00880E7B" w:rsidRDefault="00EB7A9D" w:rsidP="00880E7B">
      <w:pPr>
        <w:autoSpaceDE w:val="0"/>
        <w:autoSpaceDN w:val="0"/>
        <w:adjustRightInd w:val="0"/>
        <w:spacing w:line="240" w:lineRule="exact"/>
        <w:jc w:val="both"/>
        <w:rPr>
          <w:iCs/>
          <w:sz w:val="22"/>
          <w:szCs w:val="22"/>
          <w:u w:val="single"/>
          <w:lang w:val="it-IT"/>
        </w:rPr>
      </w:pPr>
      <w:r w:rsidRPr="00880E7B">
        <w:rPr>
          <w:i/>
          <w:sz w:val="22"/>
          <w:szCs w:val="22"/>
          <w:u w:val="single"/>
          <w:lang w:val="it-IT"/>
        </w:rPr>
        <w:t>Starije osobe</w:t>
      </w:r>
      <w:r w:rsidRPr="00880E7B">
        <w:rPr>
          <w:sz w:val="22"/>
          <w:szCs w:val="22"/>
          <w:u w:val="single"/>
          <w:lang w:val="it-IT"/>
        </w:rPr>
        <w:t xml:space="preserve"> </w:t>
      </w: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Za pacijente od 65 godina i starije nije potrebno prilagođavanje doze (vid</w:t>
      </w:r>
      <w:r w:rsidR="00FE6000" w:rsidRPr="00880E7B">
        <w:rPr>
          <w:sz w:val="22"/>
          <w:szCs w:val="22"/>
          <w:lang w:val="it-IT"/>
        </w:rPr>
        <w:t>j</w:t>
      </w:r>
      <w:r w:rsidRPr="00880E7B">
        <w:rPr>
          <w:sz w:val="22"/>
          <w:szCs w:val="22"/>
          <w:lang w:val="it-IT"/>
        </w:rPr>
        <w:t xml:space="preserve">eti </w:t>
      </w:r>
      <w:r w:rsidR="008F21AE" w:rsidRPr="00880E7B">
        <w:rPr>
          <w:sz w:val="22"/>
          <w:szCs w:val="22"/>
          <w:lang w:val="it-IT"/>
        </w:rPr>
        <w:t xml:space="preserve">dio </w:t>
      </w:r>
      <w:r w:rsidRPr="00880E7B">
        <w:rPr>
          <w:sz w:val="22"/>
          <w:szCs w:val="22"/>
          <w:lang w:val="it-IT"/>
        </w:rPr>
        <w:t>5.2.).</w:t>
      </w:r>
    </w:p>
    <w:p w:rsidR="00EB7A9D" w:rsidRPr="00880E7B" w:rsidRDefault="00EB7A9D" w:rsidP="00880E7B">
      <w:pPr>
        <w:jc w:val="both"/>
        <w:rPr>
          <w:iCs/>
          <w:sz w:val="22"/>
          <w:szCs w:val="22"/>
          <w:lang w:val="it-IT"/>
        </w:rPr>
      </w:pPr>
    </w:p>
    <w:p w:rsidR="00EB7A9D" w:rsidRPr="00880E7B" w:rsidRDefault="00EB7A9D" w:rsidP="00880E7B">
      <w:pPr>
        <w:jc w:val="both"/>
        <w:rPr>
          <w:sz w:val="22"/>
          <w:szCs w:val="22"/>
          <w:u w:val="single"/>
          <w:lang w:val="it-IT"/>
        </w:rPr>
      </w:pPr>
      <w:r w:rsidRPr="00880E7B">
        <w:rPr>
          <w:i/>
          <w:sz w:val="22"/>
          <w:szCs w:val="22"/>
          <w:u w:val="single"/>
          <w:lang w:val="it-IT"/>
        </w:rPr>
        <w:t>Oštećenje funkcije jetre</w:t>
      </w:r>
      <w:r w:rsidRPr="00880E7B">
        <w:rPr>
          <w:sz w:val="22"/>
          <w:szCs w:val="22"/>
          <w:u w:val="single"/>
          <w:lang w:val="it-IT"/>
        </w:rPr>
        <w:t xml:space="preserve"> </w:t>
      </w:r>
    </w:p>
    <w:p w:rsidR="00EB7A9D" w:rsidRPr="00880E7B" w:rsidRDefault="00EB7A9D" w:rsidP="00880E7B">
      <w:pPr>
        <w:jc w:val="both"/>
        <w:rPr>
          <w:rFonts w:eastAsia="MS Mincho"/>
          <w:b/>
          <w:sz w:val="22"/>
          <w:szCs w:val="22"/>
          <w:lang w:val="it-IT"/>
        </w:rPr>
      </w:pPr>
      <w:r w:rsidRPr="00880E7B">
        <w:rPr>
          <w:sz w:val="22"/>
          <w:szCs w:val="22"/>
          <w:lang w:val="it-IT"/>
        </w:rPr>
        <w:t>Za pacijente sa blagim do um</w:t>
      </w:r>
      <w:r w:rsidR="00FD599D" w:rsidRPr="00880E7B">
        <w:rPr>
          <w:sz w:val="22"/>
          <w:szCs w:val="22"/>
          <w:lang w:val="it-IT"/>
        </w:rPr>
        <w:t>j</w:t>
      </w:r>
      <w:r w:rsidRPr="00880E7B">
        <w:rPr>
          <w:sz w:val="22"/>
          <w:szCs w:val="22"/>
          <w:lang w:val="it-IT"/>
        </w:rPr>
        <w:t xml:space="preserve">erenim oštećenjem funkcije jetre (tj. stadijuma A i B prema </w:t>
      </w:r>
      <w:r w:rsidRPr="00880E7B">
        <w:rPr>
          <w:i/>
          <w:sz w:val="22"/>
          <w:szCs w:val="22"/>
          <w:lang w:val="it-IT"/>
        </w:rPr>
        <w:t>Child</w:t>
      </w:r>
      <w:r w:rsidRPr="00880E7B">
        <w:rPr>
          <w:i/>
          <w:sz w:val="22"/>
          <w:szCs w:val="22"/>
          <w:lang w:val="it-IT"/>
        </w:rPr>
        <w:noBreakHyphen/>
        <w:t>Pugh</w:t>
      </w:r>
      <w:r w:rsidRPr="00880E7B">
        <w:rPr>
          <w:sz w:val="22"/>
          <w:szCs w:val="22"/>
          <w:lang w:val="it-IT"/>
        </w:rPr>
        <w:t xml:space="preserve"> klasifikaciji) nije potrebno prilagođavanje doze. Ipak, pošto bi koncentracija pirfenidona u plazmi mogla da bude povišena kod nekih osoba sa blagim do um</w:t>
      </w:r>
      <w:r w:rsidR="00FD599D" w:rsidRPr="00880E7B">
        <w:rPr>
          <w:sz w:val="22"/>
          <w:szCs w:val="22"/>
          <w:lang w:val="it-IT"/>
        </w:rPr>
        <w:t>j</w:t>
      </w:r>
      <w:r w:rsidRPr="00880E7B">
        <w:rPr>
          <w:sz w:val="22"/>
          <w:szCs w:val="22"/>
          <w:lang w:val="it-IT"/>
        </w:rPr>
        <w:t xml:space="preserve">erenim oštećenjem funkcije jetre, </w:t>
      </w:r>
      <w:r w:rsidR="00541277" w:rsidRPr="00880E7B">
        <w:rPr>
          <w:sz w:val="22"/>
          <w:szCs w:val="22"/>
          <w:lang w:val="it-IT"/>
        </w:rPr>
        <w:t xml:space="preserve">za </w:t>
      </w:r>
      <w:r w:rsidRPr="00880E7B">
        <w:rPr>
          <w:sz w:val="22"/>
          <w:szCs w:val="22"/>
          <w:lang w:val="it-IT"/>
        </w:rPr>
        <w:t>l</w:t>
      </w:r>
      <w:r w:rsidR="00FE6000" w:rsidRPr="00880E7B">
        <w:rPr>
          <w:sz w:val="22"/>
          <w:szCs w:val="22"/>
          <w:lang w:val="it-IT"/>
        </w:rPr>
        <w:t>ij</w:t>
      </w:r>
      <w:r w:rsidRPr="00880E7B">
        <w:rPr>
          <w:sz w:val="22"/>
          <w:szCs w:val="22"/>
          <w:lang w:val="it-IT"/>
        </w:rPr>
        <w:t>ečenja takvih pacijenata l</w:t>
      </w:r>
      <w:r w:rsidR="00FE6000" w:rsidRPr="00880E7B">
        <w:rPr>
          <w:sz w:val="22"/>
          <w:szCs w:val="22"/>
          <w:lang w:val="it-IT"/>
        </w:rPr>
        <w:t>ij</w:t>
      </w:r>
      <w:r w:rsidRPr="00880E7B">
        <w:rPr>
          <w:sz w:val="22"/>
          <w:szCs w:val="22"/>
          <w:lang w:val="it-IT"/>
        </w:rPr>
        <w:t>ekom ESBRIET potreban je oprez. Terapiju l</w:t>
      </w:r>
      <w:r w:rsidR="00FE6000" w:rsidRPr="00880E7B">
        <w:rPr>
          <w:sz w:val="22"/>
          <w:szCs w:val="22"/>
          <w:lang w:val="it-IT"/>
        </w:rPr>
        <w:t>ij</w:t>
      </w:r>
      <w:r w:rsidRPr="00880E7B">
        <w:rPr>
          <w:sz w:val="22"/>
          <w:szCs w:val="22"/>
          <w:lang w:val="it-IT"/>
        </w:rPr>
        <w:t>ekom ESBRIET ne treba prim</w:t>
      </w:r>
      <w:r w:rsidR="00541277" w:rsidRPr="00880E7B">
        <w:rPr>
          <w:sz w:val="22"/>
          <w:szCs w:val="22"/>
          <w:lang w:val="it-IT"/>
        </w:rPr>
        <w:t>i</w:t>
      </w:r>
      <w:r w:rsidR="00FE6000" w:rsidRPr="00880E7B">
        <w:rPr>
          <w:sz w:val="22"/>
          <w:szCs w:val="22"/>
          <w:lang w:val="it-IT"/>
        </w:rPr>
        <w:t>j</w:t>
      </w:r>
      <w:r w:rsidRPr="00880E7B">
        <w:rPr>
          <w:sz w:val="22"/>
          <w:szCs w:val="22"/>
          <w:lang w:val="it-IT"/>
        </w:rPr>
        <w:t>enjivati kod pacijenata sa teškim oštećenjem funkcije jetre ili u terminalnoj fazi bolesti jetre (vid</w:t>
      </w:r>
      <w:r w:rsidR="00FE6000" w:rsidRPr="00880E7B">
        <w:rPr>
          <w:sz w:val="22"/>
          <w:szCs w:val="22"/>
          <w:lang w:val="it-IT"/>
        </w:rPr>
        <w:t>j</w:t>
      </w:r>
      <w:r w:rsidRPr="00880E7B">
        <w:rPr>
          <w:sz w:val="22"/>
          <w:szCs w:val="22"/>
          <w:lang w:val="it-IT"/>
        </w:rPr>
        <w:t xml:space="preserve">eti </w:t>
      </w:r>
      <w:r w:rsidR="008F21AE" w:rsidRPr="00880E7B">
        <w:rPr>
          <w:sz w:val="22"/>
          <w:szCs w:val="22"/>
          <w:lang w:val="it-IT"/>
        </w:rPr>
        <w:t xml:space="preserve">djelove </w:t>
      </w:r>
      <w:r w:rsidRPr="00880E7B">
        <w:rPr>
          <w:sz w:val="22"/>
          <w:szCs w:val="22"/>
          <w:lang w:val="it-IT"/>
        </w:rPr>
        <w:t xml:space="preserve">4.3, 4.4 i 5.2). </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spacing w:line="240" w:lineRule="exact"/>
        <w:jc w:val="both"/>
        <w:rPr>
          <w:iCs/>
          <w:sz w:val="22"/>
          <w:szCs w:val="22"/>
          <w:u w:val="single"/>
          <w:lang w:val="it-IT"/>
        </w:rPr>
      </w:pPr>
      <w:r w:rsidRPr="00880E7B">
        <w:rPr>
          <w:i/>
          <w:sz w:val="22"/>
          <w:szCs w:val="22"/>
          <w:u w:val="single"/>
          <w:lang w:val="it-IT"/>
        </w:rPr>
        <w:t>Oštećenje funkcije bubrega</w:t>
      </w:r>
      <w:r w:rsidRPr="00880E7B">
        <w:rPr>
          <w:sz w:val="22"/>
          <w:szCs w:val="22"/>
          <w:u w:val="single"/>
          <w:lang w:val="it-IT"/>
        </w:rPr>
        <w:t xml:space="preserve"> </w:t>
      </w:r>
    </w:p>
    <w:p w:rsidR="00EB7A9D" w:rsidRPr="00880E7B" w:rsidRDefault="00EB7A9D" w:rsidP="00880E7B">
      <w:pPr>
        <w:spacing w:line="240" w:lineRule="exact"/>
        <w:jc w:val="both"/>
        <w:rPr>
          <w:sz w:val="22"/>
          <w:szCs w:val="22"/>
          <w:lang w:val="it-IT"/>
        </w:rPr>
      </w:pPr>
      <w:r w:rsidRPr="00880E7B">
        <w:rPr>
          <w:sz w:val="22"/>
          <w:szCs w:val="22"/>
          <w:lang w:val="it-IT"/>
        </w:rPr>
        <w:t>Za pacijente sa blagim oštećenjem funkcije bubrega nije potrebno prilagođavanje doze. L</w:t>
      </w:r>
      <w:r w:rsidR="00FE6000" w:rsidRPr="00880E7B">
        <w:rPr>
          <w:sz w:val="22"/>
          <w:szCs w:val="22"/>
          <w:lang w:val="it-IT"/>
        </w:rPr>
        <w:t>ij</w:t>
      </w:r>
      <w:r w:rsidRPr="00880E7B">
        <w:rPr>
          <w:sz w:val="22"/>
          <w:szCs w:val="22"/>
          <w:lang w:val="it-IT"/>
        </w:rPr>
        <w:t>ek ESBRIET je potrebno prim</w:t>
      </w:r>
      <w:r w:rsidR="00A522DB" w:rsidRPr="00880E7B">
        <w:rPr>
          <w:sz w:val="22"/>
          <w:szCs w:val="22"/>
          <w:lang w:val="it-IT"/>
        </w:rPr>
        <w:t>i</w:t>
      </w:r>
      <w:r w:rsidR="00FE6000" w:rsidRPr="00880E7B">
        <w:rPr>
          <w:sz w:val="22"/>
          <w:szCs w:val="22"/>
          <w:lang w:val="it-IT"/>
        </w:rPr>
        <w:t>j</w:t>
      </w:r>
      <w:r w:rsidRPr="00880E7B">
        <w:rPr>
          <w:sz w:val="22"/>
          <w:szCs w:val="22"/>
          <w:lang w:val="it-IT"/>
        </w:rPr>
        <w:t>enjivati uz oprez kod pacijenata sa um</w:t>
      </w:r>
      <w:r w:rsidR="00FE6000" w:rsidRPr="00880E7B">
        <w:rPr>
          <w:sz w:val="22"/>
          <w:szCs w:val="22"/>
          <w:lang w:val="it-IT"/>
        </w:rPr>
        <w:t>j</w:t>
      </w:r>
      <w:r w:rsidRPr="00880E7B">
        <w:rPr>
          <w:sz w:val="22"/>
          <w:szCs w:val="22"/>
          <w:lang w:val="it-IT"/>
        </w:rPr>
        <w:t>erenim oštećenjem funkcije bubrega (CrCl 30-50 </w:t>
      </w:r>
      <w:r w:rsidR="00BD0820" w:rsidRPr="00880E7B">
        <w:rPr>
          <w:sz w:val="22"/>
          <w:szCs w:val="22"/>
          <w:lang w:val="it-IT"/>
        </w:rPr>
        <w:t>ml</w:t>
      </w:r>
      <w:r w:rsidRPr="00880E7B">
        <w:rPr>
          <w:sz w:val="22"/>
          <w:szCs w:val="22"/>
          <w:lang w:val="it-IT"/>
        </w:rPr>
        <w:t>/min). L</w:t>
      </w:r>
      <w:r w:rsidR="00FE6000" w:rsidRPr="00880E7B">
        <w:rPr>
          <w:sz w:val="22"/>
          <w:szCs w:val="22"/>
          <w:lang w:val="it-IT"/>
        </w:rPr>
        <w:t>ij</w:t>
      </w:r>
      <w:r w:rsidRPr="00880E7B">
        <w:rPr>
          <w:sz w:val="22"/>
          <w:szCs w:val="22"/>
          <w:lang w:val="it-IT"/>
        </w:rPr>
        <w:t>ek ESBRIET ne treba prim</w:t>
      </w:r>
      <w:r w:rsidR="00A522DB" w:rsidRPr="00880E7B">
        <w:rPr>
          <w:sz w:val="22"/>
          <w:szCs w:val="22"/>
          <w:lang w:val="it-IT"/>
        </w:rPr>
        <w:t>i</w:t>
      </w:r>
      <w:r w:rsidR="00FE6000" w:rsidRPr="00880E7B">
        <w:rPr>
          <w:sz w:val="22"/>
          <w:szCs w:val="22"/>
          <w:lang w:val="it-IT"/>
        </w:rPr>
        <w:t>j</w:t>
      </w:r>
      <w:r w:rsidRPr="00880E7B">
        <w:rPr>
          <w:sz w:val="22"/>
          <w:szCs w:val="22"/>
          <w:lang w:val="it-IT"/>
        </w:rPr>
        <w:t>enjivati kod pacijenata sa teškim oštećenjem funkcije bubrega (CrCl &lt;30 </w:t>
      </w:r>
      <w:r w:rsidR="00BD0820" w:rsidRPr="00880E7B">
        <w:rPr>
          <w:sz w:val="22"/>
          <w:szCs w:val="22"/>
          <w:lang w:val="it-IT"/>
        </w:rPr>
        <w:t>ml</w:t>
      </w:r>
      <w:r w:rsidRPr="00880E7B">
        <w:rPr>
          <w:sz w:val="22"/>
          <w:szCs w:val="22"/>
          <w:lang w:val="it-IT"/>
        </w:rPr>
        <w:t>/min) ili u terminalnoj fazi bolesti bubrega koj</w:t>
      </w:r>
      <w:r w:rsidR="00A522DB" w:rsidRPr="00880E7B">
        <w:rPr>
          <w:sz w:val="22"/>
          <w:szCs w:val="22"/>
          <w:lang w:val="it-IT"/>
        </w:rPr>
        <w:t>a</w:t>
      </w:r>
      <w:r w:rsidRPr="00880E7B">
        <w:rPr>
          <w:sz w:val="22"/>
          <w:szCs w:val="22"/>
          <w:lang w:val="it-IT"/>
        </w:rPr>
        <w:t xml:space="preserve"> </w:t>
      </w:r>
      <w:r w:rsidR="00A522DB" w:rsidRPr="00880E7B">
        <w:rPr>
          <w:sz w:val="22"/>
          <w:szCs w:val="22"/>
          <w:lang w:val="it-IT"/>
        </w:rPr>
        <w:t xml:space="preserve">zahtijeva </w:t>
      </w:r>
      <w:r w:rsidRPr="00880E7B">
        <w:rPr>
          <w:sz w:val="22"/>
          <w:szCs w:val="22"/>
          <w:lang w:val="it-IT"/>
        </w:rPr>
        <w:t>dijaliz</w:t>
      </w:r>
      <w:r w:rsidR="00A522DB" w:rsidRPr="00880E7B">
        <w:rPr>
          <w:sz w:val="22"/>
          <w:szCs w:val="22"/>
          <w:lang w:val="it-IT"/>
        </w:rPr>
        <w:t>u</w:t>
      </w:r>
      <w:r w:rsidRPr="00880E7B">
        <w:rPr>
          <w:sz w:val="22"/>
          <w:szCs w:val="22"/>
          <w:lang w:val="it-IT"/>
        </w:rPr>
        <w:t xml:space="preserve"> (vid</w:t>
      </w:r>
      <w:r w:rsidR="00FE6000" w:rsidRPr="00880E7B">
        <w:rPr>
          <w:sz w:val="22"/>
          <w:szCs w:val="22"/>
          <w:lang w:val="it-IT"/>
        </w:rPr>
        <w:t>j</w:t>
      </w:r>
      <w:r w:rsidRPr="00880E7B">
        <w:rPr>
          <w:sz w:val="22"/>
          <w:szCs w:val="22"/>
          <w:lang w:val="it-IT"/>
        </w:rPr>
        <w:t xml:space="preserve">eti </w:t>
      </w:r>
      <w:r w:rsidR="00A522DB" w:rsidRPr="00880E7B">
        <w:rPr>
          <w:sz w:val="22"/>
          <w:szCs w:val="22"/>
          <w:lang w:val="it-IT"/>
        </w:rPr>
        <w:t xml:space="preserve">djelove </w:t>
      </w:r>
      <w:r w:rsidRPr="00880E7B">
        <w:rPr>
          <w:sz w:val="22"/>
          <w:szCs w:val="22"/>
          <w:lang w:val="it-IT"/>
        </w:rPr>
        <w:t>4.3 i 5.2).</w:t>
      </w:r>
    </w:p>
    <w:p w:rsidR="00EB7A9D" w:rsidRPr="00880E7B" w:rsidRDefault="00EB7A9D" w:rsidP="00880E7B">
      <w:pPr>
        <w:autoSpaceDE w:val="0"/>
        <w:autoSpaceDN w:val="0"/>
        <w:adjustRightInd w:val="0"/>
        <w:spacing w:line="240" w:lineRule="exact"/>
        <w:jc w:val="both"/>
        <w:rPr>
          <w:sz w:val="22"/>
          <w:szCs w:val="22"/>
          <w:lang w:val="it-IT"/>
        </w:rPr>
      </w:pPr>
    </w:p>
    <w:p w:rsidR="00EB7A9D" w:rsidRPr="00880E7B" w:rsidRDefault="00EB7A9D" w:rsidP="00880E7B">
      <w:pPr>
        <w:autoSpaceDE w:val="0"/>
        <w:autoSpaceDN w:val="0"/>
        <w:adjustRightInd w:val="0"/>
        <w:spacing w:line="240" w:lineRule="exact"/>
        <w:jc w:val="both"/>
        <w:rPr>
          <w:sz w:val="22"/>
          <w:szCs w:val="22"/>
          <w:u w:val="single"/>
          <w:lang w:val="it-IT"/>
        </w:rPr>
      </w:pPr>
      <w:r w:rsidRPr="00880E7B">
        <w:rPr>
          <w:i/>
          <w:sz w:val="22"/>
          <w:szCs w:val="22"/>
          <w:u w:val="single"/>
          <w:lang w:val="it-IT"/>
        </w:rPr>
        <w:t>Pedijatrijska populacija</w:t>
      </w:r>
      <w:r w:rsidRPr="00880E7B">
        <w:rPr>
          <w:sz w:val="22"/>
          <w:szCs w:val="22"/>
          <w:u w:val="single"/>
          <w:lang w:val="it-IT"/>
        </w:rPr>
        <w:t xml:space="preserve"> </w:t>
      </w:r>
    </w:p>
    <w:p w:rsidR="00EB7A9D" w:rsidRPr="00880E7B" w:rsidRDefault="00EB7A9D" w:rsidP="00880E7B">
      <w:pPr>
        <w:autoSpaceDE w:val="0"/>
        <w:autoSpaceDN w:val="0"/>
        <w:adjustRightInd w:val="0"/>
        <w:spacing w:line="240" w:lineRule="exact"/>
        <w:jc w:val="both"/>
        <w:rPr>
          <w:sz w:val="22"/>
          <w:szCs w:val="22"/>
          <w:lang w:val="it-IT"/>
        </w:rPr>
      </w:pPr>
      <w:r w:rsidRPr="00880E7B">
        <w:rPr>
          <w:sz w:val="22"/>
          <w:szCs w:val="22"/>
          <w:lang w:val="it-IT"/>
        </w:rPr>
        <w:t>Prim</w:t>
      </w:r>
      <w:r w:rsidR="00FE6000" w:rsidRPr="00880E7B">
        <w:rPr>
          <w:sz w:val="22"/>
          <w:szCs w:val="22"/>
          <w:lang w:val="it-IT"/>
        </w:rPr>
        <w:t>j</w:t>
      </w:r>
      <w:r w:rsidRPr="00880E7B">
        <w:rPr>
          <w:sz w:val="22"/>
          <w:szCs w:val="22"/>
          <w:lang w:val="it-IT"/>
        </w:rPr>
        <w:t>ena l</w:t>
      </w:r>
      <w:r w:rsidR="00FE6000" w:rsidRPr="00880E7B">
        <w:rPr>
          <w:sz w:val="22"/>
          <w:szCs w:val="22"/>
          <w:lang w:val="it-IT"/>
        </w:rPr>
        <w:t>ij</w:t>
      </w:r>
      <w:r w:rsidRPr="00880E7B">
        <w:rPr>
          <w:sz w:val="22"/>
          <w:szCs w:val="22"/>
          <w:lang w:val="it-IT"/>
        </w:rPr>
        <w:t xml:space="preserve">eka ESBRIET </w:t>
      </w:r>
      <w:r w:rsidR="00A522DB" w:rsidRPr="00880E7B">
        <w:rPr>
          <w:sz w:val="22"/>
          <w:szCs w:val="22"/>
          <w:lang w:val="it-IT"/>
        </w:rPr>
        <w:t>za liječenje</w:t>
      </w:r>
      <w:r w:rsidRPr="00880E7B">
        <w:rPr>
          <w:sz w:val="22"/>
          <w:szCs w:val="22"/>
          <w:lang w:val="it-IT"/>
        </w:rPr>
        <w:t xml:space="preserve"> IPF u pedijatrijskoj populaciji nije opravdana. </w:t>
      </w:r>
    </w:p>
    <w:p w:rsidR="00241CD1" w:rsidRPr="00880E7B" w:rsidRDefault="00241CD1" w:rsidP="00880E7B">
      <w:pPr>
        <w:tabs>
          <w:tab w:val="left" w:pos="540"/>
          <w:tab w:val="left" w:pos="569"/>
        </w:tabs>
        <w:jc w:val="both"/>
        <w:rPr>
          <w:bCs/>
          <w:sz w:val="22"/>
          <w:szCs w:val="22"/>
          <w:lang w:val="it-IT"/>
        </w:rPr>
      </w:pPr>
    </w:p>
    <w:p w:rsidR="00241CD1" w:rsidRPr="00880E7B" w:rsidRDefault="00241CD1" w:rsidP="00880E7B">
      <w:pPr>
        <w:pStyle w:val="Header"/>
        <w:tabs>
          <w:tab w:val="left" w:pos="284"/>
        </w:tabs>
        <w:jc w:val="both"/>
        <w:rPr>
          <w:sz w:val="22"/>
          <w:szCs w:val="22"/>
          <w:u w:val="single"/>
          <w:lang w:val="sr-Latn-CS"/>
        </w:rPr>
      </w:pPr>
      <w:r w:rsidRPr="00880E7B">
        <w:rPr>
          <w:sz w:val="22"/>
          <w:szCs w:val="22"/>
          <w:u w:val="single"/>
          <w:lang w:val="sr-Latn-CS"/>
        </w:rPr>
        <w:t>Način primjene</w:t>
      </w:r>
    </w:p>
    <w:p w:rsidR="00241CD1" w:rsidRPr="00880E7B" w:rsidRDefault="00EB7A9D" w:rsidP="00880E7B">
      <w:pPr>
        <w:tabs>
          <w:tab w:val="left" w:pos="540"/>
          <w:tab w:val="left" w:pos="569"/>
        </w:tabs>
        <w:jc w:val="both"/>
        <w:rPr>
          <w:sz w:val="22"/>
          <w:szCs w:val="22"/>
          <w:lang w:val="sr-Latn-CS"/>
        </w:rPr>
      </w:pPr>
      <w:r w:rsidRPr="00880E7B">
        <w:rPr>
          <w:sz w:val="22"/>
          <w:szCs w:val="22"/>
          <w:lang w:val="sr-Latn-CS"/>
        </w:rPr>
        <w:t>ESBRIET je nam</w:t>
      </w:r>
      <w:r w:rsidR="00045D87" w:rsidRPr="00880E7B">
        <w:rPr>
          <w:sz w:val="22"/>
          <w:szCs w:val="22"/>
          <w:lang w:val="sr-Latn-CS"/>
        </w:rPr>
        <w:t>i</w:t>
      </w:r>
      <w:r w:rsidR="00FE6000" w:rsidRPr="00880E7B">
        <w:rPr>
          <w:sz w:val="22"/>
          <w:szCs w:val="22"/>
          <w:lang w:val="sr-Latn-CS"/>
        </w:rPr>
        <w:t>j</w:t>
      </w:r>
      <w:r w:rsidRPr="00880E7B">
        <w:rPr>
          <w:sz w:val="22"/>
          <w:szCs w:val="22"/>
          <w:lang w:val="sr-Latn-CS"/>
        </w:rPr>
        <w:t>enjen za oralnu prim</w:t>
      </w:r>
      <w:r w:rsidR="00FE6000" w:rsidRPr="00880E7B">
        <w:rPr>
          <w:sz w:val="22"/>
          <w:szCs w:val="22"/>
          <w:lang w:val="sr-Latn-CS"/>
        </w:rPr>
        <w:t>j</w:t>
      </w:r>
      <w:r w:rsidRPr="00880E7B">
        <w:rPr>
          <w:sz w:val="22"/>
          <w:szCs w:val="22"/>
          <w:lang w:val="sr-Latn-CS"/>
        </w:rPr>
        <w:t>enu. Tablete treba progutati c</w:t>
      </w:r>
      <w:r w:rsidR="00FE6000" w:rsidRPr="00880E7B">
        <w:rPr>
          <w:sz w:val="22"/>
          <w:szCs w:val="22"/>
          <w:lang w:val="sr-Latn-CS"/>
        </w:rPr>
        <w:t>ij</w:t>
      </w:r>
      <w:r w:rsidRPr="00880E7B">
        <w:rPr>
          <w:sz w:val="22"/>
          <w:szCs w:val="22"/>
          <w:lang w:val="sr-Latn-CS"/>
        </w:rPr>
        <w:t>ele sa vodom uz obrok kako bi se smanjila mogućnost pojave mučnine i vrtoglavice (vid</w:t>
      </w:r>
      <w:r w:rsidR="00FE6000" w:rsidRPr="00880E7B">
        <w:rPr>
          <w:sz w:val="22"/>
          <w:szCs w:val="22"/>
          <w:lang w:val="sr-Latn-CS"/>
        </w:rPr>
        <w:t>j</w:t>
      </w:r>
      <w:r w:rsidRPr="00880E7B">
        <w:rPr>
          <w:sz w:val="22"/>
          <w:szCs w:val="22"/>
          <w:lang w:val="sr-Latn-CS"/>
        </w:rPr>
        <w:t xml:space="preserve">eti </w:t>
      </w:r>
      <w:r w:rsidR="001C64E4" w:rsidRPr="00880E7B">
        <w:rPr>
          <w:sz w:val="22"/>
          <w:szCs w:val="22"/>
          <w:lang w:val="sr-Latn-CS"/>
        </w:rPr>
        <w:t xml:space="preserve">djelove </w:t>
      </w:r>
      <w:r w:rsidRPr="00880E7B">
        <w:rPr>
          <w:sz w:val="22"/>
          <w:szCs w:val="22"/>
          <w:lang w:val="sr-Latn-CS"/>
        </w:rPr>
        <w:t>4.8 i 5.2).</w:t>
      </w:r>
    </w:p>
    <w:p w:rsidR="00EB7A9D" w:rsidRPr="00880E7B" w:rsidRDefault="00EB7A9D" w:rsidP="00880E7B">
      <w:pPr>
        <w:tabs>
          <w:tab w:val="left" w:pos="540"/>
          <w:tab w:val="left" w:pos="569"/>
        </w:tabs>
        <w:jc w:val="both"/>
        <w:rPr>
          <w:bCs/>
          <w:sz w:val="22"/>
          <w:szCs w:val="22"/>
        </w:rPr>
      </w:pPr>
    </w:p>
    <w:p w:rsidR="00411B4B" w:rsidRPr="00880E7B" w:rsidRDefault="00411B4B" w:rsidP="00880E7B">
      <w:pPr>
        <w:tabs>
          <w:tab w:val="left" w:pos="540"/>
          <w:tab w:val="left" w:pos="569"/>
        </w:tabs>
        <w:jc w:val="both"/>
        <w:rPr>
          <w:b/>
          <w:bCs/>
          <w:sz w:val="22"/>
          <w:szCs w:val="22"/>
        </w:rPr>
      </w:pPr>
      <w:r w:rsidRPr="00880E7B">
        <w:rPr>
          <w:b/>
          <w:bCs/>
          <w:sz w:val="22"/>
          <w:szCs w:val="22"/>
        </w:rPr>
        <w:t xml:space="preserve">4.3. </w:t>
      </w:r>
      <w:r w:rsidR="00480FB1" w:rsidRPr="00880E7B">
        <w:rPr>
          <w:b/>
          <w:bCs/>
          <w:sz w:val="22"/>
          <w:szCs w:val="22"/>
        </w:rPr>
        <w:tab/>
      </w:r>
      <w:r w:rsidRPr="00880E7B">
        <w:rPr>
          <w:b/>
          <w:bCs/>
          <w:sz w:val="22"/>
          <w:szCs w:val="22"/>
        </w:rPr>
        <w:t>Kontraindikacije</w:t>
      </w:r>
    </w:p>
    <w:p w:rsidR="00241CD1" w:rsidRPr="00880E7B" w:rsidRDefault="00241CD1" w:rsidP="00880E7B">
      <w:pPr>
        <w:tabs>
          <w:tab w:val="left" w:pos="540"/>
          <w:tab w:val="left" w:pos="569"/>
        </w:tabs>
        <w:jc w:val="both"/>
        <w:rPr>
          <w:b/>
          <w:bCs/>
          <w:sz w:val="22"/>
          <w:szCs w:val="22"/>
        </w:rPr>
      </w:pPr>
    </w:p>
    <w:p w:rsidR="00EB7A9D" w:rsidRPr="00880E7B" w:rsidRDefault="00EB7A9D" w:rsidP="00880E7B">
      <w:pPr>
        <w:tabs>
          <w:tab w:val="left" w:pos="540"/>
          <w:tab w:val="left" w:pos="569"/>
        </w:tabs>
        <w:jc w:val="both"/>
        <w:rPr>
          <w:sz w:val="22"/>
          <w:szCs w:val="22"/>
          <w:lang w:val="sr-Latn-CS"/>
        </w:rPr>
      </w:pPr>
      <w:r w:rsidRPr="00880E7B">
        <w:rPr>
          <w:sz w:val="22"/>
          <w:szCs w:val="22"/>
          <w:lang w:val="sr-Latn-CS"/>
        </w:rPr>
        <w:t>●</w:t>
      </w:r>
      <w:r w:rsidRPr="00880E7B">
        <w:rPr>
          <w:sz w:val="22"/>
          <w:szCs w:val="22"/>
          <w:lang w:val="sr-Latn-CS"/>
        </w:rPr>
        <w:tab/>
        <w:t>Preos</w:t>
      </w:r>
      <w:r w:rsidR="00FD599D" w:rsidRPr="00880E7B">
        <w:rPr>
          <w:sz w:val="22"/>
          <w:szCs w:val="22"/>
          <w:lang w:val="sr-Latn-CS"/>
        </w:rPr>
        <w:t>j</w:t>
      </w:r>
      <w:r w:rsidRPr="00880E7B">
        <w:rPr>
          <w:sz w:val="22"/>
          <w:szCs w:val="22"/>
          <w:lang w:val="sr-Latn-CS"/>
        </w:rPr>
        <w:t xml:space="preserve">etljivost na aktivnu supstancu ili na bilo koju od pomoćnih supstanci navedenih u </w:t>
      </w:r>
      <w:r w:rsidR="00A522DB" w:rsidRPr="00880E7B">
        <w:rPr>
          <w:sz w:val="22"/>
          <w:szCs w:val="22"/>
          <w:lang w:val="sr-Latn-CS"/>
        </w:rPr>
        <w:t xml:space="preserve">dijelu </w:t>
      </w:r>
      <w:r w:rsidRPr="00880E7B">
        <w:rPr>
          <w:sz w:val="22"/>
          <w:szCs w:val="22"/>
          <w:lang w:val="sr-Latn-CS"/>
        </w:rPr>
        <w:t xml:space="preserve">6.1 </w:t>
      </w:r>
    </w:p>
    <w:p w:rsidR="00EB7A9D" w:rsidRPr="00880E7B" w:rsidRDefault="00EB7A9D" w:rsidP="00880E7B">
      <w:pPr>
        <w:tabs>
          <w:tab w:val="left" w:pos="540"/>
          <w:tab w:val="left" w:pos="569"/>
        </w:tabs>
        <w:jc w:val="both"/>
        <w:rPr>
          <w:sz w:val="22"/>
          <w:szCs w:val="22"/>
          <w:lang w:val="sr-Latn-CS"/>
        </w:rPr>
      </w:pPr>
      <w:r w:rsidRPr="00880E7B">
        <w:rPr>
          <w:sz w:val="22"/>
          <w:szCs w:val="22"/>
          <w:lang w:val="sr-Latn-CS"/>
        </w:rPr>
        <w:lastRenderedPageBreak/>
        <w:t>●</w:t>
      </w:r>
      <w:r w:rsidRPr="00880E7B">
        <w:rPr>
          <w:sz w:val="22"/>
          <w:szCs w:val="22"/>
          <w:lang w:val="sr-Latn-CS"/>
        </w:rPr>
        <w:tab/>
        <w:t>Anamneza angioedema povezanog sa pirfenidonom (vid</w:t>
      </w:r>
      <w:r w:rsidR="00FE6000" w:rsidRPr="00880E7B">
        <w:rPr>
          <w:sz w:val="22"/>
          <w:szCs w:val="22"/>
          <w:lang w:val="sr-Latn-CS"/>
        </w:rPr>
        <w:t>j</w:t>
      </w:r>
      <w:r w:rsidRPr="00880E7B">
        <w:rPr>
          <w:sz w:val="22"/>
          <w:szCs w:val="22"/>
          <w:lang w:val="sr-Latn-CS"/>
        </w:rPr>
        <w:t xml:space="preserve">eti </w:t>
      </w:r>
      <w:r w:rsidR="000B4654" w:rsidRPr="00880E7B">
        <w:rPr>
          <w:sz w:val="22"/>
          <w:szCs w:val="22"/>
          <w:lang w:val="sr-Latn-CS"/>
        </w:rPr>
        <w:t>dio</w:t>
      </w:r>
      <w:r w:rsidRPr="00880E7B">
        <w:rPr>
          <w:sz w:val="22"/>
          <w:szCs w:val="22"/>
          <w:lang w:val="sr-Latn-CS"/>
        </w:rPr>
        <w:t xml:space="preserve"> 4.4)</w:t>
      </w:r>
    </w:p>
    <w:p w:rsidR="00EB7A9D" w:rsidRPr="00880E7B" w:rsidRDefault="00EB7A9D" w:rsidP="00880E7B">
      <w:pPr>
        <w:tabs>
          <w:tab w:val="left" w:pos="540"/>
          <w:tab w:val="left" w:pos="569"/>
        </w:tabs>
        <w:jc w:val="both"/>
        <w:rPr>
          <w:sz w:val="22"/>
          <w:szCs w:val="22"/>
          <w:lang w:val="sr-Latn-CS"/>
        </w:rPr>
      </w:pPr>
      <w:r w:rsidRPr="00880E7B">
        <w:rPr>
          <w:sz w:val="22"/>
          <w:szCs w:val="22"/>
          <w:lang w:val="sr-Latn-CS"/>
        </w:rPr>
        <w:t>●</w:t>
      </w:r>
      <w:r w:rsidRPr="00880E7B">
        <w:rPr>
          <w:sz w:val="22"/>
          <w:szCs w:val="22"/>
          <w:lang w:val="sr-Latn-CS"/>
        </w:rPr>
        <w:tab/>
        <w:t>Istovremena prim</w:t>
      </w:r>
      <w:r w:rsidR="00FE6000" w:rsidRPr="00880E7B">
        <w:rPr>
          <w:sz w:val="22"/>
          <w:szCs w:val="22"/>
          <w:lang w:val="sr-Latn-CS"/>
        </w:rPr>
        <w:t>j</w:t>
      </w:r>
      <w:r w:rsidRPr="00880E7B">
        <w:rPr>
          <w:sz w:val="22"/>
          <w:szCs w:val="22"/>
          <w:lang w:val="sr-Latn-CS"/>
        </w:rPr>
        <w:t>ena fluvoksamina (vid</w:t>
      </w:r>
      <w:r w:rsidR="00FE6000" w:rsidRPr="00880E7B">
        <w:rPr>
          <w:sz w:val="22"/>
          <w:szCs w:val="22"/>
          <w:lang w:val="sr-Latn-CS"/>
        </w:rPr>
        <w:t>j</w:t>
      </w:r>
      <w:r w:rsidRPr="00880E7B">
        <w:rPr>
          <w:sz w:val="22"/>
          <w:szCs w:val="22"/>
          <w:lang w:val="sr-Latn-CS"/>
        </w:rPr>
        <w:t xml:space="preserve">eti </w:t>
      </w:r>
      <w:r w:rsidR="000B4654" w:rsidRPr="00880E7B">
        <w:rPr>
          <w:sz w:val="22"/>
          <w:szCs w:val="22"/>
          <w:lang w:val="sr-Latn-CS"/>
        </w:rPr>
        <w:t xml:space="preserve">dio </w:t>
      </w:r>
      <w:r w:rsidRPr="00880E7B">
        <w:rPr>
          <w:sz w:val="22"/>
          <w:szCs w:val="22"/>
          <w:lang w:val="sr-Latn-CS"/>
        </w:rPr>
        <w:t>4.5)</w:t>
      </w:r>
    </w:p>
    <w:p w:rsidR="00EB7A9D" w:rsidRPr="00880E7B" w:rsidRDefault="00EB7A9D" w:rsidP="00880E7B">
      <w:pPr>
        <w:tabs>
          <w:tab w:val="left" w:pos="540"/>
          <w:tab w:val="left" w:pos="569"/>
        </w:tabs>
        <w:jc w:val="both"/>
        <w:rPr>
          <w:sz w:val="22"/>
          <w:szCs w:val="22"/>
          <w:lang w:val="sr-Latn-CS"/>
        </w:rPr>
      </w:pPr>
      <w:r w:rsidRPr="00880E7B">
        <w:rPr>
          <w:sz w:val="22"/>
          <w:szCs w:val="22"/>
          <w:lang w:val="sr-Latn-CS"/>
        </w:rPr>
        <w:t>●</w:t>
      </w:r>
      <w:r w:rsidRPr="00880E7B">
        <w:rPr>
          <w:sz w:val="22"/>
          <w:szCs w:val="22"/>
          <w:lang w:val="sr-Latn-CS"/>
        </w:rPr>
        <w:tab/>
        <w:t>Teško oštećenje funkcije jetre ili terminalna faza bolesti jetre (vid</w:t>
      </w:r>
      <w:r w:rsidR="00FE6000" w:rsidRPr="00880E7B">
        <w:rPr>
          <w:sz w:val="22"/>
          <w:szCs w:val="22"/>
          <w:lang w:val="sr-Latn-CS"/>
        </w:rPr>
        <w:t>j</w:t>
      </w:r>
      <w:r w:rsidRPr="00880E7B">
        <w:rPr>
          <w:sz w:val="22"/>
          <w:szCs w:val="22"/>
          <w:lang w:val="sr-Latn-CS"/>
        </w:rPr>
        <w:t xml:space="preserve">eti </w:t>
      </w:r>
      <w:r w:rsidR="000B4654" w:rsidRPr="00880E7B">
        <w:rPr>
          <w:sz w:val="22"/>
          <w:szCs w:val="22"/>
          <w:lang w:val="sr-Latn-CS"/>
        </w:rPr>
        <w:t>djelove</w:t>
      </w:r>
      <w:r w:rsidRPr="00880E7B">
        <w:rPr>
          <w:sz w:val="22"/>
          <w:szCs w:val="22"/>
          <w:lang w:val="sr-Latn-CS"/>
        </w:rPr>
        <w:t xml:space="preserve"> 4.2 i 4.4)</w:t>
      </w:r>
    </w:p>
    <w:p w:rsidR="0072020E" w:rsidRPr="00880E7B" w:rsidRDefault="00EB7A9D" w:rsidP="00880E7B">
      <w:pPr>
        <w:tabs>
          <w:tab w:val="left" w:pos="540"/>
          <w:tab w:val="left" w:pos="569"/>
        </w:tabs>
        <w:jc w:val="both"/>
        <w:rPr>
          <w:bCs/>
          <w:sz w:val="22"/>
          <w:szCs w:val="22"/>
          <w:lang w:val="sr-Latn-CS"/>
        </w:rPr>
      </w:pPr>
      <w:r w:rsidRPr="00880E7B">
        <w:rPr>
          <w:sz w:val="22"/>
          <w:szCs w:val="22"/>
          <w:lang w:val="sr-Latn-CS"/>
        </w:rPr>
        <w:t>●</w:t>
      </w:r>
      <w:r w:rsidRPr="00880E7B">
        <w:rPr>
          <w:sz w:val="22"/>
          <w:szCs w:val="22"/>
          <w:lang w:val="sr-Latn-CS"/>
        </w:rPr>
        <w:tab/>
        <w:t xml:space="preserve">Teško oštećenje funkcije bubrega (CLCr &lt;30 </w:t>
      </w:r>
      <w:r w:rsidR="00BD0820" w:rsidRPr="00880E7B">
        <w:rPr>
          <w:sz w:val="22"/>
          <w:szCs w:val="22"/>
          <w:lang w:val="sr-Latn-CS"/>
        </w:rPr>
        <w:t>ml</w:t>
      </w:r>
      <w:r w:rsidRPr="00880E7B">
        <w:rPr>
          <w:sz w:val="22"/>
          <w:szCs w:val="22"/>
          <w:lang w:val="sr-Latn-CS"/>
        </w:rPr>
        <w:t>/min) ili terminalna faza bolesti bubrega u kojoj je neophodna dijaliza (vid</w:t>
      </w:r>
      <w:r w:rsidR="00FE6000" w:rsidRPr="00880E7B">
        <w:rPr>
          <w:sz w:val="22"/>
          <w:szCs w:val="22"/>
          <w:lang w:val="sr-Latn-CS"/>
        </w:rPr>
        <w:t>j</w:t>
      </w:r>
      <w:r w:rsidRPr="00880E7B">
        <w:rPr>
          <w:sz w:val="22"/>
          <w:szCs w:val="22"/>
          <w:lang w:val="sr-Latn-CS"/>
        </w:rPr>
        <w:t xml:space="preserve">eti </w:t>
      </w:r>
      <w:r w:rsidR="000B4654" w:rsidRPr="00880E7B">
        <w:rPr>
          <w:sz w:val="22"/>
          <w:szCs w:val="22"/>
          <w:lang w:val="sr-Latn-CS"/>
        </w:rPr>
        <w:t xml:space="preserve">djelove </w:t>
      </w:r>
      <w:r w:rsidRPr="00880E7B">
        <w:rPr>
          <w:sz w:val="22"/>
          <w:szCs w:val="22"/>
          <w:lang w:val="sr-Latn-CS"/>
        </w:rPr>
        <w:t>4.2 i 5.2)</w:t>
      </w:r>
    </w:p>
    <w:p w:rsidR="005272C4" w:rsidRPr="00880E7B" w:rsidRDefault="005272C4" w:rsidP="00880E7B">
      <w:pPr>
        <w:tabs>
          <w:tab w:val="left" w:pos="540"/>
          <w:tab w:val="left" w:pos="569"/>
        </w:tabs>
        <w:jc w:val="both"/>
        <w:rPr>
          <w:b/>
          <w:bCs/>
          <w:sz w:val="22"/>
          <w:szCs w:val="22"/>
          <w:lang w:val="sr-Latn-CS"/>
        </w:rPr>
      </w:pPr>
    </w:p>
    <w:p w:rsidR="005272C4" w:rsidRPr="00880E7B" w:rsidRDefault="00411B4B" w:rsidP="00880E7B">
      <w:pPr>
        <w:tabs>
          <w:tab w:val="left" w:pos="540"/>
          <w:tab w:val="left" w:pos="569"/>
        </w:tabs>
        <w:jc w:val="both"/>
        <w:rPr>
          <w:b/>
          <w:bCs/>
          <w:sz w:val="22"/>
          <w:szCs w:val="22"/>
        </w:rPr>
      </w:pPr>
      <w:r w:rsidRPr="00880E7B">
        <w:rPr>
          <w:b/>
          <w:bCs/>
          <w:sz w:val="22"/>
          <w:szCs w:val="22"/>
        </w:rPr>
        <w:t xml:space="preserve">4.4. </w:t>
      </w:r>
      <w:r w:rsidR="00480FB1" w:rsidRPr="00880E7B">
        <w:rPr>
          <w:b/>
          <w:bCs/>
          <w:sz w:val="22"/>
          <w:szCs w:val="22"/>
        </w:rPr>
        <w:tab/>
      </w:r>
      <w:r w:rsidRPr="00880E7B">
        <w:rPr>
          <w:b/>
          <w:bCs/>
          <w:sz w:val="22"/>
          <w:szCs w:val="22"/>
        </w:rPr>
        <w:t>Posebna upozorenja i mjere opreza pri upotrebi lijeka</w:t>
      </w:r>
    </w:p>
    <w:p w:rsidR="000E7205" w:rsidRPr="00880E7B" w:rsidRDefault="000E7205" w:rsidP="00880E7B">
      <w:pPr>
        <w:tabs>
          <w:tab w:val="left" w:pos="540"/>
          <w:tab w:val="left" w:pos="569"/>
        </w:tabs>
        <w:jc w:val="both"/>
        <w:rPr>
          <w:b/>
          <w:bCs/>
          <w:sz w:val="22"/>
          <w:szCs w:val="22"/>
        </w:rPr>
      </w:pPr>
    </w:p>
    <w:p w:rsidR="00780296" w:rsidRPr="00880E7B" w:rsidRDefault="00780296" w:rsidP="00880E7B">
      <w:pPr>
        <w:keepNext/>
        <w:spacing w:line="240" w:lineRule="exact"/>
        <w:jc w:val="both"/>
        <w:rPr>
          <w:sz w:val="22"/>
          <w:szCs w:val="22"/>
          <w:u w:val="single"/>
          <w:lang w:val="it-IT"/>
        </w:rPr>
      </w:pPr>
      <w:r w:rsidRPr="00880E7B">
        <w:rPr>
          <w:sz w:val="22"/>
          <w:szCs w:val="22"/>
          <w:u w:val="single"/>
          <w:lang w:val="it-IT"/>
        </w:rPr>
        <w:t>Funkcija jetre</w:t>
      </w:r>
    </w:p>
    <w:p w:rsidR="00780296" w:rsidRPr="00880E7B" w:rsidRDefault="00780296" w:rsidP="00880E7B">
      <w:pPr>
        <w:keepNext/>
        <w:spacing w:line="240" w:lineRule="exact"/>
        <w:jc w:val="both"/>
        <w:rPr>
          <w:sz w:val="22"/>
          <w:szCs w:val="22"/>
          <w:lang w:val="it-IT"/>
        </w:rPr>
      </w:pPr>
    </w:p>
    <w:p w:rsidR="00780296" w:rsidRPr="00880E7B" w:rsidRDefault="00780296" w:rsidP="00880E7B">
      <w:pPr>
        <w:spacing w:line="240" w:lineRule="exact"/>
        <w:jc w:val="both"/>
        <w:rPr>
          <w:sz w:val="22"/>
          <w:szCs w:val="22"/>
          <w:lang w:val="it-IT"/>
        </w:rPr>
      </w:pPr>
      <w:r w:rsidRPr="00880E7B">
        <w:rPr>
          <w:sz w:val="22"/>
          <w:szCs w:val="22"/>
          <w:lang w:val="it-IT"/>
        </w:rPr>
        <w:t xml:space="preserve">Kod pacijenata </w:t>
      </w:r>
      <w:r w:rsidR="007C046F" w:rsidRPr="00880E7B">
        <w:rPr>
          <w:sz w:val="22"/>
          <w:szCs w:val="22"/>
          <w:lang w:val="it-IT"/>
        </w:rPr>
        <w:t>liječenih</w:t>
      </w:r>
      <w:r w:rsidRPr="00880E7B">
        <w:rPr>
          <w:sz w:val="22"/>
          <w:szCs w:val="22"/>
          <w:lang w:val="it-IT"/>
        </w:rPr>
        <w:t xml:space="preserve"> l</w:t>
      </w:r>
      <w:r w:rsidR="00FE6000" w:rsidRPr="00880E7B">
        <w:rPr>
          <w:sz w:val="22"/>
          <w:szCs w:val="22"/>
          <w:lang w:val="it-IT"/>
        </w:rPr>
        <w:t>ij</w:t>
      </w:r>
      <w:r w:rsidRPr="00880E7B">
        <w:rPr>
          <w:sz w:val="22"/>
          <w:szCs w:val="22"/>
          <w:lang w:val="it-IT"/>
        </w:rPr>
        <w:t>ek</w:t>
      </w:r>
      <w:r w:rsidR="007C046F" w:rsidRPr="00880E7B">
        <w:rPr>
          <w:sz w:val="22"/>
          <w:szCs w:val="22"/>
          <w:lang w:val="it-IT"/>
        </w:rPr>
        <w:t>om</w:t>
      </w:r>
      <w:r w:rsidRPr="00880E7B">
        <w:rPr>
          <w:sz w:val="22"/>
          <w:szCs w:val="22"/>
          <w:lang w:val="it-IT"/>
        </w:rPr>
        <w:t xml:space="preserve"> ESBRIET </w:t>
      </w:r>
      <w:r w:rsidR="007C046F" w:rsidRPr="00880E7B">
        <w:rPr>
          <w:sz w:val="22"/>
          <w:szCs w:val="22"/>
          <w:lang w:val="it-IT"/>
        </w:rPr>
        <w:t xml:space="preserve">često su </w:t>
      </w:r>
      <w:r w:rsidR="000B4654" w:rsidRPr="00880E7B">
        <w:rPr>
          <w:sz w:val="22"/>
          <w:szCs w:val="22"/>
          <w:lang w:val="it-IT"/>
        </w:rPr>
        <w:t xml:space="preserve">bile </w:t>
      </w:r>
      <w:r w:rsidR="007C046F" w:rsidRPr="00880E7B">
        <w:rPr>
          <w:sz w:val="22"/>
          <w:szCs w:val="22"/>
          <w:lang w:val="it-IT"/>
        </w:rPr>
        <w:t>prijavljene povišene koncentracije transamina</w:t>
      </w:r>
      <w:r w:rsidR="00E46A36" w:rsidRPr="00880E7B">
        <w:rPr>
          <w:sz w:val="22"/>
          <w:szCs w:val="22"/>
          <w:lang w:val="it-IT"/>
        </w:rPr>
        <w:t>za.</w:t>
      </w:r>
      <w:r w:rsidR="007C046F" w:rsidRPr="00880E7B">
        <w:rPr>
          <w:sz w:val="22"/>
          <w:szCs w:val="22"/>
          <w:lang w:val="it-IT"/>
        </w:rPr>
        <w:t xml:space="preserve"> </w:t>
      </w:r>
      <w:r w:rsidRPr="00880E7B">
        <w:rPr>
          <w:sz w:val="22"/>
          <w:szCs w:val="22"/>
          <w:lang w:val="it-IT"/>
        </w:rPr>
        <w:t>Pr</w:t>
      </w:r>
      <w:r w:rsidR="00045D87" w:rsidRPr="00880E7B">
        <w:rPr>
          <w:sz w:val="22"/>
          <w:szCs w:val="22"/>
          <w:lang w:val="it-IT"/>
        </w:rPr>
        <w:t>ij</w:t>
      </w:r>
      <w:r w:rsidRPr="00880E7B">
        <w:rPr>
          <w:sz w:val="22"/>
          <w:szCs w:val="22"/>
          <w:lang w:val="it-IT"/>
        </w:rPr>
        <w:t>e započinjanja terapije l</w:t>
      </w:r>
      <w:r w:rsidR="00FE6000" w:rsidRPr="00880E7B">
        <w:rPr>
          <w:sz w:val="22"/>
          <w:szCs w:val="22"/>
          <w:lang w:val="it-IT"/>
        </w:rPr>
        <w:t>ij</w:t>
      </w:r>
      <w:r w:rsidRPr="00880E7B">
        <w:rPr>
          <w:sz w:val="22"/>
          <w:szCs w:val="22"/>
          <w:lang w:val="it-IT"/>
        </w:rPr>
        <w:t>ekom ESBRIET potrebno je uraditi testove funkcije jetre (ALT, AST i bilirubin) i nakon toga svakog m</w:t>
      </w:r>
      <w:r w:rsidR="00FE6000" w:rsidRPr="00880E7B">
        <w:rPr>
          <w:sz w:val="22"/>
          <w:szCs w:val="22"/>
          <w:lang w:val="it-IT"/>
        </w:rPr>
        <w:t>j</w:t>
      </w:r>
      <w:r w:rsidRPr="00880E7B">
        <w:rPr>
          <w:sz w:val="22"/>
          <w:szCs w:val="22"/>
          <w:lang w:val="it-IT"/>
        </w:rPr>
        <w:t>eseca u prvih 6 m</w:t>
      </w:r>
      <w:r w:rsidR="00FE6000" w:rsidRPr="00880E7B">
        <w:rPr>
          <w:sz w:val="22"/>
          <w:szCs w:val="22"/>
          <w:lang w:val="it-IT"/>
        </w:rPr>
        <w:t>j</w:t>
      </w:r>
      <w:r w:rsidRPr="00880E7B">
        <w:rPr>
          <w:sz w:val="22"/>
          <w:szCs w:val="22"/>
          <w:lang w:val="it-IT"/>
        </w:rPr>
        <w:t>eseci, a zatim na svaka 3 m</w:t>
      </w:r>
      <w:r w:rsidR="00FE6000" w:rsidRPr="00880E7B">
        <w:rPr>
          <w:sz w:val="22"/>
          <w:szCs w:val="22"/>
          <w:lang w:val="it-IT"/>
        </w:rPr>
        <w:t>j</w:t>
      </w:r>
      <w:r w:rsidRPr="00880E7B">
        <w:rPr>
          <w:sz w:val="22"/>
          <w:szCs w:val="22"/>
          <w:lang w:val="it-IT"/>
        </w:rPr>
        <w:t>eseca (vid</w:t>
      </w:r>
      <w:r w:rsidR="00FE6000" w:rsidRPr="00880E7B">
        <w:rPr>
          <w:sz w:val="22"/>
          <w:szCs w:val="22"/>
          <w:lang w:val="it-IT"/>
        </w:rPr>
        <w:t>j</w:t>
      </w:r>
      <w:r w:rsidRPr="00880E7B">
        <w:rPr>
          <w:sz w:val="22"/>
          <w:szCs w:val="22"/>
          <w:lang w:val="it-IT"/>
        </w:rPr>
        <w:t xml:space="preserve">eti </w:t>
      </w:r>
      <w:r w:rsidR="000B4654" w:rsidRPr="00880E7B">
        <w:rPr>
          <w:sz w:val="22"/>
          <w:szCs w:val="22"/>
          <w:lang w:val="it-IT"/>
        </w:rPr>
        <w:t xml:space="preserve">dio </w:t>
      </w:r>
      <w:r w:rsidRPr="00880E7B">
        <w:rPr>
          <w:sz w:val="22"/>
          <w:szCs w:val="22"/>
          <w:lang w:val="it-IT"/>
        </w:rPr>
        <w:t xml:space="preserve">4.8). </w:t>
      </w:r>
    </w:p>
    <w:p w:rsidR="00780296" w:rsidRPr="00880E7B" w:rsidRDefault="00780296" w:rsidP="00880E7B">
      <w:pPr>
        <w:spacing w:line="240" w:lineRule="exact"/>
        <w:ind w:left="3402" w:hanging="3402"/>
        <w:jc w:val="both"/>
        <w:rPr>
          <w:sz w:val="22"/>
          <w:szCs w:val="22"/>
          <w:u w:val="single"/>
          <w:lang w:val="it-IT"/>
        </w:rPr>
      </w:pPr>
    </w:p>
    <w:p w:rsidR="00780296" w:rsidRPr="00880E7B" w:rsidRDefault="00780296" w:rsidP="00880E7B">
      <w:pPr>
        <w:spacing w:line="240" w:lineRule="exact"/>
        <w:jc w:val="both"/>
        <w:rPr>
          <w:sz w:val="22"/>
          <w:szCs w:val="22"/>
          <w:lang w:val="es-ES"/>
        </w:rPr>
      </w:pPr>
      <w:r w:rsidRPr="00880E7B">
        <w:rPr>
          <w:sz w:val="22"/>
          <w:szCs w:val="22"/>
          <w:lang w:val="es-ES"/>
        </w:rPr>
        <w:t>Ako se kod pacijenta nakon započinjanja terapije l</w:t>
      </w:r>
      <w:r w:rsidR="00FE6000" w:rsidRPr="00880E7B">
        <w:rPr>
          <w:sz w:val="22"/>
          <w:szCs w:val="22"/>
          <w:lang w:val="es-ES"/>
        </w:rPr>
        <w:t>ij</w:t>
      </w:r>
      <w:r w:rsidRPr="00880E7B">
        <w:rPr>
          <w:sz w:val="22"/>
          <w:szCs w:val="22"/>
          <w:lang w:val="es-ES"/>
        </w:rPr>
        <w:t xml:space="preserve">ekom ESBRIET pojavi porast koncentracije aminotransferaza od &gt;3 do </w:t>
      </w:r>
      <w:r w:rsidR="007C046F" w:rsidRPr="00880E7B">
        <w:rPr>
          <w:sz w:val="22"/>
          <w:szCs w:val="22"/>
          <w:lang w:val="it-IT"/>
        </w:rPr>
        <w:t>&lt;</w:t>
      </w:r>
      <w:r w:rsidRPr="00880E7B">
        <w:rPr>
          <w:sz w:val="22"/>
          <w:szCs w:val="22"/>
          <w:lang w:val="es-ES"/>
        </w:rPr>
        <w:t>5 x GGN</w:t>
      </w:r>
      <w:r w:rsidR="007C046F" w:rsidRPr="00880E7B">
        <w:rPr>
          <w:sz w:val="22"/>
          <w:szCs w:val="22"/>
          <w:lang w:val="es-ES"/>
        </w:rPr>
        <w:t xml:space="preserve"> bez porasta koncentracije bilirubina i bez znakova i simptoma oštećenja jetre izazvanog lijekom, treba isključiti druge uzroke i pažljivo pratiti pacijenta.</w:t>
      </w:r>
      <w:r w:rsidR="00E46A36" w:rsidRPr="00880E7B">
        <w:rPr>
          <w:sz w:val="22"/>
          <w:szCs w:val="22"/>
          <w:lang w:val="es-ES"/>
        </w:rPr>
        <w:t xml:space="preserve"> </w:t>
      </w:r>
      <w:r w:rsidR="007C046F" w:rsidRPr="00880E7B">
        <w:rPr>
          <w:sz w:val="22"/>
          <w:szCs w:val="22"/>
          <w:lang w:val="es-ES"/>
        </w:rPr>
        <w:t>Treba razmotriti prekid primjene drugih ljekova povezanih sa toksičnim d</w:t>
      </w:r>
      <w:r w:rsidR="000B4654" w:rsidRPr="00880E7B">
        <w:rPr>
          <w:sz w:val="22"/>
          <w:szCs w:val="22"/>
          <w:lang w:val="es-ES"/>
        </w:rPr>
        <w:t>j</w:t>
      </w:r>
      <w:r w:rsidR="007C046F" w:rsidRPr="00880E7B">
        <w:rPr>
          <w:sz w:val="22"/>
          <w:szCs w:val="22"/>
          <w:lang w:val="es-ES"/>
        </w:rPr>
        <w:t xml:space="preserve">elovanjem na jetru. </w:t>
      </w:r>
      <w:r w:rsidRPr="00880E7B">
        <w:rPr>
          <w:sz w:val="22"/>
          <w:szCs w:val="22"/>
          <w:lang w:val="es-ES"/>
        </w:rPr>
        <w:t>Ako je to klinički opravdano, dozu l</w:t>
      </w:r>
      <w:r w:rsidR="00FE6000" w:rsidRPr="00880E7B">
        <w:rPr>
          <w:sz w:val="22"/>
          <w:szCs w:val="22"/>
          <w:lang w:val="es-ES"/>
        </w:rPr>
        <w:t>ij</w:t>
      </w:r>
      <w:r w:rsidRPr="00880E7B">
        <w:rPr>
          <w:sz w:val="22"/>
          <w:szCs w:val="22"/>
          <w:lang w:val="es-ES"/>
        </w:rPr>
        <w:t>eka ESBRIET treba smanjiti ili prekinuti terapiju. Kada rezultati testova funkcije jetre budu opet u normalnim granicama, l</w:t>
      </w:r>
      <w:r w:rsidR="00FE6000" w:rsidRPr="00880E7B">
        <w:rPr>
          <w:sz w:val="22"/>
          <w:szCs w:val="22"/>
          <w:lang w:val="es-ES"/>
        </w:rPr>
        <w:t>ij</w:t>
      </w:r>
      <w:r w:rsidRPr="00880E7B">
        <w:rPr>
          <w:sz w:val="22"/>
          <w:szCs w:val="22"/>
          <w:lang w:val="es-ES"/>
        </w:rPr>
        <w:t>ek ESBRIET se može ponovno uvesti u terapiju, uz postupno povećavanje doze do preporučene dnevne doze, ako je pacijent podnosi.</w:t>
      </w:r>
    </w:p>
    <w:p w:rsidR="00780296" w:rsidRPr="00880E7B" w:rsidRDefault="00780296" w:rsidP="00880E7B">
      <w:pPr>
        <w:spacing w:line="240" w:lineRule="exact"/>
        <w:jc w:val="both"/>
        <w:rPr>
          <w:sz w:val="22"/>
          <w:szCs w:val="22"/>
          <w:lang w:val="es-ES"/>
        </w:rPr>
      </w:pPr>
    </w:p>
    <w:p w:rsidR="007C046F" w:rsidRPr="00880E7B" w:rsidRDefault="007C046F" w:rsidP="00880E7B">
      <w:pPr>
        <w:spacing w:line="240" w:lineRule="exact"/>
        <w:jc w:val="both"/>
        <w:rPr>
          <w:sz w:val="22"/>
          <w:szCs w:val="22"/>
          <w:u w:val="single"/>
          <w:lang w:val="es-ES"/>
        </w:rPr>
      </w:pPr>
      <w:r w:rsidRPr="00880E7B">
        <w:rPr>
          <w:sz w:val="22"/>
          <w:szCs w:val="22"/>
          <w:u w:val="single"/>
          <w:lang w:val="es-ES"/>
        </w:rPr>
        <w:t>Oštećenje jetre izazvano lijekom</w:t>
      </w:r>
    </w:p>
    <w:p w:rsidR="007C046F" w:rsidRPr="00880E7B" w:rsidRDefault="007C046F" w:rsidP="00880E7B">
      <w:pPr>
        <w:spacing w:line="240" w:lineRule="exact"/>
        <w:jc w:val="both"/>
        <w:rPr>
          <w:sz w:val="22"/>
          <w:szCs w:val="22"/>
          <w:lang w:val="es-ES"/>
        </w:rPr>
      </w:pPr>
    </w:p>
    <w:p w:rsidR="007C046F" w:rsidRPr="00880E7B" w:rsidRDefault="007C046F" w:rsidP="00880E7B">
      <w:pPr>
        <w:spacing w:line="240" w:lineRule="exact"/>
        <w:jc w:val="both"/>
        <w:rPr>
          <w:sz w:val="22"/>
          <w:szCs w:val="22"/>
          <w:lang w:val="es-ES"/>
        </w:rPr>
      </w:pPr>
      <w:r w:rsidRPr="00880E7B">
        <w:rPr>
          <w:sz w:val="22"/>
          <w:szCs w:val="22"/>
          <w:lang w:val="es-ES"/>
        </w:rPr>
        <w:t>Rijetko su pov</w:t>
      </w:r>
      <w:r w:rsidR="0078188B" w:rsidRPr="00880E7B">
        <w:rPr>
          <w:sz w:val="22"/>
          <w:szCs w:val="22"/>
          <w:lang w:val="es-ES"/>
        </w:rPr>
        <w:t>ećanja</w:t>
      </w:r>
      <w:r w:rsidRPr="00880E7B">
        <w:rPr>
          <w:sz w:val="22"/>
          <w:szCs w:val="22"/>
          <w:lang w:val="es-ES"/>
        </w:rPr>
        <w:t xml:space="preserve"> koncentracij</w:t>
      </w:r>
      <w:r w:rsidR="0078188B" w:rsidRPr="00880E7B">
        <w:rPr>
          <w:sz w:val="22"/>
          <w:szCs w:val="22"/>
          <w:lang w:val="es-ES"/>
        </w:rPr>
        <w:t>a</w:t>
      </w:r>
      <w:r w:rsidRPr="00880E7B">
        <w:rPr>
          <w:sz w:val="22"/>
          <w:szCs w:val="22"/>
          <w:lang w:val="es-ES"/>
        </w:rPr>
        <w:t xml:space="preserve"> AST-a i ALT-a bila povezana sa istovremenim porastom koncentracije bilirubina. Nakon stavljanja lijeka u promet prijavljeni su slučajevi teškog oštećenja jetre izazvanog lijekom, uključujući izolovane slučajeve sa smrtnim ishodom (vidjeti </w:t>
      </w:r>
      <w:r w:rsidR="0078188B" w:rsidRPr="00880E7B">
        <w:rPr>
          <w:sz w:val="22"/>
          <w:szCs w:val="22"/>
          <w:lang w:val="es-ES"/>
        </w:rPr>
        <w:t xml:space="preserve">dio </w:t>
      </w:r>
      <w:r w:rsidRPr="00880E7B">
        <w:rPr>
          <w:sz w:val="22"/>
          <w:szCs w:val="22"/>
          <w:lang w:val="es-ES"/>
        </w:rPr>
        <w:t>4.8).</w:t>
      </w:r>
    </w:p>
    <w:p w:rsidR="007C046F" w:rsidRPr="00880E7B" w:rsidRDefault="007C046F" w:rsidP="00880E7B">
      <w:pPr>
        <w:spacing w:line="240" w:lineRule="exact"/>
        <w:jc w:val="both"/>
        <w:rPr>
          <w:sz w:val="22"/>
          <w:szCs w:val="22"/>
          <w:lang w:val="es-ES"/>
        </w:rPr>
      </w:pPr>
    </w:p>
    <w:p w:rsidR="007C046F" w:rsidRPr="00880E7B" w:rsidRDefault="007C046F" w:rsidP="00880E7B">
      <w:pPr>
        <w:spacing w:line="240" w:lineRule="exact"/>
        <w:jc w:val="both"/>
        <w:rPr>
          <w:sz w:val="22"/>
          <w:szCs w:val="22"/>
          <w:lang w:val="es-ES"/>
        </w:rPr>
      </w:pPr>
      <w:r w:rsidRPr="00880E7B">
        <w:rPr>
          <w:sz w:val="22"/>
          <w:szCs w:val="22"/>
          <w:lang w:val="es-ES"/>
        </w:rPr>
        <w:t>Uz preporučeno redovno praćenje testova funkcije jetre, dodatno je potrebno odmah sprovesti kliničku procjenu i testove funkcije jetre kod pacijenata koji prijave simptome koji mogu ukazivati na oštećenje jetre, uključujući umor, anoreksiju, nelagodu u gornjem desnom d</w:t>
      </w:r>
      <w:r w:rsidR="00045D87" w:rsidRPr="00880E7B">
        <w:rPr>
          <w:sz w:val="22"/>
          <w:szCs w:val="22"/>
          <w:lang w:val="es-ES"/>
        </w:rPr>
        <w:t>ij</w:t>
      </w:r>
      <w:r w:rsidRPr="00880E7B">
        <w:rPr>
          <w:sz w:val="22"/>
          <w:szCs w:val="22"/>
          <w:lang w:val="es-ES"/>
        </w:rPr>
        <w:t>elu abdomena, tamnu mokraću ili žuticu.</w:t>
      </w:r>
    </w:p>
    <w:p w:rsidR="007C046F" w:rsidRPr="00880E7B" w:rsidRDefault="007C046F" w:rsidP="00880E7B">
      <w:pPr>
        <w:spacing w:line="240" w:lineRule="exact"/>
        <w:jc w:val="both"/>
        <w:rPr>
          <w:sz w:val="22"/>
          <w:szCs w:val="22"/>
          <w:lang w:val="es-ES"/>
        </w:rPr>
      </w:pPr>
    </w:p>
    <w:p w:rsidR="00780296" w:rsidRPr="00880E7B" w:rsidRDefault="00780296" w:rsidP="00880E7B">
      <w:pPr>
        <w:spacing w:line="240" w:lineRule="exact"/>
        <w:jc w:val="both"/>
        <w:rPr>
          <w:sz w:val="22"/>
          <w:szCs w:val="22"/>
          <w:lang w:val="es-ES"/>
        </w:rPr>
      </w:pPr>
      <w:r w:rsidRPr="00880E7B">
        <w:rPr>
          <w:sz w:val="22"/>
          <w:szCs w:val="22"/>
          <w:lang w:val="es-ES"/>
        </w:rPr>
        <w:t xml:space="preserve">Ako se kod pacijenta javi porast koncentracije aminotransferaza </w:t>
      </w:r>
      <w:r w:rsidR="007C046F" w:rsidRPr="00880E7B">
        <w:rPr>
          <w:sz w:val="22"/>
          <w:szCs w:val="22"/>
          <w:lang w:val="es-ES"/>
        </w:rPr>
        <w:t xml:space="preserve">&gt; 3 do &lt; </w:t>
      </w:r>
      <w:r w:rsidRPr="00880E7B">
        <w:rPr>
          <w:sz w:val="22"/>
          <w:szCs w:val="22"/>
          <w:lang w:val="es-ES"/>
        </w:rPr>
        <w:t xml:space="preserve">5 x GGN zajedno sa pojavom </w:t>
      </w:r>
      <w:r w:rsidR="007C046F" w:rsidRPr="00880E7B">
        <w:rPr>
          <w:sz w:val="22"/>
          <w:szCs w:val="22"/>
          <w:lang w:val="es-ES"/>
        </w:rPr>
        <w:t>hiperbilirubinemije ili kliničkim znakovima ili simptomima koji upućuju na oštećenje jetre</w:t>
      </w:r>
      <w:r w:rsidRPr="00880E7B">
        <w:rPr>
          <w:sz w:val="22"/>
          <w:szCs w:val="22"/>
          <w:lang w:val="es-ES"/>
        </w:rPr>
        <w:t xml:space="preserve"> uzimanje l</w:t>
      </w:r>
      <w:r w:rsidR="00FE6000" w:rsidRPr="00880E7B">
        <w:rPr>
          <w:sz w:val="22"/>
          <w:szCs w:val="22"/>
          <w:lang w:val="es-ES"/>
        </w:rPr>
        <w:t>ij</w:t>
      </w:r>
      <w:r w:rsidRPr="00880E7B">
        <w:rPr>
          <w:sz w:val="22"/>
          <w:szCs w:val="22"/>
          <w:lang w:val="es-ES"/>
        </w:rPr>
        <w:t xml:space="preserve">eka ESBRIET treba </w:t>
      </w:r>
      <w:r w:rsidR="007C046F" w:rsidRPr="00880E7B">
        <w:rPr>
          <w:sz w:val="22"/>
          <w:szCs w:val="22"/>
          <w:lang w:val="es-ES"/>
        </w:rPr>
        <w:t xml:space="preserve">trajno </w:t>
      </w:r>
      <w:r w:rsidRPr="00880E7B">
        <w:rPr>
          <w:sz w:val="22"/>
          <w:szCs w:val="22"/>
          <w:lang w:val="es-ES"/>
        </w:rPr>
        <w:t>prekinuti i ne treba ga ponovno uvoditi.</w:t>
      </w:r>
    </w:p>
    <w:p w:rsidR="00780296" w:rsidRPr="00880E7B" w:rsidRDefault="00780296" w:rsidP="00880E7B">
      <w:pPr>
        <w:spacing w:line="240" w:lineRule="exact"/>
        <w:jc w:val="both"/>
        <w:rPr>
          <w:sz w:val="22"/>
          <w:szCs w:val="22"/>
          <w:lang w:val="es-ES"/>
        </w:rPr>
      </w:pPr>
    </w:p>
    <w:p w:rsidR="00780296" w:rsidRPr="00880E7B" w:rsidRDefault="00780296" w:rsidP="00880E7B">
      <w:pPr>
        <w:spacing w:line="240" w:lineRule="exact"/>
        <w:jc w:val="both"/>
        <w:rPr>
          <w:sz w:val="22"/>
          <w:szCs w:val="22"/>
          <w:lang w:val="es-ES"/>
        </w:rPr>
      </w:pPr>
      <w:r w:rsidRPr="00880E7B">
        <w:rPr>
          <w:sz w:val="22"/>
          <w:szCs w:val="22"/>
          <w:lang w:val="es-ES"/>
        </w:rPr>
        <w:t xml:space="preserve">Ako se kod pacijenta javi porast koncentracije aminotransferaza </w:t>
      </w:r>
      <w:r w:rsidR="007C046F" w:rsidRPr="00880E7B">
        <w:rPr>
          <w:sz w:val="22"/>
          <w:szCs w:val="22"/>
          <w:lang w:val="es-ES"/>
        </w:rPr>
        <w:t>≥</w:t>
      </w:r>
      <w:r w:rsidRPr="00880E7B">
        <w:rPr>
          <w:sz w:val="22"/>
          <w:szCs w:val="22"/>
          <w:lang w:val="es-ES"/>
        </w:rPr>
        <w:t>5 x GGN uzimanje l</w:t>
      </w:r>
      <w:r w:rsidR="00FE6000" w:rsidRPr="00880E7B">
        <w:rPr>
          <w:sz w:val="22"/>
          <w:szCs w:val="22"/>
          <w:lang w:val="es-ES"/>
        </w:rPr>
        <w:t>ij</w:t>
      </w:r>
      <w:r w:rsidRPr="00880E7B">
        <w:rPr>
          <w:sz w:val="22"/>
          <w:szCs w:val="22"/>
          <w:lang w:val="es-ES"/>
        </w:rPr>
        <w:t xml:space="preserve">eka ESBRIET treba </w:t>
      </w:r>
      <w:r w:rsidR="007C046F" w:rsidRPr="00880E7B">
        <w:rPr>
          <w:sz w:val="22"/>
          <w:szCs w:val="22"/>
          <w:lang w:val="es-ES"/>
        </w:rPr>
        <w:t xml:space="preserve">trajno </w:t>
      </w:r>
      <w:r w:rsidRPr="00880E7B">
        <w:rPr>
          <w:sz w:val="22"/>
          <w:szCs w:val="22"/>
          <w:lang w:val="es-ES"/>
        </w:rPr>
        <w:t>prekinuti i ne treba ga ponovno uvoditi.</w:t>
      </w:r>
    </w:p>
    <w:p w:rsidR="00780296" w:rsidRPr="00880E7B" w:rsidRDefault="00780296" w:rsidP="00880E7B">
      <w:pPr>
        <w:spacing w:line="240" w:lineRule="exact"/>
        <w:ind w:left="3402" w:hanging="3402"/>
        <w:jc w:val="both"/>
        <w:rPr>
          <w:i/>
          <w:sz w:val="22"/>
          <w:szCs w:val="22"/>
          <w:u w:val="single"/>
          <w:lang w:val="es-ES"/>
        </w:rPr>
      </w:pPr>
    </w:p>
    <w:p w:rsidR="00780296" w:rsidRDefault="00780296" w:rsidP="00880E7B">
      <w:pPr>
        <w:spacing w:line="240" w:lineRule="exact"/>
        <w:jc w:val="both"/>
        <w:rPr>
          <w:i/>
          <w:sz w:val="22"/>
          <w:szCs w:val="22"/>
          <w:u w:val="single"/>
          <w:lang w:val="es-ES"/>
        </w:rPr>
      </w:pPr>
      <w:r w:rsidRPr="00880E7B">
        <w:rPr>
          <w:i/>
          <w:sz w:val="22"/>
          <w:szCs w:val="22"/>
          <w:u w:val="single"/>
          <w:lang w:val="es-ES"/>
        </w:rPr>
        <w:t>Oštećenje funkcije jetre</w:t>
      </w:r>
    </w:p>
    <w:p w:rsidR="00D93357" w:rsidRPr="00880E7B" w:rsidRDefault="00D93357" w:rsidP="00880E7B">
      <w:pPr>
        <w:spacing w:line="240" w:lineRule="exact"/>
        <w:jc w:val="both"/>
        <w:rPr>
          <w:i/>
          <w:sz w:val="22"/>
          <w:szCs w:val="22"/>
          <w:u w:val="single"/>
          <w:lang w:val="es-ES"/>
        </w:rPr>
      </w:pPr>
    </w:p>
    <w:p w:rsidR="00780296" w:rsidRPr="00880E7B" w:rsidRDefault="00780296" w:rsidP="00880E7B">
      <w:pPr>
        <w:spacing w:line="240" w:lineRule="exact"/>
        <w:jc w:val="both"/>
        <w:rPr>
          <w:sz w:val="22"/>
          <w:szCs w:val="22"/>
          <w:lang w:val="es-ES"/>
        </w:rPr>
      </w:pPr>
      <w:r w:rsidRPr="00880E7B">
        <w:rPr>
          <w:sz w:val="22"/>
          <w:szCs w:val="22"/>
          <w:lang w:val="es-ES"/>
        </w:rPr>
        <w:t>Kod pacijenata sa um</w:t>
      </w:r>
      <w:r w:rsidR="00FE6000" w:rsidRPr="00880E7B">
        <w:rPr>
          <w:sz w:val="22"/>
          <w:szCs w:val="22"/>
          <w:lang w:val="es-ES"/>
        </w:rPr>
        <w:t>j</w:t>
      </w:r>
      <w:r w:rsidRPr="00880E7B">
        <w:rPr>
          <w:sz w:val="22"/>
          <w:szCs w:val="22"/>
          <w:lang w:val="es-ES"/>
        </w:rPr>
        <w:t xml:space="preserve">erenim oštećenjem funkcije jetre (tj. stadijum B prema </w:t>
      </w:r>
      <w:r w:rsidRPr="00880E7B">
        <w:rPr>
          <w:i/>
          <w:sz w:val="22"/>
          <w:szCs w:val="22"/>
          <w:lang w:val="es-ES"/>
        </w:rPr>
        <w:t>Child-Pugh</w:t>
      </w:r>
      <w:r w:rsidRPr="00880E7B">
        <w:rPr>
          <w:sz w:val="22"/>
          <w:szCs w:val="22"/>
          <w:lang w:val="es-ES"/>
        </w:rPr>
        <w:t xml:space="preserve"> klasifikaciji), izloženost l</w:t>
      </w:r>
      <w:r w:rsidR="00FE6000" w:rsidRPr="00880E7B">
        <w:rPr>
          <w:sz w:val="22"/>
          <w:szCs w:val="22"/>
          <w:lang w:val="es-ES"/>
        </w:rPr>
        <w:t>ij</w:t>
      </w:r>
      <w:r w:rsidRPr="00880E7B">
        <w:rPr>
          <w:sz w:val="22"/>
          <w:szCs w:val="22"/>
          <w:lang w:val="es-ES"/>
        </w:rPr>
        <w:t>eku ESBRIET bila je povećana za 60%. L</w:t>
      </w:r>
      <w:r w:rsidR="00FE6000" w:rsidRPr="00880E7B">
        <w:rPr>
          <w:sz w:val="22"/>
          <w:szCs w:val="22"/>
          <w:lang w:val="es-ES"/>
        </w:rPr>
        <w:t>ij</w:t>
      </w:r>
      <w:r w:rsidRPr="00880E7B">
        <w:rPr>
          <w:sz w:val="22"/>
          <w:szCs w:val="22"/>
          <w:lang w:val="es-ES"/>
        </w:rPr>
        <w:t>ek ESBRIET treba prim</w:t>
      </w:r>
      <w:r w:rsidR="00EE5C05" w:rsidRPr="00880E7B">
        <w:rPr>
          <w:sz w:val="22"/>
          <w:szCs w:val="22"/>
          <w:lang w:val="es-ES"/>
        </w:rPr>
        <w:t>i</w:t>
      </w:r>
      <w:r w:rsidR="00FD599D" w:rsidRPr="00880E7B">
        <w:rPr>
          <w:sz w:val="22"/>
          <w:szCs w:val="22"/>
          <w:lang w:val="es-ES"/>
        </w:rPr>
        <w:t>j</w:t>
      </w:r>
      <w:r w:rsidRPr="00880E7B">
        <w:rPr>
          <w:sz w:val="22"/>
          <w:szCs w:val="22"/>
          <w:lang w:val="es-ES"/>
        </w:rPr>
        <w:t>enjivati uz oprez kod pacijenata sa već postojećim blagim do um</w:t>
      </w:r>
      <w:r w:rsidR="00045D87" w:rsidRPr="00880E7B">
        <w:rPr>
          <w:sz w:val="22"/>
          <w:szCs w:val="22"/>
          <w:lang w:val="es-ES"/>
        </w:rPr>
        <w:t>j</w:t>
      </w:r>
      <w:r w:rsidRPr="00880E7B">
        <w:rPr>
          <w:sz w:val="22"/>
          <w:szCs w:val="22"/>
          <w:lang w:val="es-ES"/>
        </w:rPr>
        <w:t xml:space="preserve">erenim oštećenjem funkcije jetre (tj. stadijuma A i B prema </w:t>
      </w:r>
      <w:r w:rsidRPr="00880E7B">
        <w:rPr>
          <w:i/>
          <w:sz w:val="22"/>
          <w:szCs w:val="22"/>
          <w:lang w:val="es-ES"/>
        </w:rPr>
        <w:t>Child-Pugh</w:t>
      </w:r>
      <w:r w:rsidRPr="00880E7B">
        <w:rPr>
          <w:sz w:val="22"/>
          <w:szCs w:val="22"/>
          <w:lang w:val="es-ES"/>
        </w:rPr>
        <w:t xml:space="preserve"> klasifikaciji), imajući u vidu mogućnost povećane izloženosti pirfenidonu. Kod pacijenata treba pažljivo pratiti pojavu simptoma toksičnosti, naročito ako istovremeno uzimaju poznati inhibitor CYP1A2 (vid</w:t>
      </w:r>
      <w:r w:rsidR="00FE6000" w:rsidRPr="00880E7B">
        <w:rPr>
          <w:sz w:val="22"/>
          <w:szCs w:val="22"/>
          <w:lang w:val="es-ES"/>
        </w:rPr>
        <w:t>j</w:t>
      </w:r>
      <w:r w:rsidRPr="00880E7B">
        <w:rPr>
          <w:sz w:val="22"/>
          <w:szCs w:val="22"/>
          <w:lang w:val="es-ES"/>
        </w:rPr>
        <w:t xml:space="preserve">eti </w:t>
      </w:r>
      <w:r w:rsidR="00EE5C05" w:rsidRPr="00880E7B">
        <w:rPr>
          <w:sz w:val="22"/>
          <w:szCs w:val="22"/>
          <w:lang w:val="es-ES"/>
        </w:rPr>
        <w:t xml:space="preserve">djelove </w:t>
      </w:r>
      <w:r w:rsidRPr="00880E7B">
        <w:rPr>
          <w:sz w:val="22"/>
          <w:szCs w:val="22"/>
          <w:lang w:val="es-ES"/>
        </w:rPr>
        <w:t>4.5 i 5.2). Prim</w:t>
      </w:r>
      <w:r w:rsidR="00FE6000" w:rsidRPr="00880E7B">
        <w:rPr>
          <w:sz w:val="22"/>
          <w:szCs w:val="22"/>
          <w:lang w:val="es-ES"/>
        </w:rPr>
        <w:t>j</w:t>
      </w:r>
      <w:r w:rsidRPr="00880E7B">
        <w:rPr>
          <w:sz w:val="22"/>
          <w:szCs w:val="22"/>
          <w:lang w:val="es-ES"/>
        </w:rPr>
        <w:t>ena l</w:t>
      </w:r>
      <w:r w:rsidR="00FE6000" w:rsidRPr="00880E7B">
        <w:rPr>
          <w:sz w:val="22"/>
          <w:szCs w:val="22"/>
          <w:lang w:val="es-ES"/>
        </w:rPr>
        <w:t>ij</w:t>
      </w:r>
      <w:r w:rsidRPr="00880E7B">
        <w:rPr>
          <w:sz w:val="22"/>
          <w:szCs w:val="22"/>
          <w:lang w:val="es-ES"/>
        </w:rPr>
        <w:t>eka ESBRIET nije ispitana kod osoba sa teškim oštećenjem funkcije jetre, zato se l</w:t>
      </w:r>
      <w:r w:rsidR="00FE6000" w:rsidRPr="00880E7B">
        <w:rPr>
          <w:sz w:val="22"/>
          <w:szCs w:val="22"/>
          <w:lang w:val="es-ES"/>
        </w:rPr>
        <w:t>ij</w:t>
      </w:r>
      <w:r w:rsidRPr="00880E7B">
        <w:rPr>
          <w:sz w:val="22"/>
          <w:szCs w:val="22"/>
          <w:lang w:val="es-ES"/>
        </w:rPr>
        <w:t>ek ESBRIET ne sm</w:t>
      </w:r>
      <w:r w:rsidR="00FE6000" w:rsidRPr="00880E7B">
        <w:rPr>
          <w:sz w:val="22"/>
          <w:szCs w:val="22"/>
          <w:lang w:val="es-ES"/>
        </w:rPr>
        <w:t>ij</w:t>
      </w:r>
      <w:r w:rsidRPr="00880E7B">
        <w:rPr>
          <w:sz w:val="22"/>
          <w:szCs w:val="22"/>
          <w:lang w:val="es-ES"/>
        </w:rPr>
        <w:t>e koristiti kod</w:t>
      </w:r>
      <w:r w:rsidR="00EE5C05" w:rsidRPr="00880E7B">
        <w:rPr>
          <w:sz w:val="22"/>
          <w:szCs w:val="22"/>
          <w:lang w:val="es-ES"/>
        </w:rPr>
        <w:t xml:space="preserve"> tih</w:t>
      </w:r>
      <w:r w:rsidRPr="00880E7B">
        <w:rPr>
          <w:sz w:val="22"/>
          <w:szCs w:val="22"/>
          <w:lang w:val="es-ES"/>
        </w:rPr>
        <w:t xml:space="preserve"> pacijenata (vid</w:t>
      </w:r>
      <w:r w:rsidR="00FE6000" w:rsidRPr="00880E7B">
        <w:rPr>
          <w:sz w:val="22"/>
          <w:szCs w:val="22"/>
          <w:lang w:val="es-ES"/>
        </w:rPr>
        <w:t>j</w:t>
      </w:r>
      <w:r w:rsidRPr="00880E7B">
        <w:rPr>
          <w:sz w:val="22"/>
          <w:szCs w:val="22"/>
          <w:lang w:val="es-ES"/>
        </w:rPr>
        <w:t xml:space="preserve">eti </w:t>
      </w:r>
      <w:r w:rsidR="00EE5C05" w:rsidRPr="00880E7B">
        <w:rPr>
          <w:sz w:val="22"/>
          <w:szCs w:val="22"/>
          <w:lang w:val="es-ES"/>
        </w:rPr>
        <w:t xml:space="preserve">dio </w:t>
      </w:r>
      <w:r w:rsidRPr="00880E7B">
        <w:rPr>
          <w:sz w:val="22"/>
          <w:szCs w:val="22"/>
          <w:lang w:val="es-ES"/>
        </w:rPr>
        <w:t>4.3).</w:t>
      </w:r>
    </w:p>
    <w:p w:rsidR="00780296" w:rsidRPr="00880E7B" w:rsidRDefault="00780296" w:rsidP="00880E7B">
      <w:pPr>
        <w:spacing w:line="240" w:lineRule="exact"/>
        <w:jc w:val="both"/>
        <w:rPr>
          <w:sz w:val="22"/>
          <w:szCs w:val="22"/>
          <w:lang w:val="es-ES"/>
        </w:rPr>
      </w:pPr>
    </w:p>
    <w:p w:rsidR="00780296" w:rsidRPr="00880E7B" w:rsidRDefault="00780296" w:rsidP="00880E7B">
      <w:pPr>
        <w:spacing w:line="240" w:lineRule="exact"/>
        <w:jc w:val="both"/>
        <w:rPr>
          <w:sz w:val="22"/>
          <w:szCs w:val="22"/>
          <w:u w:val="single"/>
          <w:lang w:val="es-ES"/>
        </w:rPr>
      </w:pPr>
      <w:r w:rsidRPr="00880E7B">
        <w:rPr>
          <w:sz w:val="22"/>
          <w:szCs w:val="22"/>
          <w:u w:val="single"/>
          <w:lang w:val="es-ES"/>
        </w:rPr>
        <w:t>Fotosenzitivna reakcija i osip</w:t>
      </w:r>
    </w:p>
    <w:p w:rsidR="00780296" w:rsidRPr="00880E7B" w:rsidRDefault="00780296" w:rsidP="00880E7B">
      <w:pPr>
        <w:spacing w:line="240" w:lineRule="exact"/>
        <w:jc w:val="both"/>
        <w:rPr>
          <w:i/>
          <w:sz w:val="22"/>
          <w:szCs w:val="22"/>
          <w:lang w:val="es-ES"/>
        </w:rPr>
      </w:pPr>
    </w:p>
    <w:p w:rsidR="00780296" w:rsidRPr="00880E7B" w:rsidRDefault="00780296" w:rsidP="00880E7B">
      <w:pPr>
        <w:spacing w:line="240" w:lineRule="exact"/>
        <w:jc w:val="both"/>
        <w:rPr>
          <w:sz w:val="22"/>
          <w:szCs w:val="22"/>
          <w:lang w:val="es-ES"/>
        </w:rPr>
      </w:pPr>
      <w:r w:rsidRPr="00880E7B">
        <w:rPr>
          <w:sz w:val="22"/>
          <w:szCs w:val="22"/>
          <w:lang w:val="es-ES"/>
        </w:rPr>
        <w:t>Izlaganje direktnoj sunčevoj sv</w:t>
      </w:r>
      <w:r w:rsidR="00FD599D" w:rsidRPr="00880E7B">
        <w:rPr>
          <w:sz w:val="22"/>
          <w:szCs w:val="22"/>
          <w:lang w:val="es-ES"/>
        </w:rPr>
        <w:t>j</w:t>
      </w:r>
      <w:r w:rsidRPr="00880E7B">
        <w:rPr>
          <w:sz w:val="22"/>
          <w:szCs w:val="22"/>
          <w:lang w:val="es-ES"/>
        </w:rPr>
        <w:t>etlosti (uključujući lampe za sunčanje) treba izb</w:t>
      </w:r>
      <w:r w:rsidR="00FD599D" w:rsidRPr="00880E7B">
        <w:rPr>
          <w:sz w:val="22"/>
          <w:szCs w:val="22"/>
          <w:lang w:val="es-ES"/>
        </w:rPr>
        <w:t>j</w:t>
      </w:r>
      <w:r w:rsidRPr="00880E7B">
        <w:rPr>
          <w:sz w:val="22"/>
          <w:szCs w:val="22"/>
          <w:lang w:val="es-ES"/>
        </w:rPr>
        <w:t>egavati ili svesti na minimum tokom terapije l</w:t>
      </w:r>
      <w:r w:rsidR="00FE6000" w:rsidRPr="00880E7B">
        <w:rPr>
          <w:sz w:val="22"/>
          <w:szCs w:val="22"/>
          <w:lang w:val="es-ES"/>
        </w:rPr>
        <w:t>ij</w:t>
      </w:r>
      <w:r w:rsidRPr="00880E7B">
        <w:rPr>
          <w:sz w:val="22"/>
          <w:szCs w:val="22"/>
          <w:lang w:val="es-ES"/>
        </w:rPr>
        <w:t>ekom ESBRIET. Pacijentima treba naložiti da svakodnevno koriste sredstva sa zaštitnim faktorom, da nose od</w:t>
      </w:r>
      <w:r w:rsidR="00FD599D" w:rsidRPr="00880E7B">
        <w:rPr>
          <w:sz w:val="22"/>
          <w:szCs w:val="22"/>
          <w:lang w:val="es-ES"/>
        </w:rPr>
        <w:t>j</w:t>
      </w:r>
      <w:r w:rsidRPr="00880E7B">
        <w:rPr>
          <w:sz w:val="22"/>
          <w:szCs w:val="22"/>
          <w:lang w:val="es-ES"/>
        </w:rPr>
        <w:t>eću koja ih štiti od izloženosti suncu i da izb</w:t>
      </w:r>
      <w:r w:rsidR="00FD599D" w:rsidRPr="00880E7B">
        <w:rPr>
          <w:sz w:val="22"/>
          <w:szCs w:val="22"/>
          <w:lang w:val="es-ES"/>
        </w:rPr>
        <w:t>j</w:t>
      </w:r>
      <w:r w:rsidRPr="00880E7B">
        <w:rPr>
          <w:sz w:val="22"/>
          <w:szCs w:val="22"/>
          <w:lang w:val="es-ES"/>
        </w:rPr>
        <w:t>egavaju druge l</w:t>
      </w:r>
      <w:r w:rsidR="00FE6000" w:rsidRPr="00880E7B">
        <w:rPr>
          <w:sz w:val="22"/>
          <w:szCs w:val="22"/>
          <w:lang w:val="es-ES"/>
        </w:rPr>
        <w:t>j</w:t>
      </w:r>
      <w:r w:rsidRPr="00880E7B">
        <w:rPr>
          <w:sz w:val="22"/>
          <w:szCs w:val="22"/>
          <w:lang w:val="es-ES"/>
        </w:rPr>
        <w:t>ekove za koje se zna da izazivaju fotosenzitivnost. Pacijentima treba naložiti da svom l</w:t>
      </w:r>
      <w:r w:rsidR="00FE6000" w:rsidRPr="00880E7B">
        <w:rPr>
          <w:sz w:val="22"/>
          <w:szCs w:val="22"/>
          <w:lang w:val="es-ES"/>
        </w:rPr>
        <w:t>j</w:t>
      </w:r>
      <w:r w:rsidRPr="00880E7B">
        <w:rPr>
          <w:sz w:val="22"/>
          <w:szCs w:val="22"/>
          <w:lang w:val="es-ES"/>
        </w:rPr>
        <w:t xml:space="preserve">ekaru prijave svaku pojavu simptoma fotosenzitivne reakcije ili osipa. Ozbiljne fotosenzitivne reakcije </w:t>
      </w:r>
      <w:r w:rsidR="00BD0820" w:rsidRPr="00880E7B">
        <w:rPr>
          <w:sz w:val="22"/>
          <w:szCs w:val="22"/>
          <w:lang w:val="es-ES"/>
        </w:rPr>
        <w:t>nijesu</w:t>
      </w:r>
      <w:r w:rsidRPr="00880E7B">
        <w:rPr>
          <w:sz w:val="22"/>
          <w:szCs w:val="22"/>
          <w:lang w:val="es-ES"/>
        </w:rPr>
        <w:t xml:space="preserve"> česte. U slučaju blage do teške fotosenzitivne reakcije ili osipa može biti potrebno prilagođavanje doze ili privremeni prekid terapije (vid</w:t>
      </w:r>
      <w:r w:rsidR="00FE6000" w:rsidRPr="00880E7B">
        <w:rPr>
          <w:sz w:val="22"/>
          <w:szCs w:val="22"/>
          <w:lang w:val="es-ES"/>
        </w:rPr>
        <w:t>j</w:t>
      </w:r>
      <w:r w:rsidRPr="00880E7B">
        <w:rPr>
          <w:sz w:val="22"/>
          <w:szCs w:val="22"/>
          <w:lang w:val="es-ES"/>
        </w:rPr>
        <w:t xml:space="preserve">eti </w:t>
      </w:r>
      <w:r w:rsidR="004D56E7" w:rsidRPr="00880E7B">
        <w:rPr>
          <w:sz w:val="22"/>
          <w:szCs w:val="22"/>
          <w:lang w:val="es-ES"/>
        </w:rPr>
        <w:t>dio</w:t>
      </w:r>
      <w:r w:rsidRPr="00880E7B">
        <w:rPr>
          <w:sz w:val="22"/>
          <w:szCs w:val="22"/>
          <w:lang w:val="es-ES"/>
        </w:rPr>
        <w:t xml:space="preserve"> 4.2).</w:t>
      </w:r>
    </w:p>
    <w:p w:rsidR="00125DDD" w:rsidRPr="00880E7B" w:rsidRDefault="00125DDD" w:rsidP="00880E7B">
      <w:pPr>
        <w:spacing w:line="240" w:lineRule="exact"/>
        <w:jc w:val="both"/>
        <w:rPr>
          <w:sz w:val="22"/>
          <w:szCs w:val="22"/>
          <w:lang w:val="es-ES"/>
        </w:rPr>
      </w:pPr>
    </w:p>
    <w:p w:rsidR="00780296" w:rsidRPr="00880E7B" w:rsidRDefault="00780296" w:rsidP="00880E7B">
      <w:pPr>
        <w:spacing w:line="240" w:lineRule="exact"/>
        <w:jc w:val="both"/>
        <w:rPr>
          <w:sz w:val="22"/>
          <w:szCs w:val="22"/>
          <w:lang w:val="es-ES"/>
        </w:rPr>
      </w:pPr>
    </w:p>
    <w:p w:rsidR="00D745AB" w:rsidRPr="00E2025F" w:rsidRDefault="00D745AB" w:rsidP="00DC7E27">
      <w:pPr>
        <w:keepNext/>
        <w:spacing w:line="240" w:lineRule="exact"/>
        <w:jc w:val="both"/>
        <w:rPr>
          <w:sz w:val="22"/>
          <w:szCs w:val="22"/>
          <w:u w:val="single"/>
        </w:rPr>
      </w:pPr>
      <w:r w:rsidRPr="00880E7B">
        <w:rPr>
          <w:sz w:val="22"/>
          <w:szCs w:val="22"/>
          <w:u w:val="single"/>
        </w:rPr>
        <w:t>Teške kožne reakcije</w:t>
      </w:r>
    </w:p>
    <w:p w:rsidR="00D745AB" w:rsidRPr="00880E7B" w:rsidRDefault="00D745AB" w:rsidP="00DC7E27">
      <w:pPr>
        <w:keepNext/>
        <w:spacing w:line="240" w:lineRule="exact"/>
        <w:jc w:val="both"/>
        <w:rPr>
          <w:sz w:val="22"/>
          <w:szCs w:val="22"/>
          <w:u w:val="single"/>
        </w:rPr>
      </w:pPr>
    </w:p>
    <w:p w:rsidR="00D745AB" w:rsidRPr="00880E7B" w:rsidRDefault="00D745AB" w:rsidP="00DC7E27">
      <w:pPr>
        <w:spacing w:line="240" w:lineRule="exact"/>
        <w:jc w:val="both"/>
        <w:rPr>
          <w:sz w:val="22"/>
          <w:szCs w:val="22"/>
        </w:rPr>
      </w:pPr>
      <w:r w:rsidRPr="00880E7B">
        <w:rPr>
          <w:sz w:val="22"/>
          <w:szCs w:val="22"/>
        </w:rPr>
        <w:t>Kod primjene lijeka ESBRIET nakon njegovog pu</w:t>
      </w:r>
      <w:r w:rsidRPr="00880E7B">
        <w:rPr>
          <w:sz w:val="22"/>
          <w:szCs w:val="22"/>
          <w:lang w:val="sr-Latn-RS"/>
        </w:rPr>
        <w:t xml:space="preserve">štanja </w:t>
      </w:r>
      <w:r w:rsidRPr="00880E7B">
        <w:rPr>
          <w:sz w:val="22"/>
          <w:szCs w:val="22"/>
        </w:rPr>
        <w:t>u promet prijavljeni su slučajevi Stevens</w:t>
      </w:r>
      <w:r w:rsidRPr="00880E7B">
        <w:rPr>
          <w:sz w:val="22"/>
          <w:szCs w:val="22"/>
        </w:rPr>
        <w:noBreakHyphen/>
        <w:t>Johnson-ovog sindroma (SJS) i toksične epidermalne nekrolize (TEN)</w:t>
      </w:r>
      <w:r w:rsidR="0060584A">
        <w:rPr>
          <w:sz w:val="22"/>
          <w:szCs w:val="22"/>
        </w:rPr>
        <w:t xml:space="preserve"> </w:t>
      </w:r>
      <w:r w:rsidR="0060584A" w:rsidRPr="0060584A">
        <w:rPr>
          <w:sz w:val="22"/>
          <w:szCs w:val="22"/>
        </w:rPr>
        <w:t>i reakcije na l</w:t>
      </w:r>
      <w:r w:rsidR="0060584A">
        <w:rPr>
          <w:sz w:val="22"/>
          <w:szCs w:val="22"/>
        </w:rPr>
        <w:t>ij</w:t>
      </w:r>
      <w:r w:rsidR="0060584A" w:rsidRPr="0060584A">
        <w:rPr>
          <w:sz w:val="22"/>
          <w:szCs w:val="22"/>
        </w:rPr>
        <w:t>ek sa eozinofilijom i sistemskim simptomima (engl. drug reaction with eosinophili</w:t>
      </w:r>
      <w:r w:rsidR="0060584A">
        <w:rPr>
          <w:sz w:val="22"/>
          <w:szCs w:val="22"/>
        </w:rPr>
        <w:t>a and systemic symptoms, DRESS)</w:t>
      </w:r>
      <w:r w:rsidRPr="00880E7B">
        <w:rPr>
          <w:sz w:val="22"/>
          <w:szCs w:val="22"/>
        </w:rPr>
        <w:t>, koji mogu biti opasni po život ili smrtonosni. U slučaju pojave znakova i simptoma koji ukazuju na te reakcije potrebno je odmah obustaviti primjenu lijeka ESBRIET. Ako pacijent razvije SJS</w:t>
      </w:r>
      <w:r w:rsidR="0060584A">
        <w:rPr>
          <w:sz w:val="22"/>
          <w:szCs w:val="22"/>
        </w:rPr>
        <w:t>,</w:t>
      </w:r>
      <w:r w:rsidRPr="00880E7B">
        <w:rPr>
          <w:sz w:val="22"/>
          <w:szCs w:val="22"/>
        </w:rPr>
        <w:t xml:space="preserve">TEN </w:t>
      </w:r>
      <w:r w:rsidR="0060584A">
        <w:rPr>
          <w:sz w:val="22"/>
          <w:szCs w:val="22"/>
        </w:rPr>
        <w:t xml:space="preserve">ili DRESS </w:t>
      </w:r>
      <w:r w:rsidRPr="00880E7B">
        <w:rPr>
          <w:sz w:val="22"/>
          <w:szCs w:val="22"/>
        </w:rPr>
        <w:t>tokom primjene lijeka ESBRIET, liječenje tim lijekom ne smije se ponovno započeti i mora se trajno obustaviti.</w:t>
      </w:r>
    </w:p>
    <w:p w:rsidR="00D745AB" w:rsidRPr="00880E7B" w:rsidRDefault="00D745AB" w:rsidP="00880E7B">
      <w:pPr>
        <w:spacing w:line="240" w:lineRule="exact"/>
        <w:jc w:val="both"/>
        <w:rPr>
          <w:sz w:val="22"/>
          <w:szCs w:val="22"/>
          <w:u w:val="single"/>
          <w:lang w:val="es-ES"/>
        </w:rPr>
      </w:pPr>
    </w:p>
    <w:p w:rsidR="00780296" w:rsidRPr="00880E7B" w:rsidRDefault="00780296" w:rsidP="00880E7B">
      <w:pPr>
        <w:spacing w:line="240" w:lineRule="exact"/>
        <w:jc w:val="both"/>
        <w:rPr>
          <w:sz w:val="22"/>
          <w:szCs w:val="22"/>
          <w:u w:val="single"/>
          <w:lang w:val="es-ES"/>
        </w:rPr>
      </w:pPr>
      <w:r w:rsidRPr="00880E7B">
        <w:rPr>
          <w:sz w:val="22"/>
          <w:szCs w:val="22"/>
          <w:u w:val="single"/>
          <w:lang w:val="es-ES"/>
        </w:rPr>
        <w:t>Angioedem/anafilaksa</w:t>
      </w:r>
    </w:p>
    <w:p w:rsidR="00780296" w:rsidRPr="00880E7B" w:rsidRDefault="00780296" w:rsidP="00880E7B">
      <w:pPr>
        <w:spacing w:line="240" w:lineRule="exact"/>
        <w:jc w:val="both"/>
        <w:rPr>
          <w:i/>
          <w:sz w:val="22"/>
          <w:szCs w:val="22"/>
          <w:lang w:val="es-ES"/>
        </w:rPr>
      </w:pPr>
    </w:p>
    <w:p w:rsidR="00780296" w:rsidRPr="00880E7B" w:rsidRDefault="00780296" w:rsidP="00E2025F">
      <w:pPr>
        <w:spacing w:line="240" w:lineRule="exact"/>
        <w:jc w:val="both"/>
        <w:rPr>
          <w:sz w:val="22"/>
          <w:szCs w:val="22"/>
          <w:lang w:val="es-ES"/>
        </w:rPr>
      </w:pPr>
      <w:r w:rsidRPr="00880E7B">
        <w:rPr>
          <w:sz w:val="22"/>
          <w:szCs w:val="22"/>
          <w:lang w:val="es-ES"/>
        </w:rPr>
        <w:t>Nakon stavljanja l</w:t>
      </w:r>
      <w:r w:rsidR="00FE6000" w:rsidRPr="00880E7B">
        <w:rPr>
          <w:sz w:val="22"/>
          <w:szCs w:val="22"/>
          <w:lang w:val="es-ES"/>
        </w:rPr>
        <w:t>ij</w:t>
      </w:r>
      <w:r w:rsidRPr="00880E7B">
        <w:rPr>
          <w:sz w:val="22"/>
          <w:szCs w:val="22"/>
          <w:lang w:val="es-ES"/>
        </w:rPr>
        <w:t>eka ESBRIET u promet prim</w:t>
      </w:r>
      <w:r w:rsidR="00045D87" w:rsidRPr="00880E7B">
        <w:rPr>
          <w:sz w:val="22"/>
          <w:szCs w:val="22"/>
          <w:lang w:val="es-ES"/>
        </w:rPr>
        <w:t>i</w:t>
      </w:r>
      <w:r w:rsidR="00FE6000" w:rsidRPr="00880E7B">
        <w:rPr>
          <w:sz w:val="22"/>
          <w:szCs w:val="22"/>
          <w:lang w:val="es-ES"/>
        </w:rPr>
        <w:t>j</w:t>
      </w:r>
      <w:r w:rsidRPr="00880E7B">
        <w:rPr>
          <w:sz w:val="22"/>
          <w:szCs w:val="22"/>
          <w:lang w:val="es-ES"/>
        </w:rPr>
        <w:t>ećena je pojava angioedema (ponekad ozbiljnog) poput oticanja lica, usana odnosno jezika koja mo</w:t>
      </w:r>
      <w:r w:rsidR="004D56E7" w:rsidRPr="00880E7B">
        <w:rPr>
          <w:sz w:val="22"/>
          <w:szCs w:val="22"/>
          <w:lang w:val="es-ES"/>
        </w:rPr>
        <w:t>že</w:t>
      </w:r>
      <w:r w:rsidRPr="00880E7B">
        <w:rPr>
          <w:sz w:val="22"/>
          <w:szCs w:val="22"/>
          <w:lang w:val="es-ES"/>
        </w:rPr>
        <w:t xml:space="preserve"> biti povezana sa otežanim disanjem ili vizingom (šištanjem). Osim toga, prijavljene su i anafilaktičke reakcije. Stoga pacijenti kod kojih se jave znaci ili simptomi angioedema ili teških alergijskih reakcija nakon prim</w:t>
      </w:r>
      <w:r w:rsidR="00FE6000" w:rsidRPr="00880E7B">
        <w:rPr>
          <w:sz w:val="22"/>
          <w:szCs w:val="22"/>
          <w:lang w:val="es-ES"/>
        </w:rPr>
        <w:t>j</w:t>
      </w:r>
      <w:r w:rsidRPr="00880E7B">
        <w:rPr>
          <w:sz w:val="22"/>
          <w:szCs w:val="22"/>
          <w:lang w:val="es-ES"/>
        </w:rPr>
        <w:t>ene l</w:t>
      </w:r>
      <w:r w:rsidR="00FE6000" w:rsidRPr="00880E7B">
        <w:rPr>
          <w:sz w:val="22"/>
          <w:szCs w:val="22"/>
          <w:lang w:val="es-ES"/>
        </w:rPr>
        <w:t>ij</w:t>
      </w:r>
      <w:r w:rsidRPr="00880E7B">
        <w:rPr>
          <w:sz w:val="22"/>
          <w:szCs w:val="22"/>
          <w:lang w:val="es-ES"/>
        </w:rPr>
        <w:t>eka ESBRIET odmah moraju prekinuti terapiju. Pacijenti sa angioedemom ili teškim alergijskim reakcijama zbrinjavaju se u skladu sa standardom zdravstvene n</w:t>
      </w:r>
      <w:r w:rsidR="00FD599D" w:rsidRPr="00880E7B">
        <w:rPr>
          <w:sz w:val="22"/>
          <w:szCs w:val="22"/>
          <w:lang w:val="es-ES"/>
        </w:rPr>
        <w:t>j</w:t>
      </w:r>
      <w:r w:rsidRPr="00880E7B">
        <w:rPr>
          <w:sz w:val="22"/>
          <w:szCs w:val="22"/>
          <w:lang w:val="es-ES"/>
        </w:rPr>
        <w:t>ege. L</w:t>
      </w:r>
      <w:r w:rsidR="00FE6000" w:rsidRPr="00880E7B">
        <w:rPr>
          <w:sz w:val="22"/>
          <w:szCs w:val="22"/>
          <w:lang w:val="es-ES"/>
        </w:rPr>
        <w:t>ij</w:t>
      </w:r>
      <w:r w:rsidRPr="00880E7B">
        <w:rPr>
          <w:sz w:val="22"/>
          <w:szCs w:val="22"/>
          <w:lang w:val="es-ES"/>
        </w:rPr>
        <w:t>ek ESBRIET se ne sm</w:t>
      </w:r>
      <w:r w:rsidR="00FE6000" w:rsidRPr="00880E7B">
        <w:rPr>
          <w:sz w:val="22"/>
          <w:szCs w:val="22"/>
          <w:lang w:val="es-ES"/>
        </w:rPr>
        <w:t>ij</w:t>
      </w:r>
      <w:r w:rsidRPr="00880E7B">
        <w:rPr>
          <w:sz w:val="22"/>
          <w:szCs w:val="22"/>
          <w:lang w:val="es-ES"/>
        </w:rPr>
        <w:t>e koristiti kod pacijenata sa anamnezom angioedema ili preos</w:t>
      </w:r>
      <w:r w:rsidR="00FD599D" w:rsidRPr="00880E7B">
        <w:rPr>
          <w:sz w:val="22"/>
          <w:szCs w:val="22"/>
          <w:lang w:val="es-ES"/>
        </w:rPr>
        <w:t>j</w:t>
      </w:r>
      <w:r w:rsidRPr="00880E7B">
        <w:rPr>
          <w:sz w:val="22"/>
          <w:szCs w:val="22"/>
          <w:lang w:val="es-ES"/>
        </w:rPr>
        <w:t>etljivosti zbog prim</w:t>
      </w:r>
      <w:r w:rsidR="00FE6000" w:rsidRPr="00880E7B">
        <w:rPr>
          <w:sz w:val="22"/>
          <w:szCs w:val="22"/>
          <w:lang w:val="es-ES"/>
        </w:rPr>
        <w:t>j</w:t>
      </w:r>
      <w:r w:rsidRPr="00880E7B">
        <w:rPr>
          <w:sz w:val="22"/>
          <w:szCs w:val="22"/>
          <w:lang w:val="es-ES"/>
        </w:rPr>
        <w:t>ene l</w:t>
      </w:r>
      <w:r w:rsidR="00FE6000" w:rsidRPr="00880E7B">
        <w:rPr>
          <w:sz w:val="22"/>
          <w:szCs w:val="22"/>
          <w:lang w:val="es-ES"/>
        </w:rPr>
        <w:t>ij</w:t>
      </w:r>
      <w:r w:rsidRPr="00880E7B">
        <w:rPr>
          <w:sz w:val="22"/>
          <w:szCs w:val="22"/>
          <w:lang w:val="es-ES"/>
        </w:rPr>
        <w:t>eka ESBRIET (vid</w:t>
      </w:r>
      <w:r w:rsidR="00FE6000" w:rsidRPr="00880E7B">
        <w:rPr>
          <w:sz w:val="22"/>
          <w:szCs w:val="22"/>
          <w:lang w:val="es-ES"/>
        </w:rPr>
        <w:t>j</w:t>
      </w:r>
      <w:r w:rsidRPr="00880E7B">
        <w:rPr>
          <w:sz w:val="22"/>
          <w:szCs w:val="22"/>
          <w:lang w:val="es-ES"/>
        </w:rPr>
        <w:t xml:space="preserve">eti </w:t>
      </w:r>
      <w:r w:rsidR="004D56E7" w:rsidRPr="00880E7B">
        <w:rPr>
          <w:sz w:val="22"/>
          <w:szCs w:val="22"/>
          <w:lang w:val="es-ES"/>
        </w:rPr>
        <w:t xml:space="preserve">dio </w:t>
      </w:r>
      <w:r w:rsidRPr="00880E7B">
        <w:rPr>
          <w:sz w:val="22"/>
          <w:szCs w:val="22"/>
          <w:lang w:val="es-ES"/>
        </w:rPr>
        <w:t>4.3).</w:t>
      </w:r>
    </w:p>
    <w:p w:rsidR="00780296" w:rsidRPr="00880E7B" w:rsidRDefault="00780296">
      <w:pPr>
        <w:spacing w:line="240" w:lineRule="exact"/>
        <w:jc w:val="both"/>
        <w:rPr>
          <w:sz w:val="22"/>
          <w:szCs w:val="22"/>
          <w:u w:val="single"/>
          <w:lang w:val="es-ES"/>
        </w:rPr>
      </w:pPr>
    </w:p>
    <w:p w:rsidR="00780296" w:rsidRPr="00880E7B" w:rsidRDefault="00780296">
      <w:pPr>
        <w:spacing w:line="240" w:lineRule="exact"/>
        <w:jc w:val="both"/>
        <w:rPr>
          <w:sz w:val="22"/>
          <w:szCs w:val="22"/>
          <w:u w:val="single"/>
          <w:lang w:val="es-ES"/>
        </w:rPr>
      </w:pPr>
      <w:r w:rsidRPr="00880E7B">
        <w:rPr>
          <w:sz w:val="22"/>
          <w:szCs w:val="22"/>
          <w:u w:val="single"/>
          <w:lang w:val="es-ES"/>
        </w:rPr>
        <w:t>Vrtoglavica</w:t>
      </w:r>
    </w:p>
    <w:p w:rsidR="00780296" w:rsidRPr="00880E7B" w:rsidRDefault="00780296">
      <w:pPr>
        <w:spacing w:line="240" w:lineRule="exact"/>
        <w:jc w:val="both"/>
        <w:rPr>
          <w:i/>
          <w:sz w:val="22"/>
          <w:szCs w:val="22"/>
          <w:lang w:val="es-ES"/>
        </w:rPr>
      </w:pPr>
    </w:p>
    <w:p w:rsidR="00780296" w:rsidRPr="00880E7B" w:rsidRDefault="00780296">
      <w:pPr>
        <w:spacing w:line="240" w:lineRule="exact"/>
        <w:jc w:val="both"/>
        <w:rPr>
          <w:sz w:val="22"/>
          <w:szCs w:val="22"/>
          <w:lang w:val="es-ES"/>
        </w:rPr>
      </w:pPr>
      <w:r w:rsidRPr="00880E7B">
        <w:rPr>
          <w:sz w:val="22"/>
          <w:szCs w:val="22"/>
          <w:lang w:val="es-ES"/>
        </w:rPr>
        <w:t>Kod pacijenata koji su uzimali l</w:t>
      </w:r>
      <w:r w:rsidR="00FE6000" w:rsidRPr="00880E7B">
        <w:rPr>
          <w:sz w:val="22"/>
          <w:szCs w:val="22"/>
          <w:lang w:val="es-ES"/>
        </w:rPr>
        <w:t>ij</w:t>
      </w:r>
      <w:r w:rsidRPr="00880E7B">
        <w:rPr>
          <w:sz w:val="22"/>
          <w:szCs w:val="22"/>
          <w:lang w:val="es-ES"/>
        </w:rPr>
        <w:t>ek ESBRIET zab</w:t>
      </w:r>
      <w:r w:rsidR="00FD599D" w:rsidRPr="00880E7B">
        <w:rPr>
          <w:sz w:val="22"/>
          <w:szCs w:val="22"/>
          <w:lang w:val="es-ES"/>
        </w:rPr>
        <w:t>ilj</w:t>
      </w:r>
      <w:r w:rsidRPr="00880E7B">
        <w:rPr>
          <w:sz w:val="22"/>
          <w:szCs w:val="22"/>
          <w:lang w:val="es-ES"/>
        </w:rPr>
        <w:t>ežena je vrtoglavica. Stoga bi pacijenti trebalo da znaju kako reaguju na l</w:t>
      </w:r>
      <w:r w:rsidR="00FE6000" w:rsidRPr="00880E7B">
        <w:rPr>
          <w:sz w:val="22"/>
          <w:szCs w:val="22"/>
          <w:lang w:val="es-ES"/>
        </w:rPr>
        <w:t>ij</w:t>
      </w:r>
      <w:r w:rsidRPr="00880E7B">
        <w:rPr>
          <w:sz w:val="22"/>
          <w:szCs w:val="22"/>
          <w:lang w:val="es-ES"/>
        </w:rPr>
        <w:t>ek pr</w:t>
      </w:r>
      <w:r w:rsidR="00FD599D" w:rsidRPr="00880E7B">
        <w:rPr>
          <w:sz w:val="22"/>
          <w:szCs w:val="22"/>
          <w:lang w:val="es-ES"/>
        </w:rPr>
        <w:t>ij</w:t>
      </w:r>
      <w:r w:rsidRPr="00880E7B">
        <w:rPr>
          <w:sz w:val="22"/>
          <w:szCs w:val="22"/>
          <w:lang w:val="es-ES"/>
        </w:rPr>
        <w:t>e nego što započnu aktivnosti koje zaht</w:t>
      </w:r>
      <w:r w:rsidR="00045D87" w:rsidRPr="00880E7B">
        <w:rPr>
          <w:sz w:val="22"/>
          <w:szCs w:val="22"/>
          <w:lang w:val="es-ES"/>
        </w:rPr>
        <w:t>i</w:t>
      </w:r>
      <w:r w:rsidR="005D0061" w:rsidRPr="00880E7B">
        <w:rPr>
          <w:sz w:val="22"/>
          <w:szCs w:val="22"/>
          <w:lang w:val="es-ES"/>
        </w:rPr>
        <w:t>j</w:t>
      </w:r>
      <w:r w:rsidRPr="00880E7B">
        <w:rPr>
          <w:sz w:val="22"/>
          <w:szCs w:val="22"/>
          <w:lang w:val="es-ES"/>
        </w:rPr>
        <w:t>evaju koncentraciju ili koordinaciju pokreta (vid</w:t>
      </w:r>
      <w:r w:rsidR="00FE6000" w:rsidRPr="00880E7B">
        <w:rPr>
          <w:sz w:val="22"/>
          <w:szCs w:val="22"/>
          <w:lang w:val="es-ES"/>
        </w:rPr>
        <w:t>j</w:t>
      </w:r>
      <w:r w:rsidRPr="00880E7B">
        <w:rPr>
          <w:sz w:val="22"/>
          <w:szCs w:val="22"/>
          <w:lang w:val="es-ES"/>
        </w:rPr>
        <w:t xml:space="preserve">eti </w:t>
      </w:r>
      <w:r w:rsidR="004D56E7" w:rsidRPr="00880E7B">
        <w:rPr>
          <w:sz w:val="22"/>
          <w:szCs w:val="22"/>
          <w:lang w:val="es-ES"/>
        </w:rPr>
        <w:t xml:space="preserve">dio </w:t>
      </w:r>
      <w:r w:rsidRPr="00880E7B">
        <w:rPr>
          <w:sz w:val="22"/>
          <w:szCs w:val="22"/>
          <w:lang w:val="es-ES"/>
        </w:rPr>
        <w:t>4.7). U kliničkim ispitivanjima, vrtoglavica se javila samo jednom kod većine pacijenata i u većini slučajeva je prolazila sama od sebe, sa medijanom dužine trajanja od 22 dana. Ako vrtoglavica ne prođe sama od sebe ili ako se pogorša, potrebno je prilagoditi dozu ili čak prekinuti terapiju l</w:t>
      </w:r>
      <w:r w:rsidR="00FE6000" w:rsidRPr="00880E7B">
        <w:rPr>
          <w:sz w:val="22"/>
          <w:szCs w:val="22"/>
          <w:lang w:val="es-ES"/>
        </w:rPr>
        <w:t>ij</w:t>
      </w:r>
      <w:r w:rsidRPr="00880E7B">
        <w:rPr>
          <w:sz w:val="22"/>
          <w:szCs w:val="22"/>
          <w:lang w:val="es-ES"/>
        </w:rPr>
        <w:t>ekom ESBRIET.</w:t>
      </w:r>
    </w:p>
    <w:p w:rsidR="00780296" w:rsidRPr="00880E7B" w:rsidRDefault="00780296">
      <w:pPr>
        <w:spacing w:line="240" w:lineRule="exact"/>
        <w:jc w:val="both"/>
        <w:rPr>
          <w:sz w:val="22"/>
          <w:szCs w:val="22"/>
          <w:lang w:val="es-ES"/>
        </w:rPr>
      </w:pPr>
    </w:p>
    <w:p w:rsidR="00780296" w:rsidRPr="00880E7B" w:rsidRDefault="00780296">
      <w:pPr>
        <w:spacing w:line="240" w:lineRule="exact"/>
        <w:jc w:val="both"/>
        <w:rPr>
          <w:sz w:val="22"/>
          <w:szCs w:val="22"/>
          <w:u w:val="single"/>
          <w:lang w:val="es-ES"/>
        </w:rPr>
      </w:pPr>
      <w:r w:rsidRPr="00880E7B">
        <w:rPr>
          <w:sz w:val="22"/>
          <w:szCs w:val="22"/>
          <w:u w:val="single"/>
          <w:lang w:val="es-ES"/>
        </w:rPr>
        <w:t>Umor</w:t>
      </w:r>
    </w:p>
    <w:p w:rsidR="00780296" w:rsidRPr="00880E7B" w:rsidRDefault="00780296">
      <w:pPr>
        <w:spacing w:line="240" w:lineRule="exact"/>
        <w:jc w:val="both"/>
        <w:rPr>
          <w:i/>
          <w:sz w:val="22"/>
          <w:szCs w:val="22"/>
          <w:lang w:val="es-ES"/>
        </w:rPr>
      </w:pPr>
    </w:p>
    <w:p w:rsidR="00780296" w:rsidRPr="00880E7B" w:rsidRDefault="00780296">
      <w:pPr>
        <w:spacing w:line="240" w:lineRule="exact"/>
        <w:jc w:val="both"/>
        <w:rPr>
          <w:sz w:val="22"/>
          <w:szCs w:val="22"/>
          <w:u w:val="single"/>
          <w:lang w:val="es-ES"/>
        </w:rPr>
      </w:pPr>
      <w:r w:rsidRPr="00880E7B">
        <w:rPr>
          <w:sz w:val="22"/>
          <w:szCs w:val="22"/>
          <w:lang w:val="es-ES"/>
        </w:rPr>
        <w:t>Kod pacijenata koji su uzimali l</w:t>
      </w:r>
      <w:r w:rsidR="00FE6000" w:rsidRPr="00880E7B">
        <w:rPr>
          <w:sz w:val="22"/>
          <w:szCs w:val="22"/>
          <w:lang w:val="es-ES"/>
        </w:rPr>
        <w:t>ij</w:t>
      </w:r>
      <w:r w:rsidRPr="00880E7B">
        <w:rPr>
          <w:sz w:val="22"/>
          <w:szCs w:val="22"/>
          <w:lang w:val="es-ES"/>
        </w:rPr>
        <w:t>ek ESBRIET zab</w:t>
      </w:r>
      <w:r w:rsidR="00FD599D" w:rsidRPr="00880E7B">
        <w:rPr>
          <w:sz w:val="22"/>
          <w:szCs w:val="22"/>
          <w:lang w:val="es-ES"/>
        </w:rPr>
        <w:t>ilj</w:t>
      </w:r>
      <w:r w:rsidRPr="00880E7B">
        <w:rPr>
          <w:sz w:val="22"/>
          <w:szCs w:val="22"/>
          <w:lang w:val="es-ES"/>
        </w:rPr>
        <w:t>ežen je umor. Stoga bi pacijenti trebalo da znaju kako reaguju na l</w:t>
      </w:r>
      <w:r w:rsidR="00FE6000" w:rsidRPr="00880E7B">
        <w:rPr>
          <w:sz w:val="22"/>
          <w:szCs w:val="22"/>
          <w:lang w:val="es-ES"/>
        </w:rPr>
        <w:t>ij</w:t>
      </w:r>
      <w:r w:rsidRPr="00880E7B">
        <w:rPr>
          <w:sz w:val="22"/>
          <w:szCs w:val="22"/>
          <w:lang w:val="es-ES"/>
        </w:rPr>
        <w:t>ek pr</w:t>
      </w:r>
      <w:r w:rsidR="00045D87" w:rsidRPr="00880E7B">
        <w:rPr>
          <w:sz w:val="22"/>
          <w:szCs w:val="22"/>
          <w:lang w:val="es-ES"/>
        </w:rPr>
        <w:t>ij</w:t>
      </w:r>
      <w:r w:rsidRPr="00880E7B">
        <w:rPr>
          <w:sz w:val="22"/>
          <w:szCs w:val="22"/>
          <w:lang w:val="es-ES"/>
        </w:rPr>
        <w:t>e nego što započnu aktivnosti koje zaht</w:t>
      </w:r>
      <w:r w:rsidR="00045D87" w:rsidRPr="00880E7B">
        <w:rPr>
          <w:sz w:val="22"/>
          <w:szCs w:val="22"/>
          <w:lang w:val="es-ES"/>
        </w:rPr>
        <w:t>ij</w:t>
      </w:r>
      <w:r w:rsidRPr="00880E7B">
        <w:rPr>
          <w:sz w:val="22"/>
          <w:szCs w:val="22"/>
          <w:lang w:val="es-ES"/>
        </w:rPr>
        <w:t>evaju koncentraciju ili koordinaciju pokreta (vid</w:t>
      </w:r>
      <w:r w:rsidR="00FE6000" w:rsidRPr="00880E7B">
        <w:rPr>
          <w:sz w:val="22"/>
          <w:szCs w:val="22"/>
          <w:lang w:val="es-ES"/>
        </w:rPr>
        <w:t>j</w:t>
      </w:r>
      <w:r w:rsidRPr="00880E7B">
        <w:rPr>
          <w:sz w:val="22"/>
          <w:szCs w:val="22"/>
          <w:lang w:val="es-ES"/>
        </w:rPr>
        <w:t xml:space="preserve">eti </w:t>
      </w:r>
      <w:r w:rsidR="00125DDD" w:rsidRPr="00880E7B">
        <w:rPr>
          <w:sz w:val="22"/>
          <w:szCs w:val="22"/>
          <w:lang w:val="es-ES"/>
        </w:rPr>
        <w:t xml:space="preserve">dio </w:t>
      </w:r>
      <w:r w:rsidRPr="00880E7B">
        <w:rPr>
          <w:sz w:val="22"/>
          <w:szCs w:val="22"/>
          <w:lang w:val="es-ES"/>
        </w:rPr>
        <w:t>4.7).</w:t>
      </w:r>
    </w:p>
    <w:p w:rsidR="00780296" w:rsidRPr="00880E7B" w:rsidRDefault="00780296">
      <w:pPr>
        <w:spacing w:line="240" w:lineRule="exact"/>
        <w:jc w:val="both"/>
        <w:rPr>
          <w:sz w:val="22"/>
          <w:szCs w:val="22"/>
          <w:u w:val="single"/>
          <w:lang w:val="es-ES"/>
        </w:rPr>
      </w:pPr>
    </w:p>
    <w:p w:rsidR="00780296" w:rsidRPr="00880E7B" w:rsidRDefault="00780296">
      <w:pPr>
        <w:keepNext/>
        <w:spacing w:line="240" w:lineRule="exact"/>
        <w:jc w:val="both"/>
        <w:rPr>
          <w:sz w:val="22"/>
          <w:szCs w:val="22"/>
          <w:u w:val="single"/>
          <w:lang w:val="es-ES"/>
        </w:rPr>
      </w:pPr>
      <w:r w:rsidRPr="00880E7B">
        <w:rPr>
          <w:sz w:val="22"/>
          <w:szCs w:val="22"/>
          <w:u w:val="single"/>
          <w:lang w:val="es-ES"/>
        </w:rPr>
        <w:t>Gubitak t</w:t>
      </w:r>
      <w:r w:rsidR="000635B4" w:rsidRPr="00880E7B">
        <w:rPr>
          <w:sz w:val="22"/>
          <w:szCs w:val="22"/>
          <w:u w:val="single"/>
          <w:lang w:val="es-ES"/>
        </w:rPr>
        <w:t>j</w:t>
      </w:r>
      <w:r w:rsidRPr="00880E7B">
        <w:rPr>
          <w:sz w:val="22"/>
          <w:szCs w:val="22"/>
          <w:u w:val="single"/>
          <w:lang w:val="es-ES"/>
        </w:rPr>
        <w:t>elesne mase</w:t>
      </w:r>
    </w:p>
    <w:p w:rsidR="00780296" w:rsidRPr="00880E7B" w:rsidRDefault="00780296">
      <w:pPr>
        <w:keepNext/>
        <w:spacing w:line="240" w:lineRule="exact"/>
        <w:jc w:val="both"/>
        <w:rPr>
          <w:i/>
          <w:sz w:val="22"/>
          <w:szCs w:val="22"/>
          <w:lang w:val="es-ES"/>
        </w:rPr>
      </w:pPr>
    </w:p>
    <w:p w:rsidR="00780296" w:rsidRPr="00880E7B" w:rsidRDefault="00780296">
      <w:pPr>
        <w:autoSpaceDE w:val="0"/>
        <w:autoSpaceDN w:val="0"/>
        <w:adjustRightInd w:val="0"/>
        <w:spacing w:line="240" w:lineRule="exact"/>
        <w:jc w:val="both"/>
        <w:rPr>
          <w:sz w:val="22"/>
          <w:szCs w:val="22"/>
          <w:lang w:val="es-ES"/>
        </w:rPr>
      </w:pPr>
      <w:r w:rsidRPr="00880E7B">
        <w:rPr>
          <w:sz w:val="22"/>
          <w:szCs w:val="22"/>
          <w:lang w:val="es-ES"/>
        </w:rPr>
        <w:t>Gubitak t</w:t>
      </w:r>
      <w:r w:rsidR="00FD599D" w:rsidRPr="00880E7B">
        <w:rPr>
          <w:sz w:val="22"/>
          <w:szCs w:val="22"/>
          <w:lang w:val="es-ES"/>
        </w:rPr>
        <w:t>j</w:t>
      </w:r>
      <w:r w:rsidRPr="00880E7B">
        <w:rPr>
          <w:sz w:val="22"/>
          <w:szCs w:val="22"/>
          <w:lang w:val="es-ES"/>
        </w:rPr>
        <w:t xml:space="preserve">elesne mase </w:t>
      </w:r>
      <w:r w:rsidR="00045D87" w:rsidRPr="00880E7B">
        <w:rPr>
          <w:sz w:val="22"/>
          <w:szCs w:val="22"/>
          <w:lang w:val="es-ES"/>
        </w:rPr>
        <w:t xml:space="preserve">zabilježen </w:t>
      </w:r>
      <w:r w:rsidRPr="00880E7B">
        <w:rPr>
          <w:sz w:val="22"/>
          <w:szCs w:val="22"/>
          <w:lang w:val="es-ES"/>
        </w:rPr>
        <w:t>je kod pacijenata koji su l</w:t>
      </w:r>
      <w:r w:rsidR="00FE6000" w:rsidRPr="00880E7B">
        <w:rPr>
          <w:sz w:val="22"/>
          <w:szCs w:val="22"/>
          <w:lang w:val="es-ES"/>
        </w:rPr>
        <w:t>ij</w:t>
      </w:r>
      <w:r w:rsidRPr="00880E7B">
        <w:rPr>
          <w:sz w:val="22"/>
          <w:szCs w:val="22"/>
          <w:lang w:val="es-ES"/>
        </w:rPr>
        <w:t>ečeni l</w:t>
      </w:r>
      <w:r w:rsidR="00FE6000" w:rsidRPr="00880E7B">
        <w:rPr>
          <w:sz w:val="22"/>
          <w:szCs w:val="22"/>
          <w:lang w:val="es-ES"/>
        </w:rPr>
        <w:t>ij</w:t>
      </w:r>
      <w:r w:rsidRPr="00880E7B">
        <w:rPr>
          <w:sz w:val="22"/>
          <w:szCs w:val="22"/>
          <w:lang w:val="es-ES"/>
        </w:rPr>
        <w:t>ekom ESBRIET (vid</w:t>
      </w:r>
      <w:r w:rsidR="00FE6000" w:rsidRPr="00880E7B">
        <w:rPr>
          <w:sz w:val="22"/>
          <w:szCs w:val="22"/>
          <w:lang w:val="es-ES"/>
        </w:rPr>
        <w:t>j</w:t>
      </w:r>
      <w:r w:rsidRPr="00880E7B">
        <w:rPr>
          <w:sz w:val="22"/>
          <w:szCs w:val="22"/>
          <w:lang w:val="es-ES"/>
        </w:rPr>
        <w:t xml:space="preserve">eti </w:t>
      </w:r>
      <w:r w:rsidR="00B82265" w:rsidRPr="00880E7B">
        <w:rPr>
          <w:sz w:val="22"/>
          <w:szCs w:val="22"/>
          <w:lang w:val="es-ES"/>
        </w:rPr>
        <w:t xml:space="preserve">dio </w:t>
      </w:r>
      <w:r w:rsidRPr="00880E7B">
        <w:rPr>
          <w:sz w:val="22"/>
          <w:szCs w:val="22"/>
          <w:lang w:val="es-ES"/>
        </w:rPr>
        <w:t>4.8). Potrebno je da l</w:t>
      </w:r>
      <w:r w:rsidR="00FE6000" w:rsidRPr="00880E7B">
        <w:rPr>
          <w:sz w:val="22"/>
          <w:szCs w:val="22"/>
          <w:lang w:val="es-ES"/>
        </w:rPr>
        <w:t>j</w:t>
      </w:r>
      <w:r w:rsidRPr="00880E7B">
        <w:rPr>
          <w:sz w:val="22"/>
          <w:szCs w:val="22"/>
          <w:lang w:val="es-ES"/>
        </w:rPr>
        <w:t>ekari prate t</w:t>
      </w:r>
      <w:r w:rsidR="00FD599D" w:rsidRPr="00880E7B">
        <w:rPr>
          <w:sz w:val="22"/>
          <w:szCs w:val="22"/>
          <w:lang w:val="es-ES"/>
        </w:rPr>
        <w:t>j</w:t>
      </w:r>
      <w:r w:rsidRPr="00880E7B">
        <w:rPr>
          <w:sz w:val="22"/>
          <w:szCs w:val="22"/>
          <w:lang w:val="es-ES"/>
        </w:rPr>
        <w:t>elesnu masu pacijenta i ako je gubitak t</w:t>
      </w:r>
      <w:r w:rsidR="00FD599D" w:rsidRPr="00880E7B">
        <w:rPr>
          <w:sz w:val="22"/>
          <w:szCs w:val="22"/>
          <w:lang w:val="es-ES"/>
        </w:rPr>
        <w:t>j</w:t>
      </w:r>
      <w:r w:rsidRPr="00880E7B">
        <w:rPr>
          <w:sz w:val="22"/>
          <w:szCs w:val="22"/>
          <w:lang w:val="es-ES"/>
        </w:rPr>
        <w:t>elesne mase klinički značajan, pacijente je potrebno podstaći na povećani unos kalorija.</w:t>
      </w:r>
    </w:p>
    <w:p w:rsidR="007C046F" w:rsidRPr="00880E7B" w:rsidRDefault="007C046F">
      <w:pPr>
        <w:autoSpaceDE w:val="0"/>
        <w:autoSpaceDN w:val="0"/>
        <w:adjustRightInd w:val="0"/>
        <w:spacing w:line="240" w:lineRule="exact"/>
        <w:jc w:val="both"/>
        <w:rPr>
          <w:sz w:val="22"/>
          <w:szCs w:val="22"/>
          <w:lang w:val="es-ES"/>
        </w:rPr>
      </w:pPr>
    </w:p>
    <w:p w:rsidR="007C046F" w:rsidRPr="00880E7B" w:rsidRDefault="007C046F">
      <w:pPr>
        <w:tabs>
          <w:tab w:val="left" w:pos="540"/>
          <w:tab w:val="left" w:pos="569"/>
        </w:tabs>
        <w:jc w:val="both"/>
        <w:rPr>
          <w:bCs/>
          <w:sz w:val="22"/>
          <w:szCs w:val="22"/>
          <w:u w:val="single"/>
          <w:lang w:val="es-ES"/>
        </w:rPr>
      </w:pPr>
      <w:r w:rsidRPr="00880E7B">
        <w:rPr>
          <w:bCs/>
          <w:sz w:val="22"/>
          <w:szCs w:val="22"/>
          <w:u w:val="single"/>
          <w:lang w:val="es-ES"/>
        </w:rPr>
        <w:t>Hiponatrijemija</w:t>
      </w:r>
    </w:p>
    <w:p w:rsidR="007C046F" w:rsidRPr="00880E7B" w:rsidRDefault="007C046F">
      <w:pPr>
        <w:tabs>
          <w:tab w:val="left" w:pos="540"/>
          <w:tab w:val="left" w:pos="569"/>
        </w:tabs>
        <w:jc w:val="both"/>
        <w:rPr>
          <w:bCs/>
          <w:sz w:val="22"/>
          <w:szCs w:val="22"/>
          <w:lang w:val="es-ES"/>
        </w:rPr>
      </w:pPr>
    </w:p>
    <w:p w:rsidR="00714420" w:rsidRPr="00880E7B" w:rsidRDefault="007C046F">
      <w:pPr>
        <w:tabs>
          <w:tab w:val="left" w:pos="540"/>
          <w:tab w:val="left" w:pos="569"/>
        </w:tabs>
        <w:jc w:val="both"/>
        <w:rPr>
          <w:bCs/>
          <w:sz w:val="22"/>
          <w:szCs w:val="22"/>
          <w:lang w:val="es-ES"/>
        </w:rPr>
      </w:pPr>
      <w:r w:rsidRPr="00880E7B">
        <w:rPr>
          <w:bCs/>
          <w:sz w:val="22"/>
          <w:szCs w:val="22"/>
          <w:lang w:val="es-ES"/>
        </w:rPr>
        <w:t xml:space="preserve">Kod pacijenata liječenih lijekom ESBRIET prijavljena je hiponatrijemija (vidjeti </w:t>
      </w:r>
      <w:r w:rsidR="00B82265" w:rsidRPr="00880E7B">
        <w:rPr>
          <w:bCs/>
          <w:sz w:val="22"/>
          <w:szCs w:val="22"/>
          <w:lang w:val="es-ES"/>
        </w:rPr>
        <w:t xml:space="preserve">dio </w:t>
      </w:r>
      <w:r w:rsidRPr="00880E7B">
        <w:rPr>
          <w:bCs/>
          <w:sz w:val="22"/>
          <w:szCs w:val="22"/>
          <w:lang w:val="es-ES"/>
        </w:rPr>
        <w:t xml:space="preserve">4.8). S obzirom na to da simptomi hiponatrijemije mogu biti nejasni i prikriveni istovremenom prisutnošću drugih bolesti, preporučuje se redovno praćenje relevantnih laboratorijskih parametara, posebno ako su prisutni </w:t>
      </w:r>
      <w:r w:rsidR="00B82265" w:rsidRPr="00880E7B">
        <w:rPr>
          <w:bCs/>
          <w:sz w:val="22"/>
          <w:szCs w:val="22"/>
          <w:lang w:val="es-ES"/>
        </w:rPr>
        <w:t xml:space="preserve">evidentni </w:t>
      </w:r>
      <w:r w:rsidRPr="00880E7B">
        <w:rPr>
          <w:bCs/>
          <w:sz w:val="22"/>
          <w:szCs w:val="22"/>
          <w:lang w:val="es-ES"/>
        </w:rPr>
        <w:t>znakovi i simptomi koji ukazuju na to, kao što su mučnina, glavobolja ili vrtoglavica.</w:t>
      </w:r>
    </w:p>
    <w:p w:rsidR="00714420" w:rsidRPr="00714420" w:rsidRDefault="00714420" w:rsidP="00714420">
      <w:pPr>
        <w:tabs>
          <w:tab w:val="left" w:pos="540"/>
          <w:tab w:val="left" w:pos="569"/>
        </w:tabs>
        <w:jc w:val="both"/>
        <w:rPr>
          <w:bCs/>
          <w:sz w:val="22"/>
          <w:szCs w:val="22"/>
          <w:lang w:val="es-ES"/>
        </w:rPr>
      </w:pPr>
    </w:p>
    <w:p w:rsidR="00714420" w:rsidRPr="00714420" w:rsidRDefault="00714420" w:rsidP="00714420">
      <w:pPr>
        <w:tabs>
          <w:tab w:val="left" w:pos="540"/>
          <w:tab w:val="left" w:pos="569"/>
        </w:tabs>
        <w:jc w:val="both"/>
        <w:rPr>
          <w:bCs/>
          <w:sz w:val="22"/>
          <w:szCs w:val="22"/>
          <w:lang w:val="es-ES"/>
        </w:rPr>
      </w:pPr>
      <w:r w:rsidRPr="00714420">
        <w:rPr>
          <w:bCs/>
          <w:sz w:val="22"/>
          <w:szCs w:val="22"/>
          <w:lang w:val="es-ES"/>
        </w:rPr>
        <w:t>Natrijum</w:t>
      </w:r>
    </w:p>
    <w:p w:rsidR="00714420" w:rsidRPr="00714420" w:rsidRDefault="00714420" w:rsidP="00714420">
      <w:pPr>
        <w:tabs>
          <w:tab w:val="left" w:pos="540"/>
          <w:tab w:val="left" w:pos="569"/>
        </w:tabs>
        <w:jc w:val="both"/>
        <w:rPr>
          <w:bCs/>
          <w:sz w:val="22"/>
          <w:szCs w:val="22"/>
          <w:lang w:val="es-ES"/>
        </w:rPr>
      </w:pPr>
    </w:p>
    <w:p w:rsidR="00714420" w:rsidRDefault="00714420" w:rsidP="00714420">
      <w:pPr>
        <w:tabs>
          <w:tab w:val="left" w:pos="540"/>
          <w:tab w:val="left" w:pos="569"/>
        </w:tabs>
        <w:jc w:val="both"/>
        <w:rPr>
          <w:bCs/>
          <w:sz w:val="22"/>
          <w:szCs w:val="22"/>
          <w:lang w:val="es-ES"/>
        </w:rPr>
      </w:pPr>
      <w:r w:rsidRPr="00714420">
        <w:rPr>
          <w:bCs/>
          <w:sz w:val="22"/>
          <w:szCs w:val="22"/>
          <w:lang w:val="es-ES"/>
        </w:rPr>
        <w:t>L</w:t>
      </w:r>
      <w:r w:rsidR="00944601">
        <w:rPr>
          <w:bCs/>
          <w:sz w:val="22"/>
          <w:szCs w:val="22"/>
          <w:lang w:val="es-ES"/>
        </w:rPr>
        <w:t>ij</w:t>
      </w:r>
      <w:r w:rsidRPr="00714420">
        <w:rPr>
          <w:bCs/>
          <w:sz w:val="22"/>
          <w:szCs w:val="22"/>
          <w:lang w:val="es-ES"/>
        </w:rPr>
        <w:t>ek Esbriet sadrži manje od 1 mmol (23 mg) natrijuma po kapsuli, tj. zanemarljive količine natrijuma.</w:t>
      </w:r>
    </w:p>
    <w:p w:rsidR="00714420" w:rsidRPr="00880E7B" w:rsidRDefault="00714420" w:rsidP="00714420">
      <w:pPr>
        <w:tabs>
          <w:tab w:val="left" w:pos="540"/>
          <w:tab w:val="left" w:pos="569"/>
        </w:tabs>
        <w:jc w:val="both"/>
        <w:rPr>
          <w:bCs/>
          <w:sz w:val="22"/>
          <w:szCs w:val="22"/>
          <w:lang w:val="es-ES"/>
        </w:rPr>
      </w:pPr>
    </w:p>
    <w:p w:rsidR="00411B4B" w:rsidRPr="00880E7B" w:rsidRDefault="00411B4B">
      <w:pPr>
        <w:tabs>
          <w:tab w:val="left" w:pos="540"/>
          <w:tab w:val="left" w:pos="569"/>
        </w:tabs>
        <w:jc w:val="both"/>
        <w:rPr>
          <w:b/>
          <w:bCs/>
          <w:sz w:val="22"/>
          <w:szCs w:val="22"/>
        </w:rPr>
      </w:pPr>
      <w:r w:rsidRPr="00880E7B">
        <w:rPr>
          <w:b/>
          <w:bCs/>
          <w:sz w:val="22"/>
          <w:szCs w:val="22"/>
        </w:rPr>
        <w:t>4.5.</w:t>
      </w:r>
      <w:r w:rsidR="000D60CC" w:rsidRPr="00880E7B">
        <w:rPr>
          <w:b/>
          <w:bCs/>
          <w:sz w:val="22"/>
          <w:szCs w:val="22"/>
        </w:rPr>
        <w:tab/>
      </w:r>
      <w:r w:rsidRPr="00880E7B">
        <w:rPr>
          <w:b/>
          <w:bCs/>
          <w:sz w:val="22"/>
          <w:szCs w:val="22"/>
        </w:rPr>
        <w:t>Interakcije sa drugim ljekovima i druge vrste interakcija</w:t>
      </w:r>
    </w:p>
    <w:p w:rsidR="0072020E" w:rsidRPr="00880E7B" w:rsidRDefault="0072020E">
      <w:pPr>
        <w:tabs>
          <w:tab w:val="left" w:pos="540"/>
          <w:tab w:val="left" w:pos="569"/>
        </w:tabs>
        <w:jc w:val="both"/>
        <w:rPr>
          <w:bCs/>
          <w:sz w:val="22"/>
          <w:szCs w:val="22"/>
        </w:rPr>
      </w:pPr>
    </w:p>
    <w:p w:rsidR="00780296" w:rsidRPr="00880E7B" w:rsidRDefault="00780296">
      <w:pPr>
        <w:spacing w:line="240" w:lineRule="exact"/>
        <w:jc w:val="both"/>
        <w:rPr>
          <w:sz w:val="22"/>
          <w:szCs w:val="22"/>
          <w:lang w:val="es-ES"/>
        </w:rPr>
      </w:pPr>
      <w:r w:rsidRPr="00880E7B">
        <w:rPr>
          <w:sz w:val="22"/>
          <w:szCs w:val="22"/>
          <w:lang w:val="es-ES"/>
        </w:rPr>
        <w:t xml:space="preserve">Oko 70–80% pirfenidona metaboliše se pomoću CYP1A2, uz manji doprinos drugih CYP izoenzima, uključujući CYP2C9, 2C19, 2D6 i 2E1. </w:t>
      </w:r>
    </w:p>
    <w:p w:rsidR="00780296" w:rsidRPr="00880E7B" w:rsidRDefault="00780296">
      <w:pPr>
        <w:spacing w:line="240" w:lineRule="exact"/>
        <w:jc w:val="both"/>
        <w:rPr>
          <w:sz w:val="22"/>
          <w:szCs w:val="22"/>
          <w:lang w:val="es-ES"/>
        </w:rPr>
      </w:pPr>
    </w:p>
    <w:p w:rsidR="00780296" w:rsidRPr="00880E7B" w:rsidRDefault="00780296">
      <w:pPr>
        <w:spacing w:line="240" w:lineRule="exact"/>
        <w:jc w:val="both"/>
        <w:rPr>
          <w:sz w:val="22"/>
          <w:szCs w:val="22"/>
          <w:lang w:val="es-ES"/>
        </w:rPr>
      </w:pPr>
      <w:r w:rsidRPr="00880E7B">
        <w:rPr>
          <w:sz w:val="22"/>
          <w:szCs w:val="22"/>
          <w:lang w:val="es-ES"/>
        </w:rPr>
        <w:lastRenderedPageBreak/>
        <w:t>Konzumiranje soka od grejpfruta povezano je sa inhibicijom CYP1A2 i stoga ga treba izb</w:t>
      </w:r>
      <w:r w:rsidR="00FD599D" w:rsidRPr="00880E7B">
        <w:rPr>
          <w:sz w:val="22"/>
          <w:szCs w:val="22"/>
          <w:lang w:val="es-ES"/>
        </w:rPr>
        <w:t>j</w:t>
      </w:r>
      <w:r w:rsidRPr="00880E7B">
        <w:rPr>
          <w:sz w:val="22"/>
          <w:szCs w:val="22"/>
          <w:lang w:val="es-ES"/>
        </w:rPr>
        <w:t>egavati tokom l</w:t>
      </w:r>
      <w:r w:rsidR="00FE6000" w:rsidRPr="00880E7B">
        <w:rPr>
          <w:sz w:val="22"/>
          <w:szCs w:val="22"/>
          <w:lang w:val="es-ES"/>
        </w:rPr>
        <w:t>ij</w:t>
      </w:r>
      <w:r w:rsidRPr="00880E7B">
        <w:rPr>
          <w:sz w:val="22"/>
          <w:szCs w:val="22"/>
          <w:lang w:val="es-ES"/>
        </w:rPr>
        <w:t xml:space="preserve">ečenja pirfenidonom. </w:t>
      </w:r>
    </w:p>
    <w:p w:rsidR="00780296" w:rsidRPr="00880E7B" w:rsidRDefault="00780296">
      <w:pPr>
        <w:spacing w:line="240" w:lineRule="exact"/>
        <w:jc w:val="both"/>
        <w:rPr>
          <w:b/>
          <w:bCs/>
          <w:sz w:val="22"/>
          <w:szCs w:val="22"/>
          <w:lang w:val="es-ES"/>
        </w:rPr>
      </w:pPr>
    </w:p>
    <w:p w:rsidR="00780296" w:rsidRPr="00880E7B" w:rsidRDefault="00780296">
      <w:pPr>
        <w:keepNext/>
        <w:spacing w:line="240" w:lineRule="exact"/>
        <w:jc w:val="both"/>
        <w:rPr>
          <w:bCs/>
          <w:sz w:val="22"/>
          <w:szCs w:val="22"/>
          <w:u w:val="single"/>
          <w:lang w:val="es-ES"/>
        </w:rPr>
      </w:pPr>
      <w:r w:rsidRPr="00880E7B">
        <w:rPr>
          <w:sz w:val="22"/>
          <w:szCs w:val="22"/>
          <w:u w:val="single"/>
          <w:lang w:val="es-ES"/>
        </w:rPr>
        <w:t>Fluvoksamin i inhibitori CYP1A2</w:t>
      </w:r>
    </w:p>
    <w:p w:rsidR="00780296" w:rsidRPr="00880E7B" w:rsidRDefault="00780296">
      <w:pPr>
        <w:keepNext/>
        <w:spacing w:line="240" w:lineRule="exact"/>
        <w:jc w:val="both"/>
        <w:rPr>
          <w:bCs/>
          <w:sz w:val="22"/>
          <w:szCs w:val="22"/>
          <w:u w:val="single"/>
          <w:lang w:val="es-ES"/>
        </w:rPr>
      </w:pPr>
    </w:p>
    <w:p w:rsidR="00780296" w:rsidRPr="00880E7B" w:rsidRDefault="00780296">
      <w:pPr>
        <w:spacing w:line="240" w:lineRule="exact"/>
        <w:jc w:val="both"/>
        <w:rPr>
          <w:bCs/>
          <w:sz w:val="22"/>
          <w:szCs w:val="22"/>
          <w:lang w:val="es-ES"/>
        </w:rPr>
      </w:pPr>
      <w:r w:rsidRPr="00880E7B">
        <w:rPr>
          <w:sz w:val="22"/>
          <w:szCs w:val="22"/>
          <w:lang w:val="es-ES"/>
        </w:rPr>
        <w:t>Tokom faze 1 ispitivanja, istovremena prim</w:t>
      </w:r>
      <w:r w:rsidR="00FE6000" w:rsidRPr="00880E7B">
        <w:rPr>
          <w:sz w:val="22"/>
          <w:szCs w:val="22"/>
          <w:lang w:val="es-ES"/>
        </w:rPr>
        <w:t>j</w:t>
      </w:r>
      <w:r w:rsidRPr="00880E7B">
        <w:rPr>
          <w:sz w:val="22"/>
          <w:szCs w:val="22"/>
          <w:lang w:val="es-ES"/>
        </w:rPr>
        <w:t>ena l</w:t>
      </w:r>
      <w:r w:rsidR="00FE6000" w:rsidRPr="00880E7B">
        <w:rPr>
          <w:sz w:val="22"/>
          <w:szCs w:val="22"/>
          <w:lang w:val="es-ES"/>
        </w:rPr>
        <w:t>ij</w:t>
      </w:r>
      <w:r w:rsidRPr="00880E7B">
        <w:rPr>
          <w:sz w:val="22"/>
          <w:szCs w:val="22"/>
          <w:lang w:val="es-ES"/>
        </w:rPr>
        <w:t xml:space="preserve">eka ESBRIET i fluvoksamina (snažnog inhibitora CYP1A2, sa inhibirajućim efektom na druge CYP izoenzime [CYP2C9, 2C19 i 2D6]) rezultirala je četvorostrukim porastom izloženosti pirfenidonu kod nepušača. </w:t>
      </w:r>
    </w:p>
    <w:p w:rsidR="00780296" w:rsidRPr="00880E7B" w:rsidRDefault="00780296">
      <w:pPr>
        <w:spacing w:line="240" w:lineRule="exact"/>
        <w:jc w:val="both"/>
        <w:rPr>
          <w:bCs/>
          <w:sz w:val="22"/>
          <w:szCs w:val="22"/>
          <w:lang w:val="es-ES"/>
        </w:rPr>
      </w:pPr>
    </w:p>
    <w:p w:rsidR="00780296" w:rsidRPr="00880E7B" w:rsidRDefault="00FE6000">
      <w:pPr>
        <w:spacing w:line="240" w:lineRule="exact"/>
        <w:jc w:val="both"/>
        <w:rPr>
          <w:sz w:val="22"/>
          <w:szCs w:val="22"/>
          <w:lang w:val="es-ES"/>
        </w:rPr>
      </w:pPr>
      <w:r w:rsidRPr="00880E7B">
        <w:rPr>
          <w:sz w:val="22"/>
          <w:szCs w:val="22"/>
          <w:lang w:val="es-ES"/>
        </w:rPr>
        <w:t>Lijek</w:t>
      </w:r>
      <w:r w:rsidR="00780296" w:rsidRPr="00880E7B">
        <w:rPr>
          <w:sz w:val="22"/>
          <w:szCs w:val="22"/>
          <w:lang w:val="es-ES"/>
        </w:rPr>
        <w:t xml:space="preserve"> ESBRIET je kontraindikovan kod pacijenata koji istovremeno koriste fluvoksamin (</w:t>
      </w:r>
      <w:r w:rsidRPr="00880E7B">
        <w:rPr>
          <w:sz w:val="22"/>
          <w:szCs w:val="22"/>
          <w:lang w:val="es-ES"/>
        </w:rPr>
        <w:t>vidjeti</w:t>
      </w:r>
      <w:r w:rsidR="00780296" w:rsidRPr="00880E7B">
        <w:rPr>
          <w:sz w:val="22"/>
          <w:szCs w:val="22"/>
          <w:lang w:val="es-ES"/>
        </w:rPr>
        <w:t xml:space="preserve"> </w:t>
      </w:r>
      <w:r w:rsidR="002D2595" w:rsidRPr="00880E7B">
        <w:rPr>
          <w:sz w:val="22"/>
          <w:szCs w:val="22"/>
          <w:lang w:val="es-ES"/>
        </w:rPr>
        <w:t xml:space="preserve">dio </w:t>
      </w:r>
      <w:r w:rsidR="00780296" w:rsidRPr="00880E7B">
        <w:rPr>
          <w:sz w:val="22"/>
          <w:szCs w:val="22"/>
          <w:lang w:val="es-ES"/>
        </w:rPr>
        <w:t>4.3). Sa uzimanjem fluvoksamina treba prekinuti pr</w:t>
      </w:r>
      <w:r w:rsidR="00FD599D" w:rsidRPr="00880E7B">
        <w:rPr>
          <w:sz w:val="22"/>
          <w:szCs w:val="22"/>
          <w:lang w:val="es-ES"/>
        </w:rPr>
        <w:t>ij</w:t>
      </w:r>
      <w:r w:rsidR="00780296" w:rsidRPr="00880E7B">
        <w:rPr>
          <w:sz w:val="22"/>
          <w:szCs w:val="22"/>
          <w:lang w:val="es-ES"/>
        </w:rPr>
        <w:t xml:space="preserve">e započinjanja terapije </w:t>
      </w:r>
      <w:r w:rsidRPr="00880E7B">
        <w:rPr>
          <w:sz w:val="22"/>
          <w:szCs w:val="22"/>
          <w:lang w:val="es-ES"/>
        </w:rPr>
        <w:t>lijek</w:t>
      </w:r>
      <w:r w:rsidR="00780296" w:rsidRPr="00880E7B">
        <w:rPr>
          <w:sz w:val="22"/>
          <w:szCs w:val="22"/>
          <w:lang w:val="es-ES"/>
        </w:rPr>
        <w:t>om ESBRIET i izb</w:t>
      </w:r>
      <w:r w:rsidR="00FD599D" w:rsidRPr="00880E7B">
        <w:rPr>
          <w:sz w:val="22"/>
          <w:szCs w:val="22"/>
          <w:lang w:val="es-ES"/>
        </w:rPr>
        <w:t>j</w:t>
      </w:r>
      <w:r w:rsidR="00780296" w:rsidRPr="00880E7B">
        <w:rPr>
          <w:sz w:val="22"/>
          <w:szCs w:val="22"/>
          <w:lang w:val="es-ES"/>
        </w:rPr>
        <w:t>egavati njegovu prim</w:t>
      </w:r>
      <w:r w:rsidR="00FD599D" w:rsidRPr="00880E7B">
        <w:rPr>
          <w:sz w:val="22"/>
          <w:szCs w:val="22"/>
          <w:lang w:val="es-ES"/>
        </w:rPr>
        <w:t>j</w:t>
      </w:r>
      <w:r w:rsidR="00780296" w:rsidRPr="00880E7B">
        <w:rPr>
          <w:sz w:val="22"/>
          <w:szCs w:val="22"/>
          <w:lang w:val="es-ES"/>
        </w:rPr>
        <w:t xml:space="preserve">enu tokom terapije </w:t>
      </w:r>
      <w:r w:rsidRPr="00880E7B">
        <w:rPr>
          <w:sz w:val="22"/>
          <w:szCs w:val="22"/>
          <w:lang w:val="es-ES"/>
        </w:rPr>
        <w:t>lijek</w:t>
      </w:r>
      <w:r w:rsidR="00780296" w:rsidRPr="00880E7B">
        <w:rPr>
          <w:sz w:val="22"/>
          <w:szCs w:val="22"/>
          <w:lang w:val="es-ES"/>
        </w:rPr>
        <w:t>om ESBRIET zbog sniženog klirensa pirfenidona. Tokom terapije pirfenidonom treba izb</w:t>
      </w:r>
      <w:r w:rsidR="005D0061" w:rsidRPr="00880E7B">
        <w:rPr>
          <w:sz w:val="22"/>
          <w:szCs w:val="22"/>
          <w:lang w:val="es-ES"/>
        </w:rPr>
        <w:t>j</w:t>
      </w:r>
      <w:r w:rsidR="00780296" w:rsidRPr="00880E7B">
        <w:rPr>
          <w:sz w:val="22"/>
          <w:szCs w:val="22"/>
          <w:lang w:val="es-ES"/>
        </w:rPr>
        <w:t xml:space="preserve">egavati druge </w:t>
      </w:r>
      <w:r w:rsidRPr="00880E7B">
        <w:rPr>
          <w:sz w:val="22"/>
          <w:szCs w:val="22"/>
          <w:lang w:val="es-ES"/>
        </w:rPr>
        <w:t>ljek</w:t>
      </w:r>
      <w:r w:rsidR="00780296" w:rsidRPr="00880E7B">
        <w:rPr>
          <w:sz w:val="22"/>
          <w:szCs w:val="22"/>
          <w:lang w:val="es-ES"/>
        </w:rPr>
        <w:t>ove koji inhibiraju CYP1A2 i jedan ili više drugih izoenzima CYP uključenih u metabolizam pirfenidona (npr. CYP2C9, 2C19 i 2D6).</w:t>
      </w:r>
    </w:p>
    <w:p w:rsidR="00780296" w:rsidRPr="00880E7B" w:rsidRDefault="00780296">
      <w:pPr>
        <w:spacing w:line="240" w:lineRule="exact"/>
        <w:jc w:val="both"/>
        <w:rPr>
          <w:sz w:val="22"/>
          <w:szCs w:val="22"/>
          <w:lang w:val="es-ES"/>
        </w:rPr>
      </w:pPr>
    </w:p>
    <w:p w:rsidR="00780296" w:rsidRPr="00880E7B" w:rsidRDefault="00780296">
      <w:pPr>
        <w:spacing w:line="240" w:lineRule="exact"/>
        <w:jc w:val="both"/>
        <w:rPr>
          <w:bCs/>
          <w:sz w:val="22"/>
          <w:szCs w:val="22"/>
          <w:lang w:val="es-ES"/>
        </w:rPr>
      </w:pPr>
      <w:r w:rsidRPr="00880E7B">
        <w:rPr>
          <w:i/>
          <w:sz w:val="22"/>
          <w:szCs w:val="22"/>
          <w:lang w:val="es-ES"/>
        </w:rPr>
        <w:t xml:space="preserve">In vitro </w:t>
      </w:r>
      <w:r w:rsidRPr="00880E7B">
        <w:rPr>
          <w:sz w:val="22"/>
          <w:szCs w:val="22"/>
          <w:lang w:val="es-ES"/>
        </w:rPr>
        <w:t xml:space="preserve">i </w:t>
      </w:r>
      <w:r w:rsidRPr="00880E7B">
        <w:rPr>
          <w:i/>
          <w:sz w:val="22"/>
          <w:szCs w:val="22"/>
          <w:lang w:val="es-ES"/>
        </w:rPr>
        <w:t xml:space="preserve">in vivo </w:t>
      </w:r>
      <w:r w:rsidRPr="00880E7B">
        <w:rPr>
          <w:sz w:val="22"/>
          <w:szCs w:val="22"/>
          <w:lang w:val="es-ES"/>
        </w:rPr>
        <w:t>ekstrapolacije ukazuju da snažni i se</w:t>
      </w:r>
      <w:r w:rsidR="00FE6000" w:rsidRPr="00880E7B">
        <w:rPr>
          <w:sz w:val="22"/>
          <w:szCs w:val="22"/>
          <w:lang w:val="es-ES"/>
        </w:rPr>
        <w:t>lek</w:t>
      </w:r>
      <w:r w:rsidRPr="00880E7B">
        <w:rPr>
          <w:sz w:val="22"/>
          <w:szCs w:val="22"/>
          <w:lang w:val="es-ES"/>
        </w:rPr>
        <w:t xml:space="preserve">tivni CYP1A2 inhibitori (npr. enoksacin) mogu da povećaju izlaganje pirfenidonu približno 2 do 4 puta. Ako je istovremena upotreba </w:t>
      </w:r>
      <w:r w:rsidR="00FE6000" w:rsidRPr="00880E7B">
        <w:rPr>
          <w:sz w:val="22"/>
          <w:szCs w:val="22"/>
          <w:lang w:val="es-ES"/>
        </w:rPr>
        <w:t>lijek</w:t>
      </w:r>
      <w:r w:rsidRPr="00880E7B">
        <w:rPr>
          <w:sz w:val="22"/>
          <w:szCs w:val="22"/>
          <w:lang w:val="es-ES"/>
        </w:rPr>
        <w:t>a ESBRIET sa snažnim i se</w:t>
      </w:r>
      <w:r w:rsidR="00FE6000" w:rsidRPr="00880E7B">
        <w:rPr>
          <w:sz w:val="22"/>
          <w:szCs w:val="22"/>
          <w:lang w:val="es-ES"/>
        </w:rPr>
        <w:t>lek</w:t>
      </w:r>
      <w:r w:rsidRPr="00880E7B">
        <w:rPr>
          <w:sz w:val="22"/>
          <w:szCs w:val="22"/>
          <w:lang w:val="es-ES"/>
        </w:rPr>
        <w:t>tivnim CYP1A2 inhibitorima neizb</w:t>
      </w:r>
      <w:r w:rsidR="00045D87" w:rsidRPr="00880E7B">
        <w:rPr>
          <w:sz w:val="22"/>
          <w:szCs w:val="22"/>
          <w:lang w:val="es-ES"/>
        </w:rPr>
        <w:t>j</w:t>
      </w:r>
      <w:r w:rsidRPr="00880E7B">
        <w:rPr>
          <w:sz w:val="22"/>
          <w:szCs w:val="22"/>
          <w:lang w:val="es-ES"/>
        </w:rPr>
        <w:t xml:space="preserve">ežna, dozu </w:t>
      </w:r>
      <w:r w:rsidR="00FE6000" w:rsidRPr="00880E7B">
        <w:rPr>
          <w:sz w:val="22"/>
          <w:szCs w:val="22"/>
          <w:lang w:val="es-ES"/>
        </w:rPr>
        <w:t>lijek</w:t>
      </w:r>
      <w:r w:rsidRPr="00880E7B">
        <w:rPr>
          <w:sz w:val="22"/>
          <w:szCs w:val="22"/>
          <w:lang w:val="es-ES"/>
        </w:rPr>
        <w:t xml:space="preserve">a ESBRIET potrebno je smanjiti na 801 mg dnevno (267 mg tri puta dnevno). Pacijente treba pažljivo pratiti zbog pojave neželjenih reakcija povezanih sa terapijom </w:t>
      </w:r>
      <w:r w:rsidR="00FE6000" w:rsidRPr="00880E7B">
        <w:rPr>
          <w:sz w:val="22"/>
          <w:szCs w:val="22"/>
          <w:lang w:val="es-ES"/>
        </w:rPr>
        <w:t>lijek</w:t>
      </w:r>
      <w:r w:rsidRPr="00880E7B">
        <w:rPr>
          <w:sz w:val="22"/>
          <w:szCs w:val="22"/>
          <w:lang w:val="es-ES"/>
        </w:rPr>
        <w:t>om ESBRIET. Ako je potrebno, prim</w:t>
      </w:r>
      <w:r w:rsidR="00045D87" w:rsidRPr="00880E7B">
        <w:rPr>
          <w:sz w:val="22"/>
          <w:szCs w:val="22"/>
          <w:lang w:val="es-ES"/>
        </w:rPr>
        <w:t>j</w:t>
      </w:r>
      <w:r w:rsidRPr="00880E7B">
        <w:rPr>
          <w:sz w:val="22"/>
          <w:szCs w:val="22"/>
          <w:lang w:val="es-ES"/>
        </w:rPr>
        <w:t xml:space="preserve">enu </w:t>
      </w:r>
      <w:r w:rsidR="00FE6000" w:rsidRPr="00880E7B">
        <w:rPr>
          <w:sz w:val="22"/>
          <w:szCs w:val="22"/>
          <w:lang w:val="es-ES"/>
        </w:rPr>
        <w:t>lijek</w:t>
      </w:r>
      <w:r w:rsidRPr="00880E7B">
        <w:rPr>
          <w:sz w:val="22"/>
          <w:szCs w:val="22"/>
          <w:lang w:val="es-ES"/>
        </w:rPr>
        <w:t>a ESBRIET treba prekinuti (</w:t>
      </w:r>
      <w:r w:rsidR="00FE6000" w:rsidRPr="00880E7B">
        <w:rPr>
          <w:sz w:val="22"/>
          <w:szCs w:val="22"/>
          <w:lang w:val="es-ES"/>
        </w:rPr>
        <w:t>vidjeti</w:t>
      </w:r>
      <w:r w:rsidRPr="00880E7B">
        <w:rPr>
          <w:sz w:val="22"/>
          <w:szCs w:val="22"/>
          <w:lang w:val="es-ES"/>
        </w:rPr>
        <w:t xml:space="preserve"> </w:t>
      </w:r>
      <w:r w:rsidR="002D2595" w:rsidRPr="00880E7B">
        <w:rPr>
          <w:sz w:val="22"/>
          <w:szCs w:val="22"/>
          <w:lang w:val="es-ES"/>
        </w:rPr>
        <w:t xml:space="preserve">djelove </w:t>
      </w:r>
      <w:r w:rsidRPr="00880E7B">
        <w:rPr>
          <w:sz w:val="22"/>
          <w:szCs w:val="22"/>
          <w:lang w:val="es-ES"/>
        </w:rPr>
        <w:t>4.2 i 4.4).</w:t>
      </w:r>
    </w:p>
    <w:p w:rsidR="00780296" w:rsidRPr="00880E7B" w:rsidRDefault="00780296">
      <w:pPr>
        <w:spacing w:line="240" w:lineRule="exact"/>
        <w:jc w:val="both"/>
        <w:rPr>
          <w:sz w:val="22"/>
          <w:szCs w:val="22"/>
          <w:lang w:val="es-ES"/>
        </w:rPr>
      </w:pPr>
      <w:r w:rsidRPr="00880E7B">
        <w:rPr>
          <w:sz w:val="22"/>
          <w:szCs w:val="22"/>
          <w:lang w:val="es-ES"/>
        </w:rPr>
        <w:t xml:space="preserve">Istovremena </w:t>
      </w:r>
      <w:r w:rsidR="00FE6000" w:rsidRPr="00880E7B">
        <w:rPr>
          <w:sz w:val="22"/>
          <w:szCs w:val="22"/>
          <w:lang w:val="es-ES"/>
        </w:rPr>
        <w:t>primjena</w:t>
      </w:r>
      <w:r w:rsidRPr="00880E7B">
        <w:rPr>
          <w:sz w:val="22"/>
          <w:szCs w:val="22"/>
          <w:lang w:val="es-ES"/>
        </w:rPr>
        <w:t xml:space="preserve"> </w:t>
      </w:r>
      <w:r w:rsidR="00FE6000" w:rsidRPr="00880E7B">
        <w:rPr>
          <w:sz w:val="22"/>
          <w:szCs w:val="22"/>
          <w:lang w:val="es-ES"/>
        </w:rPr>
        <w:t>lijek</w:t>
      </w:r>
      <w:r w:rsidRPr="00880E7B">
        <w:rPr>
          <w:sz w:val="22"/>
          <w:szCs w:val="22"/>
          <w:lang w:val="es-ES"/>
        </w:rPr>
        <w:t>a ESBRIET sa 750 mg ciprofloksacina (um</w:t>
      </w:r>
      <w:r w:rsidR="00FE6000" w:rsidRPr="00880E7B">
        <w:rPr>
          <w:sz w:val="22"/>
          <w:szCs w:val="22"/>
          <w:lang w:val="es-ES"/>
        </w:rPr>
        <w:t>j</w:t>
      </w:r>
      <w:r w:rsidRPr="00880E7B">
        <w:rPr>
          <w:sz w:val="22"/>
          <w:szCs w:val="22"/>
          <w:lang w:val="es-ES"/>
        </w:rPr>
        <w:t>ereni CYP1A2 inhibitor) povećala je izloženost pirfenidonu za 81%. Ako je neizb</w:t>
      </w:r>
      <w:r w:rsidR="00FD599D" w:rsidRPr="00880E7B">
        <w:rPr>
          <w:sz w:val="22"/>
          <w:szCs w:val="22"/>
          <w:lang w:val="es-ES"/>
        </w:rPr>
        <w:t>j</w:t>
      </w:r>
      <w:r w:rsidRPr="00880E7B">
        <w:rPr>
          <w:sz w:val="22"/>
          <w:szCs w:val="22"/>
          <w:lang w:val="es-ES"/>
        </w:rPr>
        <w:t xml:space="preserve">ežna </w:t>
      </w:r>
      <w:r w:rsidR="00FE6000" w:rsidRPr="00880E7B">
        <w:rPr>
          <w:sz w:val="22"/>
          <w:szCs w:val="22"/>
          <w:lang w:val="es-ES"/>
        </w:rPr>
        <w:t>primjena</w:t>
      </w:r>
      <w:r w:rsidRPr="00880E7B">
        <w:rPr>
          <w:sz w:val="22"/>
          <w:szCs w:val="22"/>
          <w:lang w:val="es-ES"/>
        </w:rPr>
        <w:t xml:space="preserve"> ciprofloksacina u dozi od 750 mg dva puta dnevno, doza </w:t>
      </w:r>
      <w:r w:rsidR="00FE6000" w:rsidRPr="00880E7B">
        <w:rPr>
          <w:sz w:val="22"/>
          <w:szCs w:val="22"/>
          <w:lang w:val="es-ES"/>
        </w:rPr>
        <w:t>lijek</w:t>
      </w:r>
      <w:r w:rsidRPr="00880E7B">
        <w:rPr>
          <w:sz w:val="22"/>
          <w:szCs w:val="22"/>
          <w:lang w:val="es-ES"/>
        </w:rPr>
        <w:t xml:space="preserve">a ESBRIET mora se sniziti na 1602 mg dnevno (534 mg tri puta dnevno). </w:t>
      </w:r>
      <w:r w:rsidR="00FE6000" w:rsidRPr="00880E7B">
        <w:rPr>
          <w:sz w:val="22"/>
          <w:szCs w:val="22"/>
          <w:lang w:val="es-ES"/>
        </w:rPr>
        <w:t>Lijek</w:t>
      </w:r>
      <w:r w:rsidRPr="00880E7B">
        <w:rPr>
          <w:sz w:val="22"/>
          <w:szCs w:val="22"/>
          <w:lang w:val="es-ES"/>
        </w:rPr>
        <w:t xml:space="preserve"> ESBRIET se mora prim</w:t>
      </w:r>
      <w:r w:rsidR="002D2595" w:rsidRPr="00880E7B">
        <w:rPr>
          <w:sz w:val="22"/>
          <w:szCs w:val="22"/>
          <w:lang w:val="es-ES"/>
        </w:rPr>
        <w:t>i</w:t>
      </w:r>
      <w:r w:rsidR="00FE6000" w:rsidRPr="00880E7B">
        <w:rPr>
          <w:sz w:val="22"/>
          <w:szCs w:val="22"/>
          <w:lang w:val="es-ES"/>
        </w:rPr>
        <w:t>j</w:t>
      </w:r>
      <w:r w:rsidRPr="00880E7B">
        <w:rPr>
          <w:sz w:val="22"/>
          <w:szCs w:val="22"/>
          <w:lang w:val="es-ES"/>
        </w:rPr>
        <w:t>enjivati oprezno kada se ciprofloksacin prim</w:t>
      </w:r>
      <w:r w:rsidR="002D2595" w:rsidRPr="00880E7B">
        <w:rPr>
          <w:sz w:val="22"/>
          <w:szCs w:val="22"/>
          <w:lang w:val="es-ES"/>
        </w:rPr>
        <w:t>i</w:t>
      </w:r>
      <w:r w:rsidR="00FE6000" w:rsidRPr="00880E7B">
        <w:rPr>
          <w:sz w:val="22"/>
          <w:szCs w:val="22"/>
          <w:lang w:val="es-ES"/>
        </w:rPr>
        <w:t>j</w:t>
      </w:r>
      <w:r w:rsidRPr="00880E7B">
        <w:rPr>
          <w:sz w:val="22"/>
          <w:szCs w:val="22"/>
          <w:lang w:val="es-ES"/>
        </w:rPr>
        <w:t xml:space="preserve">enjuje u dozi od 250 mg ili 500 mg jednom ili dva puta dnevno. </w:t>
      </w:r>
    </w:p>
    <w:p w:rsidR="00780296" w:rsidRPr="00880E7B" w:rsidRDefault="00780296">
      <w:pPr>
        <w:spacing w:line="240" w:lineRule="exact"/>
        <w:jc w:val="both"/>
        <w:rPr>
          <w:sz w:val="22"/>
          <w:szCs w:val="22"/>
          <w:lang w:val="es-ES"/>
        </w:rPr>
      </w:pPr>
    </w:p>
    <w:p w:rsidR="00780296" w:rsidRPr="00880E7B" w:rsidRDefault="00FE6000">
      <w:pPr>
        <w:spacing w:line="240" w:lineRule="exact"/>
        <w:jc w:val="both"/>
        <w:rPr>
          <w:sz w:val="22"/>
          <w:szCs w:val="22"/>
          <w:lang w:val="es-ES"/>
        </w:rPr>
      </w:pPr>
      <w:r w:rsidRPr="00880E7B">
        <w:rPr>
          <w:sz w:val="22"/>
          <w:szCs w:val="22"/>
          <w:lang w:val="es-ES"/>
        </w:rPr>
        <w:t>Lijek</w:t>
      </w:r>
      <w:r w:rsidR="00780296" w:rsidRPr="00880E7B">
        <w:rPr>
          <w:sz w:val="22"/>
          <w:szCs w:val="22"/>
          <w:lang w:val="es-ES"/>
        </w:rPr>
        <w:t xml:space="preserve"> ESBRIET se mora prim</w:t>
      </w:r>
      <w:r w:rsidR="002D2595" w:rsidRPr="00880E7B">
        <w:rPr>
          <w:sz w:val="22"/>
          <w:szCs w:val="22"/>
          <w:lang w:val="es-ES"/>
        </w:rPr>
        <w:t>i</w:t>
      </w:r>
      <w:r w:rsidRPr="00880E7B">
        <w:rPr>
          <w:sz w:val="22"/>
          <w:szCs w:val="22"/>
          <w:lang w:val="es-ES"/>
        </w:rPr>
        <w:t>j</w:t>
      </w:r>
      <w:r w:rsidR="00780296" w:rsidRPr="00880E7B">
        <w:rPr>
          <w:sz w:val="22"/>
          <w:szCs w:val="22"/>
          <w:lang w:val="es-ES"/>
        </w:rPr>
        <w:t>enjivati oprezno kod pacijenata koji su na terapiji drugim um</w:t>
      </w:r>
      <w:r w:rsidRPr="00880E7B">
        <w:rPr>
          <w:sz w:val="22"/>
          <w:szCs w:val="22"/>
          <w:lang w:val="es-ES"/>
        </w:rPr>
        <w:t>j</w:t>
      </w:r>
      <w:r w:rsidR="00780296" w:rsidRPr="00880E7B">
        <w:rPr>
          <w:sz w:val="22"/>
          <w:szCs w:val="22"/>
          <w:lang w:val="es-ES"/>
        </w:rPr>
        <w:t xml:space="preserve">erenim inhibitorima CYP1A2 (npr. amjodaron, propafenon). </w:t>
      </w:r>
    </w:p>
    <w:p w:rsidR="00780296" w:rsidRPr="00880E7B" w:rsidRDefault="00780296">
      <w:pPr>
        <w:spacing w:line="240" w:lineRule="exact"/>
        <w:jc w:val="both"/>
        <w:rPr>
          <w:sz w:val="22"/>
          <w:szCs w:val="22"/>
          <w:lang w:val="es-ES"/>
        </w:rPr>
      </w:pPr>
    </w:p>
    <w:p w:rsidR="00780296" w:rsidRPr="00880E7B" w:rsidRDefault="00780296">
      <w:pPr>
        <w:spacing w:line="240" w:lineRule="exact"/>
        <w:jc w:val="both"/>
        <w:rPr>
          <w:sz w:val="22"/>
          <w:szCs w:val="22"/>
          <w:lang w:val="es-ES"/>
        </w:rPr>
      </w:pPr>
      <w:r w:rsidRPr="00880E7B">
        <w:rPr>
          <w:sz w:val="22"/>
          <w:szCs w:val="22"/>
          <w:lang w:val="es-ES"/>
        </w:rPr>
        <w:t>Potreban je poseban oprez ako se istovremeno sa inhibitorima CYP1A2 koriste snažni inhibitori jednog ili više drugih izoenzima CYP uključenih u metabolizam pirfenidona, kao što su CYP2C9 (npr. amjodaron, flukonazol), 2C19 (npr. hloramfenikol) i 2D6 (npr. fluoksetin, paroksetin).</w:t>
      </w:r>
    </w:p>
    <w:p w:rsidR="00780296" w:rsidRPr="00880E7B" w:rsidRDefault="00780296">
      <w:pPr>
        <w:spacing w:line="240" w:lineRule="exact"/>
        <w:jc w:val="both"/>
        <w:rPr>
          <w:sz w:val="22"/>
          <w:szCs w:val="22"/>
          <w:lang w:val="es-ES"/>
        </w:rPr>
      </w:pPr>
    </w:p>
    <w:p w:rsidR="00780296" w:rsidRPr="00880E7B" w:rsidRDefault="00780296">
      <w:pPr>
        <w:spacing w:line="240" w:lineRule="exact"/>
        <w:jc w:val="both"/>
        <w:rPr>
          <w:bCs/>
          <w:sz w:val="22"/>
          <w:szCs w:val="22"/>
          <w:u w:val="single"/>
          <w:lang w:val="es-ES"/>
        </w:rPr>
      </w:pPr>
      <w:r w:rsidRPr="00880E7B">
        <w:rPr>
          <w:sz w:val="22"/>
          <w:szCs w:val="22"/>
          <w:u w:val="single"/>
          <w:lang w:val="es-ES"/>
        </w:rPr>
        <w:t>Pušenje cigareta i induktori CYP1A2</w:t>
      </w:r>
    </w:p>
    <w:p w:rsidR="00780296" w:rsidRPr="00880E7B" w:rsidRDefault="00780296">
      <w:pPr>
        <w:spacing w:line="240" w:lineRule="exact"/>
        <w:jc w:val="both"/>
        <w:rPr>
          <w:bCs/>
          <w:sz w:val="22"/>
          <w:szCs w:val="22"/>
          <w:u w:val="single"/>
          <w:lang w:val="es-ES"/>
        </w:rPr>
      </w:pPr>
    </w:p>
    <w:p w:rsidR="00780296" w:rsidRPr="00880E7B" w:rsidRDefault="00780296">
      <w:pPr>
        <w:spacing w:line="240" w:lineRule="exact"/>
        <w:jc w:val="both"/>
        <w:rPr>
          <w:sz w:val="22"/>
          <w:szCs w:val="22"/>
          <w:lang w:val="es-ES"/>
        </w:rPr>
      </w:pPr>
      <w:r w:rsidRPr="00880E7B">
        <w:rPr>
          <w:sz w:val="22"/>
          <w:szCs w:val="22"/>
          <w:lang w:val="es-ES"/>
        </w:rPr>
        <w:t>U fazi 1 ispitivanja interakcija proc</w:t>
      </w:r>
      <w:r w:rsidR="002D2595" w:rsidRPr="00880E7B">
        <w:rPr>
          <w:sz w:val="22"/>
          <w:szCs w:val="22"/>
          <w:lang w:val="es-ES"/>
        </w:rPr>
        <w:t>i</w:t>
      </w:r>
      <w:r w:rsidR="00FE6000" w:rsidRPr="00880E7B">
        <w:rPr>
          <w:sz w:val="22"/>
          <w:szCs w:val="22"/>
          <w:lang w:val="es-ES"/>
        </w:rPr>
        <w:t>j</w:t>
      </w:r>
      <w:r w:rsidRPr="00880E7B">
        <w:rPr>
          <w:sz w:val="22"/>
          <w:szCs w:val="22"/>
          <w:lang w:val="es-ES"/>
        </w:rPr>
        <w:t xml:space="preserve">enjivao se efekat pušenja (induktor CYP1A2) na farmakokinetiku pirfenidona. Izloženost pirfenidonu kod pušača iznosila je 50% izloženosti uočene kod nepušača. Pušenje ima sposobnost indukcije enzima jetre i time povećava klirens </w:t>
      </w:r>
      <w:r w:rsidR="00FE6000" w:rsidRPr="00880E7B">
        <w:rPr>
          <w:sz w:val="22"/>
          <w:szCs w:val="22"/>
          <w:lang w:val="es-ES"/>
        </w:rPr>
        <w:t>lijek</w:t>
      </w:r>
      <w:r w:rsidRPr="00880E7B">
        <w:rPr>
          <w:sz w:val="22"/>
          <w:szCs w:val="22"/>
          <w:lang w:val="es-ES"/>
        </w:rPr>
        <w:t>a i smanjuje izloženost. Istovremena upotreba snažnih induktora CYP1A2, uključujući pušenje, treba izb</w:t>
      </w:r>
      <w:r w:rsidR="00045D87" w:rsidRPr="00880E7B">
        <w:rPr>
          <w:sz w:val="22"/>
          <w:szCs w:val="22"/>
          <w:lang w:val="es-ES"/>
        </w:rPr>
        <w:t>j</w:t>
      </w:r>
      <w:r w:rsidRPr="00880E7B">
        <w:rPr>
          <w:sz w:val="22"/>
          <w:szCs w:val="22"/>
          <w:lang w:val="es-ES"/>
        </w:rPr>
        <w:t xml:space="preserve">egavati tokom terapije </w:t>
      </w:r>
      <w:r w:rsidR="00FE6000" w:rsidRPr="00880E7B">
        <w:rPr>
          <w:sz w:val="22"/>
          <w:szCs w:val="22"/>
          <w:lang w:val="es-ES"/>
        </w:rPr>
        <w:t>lijek</w:t>
      </w:r>
      <w:r w:rsidRPr="00880E7B">
        <w:rPr>
          <w:sz w:val="22"/>
          <w:szCs w:val="22"/>
          <w:lang w:val="es-ES"/>
        </w:rPr>
        <w:t xml:space="preserve">om ESBRIET, na osnovu zapaženog odnosa </w:t>
      </w:r>
      <w:r w:rsidR="00DD3976" w:rsidRPr="00880E7B">
        <w:rPr>
          <w:sz w:val="22"/>
          <w:szCs w:val="22"/>
          <w:lang w:val="es-ES"/>
        </w:rPr>
        <w:t xml:space="preserve">između </w:t>
      </w:r>
      <w:r w:rsidRPr="00880E7B">
        <w:rPr>
          <w:sz w:val="22"/>
          <w:szCs w:val="22"/>
          <w:lang w:val="es-ES"/>
        </w:rPr>
        <w:t>pušenja cigareta i potencijalne indukcije CYP1A2. Pacijente treba podstaći da prestanu da koriste jake induktore CYP1A2 i da prestanu da puše pr</w:t>
      </w:r>
      <w:r w:rsidR="000635B4" w:rsidRPr="00880E7B">
        <w:rPr>
          <w:sz w:val="22"/>
          <w:szCs w:val="22"/>
          <w:lang w:val="es-ES"/>
        </w:rPr>
        <w:t>ij</w:t>
      </w:r>
      <w:r w:rsidRPr="00880E7B">
        <w:rPr>
          <w:sz w:val="22"/>
          <w:szCs w:val="22"/>
          <w:lang w:val="es-ES"/>
        </w:rPr>
        <w:t>e i za vr</w:t>
      </w:r>
      <w:r w:rsidR="00045D87" w:rsidRPr="00880E7B">
        <w:rPr>
          <w:sz w:val="22"/>
          <w:szCs w:val="22"/>
          <w:lang w:val="es-ES"/>
        </w:rPr>
        <w:t>ij</w:t>
      </w:r>
      <w:r w:rsidRPr="00880E7B">
        <w:rPr>
          <w:sz w:val="22"/>
          <w:szCs w:val="22"/>
          <w:lang w:val="es-ES"/>
        </w:rPr>
        <w:t xml:space="preserve">eme terapije pirfenidonom. </w:t>
      </w:r>
    </w:p>
    <w:p w:rsidR="00780296" w:rsidRPr="00880E7B" w:rsidRDefault="00780296">
      <w:pPr>
        <w:spacing w:line="240" w:lineRule="exact"/>
        <w:jc w:val="both"/>
        <w:rPr>
          <w:sz w:val="22"/>
          <w:szCs w:val="22"/>
          <w:lang w:val="es-ES"/>
        </w:rPr>
      </w:pPr>
    </w:p>
    <w:p w:rsidR="00780296" w:rsidRPr="00880E7B" w:rsidRDefault="00780296">
      <w:pPr>
        <w:spacing w:line="240" w:lineRule="exact"/>
        <w:jc w:val="both"/>
        <w:rPr>
          <w:sz w:val="22"/>
          <w:szCs w:val="22"/>
          <w:lang w:val="es-ES"/>
        </w:rPr>
      </w:pPr>
      <w:r w:rsidRPr="00880E7B">
        <w:rPr>
          <w:sz w:val="22"/>
          <w:szCs w:val="22"/>
          <w:lang w:val="es-ES"/>
        </w:rPr>
        <w:t>U slučaju um</w:t>
      </w:r>
      <w:r w:rsidR="00FD599D" w:rsidRPr="00880E7B">
        <w:rPr>
          <w:sz w:val="22"/>
          <w:szCs w:val="22"/>
          <w:lang w:val="es-ES"/>
        </w:rPr>
        <w:t>j</w:t>
      </w:r>
      <w:r w:rsidRPr="00880E7B">
        <w:rPr>
          <w:sz w:val="22"/>
          <w:szCs w:val="22"/>
          <w:lang w:val="es-ES"/>
        </w:rPr>
        <w:t>erenih induktora CYP1A2 (npr. omeprazol), istovremena upotreba može teoretski imati za posl</w:t>
      </w:r>
      <w:r w:rsidR="00045D87" w:rsidRPr="00880E7B">
        <w:rPr>
          <w:sz w:val="22"/>
          <w:szCs w:val="22"/>
          <w:lang w:val="es-ES"/>
        </w:rPr>
        <w:t>j</w:t>
      </w:r>
      <w:r w:rsidRPr="00880E7B">
        <w:rPr>
          <w:sz w:val="22"/>
          <w:szCs w:val="22"/>
          <w:lang w:val="es-ES"/>
        </w:rPr>
        <w:t>edicu smanjenje koncentracije pirfenidona u plazmi.</w:t>
      </w:r>
    </w:p>
    <w:p w:rsidR="00780296" w:rsidRPr="00880E7B" w:rsidRDefault="00780296">
      <w:pPr>
        <w:spacing w:line="240" w:lineRule="exact"/>
        <w:jc w:val="both"/>
        <w:rPr>
          <w:sz w:val="22"/>
          <w:szCs w:val="22"/>
          <w:lang w:val="es-ES"/>
        </w:rPr>
      </w:pPr>
    </w:p>
    <w:p w:rsidR="00780296" w:rsidRPr="00880E7B" w:rsidRDefault="00780296">
      <w:pPr>
        <w:jc w:val="both"/>
        <w:rPr>
          <w:sz w:val="22"/>
          <w:szCs w:val="22"/>
          <w:lang w:val="es-ES"/>
        </w:rPr>
      </w:pPr>
      <w:r w:rsidRPr="00880E7B">
        <w:rPr>
          <w:sz w:val="22"/>
          <w:szCs w:val="22"/>
          <w:lang w:val="es-ES"/>
        </w:rPr>
        <w:t xml:space="preserve">Istovremena </w:t>
      </w:r>
      <w:r w:rsidR="00FE6000" w:rsidRPr="00880E7B">
        <w:rPr>
          <w:sz w:val="22"/>
          <w:szCs w:val="22"/>
          <w:lang w:val="es-ES"/>
        </w:rPr>
        <w:t>primjena</w:t>
      </w:r>
      <w:r w:rsidRPr="00880E7B">
        <w:rPr>
          <w:sz w:val="22"/>
          <w:szCs w:val="22"/>
          <w:lang w:val="es-ES"/>
        </w:rPr>
        <w:t xml:space="preserve"> </w:t>
      </w:r>
      <w:r w:rsidR="00FE6000" w:rsidRPr="00880E7B">
        <w:rPr>
          <w:sz w:val="22"/>
          <w:szCs w:val="22"/>
          <w:lang w:val="es-ES"/>
        </w:rPr>
        <w:t>ljek</w:t>
      </w:r>
      <w:r w:rsidRPr="00880E7B">
        <w:rPr>
          <w:sz w:val="22"/>
          <w:szCs w:val="22"/>
          <w:lang w:val="es-ES"/>
        </w:rPr>
        <w:t>ova koji d</w:t>
      </w:r>
      <w:r w:rsidR="00045D87" w:rsidRPr="00880E7B">
        <w:rPr>
          <w:sz w:val="22"/>
          <w:szCs w:val="22"/>
          <w:lang w:val="es-ES"/>
        </w:rPr>
        <w:t>j</w:t>
      </w:r>
      <w:r w:rsidRPr="00880E7B">
        <w:rPr>
          <w:sz w:val="22"/>
          <w:szCs w:val="22"/>
          <w:lang w:val="es-ES"/>
        </w:rPr>
        <w:t>eluju kao potencijalni induktori CYP1A2 i drugih izoenzima CYP uključenih u metabolizam pirfenidona (npr. rifampicin) može imati za posl</w:t>
      </w:r>
      <w:r w:rsidR="00045D87" w:rsidRPr="00880E7B">
        <w:rPr>
          <w:sz w:val="22"/>
          <w:szCs w:val="22"/>
          <w:lang w:val="es-ES"/>
        </w:rPr>
        <w:t>j</w:t>
      </w:r>
      <w:r w:rsidRPr="00880E7B">
        <w:rPr>
          <w:sz w:val="22"/>
          <w:szCs w:val="22"/>
          <w:lang w:val="es-ES"/>
        </w:rPr>
        <w:t xml:space="preserve">edicu značajno smanjenje koncentracije pifenidona u plazmi. Ove </w:t>
      </w:r>
      <w:r w:rsidR="00FE6000" w:rsidRPr="00880E7B">
        <w:rPr>
          <w:sz w:val="22"/>
          <w:szCs w:val="22"/>
          <w:lang w:val="es-ES"/>
        </w:rPr>
        <w:t>ljek</w:t>
      </w:r>
      <w:r w:rsidRPr="00880E7B">
        <w:rPr>
          <w:sz w:val="22"/>
          <w:szCs w:val="22"/>
          <w:lang w:val="es-ES"/>
        </w:rPr>
        <w:t>ove treba izb</w:t>
      </w:r>
      <w:r w:rsidR="00045D87" w:rsidRPr="00880E7B">
        <w:rPr>
          <w:sz w:val="22"/>
          <w:szCs w:val="22"/>
          <w:lang w:val="es-ES"/>
        </w:rPr>
        <w:t>j</w:t>
      </w:r>
      <w:r w:rsidRPr="00880E7B">
        <w:rPr>
          <w:sz w:val="22"/>
          <w:szCs w:val="22"/>
          <w:lang w:val="es-ES"/>
        </w:rPr>
        <w:t>egavati kad god je to moguće.</w:t>
      </w:r>
    </w:p>
    <w:p w:rsidR="00241CD1" w:rsidRPr="00880E7B" w:rsidRDefault="00241CD1">
      <w:pPr>
        <w:tabs>
          <w:tab w:val="left" w:pos="540"/>
          <w:tab w:val="left" w:pos="569"/>
        </w:tabs>
        <w:jc w:val="both"/>
        <w:rPr>
          <w:bCs/>
          <w:sz w:val="22"/>
          <w:szCs w:val="22"/>
        </w:rPr>
      </w:pPr>
    </w:p>
    <w:p w:rsidR="0072020E" w:rsidRPr="00880E7B" w:rsidRDefault="0072020E">
      <w:pPr>
        <w:tabs>
          <w:tab w:val="left" w:pos="540"/>
          <w:tab w:val="left" w:pos="569"/>
        </w:tabs>
        <w:jc w:val="both"/>
        <w:rPr>
          <w:b/>
          <w:sz w:val="22"/>
          <w:szCs w:val="22"/>
          <w:lang w:val="sr-Latn-CS"/>
        </w:rPr>
      </w:pPr>
      <w:r w:rsidRPr="00880E7B">
        <w:rPr>
          <w:b/>
          <w:bCs/>
          <w:sz w:val="22"/>
          <w:szCs w:val="22"/>
        </w:rPr>
        <w:t xml:space="preserve">4.6. </w:t>
      </w:r>
      <w:r w:rsidR="00480FB1" w:rsidRPr="00880E7B">
        <w:rPr>
          <w:b/>
          <w:bCs/>
          <w:sz w:val="22"/>
          <w:szCs w:val="22"/>
        </w:rPr>
        <w:tab/>
      </w:r>
      <w:r w:rsidR="006D20A5" w:rsidRPr="00880E7B">
        <w:rPr>
          <w:b/>
          <w:sz w:val="22"/>
          <w:szCs w:val="22"/>
          <w:lang w:val="sr-Latn-CS"/>
        </w:rPr>
        <w:t>Plodnost, trudnoća i dojenj</w:t>
      </w:r>
      <w:r w:rsidR="00DD3976" w:rsidRPr="00880E7B">
        <w:rPr>
          <w:b/>
          <w:sz w:val="22"/>
          <w:szCs w:val="22"/>
          <w:lang w:val="sr-Latn-CS"/>
        </w:rPr>
        <w:t>e</w:t>
      </w:r>
    </w:p>
    <w:p w:rsidR="002031B3" w:rsidRPr="00880E7B" w:rsidRDefault="002031B3">
      <w:pPr>
        <w:tabs>
          <w:tab w:val="left" w:pos="540"/>
          <w:tab w:val="left" w:pos="569"/>
        </w:tabs>
        <w:jc w:val="both"/>
        <w:rPr>
          <w:sz w:val="22"/>
          <w:szCs w:val="22"/>
          <w:u w:val="single"/>
        </w:rPr>
      </w:pPr>
    </w:p>
    <w:p w:rsidR="00780296" w:rsidRPr="00880E7B" w:rsidRDefault="00780296">
      <w:pPr>
        <w:spacing w:line="240" w:lineRule="exact"/>
        <w:jc w:val="both"/>
        <w:rPr>
          <w:sz w:val="22"/>
          <w:szCs w:val="22"/>
          <w:u w:val="single"/>
          <w:lang w:val="es-ES"/>
        </w:rPr>
      </w:pPr>
      <w:r w:rsidRPr="00880E7B">
        <w:rPr>
          <w:sz w:val="22"/>
          <w:szCs w:val="22"/>
          <w:u w:val="single"/>
          <w:lang w:val="es-ES"/>
        </w:rPr>
        <w:t>Trudnoća</w:t>
      </w:r>
    </w:p>
    <w:p w:rsidR="00780296" w:rsidRPr="00880E7B" w:rsidRDefault="00780296">
      <w:pPr>
        <w:spacing w:line="240" w:lineRule="exact"/>
        <w:jc w:val="both"/>
        <w:rPr>
          <w:sz w:val="22"/>
          <w:szCs w:val="22"/>
          <w:lang w:val="es-ES"/>
        </w:rPr>
      </w:pPr>
    </w:p>
    <w:p w:rsidR="00780296" w:rsidRPr="00880E7B" w:rsidRDefault="00780296">
      <w:pPr>
        <w:spacing w:line="240" w:lineRule="exact"/>
        <w:jc w:val="both"/>
        <w:rPr>
          <w:sz w:val="22"/>
          <w:szCs w:val="22"/>
          <w:lang w:val="es-ES"/>
        </w:rPr>
      </w:pPr>
      <w:r w:rsidRPr="00880E7B">
        <w:rPr>
          <w:sz w:val="22"/>
          <w:szCs w:val="22"/>
          <w:lang w:val="es-ES"/>
        </w:rPr>
        <w:t>Nema podataka o prim</w:t>
      </w:r>
      <w:r w:rsidR="00FE6000" w:rsidRPr="00880E7B">
        <w:rPr>
          <w:sz w:val="22"/>
          <w:szCs w:val="22"/>
          <w:lang w:val="es-ES"/>
        </w:rPr>
        <w:t>j</w:t>
      </w:r>
      <w:r w:rsidRPr="00880E7B">
        <w:rPr>
          <w:sz w:val="22"/>
          <w:szCs w:val="22"/>
          <w:lang w:val="es-ES"/>
        </w:rPr>
        <w:t xml:space="preserve">eni </w:t>
      </w:r>
      <w:r w:rsidR="00FE6000" w:rsidRPr="00880E7B">
        <w:rPr>
          <w:sz w:val="22"/>
          <w:szCs w:val="22"/>
          <w:lang w:val="es-ES"/>
        </w:rPr>
        <w:t>lijek</w:t>
      </w:r>
      <w:r w:rsidRPr="00880E7B">
        <w:rPr>
          <w:sz w:val="22"/>
          <w:szCs w:val="22"/>
          <w:lang w:val="es-ES"/>
        </w:rPr>
        <w:t xml:space="preserve">a ESBRIET kod trudnica. </w:t>
      </w:r>
    </w:p>
    <w:p w:rsidR="00780296" w:rsidRPr="00880E7B" w:rsidRDefault="00780296">
      <w:pPr>
        <w:jc w:val="both"/>
        <w:outlineLvl w:val="0"/>
        <w:rPr>
          <w:noProof/>
          <w:sz w:val="22"/>
          <w:szCs w:val="22"/>
          <w:lang w:val="es-ES"/>
        </w:rPr>
      </w:pPr>
      <w:r w:rsidRPr="00880E7B">
        <w:rPr>
          <w:sz w:val="22"/>
          <w:szCs w:val="22"/>
          <w:lang w:val="es-ES"/>
        </w:rPr>
        <w:t>Kod životinja pirfenidon i/ili njegovi metaboliti prolaze kroz placentu i mogu se akumulirati u amnionskoj tečnosti.</w:t>
      </w:r>
    </w:p>
    <w:p w:rsidR="00780296" w:rsidRPr="00880E7B" w:rsidRDefault="00780296">
      <w:pPr>
        <w:jc w:val="both"/>
        <w:outlineLvl w:val="0"/>
        <w:rPr>
          <w:noProof/>
          <w:sz w:val="22"/>
          <w:szCs w:val="22"/>
          <w:lang w:val="es-ES"/>
        </w:rPr>
      </w:pPr>
    </w:p>
    <w:p w:rsidR="00780296" w:rsidRPr="00880E7B" w:rsidRDefault="00780296">
      <w:pPr>
        <w:spacing w:line="240" w:lineRule="exact"/>
        <w:jc w:val="both"/>
        <w:rPr>
          <w:sz w:val="22"/>
          <w:szCs w:val="22"/>
          <w:lang w:val="es-ES"/>
        </w:rPr>
      </w:pPr>
      <w:r w:rsidRPr="00880E7B">
        <w:rPr>
          <w:sz w:val="22"/>
          <w:szCs w:val="22"/>
          <w:lang w:val="es-ES"/>
        </w:rPr>
        <w:lastRenderedPageBreak/>
        <w:t>U visokim dozama (≥1000 mg/kg dnevno) kod pacova prim</w:t>
      </w:r>
      <w:r w:rsidR="005D0061" w:rsidRPr="00880E7B">
        <w:rPr>
          <w:sz w:val="22"/>
          <w:szCs w:val="22"/>
          <w:lang w:val="es-ES"/>
        </w:rPr>
        <w:t>i</w:t>
      </w:r>
      <w:r w:rsidR="00045D87" w:rsidRPr="00880E7B">
        <w:rPr>
          <w:sz w:val="22"/>
          <w:szCs w:val="22"/>
          <w:lang w:val="es-ES"/>
        </w:rPr>
        <w:t>j</w:t>
      </w:r>
      <w:r w:rsidRPr="00880E7B">
        <w:rPr>
          <w:sz w:val="22"/>
          <w:szCs w:val="22"/>
          <w:lang w:val="es-ES"/>
        </w:rPr>
        <w:t xml:space="preserve">ećeno je produženje gestacije i smanjenje fetalne održivosti. </w:t>
      </w:r>
    </w:p>
    <w:p w:rsidR="00780296" w:rsidRPr="00880E7B" w:rsidRDefault="00780296">
      <w:pPr>
        <w:spacing w:line="240" w:lineRule="exact"/>
        <w:jc w:val="both"/>
        <w:rPr>
          <w:sz w:val="22"/>
          <w:szCs w:val="22"/>
          <w:lang w:val="es-ES"/>
        </w:rPr>
      </w:pPr>
      <w:r w:rsidRPr="00880E7B">
        <w:rPr>
          <w:sz w:val="22"/>
          <w:szCs w:val="22"/>
          <w:lang w:val="es-ES"/>
        </w:rPr>
        <w:t>Kao m</w:t>
      </w:r>
      <w:r w:rsidR="00FE6000" w:rsidRPr="00880E7B">
        <w:rPr>
          <w:sz w:val="22"/>
          <w:szCs w:val="22"/>
          <w:lang w:val="es-ES"/>
        </w:rPr>
        <w:t>j</w:t>
      </w:r>
      <w:r w:rsidRPr="00880E7B">
        <w:rPr>
          <w:sz w:val="22"/>
          <w:szCs w:val="22"/>
          <w:lang w:val="es-ES"/>
        </w:rPr>
        <w:t>era predostrožnosti sav</w:t>
      </w:r>
      <w:r w:rsidR="00045D87" w:rsidRPr="00880E7B">
        <w:rPr>
          <w:sz w:val="22"/>
          <w:szCs w:val="22"/>
          <w:lang w:val="es-ES"/>
        </w:rPr>
        <w:t>j</w:t>
      </w:r>
      <w:r w:rsidRPr="00880E7B">
        <w:rPr>
          <w:sz w:val="22"/>
          <w:szCs w:val="22"/>
          <w:lang w:val="es-ES"/>
        </w:rPr>
        <w:t>etuje se izb</w:t>
      </w:r>
      <w:r w:rsidR="00045D87" w:rsidRPr="00880E7B">
        <w:rPr>
          <w:sz w:val="22"/>
          <w:szCs w:val="22"/>
          <w:lang w:val="es-ES"/>
        </w:rPr>
        <w:t>j</w:t>
      </w:r>
      <w:r w:rsidRPr="00880E7B">
        <w:rPr>
          <w:sz w:val="22"/>
          <w:szCs w:val="22"/>
          <w:lang w:val="es-ES"/>
        </w:rPr>
        <w:t>egavanje prim</w:t>
      </w:r>
      <w:r w:rsidR="00045D87" w:rsidRPr="00880E7B">
        <w:rPr>
          <w:sz w:val="22"/>
          <w:szCs w:val="22"/>
          <w:lang w:val="es-ES"/>
        </w:rPr>
        <w:t>j</w:t>
      </w:r>
      <w:r w:rsidRPr="00880E7B">
        <w:rPr>
          <w:sz w:val="22"/>
          <w:szCs w:val="22"/>
          <w:lang w:val="es-ES"/>
        </w:rPr>
        <w:t xml:space="preserve">ene </w:t>
      </w:r>
      <w:r w:rsidR="00FE6000" w:rsidRPr="00880E7B">
        <w:rPr>
          <w:sz w:val="22"/>
          <w:szCs w:val="22"/>
          <w:lang w:val="es-ES"/>
        </w:rPr>
        <w:t>lijek</w:t>
      </w:r>
      <w:r w:rsidRPr="00880E7B">
        <w:rPr>
          <w:sz w:val="22"/>
          <w:szCs w:val="22"/>
          <w:lang w:val="es-ES"/>
        </w:rPr>
        <w:t>a ESBRIET tokom trudnoće.</w:t>
      </w:r>
    </w:p>
    <w:p w:rsidR="00780296" w:rsidRPr="00880E7B" w:rsidRDefault="00780296">
      <w:pPr>
        <w:spacing w:line="240" w:lineRule="exact"/>
        <w:jc w:val="both"/>
        <w:rPr>
          <w:sz w:val="22"/>
          <w:szCs w:val="22"/>
          <w:lang w:val="es-ES"/>
        </w:rPr>
      </w:pPr>
    </w:p>
    <w:p w:rsidR="00780296" w:rsidRPr="00880E7B" w:rsidRDefault="00780296">
      <w:pPr>
        <w:keepNext/>
        <w:spacing w:line="240" w:lineRule="exact"/>
        <w:jc w:val="both"/>
        <w:rPr>
          <w:sz w:val="22"/>
          <w:szCs w:val="22"/>
          <w:u w:val="single"/>
          <w:lang w:val="es-ES"/>
        </w:rPr>
      </w:pPr>
      <w:r w:rsidRPr="00880E7B">
        <w:rPr>
          <w:sz w:val="22"/>
          <w:szCs w:val="22"/>
          <w:u w:val="single"/>
          <w:lang w:val="es-ES"/>
        </w:rPr>
        <w:t>Dojenje</w:t>
      </w:r>
    </w:p>
    <w:p w:rsidR="00780296" w:rsidRPr="00880E7B" w:rsidRDefault="00780296">
      <w:pPr>
        <w:keepNext/>
        <w:spacing w:line="240" w:lineRule="exact"/>
        <w:jc w:val="both"/>
        <w:rPr>
          <w:sz w:val="22"/>
          <w:szCs w:val="22"/>
          <w:u w:val="single"/>
          <w:lang w:val="es-ES"/>
        </w:rPr>
      </w:pPr>
    </w:p>
    <w:p w:rsidR="00780296" w:rsidRPr="00880E7B" w:rsidRDefault="00780296">
      <w:pPr>
        <w:keepNext/>
        <w:spacing w:line="240" w:lineRule="exact"/>
        <w:jc w:val="both"/>
        <w:rPr>
          <w:sz w:val="22"/>
          <w:szCs w:val="22"/>
          <w:lang w:val="it-IT"/>
        </w:rPr>
      </w:pPr>
      <w:r w:rsidRPr="00880E7B">
        <w:rPr>
          <w:sz w:val="22"/>
          <w:szCs w:val="22"/>
          <w:lang w:val="es-ES"/>
        </w:rPr>
        <w:t xml:space="preserve">Nije poznato da li se pirfenidon ili njegovi metaboliti izlučuju u majčinom </w:t>
      </w:r>
      <w:r w:rsidR="00BD0820" w:rsidRPr="00880E7B">
        <w:rPr>
          <w:sz w:val="22"/>
          <w:szCs w:val="22"/>
          <w:lang w:val="es-ES"/>
        </w:rPr>
        <w:t>ml</w:t>
      </w:r>
      <w:r w:rsidR="00FE6000" w:rsidRPr="00880E7B">
        <w:rPr>
          <w:sz w:val="22"/>
          <w:szCs w:val="22"/>
          <w:lang w:val="es-ES"/>
        </w:rPr>
        <w:t>ijek</w:t>
      </w:r>
      <w:r w:rsidRPr="00880E7B">
        <w:rPr>
          <w:sz w:val="22"/>
          <w:szCs w:val="22"/>
          <w:lang w:val="es-ES"/>
        </w:rPr>
        <w:t xml:space="preserve">u kod ljudi. Postojeći farmakokinetički podaci o ispitivanjima na životinjama pokazuju da se pirfenidon odnosno njegovi metaboliti izlučuju u </w:t>
      </w:r>
      <w:r w:rsidR="00BD0820" w:rsidRPr="00880E7B">
        <w:rPr>
          <w:sz w:val="22"/>
          <w:szCs w:val="22"/>
          <w:lang w:val="es-ES"/>
        </w:rPr>
        <w:t>ml</w:t>
      </w:r>
      <w:r w:rsidR="00FE6000" w:rsidRPr="00880E7B">
        <w:rPr>
          <w:sz w:val="22"/>
          <w:szCs w:val="22"/>
          <w:lang w:val="es-ES"/>
        </w:rPr>
        <w:t>ijek</w:t>
      </w:r>
      <w:r w:rsidRPr="00880E7B">
        <w:rPr>
          <w:sz w:val="22"/>
          <w:szCs w:val="22"/>
          <w:lang w:val="es-ES"/>
        </w:rPr>
        <w:t>o i da se u njemu akumuliraju (</w:t>
      </w:r>
      <w:r w:rsidR="00FE6000" w:rsidRPr="00880E7B">
        <w:rPr>
          <w:sz w:val="22"/>
          <w:szCs w:val="22"/>
          <w:lang w:val="es-ES"/>
        </w:rPr>
        <w:t>vidjeti</w:t>
      </w:r>
      <w:r w:rsidRPr="00880E7B">
        <w:rPr>
          <w:sz w:val="22"/>
          <w:szCs w:val="22"/>
          <w:lang w:val="es-ES"/>
        </w:rPr>
        <w:t xml:space="preserve"> </w:t>
      </w:r>
      <w:r w:rsidR="0068068F" w:rsidRPr="00880E7B">
        <w:rPr>
          <w:sz w:val="22"/>
          <w:szCs w:val="22"/>
          <w:lang w:val="es-ES"/>
        </w:rPr>
        <w:t xml:space="preserve">dio </w:t>
      </w:r>
      <w:r w:rsidRPr="00880E7B">
        <w:rPr>
          <w:sz w:val="22"/>
          <w:szCs w:val="22"/>
          <w:lang w:val="es-ES"/>
        </w:rPr>
        <w:t xml:space="preserve">5.3). </w:t>
      </w:r>
      <w:r w:rsidRPr="00880E7B">
        <w:rPr>
          <w:sz w:val="22"/>
          <w:szCs w:val="22"/>
          <w:lang w:val="it-IT"/>
        </w:rPr>
        <w:t>Rizik za d</w:t>
      </w:r>
      <w:r w:rsidR="00FE6000" w:rsidRPr="00880E7B">
        <w:rPr>
          <w:sz w:val="22"/>
          <w:szCs w:val="22"/>
          <w:lang w:val="it-IT"/>
        </w:rPr>
        <w:t>ij</w:t>
      </w:r>
      <w:r w:rsidRPr="00880E7B">
        <w:rPr>
          <w:sz w:val="22"/>
          <w:szCs w:val="22"/>
          <w:lang w:val="it-IT"/>
        </w:rPr>
        <w:t>ete koje doji ne može se isključiti.</w:t>
      </w:r>
    </w:p>
    <w:p w:rsidR="00780296" w:rsidRPr="00880E7B" w:rsidRDefault="00780296">
      <w:pPr>
        <w:spacing w:line="240" w:lineRule="exact"/>
        <w:jc w:val="both"/>
        <w:rPr>
          <w:sz w:val="22"/>
          <w:szCs w:val="22"/>
          <w:lang w:val="it-IT"/>
        </w:rPr>
      </w:pPr>
    </w:p>
    <w:p w:rsidR="00780296" w:rsidRPr="00880E7B" w:rsidRDefault="00780296">
      <w:pPr>
        <w:spacing w:line="240" w:lineRule="exact"/>
        <w:jc w:val="both"/>
        <w:rPr>
          <w:sz w:val="22"/>
          <w:szCs w:val="22"/>
          <w:lang w:val="it-IT"/>
        </w:rPr>
      </w:pPr>
      <w:r w:rsidRPr="00880E7B">
        <w:rPr>
          <w:sz w:val="22"/>
          <w:szCs w:val="22"/>
          <w:lang w:val="it-IT"/>
        </w:rPr>
        <w:t>Mora se don</w:t>
      </w:r>
      <w:r w:rsidR="00FD599D" w:rsidRPr="00880E7B">
        <w:rPr>
          <w:sz w:val="22"/>
          <w:szCs w:val="22"/>
          <w:lang w:val="it-IT"/>
        </w:rPr>
        <w:t>ij</w:t>
      </w:r>
      <w:r w:rsidRPr="00880E7B">
        <w:rPr>
          <w:sz w:val="22"/>
          <w:szCs w:val="22"/>
          <w:lang w:val="it-IT"/>
        </w:rPr>
        <w:t xml:space="preserve">eti odluka da li će se prekinuti dojenje ili terapija </w:t>
      </w:r>
      <w:r w:rsidR="00FE6000" w:rsidRPr="00880E7B">
        <w:rPr>
          <w:sz w:val="22"/>
          <w:szCs w:val="22"/>
          <w:lang w:val="it-IT"/>
        </w:rPr>
        <w:t>lijek</w:t>
      </w:r>
      <w:r w:rsidRPr="00880E7B">
        <w:rPr>
          <w:sz w:val="22"/>
          <w:szCs w:val="22"/>
          <w:lang w:val="it-IT"/>
        </w:rPr>
        <w:t>om ESBRIET, imajući pri tom na umu korist od dojenja za d</w:t>
      </w:r>
      <w:r w:rsidR="00FD599D" w:rsidRPr="00880E7B">
        <w:rPr>
          <w:sz w:val="22"/>
          <w:szCs w:val="22"/>
          <w:lang w:val="it-IT"/>
        </w:rPr>
        <w:t>ij</w:t>
      </w:r>
      <w:r w:rsidRPr="00880E7B">
        <w:rPr>
          <w:sz w:val="22"/>
          <w:szCs w:val="22"/>
          <w:lang w:val="it-IT"/>
        </w:rPr>
        <w:t xml:space="preserve">ete i korist od terapije </w:t>
      </w:r>
      <w:r w:rsidR="00FE6000" w:rsidRPr="00880E7B">
        <w:rPr>
          <w:sz w:val="22"/>
          <w:szCs w:val="22"/>
          <w:lang w:val="it-IT"/>
        </w:rPr>
        <w:t>lijek</w:t>
      </w:r>
      <w:r w:rsidRPr="00880E7B">
        <w:rPr>
          <w:sz w:val="22"/>
          <w:szCs w:val="22"/>
          <w:lang w:val="it-IT"/>
        </w:rPr>
        <w:t>om ESBRIET za majku.</w:t>
      </w:r>
    </w:p>
    <w:p w:rsidR="00780296" w:rsidRPr="00880E7B" w:rsidRDefault="00780296">
      <w:pPr>
        <w:spacing w:line="240" w:lineRule="exact"/>
        <w:jc w:val="both"/>
        <w:rPr>
          <w:sz w:val="22"/>
          <w:szCs w:val="22"/>
          <w:lang w:val="it-IT"/>
        </w:rPr>
      </w:pPr>
    </w:p>
    <w:p w:rsidR="00780296" w:rsidRPr="00880E7B" w:rsidRDefault="00780296">
      <w:pPr>
        <w:keepNext/>
        <w:spacing w:line="240" w:lineRule="exact"/>
        <w:jc w:val="both"/>
        <w:rPr>
          <w:sz w:val="22"/>
          <w:szCs w:val="22"/>
          <w:u w:val="single"/>
          <w:lang w:val="it-IT"/>
        </w:rPr>
      </w:pPr>
      <w:r w:rsidRPr="00880E7B">
        <w:rPr>
          <w:sz w:val="22"/>
          <w:szCs w:val="22"/>
          <w:u w:val="single"/>
          <w:lang w:val="it-IT"/>
        </w:rPr>
        <w:t>Plodnost</w:t>
      </w:r>
    </w:p>
    <w:p w:rsidR="00780296" w:rsidRPr="00880E7B" w:rsidRDefault="00780296">
      <w:pPr>
        <w:keepNext/>
        <w:spacing w:line="240" w:lineRule="exact"/>
        <w:jc w:val="both"/>
        <w:rPr>
          <w:sz w:val="22"/>
          <w:szCs w:val="22"/>
          <w:lang w:val="it-IT"/>
        </w:rPr>
      </w:pPr>
    </w:p>
    <w:p w:rsidR="00780296" w:rsidRPr="00880E7B" w:rsidRDefault="00780296">
      <w:pPr>
        <w:jc w:val="both"/>
        <w:rPr>
          <w:sz w:val="22"/>
          <w:szCs w:val="22"/>
          <w:lang w:val="it-IT"/>
        </w:rPr>
      </w:pPr>
      <w:r w:rsidRPr="00880E7B">
        <w:rPr>
          <w:sz w:val="22"/>
          <w:szCs w:val="22"/>
          <w:lang w:val="it-IT"/>
        </w:rPr>
        <w:t xml:space="preserve">Tokom pretkliničkih ispitivanja </w:t>
      </w:r>
      <w:r w:rsidR="00BD0820" w:rsidRPr="00880E7B">
        <w:rPr>
          <w:sz w:val="22"/>
          <w:szCs w:val="22"/>
          <w:lang w:val="it-IT"/>
        </w:rPr>
        <w:t>nijesu</w:t>
      </w:r>
      <w:r w:rsidRPr="00880E7B">
        <w:rPr>
          <w:sz w:val="22"/>
          <w:szCs w:val="22"/>
          <w:lang w:val="it-IT"/>
        </w:rPr>
        <w:t xml:space="preserve"> prim</w:t>
      </w:r>
      <w:r w:rsidR="00045D87" w:rsidRPr="00880E7B">
        <w:rPr>
          <w:sz w:val="22"/>
          <w:szCs w:val="22"/>
          <w:lang w:val="it-IT"/>
        </w:rPr>
        <w:t>i</w:t>
      </w:r>
      <w:r w:rsidR="00FE6000" w:rsidRPr="00880E7B">
        <w:rPr>
          <w:sz w:val="22"/>
          <w:szCs w:val="22"/>
          <w:lang w:val="it-IT"/>
        </w:rPr>
        <w:t>j</w:t>
      </w:r>
      <w:r w:rsidRPr="00880E7B">
        <w:rPr>
          <w:sz w:val="22"/>
          <w:szCs w:val="22"/>
          <w:lang w:val="it-IT"/>
        </w:rPr>
        <w:t>ećeni štetni efekti na plodnost (</w:t>
      </w:r>
      <w:r w:rsidR="00FE6000" w:rsidRPr="00880E7B">
        <w:rPr>
          <w:sz w:val="22"/>
          <w:szCs w:val="22"/>
          <w:lang w:val="it-IT"/>
        </w:rPr>
        <w:t>vidjeti</w:t>
      </w:r>
      <w:r w:rsidRPr="00880E7B">
        <w:rPr>
          <w:sz w:val="22"/>
          <w:szCs w:val="22"/>
          <w:lang w:val="it-IT"/>
        </w:rPr>
        <w:t xml:space="preserve"> </w:t>
      </w:r>
      <w:r w:rsidR="0068068F" w:rsidRPr="00880E7B">
        <w:rPr>
          <w:sz w:val="22"/>
          <w:szCs w:val="22"/>
          <w:lang w:val="it-IT"/>
        </w:rPr>
        <w:t xml:space="preserve">dio </w:t>
      </w:r>
      <w:r w:rsidRPr="00880E7B">
        <w:rPr>
          <w:sz w:val="22"/>
          <w:szCs w:val="22"/>
          <w:lang w:val="it-IT"/>
        </w:rPr>
        <w:t>5.3).</w:t>
      </w:r>
    </w:p>
    <w:p w:rsidR="00227BDB" w:rsidRPr="00880E7B" w:rsidRDefault="00227BDB">
      <w:pPr>
        <w:tabs>
          <w:tab w:val="left" w:pos="540"/>
          <w:tab w:val="left" w:pos="569"/>
        </w:tabs>
        <w:ind w:left="540" w:hanging="540"/>
        <w:jc w:val="both"/>
        <w:rPr>
          <w:b/>
          <w:bCs/>
          <w:sz w:val="22"/>
          <w:szCs w:val="22"/>
          <w:lang w:val="it-IT"/>
        </w:rPr>
      </w:pPr>
    </w:p>
    <w:p w:rsidR="0072020E" w:rsidRPr="00880E7B" w:rsidRDefault="0072020E">
      <w:pPr>
        <w:tabs>
          <w:tab w:val="left" w:pos="540"/>
          <w:tab w:val="left" w:pos="569"/>
        </w:tabs>
        <w:ind w:left="540" w:hanging="540"/>
        <w:jc w:val="both"/>
        <w:rPr>
          <w:b/>
          <w:bCs/>
          <w:sz w:val="22"/>
          <w:szCs w:val="22"/>
        </w:rPr>
      </w:pPr>
      <w:r w:rsidRPr="00880E7B">
        <w:rPr>
          <w:b/>
          <w:bCs/>
          <w:sz w:val="22"/>
          <w:szCs w:val="22"/>
        </w:rPr>
        <w:t xml:space="preserve">4.7. </w:t>
      </w:r>
      <w:r w:rsidR="00480FB1" w:rsidRPr="00880E7B">
        <w:rPr>
          <w:b/>
          <w:bCs/>
          <w:sz w:val="22"/>
          <w:szCs w:val="22"/>
        </w:rPr>
        <w:tab/>
      </w:r>
      <w:r w:rsidRPr="00880E7B">
        <w:rPr>
          <w:b/>
          <w:bCs/>
          <w:sz w:val="22"/>
          <w:szCs w:val="22"/>
        </w:rPr>
        <w:t xml:space="preserve">Uticaj na </w:t>
      </w:r>
      <w:r w:rsidR="002031B3" w:rsidRPr="00880E7B">
        <w:rPr>
          <w:b/>
          <w:bCs/>
          <w:sz w:val="22"/>
          <w:szCs w:val="22"/>
        </w:rPr>
        <w:t xml:space="preserve">sposobnost </w:t>
      </w:r>
      <w:r w:rsidR="00F34554" w:rsidRPr="00880E7B">
        <w:rPr>
          <w:b/>
          <w:bCs/>
          <w:sz w:val="22"/>
          <w:szCs w:val="22"/>
        </w:rPr>
        <w:t>upravljanja vozili</w:t>
      </w:r>
      <w:r w:rsidRPr="00880E7B">
        <w:rPr>
          <w:b/>
          <w:bCs/>
          <w:sz w:val="22"/>
          <w:szCs w:val="22"/>
        </w:rPr>
        <w:t>m</w:t>
      </w:r>
      <w:r w:rsidR="00F34554" w:rsidRPr="00880E7B">
        <w:rPr>
          <w:b/>
          <w:bCs/>
          <w:sz w:val="22"/>
          <w:szCs w:val="22"/>
        </w:rPr>
        <w:t>a</w:t>
      </w:r>
      <w:r w:rsidRPr="00880E7B">
        <w:rPr>
          <w:b/>
          <w:bCs/>
          <w:sz w:val="22"/>
          <w:szCs w:val="22"/>
        </w:rPr>
        <w:t xml:space="preserve"> i </w:t>
      </w:r>
      <w:r w:rsidR="000D3449" w:rsidRPr="00880E7B">
        <w:rPr>
          <w:b/>
          <w:bCs/>
          <w:sz w:val="22"/>
          <w:szCs w:val="22"/>
        </w:rPr>
        <w:t xml:space="preserve">rukovanje </w:t>
      </w:r>
      <w:r w:rsidRPr="00880E7B">
        <w:rPr>
          <w:b/>
          <w:bCs/>
          <w:sz w:val="22"/>
          <w:szCs w:val="22"/>
        </w:rPr>
        <w:t>mašinama</w:t>
      </w:r>
    </w:p>
    <w:p w:rsidR="0072020E" w:rsidRPr="00880E7B" w:rsidRDefault="0072020E">
      <w:pPr>
        <w:tabs>
          <w:tab w:val="left" w:pos="540"/>
          <w:tab w:val="left" w:pos="569"/>
        </w:tabs>
        <w:jc w:val="both"/>
        <w:rPr>
          <w:b/>
          <w:bCs/>
          <w:sz w:val="22"/>
          <w:szCs w:val="22"/>
        </w:rPr>
      </w:pPr>
    </w:p>
    <w:p w:rsidR="00780296" w:rsidRPr="00880E7B" w:rsidRDefault="00FE6000">
      <w:pPr>
        <w:jc w:val="both"/>
        <w:rPr>
          <w:sz w:val="22"/>
          <w:szCs w:val="22"/>
          <w:lang w:val="it-IT"/>
        </w:rPr>
      </w:pPr>
      <w:r w:rsidRPr="00880E7B">
        <w:rPr>
          <w:sz w:val="22"/>
          <w:szCs w:val="22"/>
          <w:lang w:val="it-IT"/>
        </w:rPr>
        <w:t>Lijek</w:t>
      </w:r>
      <w:r w:rsidR="00780296" w:rsidRPr="00880E7B">
        <w:rPr>
          <w:sz w:val="22"/>
          <w:szCs w:val="22"/>
          <w:lang w:val="it-IT"/>
        </w:rPr>
        <w:t xml:space="preserve"> ESBRIET može izazvati vrtoglavicu i umor koji mogu donekle uticati na sposobnost upravljanja vozilima ili rukovanja mašinama, stoga je potrebno da pacijenti budu posebno oprezni kada upravljaju vozilima ili rukuju mašinama ukoliko se kod njih jave ovi simptomi.</w:t>
      </w:r>
    </w:p>
    <w:p w:rsidR="00241CD1" w:rsidRPr="00880E7B" w:rsidRDefault="00241CD1">
      <w:pPr>
        <w:tabs>
          <w:tab w:val="left" w:pos="540"/>
          <w:tab w:val="left" w:pos="569"/>
        </w:tabs>
        <w:jc w:val="both"/>
        <w:rPr>
          <w:b/>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4.8. </w:t>
      </w:r>
      <w:r w:rsidR="00480FB1" w:rsidRPr="00880E7B">
        <w:rPr>
          <w:b/>
          <w:bCs/>
          <w:sz w:val="22"/>
          <w:szCs w:val="22"/>
        </w:rPr>
        <w:tab/>
      </w:r>
      <w:r w:rsidRPr="00880E7B">
        <w:rPr>
          <w:b/>
          <w:bCs/>
          <w:sz w:val="22"/>
          <w:szCs w:val="22"/>
        </w:rPr>
        <w:t>Neželjena dejstva</w:t>
      </w:r>
    </w:p>
    <w:p w:rsidR="00241CD1" w:rsidRPr="00880E7B" w:rsidRDefault="00241CD1">
      <w:pPr>
        <w:tabs>
          <w:tab w:val="left" w:pos="540"/>
          <w:tab w:val="left" w:pos="569"/>
        </w:tabs>
        <w:jc w:val="both"/>
        <w:rPr>
          <w:b/>
          <w:bCs/>
          <w:sz w:val="22"/>
          <w:szCs w:val="22"/>
        </w:rPr>
      </w:pPr>
    </w:p>
    <w:p w:rsidR="00780296" w:rsidRPr="00880E7B" w:rsidRDefault="00780296">
      <w:pPr>
        <w:keepNext/>
        <w:spacing w:line="240" w:lineRule="exact"/>
        <w:jc w:val="both"/>
        <w:rPr>
          <w:sz w:val="22"/>
          <w:szCs w:val="22"/>
          <w:u w:val="single"/>
          <w:lang w:val="it-IT"/>
        </w:rPr>
      </w:pPr>
      <w:r w:rsidRPr="00880E7B">
        <w:rPr>
          <w:sz w:val="22"/>
          <w:szCs w:val="22"/>
          <w:u w:val="single"/>
          <w:lang w:val="it-IT"/>
        </w:rPr>
        <w:t>Sažetak bezb</w:t>
      </w:r>
      <w:r w:rsidR="00FD599D" w:rsidRPr="00880E7B">
        <w:rPr>
          <w:sz w:val="22"/>
          <w:szCs w:val="22"/>
          <w:u w:val="single"/>
          <w:lang w:val="it-IT"/>
        </w:rPr>
        <w:t>j</w:t>
      </w:r>
      <w:r w:rsidRPr="00880E7B">
        <w:rPr>
          <w:sz w:val="22"/>
          <w:szCs w:val="22"/>
          <w:u w:val="single"/>
          <w:lang w:val="it-IT"/>
        </w:rPr>
        <w:t>ednosnog profila</w:t>
      </w:r>
    </w:p>
    <w:p w:rsidR="00244523" w:rsidRPr="00880E7B" w:rsidRDefault="00244523">
      <w:pPr>
        <w:keepNext/>
        <w:spacing w:line="240" w:lineRule="exact"/>
        <w:jc w:val="both"/>
        <w:rPr>
          <w:sz w:val="22"/>
          <w:szCs w:val="22"/>
          <w:u w:val="single"/>
          <w:lang w:val="it-IT"/>
        </w:rPr>
      </w:pPr>
    </w:p>
    <w:p w:rsidR="00780296" w:rsidRPr="00880E7B" w:rsidRDefault="00780296">
      <w:pPr>
        <w:keepNext/>
        <w:spacing w:line="240" w:lineRule="exact"/>
        <w:jc w:val="both"/>
        <w:rPr>
          <w:sz w:val="22"/>
          <w:szCs w:val="22"/>
          <w:lang w:val="it-IT"/>
        </w:rPr>
      </w:pPr>
      <w:r w:rsidRPr="00880E7B">
        <w:rPr>
          <w:sz w:val="22"/>
          <w:szCs w:val="22"/>
          <w:lang w:val="it-IT"/>
        </w:rPr>
        <w:t>Najčešće prijavlj</w:t>
      </w:r>
      <w:r w:rsidR="00244523" w:rsidRPr="00880E7B">
        <w:rPr>
          <w:sz w:val="22"/>
          <w:szCs w:val="22"/>
          <w:lang w:val="it-IT"/>
        </w:rPr>
        <w:t>iva</w:t>
      </w:r>
      <w:r w:rsidRPr="00880E7B">
        <w:rPr>
          <w:sz w:val="22"/>
          <w:szCs w:val="22"/>
          <w:lang w:val="it-IT"/>
        </w:rPr>
        <w:t>ne neželjene reakcije tokom kliničkog ispitivanja prim</w:t>
      </w:r>
      <w:r w:rsidR="00FE6000" w:rsidRPr="00880E7B">
        <w:rPr>
          <w:sz w:val="22"/>
          <w:szCs w:val="22"/>
          <w:lang w:val="it-IT"/>
        </w:rPr>
        <w:t>j</w:t>
      </w:r>
      <w:r w:rsidRPr="00880E7B">
        <w:rPr>
          <w:sz w:val="22"/>
          <w:szCs w:val="22"/>
          <w:lang w:val="it-IT"/>
        </w:rPr>
        <w:t xml:space="preserve">ene </w:t>
      </w:r>
      <w:r w:rsidR="00FE6000" w:rsidRPr="00880E7B">
        <w:rPr>
          <w:sz w:val="22"/>
          <w:szCs w:val="22"/>
          <w:lang w:val="it-IT"/>
        </w:rPr>
        <w:t>lijek</w:t>
      </w:r>
      <w:r w:rsidRPr="00880E7B">
        <w:rPr>
          <w:sz w:val="22"/>
          <w:szCs w:val="22"/>
          <w:lang w:val="it-IT"/>
        </w:rPr>
        <w:t xml:space="preserve">a ESBRIET u dozi od 2403 mg dnevno u poređenju sa placebom bile su mučnina (32,4% prema 12,2%), osip (26,2% prema 7,7%), dijareja (18,8% prema 14,4%), umor (18,5% prema 10,4%), dispepsija (16,1% prema 5,0%), </w:t>
      </w:r>
      <w:r w:rsidR="005760D6" w:rsidRPr="00880E7B">
        <w:rPr>
          <w:sz w:val="22"/>
          <w:szCs w:val="22"/>
          <w:lang w:val="it-IT"/>
        </w:rPr>
        <w:t xml:space="preserve">smanjen apetit </w:t>
      </w:r>
      <w:r w:rsidRPr="00880E7B">
        <w:rPr>
          <w:sz w:val="22"/>
          <w:szCs w:val="22"/>
          <w:lang w:val="it-IT"/>
        </w:rPr>
        <w:t>(</w:t>
      </w:r>
      <w:r w:rsidR="005760D6" w:rsidRPr="00880E7B">
        <w:rPr>
          <w:sz w:val="22"/>
          <w:szCs w:val="22"/>
          <w:lang w:val="it-IT"/>
        </w:rPr>
        <w:t>20,7</w:t>
      </w:r>
      <w:r w:rsidRPr="00880E7B">
        <w:rPr>
          <w:sz w:val="22"/>
          <w:szCs w:val="22"/>
          <w:lang w:val="it-IT"/>
        </w:rPr>
        <w:t xml:space="preserve">% prema </w:t>
      </w:r>
      <w:r w:rsidR="005760D6" w:rsidRPr="00880E7B">
        <w:rPr>
          <w:sz w:val="22"/>
          <w:szCs w:val="22"/>
          <w:lang w:val="it-IT"/>
        </w:rPr>
        <w:t>8,0</w:t>
      </w:r>
      <w:r w:rsidRPr="00880E7B">
        <w:rPr>
          <w:sz w:val="22"/>
          <w:szCs w:val="22"/>
          <w:lang w:val="it-IT"/>
        </w:rPr>
        <w:t xml:space="preserve">%), glavobolja (10,1% prema 7,7%) i fotosenzitivna reakcija (9,3% prema 1,1%). </w:t>
      </w:r>
    </w:p>
    <w:p w:rsidR="00780296" w:rsidRPr="00880E7B" w:rsidRDefault="00780296">
      <w:pPr>
        <w:keepNext/>
        <w:spacing w:line="240" w:lineRule="exact"/>
        <w:jc w:val="both"/>
        <w:rPr>
          <w:sz w:val="22"/>
          <w:szCs w:val="22"/>
          <w:lang w:val="it-IT"/>
        </w:rPr>
      </w:pPr>
    </w:p>
    <w:p w:rsidR="00780296" w:rsidRPr="00880E7B" w:rsidRDefault="00780296">
      <w:pPr>
        <w:keepNext/>
        <w:keepLines/>
        <w:spacing w:line="240" w:lineRule="exact"/>
        <w:jc w:val="both"/>
        <w:rPr>
          <w:sz w:val="22"/>
          <w:szCs w:val="22"/>
          <w:u w:val="single"/>
          <w:lang w:val="it-IT"/>
        </w:rPr>
      </w:pPr>
      <w:r w:rsidRPr="00880E7B">
        <w:rPr>
          <w:sz w:val="22"/>
          <w:szCs w:val="22"/>
          <w:u w:val="single"/>
          <w:lang w:val="it-IT"/>
        </w:rPr>
        <w:t>Tabelarni prikaz neželjenih reakcija</w:t>
      </w:r>
    </w:p>
    <w:p w:rsidR="00A37F47" w:rsidRPr="00880E7B" w:rsidRDefault="00A37F47">
      <w:pPr>
        <w:keepNext/>
        <w:keepLines/>
        <w:spacing w:line="240" w:lineRule="exact"/>
        <w:jc w:val="both"/>
        <w:rPr>
          <w:sz w:val="22"/>
          <w:szCs w:val="22"/>
          <w:u w:val="single"/>
          <w:lang w:val="it-IT"/>
        </w:rPr>
      </w:pPr>
    </w:p>
    <w:p w:rsidR="00780296" w:rsidRPr="00880E7B" w:rsidRDefault="00780296">
      <w:pPr>
        <w:keepNext/>
        <w:keepLines/>
        <w:spacing w:line="240" w:lineRule="exact"/>
        <w:jc w:val="both"/>
        <w:rPr>
          <w:sz w:val="22"/>
          <w:szCs w:val="22"/>
          <w:lang w:val="it-IT"/>
        </w:rPr>
      </w:pPr>
      <w:r w:rsidRPr="00880E7B">
        <w:rPr>
          <w:sz w:val="22"/>
          <w:szCs w:val="22"/>
          <w:lang w:val="it-IT"/>
        </w:rPr>
        <w:t>Bezb</w:t>
      </w:r>
      <w:r w:rsidR="00FE6000" w:rsidRPr="00880E7B">
        <w:rPr>
          <w:sz w:val="22"/>
          <w:szCs w:val="22"/>
          <w:lang w:val="it-IT"/>
        </w:rPr>
        <w:t>j</w:t>
      </w:r>
      <w:r w:rsidRPr="00880E7B">
        <w:rPr>
          <w:sz w:val="22"/>
          <w:szCs w:val="22"/>
          <w:lang w:val="it-IT"/>
        </w:rPr>
        <w:t xml:space="preserve">ednost </w:t>
      </w:r>
      <w:r w:rsidR="00FE6000" w:rsidRPr="00880E7B">
        <w:rPr>
          <w:sz w:val="22"/>
          <w:szCs w:val="22"/>
          <w:lang w:val="it-IT"/>
        </w:rPr>
        <w:t>lijek</w:t>
      </w:r>
      <w:r w:rsidRPr="00880E7B">
        <w:rPr>
          <w:sz w:val="22"/>
          <w:szCs w:val="22"/>
          <w:lang w:val="it-IT"/>
        </w:rPr>
        <w:t>a ESBRIET proc</w:t>
      </w:r>
      <w:r w:rsidR="00FE6000" w:rsidRPr="00880E7B">
        <w:rPr>
          <w:sz w:val="22"/>
          <w:szCs w:val="22"/>
          <w:lang w:val="it-IT"/>
        </w:rPr>
        <w:t>j</w:t>
      </w:r>
      <w:r w:rsidRPr="00880E7B">
        <w:rPr>
          <w:sz w:val="22"/>
          <w:szCs w:val="22"/>
          <w:lang w:val="it-IT"/>
        </w:rPr>
        <w:t>enjivana je u kliničkim ispitivanjima koja su obuhvatila 1650 dobrovoljaca i pacijenata. U otvorenim studijama ispitivano je preko 170 pacijenata u periodu od više od pet godina, a neki i do 10 godina.</w:t>
      </w:r>
    </w:p>
    <w:p w:rsidR="001D295D" w:rsidRPr="00880E7B" w:rsidRDefault="001D295D">
      <w:pPr>
        <w:keepNext/>
        <w:keepLines/>
        <w:spacing w:line="240" w:lineRule="exact"/>
        <w:jc w:val="both"/>
        <w:rPr>
          <w:sz w:val="22"/>
          <w:szCs w:val="22"/>
          <w:lang w:val="it-IT"/>
        </w:rPr>
      </w:pPr>
    </w:p>
    <w:p w:rsidR="001D295D" w:rsidRPr="00880E7B" w:rsidRDefault="001D295D">
      <w:pPr>
        <w:jc w:val="both"/>
        <w:rPr>
          <w:noProof/>
          <w:sz w:val="22"/>
          <w:szCs w:val="22"/>
          <w:u w:val="single"/>
          <w:lang w:val="it-IT"/>
        </w:rPr>
      </w:pPr>
      <w:r w:rsidRPr="00880E7B">
        <w:rPr>
          <w:sz w:val="22"/>
          <w:szCs w:val="22"/>
          <w:lang w:val="it-IT"/>
        </w:rPr>
        <w:t xml:space="preserve">U </w:t>
      </w:r>
      <w:r w:rsidR="00A37F47" w:rsidRPr="00880E7B">
        <w:rPr>
          <w:sz w:val="22"/>
          <w:szCs w:val="22"/>
          <w:lang w:val="it-IT"/>
        </w:rPr>
        <w:t>T</w:t>
      </w:r>
      <w:r w:rsidRPr="00880E7B">
        <w:rPr>
          <w:sz w:val="22"/>
          <w:szCs w:val="22"/>
          <w:lang w:val="it-IT"/>
        </w:rPr>
        <w:t xml:space="preserve">abeli 1 prikazane su neželjene reakcije prijavljene sa učestalošću od ≥2% kod 623 pacijenta koji su primali lijek ESBRIET u preporučenoj dozi od 2403 mg dnevno tokom treće faze tri pivotalne studije. Neželjene reakcije </w:t>
      </w:r>
      <w:r w:rsidR="00A37F47" w:rsidRPr="00880E7B">
        <w:rPr>
          <w:sz w:val="22"/>
          <w:szCs w:val="22"/>
          <w:lang w:val="it-IT"/>
        </w:rPr>
        <w:t xml:space="preserve">zabilježene </w:t>
      </w:r>
      <w:r w:rsidRPr="00880E7B">
        <w:rPr>
          <w:sz w:val="22"/>
          <w:szCs w:val="22"/>
          <w:lang w:val="it-IT"/>
        </w:rPr>
        <w:t xml:space="preserve">nakon stavljanja lijeka u promet takođe su navedene u </w:t>
      </w:r>
      <w:r w:rsidR="00A37F47" w:rsidRPr="00880E7B">
        <w:rPr>
          <w:sz w:val="22"/>
          <w:szCs w:val="22"/>
          <w:lang w:val="it-IT"/>
        </w:rPr>
        <w:t>T</w:t>
      </w:r>
      <w:r w:rsidRPr="00880E7B">
        <w:rPr>
          <w:sz w:val="22"/>
          <w:szCs w:val="22"/>
          <w:lang w:val="it-IT"/>
        </w:rPr>
        <w:t>abeli 1. Neželjene reakcije su navedene prema klasi sistema organa (</w:t>
      </w:r>
      <w:r w:rsidRPr="00880E7B">
        <w:rPr>
          <w:i/>
          <w:sz w:val="22"/>
          <w:szCs w:val="22"/>
          <w:lang w:val="it-IT"/>
        </w:rPr>
        <w:t>System Organ Class</w:t>
      </w:r>
      <w:r w:rsidRPr="00880E7B">
        <w:rPr>
          <w:sz w:val="22"/>
          <w:szCs w:val="22"/>
          <w:lang w:val="it-IT"/>
        </w:rPr>
        <w:t xml:space="preserve"> (SOC)) i u okviru svake grupe po učestalosti [veoma često (≥1/10), često (≥1/100 do &lt;1/10), povremeno (≥1/1000 do &lt;1/100), rijetko (≥1/10000 do &lt;1/1000), nepoznato (ne može se proc</w:t>
      </w:r>
      <w:r w:rsidR="00045D87" w:rsidRPr="00880E7B">
        <w:rPr>
          <w:sz w:val="22"/>
          <w:szCs w:val="22"/>
          <w:lang w:val="it-IT"/>
        </w:rPr>
        <w:t>i</w:t>
      </w:r>
      <w:r w:rsidRPr="00880E7B">
        <w:rPr>
          <w:sz w:val="22"/>
          <w:szCs w:val="22"/>
          <w:lang w:val="it-IT"/>
        </w:rPr>
        <w:t>jeniti na osnovu dostupnih podataka)]</w:t>
      </w:r>
      <w:r w:rsidR="00A37F47" w:rsidRPr="00880E7B">
        <w:rPr>
          <w:sz w:val="22"/>
          <w:szCs w:val="22"/>
          <w:lang w:val="it-IT"/>
        </w:rPr>
        <w:t>. N</w:t>
      </w:r>
      <w:r w:rsidRPr="00880E7B">
        <w:rPr>
          <w:sz w:val="22"/>
          <w:szCs w:val="22"/>
          <w:lang w:val="it-IT"/>
        </w:rPr>
        <w:t>eželjene reakcije su navedene prema opadajućem stepenu ozbiljnosti.</w:t>
      </w:r>
    </w:p>
    <w:p w:rsidR="001D295D" w:rsidRPr="00880E7B" w:rsidRDefault="001D295D">
      <w:pPr>
        <w:keepNext/>
        <w:keepLines/>
        <w:spacing w:line="240" w:lineRule="exact"/>
        <w:jc w:val="both"/>
        <w:rPr>
          <w:sz w:val="22"/>
          <w:szCs w:val="22"/>
          <w:lang w:val="it-IT"/>
        </w:rPr>
      </w:pPr>
    </w:p>
    <w:tbl>
      <w:tblPr>
        <w:tblpPr w:leftFromText="180" w:rightFromText="180" w:vertAnchor="text" w:horzAnchor="margin" w:tblpY="254"/>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67"/>
        <w:gridCol w:w="6979"/>
      </w:tblGrid>
      <w:tr w:rsidR="00BD0820" w:rsidRPr="00880E7B" w:rsidTr="00BD0820">
        <w:trPr>
          <w:trHeight w:val="255"/>
          <w:tblHeader/>
        </w:trPr>
        <w:tc>
          <w:tcPr>
            <w:tcW w:w="5000" w:type="pct"/>
            <w:gridSpan w:val="2"/>
          </w:tcPr>
          <w:p w:rsidR="00BD0820" w:rsidRPr="00880E7B" w:rsidRDefault="00BD0820" w:rsidP="000A1E34">
            <w:pPr>
              <w:keepNext/>
              <w:jc w:val="both"/>
              <w:rPr>
                <w:bCs/>
                <w:sz w:val="22"/>
                <w:szCs w:val="22"/>
                <w:lang w:val="it-IT"/>
              </w:rPr>
            </w:pPr>
            <w:r w:rsidRPr="00880E7B">
              <w:rPr>
                <w:sz w:val="22"/>
                <w:szCs w:val="22"/>
                <w:lang w:val="it-IT"/>
              </w:rPr>
              <w:br w:type="page"/>
            </w:r>
            <w:r w:rsidRPr="00880E7B">
              <w:rPr>
                <w:b/>
                <w:sz w:val="22"/>
                <w:szCs w:val="22"/>
                <w:lang w:val="it-IT"/>
              </w:rPr>
              <w:t>Tabela 1</w:t>
            </w:r>
            <w:r w:rsidRPr="00880E7B">
              <w:rPr>
                <w:sz w:val="22"/>
                <w:szCs w:val="22"/>
                <w:lang w:val="it-IT"/>
              </w:rPr>
              <w:tab/>
            </w:r>
            <w:r w:rsidRPr="00880E7B">
              <w:rPr>
                <w:b/>
                <w:sz w:val="22"/>
                <w:szCs w:val="22"/>
                <w:lang w:val="it-IT"/>
              </w:rPr>
              <w:t>Neželjene reakcije prema klasifikaciji SOC i MedDRA učestalosti</w:t>
            </w:r>
          </w:p>
        </w:tc>
      </w:tr>
      <w:tr w:rsidR="00BD0820" w:rsidRPr="00880E7B" w:rsidTr="00BD0820">
        <w:trPr>
          <w:trHeight w:val="255"/>
        </w:trPr>
        <w:tc>
          <w:tcPr>
            <w:tcW w:w="5000" w:type="pct"/>
            <w:gridSpan w:val="2"/>
          </w:tcPr>
          <w:p w:rsidR="00BD0820" w:rsidRPr="00880E7B" w:rsidRDefault="00BD0820" w:rsidP="00880E7B">
            <w:pPr>
              <w:keepNext/>
              <w:jc w:val="both"/>
              <w:rPr>
                <w:b/>
                <w:bCs/>
                <w:sz w:val="22"/>
                <w:szCs w:val="22"/>
              </w:rPr>
            </w:pPr>
            <w:r w:rsidRPr="00880E7B">
              <w:rPr>
                <w:b/>
                <w:sz w:val="22"/>
                <w:szCs w:val="22"/>
              </w:rPr>
              <w:t>Infekcije i infestacije</w:t>
            </w:r>
          </w:p>
        </w:tc>
      </w:tr>
      <w:tr w:rsidR="005760D6" w:rsidRPr="00880E7B" w:rsidTr="00520ECB">
        <w:trPr>
          <w:trHeight w:val="255"/>
        </w:trPr>
        <w:tc>
          <w:tcPr>
            <w:tcW w:w="1055" w:type="pct"/>
          </w:tcPr>
          <w:p w:rsidR="005760D6" w:rsidRPr="00880E7B" w:rsidRDefault="005760D6" w:rsidP="00880E7B">
            <w:pPr>
              <w:keepNext/>
              <w:jc w:val="both"/>
              <w:rPr>
                <w:sz w:val="22"/>
                <w:szCs w:val="22"/>
              </w:rPr>
            </w:pPr>
            <w:r w:rsidRPr="00880E7B">
              <w:rPr>
                <w:sz w:val="22"/>
                <w:szCs w:val="22"/>
              </w:rPr>
              <w:t>Veoma često</w:t>
            </w:r>
          </w:p>
        </w:tc>
        <w:tc>
          <w:tcPr>
            <w:tcW w:w="3945" w:type="pct"/>
          </w:tcPr>
          <w:p w:rsidR="005760D6" w:rsidRPr="00E2025F" w:rsidRDefault="005760D6" w:rsidP="00880E7B">
            <w:pPr>
              <w:keepNext/>
              <w:jc w:val="both"/>
              <w:rPr>
                <w:b/>
                <w:sz w:val="22"/>
                <w:szCs w:val="22"/>
              </w:rPr>
            </w:pPr>
            <w:r w:rsidRPr="00E2025F">
              <w:rPr>
                <w:sz w:val="22"/>
                <w:szCs w:val="22"/>
              </w:rPr>
              <w:t>Infekcije gornjeg respiratornog trakta</w:t>
            </w:r>
          </w:p>
        </w:tc>
      </w:tr>
      <w:tr w:rsidR="00BD0820" w:rsidRPr="00880E7B" w:rsidTr="005760D6">
        <w:trPr>
          <w:trHeight w:val="255"/>
        </w:trPr>
        <w:tc>
          <w:tcPr>
            <w:tcW w:w="1055" w:type="pct"/>
          </w:tcPr>
          <w:p w:rsidR="00BD0820" w:rsidRPr="00880E7B" w:rsidRDefault="00BD0820" w:rsidP="00880E7B">
            <w:pPr>
              <w:keepNext/>
              <w:jc w:val="both"/>
              <w:rPr>
                <w:bCs/>
                <w:sz w:val="22"/>
                <w:szCs w:val="22"/>
              </w:rPr>
            </w:pPr>
            <w:r w:rsidRPr="00880E7B">
              <w:rPr>
                <w:sz w:val="22"/>
                <w:szCs w:val="22"/>
              </w:rPr>
              <w:t>Često</w:t>
            </w:r>
          </w:p>
        </w:tc>
        <w:tc>
          <w:tcPr>
            <w:tcW w:w="3945" w:type="pct"/>
          </w:tcPr>
          <w:p w:rsidR="00BD0820" w:rsidRPr="00D93357" w:rsidRDefault="005760D6" w:rsidP="00880E7B">
            <w:pPr>
              <w:keepNext/>
              <w:jc w:val="both"/>
              <w:rPr>
                <w:bCs/>
                <w:sz w:val="22"/>
                <w:szCs w:val="22"/>
              </w:rPr>
            </w:pPr>
            <w:r w:rsidRPr="00E2025F">
              <w:rPr>
                <w:sz w:val="22"/>
                <w:szCs w:val="22"/>
              </w:rPr>
              <w:t>I</w:t>
            </w:r>
            <w:r w:rsidR="00BD0820" w:rsidRPr="00E2025F">
              <w:rPr>
                <w:sz w:val="22"/>
                <w:szCs w:val="22"/>
              </w:rPr>
              <w:t>nfekcije urinarnog trakta</w:t>
            </w:r>
          </w:p>
        </w:tc>
      </w:tr>
      <w:tr w:rsidR="00BD0820" w:rsidRPr="00880E7B" w:rsidTr="00BD0820">
        <w:trPr>
          <w:trHeight w:val="255"/>
        </w:trPr>
        <w:tc>
          <w:tcPr>
            <w:tcW w:w="5000" w:type="pct"/>
            <w:gridSpan w:val="2"/>
          </w:tcPr>
          <w:p w:rsidR="00BD0820" w:rsidRPr="00880E7B" w:rsidRDefault="00BD0820" w:rsidP="00880E7B">
            <w:pPr>
              <w:keepNext/>
              <w:jc w:val="both"/>
              <w:rPr>
                <w:b/>
                <w:bCs/>
                <w:sz w:val="22"/>
                <w:szCs w:val="22"/>
                <w:lang w:val="it-IT"/>
              </w:rPr>
            </w:pPr>
            <w:r w:rsidRPr="00880E7B">
              <w:rPr>
                <w:b/>
                <w:sz w:val="22"/>
                <w:szCs w:val="22"/>
                <w:lang w:val="it-IT"/>
              </w:rPr>
              <w:t>Poremećaji krvi i limfnog sistema</w:t>
            </w:r>
          </w:p>
        </w:tc>
      </w:tr>
      <w:tr w:rsidR="00BD0820" w:rsidRPr="00880E7B" w:rsidTr="005760D6">
        <w:trPr>
          <w:trHeight w:val="255"/>
        </w:trPr>
        <w:tc>
          <w:tcPr>
            <w:tcW w:w="1055" w:type="pct"/>
          </w:tcPr>
          <w:p w:rsidR="00BD0820" w:rsidRPr="00880E7B" w:rsidRDefault="005760D6" w:rsidP="00880E7B">
            <w:pPr>
              <w:keepNext/>
              <w:jc w:val="both"/>
              <w:rPr>
                <w:bCs/>
                <w:sz w:val="22"/>
                <w:szCs w:val="22"/>
                <w:lang w:val="en-029"/>
              </w:rPr>
            </w:pPr>
            <w:r w:rsidRPr="00880E7B">
              <w:rPr>
                <w:sz w:val="22"/>
                <w:szCs w:val="22"/>
              </w:rPr>
              <w:t>Povremeno</w:t>
            </w:r>
          </w:p>
        </w:tc>
        <w:tc>
          <w:tcPr>
            <w:tcW w:w="3945" w:type="pct"/>
          </w:tcPr>
          <w:p w:rsidR="00BD0820" w:rsidRPr="00D93357" w:rsidRDefault="00BD0820" w:rsidP="00880E7B">
            <w:pPr>
              <w:keepNext/>
              <w:jc w:val="both"/>
              <w:rPr>
                <w:bCs/>
                <w:sz w:val="22"/>
                <w:szCs w:val="22"/>
              </w:rPr>
            </w:pPr>
            <w:r w:rsidRPr="00E2025F">
              <w:rPr>
                <w:sz w:val="22"/>
                <w:szCs w:val="22"/>
              </w:rPr>
              <w:t>Agranulocitoza</w:t>
            </w:r>
            <w:r w:rsidRPr="00E2025F">
              <w:rPr>
                <w:sz w:val="22"/>
                <w:szCs w:val="22"/>
                <w:vertAlign w:val="superscript"/>
              </w:rPr>
              <w:t>1</w:t>
            </w:r>
          </w:p>
        </w:tc>
      </w:tr>
      <w:tr w:rsidR="00BD0820" w:rsidRPr="00880E7B" w:rsidTr="00BD0820">
        <w:trPr>
          <w:trHeight w:val="255"/>
        </w:trPr>
        <w:tc>
          <w:tcPr>
            <w:tcW w:w="5000" w:type="pct"/>
            <w:gridSpan w:val="2"/>
          </w:tcPr>
          <w:p w:rsidR="00BD0820" w:rsidRPr="00C857FD" w:rsidRDefault="00BD0820" w:rsidP="00880E7B">
            <w:pPr>
              <w:keepNext/>
              <w:jc w:val="both"/>
              <w:rPr>
                <w:b/>
                <w:bCs/>
                <w:sz w:val="22"/>
                <w:szCs w:val="22"/>
              </w:rPr>
            </w:pPr>
            <w:r w:rsidRPr="00880E7B">
              <w:rPr>
                <w:b/>
                <w:sz w:val="22"/>
                <w:szCs w:val="22"/>
                <w:lang w:val="en-029"/>
              </w:rPr>
              <w:t>P</w:t>
            </w:r>
            <w:r w:rsidRPr="00880E7B">
              <w:rPr>
                <w:b/>
                <w:sz w:val="22"/>
                <w:szCs w:val="22"/>
              </w:rPr>
              <w:t xml:space="preserve">oremećaji </w:t>
            </w:r>
            <w:r w:rsidRPr="00880E7B">
              <w:rPr>
                <w:b/>
                <w:sz w:val="22"/>
                <w:szCs w:val="22"/>
                <w:lang w:val="en-029"/>
              </w:rPr>
              <w:t>i</w:t>
            </w:r>
            <w:r w:rsidRPr="00E2025F">
              <w:rPr>
                <w:b/>
                <w:sz w:val="22"/>
                <w:szCs w:val="22"/>
              </w:rPr>
              <w:t>mun</w:t>
            </w:r>
            <w:r w:rsidRPr="00E2025F">
              <w:rPr>
                <w:b/>
                <w:sz w:val="22"/>
                <w:szCs w:val="22"/>
                <w:lang w:val="en-029"/>
              </w:rPr>
              <w:t>sk</w:t>
            </w:r>
            <w:r w:rsidRPr="00D93357">
              <w:rPr>
                <w:b/>
                <w:sz w:val="22"/>
                <w:szCs w:val="22"/>
              </w:rPr>
              <w:t>o</w:t>
            </w:r>
            <w:r w:rsidRPr="00D93357">
              <w:rPr>
                <w:b/>
                <w:sz w:val="22"/>
                <w:szCs w:val="22"/>
                <w:lang w:val="en-029"/>
              </w:rPr>
              <w:t>g sistema</w:t>
            </w:r>
            <w:r w:rsidRPr="008A2EBC">
              <w:rPr>
                <w:b/>
                <w:sz w:val="22"/>
                <w:szCs w:val="22"/>
              </w:rPr>
              <w:t xml:space="preserve"> </w:t>
            </w:r>
          </w:p>
        </w:tc>
      </w:tr>
      <w:tr w:rsidR="00BD0820" w:rsidRPr="00880E7B" w:rsidTr="005760D6">
        <w:trPr>
          <w:trHeight w:val="255"/>
        </w:trPr>
        <w:tc>
          <w:tcPr>
            <w:tcW w:w="1055" w:type="pct"/>
          </w:tcPr>
          <w:p w:rsidR="00BD0820" w:rsidRPr="00880E7B" w:rsidRDefault="00BD0820" w:rsidP="00880E7B">
            <w:pPr>
              <w:keepNext/>
              <w:jc w:val="both"/>
              <w:rPr>
                <w:sz w:val="22"/>
                <w:szCs w:val="22"/>
              </w:rPr>
            </w:pPr>
            <w:r w:rsidRPr="00880E7B">
              <w:rPr>
                <w:sz w:val="22"/>
                <w:szCs w:val="22"/>
              </w:rPr>
              <w:lastRenderedPageBreak/>
              <w:t>Povremen</w:t>
            </w:r>
            <w:r w:rsidRPr="00880E7B">
              <w:rPr>
                <w:sz w:val="22"/>
                <w:szCs w:val="22"/>
                <w:lang w:val="en-029"/>
              </w:rPr>
              <w:t>o</w:t>
            </w:r>
          </w:p>
        </w:tc>
        <w:tc>
          <w:tcPr>
            <w:tcW w:w="3945" w:type="pct"/>
          </w:tcPr>
          <w:p w:rsidR="00BD0820" w:rsidRPr="00D93357" w:rsidRDefault="00BD0820" w:rsidP="00880E7B">
            <w:pPr>
              <w:keepNext/>
              <w:jc w:val="both"/>
              <w:rPr>
                <w:sz w:val="22"/>
                <w:szCs w:val="22"/>
              </w:rPr>
            </w:pPr>
            <w:r w:rsidRPr="00E2025F">
              <w:rPr>
                <w:sz w:val="22"/>
                <w:szCs w:val="22"/>
              </w:rPr>
              <w:t>Angioedem</w:t>
            </w:r>
            <w:r w:rsidRPr="00E2025F">
              <w:rPr>
                <w:sz w:val="22"/>
                <w:szCs w:val="22"/>
                <w:vertAlign w:val="superscript"/>
              </w:rPr>
              <w:t>1</w:t>
            </w:r>
          </w:p>
        </w:tc>
      </w:tr>
      <w:tr w:rsidR="00BD0820" w:rsidRPr="00880E7B" w:rsidTr="005760D6">
        <w:trPr>
          <w:trHeight w:val="255"/>
        </w:trPr>
        <w:tc>
          <w:tcPr>
            <w:tcW w:w="1055" w:type="pct"/>
          </w:tcPr>
          <w:p w:rsidR="00BD0820" w:rsidRPr="00880E7B" w:rsidRDefault="00BD0820" w:rsidP="00880E7B">
            <w:pPr>
              <w:keepNext/>
              <w:jc w:val="both"/>
              <w:rPr>
                <w:sz w:val="22"/>
                <w:szCs w:val="22"/>
              </w:rPr>
            </w:pPr>
            <w:r w:rsidRPr="00880E7B">
              <w:rPr>
                <w:sz w:val="22"/>
                <w:szCs w:val="22"/>
              </w:rPr>
              <w:t>Nepoznato</w:t>
            </w:r>
          </w:p>
        </w:tc>
        <w:tc>
          <w:tcPr>
            <w:tcW w:w="3945" w:type="pct"/>
          </w:tcPr>
          <w:p w:rsidR="00BD0820" w:rsidRPr="00D93357" w:rsidRDefault="00BD0820" w:rsidP="00880E7B">
            <w:pPr>
              <w:keepNext/>
              <w:jc w:val="both"/>
              <w:rPr>
                <w:sz w:val="22"/>
                <w:szCs w:val="22"/>
              </w:rPr>
            </w:pPr>
            <w:r w:rsidRPr="00E2025F">
              <w:rPr>
                <w:sz w:val="22"/>
                <w:szCs w:val="22"/>
              </w:rPr>
              <w:t>Anafilaksa</w:t>
            </w:r>
            <w:r w:rsidRPr="00E2025F">
              <w:rPr>
                <w:sz w:val="22"/>
                <w:szCs w:val="22"/>
                <w:vertAlign w:val="superscript"/>
              </w:rPr>
              <w:t>1</w:t>
            </w:r>
          </w:p>
        </w:tc>
      </w:tr>
      <w:tr w:rsidR="00BD0820" w:rsidRPr="00880E7B" w:rsidTr="00BD0820">
        <w:trPr>
          <w:trHeight w:val="255"/>
        </w:trPr>
        <w:tc>
          <w:tcPr>
            <w:tcW w:w="5000" w:type="pct"/>
            <w:gridSpan w:val="2"/>
          </w:tcPr>
          <w:p w:rsidR="00BD0820" w:rsidRPr="00880E7B" w:rsidRDefault="00BD0820" w:rsidP="00880E7B">
            <w:pPr>
              <w:keepNext/>
              <w:jc w:val="both"/>
              <w:rPr>
                <w:b/>
                <w:sz w:val="22"/>
                <w:szCs w:val="22"/>
              </w:rPr>
            </w:pPr>
            <w:r w:rsidRPr="00880E7B">
              <w:rPr>
                <w:b/>
                <w:sz w:val="22"/>
                <w:szCs w:val="22"/>
              </w:rPr>
              <w:t>Poremećaji metabolizma i ishrane</w:t>
            </w:r>
          </w:p>
        </w:tc>
      </w:tr>
      <w:tr w:rsidR="00BD0820" w:rsidRPr="00880E7B" w:rsidTr="005760D6">
        <w:trPr>
          <w:trHeight w:val="255"/>
        </w:trPr>
        <w:tc>
          <w:tcPr>
            <w:tcW w:w="1055" w:type="pct"/>
          </w:tcPr>
          <w:p w:rsidR="00BD0820" w:rsidRPr="00880E7B" w:rsidRDefault="005760D6" w:rsidP="00880E7B">
            <w:pPr>
              <w:keepNext/>
              <w:jc w:val="both"/>
              <w:rPr>
                <w:sz w:val="22"/>
                <w:szCs w:val="22"/>
                <w:lang w:val="en-029"/>
              </w:rPr>
            </w:pPr>
            <w:r w:rsidRPr="00880E7B">
              <w:rPr>
                <w:sz w:val="22"/>
                <w:szCs w:val="22"/>
              </w:rPr>
              <w:t>Veoma često</w:t>
            </w:r>
          </w:p>
        </w:tc>
        <w:tc>
          <w:tcPr>
            <w:tcW w:w="3945" w:type="pct"/>
          </w:tcPr>
          <w:p w:rsidR="00BD0820" w:rsidRPr="00D93357" w:rsidRDefault="00BD0820" w:rsidP="00880E7B">
            <w:pPr>
              <w:keepNext/>
              <w:jc w:val="both"/>
              <w:rPr>
                <w:sz w:val="22"/>
                <w:szCs w:val="22"/>
              </w:rPr>
            </w:pPr>
            <w:r w:rsidRPr="00E2025F">
              <w:rPr>
                <w:sz w:val="22"/>
                <w:szCs w:val="22"/>
              </w:rPr>
              <w:t>Smanjena t</w:t>
            </w:r>
            <w:r w:rsidR="0084772B" w:rsidRPr="00E2025F">
              <w:rPr>
                <w:sz w:val="22"/>
                <w:szCs w:val="22"/>
              </w:rPr>
              <w:t>j</w:t>
            </w:r>
            <w:r w:rsidRPr="00D93357">
              <w:rPr>
                <w:sz w:val="22"/>
                <w:szCs w:val="22"/>
              </w:rPr>
              <w:t>elesna masa; smanjen apetit</w:t>
            </w:r>
          </w:p>
        </w:tc>
      </w:tr>
      <w:tr w:rsidR="007C046F" w:rsidRPr="00880E7B" w:rsidTr="005760D6">
        <w:trPr>
          <w:trHeight w:val="255"/>
        </w:trPr>
        <w:tc>
          <w:tcPr>
            <w:tcW w:w="1055" w:type="pct"/>
          </w:tcPr>
          <w:p w:rsidR="007C046F" w:rsidRPr="00880E7B" w:rsidRDefault="007C046F" w:rsidP="00880E7B">
            <w:pPr>
              <w:keepNext/>
              <w:jc w:val="both"/>
              <w:rPr>
                <w:sz w:val="22"/>
                <w:szCs w:val="22"/>
              </w:rPr>
            </w:pPr>
            <w:r w:rsidRPr="00880E7B">
              <w:rPr>
                <w:sz w:val="22"/>
                <w:szCs w:val="22"/>
              </w:rPr>
              <w:t>Povremeno</w:t>
            </w:r>
          </w:p>
        </w:tc>
        <w:tc>
          <w:tcPr>
            <w:tcW w:w="3945" w:type="pct"/>
          </w:tcPr>
          <w:p w:rsidR="007C046F" w:rsidRPr="00D93357" w:rsidRDefault="007C046F" w:rsidP="00880E7B">
            <w:pPr>
              <w:keepNext/>
              <w:jc w:val="both"/>
              <w:rPr>
                <w:sz w:val="22"/>
                <w:szCs w:val="22"/>
              </w:rPr>
            </w:pPr>
            <w:r w:rsidRPr="00E2025F">
              <w:rPr>
                <w:sz w:val="22"/>
                <w:szCs w:val="22"/>
              </w:rPr>
              <w:t>Hiponatrijemija</w:t>
            </w:r>
            <w:r w:rsidRPr="00E2025F">
              <w:rPr>
                <w:sz w:val="22"/>
                <w:szCs w:val="22"/>
                <w:vertAlign w:val="superscript"/>
              </w:rPr>
              <w:t>1</w:t>
            </w:r>
          </w:p>
        </w:tc>
      </w:tr>
      <w:tr w:rsidR="00BD0820" w:rsidRPr="00880E7B" w:rsidTr="00BD0820">
        <w:trPr>
          <w:trHeight w:val="255"/>
        </w:trPr>
        <w:tc>
          <w:tcPr>
            <w:tcW w:w="5000" w:type="pct"/>
            <w:gridSpan w:val="2"/>
          </w:tcPr>
          <w:p w:rsidR="00BD0820" w:rsidRPr="00880E7B" w:rsidRDefault="00BD0820" w:rsidP="00880E7B">
            <w:pPr>
              <w:keepNext/>
              <w:jc w:val="both"/>
              <w:rPr>
                <w:b/>
                <w:bCs/>
                <w:sz w:val="22"/>
                <w:szCs w:val="22"/>
              </w:rPr>
            </w:pPr>
            <w:r w:rsidRPr="00880E7B">
              <w:rPr>
                <w:b/>
                <w:sz w:val="22"/>
                <w:szCs w:val="22"/>
              </w:rPr>
              <w:t>Psihijatrijski poremećaji</w:t>
            </w:r>
          </w:p>
        </w:tc>
      </w:tr>
      <w:tr w:rsidR="00BD0820" w:rsidRPr="00880E7B" w:rsidTr="005760D6">
        <w:trPr>
          <w:trHeight w:val="255"/>
        </w:trPr>
        <w:tc>
          <w:tcPr>
            <w:tcW w:w="1055" w:type="pct"/>
          </w:tcPr>
          <w:p w:rsidR="00BD0820" w:rsidRPr="00880E7B" w:rsidRDefault="005760D6" w:rsidP="00880E7B">
            <w:pPr>
              <w:keepNext/>
              <w:jc w:val="both"/>
              <w:rPr>
                <w:bCs/>
                <w:sz w:val="22"/>
                <w:szCs w:val="22"/>
                <w:lang w:val="en-029"/>
              </w:rPr>
            </w:pPr>
            <w:r w:rsidRPr="00880E7B">
              <w:rPr>
                <w:sz w:val="22"/>
                <w:szCs w:val="22"/>
              </w:rPr>
              <w:t>Veoma često</w:t>
            </w:r>
          </w:p>
        </w:tc>
        <w:tc>
          <w:tcPr>
            <w:tcW w:w="3945" w:type="pct"/>
          </w:tcPr>
          <w:p w:rsidR="00BD0820" w:rsidRPr="00E2025F" w:rsidRDefault="00BD0820" w:rsidP="00880E7B">
            <w:pPr>
              <w:keepNext/>
              <w:jc w:val="both"/>
              <w:rPr>
                <w:bCs/>
                <w:sz w:val="22"/>
                <w:szCs w:val="22"/>
              </w:rPr>
            </w:pPr>
            <w:r w:rsidRPr="00E2025F">
              <w:rPr>
                <w:sz w:val="22"/>
                <w:szCs w:val="22"/>
              </w:rPr>
              <w:t>Insomnija</w:t>
            </w:r>
          </w:p>
        </w:tc>
      </w:tr>
      <w:tr w:rsidR="00BD0820" w:rsidRPr="00880E7B" w:rsidTr="00BD0820">
        <w:trPr>
          <w:trHeight w:val="255"/>
        </w:trPr>
        <w:tc>
          <w:tcPr>
            <w:tcW w:w="5000" w:type="pct"/>
            <w:gridSpan w:val="2"/>
          </w:tcPr>
          <w:p w:rsidR="00BD0820" w:rsidRPr="00880E7B" w:rsidRDefault="00BD0820" w:rsidP="00880E7B">
            <w:pPr>
              <w:keepNext/>
              <w:jc w:val="both"/>
              <w:rPr>
                <w:b/>
                <w:sz w:val="22"/>
                <w:szCs w:val="22"/>
              </w:rPr>
            </w:pPr>
            <w:r w:rsidRPr="00880E7B">
              <w:rPr>
                <w:b/>
                <w:sz w:val="22"/>
                <w:szCs w:val="22"/>
              </w:rPr>
              <w:t>Poremećaji nervnog sistema</w:t>
            </w:r>
          </w:p>
        </w:tc>
      </w:tr>
      <w:tr w:rsidR="00BD0820" w:rsidRPr="00880E7B" w:rsidTr="005760D6">
        <w:trPr>
          <w:trHeight w:val="255"/>
        </w:trPr>
        <w:tc>
          <w:tcPr>
            <w:tcW w:w="1055" w:type="pct"/>
          </w:tcPr>
          <w:p w:rsidR="00BD0820" w:rsidRPr="00E2025F" w:rsidRDefault="00BD0820" w:rsidP="00880E7B">
            <w:pPr>
              <w:keepNext/>
              <w:jc w:val="both"/>
              <w:rPr>
                <w:sz w:val="22"/>
                <w:szCs w:val="22"/>
                <w:lang w:val="en-029"/>
              </w:rPr>
            </w:pPr>
            <w:r w:rsidRPr="00880E7B">
              <w:rPr>
                <w:sz w:val="22"/>
                <w:szCs w:val="22"/>
              </w:rPr>
              <w:t>Veoma čest</w:t>
            </w:r>
            <w:r w:rsidRPr="00880E7B">
              <w:rPr>
                <w:sz w:val="22"/>
                <w:szCs w:val="22"/>
                <w:lang w:val="en-029"/>
              </w:rPr>
              <w:t>o</w:t>
            </w:r>
          </w:p>
        </w:tc>
        <w:tc>
          <w:tcPr>
            <w:tcW w:w="3945" w:type="pct"/>
          </w:tcPr>
          <w:p w:rsidR="00BD0820" w:rsidRPr="00880E7B" w:rsidRDefault="00BD0820" w:rsidP="00880E7B">
            <w:pPr>
              <w:keepNext/>
              <w:jc w:val="both"/>
              <w:rPr>
                <w:sz w:val="22"/>
                <w:szCs w:val="22"/>
              </w:rPr>
            </w:pPr>
            <w:r w:rsidRPr="00880E7B">
              <w:rPr>
                <w:sz w:val="22"/>
                <w:szCs w:val="22"/>
              </w:rPr>
              <w:t>Glavobolja</w:t>
            </w:r>
            <w:r w:rsidR="0084772B" w:rsidRPr="00880E7B">
              <w:rPr>
                <w:sz w:val="22"/>
                <w:szCs w:val="22"/>
              </w:rPr>
              <w:t>;</w:t>
            </w:r>
            <w:r w:rsidR="005760D6" w:rsidRPr="00880E7B">
              <w:rPr>
                <w:sz w:val="22"/>
                <w:szCs w:val="22"/>
              </w:rPr>
              <w:t xml:space="preserve"> vrtoglavica</w:t>
            </w:r>
          </w:p>
        </w:tc>
      </w:tr>
      <w:tr w:rsidR="00BD0820" w:rsidRPr="00880E7B" w:rsidTr="005760D6">
        <w:trPr>
          <w:trHeight w:val="255"/>
        </w:trPr>
        <w:tc>
          <w:tcPr>
            <w:tcW w:w="1055" w:type="pct"/>
          </w:tcPr>
          <w:p w:rsidR="00BD0820" w:rsidRPr="00E2025F" w:rsidRDefault="00BD0820" w:rsidP="00880E7B">
            <w:pPr>
              <w:keepNext/>
              <w:jc w:val="both"/>
              <w:rPr>
                <w:sz w:val="22"/>
                <w:szCs w:val="22"/>
                <w:lang w:val="en-029"/>
              </w:rPr>
            </w:pPr>
            <w:r w:rsidRPr="00880E7B">
              <w:rPr>
                <w:sz w:val="22"/>
                <w:szCs w:val="22"/>
              </w:rPr>
              <w:t>Čest</w:t>
            </w:r>
            <w:r w:rsidRPr="00880E7B">
              <w:rPr>
                <w:sz w:val="22"/>
                <w:szCs w:val="22"/>
                <w:lang w:val="en-029"/>
              </w:rPr>
              <w:t>o</w:t>
            </w:r>
          </w:p>
        </w:tc>
        <w:tc>
          <w:tcPr>
            <w:tcW w:w="3945" w:type="pct"/>
          </w:tcPr>
          <w:p w:rsidR="00BD0820" w:rsidRPr="00880E7B" w:rsidRDefault="005760D6" w:rsidP="00880E7B">
            <w:pPr>
              <w:keepNext/>
              <w:jc w:val="both"/>
              <w:rPr>
                <w:sz w:val="22"/>
                <w:szCs w:val="22"/>
              </w:rPr>
            </w:pPr>
            <w:r w:rsidRPr="00880E7B">
              <w:rPr>
                <w:sz w:val="22"/>
                <w:szCs w:val="22"/>
              </w:rPr>
              <w:t>S</w:t>
            </w:r>
            <w:r w:rsidR="00BD0820" w:rsidRPr="00880E7B">
              <w:rPr>
                <w:sz w:val="22"/>
                <w:szCs w:val="22"/>
              </w:rPr>
              <w:t>omnolencija; disgeuzija; letargija</w:t>
            </w:r>
          </w:p>
        </w:tc>
      </w:tr>
      <w:tr w:rsidR="00BD0820" w:rsidRPr="00880E7B" w:rsidTr="00BD0820">
        <w:trPr>
          <w:trHeight w:val="255"/>
        </w:trPr>
        <w:tc>
          <w:tcPr>
            <w:tcW w:w="5000" w:type="pct"/>
            <w:gridSpan w:val="2"/>
          </w:tcPr>
          <w:p w:rsidR="00BD0820" w:rsidRPr="00880E7B" w:rsidRDefault="00BD0820" w:rsidP="00880E7B">
            <w:pPr>
              <w:keepNext/>
              <w:jc w:val="both"/>
              <w:rPr>
                <w:b/>
                <w:bCs/>
                <w:sz w:val="22"/>
                <w:szCs w:val="22"/>
              </w:rPr>
            </w:pPr>
            <w:r w:rsidRPr="00880E7B">
              <w:rPr>
                <w:b/>
                <w:sz w:val="22"/>
                <w:szCs w:val="22"/>
              </w:rPr>
              <w:t>Vaskularni poremećaji</w:t>
            </w:r>
          </w:p>
        </w:tc>
      </w:tr>
      <w:tr w:rsidR="00BD0820" w:rsidRPr="00880E7B" w:rsidTr="005760D6">
        <w:trPr>
          <w:trHeight w:val="255"/>
        </w:trPr>
        <w:tc>
          <w:tcPr>
            <w:tcW w:w="1055" w:type="pct"/>
          </w:tcPr>
          <w:p w:rsidR="00BD0820" w:rsidRPr="00E2025F" w:rsidRDefault="00BD0820" w:rsidP="00880E7B">
            <w:pPr>
              <w:keepNext/>
              <w:jc w:val="both"/>
              <w:rPr>
                <w:bCs/>
                <w:sz w:val="22"/>
                <w:szCs w:val="22"/>
                <w:lang w:val="en-029"/>
              </w:rPr>
            </w:pPr>
            <w:r w:rsidRPr="00880E7B">
              <w:rPr>
                <w:sz w:val="22"/>
                <w:szCs w:val="22"/>
              </w:rPr>
              <w:t>Čest</w:t>
            </w:r>
            <w:r w:rsidRPr="00880E7B">
              <w:rPr>
                <w:sz w:val="22"/>
                <w:szCs w:val="22"/>
                <w:lang w:val="en-029"/>
              </w:rPr>
              <w:t>o</w:t>
            </w:r>
          </w:p>
        </w:tc>
        <w:tc>
          <w:tcPr>
            <w:tcW w:w="3945" w:type="pct"/>
          </w:tcPr>
          <w:p w:rsidR="00BD0820" w:rsidRPr="00880E7B" w:rsidRDefault="00BD0820" w:rsidP="00880E7B">
            <w:pPr>
              <w:keepNext/>
              <w:jc w:val="both"/>
              <w:rPr>
                <w:bCs/>
                <w:sz w:val="22"/>
                <w:szCs w:val="22"/>
              </w:rPr>
            </w:pPr>
            <w:r w:rsidRPr="00880E7B">
              <w:rPr>
                <w:sz w:val="22"/>
                <w:szCs w:val="22"/>
              </w:rPr>
              <w:t>Napadi vrućine</w:t>
            </w:r>
          </w:p>
        </w:tc>
      </w:tr>
      <w:tr w:rsidR="00BD0820" w:rsidRPr="00880E7B" w:rsidTr="00BD0820">
        <w:trPr>
          <w:trHeight w:val="255"/>
        </w:trPr>
        <w:tc>
          <w:tcPr>
            <w:tcW w:w="5000" w:type="pct"/>
            <w:gridSpan w:val="2"/>
          </w:tcPr>
          <w:p w:rsidR="00BD0820" w:rsidRPr="00880E7B" w:rsidRDefault="00BD0820" w:rsidP="00880E7B">
            <w:pPr>
              <w:keepNext/>
              <w:jc w:val="both"/>
              <w:rPr>
                <w:b/>
                <w:sz w:val="22"/>
                <w:szCs w:val="22"/>
                <w:lang w:val="it-IT"/>
              </w:rPr>
            </w:pPr>
            <w:r w:rsidRPr="00880E7B">
              <w:rPr>
                <w:b/>
                <w:sz w:val="22"/>
                <w:szCs w:val="22"/>
                <w:lang w:val="it-IT"/>
              </w:rPr>
              <w:t>Respiratorni, torakalni i medijastinalni poremećaji</w:t>
            </w:r>
          </w:p>
        </w:tc>
      </w:tr>
      <w:tr w:rsidR="005760D6" w:rsidRPr="00880E7B" w:rsidTr="00520ECB">
        <w:trPr>
          <w:trHeight w:val="255"/>
        </w:trPr>
        <w:tc>
          <w:tcPr>
            <w:tcW w:w="1055" w:type="pct"/>
          </w:tcPr>
          <w:p w:rsidR="005760D6" w:rsidRPr="00880E7B" w:rsidRDefault="005760D6" w:rsidP="00880E7B">
            <w:pPr>
              <w:keepNext/>
              <w:jc w:val="both"/>
              <w:rPr>
                <w:sz w:val="22"/>
                <w:szCs w:val="22"/>
                <w:lang w:val="it-IT"/>
              </w:rPr>
            </w:pPr>
            <w:r w:rsidRPr="00880E7B">
              <w:rPr>
                <w:sz w:val="22"/>
                <w:szCs w:val="22"/>
                <w:lang w:val="it-IT"/>
              </w:rPr>
              <w:t>Veoma često</w:t>
            </w:r>
          </w:p>
        </w:tc>
        <w:tc>
          <w:tcPr>
            <w:tcW w:w="3945" w:type="pct"/>
          </w:tcPr>
          <w:p w:rsidR="005760D6" w:rsidRPr="00E2025F" w:rsidRDefault="005760D6" w:rsidP="00880E7B">
            <w:pPr>
              <w:keepNext/>
              <w:jc w:val="both"/>
              <w:rPr>
                <w:sz w:val="22"/>
                <w:szCs w:val="22"/>
                <w:lang w:val="it-IT"/>
              </w:rPr>
            </w:pPr>
            <w:r w:rsidRPr="00E2025F">
              <w:rPr>
                <w:sz w:val="22"/>
                <w:szCs w:val="22"/>
                <w:lang w:val="it-IT"/>
              </w:rPr>
              <w:t>Dispneja; kašalj</w:t>
            </w:r>
          </w:p>
        </w:tc>
      </w:tr>
      <w:tr w:rsidR="00BD0820" w:rsidRPr="00880E7B" w:rsidTr="005760D6">
        <w:trPr>
          <w:trHeight w:val="255"/>
        </w:trPr>
        <w:tc>
          <w:tcPr>
            <w:tcW w:w="1055" w:type="pct"/>
          </w:tcPr>
          <w:p w:rsidR="00BD0820" w:rsidRPr="00E2025F" w:rsidRDefault="00BD0820" w:rsidP="00880E7B">
            <w:pPr>
              <w:keepNext/>
              <w:jc w:val="both"/>
              <w:rPr>
                <w:sz w:val="22"/>
                <w:szCs w:val="22"/>
                <w:lang w:val="en-029"/>
              </w:rPr>
            </w:pPr>
            <w:r w:rsidRPr="00880E7B">
              <w:rPr>
                <w:sz w:val="22"/>
                <w:szCs w:val="22"/>
              </w:rPr>
              <w:t>Čest</w:t>
            </w:r>
            <w:r w:rsidRPr="00880E7B">
              <w:rPr>
                <w:sz w:val="22"/>
                <w:szCs w:val="22"/>
                <w:lang w:val="en-029"/>
              </w:rPr>
              <w:t>o</w:t>
            </w:r>
          </w:p>
        </w:tc>
        <w:tc>
          <w:tcPr>
            <w:tcW w:w="3945" w:type="pct"/>
          </w:tcPr>
          <w:p w:rsidR="00BD0820" w:rsidRPr="00880E7B" w:rsidRDefault="005760D6" w:rsidP="00880E7B">
            <w:pPr>
              <w:keepNext/>
              <w:jc w:val="both"/>
              <w:rPr>
                <w:sz w:val="22"/>
                <w:szCs w:val="22"/>
              </w:rPr>
            </w:pPr>
            <w:r w:rsidRPr="00880E7B">
              <w:rPr>
                <w:sz w:val="22"/>
                <w:szCs w:val="22"/>
              </w:rPr>
              <w:t>P</w:t>
            </w:r>
            <w:r w:rsidR="00BD0820" w:rsidRPr="00880E7B">
              <w:rPr>
                <w:sz w:val="22"/>
                <w:szCs w:val="22"/>
              </w:rPr>
              <w:t>roduktivni kašalj</w:t>
            </w:r>
          </w:p>
        </w:tc>
      </w:tr>
      <w:tr w:rsidR="00BD0820" w:rsidRPr="00880E7B" w:rsidTr="00BD0820">
        <w:trPr>
          <w:trHeight w:val="255"/>
        </w:trPr>
        <w:tc>
          <w:tcPr>
            <w:tcW w:w="5000" w:type="pct"/>
            <w:gridSpan w:val="2"/>
          </w:tcPr>
          <w:p w:rsidR="00BD0820" w:rsidRPr="00880E7B" w:rsidRDefault="00BD0820" w:rsidP="00880E7B">
            <w:pPr>
              <w:keepNext/>
              <w:jc w:val="both"/>
              <w:rPr>
                <w:b/>
                <w:sz w:val="22"/>
                <w:szCs w:val="22"/>
              </w:rPr>
            </w:pPr>
            <w:r w:rsidRPr="00880E7B">
              <w:rPr>
                <w:b/>
                <w:sz w:val="22"/>
                <w:szCs w:val="22"/>
              </w:rPr>
              <w:t>Gastrointestinalni poremećaji</w:t>
            </w:r>
          </w:p>
        </w:tc>
      </w:tr>
      <w:tr w:rsidR="00BD0820" w:rsidRPr="00880E7B" w:rsidTr="005760D6">
        <w:trPr>
          <w:trHeight w:val="255"/>
        </w:trPr>
        <w:tc>
          <w:tcPr>
            <w:tcW w:w="1055" w:type="pct"/>
          </w:tcPr>
          <w:p w:rsidR="00BD0820" w:rsidRPr="00E2025F" w:rsidRDefault="00BD0820" w:rsidP="00880E7B">
            <w:pPr>
              <w:keepNext/>
              <w:jc w:val="both"/>
              <w:rPr>
                <w:sz w:val="22"/>
                <w:szCs w:val="22"/>
                <w:lang w:val="en-029"/>
              </w:rPr>
            </w:pPr>
            <w:r w:rsidRPr="00880E7B">
              <w:rPr>
                <w:sz w:val="22"/>
                <w:szCs w:val="22"/>
              </w:rPr>
              <w:t>Veoma čest</w:t>
            </w:r>
            <w:r w:rsidRPr="00880E7B">
              <w:rPr>
                <w:sz w:val="22"/>
                <w:szCs w:val="22"/>
                <w:lang w:val="en-029"/>
              </w:rPr>
              <w:t>o</w:t>
            </w:r>
          </w:p>
        </w:tc>
        <w:tc>
          <w:tcPr>
            <w:tcW w:w="3945" w:type="pct"/>
          </w:tcPr>
          <w:p w:rsidR="00BD0820" w:rsidRPr="00880E7B" w:rsidRDefault="00BD0820" w:rsidP="00880E7B">
            <w:pPr>
              <w:keepNext/>
              <w:jc w:val="both"/>
              <w:rPr>
                <w:sz w:val="22"/>
                <w:szCs w:val="22"/>
              </w:rPr>
            </w:pPr>
            <w:r w:rsidRPr="00880E7B">
              <w:rPr>
                <w:sz w:val="22"/>
                <w:szCs w:val="22"/>
              </w:rPr>
              <w:t>Dispepsija; mučnina; dijareja</w:t>
            </w:r>
            <w:r w:rsidR="005760D6" w:rsidRPr="00880E7B">
              <w:rPr>
                <w:sz w:val="22"/>
                <w:szCs w:val="22"/>
              </w:rPr>
              <w:t>; gastroezofagealna refluksna bolest; povraćanje; konstipacija</w:t>
            </w:r>
          </w:p>
        </w:tc>
      </w:tr>
      <w:tr w:rsidR="00BD0820" w:rsidRPr="00880E7B" w:rsidTr="005760D6">
        <w:trPr>
          <w:trHeight w:val="255"/>
        </w:trPr>
        <w:tc>
          <w:tcPr>
            <w:tcW w:w="1055" w:type="pct"/>
          </w:tcPr>
          <w:p w:rsidR="00BD0820" w:rsidRPr="00E2025F" w:rsidRDefault="00BD0820" w:rsidP="00880E7B">
            <w:pPr>
              <w:keepNext/>
              <w:jc w:val="both"/>
              <w:rPr>
                <w:sz w:val="22"/>
                <w:szCs w:val="22"/>
                <w:lang w:val="en-029"/>
              </w:rPr>
            </w:pPr>
            <w:r w:rsidRPr="00880E7B">
              <w:rPr>
                <w:sz w:val="22"/>
                <w:szCs w:val="22"/>
              </w:rPr>
              <w:t>Čest</w:t>
            </w:r>
            <w:r w:rsidRPr="00880E7B">
              <w:rPr>
                <w:sz w:val="22"/>
                <w:szCs w:val="22"/>
                <w:lang w:val="en-029"/>
              </w:rPr>
              <w:t>o</w:t>
            </w:r>
          </w:p>
        </w:tc>
        <w:tc>
          <w:tcPr>
            <w:tcW w:w="3945" w:type="pct"/>
          </w:tcPr>
          <w:p w:rsidR="00BD0820" w:rsidRPr="00C857FD" w:rsidRDefault="005760D6" w:rsidP="00880E7B">
            <w:pPr>
              <w:keepNext/>
              <w:jc w:val="both"/>
              <w:rPr>
                <w:sz w:val="22"/>
                <w:szCs w:val="22"/>
              </w:rPr>
            </w:pPr>
            <w:r w:rsidRPr="00C857FD">
              <w:rPr>
                <w:sz w:val="22"/>
                <w:szCs w:val="22"/>
              </w:rPr>
              <w:t>A</w:t>
            </w:r>
            <w:r w:rsidR="00BD0820" w:rsidRPr="00C857FD">
              <w:rPr>
                <w:sz w:val="22"/>
                <w:szCs w:val="22"/>
              </w:rPr>
              <w:t>bdominalna distenzija; nelagodan os</w:t>
            </w:r>
            <w:r w:rsidR="00045D87" w:rsidRPr="00C857FD">
              <w:rPr>
                <w:sz w:val="22"/>
                <w:szCs w:val="22"/>
              </w:rPr>
              <w:t>i</w:t>
            </w:r>
            <w:r w:rsidR="00BD0820" w:rsidRPr="00C857FD">
              <w:rPr>
                <w:sz w:val="22"/>
                <w:szCs w:val="22"/>
              </w:rPr>
              <w:t xml:space="preserve">ećaj u </w:t>
            </w:r>
            <w:r w:rsidR="00D17D4E" w:rsidRPr="00C857FD">
              <w:rPr>
                <w:sz w:val="22"/>
                <w:szCs w:val="22"/>
              </w:rPr>
              <w:t>abdomenu</w:t>
            </w:r>
            <w:r w:rsidR="00BD0820" w:rsidRPr="00C857FD">
              <w:rPr>
                <w:sz w:val="22"/>
                <w:szCs w:val="22"/>
              </w:rPr>
              <w:t xml:space="preserve">; bolovi u </w:t>
            </w:r>
            <w:r w:rsidR="00D17D4E" w:rsidRPr="00C857FD">
              <w:rPr>
                <w:sz w:val="22"/>
                <w:szCs w:val="22"/>
              </w:rPr>
              <w:t>abdomenu;</w:t>
            </w:r>
            <w:r w:rsidR="00BD0820" w:rsidRPr="00C857FD">
              <w:rPr>
                <w:sz w:val="22"/>
                <w:szCs w:val="22"/>
              </w:rPr>
              <w:t xml:space="preserve"> bolovi u gornjem </w:t>
            </w:r>
            <w:r w:rsidR="00C857FD">
              <w:rPr>
                <w:sz w:val="22"/>
                <w:szCs w:val="22"/>
              </w:rPr>
              <w:t xml:space="preserve">dijelu </w:t>
            </w:r>
            <w:r w:rsidR="00D17D4E" w:rsidRPr="00C857FD">
              <w:rPr>
                <w:sz w:val="22"/>
                <w:szCs w:val="22"/>
              </w:rPr>
              <w:t>abdomen</w:t>
            </w:r>
            <w:r w:rsidR="00C857FD">
              <w:rPr>
                <w:sz w:val="22"/>
                <w:szCs w:val="22"/>
              </w:rPr>
              <w:t>a</w:t>
            </w:r>
            <w:r w:rsidR="00BD0820" w:rsidRPr="00C857FD">
              <w:rPr>
                <w:sz w:val="22"/>
                <w:szCs w:val="22"/>
              </w:rPr>
              <w:t>; neprijatan os</w:t>
            </w:r>
            <w:r w:rsidR="00045D87" w:rsidRPr="00C857FD">
              <w:rPr>
                <w:sz w:val="22"/>
                <w:szCs w:val="22"/>
              </w:rPr>
              <w:t>i</w:t>
            </w:r>
            <w:r w:rsidR="00BD0820" w:rsidRPr="00C857FD">
              <w:rPr>
                <w:sz w:val="22"/>
                <w:szCs w:val="22"/>
              </w:rPr>
              <w:t>ećaj u želucu; gastritis; flatulencija</w:t>
            </w:r>
          </w:p>
        </w:tc>
      </w:tr>
      <w:tr w:rsidR="00BD0820" w:rsidRPr="00880E7B" w:rsidTr="00BD0820">
        <w:trPr>
          <w:trHeight w:val="255"/>
        </w:trPr>
        <w:tc>
          <w:tcPr>
            <w:tcW w:w="5000" w:type="pct"/>
            <w:gridSpan w:val="2"/>
          </w:tcPr>
          <w:p w:rsidR="00BD0820" w:rsidRPr="00880E7B" w:rsidRDefault="00BD0820" w:rsidP="00880E7B">
            <w:pPr>
              <w:keepNext/>
              <w:jc w:val="both"/>
              <w:rPr>
                <w:b/>
                <w:sz w:val="22"/>
                <w:szCs w:val="22"/>
              </w:rPr>
            </w:pPr>
            <w:r w:rsidRPr="00880E7B">
              <w:rPr>
                <w:b/>
                <w:sz w:val="22"/>
                <w:szCs w:val="22"/>
              </w:rPr>
              <w:t>Hepatobilijarni poremećaji</w:t>
            </w:r>
          </w:p>
        </w:tc>
      </w:tr>
      <w:tr w:rsidR="00BD0820" w:rsidRPr="00880E7B" w:rsidTr="005760D6">
        <w:trPr>
          <w:trHeight w:val="255"/>
        </w:trPr>
        <w:tc>
          <w:tcPr>
            <w:tcW w:w="1055" w:type="pct"/>
          </w:tcPr>
          <w:p w:rsidR="00BD0820" w:rsidRPr="00E2025F" w:rsidRDefault="00BD0820" w:rsidP="00880E7B">
            <w:pPr>
              <w:keepNext/>
              <w:jc w:val="both"/>
              <w:rPr>
                <w:sz w:val="22"/>
                <w:szCs w:val="22"/>
                <w:lang w:val="en-029"/>
              </w:rPr>
            </w:pPr>
            <w:r w:rsidRPr="00880E7B">
              <w:rPr>
                <w:sz w:val="22"/>
                <w:szCs w:val="22"/>
              </w:rPr>
              <w:t>Čest</w:t>
            </w:r>
            <w:r w:rsidRPr="00880E7B">
              <w:rPr>
                <w:sz w:val="22"/>
                <w:szCs w:val="22"/>
                <w:lang w:val="en-029"/>
              </w:rPr>
              <w:t>o</w:t>
            </w:r>
          </w:p>
        </w:tc>
        <w:tc>
          <w:tcPr>
            <w:tcW w:w="3945" w:type="pct"/>
          </w:tcPr>
          <w:p w:rsidR="00BD0820" w:rsidRPr="00880E7B" w:rsidRDefault="00BD0820" w:rsidP="00880E7B">
            <w:pPr>
              <w:keepNext/>
              <w:jc w:val="both"/>
              <w:rPr>
                <w:sz w:val="22"/>
                <w:szCs w:val="22"/>
              </w:rPr>
            </w:pPr>
            <w:r w:rsidRPr="00880E7B">
              <w:rPr>
                <w:sz w:val="22"/>
                <w:szCs w:val="22"/>
              </w:rPr>
              <w:t>Povećana vrijednost ALT; povećana vrijednost AST; povećana vrijednost gama-glutamil-transferaza</w:t>
            </w:r>
          </w:p>
        </w:tc>
      </w:tr>
      <w:tr w:rsidR="00BD0820" w:rsidRPr="00880E7B" w:rsidTr="005760D6">
        <w:trPr>
          <w:trHeight w:val="255"/>
        </w:trPr>
        <w:tc>
          <w:tcPr>
            <w:tcW w:w="1055" w:type="pct"/>
          </w:tcPr>
          <w:p w:rsidR="00BD0820" w:rsidRPr="00880E7B" w:rsidRDefault="007C046F" w:rsidP="00880E7B">
            <w:pPr>
              <w:keepNext/>
              <w:jc w:val="both"/>
              <w:rPr>
                <w:sz w:val="22"/>
                <w:szCs w:val="22"/>
                <w:lang w:val="en-029"/>
              </w:rPr>
            </w:pPr>
            <w:r w:rsidRPr="00880E7B">
              <w:rPr>
                <w:sz w:val="22"/>
                <w:szCs w:val="22"/>
              </w:rPr>
              <w:t>Povremeno</w:t>
            </w:r>
          </w:p>
        </w:tc>
        <w:tc>
          <w:tcPr>
            <w:tcW w:w="3945" w:type="pct"/>
          </w:tcPr>
          <w:p w:rsidR="00BD0820" w:rsidRPr="00C857FD" w:rsidRDefault="00BD0820" w:rsidP="00880E7B">
            <w:pPr>
              <w:keepNext/>
              <w:jc w:val="both"/>
              <w:rPr>
                <w:sz w:val="22"/>
                <w:szCs w:val="22"/>
              </w:rPr>
            </w:pPr>
            <w:r w:rsidRPr="00E2025F">
              <w:rPr>
                <w:sz w:val="22"/>
                <w:szCs w:val="22"/>
              </w:rPr>
              <w:t>Povećana koncentracija ukupnog serumskog bilirubina u kombinaciji sa povećanim vrijednostima ALT i AST</w:t>
            </w:r>
            <w:r w:rsidRPr="00E2025F">
              <w:rPr>
                <w:sz w:val="22"/>
                <w:szCs w:val="22"/>
                <w:vertAlign w:val="superscript"/>
              </w:rPr>
              <w:t>1</w:t>
            </w:r>
            <w:r w:rsidR="007C046F" w:rsidRPr="00D93357">
              <w:rPr>
                <w:sz w:val="22"/>
                <w:szCs w:val="22"/>
              </w:rPr>
              <w:t>; oštećenje jetre izazvano l</w:t>
            </w:r>
            <w:r w:rsidR="00045D87" w:rsidRPr="00D93357">
              <w:rPr>
                <w:sz w:val="22"/>
                <w:szCs w:val="22"/>
              </w:rPr>
              <w:t>ij</w:t>
            </w:r>
            <w:r w:rsidR="007C046F" w:rsidRPr="00C726AA">
              <w:rPr>
                <w:sz w:val="22"/>
                <w:szCs w:val="22"/>
              </w:rPr>
              <w:t>ekom</w:t>
            </w:r>
            <w:r w:rsidR="007C046F" w:rsidRPr="00C857FD">
              <w:rPr>
                <w:sz w:val="22"/>
                <w:szCs w:val="22"/>
                <w:vertAlign w:val="superscript"/>
              </w:rPr>
              <w:t>2</w:t>
            </w:r>
          </w:p>
        </w:tc>
      </w:tr>
      <w:tr w:rsidR="00BD0820" w:rsidRPr="00880E7B" w:rsidTr="00BD0820">
        <w:trPr>
          <w:trHeight w:val="255"/>
        </w:trPr>
        <w:tc>
          <w:tcPr>
            <w:tcW w:w="5000" w:type="pct"/>
            <w:gridSpan w:val="2"/>
          </w:tcPr>
          <w:p w:rsidR="00BD0820" w:rsidRPr="00880E7B" w:rsidRDefault="00BD0820" w:rsidP="00880E7B">
            <w:pPr>
              <w:keepNext/>
              <w:jc w:val="both"/>
              <w:rPr>
                <w:b/>
                <w:sz w:val="22"/>
                <w:szCs w:val="22"/>
              </w:rPr>
            </w:pPr>
            <w:r w:rsidRPr="00880E7B">
              <w:rPr>
                <w:b/>
                <w:sz w:val="22"/>
                <w:szCs w:val="22"/>
              </w:rPr>
              <w:t>Poremećaji kože i potkožnog tkiva</w:t>
            </w:r>
          </w:p>
        </w:tc>
      </w:tr>
      <w:tr w:rsidR="00BD0820" w:rsidRPr="00880E7B" w:rsidTr="005760D6">
        <w:trPr>
          <w:trHeight w:val="255"/>
        </w:trPr>
        <w:tc>
          <w:tcPr>
            <w:tcW w:w="1055" w:type="pct"/>
          </w:tcPr>
          <w:p w:rsidR="00BD0820" w:rsidRPr="00E2025F" w:rsidRDefault="00BD0820" w:rsidP="00880E7B">
            <w:pPr>
              <w:keepNext/>
              <w:jc w:val="both"/>
              <w:rPr>
                <w:sz w:val="22"/>
                <w:szCs w:val="22"/>
                <w:lang w:val="en-029"/>
              </w:rPr>
            </w:pPr>
            <w:r w:rsidRPr="00880E7B">
              <w:rPr>
                <w:sz w:val="22"/>
                <w:szCs w:val="22"/>
              </w:rPr>
              <w:t>Veoma čest</w:t>
            </w:r>
            <w:r w:rsidRPr="00880E7B">
              <w:rPr>
                <w:sz w:val="22"/>
                <w:szCs w:val="22"/>
                <w:lang w:val="en-029"/>
              </w:rPr>
              <w:t>o</w:t>
            </w:r>
          </w:p>
        </w:tc>
        <w:tc>
          <w:tcPr>
            <w:tcW w:w="3945" w:type="pct"/>
          </w:tcPr>
          <w:p w:rsidR="00BD0820" w:rsidRPr="00880E7B" w:rsidRDefault="005760D6" w:rsidP="00880E7B">
            <w:pPr>
              <w:jc w:val="both"/>
              <w:rPr>
                <w:sz w:val="22"/>
                <w:szCs w:val="22"/>
              </w:rPr>
            </w:pPr>
            <w:r w:rsidRPr="00880E7B">
              <w:rPr>
                <w:sz w:val="22"/>
                <w:szCs w:val="22"/>
              </w:rPr>
              <w:t>O</w:t>
            </w:r>
            <w:r w:rsidR="00BD0820" w:rsidRPr="00880E7B">
              <w:rPr>
                <w:sz w:val="22"/>
                <w:szCs w:val="22"/>
              </w:rPr>
              <w:t xml:space="preserve">sip </w:t>
            </w:r>
          </w:p>
        </w:tc>
      </w:tr>
      <w:tr w:rsidR="00BD0820" w:rsidRPr="00880E7B" w:rsidTr="005760D6">
        <w:trPr>
          <w:trHeight w:val="255"/>
        </w:trPr>
        <w:tc>
          <w:tcPr>
            <w:tcW w:w="1055" w:type="pct"/>
          </w:tcPr>
          <w:p w:rsidR="00BD0820" w:rsidRPr="00E2025F" w:rsidRDefault="00BD0820" w:rsidP="00880E7B">
            <w:pPr>
              <w:jc w:val="both"/>
              <w:rPr>
                <w:sz w:val="22"/>
                <w:szCs w:val="22"/>
                <w:lang w:val="en-029"/>
              </w:rPr>
            </w:pPr>
            <w:r w:rsidRPr="00880E7B">
              <w:rPr>
                <w:sz w:val="22"/>
                <w:szCs w:val="22"/>
              </w:rPr>
              <w:t>Čest</w:t>
            </w:r>
            <w:r w:rsidRPr="00880E7B">
              <w:rPr>
                <w:sz w:val="22"/>
                <w:szCs w:val="22"/>
                <w:lang w:val="en-029"/>
              </w:rPr>
              <w:t>o</w:t>
            </w:r>
          </w:p>
        </w:tc>
        <w:tc>
          <w:tcPr>
            <w:tcW w:w="3945" w:type="pct"/>
          </w:tcPr>
          <w:p w:rsidR="00BD0820" w:rsidRPr="00880E7B" w:rsidRDefault="005760D6" w:rsidP="00880E7B">
            <w:pPr>
              <w:jc w:val="both"/>
              <w:rPr>
                <w:sz w:val="22"/>
                <w:szCs w:val="22"/>
              </w:rPr>
            </w:pPr>
            <w:r w:rsidRPr="00880E7B">
              <w:rPr>
                <w:sz w:val="22"/>
                <w:szCs w:val="22"/>
              </w:rPr>
              <w:t>Fotosenzitivna reakcija; p</w:t>
            </w:r>
            <w:r w:rsidR="00BD0820" w:rsidRPr="00880E7B">
              <w:rPr>
                <w:sz w:val="22"/>
                <w:szCs w:val="22"/>
              </w:rPr>
              <w:t>ruritus; eritem; suva koža; eritematozni osip; makulozni osip; pruritički osip</w:t>
            </w:r>
          </w:p>
        </w:tc>
      </w:tr>
      <w:tr w:rsidR="00D745AB" w:rsidRPr="00880E7B" w:rsidTr="005760D6">
        <w:trPr>
          <w:trHeight w:val="255"/>
        </w:trPr>
        <w:tc>
          <w:tcPr>
            <w:tcW w:w="1055" w:type="pct"/>
          </w:tcPr>
          <w:p w:rsidR="00D745AB" w:rsidRPr="00880E7B" w:rsidRDefault="00D745AB" w:rsidP="00880E7B">
            <w:pPr>
              <w:jc w:val="both"/>
              <w:rPr>
                <w:sz w:val="22"/>
                <w:szCs w:val="22"/>
              </w:rPr>
            </w:pPr>
            <w:r w:rsidRPr="00880E7B">
              <w:rPr>
                <w:sz w:val="22"/>
                <w:szCs w:val="22"/>
              </w:rPr>
              <w:t>Nepoznato</w:t>
            </w:r>
          </w:p>
        </w:tc>
        <w:tc>
          <w:tcPr>
            <w:tcW w:w="3945" w:type="pct"/>
          </w:tcPr>
          <w:p w:rsidR="0060584A" w:rsidRPr="0060584A" w:rsidRDefault="00D745AB" w:rsidP="0060584A">
            <w:pPr>
              <w:jc w:val="both"/>
              <w:rPr>
                <w:sz w:val="22"/>
                <w:szCs w:val="22"/>
              </w:rPr>
            </w:pPr>
            <w:r w:rsidRPr="00E2025F">
              <w:rPr>
                <w:sz w:val="22"/>
                <w:szCs w:val="22"/>
              </w:rPr>
              <w:t>Stevens Johnson-ov sindrom</w:t>
            </w:r>
            <w:r w:rsidRPr="00E2025F">
              <w:rPr>
                <w:sz w:val="22"/>
                <w:szCs w:val="22"/>
                <w:vertAlign w:val="superscript"/>
              </w:rPr>
              <w:t>1</w:t>
            </w:r>
            <w:r w:rsidRPr="00D93357">
              <w:rPr>
                <w:sz w:val="22"/>
                <w:szCs w:val="22"/>
              </w:rPr>
              <w:t>; toksična epidermalna nekroliza</w:t>
            </w:r>
            <w:r w:rsidRPr="00D93357">
              <w:rPr>
                <w:sz w:val="22"/>
                <w:szCs w:val="22"/>
                <w:vertAlign w:val="superscript"/>
              </w:rPr>
              <w:t>1</w:t>
            </w:r>
            <w:r w:rsidR="0060584A">
              <w:rPr>
                <w:sz w:val="22"/>
                <w:szCs w:val="22"/>
              </w:rPr>
              <w:t xml:space="preserve">, </w:t>
            </w:r>
            <w:r w:rsidR="0060584A" w:rsidRPr="0060584A">
              <w:rPr>
                <w:sz w:val="22"/>
                <w:szCs w:val="22"/>
              </w:rPr>
              <w:t xml:space="preserve">reakcija na </w:t>
            </w:r>
          </w:p>
          <w:p w:rsidR="00D745AB" w:rsidRPr="0060584A" w:rsidRDefault="0060584A" w:rsidP="00BB1425">
            <w:pPr>
              <w:jc w:val="both"/>
              <w:rPr>
                <w:sz w:val="22"/>
                <w:szCs w:val="22"/>
              </w:rPr>
            </w:pPr>
            <w:r w:rsidRPr="0060584A">
              <w:rPr>
                <w:sz w:val="22"/>
                <w:szCs w:val="22"/>
              </w:rPr>
              <w:t>l</w:t>
            </w:r>
            <w:r w:rsidR="00BB1425">
              <w:rPr>
                <w:sz w:val="22"/>
                <w:szCs w:val="22"/>
              </w:rPr>
              <w:t>ije</w:t>
            </w:r>
            <w:r w:rsidRPr="0060584A">
              <w:rPr>
                <w:sz w:val="22"/>
                <w:szCs w:val="22"/>
              </w:rPr>
              <w:t>k sa eozinofilijom i sistemskim simptomima (DRESS)1</w:t>
            </w:r>
          </w:p>
        </w:tc>
      </w:tr>
      <w:tr w:rsidR="00BD0820" w:rsidRPr="00880E7B" w:rsidTr="00BD0820">
        <w:trPr>
          <w:trHeight w:val="255"/>
        </w:trPr>
        <w:tc>
          <w:tcPr>
            <w:tcW w:w="5000" w:type="pct"/>
            <w:gridSpan w:val="2"/>
          </w:tcPr>
          <w:p w:rsidR="00BD0820" w:rsidRPr="00E2025F" w:rsidRDefault="00BD0820" w:rsidP="00880E7B">
            <w:pPr>
              <w:jc w:val="both"/>
              <w:rPr>
                <w:b/>
                <w:bCs/>
                <w:sz w:val="22"/>
                <w:szCs w:val="22"/>
              </w:rPr>
            </w:pPr>
            <w:r w:rsidRPr="00880E7B">
              <w:rPr>
                <w:b/>
                <w:sz w:val="22"/>
                <w:szCs w:val="22"/>
              </w:rPr>
              <w:t>Poremećaji mišićno-</w:t>
            </w:r>
            <w:r w:rsidRPr="00880E7B">
              <w:rPr>
                <w:b/>
                <w:sz w:val="22"/>
                <w:szCs w:val="22"/>
                <w:lang w:val="en-029"/>
              </w:rPr>
              <w:t>koštanog sistema</w:t>
            </w:r>
            <w:r w:rsidRPr="00E2025F">
              <w:rPr>
                <w:b/>
                <w:sz w:val="22"/>
                <w:szCs w:val="22"/>
              </w:rPr>
              <w:t xml:space="preserve"> i vezivnog tkiva</w:t>
            </w:r>
          </w:p>
        </w:tc>
      </w:tr>
      <w:tr w:rsidR="005760D6" w:rsidRPr="00880E7B" w:rsidTr="00520ECB">
        <w:trPr>
          <w:trHeight w:val="255"/>
        </w:trPr>
        <w:tc>
          <w:tcPr>
            <w:tcW w:w="1055" w:type="pct"/>
          </w:tcPr>
          <w:p w:rsidR="005760D6" w:rsidRPr="00880E7B" w:rsidRDefault="005760D6" w:rsidP="00880E7B">
            <w:pPr>
              <w:jc w:val="both"/>
              <w:rPr>
                <w:sz w:val="22"/>
                <w:szCs w:val="22"/>
              </w:rPr>
            </w:pPr>
            <w:r w:rsidRPr="00880E7B">
              <w:rPr>
                <w:sz w:val="22"/>
                <w:szCs w:val="22"/>
              </w:rPr>
              <w:t>Veoma često</w:t>
            </w:r>
          </w:p>
        </w:tc>
        <w:tc>
          <w:tcPr>
            <w:tcW w:w="3945" w:type="pct"/>
          </w:tcPr>
          <w:p w:rsidR="005760D6" w:rsidRPr="00E2025F" w:rsidRDefault="005760D6" w:rsidP="00880E7B">
            <w:pPr>
              <w:jc w:val="both"/>
              <w:rPr>
                <w:sz w:val="22"/>
                <w:szCs w:val="22"/>
              </w:rPr>
            </w:pPr>
            <w:r w:rsidRPr="00E2025F">
              <w:rPr>
                <w:sz w:val="22"/>
                <w:szCs w:val="22"/>
              </w:rPr>
              <w:t>Artralgija</w:t>
            </w:r>
          </w:p>
        </w:tc>
      </w:tr>
      <w:tr w:rsidR="00BD0820" w:rsidRPr="00880E7B" w:rsidTr="005760D6">
        <w:trPr>
          <w:trHeight w:val="255"/>
        </w:trPr>
        <w:tc>
          <w:tcPr>
            <w:tcW w:w="1055" w:type="pct"/>
          </w:tcPr>
          <w:p w:rsidR="00BD0820" w:rsidRPr="00E2025F" w:rsidRDefault="00BD0820" w:rsidP="00880E7B">
            <w:pPr>
              <w:jc w:val="both"/>
              <w:rPr>
                <w:bCs/>
                <w:sz w:val="22"/>
                <w:szCs w:val="22"/>
                <w:lang w:val="en-029"/>
              </w:rPr>
            </w:pPr>
            <w:r w:rsidRPr="00880E7B">
              <w:rPr>
                <w:sz w:val="22"/>
                <w:szCs w:val="22"/>
              </w:rPr>
              <w:t>Čest</w:t>
            </w:r>
            <w:r w:rsidRPr="00880E7B">
              <w:rPr>
                <w:sz w:val="22"/>
                <w:szCs w:val="22"/>
                <w:lang w:val="en-029"/>
              </w:rPr>
              <w:t>o</w:t>
            </w:r>
          </w:p>
        </w:tc>
        <w:tc>
          <w:tcPr>
            <w:tcW w:w="3945" w:type="pct"/>
          </w:tcPr>
          <w:p w:rsidR="00BD0820" w:rsidRPr="00880E7B" w:rsidRDefault="00BD0820" w:rsidP="00880E7B">
            <w:pPr>
              <w:jc w:val="both"/>
              <w:rPr>
                <w:bCs/>
                <w:sz w:val="22"/>
                <w:szCs w:val="22"/>
              </w:rPr>
            </w:pPr>
            <w:r w:rsidRPr="00880E7B">
              <w:rPr>
                <w:sz w:val="22"/>
                <w:szCs w:val="22"/>
              </w:rPr>
              <w:t>Mijalgija</w:t>
            </w:r>
          </w:p>
        </w:tc>
      </w:tr>
      <w:tr w:rsidR="00BD0820" w:rsidRPr="00880E7B" w:rsidTr="00BD0820">
        <w:trPr>
          <w:trHeight w:val="255"/>
        </w:trPr>
        <w:tc>
          <w:tcPr>
            <w:tcW w:w="5000" w:type="pct"/>
            <w:gridSpan w:val="2"/>
          </w:tcPr>
          <w:p w:rsidR="00BD0820" w:rsidRPr="00E2025F" w:rsidRDefault="00BD0820" w:rsidP="00880E7B">
            <w:pPr>
              <w:jc w:val="both"/>
              <w:rPr>
                <w:b/>
                <w:sz w:val="22"/>
                <w:szCs w:val="22"/>
              </w:rPr>
            </w:pPr>
            <w:r w:rsidRPr="00880E7B">
              <w:rPr>
                <w:b/>
                <w:sz w:val="22"/>
                <w:szCs w:val="22"/>
              </w:rPr>
              <w:t>Opšti poremećaji i reakcije na mj</w:t>
            </w:r>
            <w:r w:rsidRPr="00E2025F">
              <w:rPr>
                <w:b/>
                <w:sz w:val="22"/>
                <w:szCs w:val="22"/>
              </w:rPr>
              <w:t>estu primjene</w:t>
            </w:r>
          </w:p>
        </w:tc>
      </w:tr>
      <w:tr w:rsidR="00BD0820" w:rsidRPr="00880E7B" w:rsidTr="005760D6">
        <w:trPr>
          <w:trHeight w:val="255"/>
        </w:trPr>
        <w:tc>
          <w:tcPr>
            <w:tcW w:w="1055" w:type="pct"/>
          </w:tcPr>
          <w:p w:rsidR="00BD0820" w:rsidRPr="00E2025F" w:rsidRDefault="00BD0820" w:rsidP="00880E7B">
            <w:pPr>
              <w:jc w:val="both"/>
              <w:rPr>
                <w:bCs/>
                <w:sz w:val="22"/>
                <w:szCs w:val="22"/>
                <w:lang w:val="en-029"/>
              </w:rPr>
            </w:pPr>
            <w:r w:rsidRPr="00880E7B">
              <w:rPr>
                <w:sz w:val="22"/>
                <w:szCs w:val="22"/>
              </w:rPr>
              <w:t>Veoma čest</w:t>
            </w:r>
            <w:r w:rsidRPr="00880E7B">
              <w:rPr>
                <w:sz w:val="22"/>
                <w:szCs w:val="22"/>
                <w:lang w:val="en-029"/>
              </w:rPr>
              <w:t>o</w:t>
            </w:r>
          </w:p>
        </w:tc>
        <w:tc>
          <w:tcPr>
            <w:tcW w:w="3945" w:type="pct"/>
          </w:tcPr>
          <w:p w:rsidR="00BD0820" w:rsidRPr="00880E7B" w:rsidRDefault="00BD0820" w:rsidP="00880E7B">
            <w:pPr>
              <w:jc w:val="both"/>
              <w:rPr>
                <w:bCs/>
                <w:sz w:val="22"/>
                <w:szCs w:val="22"/>
              </w:rPr>
            </w:pPr>
            <w:r w:rsidRPr="00880E7B">
              <w:rPr>
                <w:sz w:val="22"/>
                <w:szCs w:val="22"/>
              </w:rPr>
              <w:t>Umor</w:t>
            </w:r>
          </w:p>
        </w:tc>
      </w:tr>
      <w:tr w:rsidR="00BD0820" w:rsidRPr="00880E7B" w:rsidTr="005760D6">
        <w:trPr>
          <w:trHeight w:val="255"/>
        </w:trPr>
        <w:tc>
          <w:tcPr>
            <w:tcW w:w="1055" w:type="pct"/>
          </w:tcPr>
          <w:p w:rsidR="00BD0820" w:rsidRPr="00E2025F" w:rsidRDefault="00BD0820" w:rsidP="00880E7B">
            <w:pPr>
              <w:jc w:val="both"/>
              <w:rPr>
                <w:sz w:val="22"/>
                <w:szCs w:val="22"/>
                <w:lang w:val="en-029"/>
              </w:rPr>
            </w:pPr>
            <w:r w:rsidRPr="00880E7B">
              <w:rPr>
                <w:sz w:val="22"/>
                <w:szCs w:val="22"/>
              </w:rPr>
              <w:t>Čest</w:t>
            </w:r>
            <w:r w:rsidRPr="00880E7B">
              <w:rPr>
                <w:sz w:val="22"/>
                <w:szCs w:val="22"/>
                <w:lang w:val="en-029"/>
              </w:rPr>
              <w:t>o</w:t>
            </w:r>
          </w:p>
        </w:tc>
        <w:tc>
          <w:tcPr>
            <w:tcW w:w="3945" w:type="pct"/>
          </w:tcPr>
          <w:p w:rsidR="00BD0820" w:rsidRPr="00880E7B" w:rsidRDefault="00BD0820" w:rsidP="00880E7B">
            <w:pPr>
              <w:jc w:val="both"/>
              <w:rPr>
                <w:sz w:val="22"/>
                <w:szCs w:val="22"/>
                <w:lang w:val="es-ES"/>
              </w:rPr>
            </w:pPr>
            <w:r w:rsidRPr="00880E7B">
              <w:rPr>
                <w:sz w:val="22"/>
                <w:szCs w:val="22"/>
                <w:lang w:val="es-ES"/>
              </w:rPr>
              <w:t>Astenija; bol u grudima koji nije srčanog por</w:t>
            </w:r>
            <w:r w:rsidR="00045D87" w:rsidRPr="00880E7B">
              <w:rPr>
                <w:sz w:val="22"/>
                <w:szCs w:val="22"/>
                <w:lang w:val="es-ES"/>
              </w:rPr>
              <w:t>ij</w:t>
            </w:r>
            <w:r w:rsidRPr="00880E7B">
              <w:rPr>
                <w:sz w:val="22"/>
                <w:szCs w:val="22"/>
                <w:lang w:val="es-ES"/>
              </w:rPr>
              <w:t>ekla</w:t>
            </w:r>
          </w:p>
        </w:tc>
      </w:tr>
      <w:tr w:rsidR="00BD0820" w:rsidRPr="00880E7B" w:rsidTr="00BD0820">
        <w:trPr>
          <w:trHeight w:val="255"/>
        </w:trPr>
        <w:tc>
          <w:tcPr>
            <w:tcW w:w="5000" w:type="pct"/>
            <w:gridSpan w:val="2"/>
          </w:tcPr>
          <w:p w:rsidR="00BD0820" w:rsidRPr="00880E7B" w:rsidRDefault="00BD0820" w:rsidP="00880E7B">
            <w:pPr>
              <w:jc w:val="both"/>
              <w:rPr>
                <w:b/>
                <w:sz w:val="22"/>
                <w:szCs w:val="22"/>
                <w:lang w:val="it-IT"/>
              </w:rPr>
            </w:pPr>
            <w:r w:rsidRPr="00880E7B">
              <w:rPr>
                <w:b/>
                <w:sz w:val="22"/>
                <w:szCs w:val="22"/>
                <w:lang w:val="it-IT"/>
              </w:rPr>
              <w:t>Povrede, trovanja i proceduralne komplikacije</w:t>
            </w:r>
          </w:p>
        </w:tc>
      </w:tr>
      <w:tr w:rsidR="00BD0820" w:rsidRPr="00880E7B" w:rsidTr="005760D6">
        <w:trPr>
          <w:trHeight w:val="255"/>
        </w:trPr>
        <w:tc>
          <w:tcPr>
            <w:tcW w:w="1055" w:type="pct"/>
          </w:tcPr>
          <w:p w:rsidR="00BD0820" w:rsidRPr="00E2025F" w:rsidRDefault="00BD0820" w:rsidP="00880E7B">
            <w:pPr>
              <w:jc w:val="both"/>
              <w:rPr>
                <w:sz w:val="22"/>
                <w:szCs w:val="22"/>
                <w:lang w:val="en-029"/>
              </w:rPr>
            </w:pPr>
            <w:r w:rsidRPr="00880E7B">
              <w:rPr>
                <w:sz w:val="22"/>
                <w:szCs w:val="22"/>
              </w:rPr>
              <w:t>Čest</w:t>
            </w:r>
            <w:r w:rsidRPr="00880E7B">
              <w:rPr>
                <w:sz w:val="22"/>
                <w:szCs w:val="22"/>
                <w:lang w:val="en-029"/>
              </w:rPr>
              <w:t>o</w:t>
            </w:r>
          </w:p>
        </w:tc>
        <w:tc>
          <w:tcPr>
            <w:tcW w:w="3945" w:type="pct"/>
          </w:tcPr>
          <w:p w:rsidR="00BD0820" w:rsidRPr="00880E7B" w:rsidRDefault="00BD0820" w:rsidP="00880E7B">
            <w:pPr>
              <w:jc w:val="both"/>
              <w:rPr>
                <w:sz w:val="22"/>
                <w:szCs w:val="22"/>
              </w:rPr>
            </w:pPr>
            <w:r w:rsidRPr="00880E7B">
              <w:rPr>
                <w:sz w:val="22"/>
                <w:szCs w:val="22"/>
              </w:rPr>
              <w:t>Opekotine od sunca</w:t>
            </w:r>
          </w:p>
        </w:tc>
      </w:tr>
    </w:tbl>
    <w:p w:rsidR="00780296" w:rsidRPr="00DC7E27" w:rsidRDefault="00780296" w:rsidP="00880E7B">
      <w:pPr>
        <w:spacing w:line="240" w:lineRule="exact"/>
        <w:jc w:val="both"/>
        <w:rPr>
          <w:sz w:val="22"/>
          <w:szCs w:val="22"/>
          <w:lang w:val="es-ES"/>
        </w:rPr>
      </w:pPr>
      <w:r w:rsidRPr="00DC7E27">
        <w:rPr>
          <w:sz w:val="22"/>
          <w:szCs w:val="22"/>
          <w:lang w:val="es-ES"/>
        </w:rPr>
        <w:t>1.</w:t>
      </w:r>
      <w:r w:rsidR="00E46A36" w:rsidRPr="00DC7E27">
        <w:rPr>
          <w:sz w:val="22"/>
          <w:szCs w:val="22"/>
          <w:lang w:val="es-ES"/>
        </w:rPr>
        <w:t xml:space="preserve"> </w:t>
      </w:r>
      <w:r w:rsidR="00D17D4E" w:rsidRPr="00DC7E27">
        <w:rPr>
          <w:sz w:val="22"/>
          <w:szCs w:val="22"/>
          <w:lang w:val="es-ES"/>
        </w:rPr>
        <w:t>Zabilježe</w:t>
      </w:r>
      <w:r w:rsidRPr="00DC7E27">
        <w:rPr>
          <w:sz w:val="22"/>
          <w:szCs w:val="22"/>
          <w:lang w:val="es-ES"/>
        </w:rPr>
        <w:t>no praćenj</w:t>
      </w:r>
      <w:r w:rsidR="00D17D4E" w:rsidRPr="00DC7E27">
        <w:rPr>
          <w:sz w:val="22"/>
          <w:szCs w:val="22"/>
          <w:lang w:val="es-ES"/>
        </w:rPr>
        <w:t>em</w:t>
      </w:r>
      <w:r w:rsidRPr="00DC7E27">
        <w:rPr>
          <w:sz w:val="22"/>
          <w:szCs w:val="22"/>
          <w:lang w:val="es-ES"/>
        </w:rPr>
        <w:t xml:space="preserve"> nakon stavljanja </w:t>
      </w:r>
      <w:r w:rsidR="00FE6000" w:rsidRPr="00DC7E27">
        <w:rPr>
          <w:sz w:val="22"/>
          <w:szCs w:val="22"/>
          <w:lang w:val="es-ES"/>
        </w:rPr>
        <w:t>lijek</w:t>
      </w:r>
      <w:r w:rsidRPr="00DC7E27">
        <w:rPr>
          <w:sz w:val="22"/>
          <w:szCs w:val="22"/>
          <w:lang w:val="es-ES"/>
        </w:rPr>
        <w:t>a u promet</w:t>
      </w:r>
      <w:r w:rsidR="0060584A">
        <w:rPr>
          <w:sz w:val="22"/>
          <w:szCs w:val="22"/>
          <w:lang w:val="es-ES"/>
        </w:rPr>
        <w:t xml:space="preserve"> (vidjeti dio 4.4)</w:t>
      </w:r>
    </w:p>
    <w:p w:rsidR="007C046F" w:rsidRPr="00DC7E27" w:rsidRDefault="00E46A36" w:rsidP="00DC7E27">
      <w:pPr>
        <w:spacing w:line="240" w:lineRule="exact"/>
        <w:jc w:val="both"/>
        <w:rPr>
          <w:sz w:val="22"/>
          <w:szCs w:val="22"/>
          <w:lang w:val="es-ES"/>
        </w:rPr>
      </w:pPr>
      <w:r w:rsidRPr="00DC7E27">
        <w:rPr>
          <w:sz w:val="22"/>
          <w:szCs w:val="22"/>
          <w:lang w:val="es-ES"/>
        </w:rPr>
        <w:t xml:space="preserve">2. </w:t>
      </w:r>
      <w:r w:rsidR="007C046F" w:rsidRPr="00DC7E27">
        <w:rPr>
          <w:sz w:val="22"/>
          <w:szCs w:val="22"/>
          <w:lang w:val="es-ES"/>
        </w:rPr>
        <w:t xml:space="preserve">Tokom praćenja nakon stavljanja lijeka u promet utvrđeni su slučajevi teškog oštećenja jetre izazvanog lijekom, uključujući slučajeve sa smrtnim ishodom (vidjeti </w:t>
      </w:r>
      <w:r w:rsidR="00B825FB" w:rsidRPr="00DC7E27">
        <w:rPr>
          <w:sz w:val="22"/>
          <w:szCs w:val="22"/>
          <w:lang w:val="es-ES"/>
        </w:rPr>
        <w:t>djelove</w:t>
      </w:r>
      <w:r w:rsidR="007C046F" w:rsidRPr="00DC7E27">
        <w:rPr>
          <w:sz w:val="22"/>
          <w:szCs w:val="22"/>
          <w:lang w:val="es-ES"/>
        </w:rPr>
        <w:t xml:space="preserve"> 4.3, 4.4).</w:t>
      </w:r>
    </w:p>
    <w:p w:rsidR="007C046F" w:rsidRPr="00DC7E27" w:rsidRDefault="007C046F" w:rsidP="00880E7B">
      <w:pPr>
        <w:spacing w:line="240" w:lineRule="exact"/>
        <w:jc w:val="both"/>
        <w:rPr>
          <w:sz w:val="22"/>
          <w:szCs w:val="22"/>
          <w:lang w:val="es-ES"/>
        </w:rPr>
      </w:pPr>
    </w:p>
    <w:p w:rsidR="00714420" w:rsidRDefault="00714420" w:rsidP="00DC7E27">
      <w:pPr>
        <w:keepNext/>
        <w:suppressLineNumbers/>
        <w:autoSpaceDE w:val="0"/>
        <w:autoSpaceDN w:val="0"/>
        <w:adjustRightInd w:val="0"/>
        <w:jc w:val="both"/>
        <w:rPr>
          <w:noProof/>
          <w:sz w:val="22"/>
          <w:szCs w:val="22"/>
          <w:u w:val="single"/>
        </w:rPr>
      </w:pPr>
      <w:r w:rsidRPr="00714420">
        <w:rPr>
          <w:noProof/>
          <w:sz w:val="22"/>
          <w:szCs w:val="22"/>
          <w:u w:val="single"/>
        </w:rPr>
        <w:t>U analizama objedinjenih podataka iz kliničkih ispitivanja kod IPF-a prilagođenih za izloženost potvrđeno je da je profil bezb</w:t>
      </w:r>
      <w:r>
        <w:rPr>
          <w:noProof/>
          <w:sz w:val="22"/>
          <w:szCs w:val="22"/>
          <w:u w:val="single"/>
        </w:rPr>
        <w:t>j</w:t>
      </w:r>
      <w:r w:rsidRPr="00714420">
        <w:rPr>
          <w:noProof/>
          <w:sz w:val="22"/>
          <w:szCs w:val="22"/>
          <w:u w:val="single"/>
        </w:rPr>
        <w:t>ednosti i podnošljivosti l</w:t>
      </w:r>
      <w:r>
        <w:rPr>
          <w:noProof/>
          <w:sz w:val="22"/>
          <w:szCs w:val="22"/>
          <w:u w:val="single"/>
        </w:rPr>
        <w:t>ij</w:t>
      </w:r>
      <w:r w:rsidRPr="00714420">
        <w:rPr>
          <w:noProof/>
          <w:sz w:val="22"/>
          <w:szCs w:val="22"/>
          <w:u w:val="single"/>
        </w:rPr>
        <w:t xml:space="preserve">eka Esbriet kod pacijenata sa IPF-om kojima je </w:t>
      </w:r>
      <w:r w:rsidRPr="00714420">
        <w:rPr>
          <w:noProof/>
          <w:sz w:val="22"/>
          <w:szCs w:val="22"/>
          <w:u w:val="single"/>
        </w:rPr>
        <w:lastRenderedPageBreak/>
        <w:t xml:space="preserve">bolest uznapredovala (n=366) u skladu sa onim utvrđenim kod pacijenata sa IPF-om kojima bolest nije uznapredovala (n=942). </w:t>
      </w:r>
    </w:p>
    <w:p w:rsidR="00714420" w:rsidRDefault="00714420" w:rsidP="00DC7E27">
      <w:pPr>
        <w:keepNext/>
        <w:suppressLineNumbers/>
        <w:autoSpaceDE w:val="0"/>
        <w:autoSpaceDN w:val="0"/>
        <w:adjustRightInd w:val="0"/>
        <w:jc w:val="both"/>
        <w:rPr>
          <w:noProof/>
          <w:sz w:val="22"/>
          <w:szCs w:val="22"/>
          <w:u w:val="single"/>
        </w:rPr>
      </w:pPr>
    </w:p>
    <w:p w:rsidR="005760D6" w:rsidRPr="00880E7B" w:rsidRDefault="005760D6" w:rsidP="00DC7E27">
      <w:pPr>
        <w:keepNext/>
        <w:suppressLineNumbers/>
        <w:autoSpaceDE w:val="0"/>
        <w:autoSpaceDN w:val="0"/>
        <w:adjustRightInd w:val="0"/>
        <w:jc w:val="both"/>
        <w:rPr>
          <w:noProof/>
          <w:sz w:val="22"/>
          <w:szCs w:val="22"/>
          <w:u w:val="single"/>
        </w:rPr>
      </w:pPr>
      <w:r w:rsidRPr="00880E7B">
        <w:rPr>
          <w:noProof/>
          <w:sz w:val="22"/>
          <w:szCs w:val="22"/>
          <w:u w:val="single"/>
        </w:rPr>
        <w:t>Opis odabranih neželjenih reakcija</w:t>
      </w:r>
    </w:p>
    <w:p w:rsidR="005760D6" w:rsidRPr="00E2025F" w:rsidRDefault="005760D6" w:rsidP="00DC7E27">
      <w:pPr>
        <w:keepNext/>
        <w:suppressLineNumbers/>
        <w:autoSpaceDE w:val="0"/>
        <w:autoSpaceDN w:val="0"/>
        <w:adjustRightInd w:val="0"/>
        <w:jc w:val="both"/>
        <w:rPr>
          <w:noProof/>
          <w:sz w:val="22"/>
          <w:szCs w:val="22"/>
          <w:u w:val="single"/>
        </w:rPr>
      </w:pPr>
    </w:p>
    <w:p w:rsidR="005760D6" w:rsidRPr="00880E7B" w:rsidRDefault="005760D6" w:rsidP="00DC7E27">
      <w:pPr>
        <w:keepNext/>
        <w:suppressLineNumbers/>
        <w:autoSpaceDE w:val="0"/>
        <w:autoSpaceDN w:val="0"/>
        <w:adjustRightInd w:val="0"/>
        <w:jc w:val="both"/>
        <w:rPr>
          <w:noProof/>
          <w:sz w:val="22"/>
          <w:szCs w:val="22"/>
        </w:rPr>
      </w:pPr>
      <w:r w:rsidRPr="00880E7B">
        <w:rPr>
          <w:i/>
          <w:iCs/>
          <w:noProof/>
          <w:sz w:val="22"/>
          <w:szCs w:val="22"/>
        </w:rPr>
        <w:t>Smanjen apetit</w:t>
      </w:r>
    </w:p>
    <w:p w:rsidR="005760D6" w:rsidRPr="00880E7B" w:rsidRDefault="005760D6" w:rsidP="00880E7B">
      <w:pPr>
        <w:autoSpaceDE w:val="0"/>
        <w:autoSpaceDN w:val="0"/>
        <w:adjustRightInd w:val="0"/>
        <w:jc w:val="both"/>
        <w:rPr>
          <w:noProof/>
          <w:sz w:val="22"/>
          <w:szCs w:val="22"/>
        </w:rPr>
      </w:pPr>
      <w:r w:rsidRPr="00880E7B">
        <w:rPr>
          <w:noProof/>
          <w:sz w:val="22"/>
          <w:szCs w:val="22"/>
        </w:rPr>
        <w:t>Tokom pivotalnih kliničkih ispitivanja slučajevi smanjenog apetita mogli su se lako zbrinuti i generalno nijesu bili povezani sa značajnim posl</w:t>
      </w:r>
      <w:r w:rsidR="00045D87" w:rsidRPr="00880E7B">
        <w:rPr>
          <w:noProof/>
          <w:sz w:val="22"/>
          <w:szCs w:val="22"/>
        </w:rPr>
        <w:t>j</w:t>
      </w:r>
      <w:r w:rsidRPr="00880E7B">
        <w:rPr>
          <w:noProof/>
          <w:sz w:val="22"/>
          <w:szCs w:val="22"/>
        </w:rPr>
        <w:t>edicama. Slučajevi smanjenog apetita su povremeno bili povezani sa značajnim gubitkom tjelesne mase i zaht</w:t>
      </w:r>
      <w:r w:rsidR="00045D87" w:rsidRPr="00880E7B">
        <w:rPr>
          <w:noProof/>
          <w:sz w:val="22"/>
          <w:szCs w:val="22"/>
        </w:rPr>
        <w:t>i</w:t>
      </w:r>
      <w:r w:rsidRPr="00880E7B">
        <w:rPr>
          <w:noProof/>
          <w:sz w:val="22"/>
          <w:szCs w:val="22"/>
        </w:rPr>
        <w:t>jevali su medicinsku intervenciju.</w:t>
      </w:r>
    </w:p>
    <w:p w:rsidR="009B493C" w:rsidRPr="00DC7E27" w:rsidRDefault="009B493C" w:rsidP="00880E7B">
      <w:pPr>
        <w:jc w:val="both"/>
        <w:rPr>
          <w:noProof/>
          <w:sz w:val="22"/>
          <w:szCs w:val="22"/>
          <w:lang w:val="es-ES"/>
        </w:rPr>
      </w:pPr>
    </w:p>
    <w:p w:rsidR="008C7927" w:rsidRPr="00880E7B" w:rsidRDefault="008C7927" w:rsidP="00DC7E27">
      <w:pPr>
        <w:spacing w:after="200" w:line="276" w:lineRule="auto"/>
        <w:jc w:val="both"/>
        <w:rPr>
          <w:rFonts w:eastAsia="Calibri"/>
          <w:sz w:val="22"/>
          <w:szCs w:val="22"/>
          <w:u w:val="single"/>
          <w:lang w:val="sr-Latn-RS"/>
        </w:rPr>
      </w:pPr>
      <w:r w:rsidRPr="00880E7B">
        <w:rPr>
          <w:rFonts w:eastAsia="Calibri"/>
          <w:sz w:val="22"/>
          <w:szCs w:val="22"/>
          <w:u w:val="single"/>
          <w:lang w:val="sr-Latn-RS"/>
        </w:rPr>
        <w:t>Prijavljivanje sumnji na neželjena dejstva</w:t>
      </w:r>
    </w:p>
    <w:p w:rsidR="008C7927" w:rsidRPr="00880E7B" w:rsidRDefault="008C7927" w:rsidP="00880E7B">
      <w:pPr>
        <w:spacing w:after="200"/>
        <w:jc w:val="both"/>
        <w:rPr>
          <w:rFonts w:eastAsia="Calibri"/>
          <w:sz w:val="22"/>
          <w:szCs w:val="22"/>
          <w:lang w:val="sr-Latn-RS"/>
        </w:rPr>
      </w:pPr>
      <w:r w:rsidRPr="00E2025F">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w:t>
      </w:r>
      <w:r w:rsidRPr="00880E7B">
        <w:rPr>
          <w:rFonts w:eastAsia="Calibri"/>
          <w:sz w:val="22"/>
          <w:szCs w:val="22"/>
          <w:lang w:val="sr-Latn-RS"/>
        </w:rPr>
        <w:t xml:space="preserve"> na neželjeno dejstvo ovog lijeka Institutu za ljekove i medicinska sredstva (CInMED):</w:t>
      </w:r>
    </w:p>
    <w:p w:rsidR="008C7927" w:rsidRPr="00880E7B" w:rsidRDefault="008C7927" w:rsidP="00880E7B">
      <w:pPr>
        <w:pStyle w:val="NoSpacing"/>
        <w:jc w:val="both"/>
        <w:rPr>
          <w:rFonts w:eastAsia="Calibri"/>
          <w:sz w:val="22"/>
          <w:szCs w:val="22"/>
          <w:lang w:val="sr-Latn-RS"/>
        </w:rPr>
      </w:pPr>
      <w:r w:rsidRPr="00880E7B">
        <w:rPr>
          <w:rFonts w:eastAsia="Calibri"/>
          <w:sz w:val="22"/>
          <w:szCs w:val="22"/>
          <w:lang w:val="sr-Latn-RS"/>
        </w:rPr>
        <w:t xml:space="preserve">Institut za ljekove i medicinska sredstva </w:t>
      </w:r>
    </w:p>
    <w:p w:rsidR="008C7927" w:rsidRPr="00880E7B" w:rsidRDefault="008C7927" w:rsidP="00880E7B">
      <w:pPr>
        <w:pStyle w:val="NoSpacing"/>
        <w:jc w:val="both"/>
        <w:rPr>
          <w:rFonts w:eastAsia="Calibri"/>
          <w:sz w:val="22"/>
          <w:szCs w:val="22"/>
          <w:lang w:val="sr-Latn-RS"/>
        </w:rPr>
      </w:pPr>
      <w:r w:rsidRPr="00880E7B">
        <w:rPr>
          <w:rFonts w:eastAsia="Calibri"/>
          <w:sz w:val="22"/>
          <w:szCs w:val="22"/>
          <w:lang w:val="sr-Latn-RS"/>
        </w:rPr>
        <w:t>Odjeljenje za farmakovigilancu</w:t>
      </w:r>
    </w:p>
    <w:p w:rsidR="008C7927" w:rsidRPr="00880E7B" w:rsidRDefault="008C7927" w:rsidP="00E2025F">
      <w:pPr>
        <w:pStyle w:val="NoSpacing"/>
        <w:jc w:val="both"/>
        <w:rPr>
          <w:rFonts w:eastAsia="Calibri"/>
          <w:sz w:val="22"/>
          <w:szCs w:val="22"/>
          <w:lang w:val="sr-Latn-RS"/>
        </w:rPr>
      </w:pPr>
      <w:r w:rsidRPr="00880E7B">
        <w:rPr>
          <w:rFonts w:eastAsia="Calibri"/>
          <w:sz w:val="22"/>
          <w:szCs w:val="22"/>
          <w:lang w:val="sr-Latn-RS"/>
        </w:rPr>
        <w:t>Bulevar Ivana Crnojevića 64a, 81000 Podgorica</w:t>
      </w:r>
    </w:p>
    <w:p w:rsidR="008C7927" w:rsidRPr="00880E7B" w:rsidRDefault="008C7927" w:rsidP="00DC7E27">
      <w:pPr>
        <w:pStyle w:val="NoSpacing"/>
        <w:jc w:val="both"/>
        <w:rPr>
          <w:rFonts w:eastAsia="Calibri"/>
          <w:sz w:val="22"/>
          <w:szCs w:val="22"/>
          <w:lang w:val="sr-Latn-RS"/>
        </w:rPr>
      </w:pPr>
    </w:p>
    <w:p w:rsidR="008C7927" w:rsidRPr="00880E7B" w:rsidRDefault="008C7927" w:rsidP="00880E7B">
      <w:pPr>
        <w:pStyle w:val="NoSpacing"/>
        <w:jc w:val="both"/>
        <w:rPr>
          <w:rFonts w:eastAsia="Calibri"/>
          <w:sz w:val="22"/>
          <w:szCs w:val="22"/>
          <w:lang w:val="sr-Latn-RS"/>
        </w:rPr>
      </w:pPr>
      <w:r w:rsidRPr="00880E7B">
        <w:rPr>
          <w:rFonts w:eastAsia="Calibri"/>
          <w:sz w:val="22"/>
          <w:szCs w:val="22"/>
          <w:lang w:val="sr-Latn-RS"/>
        </w:rPr>
        <w:t>tel: +382 (0) 20 310 280</w:t>
      </w:r>
    </w:p>
    <w:p w:rsidR="008C7927" w:rsidRPr="00880E7B" w:rsidRDefault="008C7927" w:rsidP="00880E7B">
      <w:pPr>
        <w:pStyle w:val="NoSpacing"/>
        <w:jc w:val="both"/>
        <w:rPr>
          <w:rFonts w:eastAsia="Calibri"/>
          <w:sz w:val="22"/>
          <w:szCs w:val="22"/>
          <w:lang w:val="sr-Latn-RS"/>
        </w:rPr>
      </w:pPr>
      <w:r w:rsidRPr="00880E7B">
        <w:rPr>
          <w:rFonts w:eastAsia="Calibri"/>
          <w:sz w:val="22"/>
          <w:szCs w:val="22"/>
          <w:lang w:val="sr-Latn-RS"/>
        </w:rPr>
        <w:t>fax: +382 (0) 20 310 581</w:t>
      </w:r>
    </w:p>
    <w:p w:rsidR="008C7927" w:rsidRPr="00880E7B" w:rsidRDefault="00507E85" w:rsidP="00880E7B">
      <w:pPr>
        <w:pStyle w:val="NoSpacing"/>
        <w:jc w:val="both"/>
        <w:rPr>
          <w:rFonts w:eastAsia="Calibri"/>
          <w:sz w:val="22"/>
          <w:szCs w:val="22"/>
          <w:lang w:val="sr-Latn-RS"/>
        </w:rPr>
      </w:pPr>
      <w:hyperlink r:id="rId8" w:history="1">
        <w:r w:rsidR="008C7927" w:rsidRPr="00880E7B">
          <w:rPr>
            <w:rStyle w:val="Hyperlink"/>
            <w:rFonts w:eastAsia="Calibri"/>
            <w:sz w:val="22"/>
            <w:szCs w:val="22"/>
            <w:lang w:val="sr-Latn-RS"/>
          </w:rPr>
          <w:t>www.cinmed.me</w:t>
        </w:r>
      </w:hyperlink>
    </w:p>
    <w:p w:rsidR="008C7927" w:rsidRPr="00880E7B" w:rsidRDefault="00507E85" w:rsidP="00880E7B">
      <w:pPr>
        <w:pStyle w:val="NoSpacing"/>
        <w:jc w:val="both"/>
        <w:rPr>
          <w:rFonts w:eastAsia="Calibri"/>
          <w:color w:val="0000FF"/>
          <w:sz w:val="22"/>
          <w:szCs w:val="22"/>
          <w:u w:val="single"/>
          <w:lang w:val="sr-Latn-RS"/>
        </w:rPr>
      </w:pPr>
      <w:hyperlink r:id="rId9" w:history="1">
        <w:r w:rsidR="008C7927" w:rsidRPr="00880E7B">
          <w:rPr>
            <w:rStyle w:val="Hyperlink"/>
            <w:rFonts w:eastAsia="Calibri"/>
            <w:sz w:val="22"/>
            <w:szCs w:val="22"/>
            <w:lang w:val="sr-Latn-RS"/>
          </w:rPr>
          <w:t>nezeljenadejstva@cinmed.me</w:t>
        </w:r>
      </w:hyperlink>
    </w:p>
    <w:p w:rsidR="00A461DF" w:rsidRPr="00612434" w:rsidRDefault="00A461DF" w:rsidP="00A461DF">
      <w:pPr>
        <w:rPr>
          <w:rFonts w:eastAsia="Calibri"/>
          <w:szCs w:val="22"/>
          <w:lang w:val="sr-Latn-RS"/>
        </w:rPr>
      </w:pPr>
      <w:r w:rsidRPr="00612434">
        <w:rPr>
          <w:rFonts w:eastAsia="Calibri"/>
          <w:szCs w:val="22"/>
          <w:lang w:val="sr-Latn-RS"/>
        </w:rPr>
        <w:t>putem IS zdravstvene zaštite</w:t>
      </w:r>
    </w:p>
    <w:p w:rsidR="00A461DF" w:rsidRPr="00612434" w:rsidRDefault="00A461DF" w:rsidP="00A461DF">
      <w:pPr>
        <w:rPr>
          <w:rFonts w:eastAsia="Calibri"/>
          <w:szCs w:val="22"/>
          <w:lang w:val="sr-Latn-RS"/>
        </w:rPr>
      </w:pPr>
      <w:r w:rsidRPr="00612434">
        <w:rPr>
          <w:rFonts w:eastAsia="Calibri"/>
          <w:szCs w:val="22"/>
          <w:lang w:val="sr-Latn-RS"/>
        </w:rPr>
        <w:t>QR kod za online prijavu sumnje na neželjeno dejstvo lijeka:</w:t>
      </w:r>
    </w:p>
    <w:p w:rsidR="00A461DF" w:rsidRPr="00612434" w:rsidRDefault="00A461DF" w:rsidP="00A461DF">
      <w:pPr>
        <w:rPr>
          <w:rFonts w:eastAsia="Calibri"/>
          <w:szCs w:val="22"/>
          <w:lang w:val="sr-Latn-RS"/>
        </w:rPr>
      </w:pPr>
    </w:p>
    <w:p w:rsidR="00A461DF" w:rsidRPr="00612434" w:rsidRDefault="00A461DF" w:rsidP="00A461DF">
      <w:pPr>
        <w:rPr>
          <w:rFonts w:eastAsia="Calibri"/>
          <w:szCs w:val="22"/>
          <w:lang w:val="sr-Latn-RS"/>
        </w:rPr>
      </w:pPr>
      <w:r w:rsidRPr="00612434">
        <w:rPr>
          <w:noProof/>
        </w:rPr>
        <w:drawing>
          <wp:inline distT="0" distB="0" distL="0" distR="0" wp14:anchorId="34928CB7" wp14:editId="752D0B17">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CD6F02" w:rsidRPr="00880E7B" w:rsidRDefault="0072020E">
      <w:pPr>
        <w:tabs>
          <w:tab w:val="left" w:pos="540"/>
          <w:tab w:val="left" w:pos="569"/>
        </w:tabs>
        <w:jc w:val="both"/>
        <w:rPr>
          <w:b/>
          <w:bCs/>
          <w:sz w:val="22"/>
          <w:szCs w:val="22"/>
        </w:rPr>
      </w:pPr>
      <w:r w:rsidRPr="00880E7B">
        <w:rPr>
          <w:b/>
          <w:bCs/>
          <w:sz w:val="22"/>
          <w:szCs w:val="22"/>
        </w:rPr>
        <w:t xml:space="preserve">4.9. </w:t>
      </w:r>
      <w:r w:rsidR="00480FB1" w:rsidRPr="00880E7B">
        <w:rPr>
          <w:b/>
          <w:bCs/>
          <w:sz w:val="22"/>
          <w:szCs w:val="22"/>
        </w:rPr>
        <w:tab/>
      </w:r>
      <w:r w:rsidRPr="00880E7B">
        <w:rPr>
          <w:b/>
          <w:bCs/>
          <w:sz w:val="22"/>
          <w:szCs w:val="22"/>
        </w:rPr>
        <w:t>Predoziranje</w:t>
      </w:r>
      <w:r w:rsidR="002846DB" w:rsidRPr="00880E7B">
        <w:rPr>
          <w:b/>
          <w:bCs/>
          <w:sz w:val="22"/>
          <w:szCs w:val="22"/>
        </w:rPr>
        <w:t xml:space="preserve"> </w:t>
      </w:r>
    </w:p>
    <w:p w:rsidR="00CD6F02" w:rsidRPr="00880E7B" w:rsidRDefault="00CD6F02">
      <w:pPr>
        <w:tabs>
          <w:tab w:val="left" w:pos="540"/>
          <w:tab w:val="left" w:pos="569"/>
        </w:tabs>
        <w:jc w:val="both"/>
        <w:rPr>
          <w:b/>
          <w:bCs/>
          <w:sz w:val="22"/>
          <w:szCs w:val="22"/>
        </w:rPr>
      </w:pPr>
    </w:p>
    <w:p w:rsidR="00780296" w:rsidRPr="00880E7B" w:rsidRDefault="00780296">
      <w:pPr>
        <w:spacing w:line="240" w:lineRule="exact"/>
        <w:jc w:val="both"/>
        <w:rPr>
          <w:sz w:val="22"/>
          <w:szCs w:val="22"/>
          <w:lang w:val="it-IT"/>
        </w:rPr>
      </w:pPr>
      <w:r w:rsidRPr="00880E7B">
        <w:rPr>
          <w:sz w:val="22"/>
          <w:szCs w:val="22"/>
          <w:lang w:val="it-IT"/>
        </w:rPr>
        <w:t>Klinička iskustva sa predoziranjem su ograničena. Višestruke doze pirfenidona do ukupne doze od 4806 mg dnevno prim</w:t>
      </w:r>
      <w:r w:rsidR="0078504E" w:rsidRPr="00880E7B">
        <w:rPr>
          <w:sz w:val="22"/>
          <w:szCs w:val="22"/>
          <w:lang w:val="it-IT"/>
        </w:rPr>
        <w:t>i</w:t>
      </w:r>
      <w:r w:rsidR="009B493C" w:rsidRPr="00880E7B">
        <w:rPr>
          <w:sz w:val="22"/>
          <w:szCs w:val="22"/>
          <w:lang w:val="it-IT"/>
        </w:rPr>
        <w:t>j</w:t>
      </w:r>
      <w:r w:rsidRPr="00880E7B">
        <w:rPr>
          <w:sz w:val="22"/>
          <w:szCs w:val="22"/>
          <w:lang w:val="it-IT"/>
        </w:rPr>
        <w:t>enjivane su u obliku šest kapsula od 267 mg tri puta dnevno zdravim dobrovoljcima, uz postupno povećanje doze tokom 12 dana. Neželjene reakcije su bile blage, prolazne i sastojale su se od najčešće prijavljivanih neželjenih reakcija za pirfenidon.</w:t>
      </w:r>
    </w:p>
    <w:p w:rsidR="00780296" w:rsidRPr="00880E7B" w:rsidRDefault="00780296">
      <w:pPr>
        <w:spacing w:line="240" w:lineRule="exact"/>
        <w:jc w:val="both"/>
        <w:rPr>
          <w:sz w:val="22"/>
          <w:szCs w:val="22"/>
          <w:lang w:val="it-IT"/>
        </w:rPr>
      </w:pPr>
    </w:p>
    <w:p w:rsidR="00780296" w:rsidRPr="00880E7B" w:rsidRDefault="00780296">
      <w:pPr>
        <w:jc w:val="both"/>
        <w:rPr>
          <w:sz w:val="22"/>
          <w:szCs w:val="22"/>
          <w:lang w:val="it-IT"/>
        </w:rPr>
      </w:pPr>
      <w:r w:rsidRPr="00880E7B">
        <w:rPr>
          <w:sz w:val="22"/>
          <w:szCs w:val="22"/>
          <w:lang w:val="it-IT"/>
        </w:rPr>
        <w:t>U slučaju sumnje na predoziranje, potrebno je osigurati dodatnu medicinsku n</w:t>
      </w:r>
      <w:r w:rsidR="00045D87" w:rsidRPr="00880E7B">
        <w:rPr>
          <w:sz w:val="22"/>
          <w:szCs w:val="22"/>
          <w:lang w:val="it-IT"/>
        </w:rPr>
        <w:t>j</w:t>
      </w:r>
      <w:r w:rsidRPr="00880E7B">
        <w:rPr>
          <w:sz w:val="22"/>
          <w:szCs w:val="22"/>
          <w:lang w:val="it-IT"/>
        </w:rPr>
        <w:t>egu uključujući praćenje vitalnih znakova i pažljivo posmatranje kliničkog stanja pacijenta.</w:t>
      </w:r>
    </w:p>
    <w:p w:rsidR="00227BDB" w:rsidRPr="00880E7B" w:rsidRDefault="00227BDB">
      <w:pPr>
        <w:tabs>
          <w:tab w:val="left" w:pos="540"/>
          <w:tab w:val="left" w:pos="569"/>
        </w:tabs>
        <w:jc w:val="both"/>
        <w:rPr>
          <w:b/>
          <w:bCs/>
          <w:sz w:val="22"/>
          <w:szCs w:val="22"/>
          <w:lang w:val="it-IT"/>
        </w:rPr>
      </w:pPr>
    </w:p>
    <w:p w:rsidR="0072020E" w:rsidRPr="00880E7B" w:rsidRDefault="0072020E">
      <w:pPr>
        <w:tabs>
          <w:tab w:val="left" w:pos="540"/>
          <w:tab w:val="left" w:pos="569"/>
        </w:tabs>
        <w:jc w:val="both"/>
        <w:rPr>
          <w:b/>
          <w:bCs/>
          <w:sz w:val="22"/>
          <w:szCs w:val="22"/>
        </w:rPr>
      </w:pPr>
      <w:r w:rsidRPr="00880E7B">
        <w:rPr>
          <w:b/>
          <w:bCs/>
          <w:sz w:val="22"/>
          <w:szCs w:val="22"/>
        </w:rPr>
        <w:t xml:space="preserve">5. </w:t>
      </w:r>
      <w:r w:rsidR="00480FB1" w:rsidRPr="00880E7B">
        <w:rPr>
          <w:b/>
          <w:bCs/>
          <w:sz w:val="22"/>
          <w:szCs w:val="22"/>
        </w:rPr>
        <w:tab/>
      </w:r>
      <w:r w:rsidRPr="00880E7B">
        <w:rPr>
          <w:b/>
          <w:bCs/>
          <w:sz w:val="22"/>
          <w:szCs w:val="22"/>
        </w:rPr>
        <w:t>FARMAKOLOŠK</w:t>
      </w:r>
      <w:r w:rsidR="000D425A" w:rsidRPr="00880E7B">
        <w:rPr>
          <w:b/>
          <w:bCs/>
          <w:sz w:val="22"/>
          <w:szCs w:val="22"/>
        </w:rPr>
        <w:t>I</w:t>
      </w:r>
      <w:r w:rsidRPr="00880E7B">
        <w:rPr>
          <w:b/>
          <w:bCs/>
          <w:sz w:val="22"/>
          <w:szCs w:val="22"/>
        </w:rPr>
        <w:t xml:space="preserve"> PODACI</w:t>
      </w:r>
    </w:p>
    <w:p w:rsidR="0072020E" w:rsidRPr="00880E7B" w:rsidRDefault="0072020E">
      <w:pPr>
        <w:tabs>
          <w:tab w:val="left" w:pos="540"/>
          <w:tab w:val="left" w:pos="569"/>
        </w:tabs>
        <w:jc w:val="both"/>
        <w:rPr>
          <w:b/>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5.1. </w:t>
      </w:r>
      <w:r w:rsidR="00480FB1" w:rsidRPr="00880E7B">
        <w:rPr>
          <w:b/>
          <w:bCs/>
          <w:sz w:val="22"/>
          <w:szCs w:val="22"/>
        </w:rPr>
        <w:tab/>
      </w:r>
      <w:r w:rsidRPr="00880E7B">
        <w:rPr>
          <w:b/>
          <w:bCs/>
          <w:sz w:val="22"/>
          <w:szCs w:val="22"/>
        </w:rPr>
        <w:t>Farmakodinamski podaci</w:t>
      </w:r>
      <w:r w:rsidR="003A7059" w:rsidRPr="00880E7B">
        <w:rPr>
          <w:b/>
          <w:bCs/>
          <w:sz w:val="22"/>
          <w:szCs w:val="22"/>
        </w:rPr>
        <w:t xml:space="preserve"> </w:t>
      </w:r>
    </w:p>
    <w:p w:rsidR="00F45F77" w:rsidRPr="00880E7B" w:rsidRDefault="00F45F77">
      <w:pPr>
        <w:tabs>
          <w:tab w:val="left" w:pos="540"/>
          <w:tab w:val="left" w:pos="569"/>
        </w:tabs>
        <w:jc w:val="both"/>
        <w:rPr>
          <w:b/>
          <w:bCs/>
          <w:sz w:val="22"/>
          <w:szCs w:val="22"/>
        </w:rPr>
      </w:pPr>
    </w:p>
    <w:p w:rsidR="00BD0820" w:rsidRPr="00880E7B" w:rsidRDefault="0072020E">
      <w:pPr>
        <w:tabs>
          <w:tab w:val="left" w:pos="540"/>
          <w:tab w:val="left" w:pos="569"/>
        </w:tabs>
        <w:jc w:val="both"/>
        <w:rPr>
          <w:bCs/>
          <w:sz w:val="22"/>
          <w:szCs w:val="22"/>
        </w:rPr>
      </w:pPr>
      <w:r w:rsidRPr="00880E7B">
        <w:rPr>
          <w:bCs/>
          <w:sz w:val="22"/>
          <w:szCs w:val="22"/>
        </w:rPr>
        <w:t>Farmakoterapijska grupa:</w:t>
      </w:r>
      <w:r w:rsidR="00A17092" w:rsidRPr="00880E7B">
        <w:rPr>
          <w:bCs/>
          <w:sz w:val="22"/>
          <w:szCs w:val="22"/>
        </w:rPr>
        <w:t xml:space="preserve"> </w:t>
      </w:r>
      <w:r w:rsidR="00780296" w:rsidRPr="00880E7B">
        <w:rPr>
          <w:bCs/>
          <w:sz w:val="22"/>
          <w:szCs w:val="22"/>
        </w:rPr>
        <w:t>Imunosupresivna sredstva; Ostali imunosupresivi</w:t>
      </w:r>
    </w:p>
    <w:p w:rsidR="0072020E" w:rsidRPr="00880E7B" w:rsidRDefault="00780296">
      <w:pPr>
        <w:tabs>
          <w:tab w:val="left" w:pos="540"/>
          <w:tab w:val="left" w:pos="569"/>
        </w:tabs>
        <w:jc w:val="both"/>
        <w:rPr>
          <w:bCs/>
          <w:sz w:val="22"/>
          <w:szCs w:val="22"/>
        </w:rPr>
      </w:pPr>
      <w:r w:rsidRPr="00880E7B">
        <w:rPr>
          <w:bCs/>
          <w:sz w:val="22"/>
          <w:szCs w:val="22"/>
        </w:rPr>
        <w:t>ATC kod: L04AX05</w:t>
      </w:r>
    </w:p>
    <w:p w:rsidR="00A17092" w:rsidRPr="00880E7B" w:rsidRDefault="00A17092">
      <w:pPr>
        <w:tabs>
          <w:tab w:val="left" w:pos="540"/>
          <w:tab w:val="left" w:pos="569"/>
        </w:tabs>
        <w:jc w:val="both"/>
        <w:rPr>
          <w:bCs/>
          <w:sz w:val="22"/>
          <w:szCs w:val="22"/>
        </w:rPr>
      </w:pPr>
    </w:p>
    <w:p w:rsidR="00780296" w:rsidRPr="00880E7B" w:rsidRDefault="00780296">
      <w:pPr>
        <w:autoSpaceDE w:val="0"/>
        <w:autoSpaceDN w:val="0"/>
        <w:adjustRightInd w:val="0"/>
        <w:jc w:val="both"/>
        <w:rPr>
          <w:rFonts w:eastAsia="MS Mincho"/>
          <w:sz w:val="22"/>
          <w:szCs w:val="22"/>
          <w:lang w:val="it-IT"/>
        </w:rPr>
      </w:pPr>
      <w:r w:rsidRPr="00880E7B">
        <w:rPr>
          <w:sz w:val="22"/>
          <w:szCs w:val="22"/>
          <w:lang w:val="it-IT"/>
        </w:rPr>
        <w:t>Mehanizam d</w:t>
      </w:r>
      <w:r w:rsidR="009B493C" w:rsidRPr="00880E7B">
        <w:rPr>
          <w:sz w:val="22"/>
          <w:szCs w:val="22"/>
          <w:lang w:val="it-IT"/>
        </w:rPr>
        <w:t>j</w:t>
      </w:r>
      <w:r w:rsidRPr="00880E7B">
        <w:rPr>
          <w:sz w:val="22"/>
          <w:szCs w:val="22"/>
          <w:lang w:val="it-IT"/>
        </w:rPr>
        <w:t xml:space="preserve">elovanja pirfenidona još nije u potpunosti utvrđen. Ipak, postojeći podaci ukazuju na to da pirfenidon ima fibrinolitička i antiinflamatorna svojstva u različitim </w:t>
      </w:r>
      <w:r w:rsidRPr="00880E7B">
        <w:rPr>
          <w:i/>
          <w:sz w:val="22"/>
          <w:szCs w:val="22"/>
          <w:lang w:val="it-IT"/>
        </w:rPr>
        <w:t>in vitro</w:t>
      </w:r>
      <w:r w:rsidRPr="00880E7B">
        <w:rPr>
          <w:sz w:val="22"/>
          <w:szCs w:val="22"/>
          <w:lang w:val="it-IT"/>
        </w:rPr>
        <w:t xml:space="preserve"> sistemima i životinjskim modelima plućne fibroze (bleomicinom i transplantacijom indukovana fibroza).</w:t>
      </w:r>
    </w:p>
    <w:p w:rsidR="00780296" w:rsidRPr="00880E7B" w:rsidRDefault="00780296">
      <w:pPr>
        <w:numPr>
          <w:ilvl w:val="12"/>
          <w:numId w:val="0"/>
        </w:numPr>
        <w:spacing w:line="240" w:lineRule="exact"/>
        <w:ind w:right="-2"/>
        <w:jc w:val="both"/>
        <w:rPr>
          <w:sz w:val="22"/>
          <w:szCs w:val="22"/>
          <w:lang w:val="it-IT"/>
        </w:rPr>
      </w:pPr>
    </w:p>
    <w:p w:rsidR="00780296" w:rsidRPr="00880E7B" w:rsidRDefault="00780296">
      <w:pPr>
        <w:numPr>
          <w:ilvl w:val="12"/>
          <w:numId w:val="0"/>
        </w:numPr>
        <w:spacing w:line="240" w:lineRule="exact"/>
        <w:ind w:right="-2"/>
        <w:jc w:val="both"/>
        <w:rPr>
          <w:sz w:val="22"/>
          <w:szCs w:val="22"/>
          <w:lang w:val="it-IT"/>
        </w:rPr>
      </w:pPr>
      <w:r w:rsidRPr="00880E7B">
        <w:rPr>
          <w:sz w:val="22"/>
          <w:szCs w:val="22"/>
          <w:lang w:val="it-IT"/>
        </w:rPr>
        <w:t>IPF je hronična fibrozirajuća i inflamatorna bolest pluća na koju utiču sinteza i otpuštanje proinflamatornih citokina, uključujući faktor nekroze tumora-alfa (TNF-</w:t>
      </w:r>
      <w:r w:rsidRPr="00880E7B">
        <w:rPr>
          <w:sz w:val="22"/>
          <w:szCs w:val="22"/>
        </w:rPr>
        <w:t>α</w:t>
      </w:r>
      <w:r w:rsidRPr="00880E7B">
        <w:rPr>
          <w:sz w:val="22"/>
          <w:szCs w:val="22"/>
          <w:lang w:val="it-IT"/>
        </w:rPr>
        <w:t>) i interleukin-1-beta (IL-1</w:t>
      </w:r>
      <w:r w:rsidRPr="00880E7B">
        <w:rPr>
          <w:sz w:val="22"/>
          <w:szCs w:val="22"/>
        </w:rPr>
        <w:t>β</w:t>
      </w:r>
      <w:r w:rsidRPr="00880E7B">
        <w:rPr>
          <w:sz w:val="22"/>
          <w:szCs w:val="22"/>
          <w:lang w:val="it-IT"/>
        </w:rPr>
        <w:t xml:space="preserve">), </w:t>
      </w:r>
      <w:r w:rsidRPr="00880E7B">
        <w:rPr>
          <w:sz w:val="22"/>
          <w:szCs w:val="22"/>
          <w:lang w:val="it-IT"/>
        </w:rPr>
        <w:lastRenderedPageBreak/>
        <w:t xml:space="preserve">a za pirfenidon se pokazalo da smanjuje nagomilavanje upalnih ćelija kao odgovor na različite stimulanse. </w:t>
      </w:r>
    </w:p>
    <w:p w:rsidR="00780296" w:rsidRPr="00880E7B" w:rsidRDefault="00780296">
      <w:pPr>
        <w:numPr>
          <w:ilvl w:val="12"/>
          <w:numId w:val="0"/>
        </w:numPr>
        <w:spacing w:line="240" w:lineRule="exact"/>
        <w:ind w:right="-2"/>
        <w:jc w:val="both"/>
        <w:rPr>
          <w:sz w:val="22"/>
          <w:szCs w:val="22"/>
          <w:lang w:val="it-IT"/>
        </w:rPr>
      </w:pPr>
    </w:p>
    <w:p w:rsidR="00780296" w:rsidRPr="00880E7B" w:rsidRDefault="00780296">
      <w:pPr>
        <w:numPr>
          <w:ilvl w:val="12"/>
          <w:numId w:val="0"/>
        </w:numPr>
        <w:spacing w:line="240" w:lineRule="exact"/>
        <w:ind w:right="-2"/>
        <w:jc w:val="both"/>
        <w:rPr>
          <w:sz w:val="22"/>
          <w:szCs w:val="22"/>
          <w:lang w:val="it-IT"/>
        </w:rPr>
      </w:pPr>
      <w:r w:rsidRPr="00880E7B">
        <w:rPr>
          <w:sz w:val="22"/>
          <w:szCs w:val="22"/>
          <w:lang w:val="it-IT"/>
        </w:rPr>
        <w:t>Pirfenidon smanjuje proliferaciju fibroblasta, stvaranje proteina povezanih sa fibrozom, stvaranje citokina i povećanu biosintezu i akumulaciju ekstracelularnog matriksa kao odgovor na faktore rasta citokina, kao što su transformišući faktor rasta beta (TGF-</w:t>
      </w:r>
      <w:r w:rsidRPr="00880E7B">
        <w:rPr>
          <w:sz w:val="22"/>
          <w:szCs w:val="22"/>
        </w:rPr>
        <w:t>β</w:t>
      </w:r>
      <w:r w:rsidRPr="00880E7B">
        <w:rPr>
          <w:sz w:val="22"/>
          <w:szCs w:val="22"/>
          <w:lang w:val="it-IT"/>
        </w:rPr>
        <w:t>) i faktor rasta koji potiče iz trombocita (PDGF).</w:t>
      </w:r>
    </w:p>
    <w:p w:rsidR="00780296" w:rsidRPr="00880E7B" w:rsidRDefault="00780296">
      <w:pPr>
        <w:numPr>
          <w:ilvl w:val="12"/>
          <w:numId w:val="0"/>
        </w:numPr>
        <w:spacing w:line="240" w:lineRule="exact"/>
        <w:ind w:right="-2"/>
        <w:jc w:val="both"/>
        <w:rPr>
          <w:sz w:val="22"/>
          <w:szCs w:val="22"/>
          <w:lang w:val="it-IT"/>
        </w:rPr>
      </w:pPr>
    </w:p>
    <w:p w:rsidR="00780296" w:rsidRPr="00880E7B" w:rsidRDefault="00780296">
      <w:pPr>
        <w:keepNext/>
        <w:keepLines/>
        <w:numPr>
          <w:ilvl w:val="12"/>
          <w:numId w:val="0"/>
        </w:numPr>
        <w:spacing w:line="240" w:lineRule="exact"/>
        <w:jc w:val="both"/>
        <w:rPr>
          <w:sz w:val="22"/>
          <w:szCs w:val="22"/>
          <w:u w:val="single"/>
          <w:lang w:val="it-IT"/>
        </w:rPr>
      </w:pPr>
      <w:r w:rsidRPr="00880E7B">
        <w:rPr>
          <w:sz w:val="22"/>
          <w:szCs w:val="22"/>
          <w:u w:val="single"/>
          <w:lang w:val="it-IT"/>
        </w:rPr>
        <w:t>Klinička efikasnost</w:t>
      </w:r>
    </w:p>
    <w:p w:rsidR="00780296" w:rsidRPr="00880E7B" w:rsidRDefault="00780296">
      <w:pPr>
        <w:keepNext/>
        <w:keepLines/>
        <w:numPr>
          <w:ilvl w:val="12"/>
          <w:numId w:val="0"/>
        </w:numPr>
        <w:spacing w:line="240" w:lineRule="exact"/>
        <w:jc w:val="both"/>
        <w:rPr>
          <w:sz w:val="22"/>
          <w:szCs w:val="22"/>
          <w:lang w:val="it-IT"/>
        </w:rPr>
      </w:pPr>
    </w:p>
    <w:p w:rsidR="00780296" w:rsidRPr="00C857FD" w:rsidRDefault="00780296">
      <w:pPr>
        <w:keepNext/>
        <w:keepLines/>
        <w:numPr>
          <w:ilvl w:val="12"/>
          <w:numId w:val="0"/>
        </w:numPr>
        <w:spacing w:line="240" w:lineRule="exact"/>
        <w:jc w:val="both"/>
        <w:rPr>
          <w:sz w:val="22"/>
          <w:szCs w:val="22"/>
          <w:lang w:val="it-IT"/>
        </w:rPr>
      </w:pPr>
      <w:r w:rsidRPr="00880E7B">
        <w:rPr>
          <w:sz w:val="22"/>
          <w:szCs w:val="22"/>
          <w:lang w:val="it-IT"/>
        </w:rPr>
        <w:t xml:space="preserve">Klinička efikasnost </w:t>
      </w:r>
      <w:r w:rsidR="00FE6000" w:rsidRPr="00880E7B">
        <w:rPr>
          <w:sz w:val="22"/>
          <w:szCs w:val="22"/>
          <w:lang w:val="it-IT"/>
        </w:rPr>
        <w:t>lijek</w:t>
      </w:r>
      <w:r w:rsidRPr="00880E7B">
        <w:rPr>
          <w:sz w:val="22"/>
          <w:szCs w:val="22"/>
          <w:lang w:val="it-IT"/>
        </w:rPr>
        <w:t>a ESBRIET ispitivana je u četiri multicentrična, randomizovana, dvostruko sl</w:t>
      </w:r>
      <w:r w:rsidR="00FD599D" w:rsidRPr="00880E7B">
        <w:rPr>
          <w:sz w:val="22"/>
          <w:szCs w:val="22"/>
          <w:lang w:val="it-IT"/>
        </w:rPr>
        <w:t>ij</w:t>
      </w:r>
      <w:r w:rsidRPr="00880E7B">
        <w:rPr>
          <w:sz w:val="22"/>
          <w:szCs w:val="22"/>
          <w:lang w:val="it-IT"/>
        </w:rPr>
        <w:t>epa, placebo</w:t>
      </w:r>
      <w:r w:rsidR="00C857FD">
        <w:rPr>
          <w:sz w:val="22"/>
          <w:szCs w:val="22"/>
          <w:lang w:val="it-IT"/>
        </w:rPr>
        <w:t>m</w:t>
      </w:r>
      <w:r w:rsidRPr="00C857FD">
        <w:rPr>
          <w:sz w:val="22"/>
          <w:szCs w:val="22"/>
          <w:lang w:val="it-IT"/>
        </w:rPr>
        <w:t xml:space="preserve"> kontrolisana ispitivanja treće faze na pacijentima sa IPF. Tri ispitivanja treće faze (PIPF-004, PIPF-006 i PIPF-016) bila su multinacionalna, a jedna (SP3) je sprovedena u Japanu. </w:t>
      </w:r>
    </w:p>
    <w:p w:rsidR="00780296" w:rsidRPr="00880E7B" w:rsidRDefault="00780296">
      <w:pPr>
        <w:numPr>
          <w:ilvl w:val="12"/>
          <w:numId w:val="0"/>
        </w:numPr>
        <w:spacing w:line="240" w:lineRule="exact"/>
        <w:jc w:val="both"/>
        <w:rPr>
          <w:sz w:val="22"/>
          <w:szCs w:val="22"/>
          <w:lang w:val="it-IT"/>
        </w:rPr>
      </w:pPr>
    </w:p>
    <w:p w:rsidR="00780296" w:rsidRPr="00880E7B" w:rsidRDefault="00780296">
      <w:pPr>
        <w:numPr>
          <w:ilvl w:val="12"/>
          <w:numId w:val="0"/>
        </w:numPr>
        <w:spacing w:line="240" w:lineRule="exact"/>
        <w:jc w:val="both"/>
        <w:rPr>
          <w:sz w:val="22"/>
          <w:szCs w:val="22"/>
          <w:lang w:val="it-IT"/>
        </w:rPr>
      </w:pPr>
      <w:r w:rsidRPr="00880E7B">
        <w:rPr>
          <w:sz w:val="22"/>
          <w:szCs w:val="22"/>
          <w:lang w:val="it-IT"/>
        </w:rPr>
        <w:t xml:space="preserve">PIPF-004 i PIPF-006 poredila su terapiju </w:t>
      </w:r>
      <w:r w:rsidR="00FE6000" w:rsidRPr="00880E7B">
        <w:rPr>
          <w:sz w:val="22"/>
          <w:szCs w:val="22"/>
          <w:lang w:val="it-IT"/>
        </w:rPr>
        <w:t>lijek</w:t>
      </w:r>
      <w:r w:rsidRPr="00880E7B">
        <w:rPr>
          <w:sz w:val="22"/>
          <w:szCs w:val="22"/>
          <w:lang w:val="it-IT"/>
        </w:rPr>
        <w:t xml:space="preserve">om ESBRIET u dozi od 2403 mg dnevno sa placebom. Ispitivanja su bila gotovo identično dizajnirana, uz nekoliko izuzetaka, uključujući grupu ispitanika u PIPF-004, koja je primala srednju dozu </w:t>
      </w:r>
      <w:r w:rsidR="00FE6000" w:rsidRPr="00880E7B">
        <w:rPr>
          <w:sz w:val="22"/>
          <w:szCs w:val="22"/>
          <w:lang w:val="it-IT"/>
        </w:rPr>
        <w:t>lijek</w:t>
      </w:r>
      <w:r w:rsidRPr="00880E7B">
        <w:rPr>
          <w:sz w:val="22"/>
          <w:szCs w:val="22"/>
          <w:lang w:val="it-IT"/>
        </w:rPr>
        <w:t>a (1197 mg dnevno). U oba ispitivanja terapija je prim</w:t>
      </w:r>
      <w:r w:rsidR="00EB365B" w:rsidRPr="00880E7B">
        <w:rPr>
          <w:sz w:val="22"/>
          <w:szCs w:val="22"/>
          <w:lang w:val="it-IT"/>
        </w:rPr>
        <w:t>i</w:t>
      </w:r>
      <w:r w:rsidR="00FD599D" w:rsidRPr="00880E7B">
        <w:rPr>
          <w:sz w:val="22"/>
          <w:szCs w:val="22"/>
          <w:lang w:val="it-IT"/>
        </w:rPr>
        <w:t>j</w:t>
      </w:r>
      <w:r w:rsidRPr="00880E7B">
        <w:rPr>
          <w:sz w:val="22"/>
          <w:szCs w:val="22"/>
          <w:lang w:val="it-IT"/>
        </w:rPr>
        <w:t>enjivana tri puta dnevno u periodu od najmanje 72 ned</w:t>
      </w:r>
      <w:r w:rsidR="00045D87" w:rsidRPr="00880E7B">
        <w:rPr>
          <w:sz w:val="22"/>
          <w:szCs w:val="22"/>
          <w:lang w:val="it-IT"/>
        </w:rPr>
        <w:t>j</w:t>
      </w:r>
      <w:r w:rsidRPr="00880E7B">
        <w:rPr>
          <w:sz w:val="22"/>
          <w:szCs w:val="22"/>
          <w:lang w:val="it-IT"/>
        </w:rPr>
        <w:t>elje. Primarni parametar praćenja u oba ispitivanja bila je prom</w:t>
      </w:r>
      <w:r w:rsidR="00FD599D" w:rsidRPr="00880E7B">
        <w:rPr>
          <w:sz w:val="22"/>
          <w:szCs w:val="22"/>
          <w:lang w:val="it-IT"/>
        </w:rPr>
        <w:t>j</w:t>
      </w:r>
      <w:r w:rsidRPr="00880E7B">
        <w:rPr>
          <w:sz w:val="22"/>
          <w:szCs w:val="22"/>
          <w:lang w:val="it-IT"/>
        </w:rPr>
        <w:t xml:space="preserve">ena od početne </w:t>
      </w:r>
      <w:r w:rsidR="009B493C" w:rsidRPr="00880E7B">
        <w:rPr>
          <w:sz w:val="22"/>
          <w:szCs w:val="22"/>
          <w:lang w:val="it-IT"/>
        </w:rPr>
        <w:t>vrijednosti</w:t>
      </w:r>
      <w:r w:rsidRPr="00880E7B">
        <w:rPr>
          <w:sz w:val="22"/>
          <w:szCs w:val="22"/>
          <w:lang w:val="it-IT"/>
        </w:rPr>
        <w:t xml:space="preserve"> procenta predviđenog forsiranog vitalnog kapaciteta (FVC) do 72. ned</w:t>
      </w:r>
      <w:r w:rsidR="009B493C" w:rsidRPr="00880E7B">
        <w:rPr>
          <w:sz w:val="22"/>
          <w:szCs w:val="22"/>
          <w:lang w:val="it-IT"/>
        </w:rPr>
        <w:t>j</w:t>
      </w:r>
      <w:r w:rsidRPr="00880E7B">
        <w:rPr>
          <w:sz w:val="22"/>
          <w:szCs w:val="22"/>
          <w:lang w:val="it-IT"/>
        </w:rPr>
        <w:t>elje terapije.</w:t>
      </w:r>
      <w:r w:rsidR="00714420">
        <w:rPr>
          <w:sz w:val="22"/>
          <w:szCs w:val="22"/>
          <w:lang w:val="it-IT"/>
        </w:rPr>
        <w:t xml:space="preserve"> </w:t>
      </w:r>
      <w:r w:rsidR="00714420" w:rsidRPr="00714420">
        <w:rPr>
          <w:sz w:val="22"/>
          <w:szCs w:val="22"/>
          <w:lang w:val="it-IT"/>
        </w:rPr>
        <w:t>U objedinjenoj populaciji ispitanika iz ispitivanja PIPF-004 i PIPF-006 l</w:t>
      </w:r>
      <w:r w:rsidR="00714420">
        <w:rPr>
          <w:sz w:val="22"/>
          <w:szCs w:val="22"/>
          <w:lang w:val="it-IT"/>
        </w:rPr>
        <w:t>ij</w:t>
      </w:r>
      <w:r w:rsidR="00714420" w:rsidRPr="00714420">
        <w:rPr>
          <w:sz w:val="22"/>
          <w:szCs w:val="22"/>
          <w:lang w:val="it-IT"/>
        </w:rPr>
        <w:t>ečenih dozom od 2403 mg/dan, koja je obuhvatala ukupno 692 pacijenta, medijana početnog postotka predviđenog FVC-a iznosila je 73,9% u grupi l</w:t>
      </w:r>
      <w:r w:rsidR="00714420">
        <w:rPr>
          <w:sz w:val="22"/>
          <w:szCs w:val="22"/>
          <w:lang w:val="it-IT"/>
        </w:rPr>
        <w:t>ij</w:t>
      </w:r>
      <w:r w:rsidR="00714420" w:rsidRPr="00714420">
        <w:rPr>
          <w:sz w:val="22"/>
          <w:szCs w:val="22"/>
          <w:lang w:val="it-IT"/>
        </w:rPr>
        <w:t>ečenoj l</w:t>
      </w:r>
      <w:r w:rsidR="00714420">
        <w:rPr>
          <w:sz w:val="22"/>
          <w:szCs w:val="22"/>
          <w:lang w:val="it-IT"/>
        </w:rPr>
        <w:t>ij</w:t>
      </w:r>
      <w:r w:rsidR="00714420" w:rsidRPr="00714420">
        <w:rPr>
          <w:sz w:val="22"/>
          <w:szCs w:val="22"/>
          <w:lang w:val="it-IT"/>
        </w:rPr>
        <w:t xml:space="preserve">ekom Esbriet odnosno 72,0% u grupi koja je primala placebo (raspon: 50-123% odnosno 48-138%), dok je medijana početnog postotka predviđenog difuzijskog kapaciteta za ugljen monoksid (engl. </w:t>
      </w:r>
      <w:r w:rsidR="00714420" w:rsidRPr="008415ED">
        <w:rPr>
          <w:i/>
          <w:sz w:val="22"/>
          <w:szCs w:val="22"/>
          <w:lang w:val="it-IT"/>
        </w:rPr>
        <w:t>Carbon Monoxide Diffusing Capacity</w:t>
      </w:r>
      <w:r w:rsidR="00714420" w:rsidRPr="00714420">
        <w:rPr>
          <w:sz w:val="22"/>
          <w:szCs w:val="22"/>
          <w:lang w:val="it-IT"/>
        </w:rPr>
        <w:t>, DLCO) iznosila 45,1% u grupi l</w:t>
      </w:r>
      <w:r w:rsidR="00714420">
        <w:rPr>
          <w:sz w:val="22"/>
          <w:szCs w:val="22"/>
          <w:lang w:val="it-IT"/>
        </w:rPr>
        <w:t>ij</w:t>
      </w:r>
      <w:r w:rsidR="00714420" w:rsidRPr="00714420">
        <w:rPr>
          <w:sz w:val="22"/>
          <w:szCs w:val="22"/>
          <w:lang w:val="it-IT"/>
        </w:rPr>
        <w:t>ečenoj l</w:t>
      </w:r>
      <w:r w:rsidR="00714420">
        <w:rPr>
          <w:sz w:val="22"/>
          <w:szCs w:val="22"/>
          <w:lang w:val="it-IT"/>
        </w:rPr>
        <w:t>ij</w:t>
      </w:r>
      <w:r w:rsidR="00714420" w:rsidRPr="00714420">
        <w:rPr>
          <w:sz w:val="22"/>
          <w:szCs w:val="22"/>
          <w:lang w:val="it-IT"/>
        </w:rPr>
        <w:t>ekom Esbriet odnosno 45,6% u grupi koja je primala placebo (raspon: 25-81% odnosno 21-94%). U ispitivanju PIPF-004, 2,4% pacijenata l</w:t>
      </w:r>
      <w:r w:rsidR="00714420">
        <w:rPr>
          <w:sz w:val="22"/>
          <w:szCs w:val="22"/>
          <w:lang w:val="it-IT"/>
        </w:rPr>
        <w:t>ij</w:t>
      </w:r>
      <w:r w:rsidR="00714420" w:rsidRPr="00714420">
        <w:rPr>
          <w:sz w:val="22"/>
          <w:szCs w:val="22"/>
          <w:lang w:val="it-IT"/>
        </w:rPr>
        <w:t>ečenih l</w:t>
      </w:r>
      <w:r w:rsidR="00714420">
        <w:rPr>
          <w:sz w:val="22"/>
          <w:szCs w:val="22"/>
          <w:lang w:val="it-IT"/>
        </w:rPr>
        <w:t>ij</w:t>
      </w:r>
      <w:r w:rsidR="00714420" w:rsidRPr="00714420">
        <w:rPr>
          <w:sz w:val="22"/>
          <w:szCs w:val="22"/>
          <w:lang w:val="it-IT"/>
        </w:rPr>
        <w:t>ekom Esbriet i 2,1% pacijenata koji su primali placebo imalo je postotak predviđenog FVC-a manji od 50% i/ili postotak predviđenog DLCO manji od 35% na početku ispitivanja. U ispitivanju PIPF-006, 1,0% pacijenata l</w:t>
      </w:r>
      <w:r w:rsidR="00714420">
        <w:rPr>
          <w:sz w:val="22"/>
          <w:szCs w:val="22"/>
          <w:lang w:val="it-IT"/>
        </w:rPr>
        <w:t>ij</w:t>
      </w:r>
      <w:r w:rsidR="00714420" w:rsidRPr="00714420">
        <w:rPr>
          <w:sz w:val="22"/>
          <w:szCs w:val="22"/>
          <w:lang w:val="it-IT"/>
        </w:rPr>
        <w:t>ečenih l</w:t>
      </w:r>
      <w:r w:rsidR="00714420">
        <w:rPr>
          <w:sz w:val="22"/>
          <w:szCs w:val="22"/>
          <w:lang w:val="it-IT"/>
        </w:rPr>
        <w:t>ij</w:t>
      </w:r>
      <w:r w:rsidR="00714420" w:rsidRPr="00714420">
        <w:rPr>
          <w:sz w:val="22"/>
          <w:szCs w:val="22"/>
          <w:lang w:val="it-IT"/>
        </w:rPr>
        <w:t>ekom Esbriet i 1,4% pacijenata koji su primali placebo imalo je postotak predviđenog FVC-a manji od 50% i/ili postotak predviđenog DLCO manji od 35% na početku ispitivanja.</w:t>
      </w:r>
    </w:p>
    <w:p w:rsidR="00780296" w:rsidRPr="00880E7B" w:rsidRDefault="00780296">
      <w:pPr>
        <w:numPr>
          <w:ilvl w:val="12"/>
          <w:numId w:val="0"/>
        </w:numPr>
        <w:spacing w:line="240" w:lineRule="exact"/>
        <w:jc w:val="both"/>
        <w:rPr>
          <w:sz w:val="22"/>
          <w:szCs w:val="22"/>
          <w:lang w:val="it-IT"/>
        </w:rPr>
      </w:pPr>
    </w:p>
    <w:p w:rsidR="00780296" w:rsidRPr="00C857FD" w:rsidRDefault="00780296">
      <w:pPr>
        <w:numPr>
          <w:ilvl w:val="12"/>
          <w:numId w:val="0"/>
        </w:numPr>
        <w:spacing w:line="240" w:lineRule="exact"/>
        <w:jc w:val="both"/>
        <w:rPr>
          <w:sz w:val="22"/>
          <w:szCs w:val="22"/>
          <w:lang w:val="it-IT"/>
        </w:rPr>
      </w:pPr>
      <w:r w:rsidRPr="00880E7B">
        <w:rPr>
          <w:sz w:val="22"/>
          <w:szCs w:val="22"/>
          <w:lang w:val="it-IT"/>
        </w:rPr>
        <w:t xml:space="preserve">U studiji PIPF-004, pad predviđenih </w:t>
      </w:r>
      <w:r w:rsidR="009B493C" w:rsidRPr="00880E7B">
        <w:rPr>
          <w:sz w:val="22"/>
          <w:szCs w:val="22"/>
          <w:lang w:val="it-IT"/>
        </w:rPr>
        <w:t>vrijednosti</w:t>
      </w:r>
      <w:r w:rsidRPr="00880E7B">
        <w:rPr>
          <w:sz w:val="22"/>
          <w:szCs w:val="22"/>
          <w:lang w:val="it-IT"/>
        </w:rPr>
        <w:t xml:space="preserve"> FVC</w:t>
      </w:r>
      <w:r w:rsidR="00C857FD">
        <w:rPr>
          <w:sz w:val="22"/>
          <w:szCs w:val="22"/>
          <w:lang w:val="it-IT"/>
        </w:rPr>
        <w:t>-a</w:t>
      </w:r>
      <w:r w:rsidRPr="00C857FD">
        <w:rPr>
          <w:sz w:val="22"/>
          <w:szCs w:val="22"/>
          <w:lang w:val="it-IT"/>
        </w:rPr>
        <w:t xml:space="preserve"> od početnih vr</w:t>
      </w:r>
      <w:r w:rsidR="009B493C" w:rsidRPr="00C857FD">
        <w:rPr>
          <w:sz w:val="22"/>
          <w:szCs w:val="22"/>
          <w:lang w:val="it-IT"/>
        </w:rPr>
        <w:t>ij</w:t>
      </w:r>
      <w:r w:rsidRPr="00C857FD">
        <w:rPr>
          <w:sz w:val="22"/>
          <w:szCs w:val="22"/>
          <w:lang w:val="it-IT"/>
        </w:rPr>
        <w:t xml:space="preserve">ednosti u 72. </w:t>
      </w:r>
      <w:r w:rsidR="009B493C" w:rsidRPr="00C857FD">
        <w:rPr>
          <w:sz w:val="22"/>
          <w:szCs w:val="22"/>
          <w:lang w:val="it-IT"/>
        </w:rPr>
        <w:t>nedjelji</w:t>
      </w:r>
      <w:r w:rsidRPr="00C857FD">
        <w:rPr>
          <w:sz w:val="22"/>
          <w:szCs w:val="22"/>
          <w:lang w:val="it-IT"/>
        </w:rPr>
        <w:t xml:space="preserve"> terapije bio je značajno niži kod pacijenata koji su primali </w:t>
      </w:r>
      <w:r w:rsidR="00FE6000" w:rsidRPr="00880E7B">
        <w:rPr>
          <w:sz w:val="22"/>
          <w:szCs w:val="22"/>
          <w:lang w:val="it-IT"/>
        </w:rPr>
        <w:t>lijek</w:t>
      </w:r>
      <w:r w:rsidRPr="00880E7B">
        <w:rPr>
          <w:sz w:val="22"/>
          <w:szCs w:val="22"/>
          <w:lang w:val="it-IT"/>
        </w:rPr>
        <w:t xml:space="preserve"> ESBRIET (N=174) u poređenju sa pacijentima koji su primali placebo (N=174, p=0,001, rang ANCOVA). Terapija </w:t>
      </w:r>
      <w:r w:rsidR="00FE6000" w:rsidRPr="00880E7B">
        <w:rPr>
          <w:sz w:val="22"/>
          <w:szCs w:val="22"/>
          <w:lang w:val="it-IT"/>
        </w:rPr>
        <w:t>lijek</w:t>
      </w:r>
      <w:r w:rsidRPr="00880E7B">
        <w:rPr>
          <w:sz w:val="22"/>
          <w:szCs w:val="22"/>
          <w:lang w:val="it-IT"/>
        </w:rPr>
        <w:t>om ESBRIET je značajno smanjila pad procenta predviđenog FVC</w:t>
      </w:r>
      <w:r w:rsidR="00C857FD">
        <w:rPr>
          <w:sz w:val="22"/>
          <w:szCs w:val="22"/>
          <w:lang w:val="it-IT"/>
        </w:rPr>
        <w:t>-a</w:t>
      </w:r>
      <w:r w:rsidRPr="00C857FD">
        <w:rPr>
          <w:sz w:val="22"/>
          <w:szCs w:val="22"/>
          <w:lang w:val="it-IT"/>
        </w:rPr>
        <w:t xml:space="preserve"> od početnih vr</w:t>
      </w:r>
      <w:r w:rsidR="009B493C" w:rsidRPr="00C857FD">
        <w:rPr>
          <w:sz w:val="22"/>
          <w:szCs w:val="22"/>
          <w:lang w:val="it-IT"/>
        </w:rPr>
        <w:t>ij</w:t>
      </w:r>
      <w:r w:rsidRPr="00C857FD">
        <w:rPr>
          <w:sz w:val="22"/>
          <w:szCs w:val="22"/>
          <w:lang w:val="it-IT"/>
        </w:rPr>
        <w:t>ednosti u 24. ned</w:t>
      </w:r>
      <w:r w:rsidR="009B493C" w:rsidRPr="00C857FD">
        <w:rPr>
          <w:sz w:val="22"/>
          <w:szCs w:val="22"/>
          <w:lang w:val="it-IT"/>
        </w:rPr>
        <w:t>j</w:t>
      </w:r>
      <w:r w:rsidRPr="00C857FD">
        <w:rPr>
          <w:sz w:val="22"/>
          <w:szCs w:val="22"/>
          <w:lang w:val="it-IT"/>
        </w:rPr>
        <w:t>elji (p=0,014), 36. ned</w:t>
      </w:r>
      <w:r w:rsidR="009B493C" w:rsidRPr="00C857FD">
        <w:rPr>
          <w:sz w:val="22"/>
          <w:szCs w:val="22"/>
          <w:lang w:val="it-IT"/>
        </w:rPr>
        <w:t>j</w:t>
      </w:r>
      <w:r w:rsidRPr="00C857FD">
        <w:rPr>
          <w:sz w:val="22"/>
          <w:szCs w:val="22"/>
          <w:lang w:val="it-IT"/>
        </w:rPr>
        <w:t>elji (p&lt;0,001), 48. ned</w:t>
      </w:r>
      <w:r w:rsidR="009B493C" w:rsidRPr="00C857FD">
        <w:rPr>
          <w:sz w:val="22"/>
          <w:szCs w:val="22"/>
          <w:lang w:val="it-IT"/>
        </w:rPr>
        <w:t>j</w:t>
      </w:r>
      <w:r w:rsidRPr="00C857FD">
        <w:rPr>
          <w:sz w:val="22"/>
          <w:szCs w:val="22"/>
          <w:lang w:val="it-IT"/>
        </w:rPr>
        <w:t>elji (p&lt;0,001) i 60. ned</w:t>
      </w:r>
      <w:r w:rsidR="009B493C" w:rsidRPr="00C857FD">
        <w:rPr>
          <w:sz w:val="22"/>
          <w:szCs w:val="22"/>
          <w:lang w:val="it-IT"/>
        </w:rPr>
        <w:t>j</w:t>
      </w:r>
      <w:r w:rsidRPr="00C857FD">
        <w:rPr>
          <w:sz w:val="22"/>
          <w:szCs w:val="22"/>
          <w:lang w:val="it-IT"/>
        </w:rPr>
        <w:t>elji (p&lt;0,001). U 72. ned</w:t>
      </w:r>
      <w:r w:rsidR="009B493C" w:rsidRPr="00C857FD">
        <w:rPr>
          <w:sz w:val="22"/>
          <w:szCs w:val="22"/>
          <w:lang w:val="it-IT"/>
        </w:rPr>
        <w:t>j</w:t>
      </w:r>
      <w:r w:rsidRPr="00C857FD">
        <w:rPr>
          <w:sz w:val="22"/>
          <w:szCs w:val="22"/>
          <w:lang w:val="it-IT"/>
        </w:rPr>
        <w:t>elji, pad procenta predviđenog FVC</w:t>
      </w:r>
      <w:r w:rsidR="00C857FD">
        <w:rPr>
          <w:sz w:val="22"/>
          <w:szCs w:val="22"/>
          <w:lang w:val="it-IT"/>
        </w:rPr>
        <w:t>-a</w:t>
      </w:r>
      <w:r w:rsidRPr="00C857FD">
        <w:rPr>
          <w:sz w:val="22"/>
          <w:szCs w:val="22"/>
          <w:lang w:val="it-IT"/>
        </w:rPr>
        <w:t xml:space="preserve"> ≥10% u odnosu na početne vr</w:t>
      </w:r>
      <w:r w:rsidR="009B493C" w:rsidRPr="00880E7B">
        <w:rPr>
          <w:sz w:val="22"/>
          <w:szCs w:val="22"/>
          <w:lang w:val="it-IT"/>
        </w:rPr>
        <w:t>ij</w:t>
      </w:r>
      <w:r w:rsidRPr="00880E7B">
        <w:rPr>
          <w:sz w:val="22"/>
          <w:szCs w:val="22"/>
          <w:lang w:val="it-IT"/>
        </w:rPr>
        <w:t>ednosti (prag indikativan za mortalitet kod IPF) prim</w:t>
      </w:r>
      <w:r w:rsidR="00045D87" w:rsidRPr="00880E7B">
        <w:rPr>
          <w:sz w:val="22"/>
          <w:szCs w:val="22"/>
          <w:lang w:val="it-IT"/>
        </w:rPr>
        <w:t>i</w:t>
      </w:r>
      <w:r w:rsidR="009B493C" w:rsidRPr="00880E7B">
        <w:rPr>
          <w:sz w:val="22"/>
          <w:szCs w:val="22"/>
          <w:lang w:val="it-IT"/>
        </w:rPr>
        <w:t>j</w:t>
      </w:r>
      <w:r w:rsidRPr="00880E7B">
        <w:rPr>
          <w:sz w:val="22"/>
          <w:szCs w:val="22"/>
          <w:lang w:val="it-IT"/>
        </w:rPr>
        <w:t xml:space="preserve">ećen je kod 20% pacijenata koji su primali </w:t>
      </w:r>
      <w:r w:rsidR="00FE6000" w:rsidRPr="00880E7B">
        <w:rPr>
          <w:sz w:val="22"/>
          <w:szCs w:val="22"/>
          <w:lang w:val="it-IT"/>
        </w:rPr>
        <w:t>lijek</w:t>
      </w:r>
      <w:r w:rsidRPr="00880E7B">
        <w:rPr>
          <w:sz w:val="22"/>
          <w:szCs w:val="22"/>
          <w:lang w:val="it-IT"/>
        </w:rPr>
        <w:t xml:space="preserve"> ESBRIET, u poređenju sa 35% pacijenata koji su primali placebo (</w:t>
      </w:r>
      <w:r w:rsidR="00C857FD">
        <w:rPr>
          <w:sz w:val="22"/>
          <w:szCs w:val="22"/>
          <w:lang w:val="it-IT"/>
        </w:rPr>
        <w:t>T</w:t>
      </w:r>
      <w:r w:rsidRPr="00C857FD">
        <w:rPr>
          <w:sz w:val="22"/>
          <w:szCs w:val="22"/>
          <w:lang w:val="it-IT"/>
        </w:rPr>
        <w:t>abela 2)</w:t>
      </w:r>
      <w:r w:rsidRPr="00C857FD">
        <w:rPr>
          <w:i/>
          <w:sz w:val="22"/>
          <w:szCs w:val="22"/>
          <w:lang w:val="it-IT"/>
        </w:rPr>
        <w:t>.</w:t>
      </w:r>
      <w:r w:rsidRPr="00C857FD">
        <w:rPr>
          <w:sz w:val="22"/>
          <w:szCs w:val="22"/>
          <w:lang w:val="it-IT"/>
        </w:rPr>
        <w:t xml:space="preserve"> </w:t>
      </w:r>
    </w:p>
    <w:p w:rsidR="00780296" w:rsidRPr="00880E7B" w:rsidRDefault="00780296">
      <w:pPr>
        <w:numPr>
          <w:ilvl w:val="12"/>
          <w:numId w:val="0"/>
        </w:numPr>
        <w:spacing w:line="240" w:lineRule="exact"/>
        <w:jc w:val="both"/>
        <w:rPr>
          <w:sz w:val="22"/>
          <w:szCs w:val="22"/>
          <w:lang w:val="it-IT"/>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780296" w:rsidRPr="00880E7B" w:rsidTr="00FE6000">
        <w:trPr>
          <w:jc w:val="center"/>
        </w:trPr>
        <w:tc>
          <w:tcPr>
            <w:tcW w:w="7096" w:type="dxa"/>
            <w:gridSpan w:val="3"/>
            <w:vAlign w:val="bottom"/>
          </w:tcPr>
          <w:p w:rsidR="00780296" w:rsidRPr="00C857FD" w:rsidRDefault="00780296">
            <w:pPr>
              <w:keepNext/>
              <w:keepLines/>
              <w:tabs>
                <w:tab w:val="left" w:pos="64"/>
              </w:tabs>
              <w:jc w:val="both"/>
              <w:rPr>
                <w:b/>
                <w:sz w:val="22"/>
                <w:szCs w:val="22"/>
                <w:lang w:val="it-IT"/>
              </w:rPr>
            </w:pPr>
            <w:r w:rsidRPr="00880E7B">
              <w:rPr>
                <w:b/>
                <w:sz w:val="22"/>
                <w:szCs w:val="22"/>
                <w:lang w:val="it-IT"/>
              </w:rPr>
              <w:t>Tabela 2</w:t>
            </w:r>
            <w:r w:rsidRPr="00880E7B">
              <w:rPr>
                <w:sz w:val="22"/>
                <w:szCs w:val="22"/>
                <w:lang w:val="it-IT"/>
              </w:rPr>
              <w:tab/>
            </w:r>
            <w:r w:rsidRPr="00880E7B">
              <w:rPr>
                <w:b/>
                <w:sz w:val="22"/>
                <w:szCs w:val="22"/>
                <w:lang w:val="it-IT"/>
              </w:rPr>
              <w:t>Kategorijska proc</w:t>
            </w:r>
            <w:r w:rsidR="009B493C" w:rsidRPr="00880E7B">
              <w:rPr>
                <w:b/>
                <w:sz w:val="22"/>
                <w:szCs w:val="22"/>
                <w:lang w:val="it-IT"/>
              </w:rPr>
              <w:t>j</w:t>
            </w:r>
            <w:r w:rsidRPr="00880E7B">
              <w:rPr>
                <w:b/>
                <w:sz w:val="22"/>
                <w:szCs w:val="22"/>
                <w:lang w:val="it-IT"/>
              </w:rPr>
              <w:t>ena prom</w:t>
            </w:r>
            <w:r w:rsidR="009B493C" w:rsidRPr="00880E7B">
              <w:rPr>
                <w:b/>
                <w:sz w:val="22"/>
                <w:szCs w:val="22"/>
                <w:lang w:val="it-IT"/>
              </w:rPr>
              <w:t>j</w:t>
            </w:r>
            <w:r w:rsidRPr="00880E7B">
              <w:rPr>
                <w:b/>
                <w:sz w:val="22"/>
                <w:szCs w:val="22"/>
                <w:lang w:val="it-IT"/>
              </w:rPr>
              <w:t>ene, od početnih vr</w:t>
            </w:r>
            <w:r w:rsidR="009B493C" w:rsidRPr="00880E7B">
              <w:rPr>
                <w:b/>
                <w:sz w:val="22"/>
                <w:szCs w:val="22"/>
                <w:lang w:val="it-IT"/>
              </w:rPr>
              <w:t>ij</w:t>
            </w:r>
            <w:r w:rsidRPr="00880E7B">
              <w:rPr>
                <w:b/>
                <w:sz w:val="22"/>
                <w:szCs w:val="22"/>
                <w:lang w:val="it-IT"/>
              </w:rPr>
              <w:t>ednosti procenta predviđenog FVC</w:t>
            </w:r>
            <w:r w:rsidR="00C857FD">
              <w:rPr>
                <w:b/>
                <w:sz w:val="22"/>
                <w:szCs w:val="22"/>
                <w:lang w:val="it-IT"/>
              </w:rPr>
              <w:t>-a</w:t>
            </w:r>
            <w:r w:rsidRPr="00C857FD">
              <w:rPr>
                <w:b/>
                <w:sz w:val="22"/>
                <w:szCs w:val="22"/>
                <w:lang w:val="it-IT"/>
              </w:rPr>
              <w:t xml:space="preserve"> u 72. ned</w:t>
            </w:r>
            <w:r w:rsidR="009B493C" w:rsidRPr="00C857FD">
              <w:rPr>
                <w:b/>
                <w:sz w:val="22"/>
                <w:szCs w:val="22"/>
                <w:lang w:val="it-IT"/>
              </w:rPr>
              <w:t>j</w:t>
            </w:r>
            <w:r w:rsidRPr="00C857FD">
              <w:rPr>
                <w:b/>
                <w:sz w:val="22"/>
                <w:szCs w:val="22"/>
                <w:lang w:val="it-IT"/>
              </w:rPr>
              <w:t>elji terapije u studiji PIPF-004</w:t>
            </w:r>
          </w:p>
        </w:tc>
      </w:tr>
      <w:tr w:rsidR="00780296" w:rsidRPr="00880E7B" w:rsidTr="00FE6000">
        <w:trPr>
          <w:jc w:val="center"/>
        </w:trPr>
        <w:tc>
          <w:tcPr>
            <w:tcW w:w="4186" w:type="dxa"/>
            <w:vAlign w:val="bottom"/>
          </w:tcPr>
          <w:p w:rsidR="00780296" w:rsidRPr="00DC7E27" w:rsidRDefault="00780296" w:rsidP="00880E7B">
            <w:pPr>
              <w:keepNext/>
              <w:keepLines/>
              <w:spacing w:before="20" w:after="20" w:line="220" w:lineRule="exact"/>
              <w:jc w:val="both"/>
              <w:rPr>
                <w:b/>
                <w:bCs/>
                <w:sz w:val="22"/>
                <w:szCs w:val="22"/>
                <w:lang w:val="it-IT"/>
              </w:rPr>
            </w:pPr>
          </w:p>
        </w:tc>
        <w:tc>
          <w:tcPr>
            <w:tcW w:w="1579" w:type="dxa"/>
            <w:vAlign w:val="bottom"/>
          </w:tcPr>
          <w:p w:rsidR="00780296" w:rsidRPr="00880E7B" w:rsidRDefault="00780296" w:rsidP="00DC7E27">
            <w:pPr>
              <w:keepNext/>
              <w:keepLines/>
              <w:spacing w:before="20" w:after="20" w:line="220" w:lineRule="exact"/>
              <w:jc w:val="center"/>
              <w:rPr>
                <w:b/>
                <w:sz w:val="22"/>
                <w:szCs w:val="22"/>
              </w:rPr>
            </w:pPr>
            <w:r w:rsidRPr="00880E7B">
              <w:rPr>
                <w:b/>
                <w:sz w:val="22"/>
                <w:szCs w:val="22"/>
              </w:rPr>
              <w:t xml:space="preserve">Pirfenidon </w:t>
            </w:r>
            <w:r w:rsidRPr="00880E7B">
              <w:rPr>
                <w:b/>
                <w:sz w:val="22"/>
                <w:szCs w:val="22"/>
              </w:rPr>
              <w:br/>
              <w:t>2403 mg dnevno</w:t>
            </w:r>
            <w:r w:rsidRPr="00880E7B">
              <w:rPr>
                <w:b/>
                <w:sz w:val="22"/>
                <w:szCs w:val="22"/>
              </w:rPr>
              <w:br/>
              <w:t>(N = 174)</w:t>
            </w:r>
          </w:p>
        </w:tc>
        <w:tc>
          <w:tcPr>
            <w:tcW w:w="1331" w:type="dxa"/>
            <w:vAlign w:val="bottom"/>
          </w:tcPr>
          <w:p w:rsidR="00780296" w:rsidRPr="00E2025F" w:rsidRDefault="00780296" w:rsidP="00DC7E27">
            <w:pPr>
              <w:keepNext/>
              <w:keepLines/>
              <w:spacing w:before="20" w:after="20" w:line="220" w:lineRule="exact"/>
              <w:jc w:val="center"/>
              <w:rPr>
                <w:b/>
                <w:sz w:val="22"/>
                <w:szCs w:val="22"/>
              </w:rPr>
            </w:pPr>
            <w:r w:rsidRPr="00880E7B">
              <w:rPr>
                <w:b/>
                <w:sz w:val="22"/>
                <w:szCs w:val="22"/>
              </w:rPr>
              <w:t>Placebo</w:t>
            </w:r>
            <w:r w:rsidRPr="00880E7B">
              <w:rPr>
                <w:b/>
                <w:sz w:val="22"/>
                <w:szCs w:val="22"/>
              </w:rPr>
              <w:br/>
              <w:t>(N = 174)</w:t>
            </w:r>
          </w:p>
        </w:tc>
      </w:tr>
      <w:tr w:rsidR="00780296" w:rsidRPr="00880E7B" w:rsidTr="00FE6000">
        <w:trPr>
          <w:jc w:val="center"/>
        </w:trPr>
        <w:tc>
          <w:tcPr>
            <w:tcW w:w="4186" w:type="dxa"/>
          </w:tcPr>
          <w:p w:rsidR="00780296" w:rsidRPr="00880E7B" w:rsidRDefault="00780296" w:rsidP="00880E7B">
            <w:pPr>
              <w:keepNext/>
              <w:keepLines/>
              <w:spacing w:before="20" w:after="20" w:line="220" w:lineRule="exact"/>
              <w:jc w:val="both"/>
              <w:rPr>
                <w:sz w:val="22"/>
                <w:szCs w:val="22"/>
              </w:rPr>
            </w:pPr>
            <w:r w:rsidRPr="00880E7B">
              <w:rPr>
                <w:sz w:val="22"/>
                <w:szCs w:val="22"/>
              </w:rPr>
              <w:t>Pad ≥10% ili smrt ili transplantacija pluća</w:t>
            </w:r>
          </w:p>
        </w:tc>
        <w:tc>
          <w:tcPr>
            <w:tcW w:w="1579" w:type="dxa"/>
          </w:tcPr>
          <w:p w:rsidR="00780296" w:rsidRPr="00E2025F" w:rsidRDefault="00780296" w:rsidP="00DC7E27">
            <w:pPr>
              <w:keepNext/>
              <w:keepLines/>
              <w:spacing w:before="20" w:after="20" w:line="220" w:lineRule="exact"/>
              <w:jc w:val="center"/>
              <w:rPr>
                <w:bCs/>
                <w:sz w:val="22"/>
                <w:szCs w:val="22"/>
              </w:rPr>
            </w:pPr>
            <w:r w:rsidRPr="00E2025F">
              <w:rPr>
                <w:sz w:val="22"/>
                <w:szCs w:val="22"/>
              </w:rPr>
              <w:t>35 (20%)</w:t>
            </w:r>
          </w:p>
        </w:tc>
        <w:tc>
          <w:tcPr>
            <w:tcW w:w="1331" w:type="dxa"/>
          </w:tcPr>
          <w:p w:rsidR="00780296" w:rsidRPr="00C857FD" w:rsidRDefault="00780296" w:rsidP="00DC7E27">
            <w:pPr>
              <w:keepNext/>
              <w:keepLines/>
              <w:spacing w:before="20" w:after="20" w:line="220" w:lineRule="exact"/>
              <w:jc w:val="center"/>
              <w:rPr>
                <w:bCs/>
                <w:sz w:val="22"/>
                <w:szCs w:val="22"/>
              </w:rPr>
            </w:pPr>
            <w:r w:rsidRPr="00C857FD">
              <w:rPr>
                <w:sz w:val="22"/>
                <w:szCs w:val="22"/>
              </w:rPr>
              <w:t>60 (34%)</w:t>
            </w:r>
          </w:p>
        </w:tc>
      </w:tr>
      <w:tr w:rsidR="00780296" w:rsidRPr="00880E7B" w:rsidTr="00FE6000">
        <w:trPr>
          <w:jc w:val="center"/>
        </w:trPr>
        <w:tc>
          <w:tcPr>
            <w:tcW w:w="4186" w:type="dxa"/>
          </w:tcPr>
          <w:p w:rsidR="00780296" w:rsidRPr="00880E7B" w:rsidRDefault="00780296" w:rsidP="00880E7B">
            <w:pPr>
              <w:keepNext/>
              <w:keepLines/>
              <w:spacing w:before="20" w:after="20" w:line="220" w:lineRule="exact"/>
              <w:jc w:val="both"/>
              <w:rPr>
                <w:sz w:val="22"/>
                <w:szCs w:val="22"/>
              </w:rPr>
            </w:pPr>
            <w:r w:rsidRPr="00880E7B">
              <w:rPr>
                <w:sz w:val="22"/>
                <w:szCs w:val="22"/>
              </w:rPr>
              <w:t>Pad manji od 10%</w:t>
            </w:r>
          </w:p>
        </w:tc>
        <w:tc>
          <w:tcPr>
            <w:tcW w:w="1579" w:type="dxa"/>
          </w:tcPr>
          <w:p w:rsidR="00780296" w:rsidRPr="00E2025F" w:rsidRDefault="00780296" w:rsidP="00DC7E27">
            <w:pPr>
              <w:keepNext/>
              <w:keepLines/>
              <w:spacing w:before="20" w:after="20" w:line="220" w:lineRule="exact"/>
              <w:jc w:val="center"/>
              <w:rPr>
                <w:bCs/>
                <w:sz w:val="22"/>
                <w:szCs w:val="22"/>
              </w:rPr>
            </w:pPr>
            <w:r w:rsidRPr="00E2025F">
              <w:rPr>
                <w:sz w:val="22"/>
                <w:szCs w:val="22"/>
              </w:rPr>
              <w:t>97 (56%)</w:t>
            </w:r>
          </w:p>
        </w:tc>
        <w:tc>
          <w:tcPr>
            <w:tcW w:w="1331" w:type="dxa"/>
          </w:tcPr>
          <w:p w:rsidR="00780296" w:rsidRPr="00C857FD" w:rsidRDefault="00780296" w:rsidP="00DC7E27">
            <w:pPr>
              <w:keepNext/>
              <w:keepLines/>
              <w:spacing w:before="20" w:after="20" w:line="220" w:lineRule="exact"/>
              <w:jc w:val="center"/>
              <w:rPr>
                <w:bCs/>
                <w:sz w:val="22"/>
                <w:szCs w:val="22"/>
              </w:rPr>
            </w:pPr>
            <w:r w:rsidRPr="00C857FD">
              <w:rPr>
                <w:sz w:val="22"/>
                <w:szCs w:val="22"/>
              </w:rPr>
              <w:t>90 (52%)</w:t>
            </w:r>
          </w:p>
        </w:tc>
      </w:tr>
      <w:tr w:rsidR="00780296" w:rsidRPr="00880E7B" w:rsidTr="00FE6000">
        <w:trPr>
          <w:jc w:val="center"/>
        </w:trPr>
        <w:tc>
          <w:tcPr>
            <w:tcW w:w="4186" w:type="dxa"/>
          </w:tcPr>
          <w:p w:rsidR="00780296" w:rsidRPr="00E2025F" w:rsidRDefault="00780296" w:rsidP="00880E7B">
            <w:pPr>
              <w:keepNext/>
              <w:keepLines/>
              <w:spacing w:before="20" w:after="20" w:line="220" w:lineRule="exact"/>
              <w:jc w:val="both"/>
              <w:rPr>
                <w:sz w:val="22"/>
                <w:szCs w:val="22"/>
              </w:rPr>
            </w:pPr>
            <w:r w:rsidRPr="00880E7B">
              <w:rPr>
                <w:sz w:val="22"/>
                <w:szCs w:val="22"/>
              </w:rPr>
              <w:t>Bez pada (prom</w:t>
            </w:r>
            <w:r w:rsidR="005D0061" w:rsidRPr="00880E7B">
              <w:rPr>
                <w:sz w:val="22"/>
                <w:szCs w:val="22"/>
              </w:rPr>
              <w:t>j</w:t>
            </w:r>
            <w:r w:rsidRPr="00E2025F">
              <w:rPr>
                <w:sz w:val="22"/>
                <w:szCs w:val="22"/>
              </w:rPr>
              <w:t>ena FVC &gt;0%)</w:t>
            </w:r>
          </w:p>
        </w:tc>
        <w:tc>
          <w:tcPr>
            <w:tcW w:w="1579" w:type="dxa"/>
          </w:tcPr>
          <w:p w:rsidR="00780296" w:rsidRPr="00C857FD" w:rsidRDefault="00780296" w:rsidP="00DC7E27">
            <w:pPr>
              <w:keepNext/>
              <w:keepLines/>
              <w:spacing w:before="20" w:after="20" w:line="220" w:lineRule="exact"/>
              <w:jc w:val="center"/>
              <w:rPr>
                <w:bCs/>
                <w:sz w:val="22"/>
                <w:szCs w:val="22"/>
              </w:rPr>
            </w:pPr>
            <w:r w:rsidRPr="00C857FD">
              <w:rPr>
                <w:sz w:val="22"/>
                <w:szCs w:val="22"/>
              </w:rPr>
              <w:t>42 (24%)</w:t>
            </w:r>
          </w:p>
        </w:tc>
        <w:tc>
          <w:tcPr>
            <w:tcW w:w="1331" w:type="dxa"/>
          </w:tcPr>
          <w:p w:rsidR="00780296" w:rsidRPr="00880E7B" w:rsidRDefault="00780296" w:rsidP="00DC7E27">
            <w:pPr>
              <w:keepNext/>
              <w:keepLines/>
              <w:spacing w:before="20" w:after="20" w:line="220" w:lineRule="exact"/>
              <w:jc w:val="center"/>
              <w:rPr>
                <w:bCs/>
                <w:sz w:val="22"/>
                <w:szCs w:val="22"/>
              </w:rPr>
            </w:pPr>
            <w:r w:rsidRPr="00880E7B">
              <w:rPr>
                <w:sz w:val="22"/>
                <w:szCs w:val="22"/>
              </w:rPr>
              <w:t>24 (14%)</w:t>
            </w:r>
          </w:p>
        </w:tc>
      </w:tr>
    </w:tbl>
    <w:p w:rsidR="00780296" w:rsidRPr="00880E7B" w:rsidRDefault="00780296" w:rsidP="00880E7B">
      <w:pPr>
        <w:jc w:val="both"/>
        <w:rPr>
          <w:sz w:val="22"/>
          <w:szCs w:val="22"/>
        </w:rPr>
      </w:pPr>
    </w:p>
    <w:p w:rsidR="00780296" w:rsidRPr="00880E7B" w:rsidRDefault="00780296" w:rsidP="00880E7B">
      <w:pPr>
        <w:numPr>
          <w:ilvl w:val="12"/>
          <w:numId w:val="0"/>
        </w:numPr>
        <w:spacing w:line="240" w:lineRule="exact"/>
        <w:jc w:val="both"/>
        <w:rPr>
          <w:sz w:val="22"/>
          <w:szCs w:val="22"/>
        </w:rPr>
      </w:pPr>
      <w:r w:rsidRPr="00E2025F">
        <w:rPr>
          <w:sz w:val="22"/>
          <w:szCs w:val="22"/>
        </w:rPr>
        <w:t xml:space="preserve">Iako nije bilo razlike između pacijenata koji su primali </w:t>
      </w:r>
      <w:r w:rsidR="00FE6000" w:rsidRPr="00E2025F">
        <w:rPr>
          <w:sz w:val="22"/>
          <w:szCs w:val="22"/>
        </w:rPr>
        <w:t>lijek</w:t>
      </w:r>
      <w:r w:rsidRPr="00D93357">
        <w:rPr>
          <w:sz w:val="22"/>
          <w:szCs w:val="22"/>
        </w:rPr>
        <w:t xml:space="preserve"> ESBRIET u poređenju sa placebom u prom</w:t>
      </w:r>
      <w:r w:rsidR="009B493C" w:rsidRPr="00880E7B">
        <w:rPr>
          <w:sz w:val="22"/>
          <w:szCs w:val="22"/>
        </w:rPr>
        <w:t>j</w:t>
      </w:r>
      <w:r w:rsidRPr="00880E7B">
        <w:rPr>
          <w:sz w:val="22"/>
          <w:szCs w:val="22"/>
        </w:rPr>
        <w:t>eni pređene udaljenosti tokom šestominutnog testa hodanja (6MWT), od početnih vr</w:t>
      </w:r>
      <w:r w:rsidR="009B493C" w:rsidRPr="00880E7B">
        <w:rPr>
          <w:sz w:val="22"/>
          <w:szCs w:val="22"/>
        </w:rPr>
        <w:t>ij</w:t>
      </w:r>
      <w:r w:rsidRPr="00880E7B">
        <w:rPr>
          <w:sz w:val="22"/>
          <w:szCs w:val="22"/>
        </w:rPr>
        <w:t>ednosti do onih izm</w:t>
      </w:r>
      <w:r w:rsidR="00045D87" w:rsidRPr="00880E7B">
        <w:rPr>
          <w:sz w:val="22"/>
          <w:szCs w:val="22"/>
        </w:rPr>
        <w:t>j</w:t>
      </w:r>
      <w:r w:rsidRPr="00880E7B">
        <w:rPr>
          <w:sz w:val="22"/>
          <w:szCs w:val="22"/>
        </w:rPr>
        <w:t xml:space="preserve">erenih u 72. </w:t>
      </w:r>
      <w:r w:rsidR="009B493C" w:rsidRPr="00880E7B">
        <w:rPr>
          <w:sz w:val="22"/>
          <w:szCs w:val="22"/>
        </w:rPr>
        <w:t>nedjelji</w:t>
      </w:r>
      <w:r w:rsidRPr="00880E7B">
        <w:rPr>
          <w:sz w:val="22"/>
          <w:szCs w:val="22"/>
        </w:rPr>
        <w:t xml:space="preserve"> terapije na osnovu prethodno definisanog testa rang ANCOVA, </w:t>
      </w:r>
      <w:r w:rsidRPr="00880E7B">
        <w:rPr>
          <w:i/>
          <w:sz w:val="22"/>
          <w:szCs w:val="22"/>
        </w:rPr>
        <w:t>ad hoc</w:t>
      </w:r>
      <w:r w:rsidRPr="00880E7B">
        <w:rPr>
          <w:sz w:val="22"/>
          <w:szCs w:val="22"/>
        </w:rPr>
        <w:t xml:space="preserve"> analiza 37% pacijenata koji su primali </w:t>
      </w:r>
      <w:r w:rsidR="00FE6000" w:rsidRPr="00880E7B">
        <w:rPr>
          <w:sz w:val="22"/>
          <w:szCs w:val="22"/>
        </w:rPr>
        <w:t>lijek</w:t>
      </w:r>
      <w:r w:rsidRPr="00880E7B">
        <w:rPr>
          <w:sz w:val="22"/>
          <w:szCs w:val="22"/>
        </w:rPr>
        <w:t xml:space="preserve"> ESBRIET pokazala je pad udaljenosti ≥50 m tokom 6MWT testa, u poređenju sa 47% pacijenata koji su primali placebo u studiji PIPF-004.</w:t>
      </w:r>
    </w:p>
    <w:p w:rsidR="00780296" w:rsidRPr="00880E7B" w:rsidRDefault="00780296" w:rsidP="00880E7B">
      <w:pPr>
        <w:numPr>
          <w:ilvl w:val="12"/>
          <w:numId w:val="0"/>
        </w:numPr>
        <w:spacing w:line="240" w:lineRule="exact"/>
        <w:jc w:val="both"/>
        <w:rPr>
          <w:sz w:val="22"/>
          <w:szCs w:val="22"/>
        </w:rPr>
      </w:pPr>
    </w:p>
    <w:p w:rsidR="00780296" w:rsidRPr="007C7A9E" w:rsidRDefault="00780296" w:rsidP="00E2025F">
      <w:pPr>
        <w:numPr>
          <w:ilvl w:val="12"/>
          <w:numId w:val="0"/>
        </w:numPr>
        <w:spacing w:line="240" w:lineRule="exact"/>
        <w:jc w:val="both"/>
        <w:rPr>
          <w:sz w:val="22"/>
          <w:szCs w:val="22"/>
        </w:rPr>
      </w:pPr>
      <w:r w:rsidRPr="00880E7B">
        <w:rPr>
          <w:sz w:val="22"/>
          <w:szCs w:val="22"/>
        </w:rPr>
        <w:t xml:space="preserve">U studiji PIPF-006 terapija </w:t>
      </w:r>
      <w:r w:rsidR="00FE6000" w:rsidRPr="00880E7B">
        <w:rPr>
          <w:sz w:val="22"/>
          <w:szCs w:val="22"/>
        </w:rPr>
        <w:t>lijek</w:t>
      </w:r>
      <w:r w:rsidRPr="00880E7B">
        <w:rPr>
          <w:sz w:val="22"/>
          <w:szCs w:val="22"/>
        </w:rPr>
        <w:t>om ESBRIET (N=171) nije smanjila pad procenta predviđenog FVC od početnih vr</w:t>
      </w:r>
      <w:r w:rsidR="009B493C" w:rsidRPr="00880E7B">
        <w:rPr>
          <w:sz w:val="22"/>
          <w:szCs w:val="22"/>
        </w:rPr>
        <w:t>ij</w:t>
      </w:r>
      <w:r w:rsidRPr="00880E7B">
        <w:rPr>
          <w:sz w:val="22"/>
          <w:szCs w:val="22"/>
        </w:rPr>
        <w:t xml:space="preserve">ednosti do </w:t>
      </w:r>
      <w:r w:rsidR="009B493C" w:rsidRPr="00880E7B">
        <w:rPr>
          <w:sz w:val="22"/>
          <w:szCs w:val="22"/>
        </w:rPr>
        <w:t>vrijednosti</w:t>
      </w:r>
      <w:r w:rsidRPr="00880E7B">
        <w:rPr>
          <w:sz w:val="22"/>
          <w:szCs w:val="22"/>
        </w:rPr>
        <w:t xml:space="preserve"> u 72. </w:t>
      </w:r>
      <w:r w:rsidR="009B493C" w:rsidRPr="00880E7B">
        <w:rPr>
          <w:sz w:val="22"/>
          <w:szCs w:val="22"/>
        </w:rPr>
        <w:t>nedjelji</w:t>
      </w:r>
      <w:r w:rsidRPr="00880E7B">
        <w:rPr>
          <w:sz w:val="22"/>
          <w:szCs w:val="22"/>
        </w:rPr>
        <w:t xml:space="preserve"> terapije u poređenju sa placebom (N=173, p=0,501). Ipak, terapija </w:t>
      </w:r>
      <w:r w:rsidR="00FE6000" w:rsidRPr="00880E7B">
        <w:rPr>
          <w:sz w:val="22"/>
          <w:szCs w:val="22"/>
        </w:rPr>
        <w:t>lijek</w:t>
      </w:r>
      <w:r w:rsidRPr="00880E7B">
        <w:rPr>
          <w:sz w:val="22"/>
          <w:szCs w:val="22"/>
        </w:rPr>
        <w:t>om ESBRIET takođe je smanjila pad procenta predviđenog FVC</w:t>
      </w:r>
      <w:r w:rsidR="007C7A9E">
        <w:rPr>
          <w:sz w:val="22"/>
          <w:szCs w:val="22"/>
        </w:rPr>
        <w:t>-a</w:t>
      </w:r>
      <w:r w:rsidRPr="007C7A9E">
        <w:rPr>
          <w:sz w:val="22"/>
          <w:szCs w:val="22"/>
        </w:rPr>
        <w:t xml:space="preserve"> od početnih </w:t>
      </w:r>
      <w:r w:rsidRPr="007C7A9E">
        <w:rPr>
          <w:sz w:val="22"/>
          <w:szCs w:val="22"/>
        </w:rPr>
        <w:lastRenderedPageBreak/>
        <w:t>vr</w:t>
      </w:r>
      <w:r w:rsidR="009B493C" w:rsidRPr="00880E7B">
        <w:rPr>
          <w:sz w:val="22"/>
          <w:szCs w:val="22"/>
        </w:rPr>
        <w:t>i</w:t>
      </w:r>
      <w:r w:rsidR="001D295D" w:rsidRPr="00880E7B">
        <w:rPr>
          <w:sz w:val="22"/>
          <w:szCs w:val="22"/>
        </w:rPr>
        <w:t>j</w:t>
      </w:r>
      <w:r w:rsidRPr="00880E7B">
        <w:rPr>
          <w:sz w:val="22"/>
          <w:szCs w:val="22"/>
        </w:rPr>
        <w:t xml:space="preserve">ednosti u 24. </w:t>
      </w:r>
      <w:r w:rsidR="001D295D" w:rsidRPr="00880E7B">
        <w:rPr>
          <w:sz w:val="22"/>
          <w:szCs w:val="22"/>
        </w:rPr>
        <w:t xml:space="preserve">nedjelji </w:t>
      </w:r>
      <w:r w:rsidRPr="00880E7B">
        <w:rPr>
          <w:sz w:val="22"/>
          <w:szCs w:val="22"/>
        </w:rPr>
        <w:t xml:space="preserve">(p&lt;0,001), 36. </w:t>
      </w:r>
      <w:r w:rsidR="001D295D" w:rsidRPr="00880E7B">
        <w:rPr>
          <w:sz w:val="22"/>
          <w:szCs w:val="22"/>
        </w:rPr>
        <w:t xml:space="preserve">nedjelji </w:t>
      </w:r>
      <w:r w:rsidRPr="00880E7B">
        <w:rPr>
          <w:sz w:val="22"/>
          <w:szCs w:val="22"/>
        </w:rPr>
        <w:t>(p=0,011) i 48. ned</w:t>
      </w:r>
      <w:r w:rsidR="005D0061" w:rsidRPr="00880E7B">
        <w:rPr>
          <w:sz w:val="22"/>
          <w:szCs w:val="22"/>
        </w:rPr>
        <w:t>j</w:t>
      </w:r>
      <w:r w:rsidRPr="00880E7B">
        <w:rPr>
          <w:sz w:val="22"/>
          <w:szCs w:val="22"/>
        </w:rPr>
        <w:t>elji (p=0,005). U 72. ned</w:t>
      </w:r>
      <w:r w:rsidR="001D295D" w:rsidRPr="00880E7B">
        <w:rPr>
          <w:sz w:val="22"/>
          <w:szCs w:val="22"/>
        </w:rPr>
        <w:t>j</w:t>
      </w:r>
      <w:r w:rsidRPr="00880E7B">
        <w:rPr>
          <w:sz w:val="22"/>
          <w:szCs w:val="22"/>
        </w:rPr>
        <w:t>elji, pad FVC</w:t>
      </w:r>
      <w:r w:rsidR="00484137" w:rsidRPr="00880E7B">
        <w:rPr>
          <w:sz w:val="22"/>
          <w:szCs w:val="22"/>
        </w:rPr>
        <w:t xml:space="preserve">-a za </w:t>
      </w:r>
      <w:r w:rsidRPr="00880E7B">
        <w:rPr>
          <w:sz w:val="22"/>
          <w:szCs w:val="22"/>
        </w:rPr>
        <w:t xml:space="preserve"> ≥10% je prim</w:t>
      </w:r>
      <w:r w:rsidR="00045D87" w:rsidRPr="00880E7B">
        <w:rPr>
          <w:sz w:val="22"/>
          <w:szCs w:val="22"/>
        </w:rPr>
        <w:t>i</w:t>
      </w:r>
      <w:r w:rsidR="009B493C" w:rsidRPr="00880E7B">
        <w:rPr>
          <w:sz w:val="22"/>
          <w:szCs w:val="22"/>
        </w:rPr>
        <w:t>j</w:t>
      </w:r>
      <w:r w:rsidRPr="00880E7B">
        <w:rPr>
          <w:sz w:val="22"/>
          <w:szCs w:val="22"/>
        </w:rPr>
        <w:t xml:space="preserve">ećen kod 23% pacijenata koji su primali </w:t>
      </w:r>
      <w:r w:rsidR="00FE6000" w:rsidRPr="00880E7B">
        <w:rPr>
          <w:sz w:val="22"/>
          <w:szCs w:val="22"/>
        </w:rPr>
        <w:t>lijek</w:t>
      </w:r>
      <w:r w:rsidRPr="00880E7B">
        <w:rPr>
          <w:sz w:val="22"/>
          <w:szCs w:val="22"/>
        </w:rPr>
        <w:t xml:space="preserve"> ESBRIET i 27% pacijenata koji su primali placebo (</w:t>
      </w:r>
      <w:r w:rsidR="007C7A9E">
        <w:rPr>
          <w:sz w:val="22"/>
          <w:szCs w:val="22"/>
        </w:rPr>
        <w:t>T</w:t>
      </w:r>
      <w:r w:rsidRPr="007C7A9E">
        <w:rPr>
          <w:sz w:val="22"/>
          <w:szCs w:val="22"/>
        </w:rPr>
        <w:t xml:space="preserve">abela 3). </w:t>
      </w:r>
    </w:p>
    <w:p w:rsidR="00BD0820" w:rsidRPr="00880E7B" w:rsidRDefault="00BD0820">
      <w:pPr>
        <w:numPr>
          <w:ilvl w:val="12"/>
          <w:numId w:val="0"/>
        </w:numPr>
        <w:spacing w:line="240" w:lineRule="exact"/>
        <w:jc w:val="both"/>
        <w:rPr>
          <w:sz w:val="22"/>
          <w:szCs w:val="22"/>
        </w:rPr>
      </w:pPr>
    </w:p>
    <w:tbl>
      <w:tblPr>
        <w:tblW w:w="7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780296" w:rsidRPr="00880E7B" w:rsidTr="00FE6000">
        <w:trPr>
          <w:jc w:val="center"/>
        </w:trPr>
        <w:tc>
          <w:tcPr>
            <w:tcW w:w="7145" w:type="dxa"/>
            <w:gridSpan w:val="3"/>
            <w:vAlign w:val="bottom"/>
          </w:tcPr>
          <w:p w:rsidR="00780296" w:rsidRPr="007C7A9E" w:rsidRDefault="00780296">
            <w:pPr>
              <w:tabs>
                <w:tab w:val="left" w:pos="208"/>
              </w:tabs>
              <w:jc w:val="both"/>
              <w:rPr>
                <w:b/>
                <w:sz w:val="22"/>
                <w:szCs w:val="22"/>
              </w:rPr>
            </w:pPr>
            <w:r w:rsidRPr="00880E7B">
              <w:rPr>
                <w:b/>
                <w:sz w:val="22"/>
                <w:szCs w:val="22"/>
              </w:rPr>
              <w:t>Tabela 3</w:t>
            </w:r>
            <w:r w:rsidRPr="00880E7B">
              <w:rPr>
                <w:sz w:val="22"/>
                <w:szCs w:val="22"/>
              </w:rPr>
              <w:tab/>
            </w:r>
            <w:r w:rsidRPr="00880E7B">
              <w:rPr>
                <w:b/>
                <w:sz w:val="22"/>
                <w:szCs w:val="22"/>
              </w:rPr>
              <w:t>Kategorijska proc</w:t>
            </w:r>
            <w:r w:rsidR="009B493C" w:rsidRPr="00880E7B">
              <w:rPr>
                <w:b/>
                <w:sz w:val="22"/>
                <w:szCs w:val="22"/>
              </w:rPr>
              <w:t>j</w:t>
            </w:r>
            <w:r w:rsidRPr="00880E7B">
              <w:rPr>
                <w:b/>
                <w:sz w:val="22"/>
                <w:szCs w:val="22"/>
              </w:rPr>
              <w:t>ena prom</w:t>
            </w:r>
            <w:r w:rsidR="009B493C" w:rsidRPr="00880E7B">
              <w:rPr>
                <w:b/>
                <w:sz w:val="22"/>
                <w:szCs w:val="22"/>
              </w:rPr>
              <w:t>j</w:t>
            </w:r>
            <w:r w:rsidRPr="00880E7B">
              <w:rPr>
                <w:b/>
                <w:sz w:val="22"/>
                <w:szCs w:val="22"/>
              </w:rPr>
              <w:t>ene, od početnih vr</w:t>
            </w:r>
            <w:r w:rsidR="009B493C" w:rsidRPr="00880E7B">
              <w:rPr>
                <w:b/>
                <w:sz w:val="22"/>
                <w:szCs w:val="22"/>
              </w:rPr>
              <w:t>ij</w:t>
            </w:r>
            <w:r w:rsidRPr="00880E7B">
              <w:rPr>
                <w:b/>
                <w:sz w:val="22"/>
                <w:szCs w:val="22"/>
              </w:rPr>
              <w:t>ednosti procenta predviđenog FVC</w:t>
            </w:r>
            <w:r w:rsidR="007C7A9E">
              <w:rPr>
                <w:b/>
                <w:sz w:val="22"/>
                <w:szCs w:val="22"/>
              </w:rPr>
              <w:t>-a</w:t>
            </w:r>
            <w:r w:rsidRPr="007C7A9E">
              <w:rPr>
                <w:b/>
                <w:sz w:val="22"/>
                <w:szCs w:val="22"/>
              </w:rPr>
              <w:t xml:space="preserve"> u 72. ned</w:t>
            </w:r>
            <w:r w:rsidR="009B493C" w:rsidRPr="007C7A9E">
              <w:rPr>
                <w:b/>
                <w:sz w:val="22"/>
                <w:szCs w:val="22"/>
              </w:rPr>
              <w:t>j</w:t>
            </w:r>
            <w:r w:rsidRPr="007C7A9E">
              <w:rPr>
                <w:b/>
                <w:sz w:val="22"/>
                <w:szCs w:val="22"/>
              </w:rPr>
              <w:t>elji terapije u studiji PIPF-006</w:t>
            </w:r>
          </w:p>
        </w:tc>
      </w:tr>
      <w:tr w:rsidR="00780296" w:rsidRPr="00880E7B" w:rsidTr="00FE6000">
        <w:trPr>
          <w:jc w:val="center"/>
        </w:trPr>
        <w:tc>
          <w:tcPr>
            <w:tcW w:w="4197" w:type="dxa"/>
            <w:vAlign w:val="bottom"/>
          </w:tcPr>
          <w:p w:rsidR="00780296" w:rsidRPr="00880E7B" w:rsidRDefault="00780296" w:rsidP="00880E7B">
            <w:pPr>
              <w:spacing w:before="20" w:after="20" w:line="220" w:lineRule="exact"/>
              <w:jc w:val="both"/>
              <w:rPr>
                <w:b/>
                <w:bCs/>
                <w:sz w:val="22"/>
                <w:szCs w:val="22"/>
              </w:rPr>
            </w:pPr>
          </w:p>
        </w:tc>
        <w:tc>
          <w:tcPr>
            <w:tcW w:w="1563" w:type="dxa"/>
            <w:vAlign w:val="bottom"/>
          </w:tcPr>
          <w:p w:rsidR="00780296" w:rsidRPr="00E2025F" w:rsidRDefault="00780296" w:rsidP="00DC7E27">
            <w:pPr>
              <w:spacing w:before="20" w:after="20" w:line="220" w:lineRule="exact"/>
              <w:jc w:val="center"/>
              <w:rPr>
                <w:b/>
                <w:sz w:val="22"/>
                <w:szCs w:val="22"/>
              </w:rPr>
            </w:pPr>
            <w:r w:rsidRPr="00E2025F">
              <w:rPr>
                <w:b/>
                <w:sz w:val="22"/>
                <w:szCs w:val="22"/>
              </w:rPr>
              <w:t xml:space="preserve">Pirfenidon </w:t>
            </w:r>
            <w:r w:rsidRPr="00E2025F">
              <w:rPr>
                <w:b/>
                <w:sz w:val="22"/>
                <w:szCs w:val="22"/>
              </w:rPr>
              <w:br/>
              <w:t>2403 mg dnevno</w:t>
            </w:r>
            <w:r w:rsidRPr="00E2025F">
              <w:rPr>
                <w:b/>
                <w:sz w:val="22"/>
                <w:szCs w:val="22"/>
              </w:rPr>
              <w:br/>
              <w:t>(N = 171)</w:t>
            </w:r>
          </w:p>
        </w:tc>
        <w:tc>
          <w:tcPr>
            <w:tcW w:w="1385" w:type="dxa"/>
            <w:vAlign w:val="bottom"/>
          </w:tcPr>
          <w:p w:rsidR="00780296" w:rsidRPr="007C7A9E" w:rsidRDefault="00780296" w:rsidP="00DC7E27">
            <w:pPr>
              <w:spacing w:before="20" w:after="20" w:line="220" w:lineRule="exact"/>
              <w:jc w:val="center"/>
              <w:rPr>
                <w:b/>
                <w:sz w:val="22"/>
                <w:szCs w:val="22"/>
              </w:rPr>
            </w:pPr>
            <w:r w:rsidRPr="007C7A9E">
              <w:rPr>
                <w:b/>
                <w:sz w:val="22"/>
                <w:szCs w:val="22"/>
              </w:rPr>
              <w:t>Placebo</w:t>
            </w:r>
            <w:r w:rsidRPr="007C7A9E">
              <w:rPr>
                <w:b/>
                <w:sz w:val="22"/>
                <w:szCs w:val="22"/>
              </w:rPr>
              <w:br/>
              <w:t>(N = 173)</w:t>
            </w:r>
          </w:p>
        </w:tc>
      </w:tr>
      <w:tr w:rsidR="00780296" w:rsidRPr="00880E7B" w:rsidTr="00FE6000">
        <w:trPr>
          <w:jc w:val="center"/>
        </w:trPr>
        <w:tc>
          <w:tcPr>
            <w:tcW w:w="4197" w:type="dxa"/>
          </w:tcPr>
          <w:p w:rsidR="00780296" w:rsidRPr="00880E7B" w:rsidRDefault="00780296" w:rsidP="00880E7B">
            <w:pPr>
              <w:spacing w:before="20" w:after="20" w:line="220" w:lineRule="exact"/>
              <w:jc w:val="both"/>
              <w:rPr>
                <w:sz w:val="22"/>
                <w:szCs w:val="22"/>
              </w:rPr>
            </w:pPr>
            <w:r w:rsidRPr="00880E7B">
              <w:rPr>
                <w:sz w:val="22"/>
                <w:szCs w:val="22"/>
              </w:rPr>
              <w:t>Pad ≥10% ili smrt ili transplantacija pluća</w:t>
            </w:r>
          </w:p>
        </w:tc>
        <w:tc>
          <w:tcPr>
            <w:tcW w:w="1563" w:type="dxa"/>
          </w:tcPr>
          <w:p w:rsidR="00780296" w:rsidRPr="00E2025F" w:rsidRDefault="00780296" w:rsidP="00DC7E27">
            <w:pPr>
              <w:spacing w:before="20" w:after="20" w:line="220" w:lineRule="exact"/>
              <w:jc w:val="center"/>
              <w:rPr>
                <w:bCs/>
                <w:sz w:val="22"/>
                <w:szCs w:val="22"/>
              </w:rPr>
            </w:pPr>
            <w:r w:rsidRPr="00E2025F">
              <w:rPr>
                <w:sz w:val="22"/>
                <w:szCs w:val="22"/>
              </w:rPr>
              <w:t>39 (23%)</w:t>
            </w:r>
          </w:p>
        </w:tc>
        <w:tc>
          <w:tcPr>
            <w:tcW w:w="1385" w:type="dxa"/>
          </w:tcPr>
          <w:p w:rsidR="00780296" w:rsidRPr="007C7A9E" w:rsidRDefault="00780296" w:rsidP="00DC7E27">
            <w:pPr>
              <w:spacing w:before="20" w:after="20" w:line="220" w:lineRule="exact"/>
              <w:jc w:val="center"/>
              <w:rPr>
                <w:bCs/>
                <w:sz w:val="22"/>
                <w:szCs w:val="22"/>
              </w:rPr>
            </w:pPr>
            <w:r w:rsidRPr="007C7A9E">
              <w:rPr>
                <w:sz w:val="22"/>
                <w:szCs w:val="22"/>
              </w:rPr>
              <w:t>46 (27%)</w:t>
            </w:r>
          </w:p>
        </w:tc>
      </w:tr>
      <w:tr w:rsidR="00780296" w:rsidRPr="00880E7B" w:rsidTr="00FE6000">
        <w:trPr>
          <w:jc w:val="center"/>
        </w:trPr>
        <w:tc>
          <w:tcPr>
            <w:tcW w:w="4197" w:type="dxa"/>
          </w:tcPr>
          <w:p w:rsidR="00780296" w:rsidRPr="00880E7B" w:rsidRDefault="00780296" w:rsidP="00880E7B">
            <w:pPr>
              <w:spacing w:before="20" w:after="20" w:line="220" w:lineRule="exact"/>
              <w:jc w:val="both"/>
              <w:rPr>
                <w:sz w:val="22"/>
                <w:szCs w:val="22"/>
              </w:rPr>
            </w:pPr>
            <w:r w:rsidRPr="00880E7B">
              <w:rPr>
                <w:sz w:val="22"/>
                <w:szCs w:val="22"/>
              </w:rPr>
              <w:t>Pad manji od 10%</w:t>
            </w:r>
          </w:p>
        </w:tc>
        <w:tc>
          <w:tcPr>
            <w:tcW w:w="1563" w:type="dxa"/>
          </w:tcPr>
          <w:p w:rsidR="00780296" w:rsidRPr="00E2025F" w:rsidRDefault="00780296" w:rsidP="00DC7E27">
            <w:pPr>
              <w:spacing w:before="20" w:after="20" w:line="220" w:lineRule="exact"/>
              <w:jc w:val="center"/>
              <w:rPr>
                <w:bCs/>
                <w:sz w:val="22"/>
                <w:szCs w:val="22"/>
              </w:rPr>
            </w:pPr>
            <w:r w:rsidRPr="00E2025F">
              <w:rPr>
                <w:sz w:val="22"/>
                <w:szCs w:val="22"/>
              </w:rPr>
              <w:t>88 (52%)</w:t>
            </w:r>
          </w:p>
        </w:tc>
        <w:tc>
          <w:tcPr>
            <w:tcW w:w="1385" w:type="dxa"/>
          </w:tcPr>
          <w:p w:rsidR="00780296" w:rsidRPr="007C7A9E" w:rsidRDefault="00780296" w:rsidP="00DC7E27">
            <w:pPr>
              <w:spacing w:before="20" w:after="20" w:line="220" w:lineRule="exact"/>
              <w:jc w:val="center"/>
              <w:rPr>
                <w:bCs/>
                <w:sz w:val="22"/>
                <w:szCs w:val="22"/>
              </w:rPr>
            </w:pPr>
            <w:r w:rsidRPr="007C7A9E">
              <w:rPr>
                <w:sz w:val="22"/>
                <w:szCs w:val="22"/>
              </w:rPr>
              <w:t>89 (51%)</w:t>
            </w:r>
          </w:p>
        </w:tc>
      </w:tr>
      <w:tr w:rsidR="00780296" w:rsidRPr="00880E7B" w:rsidTr="00FE6000">
        <w:trPr>
          <w:jc w:val="center"/>
        </w:trPr>
        <w:tc>
          <w:tcPr>
            <w:tcW w:w="4197" w:type="dxa"/>
          </w:tcPr>
          <w:p w:rsidR="00780296" w:rsidRPr="00E2025F" w:rsidRDefault="00780296" w:rsidP="00880E7B">
            <w:pPr>
              <w:spacing w:before="20" w:after="20" w:line="220" w:lineRule="exact"/>
              <w:jc w:val="both"/>
              <w:rPr>
                <w:sz w:val="22"/>
                <w:szCs w:val="22"/>
              </w:rPr>
            </w:pPr>
            <w:r w:rsidRPr="00880E7B">
              <w:rPr>
                <w:sz w:val="22"/>
                <w:szCs w:val="22"/>
              </w:rPr>
              <w:t>Bez pada</w:t>
            </w:r>
            <w:r w:rsidRPr="00880E7B">
              <w:rPr>
                <w:sz w:val="22"/>
                <w:szCs w:val="22"/>
                <w:vertAlign w:val="superscript"/>
              </w:rPr>
              <w:t xml:space="preserve"> </w:t>
            </w:r>
            <w:r w:rsidRPr="00880E7B">
              <w:rPr>
                <w:sz w:val="22"/>
                <w:szCs w:val="22"/>
              </w:rPr>
              <w:t>(prom</w:t>
            </w:r>
            <w:r w:rsidR="005D0061" w:rsidRPr="00E2025F">
              <w:rPr>
                <w:sz w:val="22"/>
                <w:szCs w:val="22"/>
              </w:rPr>
              <w:t>j</w:t>
            </w:r>
            <w:r w:rsidRPr="00E2025F">
              <w:rPr>
                <w:sz w:val="22"/>
                <w:szCs w:val="22"/>
              </w:rPr>
              <w:t>ena FVC &gt;0%)</w:t>
            </w:r>
          </w:p>
        </w:tc>
        <w:tc>
          <w:tcPr>
            <w:tcW w:w="1563" w:type="dxa"/>
          </w:tcPr>
          <w:p w:rsidR="00780296" w:rsidRPr="007C7A9E" w:rsidRDefault="00780296" w:rsidP="00DC7E27">
            <w:pPr>
              <w:spacing w:before="20" w:after="20" w:line="220" w:lineRule="exact"/>
              <w:jc w:val="center"/>
              <w:rPr>
                <w:bCs/>
                <w:sz w:val="22"/>
                <w:szCs w:val="22"/>
              </w:rPr>
            </w:pPr>
            <w:r w:rsidRPr="007C7A9E">
              <w:rPr>
                <w:sz w:val="22"/>
                <w:szCs w:val="22"/>
              </w:rPr>
              <w:t>44 (26%)</w:t>
            </w:r>
          </w:p>
        </w:tc>
        <w:tc>
          <w:tcPr>
            <w:tcW w:w="1385" w:type="dxa"/>
          </w:tcPr>
          <w:p w:rsidR="00780296" w:rsidRPr="00880E7B" w:rsidRDefault="00780296" w:rsidP="00DC7E27">
            <w:pPr>
              <w:spacing w:before="20" w:after="20" w:line="220" w:lineRule="exact"/>
              <w:jc w:val="center"/>
              <w:rPr>
                <w:bCs/>
                <w:sz w:val="22"/>
                <w:szCs w:val="22"/>
              </w:rPr>
            </w:pPr>
            <w:r w:rsidRPr="00880E7B">
              <w:rPr>
                <w:sz w:val="22"/>
                <w:szCs w:val="22"/>
              </w:rPr>
              <w:t>38 (22%)</w:t>
            </w:r>
          </w:p>
        </w:tc>
      </w:tr>
    </w:tbl>
    <w:p w:rsidR="00780296" w:rsidRPr="00880E7B" w:rsidRDefault="00780296" w:rsidP="00880E7B">
      <w:pPr>
        <w:numPr>
          <w:ilvl w:val="12"/>
          <w:numId w:val="0"/>
        </w:numPr>
        <w:spacing w:line="240" w:lineRule="exact"/>
        <w:jc w:val="both"/>
        <w:rPr>
          <w:sz w:val="22"/>
          <w:szCs w:val="22"/>
        </w:rPr>
      </w:pPr>
    </w:p>
    <w:p w:rsidR="00780296" w:rsidRPr="007C7A9E" w:rsidRDefault="00780296" w:rsidP="00880E7B">
      <w:pPr>
        <w:numPr>
          <w:ilvl w:val="12"/>
          <w:numId w:val="0"/>
        </w:numPr>
        <w:spacing w:line="240" w:lineRule="exact"/>
        <w:jc w:val="both"/>
        <w:rPr>
          <w:sz w:val="22"/>
          <w:szCs w:val="22"/>
        </w:rPr>
      </w:pPr>
      <w:r w:rsidRPr="00E2025F">
        <w:rPr>
          <w:sz w:val="22"/>
          <w:szCs w:val="22"/>
        </w:rPr>
        <w:t>U studiji PIPF-006 pad udaljenosti tokom 6MWT testa, od polaznih vr</w:t>
      </w:r>
      <w:r w:rsidR="009B493C" w:rsidRPr="00E2025F">
        <w:rPr>
          <w:sz w:val="22"/>
          <w:szCs w:val="22"/>
        </w:rPr>
        <w:t>ij</w:t>
      </w:r>
      <w:r w:rsidRPr="00D93357">
        <w:rPr>
          <w:sz w:val="22"/>
          <w:szCs w:val="22"/>
        </w:rPr>
        <w:t xml:space="preserve">ednosti do </w:t>
      </w:r>
      <w:r w:rsidR="009B493C" w:rsidRPr="00D93357">
        <w:rPr>
          <w:sz w:val="22"/>
          <w:szCs w:val="22"/>
        </w:rPr>
        <w:t>vrijednosti</w:t>
      </w:r>
      <w:r w:rsidRPr="00C857FD">
        <w:rPr>
          <w:sz w:val="22"/>
          <w:szCs w:val="22"/>
        </w:rPr>
        <w:t xml:space="preserve"> izm</w:t>
      </w:r>
      <w:r w:rsidR="00FD599D" w:rsidRPr="00C857FD">
        <w:rPr>
          <w:sz w:val="22"/>
          <w:szCs w:val="22"/>
        </w:rPr>
        <w:t>j</w:t>
      </w:r>
      <w:r w:rsidRPr="00C857FD">
        <w:rPr>
          <w:sz w:val="22"/>
          <w:szCs w:val="22"/>
        </w:rPr>
        <w:t>erenih u 72. ned</w:t>
      </w:r>
      <w:r w:rsidR="009B493C" w:rsidRPr="007C7A9E">
        <w:rPr>
          <w:sz w:val="22"/>
          <w:szCs w:val="22"/>
        </w:rPr>
        <w:t>j</w:t>
      </w:r>
      <w:r w:rsidRPr="00A96251">
        <w:rPr>
          <w:sz w:val="22"/>
          <w:szCs w:val="22"/>
        </w:rPr>
        <w:t>elji, bio je značajno niži u poređenju sa grupom koja je primala placebo (p&lt;0,001; rang ANCOVA). Takođe,</w:t>
      </w:r>
      <w:r w:rsidR="009B493C" w:rsidRPr="00880E7B">
        <w:rPr>
          <w:sz w:val="22"/>
          <w:szCs w:val="22"/>
        </w:rPr>
        <w:t xml:space="preserve"> </w:t>
      </w:r>
      <w:r w:rsidRPr="00880E7B">
        <w:rPr>
          <w:sz w:val="22"/>
          <w:szCs w:val="22"/>
        </w:rPr>
        <w:t xml:space="preserve">u </w:t>
      </w:r>
      <w:r w:rsidRPr="00880E7B">
        <w:rPr>
          <w:i/>
          <w:sz w:val="22"/>
          <w:szCs w:val="22"/>
        </w:rPr>
        <w:t>ad hoc</w:t>
      </w:r>
      <w:r w:rsidRPr="00880E7B">
        <w:rPr>
          <w:sz w:val="22"/>
          <w:szCs w:val="22"/>
        </w:rPr>
        <w:t xml:space="preserve"> analizi kod 33% pacijenata koji su primali </w:t>
      </w:r>
      <w:r w:rsidR="00FE6000" w:rsidRPr="00880E7B">
        <w:rPr>
          <w:sz w:val="22"/>
          <w:szCs w:val="22"/>
        </w:rPr>
        <w:t>lijek</w:t>
      </w:r>
      <w:r w:rsidRPr="00880E7B">
        <w:rPr>
          <w:sz w:val="22"/>
          <w:szCs w:val="22"/>
        </w:rPr>
        <w:t xml:space="preserve"> ESBRIET utvrđen je pad udaljenosti ≥</w:t>
      </w:r>
      <w:r w:rsidR="007C7A9E">
        <w:rPr>
          <w:sz w:val="22"/>
          <w:szCs w:val="22"/>
        </w:rPr>
        <w:t xml:space="preserve"> </w:t>
      </w:r>
      <w:r w:rsidRPr="007C7A9E">
        <w:rPr>
          <w:sz w:val="22"/>
          <w:szCs w:val="22"/>
        </w:rPr>
        <w:t>50 m tokom 6MWT testa, u poređenju sa 47% pacijenata koji su primali placebo u studiji PIPF-006.</w:t>
      </w:r>
    </w:p>
    <w:p w:rsidR="00780296" w:rsidRPr="00880E7B" w:rsidRDefault="00780296" w:rsidP="00880E7B">
      <w:pPr>
        <w:numPr>
          <w:ilvl w:val="12"/>
          <w:numId w:val="0"/>
        </w:numPr>
        <w:spacing w:line="240" w:lineRule="exact"/>
        <w:jc w:val="both"/>
        <w:rPr>
          <w:sz w:val="22"/>
          <w:szCs w:val="22"/>
        </w:rPr>
      </w:pPr>
    </w:p>
    <w:p w:rsidR="00780296" w:rsidRPr="00880E7B" w:rsidRDefault="00780296" w:rsidP="00E2025F">
      <w:pPr>
        <w:autoSpaceDE w:val="0"/>
        <w:autoSpaceDN w:val="0"/>
        <w:adjustRightInd w:val="0"/>
        <w:spacing w:line="240" w:lineRule="exact"/>
        <w:jc w:val="both"/>
        <w:rPr>
          <w:sz w:val="22"/>
          <w:szCs w:val="22"/>
        </w:rPr>
      </w:pPr>
      <w:r w:rsidRPr="00880E7B">
        <w:rPr>
          <w:sz w:val="22"/>
          <w:szCs w:val="22"/>
        </w:rPr>
        <w:t xml:space="preserve">U zbirnoj analizi preživljavanja u PIPF-004 i PIPF-006, stopa mortaliteta u grupi koja je primala </w:t>
      </w:r>
      <w:r w:rsidR="00FE6000" w:rsidRPr="00880E7B">
        <w:rPr>
          <w:sz w:val="22"/>
          <w:szCs w:val="22"/>
        </w:rPr>
        <w:t>lijek</w:t>
      </w:r>
      <w:r w:rsidR="009B493C" w:rsidRPr="00880E7B">
        <w:rPr>
          <w:sz w:val="22"/>
          <w:szCs w:val="22"/>
        </w:rPr>
        <w:t xml:space="preserve"> ESBRIET </w:t>
      </w:r>
      <w:r w:rsidRPr="00880E7B">
        <w:rPr>
          <w:sz w:val="22"/>
          <w:szCs w:val="22"/>
        </w:rPr>
        <w:t xml:space="preserve">2403 mg dnevno iznosila je 7,8% u poređenju sa 9,8% u placebo grupi (HR 0,77 [95% CI, 0,47–1,28]). </w:t>
      </w:r>
    </w:p>
    <w:p w:rsidR="00780296" w:rsidRPr="00880E7B" w:rsidRDefault="00780296">
      <w:pPr>
        <w:numPr>
          <w:ilvl w:val="12"/>
          <w:numId w:val="0"/>
        </w:numPr>
        <w:spacing w:line="240" w:lineRule="exact"/>
        <w:jc w:val="both"/>
        <w:rPr>
          <w:sz w:val="22"/>
          <w:szCs w:val="22"/>
        </w:rPr>
      </w:pPr>
    </w:p>
    <w:p w:rsidR="00780296" w:rsidRPr="00880E7B" w:rsidRDefault="00780296">
      <w:pPr>
        <w:numPr>
          <w:ilvl w:val="12"/>
          <w:numId w:val="0"/>
        </w:numPr>
        <w:spacing w:line="240" w:lineRule="exact"/>
        <w:jc w:val="both"/>
        <w:rPr>
          <w:sz w:val="22"/>
          <w:szCs w:val="22"/>
        </w:rPr>
      </w:pPr>
      <w:r w:rsidRPr="00880E7B">
        <w:rPr>
          <w:sz w:val="22"/>
          <w:szCs w:val="22"/>
        </w:rPr>
        <w:t xml:space="preserve">Studija PIPF-016 poredila je terapiju </w:t>
      </w:r>
      <w:r w:rsidR="00FE6000" w:rsidRPr="00880E7B">
        <w:rPr>
          <w:sz w:val="22"/>
          <w:szCs w:val="22"/>
        </w:rPr>
        <w:t>lijek</w:t>
      </w:r>
      <w:r w:rsidRPr="00880E7B">
        <w:rPr>
          <w:sz w:val="22"/>
          <w:szCs w:val="22"/>
        </w:rPr>
        <w:t>om ESBRIET 2403 mg dnevno sa placebom. Terapija je prim</w:t>
      </w:r>
      <w:r w:rsidR="00484137" w:rsidRPr="00880E7B">
        <w:rPr>
          <w:sz w:val="22"/>
          <w:szCs w:val="22"/>
        </w:rPr>
        <w:t>i</w:t>
      </w:r>
      <w:r w:rsidR="009B493C" w:rsidRPr="00880E7B">
        <w:rPr>
          <w:sz w:val="22"/>
          <w:szCs w:val="22"/>
        </w:rPr>
        <w:t>j</w:t>
      </w:r>
      <w:r w:rsidRPr="00880E7B">
        <w:rPr>
          <w:sz w:val="22"/>
          <w:szCs w:val="22"/>
        </w:rPr>
        <w:t>enjivana tri puta dnevno u periodu od 52 ned</w:t>
      </w:r>
      <w:r w:rsidR="00045D87" w:rsidRPr="00880E7B">
        <w:rPr>
          <w:sz w:val="22"/>
          <w:szCs w:val="22"/>
        </w:rPr>
        <w:t>j</w:t>
      </w:r>
      <w:r w:rsidRPr="00880E7B">
        <w:rPr>
          <w:sz w:val="22"/>
          <w:szCs w:val="22"/>
        </w:rPr>
        <w:t>elje. Primarni parametar praćenja bila je prom</w:t>
      </w:r>
      <w:r w:rsidR="009B493C" w:rsidRPr="00880E7B">
        <w:rPr>
          <w:sz w:val="22"/>
          <w:szCs w:val="22"/>
        </w:rPr>
        <w:t>j</w:t>
      </w:r>
      <w:r w:rsidRPr="00880E7B">
        <w:rPr>
          <w:sz w:val="22"/>
          <w:szCs w:val="22"/>
        </w:rPr>
        <w:t>ena od početne vr</w:t>
      </w:r>
      <w:r w:rsidR="009B493C" w:rsidRPr="00880E7B">
        <w:rPr>
          <w:sz w:val="22"/>
          <w:szCs w:val="22"/>
        </w:rPr>
        <w:t>ij</w:t>
      </w:r>
      <w:r w:rsidRPr="00880E7B">
        <w:rPr>
          <w:sz w:val="22"/>
          <w:szCs w:val="22"/>
        </w:rPr>
        <w:t>ednosti procenta predviđenog forsiranog vitalnog kapaciteta (FVC) do 52. ned</w:t>
      </w:r>
      <w:r w:rsidR="00045D87" w:rsidRPr="00880E7B">
        <w:rPr>
          <w:sz w:val="22"/>
          <w:szCs w:val="22"/>
        </w:rPr>
        <w:t>j</w:t>
      </w:r>
      <w:r w:rsidRPr="00880E7B">
        <w:rPr>
          <w:sz w:val="22"/>
          <w:szCs w:val="22"/>
        </w:rPr>
        <w:t>elje terapije. Kod ukupno 555 pacijenata, medijana početne vr</w:t>
      </w:r>
      <w:r w:rsidR="009B493C" w:rsidRPr="00880E7B">
        <w:rPr>
          <w:sz w:val="22"/>
          <w:szCs w:val="22"/>
        </w:rPr>
        <w:t>ij</w:t>
      </w:r>
      <w:r w:rsidRPr="00880E7B">
        <w:rPr>
          <w:sz w:val="22"/>
          <w:szCs w:val="22"/>
        </w:rPr>
        <w:t>ednosti procenta predviđenog FVC iznosila je 68% (raspon: 48–91%), a %DL</w:t>
      </w:r>
      <w:r w:rsidRPr="00880E7B">
        <w:rPr>
          <w:sz w:val="22"/>
          <w:szCs w:val="22"/>
          <w:vertAlign w:val="subscript"/>
        </w:rPr>
        <w:t>CO</w:t>
      </w:r>
      <w:r w:rsidRPr="00880E7B">
        <w:rPr>
          <w:sz w:val="22"/>
          <w:szCs w:val="22"/>
        </w:rPr>
        <w:t xml:space="preserve"> 42% (raspon: 27–170%). Dva odsto pacijenata imalo je manji procenat predviđenog FVC od 50%, dok je 21% pacijenata imalo manji procenat predviđenog DL</w:t>
      </w:r>
      <w:r w:rsidRPr="00880E7B">
        <w:rPr>
          <w:sz w:val="22"/>
          <w:szCs w:val="22"/>
          <w:vertAlign w:val="subscript"/>
        </w:rPr>
        <w:t>CO</w:t>
      </w:r>
      <w:r w:rsidRPr="00880E7B">
        <w:rPr>
          <w:sz w:val="22"/>
          <w:szCs w:val="22"/>
        </w:rPr>
        <w:t xml:space="preserve"> od 35% na početku ispitivanja.</w:t>
      </w:r>
    </w:p>
    <w:p w:rsidR="00780296" w:rsidRPr="00880E7B" w:rsidRDefault="00780296">
      <w:pPr>
        <w:numPr>
          <w:ilvl w:val="12"/>
          <w:numId w:val="0"/>
        </w:numPr>
        <w:spacing w:line="240" w:lineRule="exact"/>
        <w:jc w:val="both"/>
        <w:rPr>
          <w:sz w:val="22"/>
          <w:szCs w:val="22"/>
        </w:rPr>
      </w:pPr>
    </w:p>
    <w:p w:rsidR="00780296" w:rsidRPr="00E357E9" w:rsidRDefault="00780296">
      <w:pPr>
        <w:numPr>
          <w:ilvl w:val="12"/>
          <w:numId w:val="0"/>
        </w:numPr>
        <w:spacing w:line="240" w:lineRule="exact"/>
        <w:jc w:val="both"/>
        <w:rPr>
          <w:sz w:val="22"/>
          <w:szCs w:val="22"/>
        </w:rPr>
      </w:pPr>
      <w:r w:rsidRPr="00880E7B">
        <w:rPr>
          <w:sz w:val="22"/>
          <w:szCs w:val="22"/>
        </w:rPr>
        <w:t>U studiji PIPF-016, pad procenta predviđenih vr</w:t>
      </w:r>
      <w:r w:rsidR="009B493C" w:rsidRPr="00880E7B">
        <w:rPr>
          <w:sz w:val="22"/>
          <w:szCs w:val="22"/>
        </w:rPr>
        <w:t>ij</w:t>
      </w:r>
      <w:r w:rsidRPr="00880E7B">
        <w:rPr>
          <w:sz w:val="22"/>
          <w:szCs w:val="22"/>
        </w:rPr>
        <w:t>ednosti FVC</w:t>
      </w:r>
      <w:r w:rsidR="00560ED8">
        <w:rPr>
          <w:sz w:val="22"/>
          <w:szCs w:val="22"/>
        </w:rPr>
        <w:t>-a</w:t>
      </w:r>
      <w:r w:rsidRPr="00560ED8">
        <w:rPr>
          <w:sz w:val="22"/>
          <w:szCs w:val="22"/>
        </w:rPr>
        <w:t xml:space="preserve"> od početnih vr</w:t>
      </w:r>
      <w:r w:rsidR="009B493C" w:rsidRPr="00560ED8">
        <w:rPr>
          <w:sz w:val="22"/>
          <w:szCs w:val="22"/>
        </w:rPr>
        <w:t>ij</w:t>
      </w:r>
      <w:r w:rsidRPr="00560ED8">
        <w:rPr>
          <w:sz w:val="22"/>
          <w:szCs w:val="22"/>
        </w:rPr>
        <w:t>ednosti u 52. ned</w:t>
      </w:r>
      <w:r w:rsidR="009B493C" w:rsidRPr="00560ED8">
        <w:rPr>
          <w:sz w:val="22"/>
          <w:szCs w:val="22"/>
        </w:rPr>
        <w:t>j</w:t>
      </w:r>
      <w:r w:rsidRPr="00560ED8">
        <w:rPr>
          <w:sz w:val="22"/>
          <w:szCs w:val="22"/>
        </w:rPr>
        <w:t>elji terapije bio je značajno niži kod pacijenata koji su primali</w:t>
      </w:r>
      <w:r w:rsidRPr="00880E7B">
        <w:rPr>
          <w:sz w:val="22"/>
          <w:szCs w:val="22"/>
        </w:rPr>
        <w:t xml:space="preserve"> </w:t>
      </w:r>
      <w:r w:rsidR="00FE6000" w:rsidRPr="00880E7B">
        <w:rPr>
          <w:sz w:val="22"/>
          <w:szCs w:val="22"/>
        </w:rPr>
        <w:t>lijek</w:t>
      </w:r>
      <w:r w:rsidRPr="00880E7B">
        <w:rPr>
          <w:sz w:val="22"/>
          <w:szCs w:val="22"/>
        </w:rPr>
        <w:t xml:space="preserve">  ESBRIET (N=278) u poređenju sa pacijentima koji su primali placebo (N=277, p&lt;0,000001, rang ANCOVA). Terapija </w:t>
      </w:r>
      <w:r w:rsidR="00FE6000" w:rsidRPr="00880E7B">
        <w:rPr>
          <w:sz w:val="22"/>
          <w:szCs w:val="22"/>
        </w:rPr>
        <w:t>lijek</w:t>
      </w:r>
      <w:r w:rsidRPr="00880E7B">
        <w:rPr>
          <w:sz w:val="22"/>
          <w:szCs w:val="22"/>
        </w:rPr>
        <w:t>om ESBRIET takođe je značajno smanjila pad procenta predviđenog FVC</w:t>
      </w:r>
      <w:r w:rsidR="00560ED8">
        <w:rPr>
          <w:sz w:val="22"/>
          <w:szCs w:val="22"/>
        </w:rPr>
        <w:t>-a</w:t>
      </w:r>
      <w:r w:rsidRPr="00560ED8">
        <w:rPr>
          <w:sz w:val="22"/>
          <w:szCs w:val="22"/>
        </w:rPr>
        <w:t xml:space="preserve"> od početnih vr</w:t>
      </w:r>
      <w:r w:rsidR="009B493C" w:rsidRPr="00560ED8">
        <w:rPr>
          <w:sz w:val="22"/>
          <w:szCs w:val="22"/>
        </w:rPr>
        <w:t>ij</w:t>
      </w:r>
      <w:r w:rsidRPr="00560ED8">
        <w:rPr>
          <w:sz w:val="22"/>
          <w:szCs w:val="22"/>
        </w:rPr>
        <w:t>ednosti u 13. ned</w:t>
      </w:r>
      <w:r w:rsidR="009B493C" w:rsidRPr="00560ED8">
        <w:rPr>
          <w:sz w:val="22"/>
          <w:szCs w:val="22"/>
        </w:rPr>
        <w:t>j</w:t>
      </w:r>
      <w:r w:rsidRPr="00560ED8">
        <w:rPr>
          <w:sz w:val="22"/>
          <w:szCs w:val="22"/>
        </w:rPr>
        <w:t xml:space="preserve">elji (p&lt;0,000001), 26. </w:t>
      </w:r>
      <w:r w:rsidR="009B493C" w:rsidRPr="00E357E9">
        <w:rPr>
          <w:sz w:val="22"/>
          <w:szCs w:val="22"/>
        </w:rPr>
        <w:t>nedjelji</w:t>
      </w:r>
      <w:r w:rsidRPr="00E357E9">
        <w:rPr>
          <w:sz w:val="22"/>
          <w:szCs w:val="22"/>
        </w:rPr>
        <w:t xml:space="preserve"> (p&lt;0,000001) i 39. </w:t>
      </w:r>
      <w:r w:rsidR="009B493C" w:rsidRPr="00E357E9">
        <w:rPr>
          <w:sz w:val="22"/>
          <w:szCs w:val="22"/>
        </w:rPr>
        <w:t>nedjelji</w:t>
      </w:r>
      <w:r w:rsidRPr="00E357E9">
        <w:rPr>
          <w:sz w:val="22"/>
          <w:szCs w:val="22"/>
        </w:rPr>
        <w:t xml:space="preserve"> (p=0,000002). U 52. </w:t>
      </w:r>
      <w:r w:rsidR="009B493C" w:rsidRPr="00E357E9">
        <w:rPr>
          <w:sz w:val="22"/>
          <w:szCs w:val="22"/>
        </w:rPr>
        <w:t>nedjelji</w:t>
      </w:r>
      <w:r w:rsidRPr="00E357E9">
        <w:rPr>
          <w:sz w:val="22"/>
          <w:szCs w:val="22"/>
        </w:rPr>
        <w:t>, pad procenta predviđenog FVC</w:t>
      </w:r>
      <w:r w:rsidR="00E357E9">
        <w:rPr>
          <w:sz w:val="22"/>
          <w:szCs w:val="22"/>
        </w:rPr>
        <w:t>-a</w:t>
      </w:r>
      <w:r w:rsidRPr="00E357E9">
        <w:rPr>
          <w:sz w:val="22"/>
          <w:szCs w:val="22"/>
        </w:rPr>
        <w:t xml:space="preserve"> ≥10% u odnosu na početne </w:t>
      </w:r>
      <w:r w:rsidR="009B493C" w:rsidRPr="00E357E9">
        <w:rPr>
          <w:sz w:val="22"/>
          <w:szCs w:val="22"/>
        </w:rPr>
        <w:t>vrijednosti</w:t>
      </w:r>
      <w:r w:rsidRPr="00E357E9">
        <w:rPr>
          <w:sz w:val="22"/>
          <w:szCs w:val="22"/>
        </w:rPr>
        <w:t xml:space="preserve"> ili smrt prim</w:t>
      </w:r>
      <w:r w:rsidR="00E357E9">
        <w:rPr>
          <w:sz w:val="22"/>
          <w:szCs w:val="22"/>
        </w:rPr>
        <w:t>ij</w:t>
      </w:r>
      <w:r w:rsidRPr="00E357E9">
        <w:rPr>
          <w:sz w:val="22"/>
          <w:szCs w:val="22"/>
        </w:rPr>
        <w:t xml:space="preserve">ećeni su kod 17% pacijenata koji su primali </w:t>
      </w:r>
      <w:r w:rsidR="00FE6000" w:rsidRPr="00E357E9">
        <w:rPr>
          <w:sz w:val="22"/>
          <w:szCs w:val="22"/>
        </w:rPr>
        <w:t>lijek</w:t>
      </w:r>
      <w:r w:rsidRPr="00E357E9">
        <w:rPr>
          <w:sz w:val="22"/>
          <w:szCs w:val="22"/>
        </w:rPr>
        <w:t xml:space="preserve"> ESBRIET, u poređenju sa 32% pacijenata koji su primali placebo (</w:t>
      </w:r>
      <w:r w:rsidR="00E357E9">
        <w:rPr>
          <w:sz w:val="22"/>
          <w:szCs w:val="22"/>
        </w:rPr>
        <w:t>T</w:t>
      </w:r>
      <w:r w:rsidRPr="00E357E9">
        <w:rPr>
          <w:sz w:val="22"/>
          <w:szCs w:val="22"/>
        </w:rPr>
        <w:t>abela 4).</w:t>
      </w:r>
    </w:p>
    <w:p w:rsidR="00780296" w:rsidRPr="00880E7B" w:rsidRDefault="00780296">
      <w:pPr>
        <w:numPr>
          <w:ilvl w:val="12"/>
          <w:numId w:val="0"/>
        </w:numPr>
        <w:spacing w:line="240" w:lineRule="exact"/>
        <w:jc w:val="both"/>
        <w:rPr>
          <w:sz w:val="22"/>
          <w:szCs w:val="22"/>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780296" w:rsidRPr="00880E7B" w:rsidTr="00BD0820">
        <w:trPr>
          <w:jc w:val="center"/>
        </w:trPr>
        <w:tc>
          <w:tcPr>
            <w:tcW w:w="7096" w:type="dxa"/>
            <w:gridSpan w:val="3"/>
            <w:vAlign w:val="bottom"/>
          </w:tcPr>
          <w:p w:rsidR="00780296" w:rsidRPr="00E357E9" w:rsidRDefault="00780296">
            <w:pPr>
              <w:keepNext/>
              <w:keepLines/>
              <w:tabs>
                <w:tab w:val="left" w:pos="64"/>
              </w:tabs>
              <w:jc w:val="both"/>
              <w:rPr>
                <w:b/>
                <w:sz w:val="22"/>
                <w:szCs w:val="22"/>
              </w:rPr>
            </w:pPr>
            <w:r w:rsidRPr="00880E7B">
              <w:rPr>
                <w:b/>
                <w:sz w:val="22"/>
                <w:szCs w:val="22"/>
              </w:rPr>
              <w:t>Tabela 4</w:t>
            </w:r>
            <w:r w:rsidRPr="00880E7B">
              <w:rPr>
                <w:sz w:val="22"/>
                <w:szCs w:val="22"/>
              </w:rPr>
              <w:tab/>
            </w:r>
            <w:r w:rsidRPr="00880E7B">
              <w:rPr>
                <w:b/>
                <w:sz w:val="22"/>
                <w:szCs w:val="22"/>
              </w:rPr>
              <w:t>Kategorijska proc</w:t>
            </w:r>
            <w:r w:rsidR="009B493C" w:rsidRPr="00880E7B">
              <w:rPr>
                <w:b/>
                <w:sz w:val="22"/>
                <w:szCs w:val="22"/>
              </w:rPr>
              <w:t>j</w:t>
            </w:r>
            <w:r w:rsidRPr="00880E7B">
              <w:rPr>
                <w:b/>
                <w:sz w:val="22"/>
                <w:szCs w:val="22"/>
              </w:rPr>
              <w:t>ena prom</w:t>
            </w:r>
            <w:r w:rsidR="009B493C" w:rsidRPr="00880E7B">
              <w:rPr>
                <w:b/>
                <w:sz w:val="22"/>
                <w:szCs w:val="22"/>
              </w:rPr>
              <w:t>j</w:t>
            </w:r>
            <w:r w:rsidRPr="00880E7B">
              <w:rPr>
                <w:b/>
                <w:sz w:val="22"/>
                <w:szCs w:val="22"/>
              </w:rPr>
              <w:t xml:space="preserve">ene, od početnih </w:t>
            </w:r>
            <w:r w:rsidR="009B493C" w:rsidRPr="00880E7B">
              <w:rPr>
                <w:b/>
                <w:sz w:val="22"/>
                <w:szCs w:val="22"/>
              </w:rPr>
              <w:t>vrijednosti</w:t>
            </w:r>
            <w:r w:rsidRPr="00880E7B">
              <w:rPr>
                <w:b/>
                <w:sz w:val="22"/>
                <w:szCs w:val="22"/>
              </w:rPr>
              <w:t xml:space="preserve"> procenta predviđenog FVC</w:t>
            </w:r>
            <w:r w:rsidR="00E357E9">
              <w:rPr>
                <w:b/>
                <w:sz w:val="22"/>
                <w:szCs w:val="22"/>
              </w:rPr>
              <w:t>-a</w:t>
            </w:r>
            <w:r w:rsidRPr="00E357E9">
              <w:rPr>
                <w:b/>
                <w:sz w:val="22"/>
                <w:szCs w:val="22"/>
              </w:rPr>
              <w:t xml:space="preserve"> u 52. </w:t>
            </w:r>
            <w:r w:rsidR="009B493C" w:rsidRPr="00E357E9">
              <w:rPr>
                <w:b/>
                <w:sz w:val="22"/>
                <w:szCs w:val="22"/>
              </w:rPr>
              <w:t>nedjelji</w:t>
            </w:r>
            <w:r w:rsidRPr="00E357E9">
              <w:rPr>
                <w:b/>
                <w:sz w:val="22"/>
                <w:szCs w:val="22"/>
              </w:rPr>
              <w:t xml:space="preserve"> terapije u studiji PIPF-016</w:t>
            </w:r>
          </w:p>
        </w:tc>
      </w:tr>
      <w:tr w:rsidR="00780296" w:rsidRPr="00880E7B" w:rsidTr="00BD0820">
        <w:trPr>
          <w:jc w:val="center"/>
        </w:trPr>
        <w:tc>
          <w:tcPr>
            <w:tcW w:w="4186" w:type="dxa"/>
            <w:vAlign w:val="bottom"/>
          </w:tcPr>
          <w:p w:rsidR="00780296" w:rsidRPr="00DC7E27" w:rsidRDefault="00780296" w:rsidP="00880E7B">
            <w:pPr>
              <w:keepNext/>
              <w:keepLines/>
              <w:spacing w:before="20" w:after="20" w:line="220" w:lineRule="exact"/>
              <w:jc w:val="both"/>
              <w:rPr>
                <w:b/>
                <w:bCs/>
                <w:sz w:val="22"/>
                <w:szCs w:val="22"/>
              </w:rPr>
            </w:pPr>
          </w:p>
        </w:tc>
        <w:tc>
          <w:tcPr>
            <w:tcW w:w="1579" w:type="dxa"/>
            <w:vAlign w:val="bottom"/>
          </w:tcPr>
          <w:p w:rsidR="00780296" w:rsidRPr="00E2025F" w:rsidRDefault="00780296" w:rsidP="00DC7E27">
            <w:pPr>
              <w:keepNext/>
              <w:keepLines/>
              <w:spacing w:before="20" w:after="20" w:line="220" w:lineRule="exact"/>
              <w:jc w:val="center"/>
              <w:rPr>
                <w:b/>
                <w:sz w:val="22"/>
                <w:szCs w:val="22"/>
              </w:rPr>
            </w:pPr>
            <w:r w:rsidRPr="00880E7B">
              <w:rPr>
                <w:b/>
                <w:sz w:val="22"/>
                <w:szCs w:val="22"/>
              </w:rPr>
              <w:t xml:space="preserve">Pirfenidon </w:t>
            </w:r>
            <w:r w:rsidRPr="00880E7B">
              <w:rPr>
                <w:b/>
                <w:sz w:val="22"/>
                <w:szCs w:val="22"/>
              </w:rPr>
              <w:br/>
            </w:r>
            <w:r w:rsidRPr="00E2025F">
              <w:rPr>
                <w:b/>
                <w:sz w:val="22"/>
                <w:szCs w:val="22"/>
              </w:rPr>
              <w:t>2403 mg dnevno</w:t>
            </w:r>
            <w:r w:rsidRPr="00E2025F">
              <w:rPr>
                <w:b/>
                <w:sz w:val="22"/>
                <w:szCs w:val="22"/>
              </w:rPr>
              <w:br/>
              <w:t>(N = 278)</w:t>
            </w:r>
          </w:p>
        </w:tc>
        <w:tc>
          <w:tcPr>
            <w:tcW w:w="1331" w:type="dxa"/>
            <w:vAlign w:val="bottom"/>
          </w:tcPr>
          <w:p w:rsidR="00780296" w:rsidRPr="00E357E9" w:rsidRDefault="00780296" w:rsidP="00DC7E27">
            <w:pPr>
              <w:keepNext/>
              <w:keepLines/>
              <w:spacing w:before="20" w:after="20" w:line="220" w:lineRule="exact"/>
              <w:jc w:val="center"/>
              <w:rPr>
                <w:b/>
                <w:sz w:val="22"/>
                <w:szCs w:val="22"/>
              </w:rPr>
            </w:pPr>
            <w:r w:rsidRPr="00E357E9">
              <w:rPr>
                <w:b/>
                <w:sz w:val="22"/>
                <w:szCs w:val="22"/>
              </w:rPr>
              <w:t>Placebo</w:t>
            </w:r>
            <w:r w:rsidRPr="00E357E9">
              <w:rPr>
                <w:b/>
                <w:sz w:val="22"/>
                <w:szCs w:val="22"/>
              </w:rPr>
              <w:br/>
              <w:t>(N = 277)</w:t>
            </w:r>
          </w:p>
        </w:tc>
      </w:tr>
      <w:tr w:rsidR="00780296" w:rsidRPr="00880E7B" w:rsidTr="00BD0820">
        <w:trPr>
          <w:jc w:val="center"/>
        </w:trPr>
        <w:tc>
          <w:tcPr>
            <w:tcW w:w="4186" w:type="dxa"/>
          </w:tcPr>
          <w:p w:rsidR="00780296" w:rsidRPr="00880E7B" w:rsidRDefault="00780296" w:rsidP="00880E7B">
            <w:pPr>
              <w:keepNext/>
              <w:keepLines/>
              <w:spacing w:before="20" w:after="20" w:line="220" w:lineRule="exact"/>
              <w:jc w:val="both"/>
              <w:rPr>
                <w:sz w:val="22"/>
                <w:szCs w:val="22"/>
              </w:rPr>
            </w:pPr>
            <w:r w:rsidRPr="00880E7B">
              <w:rPr>
                <w:sz w:val="22"/>
                <w:szCs w:val="22"/>
              </w:rPr>
              <w:t>Pad ≥10% ili smrt</w:t>
            </w:r>
          </w:p>
        </w:tc>
        <w:tc>
          <w:tcPr>
            <w:tcW w:w="1579" w:type="dxa"/>
          </w:tcPr>
          <w:p w:rsidR="00780296" w:rsidRPr="00E2025F" w:rsidRDefault="00780296" w:rsidP="00DC7E27">
            <w:pPr>
              <w:keepNext/>
              <w:keepLines/>
              <w:spacing w:before="20" w:after="20" w:line="220" w:lineRule="exact"/>
              <w:jc w:val="center"/>
              <w:rPr>
                <w:bCs/>
                <w:sz w:val="22"/>
                <w:szCs w:val="22"/>
              </w:rPr>
            </w:pPr>
            <w:r w:rsidRPr="00E2025F">
              <w:rPr>
                <w:sz w:val="22"/>
                <w:szCs w:val="22"/>
              </w:rPr>
              <w:t>46 (17%)</w:t>
            </w:r>
          </w:p>
        </w:tc>
        <w:tc>
          <w:tcPr>
            <w:tcW w:w="1331" w:type="dxa"/>
          </w:tcPr>
          <w:p w:rsidR="00780296" w:rsidRPr="00E357E9" w:rsidRDefault="00780296" w:rsidP="00DC7E27">
            <w:pPr>
              <w:keepNext/>
              <w:keepLines/>
              <w:spacing w:before="20" w:after="20" w:line="220" w:lineRule="exact"/>
              <w:jc w:val="center"/>
              <w:rPr>
                <w:bCs/>
                <w:sz w:val="22"/>
                <w:szCs w:val="22"/>
              </w:rPr>
            </w:pPr>
            <w:r w:rsidRPr="00E357E9">
              <w:rPr>
                <w:sz w:val="22"/>
                <w:szCs w:val="22"/>
              </w:rPr>
              <w:t>88 (32%)</w:t>
            </w:r>
          </w:p>
        </w:tc>
      </w:tr>
      <w:tr w:rsidR="00780296" w:rsidRPr="00880E7B" w:rsidTr="00BD0820">
        <w:trPr>
          <w:jc w:val="center"/>
        </w:trPr>
        <w:tc>
          <w:tcPr>
            <w:tcW w:w="4186" w:type="dxa"/>
          </w:tcPr>
          <w:p w:rsidR="00780296" w:rsidRPr="00880E7B" w:rsidRDefault="00780296" w:rsidP="00880E7B">
            <w:pPr>
              <w:keepNext/>
              <w:keepLines/>
              <w:spacing w:before="20" w:after="20" w:line="220" w:lineRule="exact"/>
              <w:jc w:val="both"/>
              <w:rPr>
                <w:sz w:val="22"/>
                <w:szCs w:val="22"/>
              </w:rPr>
            </w:pPr>
            <w:r w:rsidRPr="00880E7B">
              <w:rPr>
                <w:sz w:val="22"/>
                <w:szCs w:val="22"/>
              </w:rPr>
              <w:t>Pad manji od 10%</w:t>
            </w:r>
          </w:p>
        </w:tc>
        <w:tc>
          <w:tcPr>
            <w:tcW w:w="1579" w:type="dxa"/>
          </w:tcPr>
          <w:p w:rsidR="00780296" w:rsidRPr="00D93357" w:rsidRDefault="00780296" w:rsidP="00DC7E27">
            <w:pPr>
              <w:keepNext/>
              <w:keepLines/>
              <w:spacing w:before="20" w:after="20" w:line="220" w:lineRule="exact"/>
              <w:jc w:val="center"/>
              <w:rPr>
                <w:bCs/>
                <w:sz w:val="22"/>
                <w:szCs w:val="22"/>
              </w:rPr>
            </w:pPr>
            <w:r w:rsidRPr="00E2025F">
              <w:rPr>
                <w:sz w:val="22"/>
                <w:szCs w:val="22"/>
              </w:rPr>
              <w:t>169 (61%)</w:t>
            </w:r>
          </w:p>
        </w:tc>
        <w:tc>
          <w:tcPr>
            <w:tcW w:w="1331" w:type="dxa"/>
          </w:tcPr>
          <w:p w:rsidR="00780296" w:rsidRPr="00E357E9" w:rsidRDefault="00780296" w:rsidP="00DC7E27">
            <w:pPr>
              <w:keepNext/>
              <w:keepLines/>
              <w:spacing w:before="20" w:after="20" w:line="220" w:lineRule="exact"/>
              <w:jc w:val="center"/>
              <w:rPr>
                <w:bCs/>
                <w:sz w:val="22"/>
                <w:szCs w:val="22"/>
              </w:rPr>
            </w:pPr>
            <w:r w:rsidRPr="00E357E9">
              <w:rPr>
                <w:sz w:val="22"/>
                <w:szCs w:val="22"/>
              </w:rPr>
              <w:t>162 (58%)</w:t>
            </w:r>
          </w:p>
        </w:tc>
      </w:tr>
      <w:tr w:rsidR="00780296" w:rsidRPr="00880E7B" w:rsidTr="00BD0820">
        <w:trPr>
          <w:jc w:val="center"/>
        </w:trPr>
        <w:tc>
          <w:tcPr>
            <w:tcW w:w="4186" w:type="dxa"/>
          </w:tcPr>
          <w:p w:rsidR="00780296" w:rsidRPr="00E2025F" w:rsidRDefault="00780296" w:rsidP="00880E7B">
            <w:pPr>
              <w:keepNext/>
              <w:keepLines/>
              <w:spacing w:before="20" w:after="20" w:line="220" w:lineRule="exact"/>
              <w:jc w:val="both"/>
              <w:rPr>
                <w:sz w:val="22"/>
                <w:szCs w:val="22"/>
              </w:rPr>
            </w:pPr>
            <w:r w:rsidRPr="00880E7B">
              <w:rPr>
                <w:sz w:val="22"/>
                <w:szCs w:val="22"/>
              </w:rPr>
              <w:t>Bez pada (prom</w:t>
            </w:r>
            <w:r w:rsidR="005D0061" w:rsidRPr="00880E7B">
              <w:rPr>
                <w:sz w:val="22"/>
                <w:szCs w:val="22"/>
              </w:rPr>
              <w:t>j</w:t>
            </w:r>
            <w:r w:rsidRPr="00880E7B">
              <w:rPr>
                <w:sz w:val="22"/>
                <w:szCs w:val="22"/>
              </w:rPr>
              <w:t>ena FVC &gt;0%)</w:t>
            </w:r>
          </w:p>
        </w:tc>
        <w:tc>
          <w:tcPr>
            <w:tcW w:w="1579" w:type="dxa"/>
          </w:tcPr>
          <w:p w:rsidR="00780296" w:rsidRPr="00E357E9" w:rsidRDefault="00780296" w:rsidP="00DC7E27">
            <w:pPr>
              <w:keepNext/>
              <w:keepLines/>
              <w:spacing w:before="20" w:after="20" w:line="220" w:lineRule="exact"/>
              <w:jc w:val="center"/>
              <w:rPr>
                <w:sz w:val="22"/>
                <w:szCs w:val="22"/>
              </w:rPr>
            </w:pPr>
            <w:r w:rsidRPr="00E357E9">
              <w:rPr>
                <w:sz w:val="22"/>
                <w:szCs w:val="22"/>
              </w:rPr>
              <w:t>63 (23%)</w:t>
            </w:r>
          </w:p>
        </w:tc>
        <w:tc>
          <w:tcPr>
            <w:tcW w:w="1331" w:type="dxa"/>
          </w:tcPr>
          <w:p w:rsidR="00780296" w:rsidRPr="00880E7B" w:rsidRDefault="00780296" w:rsidP="00DC7E27">
            <w:pPr>
              <w:keepNext/>
              <w:keepLines/>
              <w:spacing w:before="20" w:after="20" w:line="220" w:lineRule="exact"/>
              <w:jc w:val="center"/>
              <w:rPr>
                <w:sz w:val="22"/>
                <w:szCs w:val="22"/>
              </w:rPr>
            </w:pPr>
            <w:r w:rsidRPr="00880E7B">
              <w:rPr>
                <w:sz w:val="22"/>
                <w:szCs w:val="22"/>
              </w:rPr>
              <w:t>27 (10%)</w:t>
            </w:r>
          </w:p>
        </w:tc>
      </w:tr>
    </w:tbl>
    <w:p w:rsidR="00780296" w:rsidRPr="00880E7B" w:rsidRDefault="00780296" w:rsidP="00880E7B">
      <w:pPr>
        <w:numPr>
          <w:ilvl w:val="12"/>
          <w:numId w:val="0"/>
        </w:numPr>
        <w:spacing w:line="240" w:lineRule="exact"/>
        <w:jc w:val="both"/>
        <w:rPr>
          <w:sz w:val="22"/>
          <w:szCs w:val="22"/>
        </w:rPr>
      </w:pPr>
    </w:p>
    <w:p w:rsidR="00780296" w:rsidRPr="00E357E9" w:rsidRDefault="00780296" w:rsidP="00880E7B">
      <w:pPr>
        <w:numPr>
          <w:ilvl w:val="12"/>
          <w:numId w:val="0"/>
        </w:numPr>
        <w:spacing w:line="240" w:lineRule="exact"/>
        <w:jc w:val="both"/>
        <w:rPr>
          <w:sz w:val="22"/>
          <w:szCs w:val="22"/>
        </w:rPr>
      </w:pPr>
      <w:r w:rsidRPr="00E2025F">
        <w:rPr>
          <w:sz w:val="22"/>
          <w:szCs w:val="22"/>
        </w:rPr>
        <w:t xml:space="preserve">Pad pređene udaljenosti tokom 6MWT testa, od polaznih </w:t>
      </w:r>
      <w:r w:rsidR="009B493C" w:rsidRPr="00E2025F">
        <w:rPr>
          <w:sz w:val="22"/>
          <w:szCs w:val="22"/>
        </w:rPr>
        <w:t>vrijednosti</w:t>
      </w:r>
      <w:r w:rsidRPr="00D93357">
        <w:rPr>
          <w:sz w:val="22"/>
          <w:szCs w:val="22"/>
        </w:rPr>
        <w:t xml:space="preserve"> do </w:t>
      </w:r>
      <w:r w:rsidR="009B493C" w:rsidRPr="00D93357">
        <w:rPr>
          <w:sz w:val="22"/>
          <w:szCs w:val="22"/>
        </w:rPr>
        <w:t>vrijednosti</w:t>
      </w:r>
      <w:r w:rsidRPr="00C857FD">
        <w:rPr>
          <w:sz w:val="22"/>
          <w:szCs w:val="22"/>
        </w:rPr>
        <w:t xml:space="preserve"> izm</w:t>
      </w:r>
      <w:r w:rsidR="009B493C" w:rsidRPr="00C857FD">
        <w:rPr>
          <w:sz w:val="22"/>
          <w:szCs w:val="22"/>
        </w:rPr>
        <w:t>j</w:t>
      </w:r>
      <w:r w:rsidRPr="00C857FD">
        <w:rPr>
          <w:sz w:val="22"/>
          <w:szCs w:val="22"/>
        </w:rPr>
        <w:t xml:space="preserve">erenih u 52. </w:t>
      </w:r>
      <w:r w:rsidR="009B493C" w:rsidRPr="00880E7B">
        <w:rPr>
          <w:sz w:val="22"/>
          <w:szCs w:val="22"/>
        </w:rPr>
        <w:t>nedjelji</w:t>
      </w:r>
      <w:r w:rsidRPr="00880E7B">
        <w:rPr>
          <w:sz w:val="22"/>
          <w:szCs w:val="22"/>
        </w:rPr>
        <w:t xml:space="preserve">, bio je značajno niži kod pacijenata koji su primali </w:t>
      </w:r>
      <w:r w:rsidR="00FE6000" w:rsidRPr="00880E7B">
        <w:rPr>
          <w:sz w:val="22"/>
          <w:szCs w:val="22"/>
        </w:rPr>
        <w:t>lijek</w:t>
      </w:r>
      <w:r w:rsidRPr="00880E7B">
        <w:rPr>
          <w:sz w:val="22"/>
          <w:szCs w:val="22"/>
        </w:rPr>
        <w:t xml:space="preserve"> ESBRIET tokom studije PIPF-016 u poređenju sa pacijentima koji su primali placebo (p=0,036; rang ANCOVA); kod 26% pacijenata koji su primali </w:t>
      </w:r>
      <w:r w:rsidR="00FE6000" w:rsidRPr="00880E7B">
        <w:rPr>
          <w:sz w:val="22"/>
          <w:szCs w:val="22"/>
        </w:rPr>
        <w:t>lijek</w:t>
      </w:r>
      <w:r w:rsidRPr="00880E7B">
        <w:rPr>
          <w:sz w:val="22"/>
          <w:szCs w:val="22"/>
        </w:rPr>
        <w:t xml:space="preserve"> ESBRIET utvrđen je pad udaljenosti ≥</w:t>
      </w:r>
      <w:r w:rsidR="00E357E9">
        <w:rPr>
          <w:sz w:val="22"/>
          <w:szCs w:val="22"/>
        </w:rPr>
        <w:t xml:space="preserve"> </w:t>
      </w:r>
      <w:r w:rsidRPr="00E357E9">
        <w:rPr>
          <w:sz w:val="22"/>
          <w:szCs w:val="22"/>
        </w:rPr>
        <w:t>50 m tokom 6MWT testa, u poređenju sa 36% pacijenata koji su primali placebo.</w:t>
      </w:r>
    </w:p>
    <w:p w:rsidR="00780296" w:rsidRPr="00880E7B" w:rsidRDefault="00780296" w:rsidP="00880E7B">
      <w:pPr>
        <w:numPr>
          <w:ilvl w:val="12"/>
          <w:numId w:val="0"/>
        </w:numPr>
        <w:spacing w:line="240" w:lineRule="exact"/>
        <w:jc w:val="both"/>
        <w:rPr>
          <w:sz w:val="22"/>
          <w:szCs w:val="22"/>
        </w:rPr>
      </w:pPr>
    </w:p>
    <w:p w:rsidR="00780296" w:rsidRPr="00880E7B" w:rsidRDefault="00780296" w:rsidP="00E2025F">
      <w:pPr>
        <w:numPr>
          <w:ilvl w:val="12"/>
          <w:numId w:val="0"/>
        </w:numPr>
        <w:spacing w:line="240" w:lineRule="exact"/>
        <w:jc w:val="both"/>
        <w:rPr>
          <w:sz w:val="22"/>
          <w:szCs w:val="22"/>
        </w:rPr>
      </w:pPr>
      <w:r w:rsidRPr="00880E7B">
        <w:rPr>
          <w:sz w:val="22"/>
          <w:szCs w:val="22"/>
        </w:rPr>
        <w:lastRenderedPageBreak/>
        <w:t>U prethodno određenoj zbirnoj analizi studija PIPF-016, PIPF-004 i PIPF-006 u 12. m</w:t>
      </w:r>
      <w:r w:rsidR="009B493C" w:rsidRPr="00880E7B">
        <w:rPr>
          <w:sz w:val="22"/>
          <w:szCs w:val="22"/>
        </w:rPr>
        <w:t>j</w:t>
      </w:r>
      <w:r w:rsidRPr="00880E7B">
        <w:rPr>
          <w:sz w:val="22"/>
          <w:szCs w:val="22"/>
        </w:rPr>
        <w:t xml:space="preserve">esecu, stopa mortaliteta bilo kog uzroka u grupi koja je primala 2403 mg </w:t>
      </w:r>
      <w:r w:rsidR="00FE6000" w:rsidRPr="00880E7B">
        <w:rPr>
          <w:sz w:val="22"/>
          <w:szCs w:val="22"/>
        </w:rPr>
        <w:t>lijek</w:t>
      </w:r>
      <w:r w:rsidRPr="00880E7B">
        <w:rPr>
          <w:sz w:val="22"/>
          <w:szCs w:val="22"/>
        </w:rPr>
        <w:t>a ESBRIET</w:t>
      </w:r>
      <w:r w:rsidRPr="00880E7B">
        <w:rPr>
          <w:b/>
          <w:sz w:val="22"/>
          <w:szCs w:val="22"/>
        </w:rPr>
        <w:t xml:space="preserve"> </w:t>
      </w:r>
      <w:r w:rsidRPr="00880E7B">
        <w:rPr>
          <w:sz w:val="22"/>
          <w:szCs w:val="22"/>
        </w:rPr>
        <w:t>dnevno bila je značajno niža (3,5%, 22 od 623 pacijenta) u poređenju sa placebom (6,7%, 42 od 624 pacijenata), što je rezultiralo smanjenjem od 48% rizika od mortaliteta bilo kog uzroka u prvih 12 m</w:t>
      </w:r>
      <w:r w:rsidR="00045D87" w:rsidRPr="00880E7B">
        <w:rPr>
          <w:sz w:val="22"/>
          <w:szCs w:val="22"/>
        </w:rPr>
        <w:t>j</w:t>
      </w:r>
      <w:r w:rsidRPr="00880E7B">
        <w:rPr>
          <w:sz w:val="22"/>
          <w:szCs w:val="22"/>
        </w:rPr>
        <w:t xml:space="preserve">eseci (HR 0,52 [95% CI; 0,31–0,87], p=0,0107; log-rang test). </w:t>
      </w:r>
    </w:p>
    <w:p w:rsidR="00780296" w:rsidRPr="00880E7B" w:rsidRDefault="00780296">
      <w:pPr>
        <w:numPr>
          <w:ilvl w:val="12"/>
          <w:numId w:val="0"/>
        </w:numPr>
        <w:spacing w:line="240" w:lineRule="exact"/>
        <w:jc w:val="both"/>
        <w:rPr>
          <w:sz w:val="22"/>
          <w:szCs w:val="22"/>
        </w:rPr>
      </w:pPr>
    </w:p>
    <w:p w:rsidR="00780296" w:rsidRPr="00E357E9" w:rsidRDefault="00780296">
      <w:pPr>
        <w:autoSpaceDE w:val="0"/>
        <w:autoSpaceDN w:val="0"/>
        <w:adjustRightInd w:val="0"/>
        <w:spacing w:line="240" w:lineRule="exact"/>
        <w:jc w:val="both"/>
        <w:rPr>
          <w:sz w:val="22"/>
          <w:szCs w:val="22"/>
        </w:rPr>
      </w:pPr>
      <w:r w:rsidRPr="00880E7B">
        <w:rPr>
          <w:sz w:val="22"/>
          <w:szCs w:val="22"/>
        </w:rPr>
        <w:t>Studija (SP3) na japanskim pacijentima poredila je pirfenidon od 1800 mg dnevno (što je uporedivo sa 2403 mg dnevno u evropskoj populaciji i populaciji SAD u PIPF-004/006 s obzirom na t</w:t>
      </w:r>
      <w:r w:rsidR="00045D87" w:rsidRPr="00880E7B">
        <w:rPr>
          <w:sz w:val="22"/>
          <w:szCs w:val="22"/>
        </w:rPr>
        <w:t>j</w:t>
      </w:r>
      <w:r w:rsidRPr="00880E7B">
        <w:rPr>
          <w:sz w:val="22"/>
          <w:szCs w:val="22"/>
        </w:rPr>
        <w:t>elesnu masu ispitanika) sa placebom (N=110, odnosno N=109). Terapija pirfenidonom značajno je smanjila srednju vr</w:t>
      </w:r>
      <w:r w:rsidR="009B493C" w:rsidRPr="00880E7B">
        <w:rPr>
          <w:sz w:val="22"/>
          <w:szCs w:val="22"/>
        </w:rPr>
        <w:t>ij</w:t>
      </w:r>
      <w:r w:rsidRPr="00880E7B">
        <w:rPr>
          <w:sz w:val="22"/>
          <w:szCs w:val="22"/>
        </w:rPr>
        <w:t xml:space="preserve">ednost pada vitalnog kapaciteta (VC) u 52. </w:t>
      </w:r>
      <w:r w:rsidR="009B493C" w:rsidRPr="00880E7B">
        <w:rPr>
          <w:sz w:val="22"/>
          <w:szCs w:val="22"/>
        </w:rPr>
        <w:t>nedjelji</w:t>
      </w:r>
      <w:r w:rsidRPr="00880E7B">
        <w:rPr>
          <w:sz w:val="22"/>
          <w:szCs w:val="22"/>
        </w:rPr>
        <w:t xml:space="preserve"> (primarni parametar praćenja) u poređenju sa placebom (</w:t>
      </w:r>
      <w:r w:rsidRPr="00880E7B">
        <w:rPr>
          <w:sz w:val="22"/>
          <w:szCs w:val="22"/>
        </w:rPr>
        <w:noBreakHyphen/>
        <w:t>0,09</w:t>
      </w:r>
      <w:r w:rsidR="00E357E9">
        <w:rPr>
          <w:sz w:val="22"/>
          <w:szCs w:val="22"/>
        </w:rPr>
        <w:t xml:space="preserve"> </w:t>
      </w:r>
      <w:r w:rsidRPr="00E357E9">
        <w:rPr>
          <w:sz w:val="22"/>
          <w:szCs w:val="22"/>
        </w:rPr>
        <w:t>±</w:t>
      </w:r>
      <w:r w:rsidR="00E357E9">
        <w:rPr>
          <w:sz w:val="22"/>
          <w:szCs w:val="22"/>
        </w:rPr>
        <w:t xml:space="preserve"> </w:t>
      </w:r>
      <w:r w:rsidRPr="00E357E9">
        <w:rPr>
          <w:sz w:val="22"/>
          <w:szCs w:val="22"/>
        </w:rPr>
        <w:t xml:space="preserve">0,02 L prema </w:t>
      </w:r>
      <w:r w:rsidRPr="00E357E9">
        <w:rPr>
          <w:sz w:val="22"/>
          <w:szCs w:val="22"/>
        </w:rPr>
        <w:noBreakHyphen/>
        <w:t>0,16</w:t>
      </w:r>
      <w:r w:rsidR="00E357E9">
        <w:rPr>
          <w:sz w:val="22"/>
          <w:szCs w:val="22"/>
        </w:rPr>
        <w:t xml:space="preserve"> </w:t>
      </w:r>
      <w:r w:rsidRPr="00E357E9">
        <w:rPr>
          <w:sz w:val="22"/>
          <w:szCs w:val="22"/>
        </w:rPr>
        <w:t>±</w:t>
      </w:r>
      <w:r w:rsidR="00E357E9">
        <w:rPr>
          <w:sz w:val="22"/>
          <w:szCs w:val="22"/>
        </w:rPr>
        <w:t xml:space="preserve"> </w:t>
      </w:r>
      <w:r w:rsidRPr="00E357E9">
        <w:rPr>
          <w:sz w:val="22"/>
          <w:szCs w:val="22"/>
        </w:rPr>
        <w:t>0,02 L, p=0,042)</w:t>
      </w:r>
    </w:p>
    <w:p w:rsidR="00780296" w:rsidRPr="00880E7B" w:rsidRDefault="00780296">
      <w:pPr>
        <w:autoSpaceDE w:val="0"/>
        <w:autoSpaceDN w:val="0"/>
        <w:adjustRightInd w:val="0"/>
        <w:spacing w:line="240" w:lineRule="exact"/>
        <w:jc w:val="both"/>
        <w:rPr>
          <w:sz w:val="22"/>
          <w:szCs w:val="22"/>
        </w:rPr>
      </w:pPr>
    </w:p>
    <w:p w:rsidR="00714420" w:rsidRPr="008415ED" w:rsidRDefault="00714420" w:rsidP="00714420">
      <w:pPr>
        <w:keepNext/>
        <w:keepLines/>
        <w:autoSpaceDE w:val="0"/>
        <w:autoSpaceDN w:val="0"/>
        <w:adjustRightInd w:val="0"/>
        <w:spacing w:line="240" w:lineRule="exact"/>
        <w:jc w:val="both"/>
        <w:rPr>
          <w:i/>
          <w:sz w:val="22"/>
          <w:szCs w:val="22"/>
          <w:u w:val="single"/>
        </w:rPr>
      </w:pPr>
      <w:r w:rsidRPr="008415ED">
        <w:rPr>
          <w:i/>
          <w:sz w:val="22"/>
          <w:szCs w:val="22"/>
          <w:u w:val="single"/>
        </w:rPr>
        <w:t>Pacijenti sa IPF-om sa uznapredovalim oštećenjem plućne funkcije</w:t>
      </w:r>
    </w:p>
    <w:p w:rsidR="00714420" w:rsidRPr="00714420" w:rsidRDefault="00714420" w:rsidP="00714420">
      <w:pPr>
        <w:keepNext/>
        <w:keepLines/>
        <w:autoSpaceDE w:val="0"/>
        <w:autoSpaceDN w:val="0"/>
        <w:adjustRightInd w:val="0"/>
        <w:spacing w:line="240" w:lineRule="exact"/>
        <w:jc w:val="both"/>
        <w:rPr>
          <w:sz w:val="22"/>
          <w:szCs w:val="22"/>
          <w:u w:val="single"/>
        </w:rPr>
      </w:pPr>
    </w:p>
    <w:p w:rsidR="00714420" w:rsidRPr="008415ED" w:rsidRDefault="00714420" w:rsidP="00714420">
      <w:pPr>
        <w:keepNext/>
        <w:keepLines/>
        <w:autoSpaceDE w:val="0"/>
        <w:autoSpaceDN w:val="0"/>
        <w:adjustRightInd w:val="0"/>
        <w:spacing w:line="240" w:lineRule="exact"/>
        <w:jc w:val="both"/>
        <w:rPr>
          <w:sz w:val="22"/>
          <w:szCs w:val="22"/>
        </w:rPr>
      </w:pPr>
      <w:r w:rsidRPr="008415ED">
        <w:rPr>
          <w:sz w:val="22"/>
          <w:szCs w:val="22"/>
        </w:rPr>
        <w:t>U post hoc analizama objedinjenih podataka iz ispitivanja PIPF 004, PIPF 006 i PIPF 016, u populaciji pacijenata sa uznapredova</w:t>
      </w:r>
      <w:r w:rsidRPr="00714420">
        <w:rPr>
          <w:sz w:val="22"/>
          <w:szCs w:val="22"/>
        </w:rPr>
        <w:t>lim IPF-</w:t>
      </w:r>
      <w:r w:rsidRPr="008415ED">
        <w:rPr>
          <w:sz w:val="22"/>
          <w:szCs w:val="22"/>
        </w:rPr>
        <w:t>om (n = 170) koji su na početku ispitivanja imali FVC &lt; 50% i/ili DLCO &lt; 35%, godišnji pad FVC a kod pacijenata l</w:t>
      </w:r>
      <w:r>
        <w:rPr>
          <w:sz w:val="22"/>
          <w:szCs w:val="22"/>
        </w:rPr>
        <w:t>ij</w:t>
      </w:r>
      <w:r w:rsidRPr="008415ED">
        <w:rPr>
          <w:sz w:val="22"/>
          <w:szCs w:val="22"/>
        </w:rPr>
        <w:t>ečenih l</w:t>
      </w:r>
      <w:r>
        <w:rPr>
          <w:sz w:val="22"/>
          <w:szCs w:val="22"/>
        </w:rPr>
        <w:t>ij</w:t>
      </w:r>
      <w:r w:rsidRPr="00714420">
        <w:rPr>
          <w:sz w:val="22"/>
          <w:szCs w:val="22"/>
        </w:rPr>
        <w:t xml:space="preserve">ekom Esbriet (n=90) iznosio je </w:t>
      </w:r>
      <w:r w:rsidRPr="008415ED">
        <w:rPr>
          <w:sz w:val="22"/>
          <w:szCs w:val="22"/>
        </w:rPr>
        <w:t>150,9 m</w:t>
      </w:r>
      <w:r>
        <w:rPr>
          <w:sz w:val="22"/>
          <w:szCs w:val="22"/>
        </w:rPr>
        <w:t>l</w:t>
      </w:r>
      <w:r w:rsidRPr="008415ED">
        <w:rPr>
          <w:sz w:val="22"/>
          <w:szCs w:val="22"/>
        </w:rPr>
        <w:t xml:space="preserve"> u odnosu na  277,6 m</w:t>
      </w:r>
      <w:r>
        <w:rPr>
          <w:sz w:val="22"/>
          <w:szCs w:val="22"/>
        </w:rPr>
        <w:t>l</w:t>
      </w:r>
      <w:r w:rsidRPr="008415ED">
        <w:rPr>
          <w:sz w:val="22"/>
          <w:szCs w:val="22"/>
        </w:rPr>
        <w:t xml:space="preserve"> kod pacijenata koji su primali placebo (n=80).</w:t>
      </w:r>
    </w:p>
    <w:p w:rsidR="00714420" w:rsidRPr="008415ED" w:rsidRDefault="00714420" w:rsidP="00714420">
      <w:pPr>
        <w:keepNext/>
        <w:keepLines/>
        <w:autoSpaceDE w:val="0"/>
        <w:autoSpaceDN w:val="0"/>
        <w:adjustRightInd w:val="0"/>
        <w:spacing w:line="240" w:lineRule="exact"/>
        <w:jc w:val="both"/>
        <w:rPr>
          <w:sz w:val="22"/>
          <w:szCs w:val="22"/>
        </w:rPr>
      </w:pPr>
    </w:p>
    <w:p w:rsidR="00714420" w:rsidRPr="008415ED" w:rsidRDefault="00714420" w:rsidP="00714420">
      <w:pPr>
        <w:keepNext/>
        <w:keepLines/>
        <w:autoSpaceDE w:val="0"/>
        <w:autoSpaceDN w:val="0"/>
        <w:adjustRightInd w:val="0"/>
        <w:spacing w:line="240" w:lineRule="exact"/>
        <w:jc w:val="both"/>
        <w:rPr>
          <w:sz w:val="22"/>
          <w:szCs w:val="22"/>
        </w:rPr>
      </w:pPr>
      <w:r w:rsidRPr="008415ED">
        <w:rPr>
          <w:sz w:val="22"/>
          <w:szCs w:val="22"/>
        </w:rPr>
        <w:t>U ispitivanju MA29957, potpornom, 52 ned</w:t>
      </w:r>
      <w:r>
        <w:rPr>
          <w:sz w:val="22"/>
          <w:szCs w:val="22"/>
        </w:rPr>
        <w:t>j</w:t>
      </w:r>
      <w:r w:rsidRPr="008415ED">
        <w:rPr>
          <w:sz w:val="22"/>
          <w:szCs w:val="22"/>
        </w:rPr>
        <w:t>eljnom, multicentričnom, randomizovanom, dvostruko sl</w:t>
      </w:r>
      <w:r w:rsidR="00944601">
        <w:rPr>
          <w:sz w:val="22"/>
          <w:szCs w:val="22"/>
        </w:rPr>
        <w:t>ij</w:t>
      </w:r>
      <w:r w:rsidRPr="008415ED">
        <w:rPr>
          <w:sz w:val="22"/>
          <w:szCs w:val="22"/>
        </w:rPr>
        <w:t>epom, placebom kontrolisanom kliničkom ispitivanju faze IIb sp</w:t>
      </w:r>
      <w:r w:rsidRPr="00714420">
        <w:rPr>
          <w:sz w:val="22"/>
          <w:szCs w:val="22"/>
        </w:rPr>
        <w:t>rovedenom kod pacijenata sa IPF</w:t>
      </w:r>
      <w:r>
        <w:rPr>
          <w:sz w:val="22"/>
          <w:szCs w:val="22"/>
        </w:rPr>
        <w:t>-</w:t>
      </w:r>
      <w:r w:rsidRPr="008415ED">
        <w:rPr>
          <w:sz w:val="22"/>
          <w:szCs w:val="22"/>
        </w:rPr>
        <w:t>om i uznapredovalim oštećenjem plućne funkcije (DLCO &lt; 40% predviđene vr</w:t>
      </w:r>
      <w:r>
        <w:rPr>
          <w:sz w:val="22"/>
          <w:szCs w:val="22"/>
        </w:rPr>
        <w:t>ij</w:t>
      </w:r>
      <w:r w:rsidRPr="008415ED">
        <w:rPr>
          <w:sz w:val="22"/>
          <w:szCs w:val="22"/>
        </w:rPr>
        <w:t>ednosti) koji su bili izloženi visokom riziku od plućne hipertenzije 3. st</w:t>
      </w:r>
      <w:r w:rsidR="00944601">
        <w:rPr>
          <w:sz w:val="22"/>
          <w:szCs w:val="22"/>
        </w:rPr>
        <w:t>epena</w:t>
      </w:r>
      <w:r w:rsidRPr="008415ED">
        <w:rPr>
          <w:sz w:val="22"/>
          <w:szCs w:val="22"/>
        </w:rPr>
        <w:t>, kod 89 pacijenata l</w:t>
      </w:r>
      <w:r>
        <w:rPr>
          <w:sz w:val="22"/>
          <w:szCs w:val="22"/>
        </w:rPr>
        <w:t>ij</w:t>
      </w:r>
      <w:r w:rsidRPr="008415ED">
        <w:rPr>
          <w:sz w:val="22"/>
          <w:szCs w:val="22"/>
        </w:rPr>
        <w:t>ečenih l</w:t>
      </w:r>
      <w:r>
        <w:rPr>
          <w:sz w:val="22"/>
          <w:szCs w:val="22"/>
        </w:rPr>
        <w:t>ij</w:t>
      </w:r>
      <w:r w:rsidRPr="008415ED">
        <w:rPr>
          <w:sz w:val="22"/>
          <w:szCs w:val="22"/>
        </w:rPr>
        <w:t>ekom Esbriet u monoterap</w:t>
      </w:r>
      <w:r w:rsidR="00944601">
        <w:rPr>
          <w:sz w:val="22"/>
          <w:szCs w:val="22"/>
        </w:rPr>
        <w:t>iji zabilj</w:t>
      </w:r>
      <w:r w:rsidRPr="00714420">
        <w:rPr>
          <w:sz w:val="22"/>
          <w:szCs w:val="22"/>
        </w:rPr>
        <w:t>ežen je sličan pad FVC-</w:t>
      </w:r>
      <w:r w:rsidRPr="008415ED">
        <w:rPr>
          <w:sz w:val="22"/>
          <w:szCs w:val="22"/>
        </w:rPr>
        <w:t>a kao i kod pacijenata l</w:t>
      </w:r>
      <w:r>
        <w:rPr>
          <w:sz w:val="22"/>
          <w:szCs w:val="22"/>
        </w:rPr>
        <w:t>ij</w:t>
      </w:r>
      <w:r w:rsidRPr="008415ED">
        <w:rPr>
          <w:sz w:val="22"/>
          <w:szCs w:val="22"/>
        </w:rPr>
        <w:t>ečenih l</w:t>
      </w:r>
      <w:r>
        <w:rPr>
          <w:sz w:val="22"/>
          <w:szCs w:val="22"/>
        </w:rPr>
        <w:t>ij</w:t>
      </w:r>
      <w:r w:rsidRPr="008415ED">
        <w:rPr>
          <w:sz w:val="22"/>
          <w:szCs w:val="22"/>
        </w:rPr>
        <w:t>ekom Esbriet u post hoc analizi objedinjenih podataka iz ispitivanja faze 3 PIPF 004, PIPF 006 i PIPF 016.</w:t>
      </w:r>
    </w:p>
    <w:p w:rsidR="00714420" w:rsidRDefault="00714420" w:rsidP="00714420">
      <w:pPr>
        <w:keepNext/>
        <w:keepLines/>
        <w:autoSpaceDE w:val="0"/>
        <w:autoSpaceDN w:val="0"/>
        <w:adjustRightInd w:val="0"/>
        <w:spacing w:line="240" w:lineRule="exact"/>
        <w:jc w:val="both"/>
        <w:rPr>
          <w:sz w:val="22"/>
          <w:szCs w:val="22"/>
          <w:u w:val="single"/>
        </w:rPr>
      </w:pPr>
    </w:p>
    <w:p w:rsidR="00780296" w:rsidRPr="00880E7B" w:rsidRDefault="00780296" w:rsidP="00714420">
      <w:pPr>
        <w:keepNext/>
        <w:keepLines/>
        <w:autoSpaceDE w:val="0"/>
        <w:autoSpaceDN w:val="0"/>
        <w:adjustRightInd w:val="0"/>
        <w:spacing w:line="240" w:lineRule="exact"/>
        <w:jc w:val="both"/>
        <w:rPr>
          <w:sz w:val="22"/>
          <w:szCs w:val="22"/>
          <w:u w:val="single"/>
        </w:rPr>
      </w:pPr>
      <w:r w:rsidRPr="00880E7B">
        <w:rPr>
          <w:sz w:val="22"/>
          <w:szCs w:val="22"/>
          <w:u w:val="single"/>
        </w:rPr>
        <w:t>Pedijatrijska populacija</w:t>
      </w:r>
    </w:p>
    <w:p w:rsidR="00780296" w:rsidRPr="00880E7B" w:rsidRDefault="00780296">
      <w:pPr>
        <w:keepNext/>
        <w:keepLines/>
        <w:autoSpaceDE w:val="0"/>
        <w:autoSpaceDN w:val="0"/>
        <w:adjustRightInd w:val="0"/>
        <w:spacing w:line="240" w:lineRule="exact"/>
        <w:jc w:val="both"/>
        <w:rPr>
          <w:sz w:val="22"/>
          <w:szCs w:val="22"/>
        </w:rPr>
      </w:pPr>
    </w:p>
    <w:p w:rsidR="00A17092" w:rsidRPr="00880E7B" w:rsidRDefault="00780296">
      <w:pPr>
        <w:jc w:val="both"/>
        <w:rPr>
          <w:sz w:val="22"/>
          <w:szCs w:val="22"/>
        </w:rPr>
      </w:pPr>
      <w:r w:rsidRPr="00880E7B">
        <w:rPr>
          <w:sz w:val="22"/>
          <w:szCs w:val="22"/>
        </w:rPr>
        <w:t xml:space="preserve">Evropska agencija za </w:t>
      </w:r>
      <w:r w:rsidR="00FE6000" w:rsidRPr="00880E7B">
        <w:rPr>
          <w:sz w:val="22"/>
          <w:szCs w:val="22"/>
        </w:rPr>
        <w:t>ljek</w:t>
      </w:r>
      <w:r w:rsidRPr="00880E7B">
        <w:rPr>
          <w:sz w:val="22"/>
          <w:szCs w:val="22"/>
        </w:rPr>
        <w:t xml:space="preserve">ove je izuzela obavezu podnošenja rezultata ispitivanja </w:t>
      </w:r>
      <w:r w:rsidR="00FE6000" w:rsidRPr="00880E7B">
        <w:rPr>
          <w:sz w:val="22"/>
          <w:szCs w:val="22"/>
        </w:rPr>
        <w:t>lijek</w:t>
      </w:r>
      <w:r w:rsidRPr="00880E7B">
        <w:rPr>
          <w:sz w:val="22"/>
          <w:szCs w:val="22"/>
        </w:rPr>
        <w:t>a ESBRIET u svim podgrupama pedijatrijske populacije sa IPF (</w:t>
      </w:r>
      <w:r w:rsidR="00FE6000" w:rsidRPr="00880E7B">
        <w:rPr>
          <w:sz w:val="22"/>
          <w:szCs w:val="22"/>
        </w:rPr>
        <w:t>vidjeti</w:t>
      </w:r>
      <w:r w:rsidRPr="00880E7B">
        <w:rPr>
          <w:sz w:val="22"/>
          <w:szCs w:val="22"/>
        </w:rPr>
        <w:t xml:space="preserve"> </w:t>
      </w:r>
      <w:r w:rsidR="00AA4A0A" w:rsidRPr="00880E7B">
        <w:rPr>
          <w:sz w:val="22"/>
          <w:szCs w:val="22"/>
        </w:rPr>
        <w:t xml:space="preserve">dio </w:t>
      </w:r>
      <w:r w:rsidRPr="00880E7B">
        <w:rPr>
          <w:sz w:val="22"/>
          <w:szCs w:val="22"/>
        </w:rPr>
        <w:t>4.2 za informacije o pedijatrijskoj prim</w:t>
      </w:r>
      <w:r w:rsidR="009B493C" w:rsidRPr="00880E7B">
        <w:rPr>
          <w:sz w:val="22"/>
          <w:szCs w:val="22"/>
        </w:rPr>
        <w:t>j</w:t>
      </w:r>
      <w:r w:rsidRPr="00880E7B">
        <w:rPr>
          <w:sz w:val="22"/>
          <w:szCs w:val="22"/>
        </w:rPr>
        <w:t>eni).</w:t>
      </w:r>
    </w:p>
    <w:p w:rsidR="002E37A5" w:rsidRPr="00880E7B" w:rsidRDefault="002E37A5">
      <w:pPr>
        <w:tabs>
          <w:tab w:val="left" w:pos="540"/>
          <w:tab w:val="left" w:pos="569"/>
        </w:tabs>
        <w:jc w:val="both"/>
        <w:rPr>
          <w:b/>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5.2. </w:t>
      </w:r>
      <w:r w:rsidR="00480FB1" w:rsidRPr="00880E7B">
        <w:rPr>
          <w:b/>
          <w:bCs/>
          <w:sz w:val="22"/>
          <w:szCs w:val="22"/>
        </w:rPr>
        <w:tab/>
      </w:r>
      <w:r w:rsidRPr="00880E7B">
        <w:rPr>
          <w:b/>
          <w:bCs/>
          <w:sz w:val="22"/>
          <w:szCs w:val="22"/>
        </w:rPr>
        <w:t>Farmakokinetički podaci</w:t>
      </w:r>
      <w:r w:rsidR="003A7059" w:rsidRPr="00880E7B">
        <w:rPr>
          <w:b/>
          <w:bCs/>
          <w:sz w:val="22"/>
          <w:szCs w:val="22"/>
        </w:rPr>
        <w:t xml:space="preserve"> </w:t>
      </w:r>
    </w:p>
    <w:p w:rsidR="0072020E" w:rsidRPr="00880E7B" w:rsidRDefault="0072020E">
      <w:pPr>
        <w:tabs>
          <w:tab w:val="left" w:pos="540"/>
          <w:tab w:val="left" w:pos="569"/>
        </w:tabs>
        <w:jc w:val="both"/>
        <w:rPr>
          <w:bCs/>
          <w:sz w:val="22"/>
          <w:szCs w:val="22"/>
        </w:rPr>
      </w:pPr>
    </w:p>
    <w:p w:rsidR="00780296" w:rsidRPr="00880E7B" w:rsidRDefault="00780296">
      <w:pPr>
        <w:spacing w:line="240" w:lineRule="exact"/>
        <w:jc w:val="both"/>
        <w:rPr>
          <w:bCs/>
          <w:sz w:val="22"/>
          <w:szCs w:val="22"/>
          <w:u w:val="single"/>
        </w:rPr>
      </w:pPr>
      <w:r w:rsidRPr="00880E7B">
        <w:rPr>
          <w:sz w:val="22"/>
          <w:szCs w:val="22"/>
          <w:u w:val="single"/>
        </w:rPr>
        <w:t>Resorpcija</w:t>
      </w:r>
    </w:p>
    <w:p w:rsidR="00780296" w:rsidRPr="00880E7B" w:rsidRDefault="00780296">
      <w:pPr>
        <w:spacing w:line="240" w:lineRule="exact"/>
        <w:jc w:val="both"/>
        <w:rPr>
          <w:bCs/>
          <w:sz w:val="22"/>
          <w:szCs w:val="22"/>
          <w:u w:val="single"/>
        </w:rPr>
      </w:pPr>
    </w:p>
    <w:p w:rsidR="00780296" w:rsidRPr="00880E7B" w:rsidRDefault="00780296">
      <w:pPr>
        <w:spacing w:line="240" w:lineRule="exact"/>
        <w:jc w:val="both"/>
        <w:rPr>
          <w:sz w:val="22"/>
          <w:szCs w:val="22"/>
        </w:rPr>
      </w:pPr>
      <w:r w:rsidRPr="00880E7B">
        <w:rPr>
          <w:sz w:val="22"/>
          <w:szCs w:val="22"/>
        </w:rPr>
        <w:t xml:space="preserve">Uzimanje kapsula </w:t>
      </w:r>
      <w:r w:rsidR="00FE6000" w:rsidRPr="00880E7B">
        <w:rPr>
          <w:sz w:val="22"/>
          <w:szCs w:val="22"/>
        </w:rPr>
        <w:t>lijek</w:t>
      </w:r>
      <w:r w:rsidRPr="00880E7B">
        <w:rPr>
          <w:sz w:val="22"/>
          <w:szCs w:val="22"/>
        </w:rPr>
        <w:t>a ESBRIET uz hranu dovodi do velikog pada C</w:t>
      </w:r>
      <w:r w:rsidRPr="00880E7B">
        <w:rPr>
          <w:sz w:val="22"/>
          <w:szCs w:val="22"/>
          <w:vertAlign w:val="subscript"/>
        </w:rPr>
        <w:t>max</w:t>
      </w:r>
      <w:r w:rsidRPr="00880E7B">
        <w:rPr>
          <w:sz w:val="22"/>
          <w:szCs w:val="22"/>
        </w:rPr>
        <w:t xml:space="preserve"> (za 50%) i manjeg uticaja na PIK u poređenju sa uzimanjem natašte. Nakon oralne prim</w:t>
      </w:r>
      <w:r w:rsidR="00045D87" w:rsidRPr="00880E7B">
        <w:rPr>
          <w:sz w:val="22"/>
          <w:szCs w:val="22"/>
        </w:rPr>
        <w:t>j</w:t>
      </w:r>
      <w:r w:rsidRPr="00880E7B">
        <w:rPr>
          <w:sz w:val="22"/>
          <w:szCs w:val="22"/>
        </w:rPr>
        <w:t xml:space="preserve">ene pojedinačne doze od 801 mg na pun želudac kod zdravih starijih dobrovoljaca (starosti 50–66 godina), usporila se stopa resorpcije pirfenidona, a </w:t>
      </w:r>
      <w:r w:rsidR="009B493C" w:rsidRPr="00880E7B">
        <w:rPr>
          <w:sz w:val="22"/>
          <w:szCs w:val="22"/>
        </w:rPr>
        <w:t>vrijednost</w:t>
      </w:r>
      <w:r w:rsidRPr="00880E7B">
        <w:rPr>
          <w:sz w:val="22"/>
          <w:szCs w:val="22"/>
        </w:rPr>
        <w:t xml:space="preserve"> PIK</w:t>
      </w:r>
      <w:r w:rsidR="00B27F4D">
        <w:rPr>
          <w:sz w:val="22"/>
          <w:szCs w:val="22"/>
        </w:rPr>
        <w:t>-a</w:t>
      </w:r>
      <w:r w:rsidRPr="00B27F4D">
        <w:rPr>
          <w:sz w:val="22"/>
          <w:szCs w:val="22"/>
        </w:rPr>
        <w:t xml:space="preserve"> je kod pacijenata sa punim želucem bila oko 80–85% </w:t>
      </w:r>
      <w:r w:rsidR="009B493C" w:rsidRPr="00B27F4D">
        <w:rPr>
          <w:sz w:val="22"/>
          <w:szCs w:val="22"/>
        </w:rPr>
        <w:t>vrijednosti</w:t>
      </w:r>
      <w:r w:rsidRPr="00B27F4D">
        <w:rPr>
          <w:sz w:val="22"/>
          <w:szCs w:val="22"/>
        </w:rPr>
        <w:t xml:space="preserve"> PIK</w:t>
      </w:r>
      <w:r w:rsidR="00B27F4D">
        <w:rPr>
          <w:sz w:val="22"/>
          <w:szCs w:val="22"/>
        </w:rPr>
        <w:t>-a</w:t>
      </w:r>
      <w:r w:rsidRPr="00B27F4D">
        <w:rPr>
          <w:sz w:val="22"/>
          <w:szCs w:val="22"/>
        </w:rPr>
        <w:t xml:space="preserve"> kod p</w:t>
      </w:r>
      <w:r w:rsidRPr="00880E7B">
        <w:rPr>
          <w:sz w:val="22"/>
          <w:szCs w:val="22"/>
        </w:rPr>
        <w:t xml:space="preserve">acijenata koji su </w:t>
      </w:r>
      <w:r w:rsidR="00FE6000" w:rsidRPr="00880E7B">
        <w:rPr>
          <w:sz w:val="22"/>
          <w:szCs w:val="22"/>
        </w:rPr>
        <w:t>lijek</w:t>
      </w:r>
      <w:r w:rsidRPr="00880E7B">
        <w:rPr>
          <w:sz w:val="22"/>
          <w:szCs w:val="22"/>
        </w:rPr>
        <w:t xml:space="preserve"> uzeli natašte. </w:t>
      </w:r>
      <w:r w:rsidR="00A84155" w:rsidRPr="00880E7B">
        <w:rPr>
          <w:sz w:val="22"/>
          <w:szCs w:val="22"/>
        </w:rPr>
        <w:t>Dokazana je b</w:t>
      </w:r>
      <w:r w:rsidRPr="00880E7B">
        <w:rPr>
          <w:sz w:val="22"/>
          <w:szCs w:val="22"/>
        </w:rPr>
        <w:t>ioekvivalentnost, pri poređenju tablete od 801 mg sa tri kapsule od 267 mg</w:t>
      </w:r>
      <w:r w:rsidR="00A84155" w:rsidRPr="00880E7B">
        <w:rPr>
          <w:sz w:val="22"/>
          <w:szCs w:val="22"/>
        </w:rPr>
        <w:t xml:space="preserve"> kada se primjenjuju natašte</w:t>
      </w:r>
      <w:r w:rsidRPr="00880E7B">
        <w:rPr>
          <w:sz w:val="22"/>
          <w:szCs w:val="22"/>
        </w:rPr>
        <w:t>. Na pun želudac, tableta od 801 mg ispunila je kriterijume bioekvivalentnosti na osnovu m</w:t>
      </w:r>
      <w:r w:rsidR="00045D87" w:rsidRPr="00880E7B">
        <w:rPr>
          <w:sz w:val="22"/>
          <w:szCs w:val="22"/>
        </w:rPr>
        <w:t>j</w:t>
      </w:r>
      <w:r w:rsidRPr="00880E7B">
        <w:rPr>
          <w:sz w:val="22"/>
          <w:szCs w:val="22"/>
        </w:rPr>
        <w:t>erenja PIK</w:t>
      </w:r>
      <w:r w:rsidR="00A84155" w:rsidRPr="00880E7B">
        <w:rPr>
          <w:sz w:val="22"/>
          <w:szCs w:val="22"/>
        </w:rPr>
        <w:t>-a</w:t>
      </w:r>
      <w:r w:rsidRPr="00880E7B">
        <w:rPr>
          <w:sz w:val="22"/>
          <w:szCs w:val="22"/>
        </w:rPr>
        <w:t xml:space="preserve"> u poređenju sa kapsulama, dok su intervali pouzdanosti od 90% za C</w:t>
      </w:r>
      <w:r w:rsidRPr="00880E7B">
        <w:rPr>
          <w:sz w:val="22"/>
          <w:szCs w:val="22"/>
          <w:vertAlign w:val="subscript"/>
        </w:rPr>
        <w:t>max</w:t>
      </w:r>
      <w:r w:rsidRPr="00880E7B">
        <w:rPr>
          <w:sz w:val="22"/>
          <w:szCs w:val="22"/>
        </w:rPr>
        <w:t xml:space="preserve"> (108,26–125,60%)</w:t>
      </w:r>
      <w:r w:rsidR="00A84155" w:rsidRPr="00880E7B">
        <w:rPr>
          <w:sz w:val="22"/>
          <w:szCs w:val="22"/>
        </w:rPr>
        <w:t xml:space="preserve"> bili</w:t>
      </w:r>
      <w:r w:rsidRPr="00880E7B">
        <w:rPr>
          <w:sz w:val="22"/>
          <w:szCs w:val="22"/>
        </w:rPr>
        <w:t xml:space="preserve"> malo </w:t>
      </w:r>
      <w:r w:rsidR="00A84155" w:rsidRPr="00880E7B">
        <w:rPr>
          <w:sz w:val="22"/>
          <w:szCs w:val="22"/>
        </w:rPr>
        <w:t xml:space="preserve">iznad </w:t>
      </w:r>
      <w:r w:rsidRPr="00880E7B">
        <w:rPr>
          <w:sz w:val="22"/>
          <w:szCs w:val="22"/>
        </w:rPr>
        <w:t>gornj</w:t>
      </w:r>
      <w:r w:rsidR="00A84155" w:rsidRPr="00880E7B">
        <w:rPr>
          <w:sz w:val="22"/>
          <w:szCs w:val="22"/>
        </w:rPr>
        <w:t>e</w:t>
      </w:r>
      <w:r w:rsidRPr="00880E7B">
        <w:rPr>
          <w:sz w:val="22"/>
          <w:szCs w:val="22"/>
        </w:rPr>
        <w:t xml:space="preserve"> granic</w:t>
      </w:r>
      <w:r w:rsidR="00A84155" w:rsidRPr="00880E7B">
        <w:rPr>
          <w:sz w:val="22"/>
          <w:szCs w:val="22"/>
        </w:rPr>
        <w:t>e</w:t>
      </w:r>
      <w:r w:rsidRPr="00880E7B">
        <w:rPr>
          <w:sz w:val="22"/>
          <w:szCs w:val="22"/>
        </w:rPr>
        <w:t xml:space="preserve"> standardn</w:t>
      </w:r>
      <w:r w:rsidR="00A84155" w:rsidRPr="00880E7B">
        <w:rPr>
          <w:sz w:val="22"/>
          <w:szCs w:val="22"/>
        </w:rPr>
        <w:t>og praga</w:t>
      </w:r>
      <w:r w:rsidRPr="00880E7B">
        <w:rPr>
          <w:sz w:val="22"/>
          <w:szCs w:val="22"/>
        </w:rPr>
        <w:t xml:space="preserve"> bioekvivalentnosti (90% CI: 80,00–125,00%). Dejstvo hrane na PIK pirfenidona uzetog oralno bilo je konzistentno između tablete i kapsule. U poređenju sa uzimanjem natašte, uzimanje bilo kog oblika uz hranu smanjuje C</w:t>
      </w:r>
      <w:r w:rsidRPr="00880E7B">
        <w:rPr>
          <w:sz w:val="22"/>
          <w:szCs w:val="22"/>
          <w:vertAlign w:val="subscript"/>
        </w:rPr>
        <w:t>max</w:t>
      </w:r>
      <w:r w:rsidRPr="00880E7B">
        <w:rPr>
          <w:sz w:val="22"/>
          <w:szCs w:val="22"/>
        </w:rPr>
        <w:t xml:space="preserve"> pirfenidona, a tableta </w:t>
      </w:r>
      <w:r w:rsidR="00FE6000" w:rsidRPr="00880E7B">
        <w:rPr>
          <w:sz w:val="22"/>
          <w:szCs w:val="22"/>
        </w:rPr>
        <w:t>lijek</w:t>
      </w:r>
      <w:r w:rsidRPr="00880E7B">
        <w:rPr>
          <w:sz w:val="22"/>
          <w:szCs w:val="22"/>
        </w:rPr>
        <w:t>a ESBRIET smanjuje C</w:t>
      </w:r>
      <w:r w:rsidRPr="00880E7B">
        <w:rPr>
          <w:sz w:val="22"/>
          <w:szCs w:val="22"/>
          <w:vertAlign w:val="subscript"/>
        </w:rPr>
        <w:t>max</w:t>
      </w:r>
      <w:r w:rsidRPr="00880E7B">
        <w:rPr>
          <w:sz w:val="22"/>
          <w:szCs w:val="22"/>
        </w:rPr>
        <w:t xml:space="preserve"> nešto manje (za 40%) od kapsula </w:t>
      </w:r>
      <w:r w:rsidR="00FE6000" w:rsidRPr="00880E7B">
        <w:rPr>
          <w:sz w:val="22"/>
          <w:szCs w:val="22"/>
        </w:rPr>
        <w:t>lijek</w:t>
      </w:r>
      <w:r w:rsidRPr="00880E7B">
        <w:rPr>
          <w:sz w:val="22"/>
          <w:szCs w:val="22"/>
        </w:rPr>
        <w:t>a ESBRIET (za 50%). Prim</w:t>
      </w:r>
      <w:r w:rsidR="00045D87" w:rsidRPr="00880E7B">
        <w:rPr>
          <w:sz w:val="22"/>
          <w:szCs w:val="22"/>
        </w:rPr>
        <w:t>i</w:t>
      </w:r>
      <w:r w:rsidR="009B493C" w:rsidRPr="00880E7B">
        <w:rPr>
          <w:sz w:val="22"/>
          <w:szCs w:val="22"/>
        </w:rPr>
        <w:t>j</w:t>
      </w:r>
      <w:r w:rsidRPr="00880E7B">
        <w:rPr>
          <w:sz w:val="22"/>
          <w:szCs w:val="22"/>
        </w:rPr>
        <w:t xml:space="preserve">ećena je niža incidenca neželjenih događaja (mučnine i vrtoglavice) kod pacijenata sa punim želucem u poređenju sa grupom natašte. Zato se preporučuje da se </w:t>
      </w:r>
      <w:r w:rsidR="00FE6000" w:rsidRPr="00880E7B">
        <w:rPr>
          <w:sz w:val="22"/>
          <w:szCs w:val="22"/>
        </w:rPr>
        <w:t>lijek</w:t>
      </w:r>
      <w:r w:rsidRPr="00880E7B">
        <w:rPr>
          <w:sz w:val="22"/>
          <w:szCs w:val="22"/>
        </w:rPr>
        <w:t xml:space="preserve"> ESBRIET uzima uz obrok radi smanjenja incidence mučnine i vrtoglavice. </w:t>
      </w:r>
    </w:p>
    <w:p w:rsidR="00780296" w:rsidRPr="00880E7B" w:rsidRDefault="00780296">
      <w:pPr>
        <w:spacing w:line="240" w:lineRule="exact"/>
        <w:jc w:val="both"/>
        <w:rPr>
          <w:iCs/>
          <w:sz w:val="22"/>
          <w:szCs w:val="22"/>
        </w:rPr>
      </w:pPr>
    </w:p>
    <w:p w:rsidR="00780296" w:rsidRPr="00880E7B" w:rsidRDefault="00780296">
      <w:pPr>
        <w:spacing w:line="240" w:lineRule="exact"/>
        <w:jc w:val="both"/>
        <w:rPr>
          <w:sz w:val="22"/>
          <w:szCs w:val="22"/>
        </w:rPr>
      </w:pPr>
      <w:r w:rsidRPr="00880E7B">
        <w:rPr>
          <w:sz w:val="22"/>
          <w:szCs w:val="22"/>
        </w:rPr>
        <w:t>Bioraspoloživost pirfenidona kod ljudi još nije određena.</w:t>
      </w:r>
    </w:p>
    <w:p w:rsidR="00780296" w:rsidRPr="00880E7B" w:rsidRDefault="00780296">
      <w:pPr>
        <w:spacing w:line="240" w:lineRule="exact"/>
        <w:jc w:val="both"/>
        <w:rPr>
          <w:sz w:val="22"/>
          <w:szCs w:val="22"/>
        </w:rPr>
      </w:pPr>
    </w:p>
    <w:p w:rsidR="00780296" w:rsidRPr="00880E7B" w:rsidRDefault="00780296">
      <w:pPr>
        <w:keepNext/>
        <w:spacing w:line="240" w:lineRule="exact"/>
        <w:jc w:val="both"/>
        <w:rPr>
          <w:bCs/>
          <w:sz w:val="22"/>
          <w:szCs w:val="22"/>
          <w:u w:val="single"/>
        </w:rPr>
      </w:pPr>
      <w:r w:rsidRPr="00880E7B">
        <w:rPr>
          <w:sz w:val="22"/>
          <w:szCs w:val="22"/>
          <w:u w:val="single"/>
        </w:rPr>
        <w:t>Distribucija</w:t>
      </w:r>
    </w:p>
    <w:p w:rsidR="00780296" w:rsidRPr="00880E7B" w:rsidRDefault="00780296">
      <w:pPr>
        <w:keepNext/>
        <w:spacing w:line="240" w:lineRule="exact"/>
        <w:jc w:val="both"/>
        <w:rPr>
          <w:bCs/>
          <w:sz w:val="22"/>
          <w:szCs w:val="22"/>
          <w:u w:val="single"/>
        </w:rPr>
      </w:pPr>
    </w:p>
    <w:p w:rsidR="00780296" w:rsidRPr="00880E7B" w:rsidRDefault="00780296">
      <w:pPr>
        <w:spacing w:line="240" w:lineRule="exact"/>
        <w:jc w:val="both"/>
        <w:rPr>
          <w:bCs/>
          <w:sz w:val="22"/>
          <w:szCs w:val="22"/>
        </w:rPr>
      </w:pPr>
      <w:r w:rsidRPr="00880E7B">
        <w:rPr>
          <w:sz w:val="22"/>
          <w:szCs w:val="22"/>
        </w:rPr>
        <w:t xml:space="preserve">Pirfenidon se veže za proteine ljudske plazme, prvenstveno za serumske albumine. Srednja </w:t>
      </w:r>
      <w:r w:rsidR="009B493C" w:rsidRPr="00880E7B">
        <w:rPr>
          <w:sz w:val="22"/>
          <w:szCs w:val="22"/>
        </w:rPr>
        <w:t>vrijednost</w:t>
      </w:r>
      <w:r w:rsidRPr="00880E7B">
        <w:rPr>
          <w:sz w:val="22"/>
          <w:szCs w:val="22"/>
        </w:rPr>
        <w:t xml:space="preserve"> c</w:t>
      </w:r>
      <w:r w:rsidR="00045D87" w:rsidRPr="00880E7B">
        <w:rPr>
          <w:sz w:val="22"/>
          <w:szCs w:val="22"/>
        </w:rPr>
        <w:t>j</w:t>
      </w:r>
      <w:r w:rsidRPr="00880E7B">
        <w:rPr>
          <w:sz w:val="22"/>
          <w:szCs w:val="22"/>
        </w:rPr>
        <w:t xml:space="preserve">elokupnog vezivanja kretala se od 50% do 58%, pri koncentracijama </w:t>
      </w:r>
      <w:r w:rsidR="00045D87" w:rsidRPr="00880E7B">
        <w:rPr>
          <w:sz w:val="22"/>
          <w:szCs w:val="22"/>
        </w:rPr>
        <w:t xml:space="preserve">zabilježenim </w:t>
      </w:r>
      <w:r w:rsidRPr="00880E7B">
        <w:rPr>
          <w:sz w:val="22"/>
          <w:szCs w:val="22"/>
        </w:rPr>
        <w:t>u kliničkim studijama (1 do 100 mikrograma/</w:t>
      </w:r>
      <w:r w:rsidR="00BD0820" w:rsidRPr="00880E7B">
        <w:rPr>
          <w:sz w:val="22"/>
          <w:szCs w:val="22"/>
        </w:rPr>
        <w:t>ml</w:t>
      </w:r>
      <w:r w:rsidRPr="00880E7B">
        <w:rPr>
          <w:sz w:val="22"/>
          <w:szCs w:val="22"/>
        </w:rPr>
        <w:t xml:space="preserve">). Srednja </w:t>
      </w:r>
      <w:r w:rsidR="009B493C" w:rsidRPr="00880E7B">
        <w:rPr>
          <w:sz w:val="22"/>
          <w:szCs w:val="22"/>
        </w:rPr>
        <w:t>vrijednost</w:t>
      </w:r>
      <w:r w:rsidRPr="00880E7B">
        <w:rPr>
          <w:sz w:val="22"/>
          <w:szCs w:val="22"/>
        </w:rPr>
        <w:t xml:space="preserve"> prividnog volumena distribucije u stanju dinamičke ravnoteže nakon oralne doze iznosi oko 70 </w:t>
      </w:r>
      <w:r w:rsidR="00BD0820" w:rsidRPr="00880E7B">
        <w:rPr>
          <w:sz w:val="22"/>
          <w:szCs w:val="22"/>
        </w:rPr>
        <w:t>l</w:t>
      </w:r>
      <w:r w:rsidRPr="00880E7B">
        <w:rPr>
          <w:sz w:val="22"/>
          <w:szCs w:val="22"/>
        </w:rPr>
        <w:t>, što ukazuje da je distribucija pirfenidona u tkivima um</w:t>
      </w:r>
      <w:r w:rsidR="003C0AFF" w:rsidRPr="00880E7B">
        <w:rPr>
          <w:sz w:val="22"/>
          <w:szCs w:val="22"/>
        </w:rPr>
        <w:t>j</w:t>
      </w:r>
      <w:r w:rsidRPr="00880E7B">
        <w:rPr>
          <w:sz w:val="22"/>
          <w:szCs w:val="22"/>
        </w:rPr>
        <w:t>erena.</w:t>
      </w:r>
    </w:p>
    <w:p w:rsidR="00780296" w:rsidRPr="00880E7B" w:rsidRDefault="00780296">
      <w:pPr>
        <w:spacing w:line="240" w:lineRule="exact"/>
        <w:jc w:val="both"/>
        <w:rPr>
          <w:bCs/>
          <w:sz w:val="22"/>
          <w:szCs w:val="22"/>
          <w:u w:val="single"/>
        </w:rPr>
      </w:pPr>
    </w:p>
    <w:p w:rsidR="00780296" w:rsidRPr="00880E7B" w:rsidRDefault="00780296">
      <w:pPr>
        <w:keepNext/>
        <w:keepLines/>
        <w:spacing w:line="240" w:lineRule="exact"/>
        <w:jc w:val="both"/>
        <w:rPr>
          <w:bCs/>
          <w:sz w:val="22"/>
          <w:szCs w:val="22"/>
          <w:u w:val="single"/>
        </w:rPr>
      </w:pPr>
      <w:r w:rsidRPr="00880E7B">
        <w:rPr>
          <w:sz w:val="22"/>
          <w:szCs w:val="22"/>
          <w:u w:val="single"/>
        </w:rPr>
        <w:lastRenderedPageBreak/>
        <w:t>Biotransformacija</w:t>
      </w:r>
    </w:p>
    <w:p w:rsidR="00780296" w:rsidRPr="00880E7B" w:rsidRDefault="00780296">
      <w:pPr>
        <w:keepNext/>
        <w:keepLines/>
        <w:spacing w:line="240" w:lineRule="exact"/>
        <w:jc w:val="both"/>
        <w:rPr>
          <w:sz w:val="22"/>
          <w:szCs w:val="22"/>
        </w:rPr>
      </w:pPr>
    </w:p>
    <w:p w:rsidR="00780296" w:rsidRPr="00880E7B" w:rsidRDefault="00780296">
      <w:pPr>
        <w:keepNext/>
        <w:keepLines/>
        <w:spacing w:line="240" w:lineRule="exact"/>
        <w:jc w:val="both"/>
        <w:rPr>
          <w:sz w:val="22"/>
          <w:szCs w:val="22"/>
        </w:rPr>
      </w:pPr>
      <w:r w:rsidRPr="00880E7B">
        <w:rPr>
          <w:sz w:val="22"/>
          <w:szCs w:val="22"/>
        </w:rPr>
        <w:t xml:space="preserve">Oko 70–80% pirfenidona metaboliše se pomoću CYP1A2, uz manji doprinos drugih CYP izoenzima, uključujući CYP2C9, 2C19, 2D6 i 2E1. Podaci dobijeni </w:t>
      </w:r>
      <w:r w:rsidRPr="00880E7B">
        <w:rPr>
          <w:i/>
          <w:sz w:val="22"/>
          <w:szCs w:val="22"/>
        </w:rPr>
        <w:t>in vitro</w:t>
      </w:r>
      <w:r w:rsidRPr="00880E7B">
        <w:rPr>
          <w:sz w:val="22"/>
          <w:szCs w:val="22"/>
        </w:rPr>
        <w:t xml:space="preserve"> ukazuju na određenu farmakološki relevantnu aktivnost najvažnijeg metabolita (5-karboksi-pirfenidona) u koncentracijama koje su iznad najviših koncentracija u plazmi pacijenata sa IPF. Ovo može biti klinički relevantno kod pacijenata sa um</w:t>
      </w:r>
      <w:r w:rsidR="00BD0820" w:rsidRPr="00880E7B">
        <w:rPr>
          <w:sz w:val="22"/>
          <w:szCs w:val="22"/>
        </w:rPr>
        <w:t>j</w:t>
      </w:r>
      <w:r w:rsidRPr="00880E7B">
        <w:rPr>
          <w:sz w:val="22"/>
          <w:szCs w:val="22"/>
        </w:rPr>
        <w:t>erenim oštećenjem funkcije bubrega kod kojih je povećana izloženost 5-karboksi-pirfenidonu u plazmi.</w:t>
      </w:r>
    </w:p>
    <w:p w:rsidR="00780296" w:rsidRPr="00880E7B" w:rsidRDefault="00780296">
      <w:pPr>
        <w:spacing w:line="240" w:lineRule="exact"/>
        <w:jc w:val="both"/>
        <w:rPr>
          <w:bCs/>
          <w:sz w:val="22"/>
          <w:szCs w:val="22"/>
        </w:rPr>
      </w:pPr>
    </w:p>
    <w:p w:rsidR="00780296" w:rsidRPr="00880E7B" w:rsidRDefault="00780296">
      <w:pPr>
        <w:spacing w:line="240" w:lineRule="exact"/>
        <w:jc w:val="both"/>
        <w:rPr>
          <w:bCs/>
          <w:sz w:val="22"/>
          <w:szCs w:val="22"/>
          <w:u w:val="single"/>
        </w:rPr>
      </w:pPr>
      <w:r w:rsidRPr="00880E7B">
        <w:rPr>
          <w:sz w:val="22"/>
          <w:szCs w:val="22"/>
          <w:u w:val="single"/>
        </w:rPr>
        <w:t xml:space="preserve">Eliminacija </w:t>
      </w:r>
    </w:p>
    <w:p w:rsidR="00780296" w:rsidRPr="00880E7B" w:rsidRDefault="00780296">
      <w:pPr>
        <w:spacing w:line="240" w:lineRule="exact"/>
        <w:jc w:val="both"/>
        <w:rPr>
          <w:bCs/>
          <w:sz w:val="22"/>
          <w:szCs w:val="22"/>
          <w:u w:val="single"/>
        </w:rPr>
      </w:pPr>
    </w:p>
    <w:p w:rsidR="00780296" w:rsidRPr="00880E7B" w:rsidRDefault="00780296">
      <w:pPr>
        <w:spacing w:line="240" w:lineRule="exact"/>
        <w:jc w:val="both"/>
        <w:rPr>
          <w:sz w:val="22"/>
          <w:szCs w:val="22"/>
        </w:rPr>
      </w:pPr>
      <w:r w:rsidRPr="00880E7B">
        <w:rPr>
          <w:sz w:val="22"/>
          <w:szCs w:val="22"/>
        </w:rPr>
        <w:t>Izgleda da je klirens pirfenidona nakon oralne prim</w:t>
      </w:r>
      <w:r w:rsidR="00BD0820" w:rsidRPr="00880E7B">
        <w:rPr>
          <w:sz w:val="22"/>
          <w:szCs w:val="22"/>
        </w:rPr>
        <w:t>j</w:t>
      </w:r>
      <w:r w:rsidRPr="00880E7B">
        <w:rPr>
          <w:sz w:val="22"/>
          <w:szCs w:val="22"/>
        </w:rPr>
        <w:t>ene um</w:t>
      </w:r>
      <w:r w:rsidR="00045D87" w:rsidRPr="00880E7B">
        <w:rPr>
          <w:sz w:val="22"/>
          <w:szCs w:val="22"/>
        </w:rPr>
        <w:t>j</w:t>
      </w:r>
      <w:r w:rsidRPr="00880E7B">
        <w:rPr>
          <w:sz w:val="22"/>
          <w:szCs w:val="22"/>
        </w:rPr>
        <w:t>ereno saturabilan. U ispitivanju prim</w:t>
      </w:r>
      <w:r w:rsidR="00BD0820" w:rsidRPr="00880E7B">
        <w:rPr>
          <w:sz w:val="22"/>
          <w:szCs w:val="22"/>
        </w:rPr>
        <w:t>j</w:t>
      </w:r>
      <w:r w:rsidRPr="00880E7B">
        <w:rPr>
          <w:sz w:val="22"/>
          <w:szCs w:val="22"/>
        </w:rPr>
        <w:t>ene višestruke doze različite koncentracije kod zdravih starijih ispitanika, u kome su prim</w:t>
      </w:r>
      <w:r w:rsidR="003C0AFF" w:rsidRPr="00880E7B">
        <w:rPr>
          <w:sz w:val="22"/>
          <w:szCs w:val="22"/>
        </w:rPr>
        <w:t>i</w:t>
      </w:r>
      <w:r w:rsidR="00BD0820" w:rsidRPr="00880E7B">
        <w:rPr>
          <w:sz w:val="22"/>
          <w:szCs w:val="22"/>
        </w:rPr>
        <w:t>j</w:t>
      </w:r>
      <w:r w:rsidRPr="00880E7B">
        <w:rPr>
          <w:sz w:val="22"/>
          <w:szCs w:val="22"/>
        </w:rPr>
        <w:t xml:space="preserve">enjene doze od 267 mg do 1335 mg tri puta dnevno, srednja </w:t>
      </w:r>
      <w:r w:rsidR="009B493C" w:rsidRPr="00880E7B">
        <w:rPr>
          <w:sz w:val="22"/>
          <w:szCs w:val="22"/>
        </w:rPr>
        <w:t>vrijednost</w:t>
      </w:r>
      <w:r w:rsidRPr="00880E7B">
        <w:rPr>
          <w:sz w:val="22"/>
          <w:szCs w:val="22"/>
        </w:rPr>
        <w:t xml:space="preserve"> klirensa pala je za oko 25% kod prim</w:t>
      </w:r>
      <w:r w:rsidR="00BD0820" w:rsidRPr="00880E7B">
        <w:rPr>
          <w:sz w:val="22"/>
          <w:szCs w:val="22"/>
        </w:rPr>
        <w:t>j</w:t>
      </w:r>
      <w:r w:rsidRPr="00880E7B">
        <w:rPr>
          <w:sz w:val="22"/>
          <w:szCs w:val="22"/>
        </w:rPr>
        <w:t>ene doza iznad 801 mg tri puta dnevno. Nakon jednokratne prim</w:t>
      </w:r>
      <w:r w:rsidR="00BD0820" w:rsidRPr="00880E7B">
        <w:rPr>
          <w:sz w:val="22"/>
          <w:szCs w:val="22"/>
        </w:rPr>
        <w:t>j</w:t>
      </w:r>
      <w:r w:rsidRPr="00880E7B">
        <w:rPr>
          <w:sz w:val="22"/>
          <w:szCs w:val="22"/>
        </w:rPr>
        <w:t xml:space="preserve">ene pirfenidona kod zdravih starijih odraslih ispitanika, srednja </w:t>
      </w:r>
      <w:r w:rsidR="009B493C" w:rsidRPr="00880E7B">
        <w:rPr>
          <w:sz w:val="22"/>
          <w:szCs w:val="22"/>
        </w:rPr>
        <w:t>vrijednost</w:t>
      </w:r>
      <w:r w:rsidRPr="00880E7B">
        <w:rPr>
          <w:sz w:val="22"/>
          <w:szCs w:val="22"/>
        </w:rPr>
        <w:t xml:space="preserve"> prividnog terminalnog poluvremen</w:t>
      </w:r>
      <w:r w:rsidR="00BD0820" w:rsidRPr="00880E7B">
        <w:rPr>
          <w:sz w:val="22"/>
          <w:szCs w:val="22"/>
        </w:rPr>
        <w:t>a eliminacije iznosila je oko 2,</w:t>
      </w:r>
      <w:r w:rsidRPr="00880E7B">
        <w:rPr>
          <w:sz w:val="22"/>
          <w:szCs w:val="22"/>
        </w:rPr>
        <w:t xml:space="preserve">4 sata. Oko 80% oralno uzete doze pirfenidona izlučilo se urinom tokom 24 sata od uzimanja. Najveći </w:t>
      </w:r>
      <w:r w:rsidR="00045D87" w:rsidRPr="00880E7B">
        <w:rPr>
          <w:sz w:val="22"/>
          <w:szCs w:val="22"/>
        </w:rPr>
        <w:t xml:space="preserve">dio </w:t>
      </w:r>
      <w:r w:rsidRPr="00880E7B">
        <w:rPr>
          <w:sz w:val="22"/>
          <w:szCs w:val="22"/>
        </w:rPr>
        <w:t>pirfenidona izlučuje se u obliku metabolita 5-karboksi-pirfenidona (&gt;95%), a manje od 1% neprom</w:t>
      </w:r>
      <w:r w:rsidR="00BD0820" w:rsidRPr="00880E7B">
        <w:rPr>
          <w:sz w:val="22"/>
          <w:szCs w:val="22"/>
        </w:rPr>
        <w:t>ij</w:t>
      </w:r>
      <w:r w:rsidRPr="00880E7B">
        <w:rPr>
          <w:sz w:val="22"/>
          <w:szCs w:val="22"/>
        </w:rPr>
        <w:t>enjeno urinom.</w:t>
      </w:r>
    </w:p>
    <w:p w:rsidR="00780296" w:rsidRPr="00880E7B" w:rsidRDefault="00780296">
      <w:pPr>
        <w:spacing w:line="240" w:lineRule="exact"/>
        <w:jc w:val="both"/>
        <w:rPr>
          <w:i/>
          <w:sz w:val="22"/>
          <w:szCs w:val="22"/>
        </w:rPr>
      </w:pPr>
    </w:p>
    <w:p w:rsidR="00780296" w:rsidRPr="00880E7B" w:rsidRDefault="00780296">
      <w:pPr>
        <w:keepNext/>
        <w:spacing w:line="240" w:lineRule="exact"/>
        <w:jc w:val="both"/>
        <w:rPr>
          <w:sz w:val="22"/>
          <w:szCs w:val="22"/>
          <w:u w:val="single"/>
        </w:rPr>
      </w:pPr>
      <w:r w:rsidRPr="00880E7B">
        <w:rPr>
          <w:sz w:val="22"/>
          <w:szCs w:val="22"/>
          <w:u w:val="single"/>
        </w:rPr>
        <w:t>Posebne populacije pacijenata</w:t>
      </w:r>
    </w:p>
    <w:p w:rsidR="00780296" w:rsidRPr="00880E7B" w:rsidRDefault="00780296">
      <w:pPr>
        <w:keepNext/>
        <w:spacing w:line="240" w:lineRule="exact"/>
        <w:jc w:val="both"/>
        <w:rPr>
          <w:i/>
          <w:sz w:val="22"/>
          <w:szCs w:val="22"/>
          <w:u w:val="single"/>
        </w:rPr>
      </w:pPr>
    </w:p>
    <w:p w:rsidR="00780296" w:rsidRPr="00880E7B" w:rsidRDefault="00780296">
      <w:pPr>
        <w:spacing w:line="240" w:lineRule="exact"/>
        <w:jc w:val="both"/>
        <w:rPr>
          <w:i/>
          <w:sz w:val="22"/>
          <w:szCs w:val="22"/>
          <w:u w:val="single"/>
        </w:rPr>
      </w:pPr>
      <w:r w:rsidRPr="00880E7B">
        <w:rPr>
          <w:i/>
          <w:sz w:val="22"/>
          <w:szCs w:val="22"/>
          <w:u w:val="single"/>
        </w:rPr>
        <w:t>Oštećenje funkcije jetre</w:t>
      </w:r>
    </w:p>
    <w:p w:rsidR="00780296" w:rsidRPr="00880E7B" w:rsidRDefault="00780296">
      <w:pPr>
        <w:spacing w:line="240" w:lineRule="exact"/>
        <w:jc w:val="both"/>
        <w:rPr>
          <w:i/>
          <w:sz w:val="22"/>
          <w:szCs w:val="22"/>
        </w:rPr>
      </w:pPr>
      <w:r w:rsidRPr="00880E7B">
        <w:rPr>
          <w:sz w:val="22"/>
          <w:szCs w:val="22"/>
        </w:rPr>
        <w:t>Farmakokinetika pirfenidona i metabolita 5-karboksi-pirfenidona upoređena je kod ispitanika sa um</w:t>
      </w:r>
      <w:r w:rsidR="00BD0820" w:rsidRPr="00880E7B">
        <w:rPr>
          <w:sz w:val="22"/>
          <w:szCs w:val="22"/>
        </w:rPr>
        <w:t>j</w:t>
      </w:r>
      <w:r w:rsidRPr="00880E7B">
        <w:rPr>
          <w:sz w:val="22"/>
          <w:szCs w:val="22"/>
        </w:rPr>
        <w:t xml:space="preserve">erenim oštećenjem funkcije jetre (stadijum B prema klasifikaciji </w:t>
      </w:r>
      <w:r w:rsidRPr="00880E7B">
        <w:rPr>
          <w:i/>
          <w:sz w:val="22"/>
          <w:szCs w:val="22"/>
        </w:rPr>
        <w:t>Child-Pugh</w:t>
      </w:r>
      <w:r w:rsidRPr="00880E7B">
        <w:rPr>
          <w:sz w:val="22"/>
          <w:szCs w:val="22"/>
        </w:rPr>
        <w:t>) i ispitanika sa normalnom funkcijom jetre. Rezultati su pokazali da postoji srednji porast izloženosti pirfenidonu od 60% nakon jednokratne prim</w:t>
      </w:r>
      <w:r w:rsidR="00BD0820" w:rsidRPr="00880E7B">
        <w:rPr>
          <w:sz w:val="22"/>
          <w:szCs w:val="22"/>
        </w:rPr>
        <w:t>j</w:t>
      </w:r>
      <w:r w:rsidRPr="00880E7B">
        <w:rPr>
          <w:sz w:val="22"/>
          <w:szCs w:val="22"/>
        </w:rPr>
        <w:t>ene pirfenidona u dozi od 801 mg (3 x 1 kapsula od 267 mg) kod pacijenata sa um</w:t>
      </w:r>
      <w:r w:rsidR="00BD0820" w:rsidRPr="00880E7B">
        <w:rPr>
          <w:sz w:val="22"/>
          <w:szCs w:val="22"/>
        </w:rPr>
        <w:t>j</w:t>
      </w:r>
      <w:r w:rsidRPr="00880E7B">
        <w:rPr>
          <w:sz w:val="22"/>
          <w:szCs w:val="22"/>
        </w:rPr>
        <w:t>erenim oštećenjem funkcije jetre. Pirfenidon zato treba prim</w:t>
      </w:r>
      <w:r w:rsidR="00BD0820" w:rsidRPr="00880E7B">
        <w:rPr>
          <w:sz w:val="22"/>
          <w:szCs w:val="22"/>
        </w:rPr>
        <w:t>j</w:t>
      </w:r>
      <w:r w:rsidRPr="00880E7B">
        <w:rPr>
          <w:sz w:val="22"/>
          <w:szCs w:val="22"/>
        </w:rPr>
        <w:t>enjivati sa oprezom kod pacijenata sa blagim do um</w:t>
      </w:r>
      <w:r w:rsidR="00BD0820" w:rsidRPr="00880E7B">
        <w:rPr>
          <w:sz w:val="22"/>
          <w:szCs w:val="22"/>
        </w:rPr>
        <w:t>j</w:t>
      </w:r>
      <w:r w:rsidRPr="00880E7B">
        <w:rPr>
          <w:sz w:val="22"/>
          <w:szCs w:val="22"/>
        </w:rPr>
        <w:t>erenim oštećenjem funkcije jetre i takve pacijente treba pažljivo pratiti zbog pojave znakova toksičnosti, posebno ako istovremeno koriste poznate inhibitore CYP1A2 (</w:t>
      </w:r>
      <w:r w:rsidR="00FE6000" w:rsidRPr="00880E7B">
        <w:rPr>
          <w:sz w:val="22"/>
          <w:szCs w:val="22"/>
        </w:rPr>
        <w:t>vidjeti</w:t>
      </w:r>
      <w:r w:rsidRPr="00880E7B">
        <w:rPr>
          <w:sz w:val="22"/>
          <w:szCs w:val="22"/>
        </w:rPr>
        <w:t xml:space="preserve"> </w:t>
      </w:r>
      <w:r w:rsidR="00E52A7C" w:rsidRPr="00880E7B">
        <w:rPr>
          <w:sz w:val="22"/>
          <w:szCs w:val="22"/>
        </w:rPr>
        <w:t>djelove</w:t>
      </w:r>
      <w:r w:rsidRPr="00880E7B">
        <w:rPr>
          <w:sz w:val="22"/>
          <w:szCs w:val="22"/>
        </w:rPr>
        <w:t xml:space="preserve"> 4.2 i 4.4). </w:t>
      </w:r>
      <w:r w:rsidR="00FE6000" w:rsidRPr="00880E7B">
        <w:rPr>
          <w:sz w:val="22"/>
          <w:szCs w:val="22"/>
        </w:rPr>
        <w:t>Lijek</w:t>
      </w:r>
      <w:r w:rsidRPr="00880E7B">
        <w:rPr>
          <w:sz w:val="22"/>
          <w:szCs w:val="22"/>
        </w:rPr>
        <w:t xml:space="preserve"> ESBRIET je kontraindikovan kod teškog oštećenja funkcije jetre ili terminalne faze bolesti jetre (</w:t>
      </w:r>
      <w:r w:rsidR="00FE6000" w:rsidRPr="00880E7B">
        <w:rPr>
          <w:sz w:val="22"/>
          <w:szCs w:val="22"/>
        </w:rPr>
        <w:t>vidjeti</w:t>
      </w:r>
      <w:r w:rsidRPr="00880E7B">
        <w:rPr>
          <w:sz w:val="22"/>
          <w:szCs w:val="22"/>
        </w:rPr>
        <w:t xml:space="preserve"> </w:t>
      </w:r>
      <w:r w:rsidR="00E52A7C" w:rsidRPr="00880E7B">
        <w:rPr>
          <w:sz w:val="22"/>
          <w:szCs w:val="22"/>
        </w:rPr>
        <w:t xml:space="preserve">djelove </w:t>
      </w:r>
      <w:r w:rsidRPr="00880E7B">
        <w:rPr>
          <w:sz w:val="22"/>
          <w:szCs w:val="22"/>
        </w:rPr>
        <w:t>4.2 i 4.3).</w:t>
      </w:r>
    </w:p>
    <w:p w:rsidR="00780296" w:rsidRPr="00880E7B" w:rsidRDefault="00780296">
      <w:pPr>
        <w:spacing w:line="240" w:lineRule="exact"/>
        <w:jc w:val="both"/>
        <w:rPr>
          <w:i/>
          <w:iCs/>
          <w:sz w:val="22"/>
          <w:szCs w:val="22"/>
        </w:rPr>
      </w:pPr>
    </w:p>
    <w:p w:rsidR="00780296" w:rsidRPr="00880E7B" w:rsidRDefault="00780296">
      <w:pPr>
        <w:keepNext/>
        <w:keepLines/>
        <w:spacing w:line="240" w:lineRule="exact"/>
        <w:jc w:val="both"/>
        <w:rPr>
          <w:sz w:val="22"/>
          <w:szCs w:val="22"/>
        </w:rPr>
      </w:pPr>
      <w:r w:rsidRPr="00880E7B">
        <w:rPr>
          <w:i/>
          <w:sz w:val="22"/>
          <w:szCs w:val="22"/>
          <w:u w:val="single"/>
        </w:rPr>
        <w:lastRenderedPageBreak/>
        <w:t>Oštećenje funkcije bubrega</w:t>
      </w:r>
    </w:p>
    <w:p w:rsidR="00780296" w:rsidRPr="00880E7B" w:rsidRDefault="00BD0820">
      <w:pPr>
        <w:keepNext/>
        <w:keepLines/>
        <w:spacing w:line="240" w:lineRule="exact"/>
        <w:jc w:val="both"/>
        <w:rPr>
          <w:rFonts w:eastAsia="Calibri"/>
          <w:sz w:val="22"/>
          <w:szCs w:val="22"/>
        </w:rPr>
      </w:pPr>
      <w:r w:rsidRPr="00880E7B">
        <w:rPr>
          <w:sz w:val="22"/>
          <w:szCs w:val="22"/>
        </w:rPr>
        <w:t>Nijesu</w:t>
      </w:r>
      <w:r w:rsidR="00780296" w:rsidRPr="00880E7B">
        <w:rPr>
          <w:sz w:val="22"/>
          <w:szCs w:val="22"/>
        </w:rPr>
        <w:t xml:space="preserve"> prim</w:t>
      </w:r>
      <w:r w:rsidR="005D0061" w:rsidRPr="00880E7B">
        <w:rPr>
          <w:sz w:val="22"/>
          <w:szCs w:val="22"/>
        </w:rPr>
        <w:t>i</w:t>
      </w:r>
      <w:r w:rsidRPr="00880E7B">
        <w:rPr>
          <w:sz w:val="22"/>
          <w:szCs w:val="22"/>
        </w:rPr>
        <w:t>j</w:t>
      </w:r>
      <w:r w:rsidR="00780296" w:rsidRPr="00880E7B">
        <w:rPr>
          <w:sz w:val="22"/>
          <w:szCs w:val="22"/>
        </w:rPr>
        <w:t xml:space="preserve">ećene klinički relevantne razlike u farmakokinetici pirfenidona kod ispitanika sa blagim do teškim oštećenjem funkcije bubrega, u poređenju sa ispitanicima sa normalnom bubrežnom funkcijom. </w:t>
      </w:r>
      <w:r w:rsidR="00780296" w:rsidRPr="00880E7B">
        <w:rPr>
          <w:color w:val="000000"/>
          <w:sz w:val="22"/>
          <w:szCs w:val="22"/>
          <w:lang w:eastAsia="ja-JP"/>
        </w:rPr>
        <w:t>Pirfenidon</w:t>
      </w:r>
      <w:r w:rsidR="00780296" w:rsidRPr="00880E7B">
        <w:rPr>
          <w:sz w:val="22"/>
          <w:szCs w:val="22"/>
        </w:rPr>
        <w:t xml:space="preserve"> se prvenstveno metaboliše u 5-karboksi-pirfenidon. Srednja </w:t>
      </w:r>
      <w:r w:rsidR="009B493C" w:rsidRPr="00880E7B">
        <w:rPr>
          <w:sz w:val="22"/>
          <w:szCs w:val="22"/>
        </w:rPr>
        <w:t>vrijednost</w:t>
      </w:r>
      <w:r w:rsidR="00780296" w:rsidRPr="00880E7B">
        <w:rPr>
          <w:sz w:val="22"/>
          <w:szCs w:val="22"/>
        </w:rPr>
        <w:t xml:space="preserve"> (SD) </w:t>
      </w:r>
      <w:r w:rsidR="00780296" w:rsidRPr="00880E7B">
        <w:rPr>
          <w:sz w:val="22"/>
          <w:szCs w:val="22"/>
          <w:lang w:eastAsia="zh-CN"/>
        </w:rPr>
        <w:t xml:space="preserve">PIK0-∞ </w:t>
      </w:r>
      <w:r w:rsidR="00780296" w:rsidRPr="00880E7B">
        <w:rPr>
          <w:sz w:val="22"/>
          <w:szCs w:val="22"/>
        </w:rPr>
        <w:t>5-karboksi-pirfenidona bila je značajno viša u grupi sa um</w:t>
      </w:r>
      <w:r w:rsidRPr="00880E7B">
        <w:rPr>
          <w:sz w:val="22"/>
          <w:szCs w:val="22"/>
        </w:rPr>
        <w:t>j</w:t>
      </w:r>
      <w:r w:rsidR="00780296" w:rsidRPr="00880E7B">
        <w:rPr>
          <w:sz w:val="22"/>
          <w:szCs w:val="22"/>
        </w:rPr>
        <w:t xml:space="preserve">erenim </w:t>
      </w:r>
      <w:r w:rsidR="00780296" w:rsidRPr="00880E7B">
        <w:rPr>
          <w:sz w:val="22"/>
          <w:szCs w:val="22"/>
          <w:lang w:eastAsia="zh-CN"/>
        </w:rPr>
        <w:t>(p = 0,009) i teškim</w:t>
      </w:r>
      <w:r w:rsidR="00780296" w:rsidRPr="00880E7B">
        <w:rPr>
          <w:sz w:val="22"/>
          <w:szCs w:val="22"/>
        </w:rPr>
        <w:t xml:space="preserve"> </w:t>
      </w:r>
      <w:r w:rsidR="00780296" w:rsidRPr="00880E7B">
        <w:rPr>
          <w:sz w:val="22"/>
          <w:szCs w:val="22"/>
          <w:lang w:eastAsia="zh-CN"/>
        </w:rPr>
        <w:t>(p &lt; 0,0001) oštećenjem funkcije bubrega nego u grupi sa normalnom bubrežnom funkcijom</w:t>
      </w:r>
      <w:r w:rsidR="00780296" w:rsidRPr="00880E7B">
        <w:rPr>
          <w:sz w:val="22"/>
          <w:szCs w:val="22"/>
        </w:rPr>
        <w:t xml:space="preserve">; </w:t>
      </w:r>
      <w:r w:rsidR="00780296" w:rsidRPr="00880E7B">
        <w:rPr>
          <w:rFonts w:eastAsia="Calibri"/>
          <w:sz w:val="22"/>
          <w:szCs w:val="22"/>
        </w:rPr>
        <w:t>100 (26,3) mg•h/</w:t>
      </w:r>
      <w:r w:rsidRPr="00880E7B">
        <w:rPr>
          <w:rFonts w:eastAsia="Calibri"/>
          <w:sz w:val="22"/>
          <w:szCs w:val="22"/>
        </w:rPr>
        <w:t>l</w:t>
      </w:r>
      <w:r w:rsidR="00780296" w:rsidRPr="00880E7B">
        <w:rPr>
          <w:rFonts w:eastAsia="Calibri"/>
          <w:sz w:val="22"/>
          <w:szCs w:val="22"/>
        </w:rPr>
        <w:t xml:space="preserve"> odnosno 168 (67,4) mg•h/</w:t>
      </w:r>
      <w:r w:rsidRPr="00880E7B">
        <w:rPr>
          <w:rFonts w:eastAsia="Calibri"/>
          <w:sz w:val="22"/>
          <w:szCs w:val="22"/>
        </w:rPr>
        <w:t>l</w:t>
      </w:r>
      <w:r w:rsidR="00780296" w:rsidRPr="00880E7B">
        <w:rPr>
          <w:rFonts w:eastAsia="Calibri"/>
          <w:sz w:val="22"/>
          <w:szCs w:val="22"/>
        </w:rPr>
        <w:t>, u poređenju sa 28,7 (4,99) mg•h/</w:t>
      </w:r>
      <w:r w:rsidRPr="00880E7B">
        <w:rPr>
          <w:rFonts w:eastAsia="Calibri"/>
          <w:sz w:val="22"/>
          <w:szCs w:val="22"/>
        </w:rPr>
        <w:t>l</w:t>
      </w:r>
      <w:r w:rsidR="00780296" w:rsidRPr="00880E7B">
        <w:rPr>
          <w:rFonts w:eastAsia="Calibri"/>
          <w:sz w:val="22"/>
          <w:szCs w:val="22"/>
        </w:rPr>
        <w:t>.</w:t>
      </w:r>
    </w:p>
    <w:p w:rsidR="00780296" w:rsidRPr="00880E7B" w:rsidRDefault="00780296">
      <w:pPr>
        <w:keepNext/>
        <w:keepLines/>
        <w:spacing w:line="240" w:lineRule="exact"/>
        <w:jc w:val="both"/>
        <w:rPr>
          <w:rFonts w:eastAsia="Calibri"/>
          <w:sz w:val="22"/>
          <w:szCs w:val="22"/>
        </w:rPr>
      </w:pPr>
    </w:p>
    <w:tbl>
      <w:tblPr>
        <w:tblW w:w="5000" w:type="pct"/>
        <w:tblCellMar>
          <w:left w:w="0" w:type="dxa"/>
          <w:right w:w="0" w:type="dxa"/>
        </w:tblCellMar>
        <w:tblLook w:val="01E0" w:firstRow="1" w:lastRow="1" w:firstColumn="1" w:lastColumn="1" w:noHBand="0" w:noVBand="0"/>
      </w:tblPr>
      <w:tblGrid>
        <w:gridCol w:w="1573"/>
        <w:gridCol w:w="2231"/>
        <w:gridCol w:w="2637"/>
        <w:gridCol w:w="2628"/>
      </w:tblGrid>
      <w:tr w:rsidR="00780296" w:rsidRPr="00880E7B" w:rsidTr="00FE6000">
        <w:trPr>
          <w:trHeight w:hRule="exact" w:val="350"/>
        </w:trPr>
        <w:tc>
          <w:tcPr>
            <w:tcW w:w="867" w:type="pct"/>
            <w:vMerge w:val="restart"/>
            <w:tcBorders>
              <w:top w:val="single" w:sz="6" w:space="0" w:color="000000"/>
              <w:left w:val="single" w:sz="6" w:space="0" w:color="000000"/>
              <w:right w:val="single" w:sz="6" w:space="0" w:color="000000"/>
            </w:tcBorders>
          </w:tcPr>
          <w:p w:rsidR="00780296" w:rsidRPr="00880E7B" w:rsidRDefault="00780296" w:rsidP="00DC7E27">
            <w:pPr>
              <w:keepNext/>
              <w:keepLines/>
              <w:spacing w:before="50" w:after="50" w:line="240" w:lineRule="exact"/>
              <w:jc w:val="center"/>
              <w:rPr>
                <w:rFonts w:eastAsia="SimSun"/>
                <w:b/>
                <w:sz w:val="22"/>
                <w:szCs w:val="22"/>
                <w:lang w:eastAsia="zh-CN"/>
              </w:rPr>
            </w:pPr>
            <w:r w:rsidRPr="00880E7B">
              <w:rPr>
                <w:rFonts w:eastAsia="SimSun"/>
                <w:b/>
                <w:spacing w:val="-1"/>
                <w:sz w:val="22"/>
                <w:szCs w:val="22"/>
                <w:lang w:eastAsia="zh-CN"/>
              </w:rPr>
              <w:t>Grupa prema stepenu oštećenja bubrežne funkcije</w:t>
            </w:r>
          </w:p>
        </w:tc>
        <w:tc>
          <w:tcPr>
            <w:tcW w:w="1230" w:type="pct"/>
            <w:vMerge w:val="restart"/>
            <w:tcBorders>
              <w:top w:val="single" w:sz="6" w:space="0" w:color="000000"/>
              <w:left w:val="single" w:sz="6" w:space="0" w:color="000000"/>
              <w:right w:val="single" w:sz="6" w:space="0" w:color="000000"/>
            </w:tcBorders>
          </w:tcPr>
          <w:p w:rsidR="00780296" w:rsidRPr="00880E7B" w:rsidRDefault="00780296" w:rsidP="00DC7E27">
            <w:pPr>
              <w:keepNext/>
              <w:keepLines/>
              <w:spacing w:before="50" w:after="50" w:line="240" w:lineRule="exact"/>
              <w:jc w:val="center"/>
              <w:rPr>
                <w:rFonts w:eastAsia="Calibri"/>
                <w:b/>
                <w:sz w:val="22"/>
                <w:szCs w:val="22"/>
              </w:rPr>
            </w:pPr>
          </w:p>
          <w:p w:rsidR="00780296" w:rsidRPr="00880E7B" w:rsidRDefault="00780296" w:rsidP="00DC7E27">
            <w:pPr>
              <w:keepNext/>
              <w:keepLines/>
              <w:spacing w:before="50" w:after="50" w:line="240" w:lineRule="exact"/>
              <w:jc w:val="center"/>
              <w:rPr>
                <w:rFonts w:eastAsia="SimSun"/>
                <w:b/>
                <w:sz w:val="22"/>
                <w:szCs w:val="22"/>
              </w:rPr>
            </w:pPr>
            <w:r w:rsidRPr="00880E7B">
              <w:rPr>
                <w:rFonts w:eastAsia="SimSun"/>
                <w:b/>
                <w:spacing w:val="-1"/>
                <w:sz w:val="22"/>
                <w:szCs w:val="22"/>
              </w:rPr>
              <w:t>Statistika</w:t>
            </w:r>
          </w:p>
        </w:tc>
        <w:tc>
          <w:tcPr>
            <w:tcW w:w="2903" w:type="pct"/>
            <w:gridSpan w:val="2"/>
            <w:tcBorders>
              <w:top w:val="single" w:sz="6" w:space="0" w:color="000000"/>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b/>
                <w:sz w:val="22"/>
                <w:szCs w:val="22"/>
              </w:rPr>
            </w:pPr>
            <w:r w:rsidRPr="00880E7B">
              <w:rPr>
                <w:rFonts w:eastAsia="SimSun"/>
                <w:b/>
                <w:spacing w:val="-3"/>
                <w:sz w:val="22"/>
                <w:szCs w:val="22"/>
              </w:rPr>
              <w:t>PIK</w:t>
            </w:r>
            <w:r w:rsidRPr="00880E7B">
              <w:rPr>
                <w:rFonts w:eastAsia="SimSun"/>
                <w:b/>
                <w:position w:val="-1"/>
                <w:sz w:val="22"/>
                <w:szCs w:val="22"/>
              </w:rPr>
              <w:t>0</w:t>
            </w:r>
            <w:r w:rsidRPr="00880E7B">
              <w:rPr>
                <w:rFonts w:eastAsia="SimSun"/>
                <w:b/>
                <w:spacing w:val="-1"/>
                <w:position w:val="-1"/>
                <w:sz w:val="22"/>
                <w:szCs w:val="22"/>
              </w:rPr>
              <w:t>-</w:t>
            </w:r>
            <w:r w:rsidRPr="00880E7B">
              <w:rPr>
                <w:rFonts w:eastAsia="SimSun" w:hint="eastAsia"/>
                <w:b/>
                <w:position w:val="-2"/>
                <w:sz w:val="22"/>
                <w:szCs w:val="22"/>
              </w:rPr>
              <w:t>∞</w:t>
            </w:r>
            <w:r w:rsidRPr="00880E7B">
              <w:rPr>
                <w:rFonts w:eastAsia="SimSun" w:hint="eastAsia"/>
                <w:b/>
                <w:position w:val="-2"/>
                <w:sz w:val="22"/>
                <w:szCs w:val="22"/>
              </w:rPr>
              <w:t xml:space="preserve"> </w:t>
            </w:r>
            <w:r w:rsidRPr="00880E7B">
              <w:rPr>
                <w:rFonts w:eastAsia="SimSun"/>
                <w:b/>
                <w:sz w:val="22"/>
                <w:szCs w:val="22"/>
              </w:rPr>
              <w:t>(mg•h/</w:t>
            </w:r>
            <w:r w:rsidR="00BD0820" w:rsidRPr="00880E7B">
              <w:rPr>
                <w:rFonts w:eastAsia="SimSun"/>
                <w:b/>
                <w:sz w:val="22"/>
                <w:szCs w:val="22"/>
              </w:rPr>
              <w:t>l</w:t>
            </w:r>
            <w:r w:rsidRPr="00880E7B">
              <w:rPr>
                <w:rFonts w:eastAsia="SimSun"/>
                <w:b/>
                <w:sz w:val="22"/>
                <w:szCs w:val="22"/>
              </w:rPr>
              <w:t>)</w:t>
            </w:r>
          </w:p>
        </w:tc>
      </w:tr>
      <w:tr w:rsidR="00780296" w:rsidRPr="00880E7B" w:rsidTr="00BD0820">
        <w:trPr>
          <w:trHeight w:hRule="exact" w:val="1158"/>
        </w:trPr>
        <w:tc>
          <w:tcPr>
            <w:tcW w:w="867" w:type="pct"/>
            <w:vMerge/>
            <w:tcBorders>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Calibri"/>
                <w:b/>
                <w:sz w:val="22"/>
                <w:szCs w:val="22"/>
              </w:rPr>
            </w:pPr>
          </w:p>
        </w:tc>
        <w:tc>
          <w:tcPr>
            <w:tcW w:w="1230" w:type="pct"/>
            <w:vMerge/>
            <w:tcBorders>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Calibri"/>
                <w:b/>
                <w:sz w:val="22"/>
                <w:szCs w:val="22"/>
              </w:rPr>
            </w:pPr>
          </w:p>
        </w:tc>
        <w:tc>
          <w:tcPr>
            <w:tcW w:w="1454" w:type="pct"/>
            <w:tcBorders>
              <w:top w:val="single" w:sz="5" w:space="0" w:color="000000"/>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b/>
                <w:sz w:val="22"/>
                <w:szCs w:val="22"/>
              </w:rPr>
            </w:pPr>
            <w:r w:rsidRPr="00880E7B">
              <w:rPr>
                <w:rFonts w:eastAsia="SimSun"/>
                <w:b/>
                <w:sz w:val="22"/>
                <w:szCs w:val="22"/>
              </w:rPr>
              <w:t>Pirf</w:t>
            </w:r>
            <w:r w:rsidRPr="00880E7B">
              <w:rPr>
                <w:rFonts w:eastAsia="SimSun"/>
                <w:b/>
                <w:spacing w:val="-1"/>
                <w:sz w:val="22"/>
                <w:szCs w:val="22"/>
              </w:rPr>
              <w:t>e</w:t>
            </w:r>
            <w:r w:rsidRPr="00880E7B">
              <w:rPr>
                <w:rFonts w:eastAsia="SimSun"/>
                <w:b/>
                <w:sz w:val="22"/>
                <w:szCs w:val="22"/>
              </w:rPr>
              <w:t>nidon</w:t>
            </w:r>
          </w:p>
        </w:tc>
        <w:tc>
          <w:tcPr>
            <w:tcW w:w="1449" w:type="pct"/>
            <w:tcBorders>
              <w:top w:val="single" w:sz="5" w:space="0" w:color="000000"/>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b/>
                <w:sz w:val="22"/>
                <w:szCs w:val="22"/>
              </w:rPr>
            </w:pPr>
            <w:r w:rsidRPr="00880E7B">
              <w:rPr>
                <w:rFonts w:eastAsia="SimSun"/>
                <w:b/>
                <w:spacing w:val="-1"/>
                <w:sz w:val="22"/>
                <w:szCs w:val="22"/>
              </w:rPr>
              <w:t>5</w:t>
            </w:r>
            <w:r w:rsidRPr="00880E7B">
              <w:rPr>
                <w:rFonts w:eastAsia="SimSun"/>
                <w:b/>
                <w:sz w:val="22"/>
                <w:szCs w:val="22"/>
              </w:rPr>
              <w:t>-k</w:t>
            </w:r>
            <w:r w:rsidRPr="00880E7B">
              <w:rPr>
                <w:rFonts w:eastAsia="SimSun"/>
                <w:b/>
                <w:spacing w:val="-1"/>
                <w:sz w:val="22"/>
                <w:szCs w:val="22"/>
              </w:rPr>
              <w:t>a</w:t>
            </w:r>
            <w:r w:rsidRPr="00880E7B">
              <w:rPr>
                <w:rFonts w:eastAsia="SimSun"/>
                <w:b/>
                <w:sz w:val="22"/>
                <w:szCs w:val="22"/>
              </w:rPr>
              <w:t>rboksi-pirf</w:t>
            </w:r>
            <w:r w:rsidRPr="00880E7B">
              <w:rPr>
                <w:rFonts w:eastAsia="SimSun"/>
                <w:b/>
                <w:spacing w:val="-1"/>
                <w:sz w:val="22"/>
                <w:szCs w:val="22"/>
              </w:rPr>
              <w:t>e</w:t>
            </w:r>
            <w:r w:rsidRPr="00880E7B">
              <w:rPr>
                <w:rFonts w:eastAsia="SimSun"/>
                <w:b/>
                <w:sz w:val="22"/>
                <w:szCs w:val="22"/>
              </w:rPr>
              <w:t>nidon</w:t>
            </w:r>
          </w:p>
        </w:tc>
      </w:tr>
      <w:tr w:rsidR="00780296" w:rsidRPr="00880E7B" w:rsidTr="00DC7E27">
        <w:trPr>
          <w:trHeight w:hRule="exact" w:val="549"/>
        </w:trPr>
        <w:tc>
          <w:tcPr>
            <w:tcW w:w="867" w:type="pct"/>
            <w:tcBorders>
              <w:top w:val="single" w:sz="5" w:space="0" w:color="000000"/>
              <w:left w:val="single" w:sz="6" w:space="0" w:color="000000"/>
              <w:bottom w:val="nil"/>
              <w:right w:val="single" w:sz="6" w:space="0" w:color="000000"/>
            </w:tcBorders>
          </w:tcPr>
          <w:p w:rsidR="00780296" w:rsidRPr="00E2025F" w:rsidRDefault="00780296" w:rsidP="00DC7E27">
            <w:pPr>
              <w:keepNext/>
              <w:keepLines/>
              <w:spacing w:before="50" w:after="50" w:line="240" w:lineRule="exact"/>
              <w:jc w:val="center"/>
              <w:rPr>
                <w:rFonts w:eastAsia="SimSun"/>
                <w:sz w:val="22"/>
                <w:szCs w:val="22"/>
              </w:rPr>
            </w:pPr>
            <w:r w:rsidRPr="00880E7B">
              <w:rPr>
                <w:rFonts w:eastAsia="SimSun"/>
                <w:sz w:val="22"/>
                <w:szCs w:val="22"/>
              </w:rPr>
              <w:t>Nor</w:t>
            </w:r>
            <w:r w:rsidRPr="00880E7B">
              <w:rPr>
                <w:rFonts w:eastAsia="SimSun"/>
                <w:spacing w:val="-3"/>
                <w:sz w:val="22"/>
                <w:szCs w:val="22"/>
              </w:rPr>
              <w:t>m</w:t>
            </w:r>
            <w:r w:rsidRPr="00880E7B">
              <w:rPr>
                <w:rFonts w:eastAsia="SimSun"/>
                <w:sz w:val="22"/>
                <w:szCs w:val="22"/>
              </w:rPr>
              <w:t>alna funkcija</w:t>
            </w:r>
          </w:p>
        </w:tc>
        <w:tc>
          <w:tcPr>
            <w:tcW w:w="1230" w:type="pct"/>
            <w:tcBorders>
              <w:top w:val="single" w:sz="5" w:space="0" w:color="000000"/>
              <w:left w:val="single" w:sz="6" w:space="0" w:color="000000"/>
              <w:bottom w:val="nil"/>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 xml:space="preserve">Srednja </w:t>
            </w:r>
            <w:r w:rsidR="009B493C" w:rsidRPr="00A96251">
              <w:rPr>
                <w:rFonts w:eastAsia="SimSun"/>
                <w:sz w:val="22"/>
                <w:szCs w:val="22"/>
              </w:rPr>
              <w:t>vrijednost</w:t>
            </w:r>
            <w:r w:rsidRPr="00A96251">
              <w:rPr>
                <w:rFonts w:eastAsia="SimSun"/>
                <w:sz w:val="22"/>
                <w:szCs w:val="22"/>
              </w:rPr>
              <w:t xml:space="preserve"> (SD)</w:t>
            </w:r>
          </w:p>
        </w:tc>
        <w:tc>
          <w:tcPr>
            <w:tcW w:w="1454" w:type="pct"/>
            <w:tcBorders>
              <w:top w:val="single" w:sz="5" w:space="0" w:color="000000"/>
              <w:left w:val="single" w:sz="6" w:space="0" w:color="000000"/>
              <w:bottom w:val="nil"/>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42,6 (17,9)</w:t>
            </w:r>
          </w:p>
        </w:tc>
        <w:tc>
          <w:tcPr>
            <w:tcW w:w="1449" w:type="pct"/>
            <w:tcBorders>
              <w:top w:val="single" w:sz="5" w:space="0" w:color="000000"/>
              <w:left w:val="single" w:sz="6" w:space="0" w:color="000000"/>
              <w:bottom w:val="nil"/>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28,7 (4,99)</w:t>
            </w:r>
          </w:p>
        </w:tc>
      </w:tr>
      <w:tr w:rsidR="00780296" w:rsidRPr="00880E7B" w:rsidTr="00FE6000">
        <w:trPr>
          <w:trHeight w:hRule="exact" w:val="306"/>
        </w:trPr>
        <w:tc>
          <w:tcPr>
            <w:tcW w:w="867" w:type="pct"/>
            <w:tcBorders>
              <w:top w:val="nil"/>
              <w:left w:val="single" w:sz="6" w:space="0" w:color="000000"/>
              <w:bottom w:val="single" w:sz="6" w:space="0" w:color="000000"/>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n </w:t>
            </w:r>
            <w:r w:rsidRPr="00880E7B">
              <w:rPr>
                <w:rFonts w:eastAsia="SimSun"/>
                <w:sz w:val="22"/>
                <w:szCs w:val="22"/>
              </w:rPr>
              <w:sym w:font="Symbol" w:char="F03D"/>
            </w:r>
            <w:r w:rsidRPr="00880E7B">
              <w:rPr>
                <w:rFonts w:eastAsia="SimSun"/>
                <w:sz w:val="22"/>
                <w:szCs w:val="22"/>
              </w:rPr>
              <w:t> 6</w:t>
            </w:r>
          </w:p>
        </w:tc>
        <w:tc>
          <w:tcPr>
            <w:tcW w:w="1230" w:type="pct"/>
            <w:tcBorders>
              <w:top w:val="nil"/>
              <w:left w:val="single" w:sz="6" w:space="0" w:color="000000"/>
              <w:bottom w:val="single" w:sz="6" w:space="0" w:color="000000"/>
              <w:right w:val="single" w:sz="6" w:space="0" w:color="000000"/>
            </w:tcBorders>
          </w:tcPr>
          <w:p w:rsidR="00780296" w:rsidRPr="00C857FD" w:rsidRDefault="00BD0820" w:rsidP="00DC7E27">
            <w:pPr>
              <w:keepNext/>
              <w:keepLines/>
              <w:spacing w:before="50" w:after="50" w:line="240" w:lineRule="exact"/>
              <w:jc w:val="center"/>
              <w:rPr>
                <w:rFonts w:eastAsia="SimSun"/>
                <w:sz w:val="22"/>
                <w:szCs w:val="22"/>
              </w:rPr>
            </w:pPr>
            <w:r w:rsidRPr="00E2025F">
              <w:rPr>
                <w:rFonts w:eastAsia="SimSun"/>
                <w:sz w:val="22"/>
                <w:szCs w:val="22"/>
              </w:rPr>
              <w:t>Medi</w:t>
            </w:r>
            <w:r w:rsidR="00780296" w:rsidRPr="00E2025F">
              <w:rPr>
                <w:rFonts w:eastAsia="SimSun"/>
                <w:sz w:val="22"/>
                <w:szCs w:val="22"/>
              </w:rPr>
              <w:t>jana</w:t>
            </w:r>
            <w:r w:rsidR="00780296" w:rsidRPr="00C857FD">
              <w:rPr>
                <w:rFonts w:eastAsia="SimSun"/>
                <w:spacing w:val="-4"/>
                <w:sz w:val="22"/>
                <w:szCs w:val="22"/>
              </w:rPr>
              <w:t xml:space="preserve"> </w:t>
            </w:r>
            <w:r w:rsidR="00780296" w:rsidRPr="00C857FD">
              <w:rPr>
                <w:rFonts w:eastAsia="SimSun"/>
                <w:sz w:val="22"/>
                <w:szCs w:val="22"/>
              </w:rPr>
              <w:t>(25–75)</w:t>
            </w:r>
          </w:p>
        </w:tc>
        <w:tc>
          <w:tcPr>
            <w:tcW w:w="1454" w:type="pct"/>
            <w:tcBorders>
              <w:top w:val="nil"/>
              <w:left w:val="single" w:sz="6" w:space="0" w:color="000000"/>
              <w:bottom w:val="single" w:sz="6" w:space="0" w:color="000000"/>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42,0 (33,1–55,6)</w:t>
            </w:r>
          </w:p>
        </w:tc>
        <w:tc>
          <w:tcPr>
            <w:tcW w:w="1449" w:type="pct"/>
            <w:tcBorders>
              <w:top w:val="nil"/>
              <w:left w:val="single" w:sz="6" w:space="0" w:color="000000"/>
              <w:bottom w:val="single" w:sz="6" w:space="0" w:color="000000"/>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30,8 (24,1–32,1)</w:t>
            </w:r>
          </w:p>
        </w:tc>
      </w:tr>
      <w:tr w:rsidR="00780296" w:rsidRPr="00880E7B" w:rsidTr="00FE6000">
        <w:trPr>
          <w:trHeight w:hRule="exact" w:val="397"/>
        </w:trPr>
        <w:tc>
          <w:tcPr>
            <w:tcW w:w="867" w:type="pct"/>
            <w:tcBorders>
              <w:top w:val="single" w:sz="5" w:space="0" w:color="000000"/>
              <w:left w:val="single" w:sz="6" w:space="0" w:color="000000"/>
              <w:bottom w:val="nil"/>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Blago oštećenje</w:t>
            </w:r>
          </w:p>
        </w:tc>
        <w:tc>
          <w:tcPr>
            <w:tcW w:w="1230" w:type="pct"/>
            <w:tcBorders>
              <w:top w:val="single" w:sz="5" w:space="0" w:color="000000"/>
              <w:left w:val="single" w:sz="6" w:space="0" w:color="000000"/>
              <w:bottom w:val="nil"/>
              <w:right w:val="single" w:sz="6" w:space="0" w:color="000000"/>
            </w:tcBorders>
          </w:tcPr>
          <w:p w:rsidR="00780296" w:rsidRPr="00C857FD" w:rsidRDefault="00780296" w:rsidP="00DC7E27">
            <w:pPr>
              <w:keepNext/>
              <w:keepLines/>
              <w:spacing w:before="50" w:after="50" w:line="240" w:lineRule="exact"/>
              <w:jc w:val="center"/>
              <w:rPr>
                <w:rFonts w:eastAsia="SimSun"/>
                <w:sz w:val="22"/>
                <w:szCs w:val="22"/>
              </w:rPr>
            </w:pPr>
            <w:r w:rsidRPr="00E2025F">
              <w:rPr>
                <w:rFonts w:eastAsia="SimSun"/>
                <w:sz w:val="22"/>
                <w:szCs w:val="22"/>
              </w:rPr>
              <w:t xml:space="preserve">Srednja </w:t>
            </w:r>
            <w:r w:rsidR="009B493C" w:rsidRPr="00E2025F">
              <w:rPr>
                <w:rFonts w:eastAsia="SimSun"/>
                <w:sz w:val="22"/>
                <w:szCs w:val="22"/>
              </w:rPr>
              <w:t>vrijednost</w:t>
            </w:r>
            <w:r w:rsidRPr="00C857FD">
              <w:rPr>
                <w:rFonts w:eastAsia="SimSun"/>
                <w:sz w:val="22"/>
                <w:szCs w:val="22"/>
              </w:rPr>
              <w:t xml:space="preserve"> (SD)</w:t>
            </w:r>
          </w:p>
        </w:tc>
        <w:tc>
          <w:tcPr>
            <w:tcW w:w="1454" w:type="pct"/>
            <w:tcBorders>
              <w:top w:val="single" w:sz="5" w:space="0" w:color="000000"/>
              <w:left w:val="single" w:sz="6" w:space="0" w:color="000000"/>
              <w:bottom w:val="nil"/>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59,1 (21,5)</w:t>
            </w:r>
          </w:p>
        </w:tc>
        <w:tc>
          <w:tcPr>
            <w:tcW w:w="1449" w:type="pct"/>
            <w:tcBorders>
              <w:top w:val="single" w:sz="5" w:space="0" w:color="000000"/>
              <w:left w:val="single" w:sz="6" w:space="0" w:color="000000"/>
              <w:bottom w:val="nil"/>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49,3</w:t>
            </w:r>
            <w:r w:rsidRPr="00880E7B">
              <w:rPr>
                <w:rFonts w:eastAsia="SimSun"/>
                <w:position w:val="9"/>
                <w:sz w:val="22"/>
                <w:szCs w:val="22"/>
                <w:vertAlign w:val="superscript"/>
              </w:rPr>
              <w:t>a</w:t>
            </w:r>
            <w:r w:rsidRPr="00880E7B">
              <w:rPr>
                <w:rFonts w:eastAsia="SimSun"/>
                <w:spacing w:val="15"/>
                <w:position w:val="9"/>
                <w:sz w:val="22"/>
                <w:szCs w:val="22"/>
                <w:vertAlign w:val="superscript"/>
              </w:rPr>
              <w:t xml:space="preserve"> </w:t>
            </w:r>
            <w:r w:rsidRPr="00880E7B">
              <w:rPr>
                <w:rFonts w:eastAsia="SimSun"/>
                <w:sz w:val="22"/>
                <w:szCs w:val="22"/>
              </w:rPr>
              <w:t>(14,6)</w:t>
            </w:r>
          </w:p>
        </w:tc>
      </w:tr>
      <w:tr w:rsidR="00780296" w:rsidRPr="00880E7B" w:rsidTr="00FE6000">
        <w:trPr>
          <w:trHeight w:hRule="exact" w:val="306"/>
        </w:trPr>
        <w:tc>
          <w:tcPr>
            <w:tcW w:w="867" w:type="pct"/>
            <w:tcBorders>
              <w:top w:val="nil"/>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n </w:t>
            </w:r>
            <w:r w:rsidRPr="00880E7B">
              <w:rPr>
                <w:rFonts w:eastAsia="SimSun"/>
                <w:sz w:val="22"/>
                <w:szCs w:val="22"/>
              </w:rPr>
              <w:sym w:font="Symbol" w:char="F03D"/>
            </w:r>
            <w:r w:rsidRPr="00880E7B">
              <w:rPr>
                <w:rFonts w:eastAsia="SimSun"/>
                <w:sz w:val="22"/>
                <w:szCs w:val="22"/>
              </w:rPr>
              <w:t> 6</w:t>
            </w:r>
          </w:p>
        </w:tc>
        <w:tc>
          <w:tcPr>
            <w:tcW w:w="1230" w:type="pct"/>
            <w:tcBorders>
              <w:top w:val="nil"/>
              <w:left w:val="single" w:sz="6" w:space="0" w:color="000000"/>
              <w:bottom w:val="single" w:sz="5" w:space="0" w:color="000000"/>
              <w:right w:val="single" w:sz="6" w:space="0" w:color="000000"/>
            </w:tcBorders>
          </w:tcPr>
          <w:p w:rsidR="00780296" w:rsidRPr="00C857FD" w:rsidRDefault="00780296" w:rsidP="00DC7E27">
            <w:pPr>
              <w:keepNext/>
              <w:keepLines/>
              <w:spacing w:before="50" w:after="50" w:line="240" w:lineRule="exact"/>
              <w:jc w:val="center"/>
              <w:rPr>
                <w:rFonts w:eastAsia="SimSun"/>
                <w:sz w:val="22"/>
                <w:szCs w:val="22"/>
              </w:rPr>
            </w:pPr>
            <w:r w:rsidRPr="00E2025F">
              <w:rPr>
                <w:rFonts w:eastAsia="SimSun"/>
                <w:sz w:val="22"/>
                <w:szCs w:val="22"/>
              </w:rPr>
              <w:t>Medijana</w:t>
            </w:r>
            <w:r w:rsidRPr="00E2025F">
              <w:rPr>
                <w:rFonts w:eastAsia="SimSun"/>
                <w:spacing w:val="-4"/>
                <w:sz w:val="22"/>
                <w:szCs w:val="22"/>
              </w:rPr>
              <w:t xml:space="preserve"> </w:t>
            </w:r>
            <w:r w:rsidRPr="00C857FD">
              <w:rPr>
                <w:rFonts w:eastAsia="SimSun"/>
                <w:sz w:val="22"/>
                <w:szCs w:val="22"/>
              </w:rPr>
              <w:t>(25–75)</w:t>
            </w:r>
          </w:p>
        </w:tc>
        <w:tc>
          <w:tcPr>
            <w:tcW w:w="1454" w:type="pct"/>
            <w:tcBorders>
              <w:top w:val="nil"/>
              <w:left w:val="single" w:sz="6" w:space="0" w:color="000000"/>
              <w:bottom w:val="single" w:sz="5" w:space="0" w:color="000000"/>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51,6 (43,7–80,3)</w:t>
            </w:r>
          </w:p>
        </w:tc>
        <w:tc>
          <w:tcPr>
            <w:tcW w:w="1449" w:type="pct"/>
            <w:tcBorders>
              <w:top w:val="nil"/>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43,0 (38,8–56,8)</w:t>
            </w:r>
          </w:p>
        </w:tc>
      </w:tr>
      <w:tr w:rsidR="00780296" w:rsidRPr="00880E7B" w:rsidTr="00DC7E27">
        <w:trPr>
          <w:trHeight w:hRule="exact" w:val="557"/>
        </w:trPr>
        <w:tc>
          <w:tcPr>
            <w:tcW w:w="867" w:type="pct"/>
            <w:tcBorders>
              <w:top w:val="single" w:sz="5" w:space="0" w:color="000000"/>
              <w:left w:val="single" w:sz="6" w:space="0" w:color="000000"/>
              <w:bottom w:val="nil"/>
              <w:right w:val="single" w:sz="6" w:space="0" w:color="000000"/>
            </w:tcBorders>
          </w:tcPr>
          <w:p w:rsidR="00780296" w:rsidRPr="00E2025F" w:rsidRDefault="00780296" w:rsidP="00DC7E27">
            <w:pPr>
              <w:keepNext/>
              <w:keepLines/>
              <w:spacing w:before="50" w:after="50" w:line="240" w:lineRule="exact"/>
              <w:jc w:val="center"/>
              <w:rPr>
                <w:rFonts w:eastAsia="SimSun"/>
                <w:sz w:val="22"/>
                <w:szCs w:val="22"/>
              </w:rPr>
            </w:pPr>
            <w:r w:rsidRPr="00880E7B">
              <w:rPr>
                <w:rFonts w:eastAsia="SimSun"/>
                <w:sz w:val="22"/>
                <w:szCs w:val="22"/>
              </w:rPr>
              <w:t>Um</w:t>
            </w:r>
            <w:r w:rsidR="00045D87" w:rsidRPr="00880E7B">
              <w:rPr>
                <w:rFonts w:eastAsia="SimSun"/>
                <w:sz w:val="22"/>
                <w:szCs w:val="22"/>
              </w:rPr>
              <w:t>j</w:t>
            </w:r>
            <w:r w:rsidRPr="00880E7B">
              <w:rPr>
                <w:rFonts w:eastAsia="SimSun"/>
                <w:sz w:val="22"/>
                <w:szCs w:val="22"/>
              </w:rPr>
              <w:t>ereno oštećenje</w:t>
            </w:r>
          </w:p>
        </w:tc>
        <w:tc>
          <w:tcPr>
            <w:tcW w:w="1230" w:type="pct"/>
            <w:tcBorders>
              <w:top w:val="single" w:sz="5" w:space="0" w:color="000000"/>
              <w:left w:val="single" w:sz="6" w:space="0" w:color="000000"/>
              <w:bottom w:val="nil"/>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 xml:space="preserve">Srednja </w:t>
            </w:r>
            <w:r w:rsidR="009B493C" w:rsidRPr="00A96251">
              <w:rPr>
                <w:rFonts w:eastAsia="SimSun"/>
                <w:sz w:val="22"/>
                <w:szCs w:val="22"/>
              </w:rPr>
              <w:t>vrijednost</w:t>
            </w:r>
            <w:r w:rsidRPr="00A96251">
              <w:rPr>
                <w:rFonts w:eastAsia="SimSun"/>
                <w:sz w:val="22"/>
                <w:szCs w:val="22"/>
              </w:rPr>
              <w:t>(SD)</w:t>
            </w:r>
          </w:p>
        </w:tc>
        <w:tc>
          <w:tcPr>
            <w:tcW w:w="1454" w:type="pct"/>
            <w:tcBorders>
              <w:top w:val="single" w:sz="5" w:space="0" w:color="000000"/>
              <w:left w:val="single" w:sz="6" w:space="0" w:color="000000"/>
              <w:bottom w:val="nil"/>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63,5 (19,5)</w:t>
            </w:r>
          </w:p>
        </w:tc>
        <w:tc>
          <w:tcPr>
            <w:tcW w:w="1449" w:type="pct"/>
            <w:tcBorders>
              <w:top w:val="single" w:sz="5" w:space="0" w:color="000000"/>
              <w:left w:val="single" w:sz="6" w:space="0" w:color="000000"/>
              <w:bottom w:val="nil"/>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100</w:t>
            </w:r>
            <w:r w:rsidRPr="00880E7B">
              <w:rPr>
                <w:rFonts w:eastAsia="SimSun"/>
                <w:position w:val="9"/>
                <w:sz w:val="22"/>
                <w:szCs w:val="22"/>
                <w:vertAlign w:val="superscript"/>
              </w:rPr>
              <w:t>b</w:t>
            </w:r>
            <w:r w:rsidRPr="00880E7B">
              <w:rPr>
                <w:rFonts w:eastAsia="SimSun"/>
                <w:spacing w:val="15"/>
                <w:position w:val="9"/>
                <w:sz w:val="22"/>
                <w:szCs w:val="22"/>
                <w:vertAlign w:val="superscript"/>
              </w:rPr>
              <w:t xml:space="preserve"> </w:t>
            </w:r>
            <w:r w:rsidRPr="00880E7B">
              <w:rPr>
                <w:rFonts w:eastAsia="SimSun"/>
                <w:sz w:val="22"/>
                <w:szCs w:val="22"/>
              </w:rPr>
              <w:t>(26,3)</w:t>
            </w:r>
          </w:p>
        </w:tc>
      </w:tr>
      <w:tr w:rsidR="00780296" w:rsidRPr="00880E7B" w:rsidTr="00FE6000">
        <w:trPr>
          <w:trHeight w:hRule="exact" w:val="306"/>
        </w:trPr>
        <w:tc>
          <w:tcPr>
            <w:tcW w:w="867" w:type="pct"/>
            <w:tcBorders>
              <w:top w:val="nil"/>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n </w:t>
            </w:r>
            <w:r w:rsidRPr="00880E7B">
              <w:rPr>
                <w:rFonts w:eastAsia="SimSun"/>
                <w:sz w:val="22"/>
                <w:szCs w:val="22"/>
              </w:rPr>
              <w:sym w:font="Symbol" w:char="F03D"/>
            </w:r>
            <w:r w:rsidRPr="00880E7B">
              <w:rPr>
                <w:rFonts w:eastAsia="SimSun"/>
                <w:sz w:val="22"/>
                <w:szCs w:val="22"/>
              </w:rPr>
              <w:t> 6</w:t>
            </w:r>
          </w:p>
        </w:tc>
        <w:tc>
          <w:tcPr>
            <w:tcW w:w="1230" w:type="pct"/>
            <w:tcBorders>
              <w:top w:val="nil"/>
              <w:left w:val="single" w:sz="6" w:space="0" w:color="000000"/>
              <w:bottom w:val="single" w:sz="5" w:space="0" w:color="000000"/>
              <w:right w:val="single" w:sz="6" w:space="0" w:color="000000"/>
            </w:tcBorders>
          </w:tcPr>
          <w:p w:rsidR="00780296" w:rsidRPr="00C857FD" w:rsidRDefault="00780296" w:rsidP="00DC7E27">
            <w:pPr>
              <w:keepNext/>
              <w:keepLines/>
              <w:spacing w:before="50" w:after="50" w:line="240" w:lineRule="exact"/>
              <w:jc w:val="center"/>
              <w:rPr>
                <w:rFonts w:eastAsia="SimSun"/>
                <w:sz w:val="22"/>
                <w:szCs w:val="22"/>
              </w:rPr>
            </w:pPr>
            <w:r w:rsidRPr="00E2025F">
              <w:rPr>
                <w:rFonts w:eastAsia="SimSun"/>
                <w:sz w:val="22"/>
                <w:szCs w:val="22"/>
              </w:rPr>
              <w:t>Medijana</w:t>
            </w:r>
            <w:r w:rsidRPr="00C857FD">
              <w:rPr>
                <w:rFonts w:eastAsia="SimSun"/>
                <w:spacing w:val="-4"/>
                <w:sz w:val="22"/>
                <w:szCs w:val="22"/>
              </w:rPr>
              <w:t xml:space="preserve"> </w:t>
            </w:r>
            <w:r w:rsidRPr="00C857FD">
              <w:rPr>
                <w:rFonts w:eastAsia="SimSun"/>
                <w:sz w:val="22"/>
                <w:szCs w:val="22"/>
              </w:rPr>
              <w:t>(25–75)</w:t>
            </w:r>
          </w:p>
        </w:tc>
        <w:tc>
          <w:tcPr>
            <w:tcW w:w="1454" w:type="pct"/>
            <w:tcBorders>
              <w:top w:val="nil"/>
              <w:left w:val="single" w:sz="6" w:space="0" w:color="000000"/>
              <w:bottom w:val="single" w:sz="5" w:space="0" w:color="000000"/>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66,7 (47,7–76,7)</w:t>
            </w:r>
          </w:p>
        </w:tc>
        <w:tc>
          <w:tcPr>
            <w:tcW w:w="1449" w:type="pct"/>
            <w:tcBorders>
              <w:top w:val="nil"/>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96,3 (75,2–123)</w:t>
            </w:r>
          </w:p>
        </w:tc>
      </w:tr>
      <w:tr w:rsidR="00780296" w:rsidRPr="00880E7B" w:rsidTr="00FE6000">
        <w:trPr>
          <w:trHeight w:hRule="exact" w:val="385"/>
        </w:trPr>
        <w:tc>
          <w:tcPr>
            <w:tcW w:w="867" w:type="pct"/>
            <w:tcBorders>
              <w:top w:val="single" w:sz="5" w:space="0" w:color="000000"/>
              <w:left w:val="single" w:sz="6" w:space="0" w:color="000000"/>
              <w:bottom w:val="nil"/>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Teško oštećenje</w:t>
            </w:r>
          </w:p>
        </w:tc>
        <w:tc>
          <w:tcPr>
            <w:tcW w:w="1230" w:type="pct"/>
            <w:tcBorders>
              <w:top w:val="single" w:sz="5" w:space="0" w:color="000000"/>
              <w:left w:val="single" w:sz="6" w:space="0" w:color="000000"/>
              <w:bottom w:val="nil"/>
              <w:right w:val="single" w:sz="6" w:space="0" w:color="000000"/>
            </w:tcBorders>
          </w:tcPr>
          <w:p w:rsidR="00780296" w:rsidRPr="00C857FD" w:rsidRDefault="00780296" w:rsidP="00DC7E27">
            <w:pPr>
              <w:keepNext/>
              <w:keepLines/>
              <w:spacing w:before="50" w:after="50" w:line="240" w:lineRule="exact"/>
              <w:jc w:val="center"/>
              <w:rPr>
                <w:rFonts w:eastAsia="SimSun"/>
                <w:sz w:val="22"/>
                <w:szCs w:val="22"/>
              </w:rPr>
            </w:pPr>
            <w:r w:rsidRPr="00E2025F">
              <w:rPr>
                <w:rFonts w:eastAsia="SimSun"/>
                <w:sz w:val="22"/>
                <w:szCs w:val="22"/>
              </w:rPr>
              <w:t xml:space="preserve">Srednja </w:t>
            </w:r>
            <w:r w:rsidR="009B493C" w:rsidRPr="00E2025F">
              <w:rPr>
                <w:rFonts w:eastAsia="SimSun"/>
                <w:sz w:val="22"/>
                <w:szCs w:val="22"/>
              </w:rPr>
              <w:t>vrijednost</w:t>
            </w:r>
            <w:r w:rsidRPr="00C857FD">
              <w:rPr>
                <w:rFonts w:eastAsia="SimSun"/>
                <w:sz w:val="22"/>
                <w:szCs w:val="22"/>
              </w:rPr>
              <w:t>(SD)</w:t>
            </w:r>
          </w:p>
        </w:tc>
        <w:tc>
          <w:tcPr>
            <w:tcW w:w="1454" w:type="pct"/>
            <w:tcBorders>
              <w:top w:val="single" w:sz="5" w:space="0" w:color="000000"/>
              <w:left w:val="single" w:sz="6" w:space="0" w:color="000000"/>
              <w:bottom w:val="nil"/>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46,7 (10,9)</w:t>
            </w:r>
          </w:p>
        </w:tc>
        <w:tc>
          <w:tcPr>
            <w:tcW w:w="1449" w:type="pct"/>
            <w:tcBorders>
              <w:top w:val="single" w:sz="5" w:space="0" w:color="000000"/>
              <w:left w:val="single" w:sz="6" w:space="0" w:color="000000"/>
              <w:bottom w:val="nil"/>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168</w:t>
            </w:r>
            <w:r w:rsidRPr="00880E7B">
              <w:rPr>
                <w:rFonts w:eastAsia="SimSun"/>
                <w:position w:val="9"/>
                <w:sz w:val="22"/>
                <w:szCs w:val="22"/>
                <w:vertAlign w:val="superscript"/>
              </w:rPr>
              <w:t>c</w:t>
            </w:r>
            <w:r w:rsidRPr="00880E7B">
              <w:rPr>
                <w:rFonts w:eastAsia="SimSun"/>
                <w:spacing w:val="15"/>
                <w:position w:val="9"/>
                <w:sz w:val="22"/>
                <w:szCs w:val="22"/>
                <w:vertAlign w:val="superscript"/>
              </w:rPr>
              <w:t xml:space="preserve"> </w:t>
            </w:r>
            <w:r w:rsidRPr="00880E7B">
              <w:rPr>
                <w:rFonts w:eastAsia="SimSun"/>
                <w:sz w:val="22"/>
                <w:szCs w:val="22"/>
              </w:rPr>
              <w:t>(67,4)</w:t>
            </w:r>
          </w:p>
        </w:tc>
      </w:tr>
      <w:tr w:rsidR="00780296" w:rsidRPr="00880E7B" w:rsidTr="00FE6000">
        <w:trPr>
          <w:trHeight w:hRule="exact" w:val="306"/>
        </w:trPr>
        <w:tc>
          <w:tcPr>
            <w:tcW w:w="867" w:type="pct"/>
            <w:tcBorders>
              <w:top w:val="nil"/>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n </w:t>
            </w:r>
            <w:r w:rsidRPr="00880E7B">
              <w:rPr>
                <w:rFonts w:eastAsia="SimSun"/>
                <w:sz w:val="22"/>
                <w:szCs w:val="22"/>
              </w:rPr>
              <w:sym w:font="Symbol" w:char="F03D"/>
            </w:r>
            <w:r w:rsidRPr="00880E7B">
              <w:rPr>
                <w:rFonts w:eastAsia="SimSun"/>
                <w:sz w:val="22"/>
                <w:szCs w:val="22"/>
              </w:rPr>
              <w:t> 6</w:t>
            </w:r>
          </w:p>
        </w:tc>
        <w:tc>
          <w:tcPr>
            <w:tcW w:w="1230" w:type="pct"/>
            <w:tcBorders>
              <w:top w:val="nil"/>
              <w:left w:val="single" w:sz="6" w:space="0" w:color="000000"/>
              <w:bottom w:val="single" w:sz="5" w:space="0" w:color="000000"/>
              <w:right w:val="single" w:sz="6" w:space="0" w:color="000000"/>
            </w:tcBorders>
          </w:tcPr>
          <w:p w:rsidR="00780296" w:rsidRPr="00C857FD" w:rsidRDefault="00780296" w:rsidP="00DC7E27">
            <w:pPr>
              <w:keepNext/>
              <w:keepLines/>
              <w:spacing w:before="50" w:after="50" w:line="240" w:lineRule="exact"/>
              <w:jc w:val="center"/>
              <w:rPr>
                <w:rFonts w:eastAsia="SimSun"/>
                <w:sz w:val="22"/>
                <w:szCs w:val="22"/>
              </w:rPr>
            </w:pPr>
            <w:r w:rsidRPr="00E2025F">
              <w:rPr>
                <w:rFonts w:eastAsia="SimSun"/>
                <w:sz w:val="22"/>
                <w:szCs w:val="22"/>
              </w:rPr>
              <w:t>Medijana</w:t>
            </w:r>
            <w:r w:rsidRPr="00E2025F">
              <w:rPr>
                <w:rFonts w:eastAsia="SimSun"/>
                <w:spacing w:val="-4"/>
                <w:sz w:val="22"/>
                <w:szCs w:val="22"/>
              </w:rPr>
              <w:t xml:space="preserve"> </w:t>
            </w:r>
            <w:r w:rsidRPr="00C857FD">
              <w:rPr>
                <w:rFonts w:eastAsia="SimSun"/>
                <w:sz w:val="22"/>
                <w:szCs w:val="22"/>
              </w:rPr>
              <w:t>(25–75)</w:t>
            </w:r>
          </w:p>
        </w:tc>
        <w:tc>
          <w:tcPr>
            <w:tcW w:w="1454" w:type="pct"/>
            <w:tcBorders>
              <w:top w:val="nil"/>
              <w:left w:val="single" w:sz="6" w:space="0" w:color="000000"/>
              <w:bottom w:val="single" w:sz="5" w:space="0" w:color="000000"/>
              <w:right w:val="single" w:sz="6" w:space="0" w:color="000000"/>
            </w:tcBorders>
          </w:tcPr>
          <w:p w:rsidR="00780296" w:rsidRPr="00A96251" w:rsidRDefault="00780296" w:rsidP="00DC7E27">
            <w:pPr>
              <w:keepNext/>
              <w:keepLines/>
              <w:spacing w:before="50" w:after="50" w:line="240" w:lineRule="exact"/>
              <w:jc w:val="center"/>
              <w:rPr>
                <w:rFonts w:eastAsia="SimSun"/>
                <w:sz w:val="22"/>
                <w:szCs w:val="22"/>
              </w:rPr>
            </w:pPr>
            <w:r w:rsidRPr="00A96251">
              <w:rPr>
                <w:rFonts w:eastAsia="SimSun"/>
                <w:sz w:val="22"/>
                <w:szCs w:val="22"/>
              </w:rPr>
              <w:t>49,4 (40,7–55,8)</w:t>
            </w:r>
          </w:p>
        </w:tc>
        <w:tc>
          <w:tcPr>
            <w:tcW w:w="1449" w:type="pct"/>
            <w:tcBorders>
              <w:top w:val="nil"/>
              <w:left w:val="single" w:sz="6" w:space="0" w:color="000000"/>
              <w:bottom w:val="single" w:sz="5" w:space="0" w:color="000000"/>
              <w:right w:val="single" w:sz="6" w:space="0" w:color="000000"/>
            </w:tcBorders>
          </w:tcPr>
          <w:p w:rsidR="00780296" w:rsidRPr="00880E7B" w:rsidRDefault="00780296" w:rsidP="00DC7E27">
            <w:pPr>
              <w:keepNext/>
              <w:keepLines/>
              <w:spacing w:before="50" w:after="50" w:line="240" w:lineRule="exact"/>
              <w:jc w:val="center"/>
              <w:rPr>
                <w:rFonts w:eastAsia="SimSun"/>
                <w:sz w:val="22"/>
                <w:szCs w:val="22"/>
              </w:rPr>
            </w:pPr>
            <w:r w:rsidRPr="00880E7B">
              <w:rPr>
                <w:rFonts w:eastAsia="SimSun"/>
                <w:sz w:val="22"/>
                <w:szCs w:val="22"/>
              </w:rPr>
              <w:t>150 (123–248)</w:t>
            </w:r>
          </w:p>
        </w:tc>
      </w:tr>
    </w:tbl>
    <w:p w:rsidR="00780296" w:rsidRPr="00880E7B" w:rsidRDefault="00780296" w:rsidP="00880E7B">
      <w:pPr>
        <w:keepNext/>
        <w:keepLines/>
        <w:spacing w:line="240" w:lineRule="exact"/>
        <w:jc w:val="both"/>
        <w:rPr>
          <w:rFonts w:eastAsia="Calibri"/>
          <w:sz w:val="22"/>
          <w:szCs w:val="22"/>
        </w:rPr>
      </w:pPr>
    </w:p>
    <w:p w:rsidR="00780296" w:rsidRPr="00DC7E27" w:rsidRDefault="00780296" w:rsidP="00880E7B">
      <w:pPr>
        <w:keepNext/>
        <w:keepLines/>
        <w:spacing w:line="240" w:lineRule="exact"/>
        <w:jc w:val="both"/>
        <w:rPr>
          <w:sz w:val="22"/>
          <w:szCs w:val="22"/>
        </w:rPr>
      </w:pPr>
      <w:r w:rsidRPr="00DC7E27">
        <w:rPr>
          <w:sz w:val="22"/>
          <w:szCs w:val="22"/>
        </w:rPr>
        <w:t>PIK</w:t>
      </w:r>
      <w:r w:rsidRPr="00DC7E27">
        <w:rPr>
          <w:sz w:val="22"/>
          <w:szCs w:val="22"/>
          <w:vertAlign w:val="subscript"/>
        </w:rPr>
        <w:t>0-∞</w:t>
      </w:r>
      <w:r w:rsidRPr="00DC7E27">
        <w:rPr>
          <w:sz w:val="22"/>
          <w:szCs w:val="22"/>
        </w:rPr>
        <w:t xml:space="preserve">  </w:t>
      </w:r>
      <w:r w:rsidRPr="00DC7E27">
        <w:rPr>
          <w:sz w:val="22"/>
          <w:szCs w:val="22"/>
        </w:rPr>
        <w:sym w:font="Symbol" w:char="F03D"/>
      </w:r>
      <w:r w:rsidRPr="00DC7E27">
        <w:rPr>
          <w:sz w:val="22"/>
          <w:szCs w:val="22"/>
        </w:rPr>
        <w:t> površina ispod krive koncentracija-vr</w:t>
      </w:r>
      <w:r w:rsidR="00BD0820" w:rsidRPr="00DC7E27">
        <w:rPr>
          <w:sz w:val="22"/>
          <w:szCs w:val="22"/>
        </w:rPr>
        <w:t>ij</w:t>
      </w:r>
      <w:r w:rsidRPr="00DC7E27">
        <w:rPr>
          <w:sz w:val="22"/>
          <w:szCs w:val="22"/>
        </w:rPr>
        <w:t xml:space="preserve">eme od nulte tačke do beskonačnosti </w:t>
      </w:r>
    </w:p>
    <w:p w:rsidR="00780296" w:rsidRPr="00DC7E27" w:rsidRDefault="00780296" w:rsidP="00880E7B">
      <w:pPr>
        <w:jc w:val="both"/>
        <w:rPr>
          <w:sz w:val="22"/>
          <w:szCs w:val="22"/>
        </w:rPr>
      </w:pPr>
      <w:r w:rsidRPr="00DC7E27">
        <w:rPr>
          <w:position w:val="9"/>
          <w:sz w:val="22"/>
          <w:szCs w:val="22"/>
        </w:rPr>
        <w:t>a</w:t>
      </w:r>
      <w:r w:rsidRPr="00DC7E27">
        <w:rPr>
          <w:spacing w:val="-2"/>
          <w:position w:val="9"/>
          <w:sz w:val="22"/>
          <w:szCs w:val="22"/>
        </w:rPr>
        <w:t xml:space="preserve"> </w:t>
      </w:r>
      <w:r w:rsidRPr="00DC7E27">
        <w:rPr>
          <w:sz w:val="22"/>
          <w:szCs w:val="22"/>
        </w:rPr>
        <w:t>p-</w:t>
      </w:r>
      <w:r w:rsidR="009B493C" w:rsidRPr="00DC7E27">
        <w:rPr>
          <w:sz w:val="22"/>
          <w:szCs w:val="22"/>
        </w:rPr>
        <w:t>vrijednost</w:t>
      </w:r>
      <w:r w:rsidRPr="00DC7E27">
        <w:rPr>
          <w:sz w:val="22"/>
          <w:szCs w:val="22"/>
        </w:rPr>
        <w:t xml:space="preserve"> naspram nor</w:t>
      </w:r>
      <w:r w:rsidRPr="00DC7E27">
        <w:rPr>
          <w:spacing w:val="-3"/>
          <w:sz w:val="22"/>
          <w:szCs w:val="22"/>
        </w:rPr>
        <w:t>m</w:t>
      </w:r>
      <w:r w:rsidRPr="00DC7E27">
        <w:rPr>
          <w:sz w:val="22"/>
          <w:szCs w:val="22"/>
        </w:rPr>
        <w:t xml:space="preserve">alne funkcije = 1,00 (poređenje parova uz </w:t>
      </w:r>
      <w:r w:rsidRPr="00DC7E27">
        <w:rPr>
          <w:i/>
          <w:sz w:val="22"/>
          <w:szCs w:val="22"/>
        </w:rPr>
        <w:t>Bonferroni</w:t>
      </w:r>
      <w:r w:rsidRPr="00DC7E27">
        <w:rPr>
          <w:sz w:val="22"/>
          <w:szCs w:val="22"/>
        </w:rPr>
        <w:t xml:space="preserve"> korekciju)</w:t>
      </w:r>
    </w:p>
    <w:p w:rsidR="00780296" w:rsidRPr="00DC7E27" w:rsidRDefault="00780296" w:rsidP="00E2025F">
      <w:pPr>
        <w:jc w:val="both"/>
        <w:rPr>
          <w:sz w:val="22"/>
          <w:szCs w:val="22"/>
        </w:rPr>
      </w:pPr>
      <w:r w:rsidRPr="00DC7E27">
        <w:rPr>
          <w:position w:val="9"/>
          <w:sz w:val="22"/>
          <w:szCs w:val="22"/>
        </w:rPr>
        <w:t>b</w:t>
      </w:r>
      <w:r w:rsidRPr="00DC7E27">
        <w:rPr>
          <w:spacing w:val="-2"/>
          <w:position w:val="9"/>
          <w:sz w:val="22"/>
          <w:szCs w:val="22"/>
        </w:rPr>
        <w:t xml:space="preserve"> </w:t>
      </w:r>
      <w:r w:rsidRPr="00DC7E27">
        <w:rPr>
          <w:sz w:val="22"/>
          <w:szCs w:val="22"/>
        </w:rPr>
        <w:t>p-</w:t>
      </w:r>
      <w:r w:rsidR="009B493C" w:rsidRPr="00DC7E27">
        <w:rPr>
          <w:sz w:val="22"/>
          <w:szCs w:val="22"/>
        </w:rPr>
        <w:t>vrijednost</w:t>
      </w:r>
      <w:r w:rsidRPr="00DC7E27">
        <w:rPr>
          <w:sz w:val="22"/>
          <w:szCs w:val="22"/>
        </w:rPr>
        <w:t xml:space="preserve"> naspram nor</w:t>
      </w:r>
      <w:r w:rsidRPr="00DC7E27">
        <w:rPr>
          <w:spacing w:val="-3"/>
          <w:sz w:val="22"/>
          <w:szCs w:val="22"/>
        </w:rPr>
        <w:t>m</w:t>
      </w:r>
      <w:r w:rsidRPr="00DC7E27">
        <w:rPr>
          <w:sz w:val="22"/>
          <w:szCs w:val="22"/>
        </w:rPr>
        <w:t xml:space="preserve">alne funkcije = 0,009 (poređenje parova uz </w:t>
      </w:r>
      <w:r w:rsidRPr="00DC7E27">
        <w:rPr>
          <w:i/>
          <w:sz w:val="22"/>
          <w:szCs w:val="22"/>
        </w:rPr>
        <w:t>Bonferroni</w:t>
      </w:r>
      <w:r w:rsidRPr="00DC7E27">
        <w:rPr>
          <w:sz w:val="22"/>
          <w:szCs w:val="22"/>
        </w:rPr>
        <w:t xml:space="preserve"> korekciju)</w:t>
      </w:r>
    </w:p>
    <w:p w:rsidR="00780296" w:rsidRPr="00DC7E27" w:rsidRDefault="00780296">
      <w:pPr>
        <w:jc w:val="both"/>
        <w:rPr>
          <w:sz w:val="22"/>
          <w:szCs w:val="22"/>
        </w:rPr>
      </w:pPr>
      <w:r w:rsidRPr="00DC7E27">
        <w:rPr>
          <w:position w:val="9"/>
          <w:sz w:val="22"/>
          <w:szCs w:val="22"/>
        </w:rPr>
        <w:t>c</w:t>
      </w:r>
      <w:r w:rsidRPr="00DC7E27">
        <w:rPr>
          <w:spacing w:val="-2"/>
          <w:position w:val="9"/>
          <w:sz w:val="22"/>
          <w:szCs w:val="22"/>
        </w:rPr>
        <w:t xml:space="preserve"> </w:t>
      </w:r>
      <w:r w:rsidRPr="00DC7E27">
        <w:rPr>
          <w:sz w:val="22"/>
          <w:szCs w:val="22"/>
        </w:rPr>
        <w:t>p-</w:t>
      </w:r>
      <w:r w:rsidR="009B493C" w:rsidRPr="00DC7E27">
        <w:rPr>
          <w:sz w:val="22"/>
          <w:szCs w:val="22"/>
        </w:rPr>
        <w:t>vrijednost</w:t>
      </w:r>
      <w:r w:rsidRPr="00DC7E27">
        <w:rPr>
          <w:sz w:val="22"/>
          <w:szCs w:val="22"/>
        </w:rPr>
        <w:t xml:space="preserve"> naspram nor</w:t>
      </w:r>
      <w:r w:rsidRPr="00DC7E27">
        <w:rPr>
          <w:spacing w:val="-3"/>
          <w:sz w:val="22"/>
          <w:szCs w:val="22"/>
        </w:rPr>
        <w:t>m</w:t>
      </w:r>
      <w:r w:rsidRPr="00DC7E27">
        <w:rPr>
          <w:sz w:val="22"/>
          <w:szCs w:val="22"/>
        </w:rPr>
        <w:t xml:space="preserve">alne funkcije &lt; 0,0001 (poređenje parova uz </w:t>
      </w:r>
      <w:r w:rsidRPr="00DC7E27">
        <w:rPr>
          <w:i/>
          <w:sz w:val="22"/>
          <w:szCs w:val="22"/>
        </w:rPr>
        <w:t>Bonferroni</w:t>
      </w:r>
      <w:r w:rsidRPr="00DC7E27">
        <w:rPr>
          <w:sz w:val="22"/>
          <w:szCs w:val="22"/>
        </w:rPr>
        <w:t xml:space="preserve"> korekciju) </w:t>
      </w:r>
    </w:p>
    <w:p w:rsidR="00442815" w:rsidRPr="00880E7B" w:rsidRDefault="00442815">
      <w:pPr>
        <w:jc w:val="both"/>
        <w:rPr>
          <w:sz w:val="22"/>
          <w:szCs w:val="22"/>
        </w:rPr>
      </w:pPr>
    </w:p>
    <w:p w:rsidR="00780296" w:rsidRPr="00880E7B" w:rsidRDefault="00780296">
      <w:pPr>
        <w:keepNext/>
        <w:keepLines/>
        <w:spacing w:line="240" w:lineRule="exact"/>
        <w:jc w:val="both"/>
        <w:rPr>
          <w:sz w:val="22"/>
          <w:szCs w:val="22"/>
          <w:lang w:eastAsia="zh-CN"/>
        </w:rPr>
      </w:pPr>
      <w:r w:rsidRPr="00E2025F">
        <w:rPr>
          <w:sz w:val="22"/>
          <w:szCs w:val="22"/>
        </w:rPr>
        <w:t>Izloženost 5-karboksi-pirfenidonu povećava se 3,5 ili više puta kod pacijenata sa um</w:t>
      </w:r>
      <w:r w:rsidR="00BD0820" w:rsidRPr="00E2025F">
        <w:rPr>
          <w:sz w:val="22"/>
          <w:szCs w:val="22"/>
        </w:rPr>
        <w:t>j</w:t>
      </w:r>
      <w:r w:rsidRPr="00C857FD">
        <w:rPr>
          <w:sz w:val="22"/>
          <w:szCs w:val="22"/>
        </w:rPr>
        <w:t>erenim oštećenjem funkcije bubrega. Klinički relevantna farmakodinamska aktivnost metabolita kod pacijenata sa um</w:t>
      </w:r>
      <w:r w:rsidR="00BD0820" w:rsidRPr="00880E7B">
        <w:rPr>
          <w:sz w:val="22"/>
          <w:szCs w:val="22"/>
        </w:rPr>
        <w:t>j</w:t>
      </w:r>
      <w:r w:rsidRPr="00880E7B">
        <w:rPr>
          <w:sz w:val="22"/>
          <w:szCs w:val="22"/>
        </w:rPr>
        <w:t>erenim oštećenjem funkcije bubrega se ne može isključiti. Za pacijente koji primaju pirfenidon, a imaju blago do um</w:t>
      </w:r>
      <w:r w:rsidR="00BD0820" w:rsidRPr="00880E7B">
        <w:rPr>
          <w:sz w:val="22"/>
          <w:szCs w:val="22"/>
        </w:rPr>
        <w:t>j</w:t>
      </w:r>
      <w:r w:rsidRPr="00880E7B">
        <w:rPr>
          <w:sz w:val="22"/>
          <w:szCs w:val="22"/>
        </w:rPr>
        <w:t>ereno oštećenje bubrega, nije potrebno prilagođavanje doze. Kod pacijenata sa um</w:t>
      </w:r>
      <w:r w:rsidR="00BD0820" w:rsidRPr="00880E7B">
        <w:rPr>
          <w:sz w:val="22"/>
          <w:szCs w:val="22"/>
        </w:rPr>
        <w:t>j</w:t>
      </w:r>
      <w:r w:rsidRPr="00880E7B">
        <w:rPr>
          <w:sz w:val="22"/>
          <w:szCs w:val="22"/>
        </w:rPr>
        <w:t>erenim oštećenjem funkcije bubrega pirfenidon treba prim</w:t>
      </w:r>
      <w:r w:rsidR="00237938" w:rsidRPr="00880E7B">
        <w:rPr>
          <w:sz w:val="22"/>
          <w:szCs w:val="22"/>
        </w:rPr>
        <w:t>i</w:t>
      </w:r>
      <w:r w:rsidR="00BD0820" w:rsidRPr="00880E7B">
        <w:rPr>
          <w:sz w:val="22"/>
          <w:szCs w:val="22"/>
        </w:rPr>
        <w:t>j</w:t>
      </w:r>
      <w:r w:rsidRPr="00880E7B">
        <w:rPr>
          <w:sz w:val="22"/>
          <w:szCs w:val="22"/>
        </w:rPr>
        <w:t>enjivati sa oprezom. Upotreba pirfenidona je kontraindikovana kod pacijenata sa teškim oštećenjem funkcije bubrega (</w:t>
      </w:r>
      <w:r w:rsidRPr="00880E7B">
        <w:rPr>
          <w:sz w:val="22"/>
          <w:szCs w:val="22"/>
          <w:lang w:val="sr-Latn-RS" w:eastAsia="ja-JP"/>
        </w:rPr>
        <w:t>CL</w:t>
      </w:r>
      <w:r w:rsidRPr="00880E7B">
        <w:rPr>
          <w:sz w:val="22"/>
          <w:szCs w:val="22"/>
          <w:vertAlign w:val="subscript"/>
          <w:lang w:val="sr-Latn-RS" w:eastAsia="ja-JP"/>
        </w:rPr>
        <w:t>Cr</w:t>
      </w:r>
      <w:r w:rsidRPr="00880E7B">
        <w:rPr>
          <w:sz w:val="22"/>
          <w:szCs w:val="22"/>
        </w:rPr>
        <w:t xml:space="preserve"> &lt;</w:t>
      </w:r>
      <w:r w:rsidR="00A96251">
        <w:rPr>
          <w:sz w:val="22"/>
          <w:szCs w:val="22"/>
        </w:rPr>
        <w:t xml:space="preserve"> </w:t>
      </w:r>
      <w:r w:rsidRPr="00A96251">
        <w:rPr>
          <w:sz w:val="22"/>
          <w:szCs w:val="22"/>
        </w:rPr>
        <w:t xml:space="preserve">30 </w:t>
      </w:r>
      <w:r w:rsidR="00BD0820" w:rsidRPr="00880E7B">
        <w:rPr>
          <w:sz w:val="22"/>
          <w:szCs w:val="22"/>
        </w:rPr>
        <w:t>ml</w:t>
      </w:r>
      <w:r w:rsidRPr="00880E7B">
        <w:rPr>
          <w:sz w:val="22"/>
          <w:szCs w:val="22"/>
        </w:rPr>
        <w:t>/min) ili u terminalnoj fazi bolesti bubrega u kojoj je neophodna dijaliza (</w:t>
      </w:r>
      <w:r w:rsidR="00FE6000" w:rsidRPr="00880E7B">
        <w:rPr>
          <w:sz w:val="22"/>
          <w:szCs w:val="22"/>
        </w:rPr>
        <w:t>vidjeti</w:t>
      </w:r>
      <w:r w:rsidRPr="00880E7B">
        <w:rPr>
          <w:sz w:val="22"/>
          <w:szCs w:val="22"/>
        </w:rPr>
        <w:t xml:space="preserve"> </w:t>
      </w:r>
      <w:r w:rsidR="00237938" w:rsidRPr="00880E7B">
        <w:rPr>
          <w:sz w:val="22"/>
          <w:szCs w:val="22"/>
        </w:rPr>
        <w:t>djelove</w:t>
      </w:r>
      <w:r w:rsidRPr="00880E7B">
        <w:rPr>
          <w:sz w:val="22"/>
          <w:szCs w:val="22"/>
        </w:rPr>
        <w:t xml:space="preserve"> 4.2 i 4.3). </w:t>
      </w:r>
    </w:p>
    <w:p w:rsidR="00780296" w:rsidRPr="00880E7B" w:rsidRDefault="00780296">
      <w:pPr>
        <w:spacing w:line="240" w:lineRule="exact"/>
        <w:jc w:val="both"/>
        <w:rPr>
          <w:bCs/>
          <w:sz w:val="22"/>
          <w:szCs w:val="22"/>
          <w:u w:val="single"/>
        </w:rPr>
      </w:pPr>
    </w:p>
    <w:p w:rsidR="00780296" w:rsidRPr="00880E7B" w:rsidRDefault="00780296">
      <w:pPr>
        <w:jc w:val="both"/>
        <w:rPr>
          <w:b/>
          <w:bCs/>
          <w:sz w:val="22"/>
          <w:szCs w:val="22"/>
        </w:rPr>
      </w:pPr>
      <w:r w:rsidRPr="00880E7B">
        <w:rPr>
          <w:sz w:val="22"/>
          <w:szCs w:val="22"/>
        </w:rPr>
        <w:t xml:space="preserve">Populacione farmakokinetičke analize iz 4 ispitivanja </w:t>
      </w:r>
      <w:r w:rsidR="00237938" w:rsidRPr="00880E7B">
        <w:rPr>
          <w:sz w:val="22"/>
          <w:szCs w:val="22"/>
        </w:rPr>
        <w:t xml:space="preserve">sprovedena </w:t>
      </w:r>
      <w:r w:rsidRPr="00880E7B">
        <w:rPr>
          <w:sz w:val="22"/>
          <w:szCs w:val="22"/>
        </w:rPr>
        <w:t xml:space="preserve">na zdravim osobama ili osobama sa oštećenjem funkcije bubrega, i iz jednog ispitivanja obavljenog na pacijentima sa IPF </w:t>
      </w:r>
      <w:r w:rsidR="00BD0820" w:rsidRPr="00880E7B">
        <w:rPr>
          <w:sz w:val="22"/>
          <w:szCs w:val="22"/>
        </w:rPr>
        <w:t>nijesu</w:t>
      </w:r>
      <w:r w:rsidRPr="00880E7B">
        <w:rPr>
          <w:sz w:val="22"/>
          <w:szCs w:val="22"/>
        </w:rPr>
        <w:t xml:space="preserve"> pokazale klinički relevantan uticaj starosti, pola ili t</w:t>
      </w:r>
      <w:r w:rsidR="00045D87" w:rsidRPr="00880E7B">
        <w:rPr>
          <w:sz w:val="22"/>
          <w:szCs w:val="22"/>
        </w:rPr>
        <w:t>j</w:t>
      </w:r>
      <w:r w:rsidRPr="00880E7B">
        <w:rPr>
          <w:sz w:val="22"/>
          <w:szCs w:val="22"/>
        </w:rPr>
        <w:t>elesne mase na farmakokinetiku pirfenidona.</w:t>
      </w:r>
    </w:p>
    <w:p w:rsidR="00A17092" w:rsidRPr="00880E7B" w:rsidRDefault="00A17092">
      <w:pPr>
        <w:tabs>
          <w:tab w:val="left" w:pos="540"/>
          <w:tab w:val="left" w:pos="569"/>
        </w:tabs>
        <w:jc w:val="both"/>
        <w:rPr>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5.3. </w:t>
      </w:r>
      <w:r w:rsidR="00480FB1" w:rsidRPr="00880E7B">
        <w:rPr>
          <w:b/>
          <w:bCs/>
          <w:sz w:val="22"/>
          <w:szCs w:val="22"/>
        </w:rPr>
        <w:tab/>
      </w:r>
      <w:r w:rsidRPr="00880E7B">
        <w:rPr>
          <w:b/>
          <w:bCs/>
          <w:sz w:val="22"/>
          <w:szCs w:val="22"/>
        </w:rPr>
        <w:t xml:space="preserve">Pretklinički podaci o bezbjednosti </w:t>
      </w:r>
    </w:p>
    <w:p w:rsidR="00836B35" w:rsidRPr="00880E7B" w:rsidRDefault="00836B35">
      <w:pPr>
        <w:tabs>
          <w:tab w:val="left" w:pos="540"/>
          <w:tab w:val="left" w:pos="569"/>
        </w:tabs>
        <w:jc w:val="both"/>
        <w:rPr>
          <w:bCs/>
          <w:sz w:val="22"/>
          <w:szCs w:val="22"/>
        </w:rPr>
      </w:pPr>
    </w:p>
    <w:p w:rsidR="00780296" w:rsidRPr="00880E7B" w:rsidRDefault="00780296">
      <w:pPr>
        <w:spacing w:line="240" w:lineRule="exact"/>
        <w:jc w:val="both"/>
        <w:rPr>
          <w:sz w:val="22"/>
          <w:szCs w:val="22"/>
        </w:rPr>
      </w:pPr>
      <w:r w:rsidRPr="00880E7B">
        <w:rPr>
          <w:sz w:val="22"/>
          <w:szCs w:val="22"/>
          <w:lang w:eastAsia="ja-JP"/>
        </w:rPr>
        <w:t>Pret</w:t>
      </w:r>
      <w:r w:rsidRPr="00880E7B">
        <w:rPr>
          <w:sz w:val="22"/>
          <w:szCs w:val="22"/>
        </w:rPr>
        <w:t>klinički podaci ne ukazuju na poseban rizik za ljude na osnovu konvencionalnih ispitivanja bezb</w:t>
      </w:r>
      <w:r w:rsidR="00BD0820" w:rsidRPr="00880E7B">
        <w:rPr>
          <w:sz w:val="22"/>
          <w:szCs w:val="22"/>
        </w:rPr>
        <w:t>j</w:t>
      </w:r>
      <w:r w:rsidRPr="00880E7B">
        <w:rPr>
          <w:sz w:val="22"/>
          <w:szCs w:val="22"/>
        </w:rPr>
        <w:t>ednosne farmakologije, toksičnosti ponovljenih doza, genotoksičnosti i karcinogenosti.</w:t>
      </w:r>
    </w:p>
    <w:p w:rsidR="00780296" w:rsidRPr="00880E7B" w:rsidRDefault="00780296">
      <w:pPr>
        <w:spacing w:line="240" w:lineRule="exact"/>
        <w:jc w:val="both"/>
        <w:rPr>
          <w:sz w:val="22"/>
          <w:szCs w:val="22"/>
        </w:rPr>
      </w:pPr>
    </w:p>
    <w:p w:rsidR="00780296" w:rsidRPr="00880E7B" w:rsidRDefault="00780296">
      <w:pPr>
        <w:spacing w:line="240" w:lineRule="exact"/>
        <w:jc w:val="both"/>
        <w:rPr>
          <w:sz w:val="22"/>
          <w:szCs w:val="22"/>
          <w:lang w:val="it-IT"/>
        </w:rPr>
      </w:pPr>
      <w:r w:rsidRPr="00880E7B">
        <w:rPr>
          <w:sz w:val="22"/>
          <w:szCs w:val="22"/>
        </w:rPr>
        <w:t>U ispitivanjima toksičnosti ponovljenih doza prim</w:t>
      </w:r>
      <w:r w:rsidR="00045D87" w:rsidRPr="00880E7B">
        <w:rPr>
          <w:sz w:val="22"/>
          <w:szCs w:val="22"/>
        </w:rPr>
        <w:t>i</w:t>
      </w:r>
      <w:r w:rsidR="00BD0820" w:rsidRPr="00880E7B">
        <w:rPr>
          <w:sz w:val="22"/>
          <w:szCs w:val="22"/>
        </w:rPr>
        <w:t>j</w:t>
      </w:r>
      <w:r w:rsidRPr="00880E7B">
        <w:rPr>
          <w:sz w:val="22"/>
          <w:szCs w:val="22"/>
        </w:rPr>
        <w:t xml:space="preserve">ećeno je povećanje težine jetre kod miševa, pacova i pasa; </w:t>
      </w:r>
      <w:r w:rsidR="00237938" w:rsidRPr="00880E7B">
        <w:rPr>
          <w:sz w:val="22"/>
          <w:szCs w:val="22"/>
        </w:rPr>
        <w:t>koje</w:t>
      </w:r>
      <w:r w:rsidRPr="00880E7B">
        <w:rPr>
          <w:sz w:val="22"/>
          <w:szCs w:val="22"/>
        </w:rPr>
        <w:t xml:space="preserve"> je često bi</w:t>
      </w:r>
      <w:r w:rsidR="00237938" w:rsidRPr="00880E7B">
        <w:rPr>
          <w:sz w:val="22"/>
          <w:szCs w:val="22"/>
        </w:rPr>
        <w:t>l</w:t>
      </w:r>
      <w:r w:rsidRPr="00880E7B">
        <w:rPr>
          <w:sz w:val="22"/>
          <w:szCs w:val="22"/>
        </w:rPr>
        <w:t>o praćen</w:t>
      </w:r>
      <w:r w:rsidR="00237938" w:rsidRPr="00880E7B">
        <w:rPr>
          <w:sz w:val="22"/>
          <w:szCs w:val="22"/>
        </w:rPr>
        <w:t>o</w:t>
      </w:r>
      <w:r w:rsidRPr="00880E7B">
        <w:rPr>
          <w:sz w:val="22"/>
          <w:szCs w:val="22"/>
        </w:rPr>
        <w:t xml:space="preserve"> centrilobularnom hipertrofijom jetre. </w:t>
      </w:r>
      <w:r w:rsidRPr="00880E7B">
        <w:rPr>
          <w:sz w:val="22"/>
          <w:szCs w:val="22"/>
          <w:lang w:val="it-IT"/>
        </w:rPr>
        <w:t>Prim</w:t>
      </w:r>
      <w:r w:rsidR="00045D87" w:rsidRPr="00880E7B">
        <w:rPr>
          <w:sz w:val="22"/>
          <w:szCs w:val="22"/>
          <w:lang w:val="it-IT"/>
        </w:rPr>
        <w:t>ij</w:t>
      </w:r>
      <w:r w:rsidRPr="00880E7B">
        <w:rPr>
          <w:sz w:val="22"/>
          <w:szCs w:val="22"/>
          <w:lang w:val="it-IT"/>
        </w:rPr>
        <w:t>ećeno je da su prom</w:t>
      </w:r>
      <w:r w:rsidR="00BD0820" w:rsidRPr="00880E7B">
        <w:rPr>
          <w:sz w:val="22"/>
          <w:szCs w:val="22"/>
          <w:lang w:val="it-IT"/>
        </w:rPr>
        <w:t>j</w:t>
      </w:r>
      <w:r w:rsidRPr="00880E7B">
        <w:rPr>
          <w:sz w:val="22"/>
          <w:szCs w:val="22"/>
          <w:lang w:val="it-IT"/>
        </w:rPr>
        <w:t>ene nakon prekida prim</w:t>
      </w:r>
      <w:r w:rsidR="00BD0820" w:rsidRPr="00880E7B">
        <w:rPr>
          <w:sz w:val="22"/>
          <w:szCs w:val="22"/>
          <w:lang w:val="it-IT"/>
        </w:rPr>
        <w:t>j</w:t>
      </w:r>
      <w:r w:rsidRPr="00880E7B">
        <w:rPr>
          <w:sz w:val="22"/>
          <w:szCs w:val="22"/>
          <w:lang w:val="it-IT"/>
        </w:rPr>
        <w:t xml:space="preserve">ene </w:t>
      </w:r>
      <w:r w:rsidR="00FE6000" w:rsidRPr="00880E7B">
        <w:rPr>
          <w:sz w:val="22"/>
          <w:szCs w:val="22"/>
          <w:lang w:val="it-IT"/>
        </w:rPr>
        <w:t>lijek</w:t>
      </w:r>
      <w:r w:rsidRPr="00880E7B">
        <w:rPr>
          <w:sz w:val="22"/>
          <w:szCs w:val="22"/>
          <w:lang w:val="it-IT"/>
        </w:rPr>
        <w:t>a reverzibilne. U ispitivanjima karcinogenosti prim</w:t>
      </w:r>
      <w:r w:rsidR="00045D87" w:rsidRPr="00880E7B">
        <w:rPr>
          <w:sz w:val="22"/>
          <w:szCs w:val="22"/>
          <w:lang w:val="it-IT"/>
        </w:rPr>
        <w:t>i</w:t>
      </w:r>
      <w:r w:rsidR="00BD0820" w:rsidRPr="00880E7B">
        <w:rPr>
          <w:sz w:val="22"/>
          <w:szCs w:val="22"/>
          <w:lang w:val="it-IT"/>
        </w:rPr>
        <w:t>j</w:t>
      </w:r>
      <w:r w:rsidRPr="00880E7B">
        <w:rPr>
          <w:sz w:val="22"/>
          <w:szCs w:val="22"/>
          <w:lang w:val="it-IT"/>
        </w:rPr>
        <w:t xml:space="preserve">ećena je povećana incidenca tumora jetre kod pacova i miševa. Ovi nalazi na jetri </w:t>
      </w:r>
      <w:r w:rsidR="002E1805" w:rsidRPr="00880E7B">
        <w:rPr>
          <w:sz w:val="22"/>
          <w:szCs w:val="22"/>
          <w:lang w:val="it-IT"/>
        </w:rPr>
        <w:t>u skladu su</w:t>
      </w:r>
      <w:r w:rsidRPr="00880E7B">
        <w:rPr>
          <w:sz w:val="22"/>
          <w:szCs w:val="22"/>
          <w:lang w:val="it-IT"/>
        </w:rPr>
        <w:t xml:space="preserve"> s indukcijom mikrozomalnih enzima jetre, međutim ovaj efekat nije prim</w:t>
      </w:r>
      <w:r w:rsidR="00045D87" w:rsidRPr="00880E7B">
        <w:rPr>
          <w:sz w:val="22"/>
          <w:szCs w:val="22"/>
          <w:lang w:val="it-IT"/>
        </w:rPr>
        <w:t>i</w:t>
      </w:r>
      <w:r w:rsidR="00BD0820" w:rsidRPr="00880E7B">
        <w:rPr>
          <w:sz w:val="22"/>
          <w:szCs w:val="22"/>
          <w:lang w:val="it-IT"/>
        </w:rPr>
        <w:t>j</w:t>
      </w:r>
      <w:r w:rsidRPr="00880E7B">
        <w:rPr>
          <w:sz w:val="22"/>
          <w:szCs w:val="22"/>
          <w:lang w:val="it-IT"/>
        </w:rPr>
        <w:t xml:space="preserve">ećen kod pacijenata koji primaju </w:t>
      </w:r>
      <w:r w:rsidR="00FE6000" w:rsidRPr="00880E7B">
        <w:rPr>
          <w:sz w:val="22"/>
          <w:szCs w:val="22"/>
          <w:lang w:val="it-IT"/>
        </w:rPr>
        <w:t>lijek</w:t>
      </w:r>
      <w:r w:rsidRPr="00880E7B">
        <w:rPr>
          <w:sz w:val="22"/>
          <w:szCs w:val="22"/>
          <w:lang w:val="it-IT"/>
        </w:rPr>
        <w:t xml:space="preserve"> ESBRIET. Ovi nalazi se ne smatraju relevantnim za ljude. </w:t>
      </w:r>
    </w:p>
    <w:p w:rsidR="00780296" w:rsidRPr="00880E7B" w:rsidRDefault="00780296">
      <w:pPr>
        <w:spacing w:line="240" w:lineRule="exact"/>
        <w:jc w:val="both"/>
        <w:rPr>
          <w:sz w:val="22"/>
          <w:szCs w:val="22"/>
          <w:lang w:val="it-IT"/>
        </w:rPr>
      </w:pPr>
    </w:p>
    <w:p w:rsidR="00780296" w:rsidRPr="00880E7B" w:rsidRDefault="00780296">
      <w:pPr>
        <w:spacing w:line="240" w:lineRule="exact"/>
        <w:jc w:val="both"/>
        <w:rPr>
          <w:sz w:val="22"/>
          <w:szCs w:val="22"/>
          <w:lang w:val="it-IT"/>
        </w:rPr>
      </w:pPr>
      <w:r w:rsidRPr="00880E7B">
        <w:rPr>
          <w:sz w:val="22"/>
          <w:szCs w:val="22"/>
          <w:lang w:val="it-IT"/>
        </w:rPr>
        <w:lastRenderedPageBreak/>
        <w:t>Statistički značajan porast tumora uterusa prim</w:t>
      </w:r>
      <w:r w:rsidR="00045D87" w:rsidRPr="00880E7B">
        <w:rPr>
          <w:sz w:val="22"/>
          <w:szCs w:val="22"/>
          <w:lang w:val="it-IT"/>
        </w:rPr>
        <w:t>i</w:t>
      </w:r>
      <w:r w:rsidR="00BD0820" w:rsidRPr="00880E7B">
        <w:rPr>
          <w:sz w:val="22"/>
          <w:szCs w:val="22"/>
          <w:lang w:val="it-IT"/>
        </w:rPr>
        <w:t>j</w:t>
      </w:r>
      <w:r w:rsidRPr="00880E7B">
        <w:rPr>
          <w:sz w:val="22"/>
          <w:szCs w:val="22"/>
          <w:lang w:val="it-IT"/>
        </w:rPr>
        <w:t>ećen je kod ženki pacova kod kojih je prim</w:t>
      </w:r>
      <w:r w:rsidR="00BD0820" w:rsidRPr="00880E7B">
        <w:rPr>
          <w:sz w:val="22"/>
          <w:szCs w:val="22"/>
          <w:lang w:val="it-IT"/>
        </w:rPr>
        <w:t>j</w:t>
      </w:r>
      <w:r w:rsidRPr="00880E7B">
        <w:rPr>
          <w:sz w:val="22"/>
          <w:szCs w:val="22"/>
          <w:lang w:val="it-IT"/>
        </w:rPr>
        <w:t>enjivano 1500 mg/kg dnevno, što je 37 humanih doza od 2403 mg dnevno. Rezultati ispitivanja mehanizma nastanka uterinih tumora ukazuju na to da oni v</w:t>
      </w:r>
      <w:r w:rsidR="00045D87" w:rsidRPr="00880E7B">
        <w:rPr>
          <w:sz w:val="22"/>
          <w:szCs w:val="22"/>
          <w:lang w:val="it-IT"/>
        </w:rPr>
        <w:t>j</w:t>
      </w:r>
      <w:r w:rsidRPr="00880E7B">
        <w:rPr>
          <w:sz w:val="22"/>
          <w:szCs w:val="22"/>
          <w:lang w:val="it-IT"/>
        </w:rPr>
        <w:t>erovatno nastaju zbog hronično neuravnoteženog lučenja polnih hormona pod uticajem dopamina, koje uključuje posebni endokrini mehanizam kod pacova koji ne postoji kod ljudi.</w:t>
      </w:r>
    </w:p>
    <w:p w:rsidR="00780296" w:rsidRPr="00880E7B" w:rsidRDefault="00780296">
      <w:pPr>
        <w:spacing w:line="240" w:lineRule="exact"/>
        <w:jc w:val="both"/>
        <w:rPr>
          <w:sz w:val="22"/>
          <w:szCs w:val="22"/>
          <w:lang w:val="it-IT"/>
        </w:rPr>
      </w:pPr>
    </w:p>
    <w:p w:rsidR="00780296" w:rsidRPr="00880E7B" w:rsidRDefault="00780296">
      <w:pPr>
        <w:spacing w:line="240" w:lineRule="exact"/>
        <w:jc w:val="both"/>
        <w:rPr>
          <w:sz w:val="22"/>
          <w:szCs w:val="22"/>
          <w:lang w:val="it-IT"/>
        </w:rPr>
      </w:pPr>
      <w:r w:rsidRPr="00880E7B">
        <w:rPr>
          <w:sz w:val="22"/>
          <w:szCs w:val="22"/>
          <w:lang w:val="it-IT"/>
        </w:rPr>
        <w:t xml:space="preserve">Toksikološka ispitivanja uticaja na reprodukciju </w:t>
      </w:r>
      <w:r w:rsidR="00BD0820" w:rsidRPr="00880E7B">
        <w:rPr>
          <w:sz w:val="22"/>
          <w:szCs w:val="22"/>
          <w:lang w:val="it-IT"/>
        </w:rPr>
        <w:t>nijesu</w:t>
      </w:r>
      <w:r w:rsidRPr="00880E7B">
        <w:rPr>
          <w:sz w:val="22"/>
          <w:szCs w:val="22"/>
          <w:lang w:val="it-IT"/>
        </w:rPr>
        <w:t xml:space="preserve"> pokazala neželjena dejstva na mušku i žensku plodnost, kao ni na postnatalni razvoj potomstva pacova i </w:t>
      </w:r>
      <w:r w:rsidR="00BD0820" w:rsidRPr="00880E7B">
        <w:rPr>
          <w:sz w:val="22"/>
          <w:szCs w:val="22"/>
          <w:lang w:val="it-IT"/>
        </w:rPr>
        <w:t>nijesu</w:t>
      </w:r>
      <w:r w:rsidRPr="00880E7B">
        <w:rPr>
          <w:sz w:val="22"/>
          <w:szCs w:val="22"/>
          <w:lang w:val="it-IT"/>
        </w:rPr>
        <w:t xml:space="preserve"> prim</w:t>
      </w:r>
      <w:r w:rsidR="00045D87" w:rsidRPr="00880E7B">
        <w:rPr>
          <w:sz w:val="22"/>
          <w:szCs w:val="22"/>
          <w:lang w:val="it-IT"/>
        </w:rPr>
        <w:t>i</w:t>
      </w:r>
      <w:r w:rsidR="00BD0820" w:rsidRPr="00880E7B">
        <w:rPr>
          <w:sz w:val="22"/>
          <w:szCs w:val="22"/>
          <w:lang w:val="it-IT"/>
        </w:rPr>
        <w:t>j</w:t>
      </w:r>
      <w:r w:rsidRPr="00880E7B">
        <w:rPr>
          <w:sz w:val="22"/>
          <w:szCs w:val="22"/>
          <w:lang w:val="it-IT"/>
        </w:rPr>
        <w:t>ećeni znaci teratogenosti kod pacova (1000 mg/kg dnevno) ili kunića (300 mg/kg dnevno). Kod životinja pirfenidon odnosno njegovi metaboliti prolaze kroz placentu i mogu se akumulirati u amnionskoj tečnosti. Pri visokim dozama (≥450 mg/kg/dan), kod pacova je došlo do produženja ciklusa estrusa i visoke incidence nepravilnih ciklusa. U visokim dozama (≥1000 mg/kg dnevno) kod pacova je prim</w:t>
      </w:r>
      <w:r w:rsidR="00045D87" w:rsidRPr="00880E7B">
        <w:rPr>
          <w:sz w:val="22"/>
          <w:szCs w:val="22"/>
          <w:lang w:val="it-IT"/>
        </w:rPr>
        <w:t>ij</w:t>
      </w:r>
      <w:r w:rsidRPr="00880E7B">
        <w:rPr>
          <w:sz w:val="22"/>
          <w:szCs w:val="22"/>
          <w:lang w:val="it-IT"/>
        </w:rPr>
        <w:t xml:space="preserve">ećeno produženje gestacije i smanjenje fetalne održivosti. Ispitivanja obavljena na ženkama pacova koje doje pokazuju da se pirfenidon i/ili njegovi metaboliti izlučuju u </w:t>
      </w:r>
      <w:r w:rsidR="00BD0820" w:rsidRPr="00880E7B">
        <w:rPr>
          <w:sz w:val="22"/>
          <w:szCs w:val="22"/>
          <w:lang w:val="it-IT"/>
        </w:rPr>
        <w:t>ml</w:t>
      </w:r>
      <w:r w:rsidR="00FE6000" w:rsidRPr="00880E7B">
        <w:rPr>
          <w:sz w:val="22"/>
          <w:szCs w:val="22"/>
          <w:lang w:val="it-IT"/>
        </w:rPr>
        <w:t>ijek</w:t>
      </w:r>
      <w:r w:rsidRPr="00880E7B">
        <w:rPr>
          <w:sz w:val="22"/>
          <w:szCs w:val="22"/>
          <w:lang w:val="it-IT"/>
        </w:rPr>
        <w:t>o i da se u njemu akumuliraju.</w:t>
      </w:r>
    </w:p>
    <w:p w:rsidR="00780296" w:rsidRPr="00880E7B" w:rsidRDefault="00780296">
      <w:pPr>
        <w:spacing w:line="240" w:lineRule="exact"/>
        <w:jc w:val="both"/>
        <w:rPr>
          <w:sz w:val="22"/>
          <w:szCs w:val="22"/>
          <w:lang w:val="it-IT"/>
        </w:rPr>
      </w:pPr>
    </w:p>
    <w:p w:rsidR="00780296" w:rsidRPr="00880E7B" w:rsidRDefault="00780296">
      <w:pPr>
        <w:spacing w:line="240" w:lineRule="exact"/>
        <w:jc w:val="both"/>
        <w:rPr>
          <w:sz w:val="22"/>
          <w:szCs w:val="22"/>
          <w:lang w:val="it-IT"/>
        </w:rPr>
      </w:pPr>
      <w:r w:rsidRPr="00880E7B">
        <w:rPr>
          <w:sz w:val="22"/>
          <w:szCs w:val="22"/>
          <w:lang w:val="it-IT"/>
        </w:rPr>
        <w:t xml:space="preserve">Pirfenidon nije pokazao mutagenu ili genotoksičnu aktivnost u standardnom nizu testova, a nije pokazao  mutagenost </w:t>
      </w:r>
      <w:r w:rsidR="008B0483" w:rsidRPr="00880E7B">
        <w:rPr>
          <w:sz w:val="22"/>
          <w:szCs w:val="22"/>
          <w:lang w:val="it-IT"/>
        </w:rPr>
        <w:t xml:space="preserve">ni </w:t>
      </w:r>
      <w:r w:rsidRPr="00880E7B">
        <w:rPr>
          <w:sz w:val="22"/>
          <w:szCs w:val="22"/>
          <w:lang w:val="it-IT"/>
        </w:rPr>
        <w:t>kada je testiran uz izlaganje UV sv</w:t>
      </w:r>
      <w:r w:rsidR="00C86605">
        <w:rPr>
          <w:sz w:val="22"/>
          <w:szCs w:val="22"/>
          <w:lang w:val="it-IT"/>
        </w:rPr>
        <w:t>i</w:t>
      </w:r>
      <w:r w:rsidR="00045D87" w:rsidRPr="00C86605">
        <w:rPr>
          <w:sz w:val="22"/>
          <w:szCs w:val="22"/>
          <w:lang w:val="it-IT"/>
        </w:rPr>
        <w:t>j</w:t>
      </w:r>
      <w:r w:rsidRPr="00C86605">
        <w:rPr>
          <w:sz w:val="22"/>
          <w:szCs w:val="22"/>
          <w:lang w:val="it-IT"/>
        </w:rPr>
        <w:t>etlu. Kada je testiran uz izlaganje UV sv</w:t>
      </w:r>
      <w:r w:rsidR="00C86605">
        <w:rPr>
          <w:sz w:val="22"/>
          <w:szCs w:val="22"/>
          <w:lang w:val="it-IT"/>
        </w:rPr>
        <w:t>i</w:t>
      </w:r>
      <w:r w:rsidR="00045D87" w:rsidRPr="00C86605">
        <w:rPr>
          <w:sz w:val="22"/>
          <w:szCs w:val="22"/>
          <w:lang w:val="it-IT"/>
        </w:rPr>
        <w:t>j</w:t>
      </w:r>
      <w:r w:rsidRPr="00C86605">
        <w:rPr>
          <w:sz w:val="22"/>
          <w:szCs w:val="22"/>
          <w:lang w:val="it-IT"/>
        </w:rPr>
        <w:t>etlu, pirfenidon je bio pozitivan u fotoklastogenom testu na kulturi plućnih ćelija kineskog hrčka.</w:t>
      </w:r>
      <w:r w:rsidRPr="00880E7B">
        <w:rPr>
          <w:i/>
          <w:sz w:val="22"/>
          <w:szCs w:val="22"/>
          <w:lang w:val="it-IT"/>
        </w:rPr>
        <w:t xml:space="preserve"> </w:t>
      </w:r>
    </w:p>
    <w:p w:rsidR="00780296" w:rsidRPr="00880E7B" w:rsidRDefault="00780296">
      <w:pPr>
        <w:spacing w:line="240" w:lineRule="exact"/>
        <w:jc w:val="both"/>
        <w:rPr>
          <w:sz w:val="22"/>
          <w:szCs w:val="22"/>
          <w:lang w:val="it-IT"/>
        </w:rPr>
      </w:pPr>
    </w:p>
    <w:p w:rsidR="00780296" w:rsidRPr="00880E7B" w:rsidRDefault="00780296">
      <w:pPr>
        <w:jc w:val="both"/>
        <w:rPr>
          <w:sz w:val="22"/>
          <w:szCs w:val="22"/>
          <w:lang w:val="it-IT"/>
        </w:rPr>
      </w:pPr>
      <w:r w:rsidRPr="00880E7B">
        <w:rPr>
          <w:sz w:val="22"/>
          <w:szCs w:val="22"/>
          <w:lang w:val="it-IT"/>
        </w:rPr>
        <w:t>Fototoksičnost i iritacija su prim</w:t>
      </w:r>
      <w:r w:rsidR="005D0061" w:rsidRPr="00880E7B">
        <w:rPr>
          <w:sz w:val="22"/>
          <w:szCs w:val="22"/>
          <w:lang w:val="it-IT"/>
        </w:rPr>
        <w:t>i</w:t>
      </w:r>
      <w:r w:rsidR="00BD0820" w:rsidRPr="00880E7B">
        <w:rPr>
          <w:sz w:val="22"/>
          <w:szCs w:val="22"/>
          <w:lang w:val="it-IT"/>
        </w:rPr>
        <w:t>j</w:t>
      </w:r>
      <w:r w:rsidRPr="00880E7B">
        <w:rPr>
          <w:sz w:val="22"/>
          <w:szCs w:val="22"/>
          <w:lang w:val="it-IT"/>
        </w:rPr>
        <w:t>ećeni kod zamoraca nakon oralne prim</w:t>
      </w:r>
      <w:r w:rsidR="00BD0820" w:rsidRPr="00880E7B">
        <w:rPr>
          <w:sz w:val="22"/>
          <w:szCs w:val="22"/>
          <w:lang w:val="it-IT"/>
        </w:rPr>
        <w:t>j</w:t>
      </w:r>
      <w:r w:rsidRPr="00880E7B">
        <w:rPr>
          <w:sz w:val="22"/>
          <w:szCs w:val="22"/>
          <w:lang w:val="it-IT"/>
        </w:rPr>
        <w:t>ene pirfenidona uz istovremeno izlaganje UVA/UVB sv</w:t>
      </w:r>
      <w:r w:rsidR="00045D87" w:rsidRPr="00880E7B">
        <w:rPr>
          <w:sz w:val="22"/>
          <w:szCs w:val="22"/>
          <w:lang w:val="it-IT"/>
        </w:rPr>
        <w:t>j</w:t>
      </w:r>
      <w:r w:rsidRPr="00880E7B">
        <w:rPr>
          <w:sz w:val="22"/>
          <w:szCs w:val="22"/>
          <w:lang w:val="it-IT"/>
        </w:rPr>
        <w:t>etlu. Težina fototoksičnih lezija umanjena je prim</w:t>
      </w:r>
      <w:r w:rsidR="00BD0820" w:rsidRPr="00880E7B">
        <w:rPr>
          <w:sz w:val="22"/>
          <w:szCs w:val="22"/>
          <w:lang w:val="it-IT"/>
        </w:rPr>
        <w:t>j</w:t>
      </w:r>
      <w:r w:rsidRPr="00880E7B">
        <w:rPr>
          <w:sz w:val="22"/>
          <w:szCs w:val="22"/>
          <w:lang w:val="it-IT"/>
        </w:rPr>
        <w:t>enom sredstva za sunčanje.</w:t>
      </w:r>
    </w:p>
    <w:p w:rsidR="00396DFD" w:rsidRPr="00880E7B" w:rsidRDefault="00396DFD">
      <w:pPr>
        <w:tabs>
          <w:tab w:val="left" w:pos="540"/>
          <w:tab w:val="left" w:pos="569"/>
        </w:tabs>
        <w:jc w:val="both"/>
        <w:rPr>
          <w:b/>
          <w:bCs/>
          <w:sz w:val="22"/>
          <w:szCs w:val="22"/>
          <w:lang w:val="it-IT"/>
        </w:rPr>
      </w:pPr>
    </w:p>
    <w:p w:rsidR="00700888" w:rsidRPr="00880E7B" w:rsidRDefault="00700888">
      <w:pPr>
        <w:tabs>
          <w:tab w:val="left" w:pos="540"/>
          <w:tab w:val="left" w:pos="569"/>
        </w:tabs>
        <w:jc w:val="both"/>
        <w:rPr>
          <w:b/>
          <w:bCs/>
          <w:sz w:val="22"/>
          <w:szCs w:val="22"/>
          <w:lang w:val="it-IT"/>
        </w:rPr>
      </w:pPr>
    </w:p>
    <w:p w:rsidR="0072020E" w:rsidRPr="00880E7B" w:rsidRDefault="0072020E">
      <w:pPr>
        <w:tabs>
          <w:tab w:val="left" w:pos="540"/>
          <w:tab w:val="left" w:pos="569"/>
        </w:tabs>
        <w:jc w:val="both"/>
        <w:rPr>
          <w:b/>
          <w:bCs/>
          <w:sz w:val="22"/>
          <w:szCs w:val="22"/>
          <w:lang w:val="it-IT"/>
        </w:rPr>
      </w:pPr>
      <w:r w:rsidRPr="00880E7B">
        <w:rPr>
          <w:b/>
          <w:bCs/>
          <w:sz w:val="22"/>
          <w:szCs w:val="22"/>
          <w:lang w:val="it-IT"/>
        </w:rPr>
        <w:t xml:space="preserve">6. </w:t>
      </w:r>
      <w:r w:rsidR="00480FB1" w:rsidRPr="00880E7B">
        <w:rPr>
          <w:b/>
          <w:bCs/>
          <w:sz w:val="22"/>
          <w:szCs w:val="22"/>
          <w:lang w:val="it-IT"/>
        </w:rPr>
        <w:tab/>
      </w:r>
      <w:r w:rsidRPr="00880E7B">
        <w:rPr>
          <w:b/>
          <w:bCs/>
          <w:sz w:val="22"/>
          <w:szCs w:val="22"/>
          <w:lang w:val="it-IT"/>
        </w:rPr>
        <w:t>FARMACEUTSKI PODACI</w:t>
      </w:r>
    </w:p>
    <w:p w:rsidR="00836B35" w:rsidRPr="00880E7B" w:rsidRDefault="00836B35">
      <w:pPr>
        <w:tabs>
          <w:tab w:val="left" w:pos="540"/>
          <w:tab w:val="left" w:pos="569"/>
        </w:tabs>
        <w:jc w:val="both"/>
        <w:rPr>
          <w:bCs/>
          <w:sz w:val="22"/>
          <w:szCs w:val="22"/>
          <w:lang w:val="it-IT"/>
        </w:rPr>
      </w:pPr>
    </w:p>
    <w:p w:rsidR="0072020E" w:rsidRPr="00880E7B" w:rsidRDefault="0072020E">
      <w:pPr>
        <w:tabs>
          <w:tab w:val="left" w:pos="540"/>
          <w:tab w:val="left" w:pos="569"/>
        </w:tabs>
        <w:jc w:val="both"/>
        <w:rPr>
          <w:b/>
          <w:bCs/>
          <w:sz w:val="22"/>
          <w:szCs w:val="22"/>
        </w:rPr>
      </w:pPr>
      <w:r w:rsidRPr="00880E7B">
        <w:rPr>
          <w:b/>
          <w:bCs/>
          <w:sz w:val="22"/>
          <w:szCs w:val="22"/>
        </w:rPr>
        <w:t xml:space="preserve">6.1. </w:t>
      </w:r>
      <w:r w:rsidR="00480FB1" w:rsidRPr="00880E7B">
        <w:rPr>
          <w:b/>
          <w:bCs/>
          <w:sz w:val="22"/>
          <w:szCs w:val="22"/>
        </w:rPr>
        <w:tab/>
      </w:r>
      <w:r w:rsidRPr="00880E7B">
        <w:rPr>
          <w:b/>
          <w:bCs/>
          <w:sz w:val="22"/>
          <w:szCs w:val="22"/>
        </w:rPr>
        <w:t>Lista pomoćnih supstanci</w:t>
      </w:r>
      <w:r w:rsidR="002E0135" w:rsidRPr="00880E7B">
        <w:rPr>
          <w:b/>
          <w:bCs/>
          <w:sz w:val="22"/>
          <w:szCs w:val="22"/>
        </w:rPr>
        <w:t xml:space="preserve"> (ekscipijenasa)</w:t>
      </w:r>
    </w:p>
    <w:p w:rsidR="0072020E" w:rsidRPr="00880E7B" w:rsidRDefault="0072020E">
      <w:pPr>
        <w:tabs>
          <w:tab w:val="left" w:pos="540"/>
          <w:tab w:val="left" w:pos="569"/>
        </w:tabs>
        <w:jc w:val="both"/>
        <w:rPr>
          <w:bCs/>
          <w:sz w:val="22"/>
          <w:szCs w:val="22"/>
        </w:rPr>
      </w:pPr>
    </w:p>
    <w:p w:rsidR="00780296" w:rsidRPr="00880E7B" w:rsidRDefault="00780296">
      <w:pPr>
        <w:autoSpaceDE w:val="0"/>
        <w:autoSpaceDN w:val="0"/>
        <w:adjustRightInd w:val="0"/>
        <w:spacing w:line="240" w:lineRule="exact"/>
        <w:jc w:val="both"/>
        <w:rPr>
          <w:sz w:val="22"/>
          <w:szCs w:val="22"/>
          <w:lang w:val="es-ES"/>
        </w:rPr>
      </w:pPr>
      <w:r w:rsidRPr="00880E7B">
        <w:rPr>
          <w:sz w:val="22"/>
          <w:szCs w:val="22"/>
          <w:u w:val="single"/>
          <w:lang w:val="es-ES"/>
        </w:rPr>
        <w:t>Jezgro tablete</w:t>
      </w:r>
    </w:p>
    <w:p w:rsidR="00780296" w:rsidRPr="00880E7B" w:rsidRDefault="00780296">
      <w:pPr>
        <w:autoSpaceDE w:val="0"/>
        <w:autoSpaceDN w:val="0"/>
        <w:adjustRightInd w:val="0"/>
        <w:spacing w:line="240" w:lineRule="exact"/>
        <w:jc w:val="both"/>
        <w:rPr>
          <w:sz w:val="22"/>
          <w:szCs w:val="22"/>
          <w:lang w:val="es-ES"/>
        </w:rPr>
      </w:pPr>
    </w:p>
    <w:p w:rsidR="00780296" w:rsidRPr="00880E7B" w:rsidRDefault="00780296">
      <w:pPr>
        <w:autoSpaceDE w:val="0"/>
        <w:autoSpaceDN w:val="0"/>
        <w:adjustRightInd w:val="0"/>
        <w:spacing w:line="240" w:lineRule="exact"/>
        <w:jc w:val="both"/>
        <w:rPr>
          <w:sz w:val="22"/>
          <w:szCs w:val="22"/>
          <w:lang w:val="pt-BR"/>
        </w:rPr>
      </w:pPr>
      <w:r w:rsidRPr="00880E7B">
        <w:rPr>
          <w:sz w:val="22"/>
          <w:szCs w:val="22"/>
          <w:lang w:val="pt-BR"/>
        </w:rPr>
        <w:t>celuloza, mikrokristalna</w:t>
      </w:r>
    </w:p>
    <w:p w:rsidR="00780296" w:rsidRPr="00880E7B" w:rsidRDefault="00780296">
      <w:pPr>
        <w:autoSpaceDE w:val="0"/>
        <w:autoSpaceDN w:val="0"/>
        <w:adjustRightInd w:val="0"/>
        <w:spacing w:line="240" w:lineRule="exact"/>
        <w:jc w:val="both"/>
        <w:rPr>
          <w:sz w:val="22"/>
          <w:szCs w:val="22"/>
          <w:lang w:val="pt-BR"/>
        </w:rPr>
      </w:pPr>
      <w:r w:rsidRPr="00880E7B">
        <w:rPr>
          <w:sz w:val="22"/>
          <w:szCs w:val="22"/>
          <w:lang w:val="pt-BR"/>
        </w:rPr>
        <w:t>kroskarmeloza</w:t>
      </w:r>
      <w:r w:rsidR="00266E8F" w:rsidRPr="00880E7B">
        <w:rPr>
          <w:sz w:val="22"/>
          <w:szCs w:val="22"/>
          <w:lang w:val="pt-BR"/>
        </w:rPr>
        <w:t xml:space="preserve"> </w:t>
      </w:r>
      <w:r w:rsidRPr="00880E7B">
        <w:rPr>
          <w:sz w:val="22"/>
          <w:szCs w:val="22"/>
          <w:lang w:val="pt-BR"/>
        </w:rPr>
        <w:t>natrijum</w:t>
      </w:r>
    </w:p>
    <w:p w:rsidR="00780296" w:rsidRPr="00880E7B" w:rsidRDefault="00780296">
      <w:pPr>
        <w:autoSpaceDE w:val="0"/>
        <w:autoSpaceDN w:val="0"/>
        <w:adjustRightInd w:val="0"/>
        <w:spacing w:line="240" w:lineRule="exact"/>
        <w:jc w:val="both"/>
        <w:rPr>
          <w:sz w:val="22"/>
          <w:szCs w:val="22"/>
          <w:lang w:val="pt-BR"/>
        </w:rPr>
      </w:pPr>
      <w:r w:rsidRPr="00880E7B">
        <w:rPr>
          <w:sz w:val="22"/>
          <w:szCs w:val="22"/>
          <w:lang w:val="pt-BR"/>
        </w:rPr>
        <w:t>povidon K30</w:t>
      </w:r>
    </w:p>
    <w:p w:rsidR="00780296" w:rsidRPr="00880E7B" w:rsidRDefault="00780296">
      <w:pPr>
        <w:autoSpaceDE w:val="0"/>
        <w:autoSpaceDN w:val="0"/>
        <w:adjustRightInd w:val="0"/>
        <w:spacing w:line="240" w:lineRule="exact"/>
        <w:jc w:val="both"/>
        <w:rPr>
          <w:sz w:val="22"/>
          <w:szCs w:val="22"/>
          <w:lang w:val="pt-BR"/>
        </w:rPr>
      </w:pPr>
      <w:r w:rsidRPr="00880E7B">
        <w:rPr>
          <w:sz w:val="22"/>
          <w:szCs w:val="22"/>
          <w:lang w:val="pt-BR"/>
        </w:rPr>
        <w:t>silicijum</w:t>
      </w:r>
      <w:r w:rsidR="00266E8F" w:rsidRPr="00880E7B">
        <w:rPr>
          <w:sz w:val="22"/>
          <w:szCs w:val="22"/>
          <w:lang w:val="pt-BR"/>
        </w:rPr>
        <w:t xml:space="preserve"> </w:t>
      </w:r>
      <w:r w:rsidRPr="00880E7B">
        <w:rPr>
          <w:sz w:val="22"/>
          <w:szCs w:val="22"/>
          <w:lang w:val="pt-BR"/>
        </w:rPr>
        <w:t>dioksid, koloidni, bezvodni</w:t>
      </w:r>
    </w:p>
    <w:p w:rsidR="00780296" w:rsidRPr="00880E7B" w:rsidRDefault="00780296">
      <w:pPr>
        <w:autoSpaceDE w:val="0"/>
        <w:autoSpaceDN w:val="0"/>
        <w:adjustRightInd w:val="0"/>
        <w:spacing w:line="240" w:lineRule="exact"/>
        <w:jc w:val="both"/>
        <w:rPr>
          <w:sz w:val="22"/>
          <w:szCs w:val="22"/>
          <w:lang w:val="pt-BR"/>
        </w:rPr>
      </w:pPr>
      <w:r w:rsidRPr="00880E7B">
        <w:rPr>
          <w:sz w:val="22"/>
          <w:szCs w:val="22"/>
          <w:lang w:val="pt-BR"/>
        </w:rPr>
        <w:t>magnezijum</w:t>
      </w:r>
      <w:r w:rsidR="00266E8F" w:rsidRPr="00880E7B">
        <w:rPr>
          <w:sz w:val="22"/>
          <w:szCs w:val="22"/>
          <w:lang w:val="pt-BR"/>
        </w:rPr>
        <w:t xml:space="preserve"> </w:t>
      </w:r>
      <w:r w:rsidRPr="00880E7B">
        <w:rPr>
          <w:sz w:val="22"/>
          <w:szCs w:val="22"/>
          <w:lang w:val="pt-BR"/>
        </w:rPr>
        <w:t>stearat</w:t>
      </w:r>
    </w:p>
    <w:p w:rsidR="00780296" w:rsidRPr="00880E7B" w:rsidRDefault="00780296">
      <w:pPr>
        <w:autoSpaceDE w:val="0"/>
        <w:autoSpaceDN w:val="0"/>
        <w:adjustRightInd w:val="0"/>
        <w:spacing w:line="240" w:lineRule="exact"/>
        <w:jc w:val="both"/>
        <w:rPr>
          <w:sz w:val="22"/>
          <w:szCs w:val="22"/>
          <w:lang w:val="pt-BR"/>
        </w:rPr>
      </w:pPr>
    </w:p>
    <w:p w:rsidR="00780296" w:rsidRPr="00880E7B" w:rsidRDefault="00780296">
      <w:pPr>
        <w:autoSpaceDE w:val="0"/>
        <w:autoSpaceDN w:val="0"/>
        <w:adjustRightInd w:val="0"/>
        <w:spacing w:line="240" w:lineRule="exact"/>
        <w:jc w:val="both"/>
        <w:rPr>
          <w:sz w:val="22"/>
          <w:szCs w:val="22"/>
          <w:u w:val="single"/>
        </w:rPr>
      </w:pPr>
      <w:r w:rsidRPr="00880E7B">
        <w:rPr>
          <w:sz w:val="22"/>
          <w:szCs w:val="22"/>
          <w:u w:val="single"/>
        </w:rPr>
        <w:t xml:space="preserve">Film tablete </w:t>
      </w:r>
    </w:p>
    <w:p w:rsidR="00780296" w:rsidRPr="00880E7B" w:rsidRDefault="00780296">
      <w:pPr>
        <w:autoSpaceDE w:val="0"/>
        <w:autoSpaceDN w:val="0"/>
        <w:adjustRightInd w:val="0"/>
        <w:spacing w:line="240" w:lineRule="exact"/>
        <w:jc w:val="both"/>
        <w:rPr>
          <w:sz w:val="22"/>
          <w:szCs w:val="22"/>
          <w:u w:val="single"/>
        </w:rPr>
      </w:pPr>
    </w:p>
    <w:p w:rsidR="00780296" w:rsidRPr="00880E7B" w:rsidRDefault="005122E1">
      <w:pPr>
        <w:spacing w:line="240" w:lineRule="exact"/>
        <w:jc w:val="both"/>
        <w:rPr>
          <w:sz w:val="22"/>
          <w:szCs w:val="22"/>
        </w:rPr>
      </w:pPr>
      <w:r w:rsidRPr="00880E7B">
        <w:rPr>
          <w:sz w:val="22"/>
          <w:szCs w:val="22"/>
        </w:rPr>
        <w:t>p</w:t>
      </w:r>
      <w:r w:rsidR="00780296" w:rsidRPr="00880E7B">
        <w:rPr>
          <w:sz w:val="22"/>
          <w:szCs w:val="22"/>
        </w:rPr>
        <w:t>olivinil</w:t>
      </w:r>
      <w:r w:rsidRPr="00880E7B">
        <w:rPr>
          <w:sz w:val="22"/>
          <w:szCs w:val="22"/>
        </w:rPr>
        <w:t xml:space="preserve"> </w:t>
      </w:r>
      <w:r w:rsidR="00780296" w:rsidRPr="00880E7B">
        <w:rPr>
          <w:sz w:val="22"/>
          <w:szCs w:val="22"/>
        </w:rPr>
        <w:t>alkohol</w:t>
      </w:r>
    </w:p>
    <w:p w:rsidR="00780296" w:rsidRPr="00880E7B" w:rsidRDefault="00780296">
      <w:pPr>
        <w:spacing w:line="240" w:lineRule="exact"/>
        <w:jc w:val="both"/>
        <w:rPr>
          <w:sz w:val="22"/>
          <w:szCs w:val="22"/>
        </w:rPr>
      </w:pPr>
      <w:r w:rsidRPr="00880E7B">
        <w:rPr>
          <w:sz w:val="22"/>
          <w:szCs w:val="22"/>
        </w:rPr>
        <w:t>titan</w:t>
      </w:r>
      <w:r w:rsidR="00266E8F" w:rsidRPr="00880E7B">
        <w:rPr>
          <w:sz w:val="22"/>
          <w:szCs w:val="22"/>
        </w:rPr>
        <w:t xml:space="preserve"> </w:t>
      </w:r>
      <w:r w:rsidRPr="00880E7B">
        <w:rPr>
          <w:sz w:val="22"/>
          <w:szCs w:val="22"/>
        </w:rPr>
        <w:t>dioksid (E171)</w:t>
      </w:r>
    </w:p>
    <w:p w:rsidR="00780296" w:rsidRPr="00880E7B" w:rsidRDefault="00780296">
      <w:pPr>
        <w:tabs>
          <w:tab w:val="center" w:pos="4535"/>
        </w:tabs>
        <w:spacing w:line="240" w:lineRule="exact"/>
        <w:jc w:val="both"/>
        <w:rPr>
          <w:sz w:val="22"/>
          <w:szCs w:val="22"/>
        </w:rPr>
      </w:pPr>
      <w:r w:rsidRPr="00880E7B">
        <w:rPr>
          <w:sz w:val="22"/>
          <w:szCs w:val="22"/>
        </w:rPr>
        <w:t>makrogol 3350</w:t>
      </w:r>
    </w:p>
    <w:p w:rsidR="00780296" w:rsidRPr="00880E7B" w:rsidRDefault="00780296">
      <w:pPr>
        <w:spacing w:line="240" w:lineRule="exact"/>
        <w:jc w:val="both"/>
        <w:rPr>
          <w:sz w:val="22"/>
          <w:szCs w:val="22"/>
        </w:rPr>
      </w:pPr>
      <w:r w:rsidRPr="00880E7B">
        <w:rPr>
          <w:sz w:val="22"/>
          <w:szCs w:val="22"/>
        </w:rPr>
        <w:t>talk</w:t>
      </w:r>
    </w:p>
    <w:p w:rsidR="00780296" w:rsidRPr="00880E7B" w:rsidRDefault="00780296">
      <w:pPr>
        <w:spacing w:line="240" w:lineRule="exact"/>
        <w:jc w:val="both"/>
        <w:rPr>
          <w:i/>
          <w:sz w:val="22"/>
          <w:szCs w:val="22"/>
          <w:u w:val="single"/>
        </w:rPr>
      </w:pPr>
    </w:p>
    <w:p w:rsidR="00E01621" w:rsidRPr="00880E7B" w:rsidRDefault="00DD0F7B">
      <w:pPr>
        <w:spacing w:line="240" w:lineRule="exact"/>
        <w:jc w:val="both"/>
        <w:rPr>
          <w:i/>
          <w:sz w:val="22"/>
          <w:szCs w:val="22"/>
          <w:u w:val="single"/>
          <w:lang w:val="es-ES"/>
        </w:rPr>
      </w:pPr>
      <w:r w:rsidRPr="00880E7B">
        <w:rPr>
          <w:i/>
          <w:sz w:val="22"/>
          <w:szCs w:val="22"/>
          <w:u w:val="single"/>
          <w:lang w:val="es-ES"/>
        </w:rPr>
        <w:t>T</w:t>
      </w:r>
      <w:r w:rsidR="00E01621" w:rsidRPr="00880E7B">
        <w:rPr>
          <w:i/>
          <w:sz w:val="22"/>
          <w:szCs w:val="22"/>
          <w:u w:val="single"/>
          <w:lang w:val="es-ES"/>
        </w:rPr>
        <w:t xml:space="preserve">ableta </w:t>
      </w:r>
      <w:r w:rsidRPr="00880E7B">
        <w:rPr>
          <w:i/>
          <w:sz w:val="22"/>
          <w:szCs w:val="22"/>
          <w:u w:val="single"/>
          <w:lang w:val="es-ES"/>
        </w:rPr>
        <w:t xml:space="preserve">od </w:t>
      </w:r>
      <w:r w:rsidR="00E01621" w:rsidRPr="00880E7B">
        <w:rPr>
          <w:i/>
          <w:sz w:val="22"/>
          <w:szCs w:val="22"/>
          <w:u w:val="single"/>
          <w:lang w:val="es-ES"/>
        </w:rPr>
        <w:t>267 mg</w:t>
      </w:r>
    </w:p>
    <w:p w:rsidR="00E01621" w:rsidRPr="00880E7B" w:rsidRDefault="00CB2573">
      <w:pPr>
        <w:spacing w:line="240" w:lineRule="exact"/>
        <w:jc w:val="both"/>
        <w:rPr>
          <w:sz w:val="22"/>
          <w:szCs w:val="22"/>
        </w:rPr>
      </w:pPr>
      <w:r w:rsidRPr="00880E7B">
        <w:rPr>
          <w:sz w:val="22"/>
          <w:szCs w:val="22"/>
        </w:rPr>
        <w:t xml:space="preserve">gvožđe </w:t>
      </w:r>
      <w:r w:rsidR="00E01621" w:rsidRPr="00880E7B">
        <w:rPr>
          <w:sz w:val="22"/>
          <w:szCs w:val="22"/>
        </w:rPr>
        <w:t>(III)</w:t>
      </w:r>
      <w:r w:rsidR="00266E8F" w:rsidRPr="00880E7B">
        <w:rPr>
          <w:sz w:val="22"/>
          <w:szCs w:val="22"/>
        </w:rPr>
        <w:t xml:space="preserve"> </w:t>
      </w:r>
      <w:r w:rsidR="00E01621" w:rsidRPr="00880E7B">
        <w:rPr>
          <w:sz w:val="22"/>
          <w:szCs w:val="22"/>
        </w:rPr>
        <w:t xml:space="preserve">oksid, žuti (E172) </w:t>
      </w:r>
    </w:p>
    <w:p w:rsidR="00E01621" w:rsidRPr="00880E7B" w:rsidRDefault="00E01621">
      <w:pPr>
        <w:spacing w:line="240" w:lineRule="exact"/>
        <w:jc w:val="both"/>
        <w:rPr>
          <w:i/>
          <w:sz w:val="22"/>
          <w:szCs w:val="22"/>
          <w:u w:val="single"/>
          <w:lang w:val="es-ES"/>
        </w:rPr>
      </w:pPr>
    </w:p>
    <w:p w:rsidR="00780296" w:rsidRPr="00880E7B" w:rsidRDefault="00DD0F7B">
      <w:pPr>
        <w:spacing w:line="240" w:lineRule="exact"/>
        <w:jc w:val="both"/>
        <w:rPr>
          <w:i/>
          <w:sz w:val="22"/>
          <w:szCs w:val="22"/>
          <w:u w:val="single"/>
          <w:lang w:val="es-ES"/>
        </w:rPr>
      </w:pPr>
      <w:r w:rsidRPr="00880E7B">
        <w:rPr>
          <w:i/>
          <w:sz w:val="22"/>
          <w:szCs w:val="22"/>
          <w:u w:val="single"/>
          <w:lang w:val="es-ES"/>
        </w:rPr>
        <w:t>T</w:t>
      </w:r>
      <w:r w:rsidR="00780296" w:rsidRPr="00880E7B">
        <w:rPr>
          <w:i/>
          <w:sz w:val="22"/>
          <w:szCs w:val="22"/>
          <w:u w:val="single"/>
          <w:lang w:val="es-ES"/>
        </w:rPr>
        <w:t xml:space="preserve">ableta </w:t>
      </w:r>
      <w:r w:rsidRPr="00880E7B">
        <w:rPr>
          <w:i/>
          <w:sz w:val="22"/>
          <w:szCs w:val="22"/>
          <w:u w:val="single"/>
          <w:lang w:val="es-ES"/>
        </w:rPr>
        <w:t xml:space="preserve">od </w:t>
      </w:r>
      <w:r w:rsidR="00780296" w:rsidRPr="00880E7B">
        <w:rPr>
          <w:i/>
          <w:sz w:val="22"/>
          <w:szCs w:val="22"/>
          <w:u w:val="single"/>
          <w:lang w:val="es-ES"/>
        </w:rPr>
        <w:t>801 mg</w:t>
      </w:r>
    </w:p>
    <w:p w:rsidR="00E01621" w:rsidRPr="00880E7B" w:rsidRDefault="00CB2573">
      <w:pPr>
        <w:spacing w:line="240" w:lineRule="exact"/>
        <w:jc w:val="both"/>
        <w:rPr>
          <w:sz w:val="22"/>
          <w:szCs w:val="22"/>
        </w:rPr>
      </w:pPr>
      <w:r w:rsidRPr="00880E7B">
        <w:rPr>
          <w:sz w:val="22"/>
          <w:szCs w:val="22"/>
        </w:rPr>
        <w:t xml:space="preserve">gvožđe </w:t>
      </w:r>
      <w:r w:rsidR="00E01621" w:rsidRPr="00880E7B">
        <w:rPr>
          <w:sz w:val="22"/>
          <w:szCs w:val="22"/>
        </w:rPr>
        <w:t>(III)</w:t>
      </w:r>
      <w:r w:rsidR="00266E8F" w:rsidRPr="00880E7B">
        <w:rPr>
          <w:sz w:val="22"/>
          <w:szCs w:val="22"/>
        </w:rPr>
        <w:t xml:space="preserve"> </w:t>
      </w:r>
      <w:r w:rsidR="00E01621" w:rsidRPr="00880E7B">
        <w:rPr>
          <w:sz w:val="22"/>
          <w:szCs w:val="22"/>
        </w:rPr>
        <w:t xml:space="preserve">oksid, crveni (E172) </w:t>
      </w:r>
    </w:p>
    <w:p w:rsidR="00E01621" w:rsidRPr="00880E7B" w:rsidRDefault="00E01621">
      <w:pPr>
        <w:jc w:val="both"/>
        <w:rPr>
          <w:sz w:val="22"/>
          <w:szCs w:val="22"/>
          <w:lang w:val="it-IT"/>
        </w:rPr>
      </w:pPr>
      <w:r w:rsidRPr="00880E7B">
        <w:rPr>
          <w:sz w:val="22"/>
          <w:szCs w:val="22"/>
          <w:lang w:val="it-IT"/>
        </w:rPr>
        <w:t>gvožđe</w:t>
      </w:r>
      <w:r w:rsidR="00CB2573" w:rsidRPr="00880E7B">
        <w:rPr>
          <w:sz w:val="22"/>
          <w:szCs w:val="22"/>
          <w:lang w:val="it-IT"/>
        </w:rPr>
        <w:t xml:space="preserve"> </w:t>
      </w:r>
      <w:r w:rsidRPr="00880E7B">
        <w:rPr>
          <w:sz w:val="22"/>
          <w:szCs w:val="22"/>
          <w:lang w:val="it-IT"/>
        </w:rPr>
        <w:t>(III)</w:t>
      </w:r>
      <w:r w:rsidR="00266E8F" w:rsidRPr="00880E7B">
        <w:rPr>
          <w:sz w:val="22"/>
          <w:szCs w:val="22"/>
          <w:lang w:val="it-IT"/>
        </w:rPr>
        <w:t xml:space="preserve"> </w:t>
      </w:r>
      <w:r w:rsidRPr="00880E7B">
        <w:rPr>
          <w:sz w:val="22"/>
          <w:szCs w:val="22"/>
          <w:lang w:val="it-IT"/>
        </w:rPr>
        <w:t>oksid, crni (E172)</w:t>
      </w:r>
    </w:p>
    <w:p w:rsidR="00A17092" w:rsidRPr="00880E7B" w:rsidRDefault="00A17092">
      <w:pPr>
        <w:tabs>
          <w:tab w:val="left" w:pos="540"/>
          <w:tab w:val="left" w:pos="569"/>
        </w:tabs>
        <w:jc w:val="both"/>
        <w:rPr>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6.2. </w:t>
      </w:r>
      <w:r w:rsidR="00480FB1" w:rsidRPr="00880E7B">
        <w:rPr>
          <w:b/>
          <w:bCs/>
          <w:sz w:val="22"/>
          <w:szCs w:val="22"/>
        </w:rPr>
        <w:tab/>
      </w:r>
      <w:r w:rsidRPr="00880E7B">
        <w:rPr>
          <w:b/>
          <w:bCs/>
          <w:sz w:val="22"/>
          <w:szCs w:val="22"/>
        </w:rPr>
        <w:t>Inkompatibilnost</w:t>
      </w:r>
      <w:r w:rsidR="002846DB" w:rsidRPr="00880E7B">
        <w:rPr>
          <w:b/>
          <w:bCs/>
          <w:sz w:val="22"/>
          <w:szCs w:val="22"/>
        </w:rPr>
        <w:t>i</w:t>
      </w:r>
    </w:p>
    <w:p w:rsidR="0072020E" w:rsidRPr="00880E7B" w:rsidRDefault="0072020E">
      <w:pPr>
        <w:tabs>
          <w:tab w:val="left" w:pos="540"/>
          <w:tab w:val="left" w:pos="569"/>
        </w:tabs>
        <w:jc w:val="both"/>
        <w:rPr>
          <w:bCs/>
          <w:sz w:val="22"/>
          <w:szCs w:val="22"/>
        </w:rPr>
      </w:pPr>
    </w:p>
    <w:p w:rsidR="00A17092" w:rsidRPr="00880E7B" w:rsidRDefault="00780296">
      <w:pPr>
        <w:tabs>
          <w:tab w:val="left" w:pos="540"/>
          <w:tab w:val="left" w:pos="569"/>
        </w:tabs>
        <w:jc w:val="both"/>
        <w:rPr>
          <w:sz w:val="22"/>
          <w:szCs w:val="22"/>
          <w:lang w:val="sr-Latn-CS"/>
        </w:rPr>
      </w:pPr>
      <w:r w:rsidRPr="00880E7B">
        <w:rPr>
          <w:sz w:val="22"/>
          <w:szCs w:val="22"/>
          <w:lang w:val="sr-Latn-CS"/>
        </w:rPr>
        <w:t>Nije prim</w:t>
      </w:r>
      <w:r w:rsidR="00BD0820" w:rsidRPr="00880E7B">
        <w:rPr>
          <w:sz w:val="22"/>
          <w:szCs w:val="22"/>
          <w:lang w:val="sr-Latn-CS"/>
        </w:rPr>
        <w:t>j</w:t>
      </w:r>
      <w:r w:rsidRPr="00880E7B">
        <w:rPr>
          <w:sz w:val="22"/>
          <w:szCs w:val="22"/>
          <w:lang w:val="sr-Latn-CS"/>
        </w:rPr>
        <w:t>enljivo.</w:t>
      </w:r>
    </w:p>
    <w:p w:rsidR="00780296" w:rsidRPr="00880E7B" w:rsidRDefault="00780296">
      <w:pPr>
        <w:tabs>
          <w:tab w:val="left" w:pos="540"/>
          <w:tab w:val="left" w:pos="569"/>
        </w:tabs>
        <w:jc w:val="both"/>
        <w:rPr>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6.3.</w:t>
      </w:r>
      <w:r w:rsidR="00C05DF8" w:rsidRPr="00880E7B">
        <w:rPr>
          <w:b/>
          <w:bCs/>
          <w:sz w:val="22"/>
          <w:szCs w:val="22"/>
        </w:rPr>
        <w:t xml:space="preserve"> </w:t>
      </w:r>
      <w:r w:rsidR="00480FB1" w:rsidRPr="00880E7B">
        <w:rPr>
          <w:b/>
          <w:bCs/>
          <w:sz w:val="22"/>
          <w:szCs w:val="22"/>
        </w:rPr>
        <w:tab/>
      </w:r>
      <w:r w:rsidRPr="00880E7B">
        <w:rPr>
          <w:b/>
          <w:bCs/>
          <w:sz w:val="22"/>
          <w:szCs w:val="22"/>
        </w:rPr>
        <w:t>Rok upotrebe</w:t>
      </w:r>
    </w:p>
    <w:p w:rsidR="0072020E" w:rsidRPr="00880E7B" w:rsidRDefault="0072020E">
      <w:pPr>
        <w:tabs>
          <w:tab w:val="left" w:pos="540"/>
          <w:tab w:val="left" w:pos="569"/>
        </w:tabs>
        <w:jc w:val="both"/>
        <w:rPr>
          <w:bCs/>
          <w:sz w:val="22"/>
          <w:szCs w:val="22"/>
        </w:rPr>
      </w:pPr>
    </w:p>
    <w:p w:rsidR="00A17092" w:rsidRPr="00880E7B" w:rsidRDefault="006522CB">
      <w:pPr>
        <w:jc w:val="both"/>
        <w:rPr>
          <w:sz w:val="22"/>
          <w:szCs w:val="22"/>
          <w:lang w:val="sr-Latn-CS"/>
        </w:rPr>
      </w:pPr>
      <w:r w:rsidRPr="00880E7B">
        <w:rPr>
          <w:sz w:val="22"/>
          <w:szCs w:val="22"/>
          <w:lang w:val="sr-Latn-CS"/>
        </w:rPr>
        <w:t xml:space="preserve">3 </w:t>
      </w:r>
      <w:r w:rsidR="00A17092" w:rsidRPr="00880E7B">
        <w:rPr>
          <w:sz w:val="22"/>
          <w:szCs w:val="22"/>
          <w:lang w:val="sr-Latn-CS"/>
        </w:rPr>
        <w:t>godine</w:t>
      </w:r>
      <w:r w:rsidR="00780296" w:rsidRPr="00880E7B">
        <w:rPr>
          <w:sz w:val="22"/>
          <w:szCs w:val="22"/>
          <w:lang w:val="sr-Latn-CS"/>
        </w:rPr>
        <w:t>.</w:t>
      </w:r>
    </w:p>
    <w:p w:rsidR="00A17092" w:rsidRPr="00880E7B" w:rsidRDefault="00A17092">
      <w:pPr>
        <w:tabs>
          <w:tab w:val="left" w:pos="540"/>
          <w:tab w:val="left" w:pos="569"/>
        </w:tabs>
        <w:jc w:val="both"/>
        <w:rPr>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6.4. </w:t>
      </w:r>
      <w:r w:rsidR="00480FB1" w:rsidRPr="00880E7B">
        <w:rPr>
          <w:b/>
          <w:bCs/>
          <w:sz w:val="22"/>
          <w:szCs w:val="22"/>
        </w:rPr>
        <w:tab/>
      </w:r>
      <w:r w:rsidRPr="00880E7B">
        <w:rPr>
          <w:b/>
          <w:bCs/>
          <w:sz w:val="22"/>
          <w:szCs w:val="22"/>
        </w:rPr>
        <w:t>Posebne mjere upozorenja pri čuvanju</w:t>
      </w:r>
      <w:r w:rsidR="00F8570A" w:rsidRPr="00880E7B">
        <w:rPr>
          <w:b/>
          <w:bCs/>
          <w:sz w:val="22"/>
          <w:szCs w:val="22"/>
        </w:rPr>
        <w:t xml:space="preserve"> lijeka</w:t>
      </w:r>
    </w:p>
    <w:p w:rsidR="00EC2532" w:rsidRPr="00880E7B" w:rsidRDefault="00EC2532">
      <w:pPr>
        <w:tabs>
          <w:tab w:val="left" w:pos="540"/>
          <w:tab w:val="left" w:pos="569"/>
        </w:tabs>
        <w:jc w:val="both"/>
        <w:rPr>
          <w:bCs/>
          <w:sz w:val="22"/>
          <w:szCs w:val="22"/>
        </w:rPr>
      </w:pPr>
    </w:p>
    <w:p w:rsidR="00A17092" w:rsidRPr="00880E7B" w:rsidRDefault="0040369B">
      <w:pPr>
        <w:tabs>
          <w:tab w:val="left" w:pos="540"/>
          <w:tab w:val="left" w:pos="569"/>
        </w:tabs>
        <w:jc w:val="both"/>
        <w:rPr>
          <w:sz w:val="22"/>
          <w:szCs w:val="22"/>
          <w:lang w:val="sr-Latn-CS"/>
        </w:rPr>
      </w:pPr>
      <w:r w:rsidRPr="00880E7B">
        <w:rPr>
          <w:sz w:val="22"/>
          <w:szCs w:val="22"/>
          <w:lang w:val="sr-Latn-CS"/>
        </w:rPr>
        <w:lastRenderedPageBreak/>
        <w:t>Ovaj l</w:t>
      </w:r>
      <w:r w:rsidR="00CE37B6" w:rsidRPr="00880E7B">
        <w:rPr>
          <w:sz w:val="22"/>
          <w:szCs w:val="22"/>
          <w:lang w:val="sr-Latn-CS"/>
        </w:rPr>
        <w:t>ij</w:t>
      </w:r>
      <w:r w:rsidRPr="00880E7B">
        <w:rPr>
          <w:sz w:val="22"/>
          <w:szCs w:val="22"/>
          <w:lang w:val="sr-Latn-CS"/>
        </w:rPr>
        <w:t>ek ne zaht</w:t>
      </w:r>
      <w:r w:rsidR="00CE37B6" w:rsidRPr="00880E7B">
        <w:rPr>
          <w:sz w:val="22"/>
          <w:szCs w:val="22"/>
          <w:lang w:val="sr-Latn-CS"/>
        </w:rPr>
        <w:t>ij</w:t>
      </w:r>
      <w:r w:rsidRPr="00880E7B">
        <w:rPr>
          <w:sz w:val="22"/>
          <w:szCs w:val="22"/>
          <w:lang w:val="sr-Latn-CS"/>
        </w:rPr>
        <w:t>eva posebne uslove čuvanja.</w:t>
      </w:r>
    </w:p>
    <w:p w:rsidR="00780296" w:rsidRPr="00880E7B" w:rsidRDefault="00780296">
      <w:pPr>
        <w:tabs>
          <w:tab w:val="left" w:pos="540"/>
          <w:tab w:val="left" w:pos="569"/>
        </w:tabs>
        <w:jc w:val="both"/>
        <w:rPr>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6.5. </w:t>
      </w:r>
      <w:r w:rsidR="00480FB1" w:rsidRPr="00880E7B">
        <w:rPr>
          <w:b/>
          <w:bCs/>
          <w:sz w:val="22"/>
          <w:szCs w:val="22"/>
        </w:rPr>
        <w:tab/>
      </w:r>
      <w:r w:rsidR="002846DB" w:rsidRPr="00880E7B">
        <w:rPr>
          <w:b/>
          <w:bCs/>
          <w:sz w:val="22"/>
          <w:szCs w:val="22"/>
        </w:rPr>
        <w:t xml:space="preserve">Vrsta i sadržaj </w:t>
      </w:r>
      <w:r w:rsidR="00F8570A" w:rsidRPr="00880E7B">
        <w:rPr>
          <w:b/>
          <w:bCs/>
          <w:sz w:val="22"/>
          <w:szCs w:val="22"/>
        </w:rPr>
        <w:t>pakovanja</w:t>
      </w:r>
      <w:r w:rsidR="00C06864" w:rsidRPr="00880E7B">
        <w:rPr>
          <w:b/>
          <w:bCs/>
          <w:sz w:val="22"/>
          <w:szCs w:val="22"/>
        </w:rPr>
        <w:t xml:space="preserve"> </w:t>
      </w:r>
    </w:p>
    <w:p w:rsidR="0072020E" w:rsidRPr="00880E7B" w:rsidRDefault="0072020E">
      <w:pPr>
        <w:tabs>
          <w:tab w:val="left" w:pos="540"/>
          <w:tab w:val="left" w:pos="569"/>
        </w:tabs>
        <w:jc w:val="both"/>
        <w:rPr>
          <w:bCs/>
          <w:sz w:val="22"/>
          <w:szCs w:val="22"/>
        </w:rPr>
      </w:pPr>
    </w:p>
    <w:p w:rsidR="00454673" w:rsidRPr="00880E7B" w:rsidRDefault="00454673">
      <w:pPr>
        <w:keepNext/>
        <w:spacing w:line="240" w:lineRule="exact"/>
        <w:jc w:val="both"/>
        <w:outlineLvl w:val="0"/>
        <w:rPr>
          <w:sz w:val="22"/>
          <w:szCs w:val="22"/>
          <w:lang w:val="it-IT"/>
        </w:rPr>
      </w:pPr>
      <w:r w:rsidRPr="00880E7B">
        <w:rPr>
          <w:sz w:val="22"/>
          <w:szCs w:val="22"/>
          <w:lang w:val="it-IT"/>
        </w:rPr>
        <w:t xml:space="preserve">PVC/Aclar (PCTFE) </w:t>
      </w:r>
      <w:r w:rsidR="00D21400" w:rsidRPr="00880E7B">
        <w:rPr>
          <w:sz w:val="22"/>
          <w:szCs w:val="22"/>
          <w:lang w:val="it-IT"/>
        </w:rPr>
        <w:t>blister od aluminijumske folije</w:t>
      </w:r>
      <w:r w:rsidRPr="00880E7B">
        <w:rPr>
          <w:sz w:val="22"/>
          <w:szCs w:val="22"/>
          <w:lang w:val="it-IT"/>
        </w:rPr>
        <w:t xml:space="preserve"> </w:t>
      </w:r>
    </w:p>
    <w:p w:rsidR="00780296" w:rsidRPr="00880E7B" w:rsidRDefault="00780296">
      <w:pPr>
        <w:keepNext/>
        <w:spacing w:line="240" w:lineRule="exact"/>
        <w:jc w:val="both"/>
        <w:outlineLvl w:val="0"/>
        <w:rPr>
          <w:iCs/>
          <w:sz w:val="22"/>
          <w:szCs w:val="22"/>
          <w:lang w:val="it-IT"/>
        </w:rPr>
      </w:pPr>
    </w:p>
    <w:p w:rsidR="00780296" w:rsidRPr="00880E7B" w:rsidRDefault="00780296">
      <w:pPr>
        <w:keepNext/>
        <w:spacing w:line="240" w:lineRule="exact"/>
        <w:jc w:val="both"/>
        <w:outlineLvl w:val="0"/>
        <w:rPr>
          <w:iCs/>
          <w:sz w:val="22"/>
          <w:szCs w:val="22"/>
          <w:u w:val="single"/>
          <w:lang w:val="it-IT"/>
        </w:rPr>
      </w:pPr>
      <w:r w:rsidRPr="00880E7B">
        <w:rPr>
          <w:sz w:val="22"/>
          <w:szCs w:val="22"/>
          <w:u w:val="single"/>
          <w:lang w:val="it-IT"/>
        </w:rPr>
        <w:t>Veličine pakovanja</w:t>
      </w:r>
    </w:p>
    <w:p w:rsidR="00780296" w:rsidRPr="00880E7B" w:rsidRDefault="00780296">
      <w:pPr>
        <w:keepNext/>
        <w:spacing w:line="240" w:lineRule="exact"/>
        <w:jc w:val="both"/>
        <w:outlineLvl w:val="0"/>
        <w:rPr>
          <w:iCs/>
          <w:sz w:val="22"/>
          <w:szCs w:val="22"/>
          <w:u w:val="single"/>
          <w:lang w:val="it-IT"/>
        </w:rPr>
      </w:pPr>
    </w:p>
    <w:p w:rsidR="00780296" w:rsidRPr="00880E7B" w:rsidRDefault="0073680C">
      <w:pPr>
        <w:keepNext/>
        <w:spacing w:line="240" w:lineRule="exact"/>
        <w:jc w:val="both"/>
        <w:outlineLvl w:val="0"/>
        <w:rPr>
          <w:i/>
          <w:iCs/>
          <w:sz w:val="22"/>
          <w:szCs w:val="22"/>
          <w:u w:val="single"/>
          <w:lang w:val="it-IT"/>
        </w:rPr>
      </w:pPr>
      <w:r w:rsidRPr="00880E7B">
        <w:rPr>
          <w:i/>
          <w:sz w:val="22"/>
          <w:szCs w:val="22"/>
          <w:u w:val="single"/>
          <w:lang w:val="it-IT"/>
        </w:rPr>
        <w:t>F</w:t>
      </w:r>
      <w:r w:rsidR="00780296" w:rsidRPr="00880E7B">
        <w:rPr>
          <w:i/>
          <w:sz w:val="22"/>
          <w:szCs w:val="22"/>
          <w:u w:val="single"/>
          <w:lang w:val="it-IT"/>
        </w:rPr>
        <w:t>ilm tablete od 267 mg</w:t>
      </w:r>
    </w:p>
    <w:p w:rsidR="00D21400" w:rsidRPr="00880E7B" w:rsidRDefault="00D21400" w:rsidP="00DC7E27">
      <w:pPr>
        <w:jc w:val="both"/>
        <w:rPr>
          <w:sz w:val="22"/>
          <w:szCs w:val="22"/>
          <w:lang w:val="it-IT"/>
        </w:rPr>
      </w:pPr>
      <w:r w:rsidRPr="00880E7B">
        <w:rPr>
          <w:sz w:val="22"/>
          <w:szCs w:val="22"/>
          <w:lang w:val="it-IT"/>
        </w:rPr>
        <w:t xml:space="preserve">Pakovanje za nastavak liječenja: višestruko pakovanje koje sadrži 252 film tablete (3 pakovanja, od kojih svako sadrži 4 blistera sa 21 film tabletom) </w:t>
      </w:r>
    </w:p>
    <w:p w:rsidR="00780296" w:rsidRPr="00880E7B" w:rsidRDefault="00780296" w:rsidP="00880E7B">
      <w:pPr>
        <w:keepNext/>
        <w:spacing w:line="240" w:lineRule="exact"/>
        <w:jc w:val="both"/>
        <w:outlineLvl w:val="0"/>
        <w:rPr>
          <w:iCs/>
          <w:sz w:val="22"/>
          <w:szCs w:val="22"/>
          <w:u w:val="single"/>
          <w:lang w:val="it-IT"/>
        </w:rPr>
      </w:pPr>
    </w:p>
    <w:p w:rsidR="00780296" w:rsidRPr="00880E7B" w:rsidRDefault="0073680C" w:rsidP="00880E7B">
      <w:pPr>
        <w:keepNext/>
        <w:spacing w:line="240" w:lineRule="exact"/>
        <w:jc w:val="both"/>
        <w:outlineLvl w:val="0"/>
        <w:rPr>
          <w:i/>
          <w:iCs/>
          <w:sz w:val="22"/>
          <w:szCs w:val="22"/>
          <w:u w:val="single"/>
          <w:lang w:val="it-IT"/>
        </w:rPr>
      </w:pPr>
      <w:r w:rsidRPr="00880E7B">
        <w:rPr>
          <w:i/>
          <w:sz w:val="22"/>
          <w:szCs w:val="22"/>
          <w:u w:val="single"/>
          <w:lang w:val="it-IT"/>
        </w:rPr>
        <w:t>F</w:t>
      </w:r>
      <w:r w:rsidR="00780296" w:rsidRPr="00880E7B">
        <w:rPr>
          <w:i/>
          <w:sz w:val="22"/>
          <w:szCs w:val="22"/>
          <w:u w:val="single"/>
          <w:lang w:val="it-IT"/>
        </w:rPr>
        <w:t>ilm tablete od 801 mg</w:t>
      </w:r>
    </w:p>
    <w:p w:rsidR="00D21400" w:rsidRPr="00880E7B" w:rsidRDefault="00D21400" w:rsidP="00DC7E27">
      <w:pPr>
        <w:jc w:val="both"/>
        <w:rPr>
          <w:sz w:val="22"/>
          <w:szCs w:val="22"/>
          <w:lang w:val="it-IT"/>
        </w:rPr>
      </w:pPr>
      <w:r w:rsidRPr="00880E7B">
        <w:rPr>
          <w:sz w:val="22"/>
          <w:szCs w:val="22"/>
          <w:lang w:val="it-IT"/>
        </w:rPr>
        <w:t xml:space="preserve">Pakovanje za nastavak liječenja: višestruko pakovanje koje sadrži 252 film tablete (3 pakovanja, od kojih svako sadrži 4 blistera sa 21 film tabletom) </w:t>
      </w:r>
    </w:p>
    <w:p w:rsidR="00A17092" w:rsidRPr="00880E7B" w:rsidRDefault="00A17092" w:rsidP="00880E7B">
      <w:pPr>
        <w:tabs>
          <w:tab w:val="left" w:pos="540"/>
          <w:tab w:val="left" w:pos="569"/>
        </w:tabs>
        <w:jc w:val="both"/>
        <w:rPr>
          <w:bCs/>
          <w:sz w:val="22"/>
          <w:szCs w:val="22"/>
          <w:lang w:val="it-IT"/>
        </w:rPr>
      </w:pPr>
    </w:p>
    <w:p w:rsidR="002846DB" w:rsidRPr="00880E7B" w:rsidRDefault="0072020E" w:rsidP="00880E7B">
      <w:pPr>
        <w:tabs>
          <w:tab w:val="left" w:pos="540"/>
          <w:tab w:val="left" w:pos="569"/>
        </w:tabs>
        <w:jc w:val="both"/>
        <w:rPr>
          <w:b/>
          <w:bCs/>
          <w:sz w:val="22"/>
          <w:szCs w:val="22"/>
          <w:lang w:val="it-IT"/>
        </w:rPr>
      </w:pPr>
      <w:r w:rsidRPr="00880E7B">
        <w:rPr>
          <w:b/>
          <w:bCs/>
          <w:sz w:val="22"/>
          <w:szCs w:val="22"/>
          <w:lang w:val="it-IT"/>
        </w:rPr>
        <w:t xml:space="preserve">6.6. </w:t>
      </w:r>
      <w:r w:rsidR="00480FB1" w:rsidRPr="00880E7B">
        <w:rPr>
          <w:b/>
          <w:bCs/>
          <w:sz w:val="22"/>
          <w:szCs w:val="22"/>
          <w:lang w:val="it-IT"/>
        </w:rPr>
        <w:tab/>
      </w:r>
      <w:r w:rsidRPr="00880E7B">
        <w:rPr>
          <w:b/>
          <w:bCs/>
          <w:color w:val="000000"/>
          <w:sz w:val="22"/>
          <w:szCs w:val="22"/>
          <w:lang w:val="it-IT"/>
        </w:rPr>
        <w:t>Posebne mjere opreza pri odlaganju materijala koji treba odbaciti nakon primjene lijeka</w:t>
      </w:r>
      <w:r w:rsidRPr="00880E7B">
        <w:rPr>
          <w:b/>
          <w:bCs/>
          <w:sz w:val="22"/>
          <w:szCs w:val="22"/>
          <w:lang w:val="it-IT"/>
        </w:rPr>
        <w:t xml:space="preserve"> </w:t>
      </w:r>
      <w:r w:rsidR="00310F03" w:rsidRPr="00880E7B">
        <w:rPr>
          <w:b/>
          <w:bCs/>
          <w:sz w:val="22"/>
          <w:szCs w:val="22"/>
          <w:lang w:val="it-IT"/>
        </w:rPr>
        <w:t>(i druga uputs</w:t>
      </w:r>
      <w:r w:rsidR="004109FA" w:rsidRPr="00880E7B">
        <w:rPr>
          <w:b/>
          <w:bCs/>
          <w:sz w:val="22"/>
          <w:szCs w:val="22"/>
          <w:lang w:val="it-IT"/>
        </w:rPr>
        <w:t>t</w:t>
      </w:r>
      <w:r w:rsidR="00310F03" w:rsidRPr="00880E7B">
        <w:rPr>
          <w:b/>
          <w:bCs/>
          <w:sz w:val="22"/>
          <w:szCs w:val="22"/>
          <w:lang w:val="it-IT"/>
        </w:rPr>
        <w:t xml:space="preserve">va za rukovanje lijekom) </w:t>
      </w:r>
    </w:p>
    <w:p w:rsidR="00A17092" w:rsidRPr="00880E7B" w:rsidRDefault="00A17092" w:rsidP="00880E7B">
      <w:pPr>
        <w:jc w:val="both"/>
        <w:rPr>
          <w:sz w:val="22"/>
          <w:szCs w:val="22"/>
          <w:lang w:val="sr-Latn-CS"/>
        </w:rPr>
      </w:pPr>
    </w:p>
    <w:p w:rsidR="00A17092" w:rsidRPr="00880E7B" w:rsidRDefault="00A17092" w:rsidP="00E2025F">
      <w:pPr>
        <w:jc w:val="both"/>
        <w:rPr>
          <w:sz w:val="22"/>
          <w:szCs w:val="22"/>
          <w:lang w:val="sr-Latn-CS"/>
        </w:rPr>
      </w:pPr>
      <w:r w:rsidRPr="00880E7B">
        <w:rPr>
          <w:sz w:val="22"/>
          <w:szCs w:val="22"/>
          <w:lang w:val="sr-Latn-CS"/>
        </w:rPr>
        <w:t>Svu neiskorišćenu količinu lijeka i otpadnog materijala treba ukloniti u skladu sa važećim propisima.</w:t>
      </w:r>
    </w:p>
    <w:p w:rsidR="00A17092" w:rsidRPr="00880E7B" w:rsidRDefault="00A17092">
      <w:pPr>
        <w:tabs>
          <w:tab w:val="left" w:pos="540"/>
          <w:tab w:val="left" w:pos="569"/>
        </w:tabs>
        <w:jc w:val="both"/>
        <w:rPr>
          <w:bCs/>
          <w:sz w:val="22"/>
          <w:szCs w:val="22"/>
          <w:lang w:val="sr-Latn-CS"/>
        </w:rPr>
      </w:pPr>
    </w:p>
    <w:p w:rsidR="00700888" w:rsidRPr="00880E7B" w:rsidRDefault="00700888">
      <w:pPr>
        <w:tabs>
          <w:tab w:val="left" w:pos="540"/>
          <w:tab w:val="left" w:pos="569"/>
        </w:tabs>
        <w:jc w:val="both"/>
        <w:rPr>
          <w:bCs/>
          <w:sz w:val="22"/>
          <w:szCs w:val="22"/>
          <w:lang w:val="sr-Latn-CS"/>
        </w:rPr>
      </w:pPr>
    </w:p>
    <w:p w:rsidR="00F8570A" w:rsidRPr="00880E7B" w:rsidRDefault="0072020E">
      <w:pPr>
        <w:tabs>
          <w:tab w:val="left" w:pos="540"/>
          <w:tab w:val="left" w:pos="569"/>
        </w:tabs>
        <w:jc w:val="both"/>
        <w:rPr>
          <w:b/>
          <w:bCs/>
          <w:sz w:val="22"/>
          <w:szCs w:val="22"/>
        </w:rPr>
      </w:pPr>
      <w:r w:rsidRPr="00880E7B">
        <w:rPr>
          <w:b/>
          <w:bCs/>
          <w:sz w:val="22"/>
          <w:szCs w:val="22"/>
        </w:rPr>
        <w:t xml:space="preserve">7. </w:t>
      </w:r>
      <w:r w:rsidR="00480FB1" w:rsidRPr="00880E7B">
        <w:rPr>
          <w:b/>
          <w:bCs/>
          <w:sz w:val="22"/>
          <w:szCs w:val="22"/>
        </w:rPr>
        <w:tab/>
      </w:r>
      <w:r w:rsidRPr="00880E7B">
        <w:rPr>
          <w:b/>
          <w:bCs/>
          <w:sz w:val="22"/>
          <w:szCs w:val="22"/>
        </w:rPr>
        <w:t>NOSILAC DOZVOLE</w:t>
      </w:r>
      <w:r w:rsidR="00483928" w:rsidRPr="00880E7B">
        <w:rPr>
          <w:b/>
          <w:bCs/>
          <w:sz w:val="22"/>
          <w:szCs w:val="22"/>
        </w:rPr>
        <w:t xml:space="preserve"> </w:t>
      </w:r>
    </w:p>
    <w:p w:rsidR="00C61BE0" w:rsidRPr="00880E7B" w:rsidRDefault="00C61BE0">
      <w:pPr>
        <w:tabs>
          <w:tab w:val="left" w:pos="540"/>
          <w:tab w:val="left" w:pos="569"/>
        </w:tabs>
        <w:jc w:val="both"/>
        <w:rPr>
          <w:bCs/>
          <w:sz w:val="22"/>
          <w:szCs w:val="22"/>
        </w:rPr>
      </w:pPr>
    </w:p>
    <w:p w:rsidR="00070CC6" w:rsidRPr="00880E7B" w:rsidRDefault="00070CC6" w:rsidP="00344504">
      <w:pPr>
        <w:pStyle w:val="Header"/>
        <w:tabs>
          <w:tab w:val="left" w:pos="284"/>
        </w:tabs>
        <w:jc w:val="both"/>
        <w:rPr>
          <w:sz w:val="22"/>
          <w:szCs w:val="22"/>
        </w:rPr>
      </w:pPr>
      <w:r w:rsidRPr="00880E7B">
        <w:rPr>
          <w:sz w:val="22"/>
          <w:szCs w:val="22"/>
        </w:rPr>
        <w:t>''Hoffmann</w:t>
      </w:r>
      <w:r w:rsidR="00467506" w:rsidRPr="00880E7B">
        <w:rPr>
          <w:sz w:val="22"/>
          <w:szCs w:val="22"/>
        </w:rPr>
        <w:t>-</w:t>
      </w:r>
      <w:r w:rsidRPr="00880E7B">
        <w:rPr>
          <w:sz w:val="22"/>
          <w:szCs w:val="22"/>
        </w:rPr>
        <w:t>La Roche LTD'' D.S.D</w:t>
      </w:r>
      <w:r w:rsidR="00467506" w:rsidRPr="00880E7B">
        <w:rPr>
          <w:sz w:val="22"/>
          <w:szCs w:val="22"/>
        </w:rPr>
        <w:t>.</w:t>
      </w:r>
      <w:r w:rsidRPr="00880E7B">
        <w:rPr>
          <w:sz w:val="22"/>
          <w:szCs w:val="22"/>
        </w:rPr>
        <w:t xml:space="preserve"> Podgorica</w:t>
      </w:r>
      <w:r w:rsidR="00423C76">
        <w:rPr>
          <w:sz w:val="22"/>
          <w:szCs w:val="22"/>
        </w:rPr>
        <w:t xml:space="preserve">, </w:t>
      </w:r>
      <w:r w:rsidR="005320F5" w:rsidRPr="00880E7B">
        <w:rPr>
          <w:sz w:val="22"/>
          <w:szCs w:val="22"/>
        </w:rPr>
        <w:t xml:space="preserve">ul. </w:t>
      </w:r>
      <w:r w:rsidRPr="00880E7B">
        <w:rPr>
          <w:sz w:val="22"/>
          <w:szCs w:val="22"/>
        </w:rPr>
        <w:t xml:space="preserve">Cetinjska 11, 81000 Podgorica, Crna Gora </w:t>
      </w:r>
    </w:p>
    <w:p w:rsidR="00C37FD7" w:rsidRPr="00880E7B" w:rsidRDefault="00C37FD7">
      <w:pPr>
        <w:tabs>
          <w:tab w:val="left" w:pos="540"/>
          <w:tab w:val="left" w:pos="569"/>
        </w:tabs>
        <w:jc w:val="both"/>
        <w:rPr>
          <w:bCs/>
          <w:sz w:val="22"/>
          <w:szCs w:val="22"/>
        </w:rPr>
      </w:pPr>
    </w:p>
    <w:p w:rsidR="00700888" w:rsidRPr="00880E7B" w:rsidRDefault="00700888">
      <w:pPr>
        <w:tabs>
          <w:tab w:val="left" w:pos="540"/>
          <w:tab w:val="left" w:pos="569"/>
        </w:tabs>
        <w:jc w:val="both"/>
        <w:rPr>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8. </w:t>
      </w:r>
      <w:r w:rsidR="00480FB1" w:rsidRPr="00880E7B">
        <w:rPr>
          <w:b/>
          <w:bCs/>
          <w:sz w:val="22"/>
          <w:szCs w:val="22"/>
        </w:rPr>
        <w:tab/>
      </w:r>
      <w:r w:rsidRPr="00880E7B">
        <w:rPr>
          <w:b/>
          <w:bCs/>
          <w:sz w:val="22"/>
          <w:szCs w:val="22"/>
        </w:rPr>
        <w:t>BROJ DOZVOLE</w:t>
      </w:r>
      <w:r w:rsidR="008A6D43" w:rsidRPr="00880E7B">
        <w:rPr>
          <w:b/>
          <w:bCs/>
          <w:sz w:val="22"/>
          <w:szCs w:val="22"/>
        </w:rPr>
        <w:t xml:space="preserve"> ZA STAVLJANJE LIJEKA U PROMET</w:t>
      </w:r>
    </w:p>
    <w:p w:rsidR="0072020E" w:rsidRPr="00880E7B" w:rsidRDefault="0072020E">
      <w:pPr>
        <w:tabs>
          <w:tab w:val="left" w:pos="540"/>
          <w:tab w:val="left" w:pos="569"/>
        </w:tabs>
        <w:jc w:val="both"/>
        <w:rPr>
          <w:bCs/>
          <w:sz w:val="22"/>
          <w:szCs w:val="22"/>
        </w:rPr>
      </w:pPr>
    </w:p>
    <w:p w:rsidR="00700888" w:rsidRPr="00880E7B" w:rsidRDefault="00467506">
      <w:pPr>
        <w:tabs>
          <w:tab w:val="left" w:pos="540"/>
          <w:tab w:val="left" w:pos="569"/>
        </w:tabs>
        <w:jc w:val="both"/>
        <w:rPr>
          <w:bCs/>
          <w:sz w:val="22"/>
          <w:szCs w:val="22"/>
          <w:lang w:val="de-DE"/>
        </w:rPr>
      </w:pPr>
      <w:r w:rsidRPr="00880E7B">
        <w:rPr>
          <w:bCs/>
          <w:sz w:val="22"/>
          <w:szCs w:val="22"/>
          <w:lang w:val="de-DE"/>
        </w:rPr>
        <w:t>Esbriet</w:t>
      </w:r>
      <w:r w:rsidR="00700888" w:rsidRPr="00880E7B">
        <w:rPr>
          <w:bCs/>
          <w:sz w:val="22"/>
          <w:szCs w:val="22"/>
          <w:lang w:val="de-DE"/>
        </w:rPr>
        <w:t xml:space="preserve">, film tableta, 267 mg, blister, 252 (12x21) film tablete: </w:t>
      </w:r>
      <w:r w:rsidR="002501D7" w:rsidRPr="00880E7B">
        <w:rPr>
          <w:bCs/>
          <w:sz w:val="22"/>
          <w:szCs w:val="22"/>
          <w:lang w:val="de-DE"/>
        </w:rPr>
        <w:t>2030/21/1401 - 5297</w:t>
      </w:r>
    </w:p>
    <w:p w:rsidR="00700888" w:rsidRPr="00880E7B" w:rsidRDefault="00467506">
      <w:pPr>
        <w:tabs>
          <w:tab w:val="left" w:pos="540"/>
          <w:tab w:val="left" w:pos="569"/>
        </w:tabs>
        <w:jc w:val="both"/>
        <w:rPr>
          <w:bCs/>
          <w:sz w:val="22"/>
          <w:szCs w:val="22"/>
          <w:lang w:val="de-DE"/>
        </w:rPr>
      </w:pPr>
      <w:r w:rsidRPr="00880E7B">
        <w:rPr>
          <w:bCs/>
          <w:sz w:val="22"/>
          <w:szCs w:val="22"/>
          <w:lang w:val="de-DE"/>
        </w:rPr>
        <w:t>Esbriet</w:t>
      </w:r>
      <w:r w:rsidR="00700888" w:rsidRPr="00880E7B">
        <w:rPr>
          <w:bCs/>
          <w:sz w:val="22"/>
          <w:szCs w:val="22"/>
          <w:lang w:val="de-DE"/>
        </w:rPr>
        <w:t>, film tableta, 801</w:t>
      </w:r>
      <w:r w:rsidRPr="00880E7B">
        <w:rPr>
          <w:bCs/>
          <w:sz w:val="22"/>
          <w:szCs w:val="22"/>
          <w:lang w:val="de-DE"/>
        </w:rPr>
        <w:t xml:space="preserve"> </w:t>
      </w:r>
      <w:r w:rsidR="00700888" w:rsidRPr="00880E7B">
        <w:rPr>
          <w:bCs/>
          <w:sz w:val="22"/>
          <w:szCs w:val="22"/>
          <w:lang w:val="de-DE"/>
        </w:rPr>
        <w:t xml:space="preserve">mg, blister, 252 (12x21) film tablete: </w:t>
      </w:r>
      <w:r w:rsidR="002501D7" w:rsidRPr="00880E7B">
        <w:rPr>
          <w:bCs/>
          <w:sz w:val="22"/>
          <w:szCs w:val="22"/>
          <w:lang w:val="de-DE"/>
        </w:rPr>
        <w:t>2030/21/1403 - 5298</w:t>
      </w:r>
    </w:p>
    <w:p w:rsidR="00700888" w:rsidRPr="00880E7B" w:rsidRDefault="00700888">
      <w:pPr>
        <w:tabs>
          <w:tab w:val="left" w:pos="540"/>
          <w:tab w:val="left" w:pos="569"/>
        </w:tabs>
        <w:jc w:val="both"/>
        <w:rPr>
          <w:bCs/>
          <w:sz w:val="22"/>
          <w:szCs w:val="22"/>
          <w:lang w:val="de-DE"/>
        </w:rPr>
      </w:pPr>
    </w:p>
    <w:p w:rsidR="00F45F77" w:rsidRPr="00880E7B" w:rsidRDefault="00F45F77">
      <w:pPr>
        <w:tabs>
          <w:tab w:val="left" w:pos="540"/>
          <w:tab w:val="left" w:pos="569"/>
        </w:tabs>
        <w:jc w:val="both"/>
        <w:rPr>
          <w:bCs/>
          <w:sz w:val="22"/>
          <w:szCs w:val="22"/>
        </w:rPr>
      </w:pPr>
    </w:p>
    <w:p w:rsidR="0072020E" w:rsidRPr="00880E7B" w:rsidRDefault="0072020E">
      <w:pPr>
        <w:tabs>
          <w:tab w:val="left" w:pos="540"/>
          <w:tab w:val="left" w:pos="569"/>
        </w:tabs>
        <w:jc w:val="both"/>
        <w:rPr>
          <w:b/>
          <w:bCs/>
          <w:sz w:val="22"/>
          <w:szCs w:val="22"/>
        </w:rPr>
      </w:pPr>
      <w:r w:rsidRPr="00880E7B">
        <w:rPr>
          <w:b/>
          <w:bCs/>
          <w:sz w:val="22"/>
          <w:szCs w:val="22"/>
        </w:rPr>
        <w:t xml:space="preserve">9. </w:t>
      </w:r>
      <w:r w:rsidR="00480FB1" w:rsidRPr="00880E7B">
        <w:rPr>
          <w:b/>
          <w:bCs/>
          <w:sz w:val="22"/>
          <w:szCs w:val="22"/>
        </w:rPr>
        <w:tab/>
      </w:r>
      <w:r w:rsidRPr="00880E7B">
        <w:rPr>
          <w:b/>
          <w:bCs/>
          <w:sz w:val="22"/>
          <w:szCs w:val="22"/>
        </w:rPr>
        <w:t xml:space="preserve">DATUM </w:t>
      </w:r>
      <w:r w:rsidR="00C05DF8" w:rsidRPr="00880E7B">
        <w:rPr>
          <w:b/>
          <w:bCs/>
          <w:sz w:val="22"/>
          <w:szCs w:val="22"/>
        </w:rPr>
        <w:t xml:space="preserve">PRVE </w:t>
      </w:r>
      <w:r w:rsidR="008A6D43" w:rsidRPr="00880E7B">
        <w:rPr>
          <w:b/>
          <w:bCs/>
          <w:sz w:val="22"/>
          <w:szCs w:val="22"/>
        </w:rPr>
        <w:t>DOZVOLE</w:t>
      </w:r>
      <w:r w:rsidR="00C05DF8" w:rsidRPr="00880E7B">
        <w:rPr>
          <w:b/>
          <w:bCs/>
          <w:sz w:val="22"/>
          <w:szCs w:val="22"/>
        </w:rPr>
        <w:t>/OBNOVE DOZVOLE</w:t>
      </w:r>
      <w:r w:rsidR="008A6D43" w:rsidRPr="00880E7B">
        <w:rPr>
          <w:b/>
          <w:bCs/>
          <w:sz w:val="22"/>
          <w:szCs w:val="22"/>
        </w:rPr>
        <w:t xml:space="preserve"> ZA STAVLJANJE LIJEKA U PROMET</w:t>
      </w:r>
    </w:p>
    <w:p w:rsidR="00700888" w:rsidRPr="00880E7B" w:rsidRDefault="00700888">
      <w:pPr>
        <w:tabs>
          <w:tab w:val="left" w:pos="540"/>
          <w:tab w:val="left" w:pos="569"/>
        </w:tabs>
        <w:jc w:val="both"/>
        <w:rPr>
          <w:b/>
          <w:bCs/>
          <w:sz w:val="22"/>
          <w:szCs w:val="22"/>
        </w:rPr>
      </w:pPr>
    </w:p>
    <w:p w:rsidR="00700888" w:rsidRPr="00880E7B" w:rsidRDefault="00B51E0C">
      <w:pPr>
        <w:tabs>
          <w:tab w:val="left" w:pos="540"/>
          <w:tab w:val="left" w:pos="569"/>
        </w:tabs>
        <w:jc w:val="both"/>
        <w:rPr>
          <w:bCs/>
          <w:sz w:val="22"/>
          <w:szCs w:val="22"/>
          <w:lang w:val="de-DE"/>
        </w:rPr>
      </w:pPr>
      <w:r w:rsidRPr="00880E7B">
        <w:rPr>
          <w:bCs/>
          <w:sz w:val="22"/>
          <w:szCs w:val="22"/>
          <w:lang w:val="de-DE"/>
        </w:rPr>
        <w:t>Esbriet</w:t>
      </w:r>
      <w:r w:rsidR="00700888" w:rsidRPr="00880E7B">
        <w:rPr>
          <w:bCs/>
          <w:sz w:val="22"/>
          <w:szCs w:val="22"/>
          <w:lang w:val="de-DE"/>
        </w:rPr>
        <w:t xml:space="preserve">, film tableta, 267 mg, blister, 252 (12x21) film tablete: </w:t>
      </w:r>
      <w:r w:rsidR="002501D7" w:rsidRPr="00880E7B">
        <w:rPr>
          <w:bCs/>
          <w:sz w:val="22"/>
          <w:szCs w:val="22"/>
          <w:lang w:val="de-DE"/>
        </w:rPr>
        <w:t>24.12.2021. godine</w:t>
      </w:r>
    </w:p>
    <w:p w:rsidR="00700888" w:rsidRPr="00880E7B" w:rsidRDefault="00B51E0C">
      <w:pPr>
        <w:tabs>
          <w:tab w:val="left" w:pos="540"/>
          <w:tab w:val="left" w:pos="569"/>
        </w:tabs>
        <w:jc w:val="both"/>
        <w:rPr>
          <w:bCs/>
          <w:sz w:val="22"/>
          <w:szCs w:val="22"/>
          <w:lang w:val="de-DE"/>
        </w:rPr>
      </w:pPr>
      <w:r w:rsidRPr="00880E7B">
        <w:rPr>
          <w:bCs/>
          <w:sz w:val="22"/>
          <w:szCs w:val="22"/>
          <w:lang w:val="de-DE"/>
        </w:rPr>
        <w:t>Esbriet</w:t>
      </w:r>
      <w:r w:rsidR="00700888" w:rsidRPr="00880E7B">
        <w:rPr>
          <w:bCs/>
          <w:sz w:val="22"/>
          <w:szCs w:val="22"/>
          <w:lang w:val="de-DE"/>
        </w:rPr>
        <w:t xml:space="preserve">, film tableta, 801mg, blister, 252 (12x21) film tablete: </w:t>
      </w:r>
      <w:r w:rsidR="002501D7" w:rsidRPr="00880E7B">
        <w:rPr>
          <w:bCs/>
          <w:sz w:val="22"/>
          <w:szCs w:val="22"/>
          <w:lang w:val="de-DE"/>
        </w:rPr>
        <w:t>24.12.2021. godine</w:t>
      </w:r>
    </w:p>
    <w:p w:rsidR="00836B35" w:rsidRPr="00880E7B" w:rsidRDefault="00836B35">
      <w:pPr>
        <w:tabs>
          <w:tab w:val="left" w:pos="540"/>
          <w:tab w:val="left" w:pos="569"/>
        </w:tabs>
        <w:jc w:val="both"/>
        <w:rPr>
          <w:bCs/>
          <w:sz w:val="22"/>
          <w:szCs w:val="22"/>
        </w:rPr>
      </w:pPr>
    </w:p>
    <w:p w:rsidR="00A17092" w:rsidRPr="00880E7B" w:rsidRDefault="00A17092">
      <w:pPr>
        <w:tabs>
          <w:tab w:val="left" w:pos="540"/>
          <w:tab w:val="left" w:pos="569"/>
        </w:tabs>
        <w:jc w:val="both"/>
        <w:rPr>
          <w:bCs/>
          <w:sz w:val="22"/>
          <w:szCs w:val="22"/>
        </w:rPr>
      </w:pPr>
    </w:p>
    <w:p w:rsidR="003F6A59" w:rsidRPr="00880E7B" w:rsidRDefault="0072020E">
      <w:pPr>
        <w:tabs>
          <w:tab w:val="left" w:pos="540"/>
          <w:tab w:val="left" w:pos="569"/>
        </w:tabs>
        <w:ind w:left="540" w:hanging="540"/>
        <w:jc w:val="both"/>
        <w:rPr>
          <w:bCs/>
          <w:sz w:val="22"/>
          <w:szCs w:val="22"/>
        </w:rPr>
      </w:pPr>
      <w:r w:rsidRPr="00880E7B">
        <w:rPr>
          <w:b/>
          <w:bCs/>
          <w:sz w:val="22"/>
          <w:szCs w:val="22"/>
        </w:rPr>
        <w:t xml:space="preserve">10. </w:t>
      </w:r>
      <w:r w:rsidR="00480FB1" w:rsidRPr="00880E7B">
        <w:rPr>
          <w:b/>
          <w:bCs/>
          <w:sz w:val="22"/>
          <w:szCs w:val="22"/>
        </w:rPr>
        <w:tab/>
      </w:r>
      <w:r w:rsidR="002846DB" w:rsidRPr="00880E7B">
        <w:rPr>
          <w:b/>
          <w:bCs/>
          <w:sz w:val="22"/>
          <w:szCs w:val="22"/>
        </w:rPr>
        <w:t>D</w:t>
      </w:r>
      <w:r w:rsidR="00EC2532" w:rsidRPr="00880E7B">
        <w:rPr>
          <w:b/>
          <w:bCs/>
          <w:sz w:val="22"/>
          <w:szCs w:val="22"/>
        </w:rPr>
        <w:t xml:space="preserve">ATUM REVIZIJE TEKSTA </w:t>
      </w:r>
    </w:p>
    <w:p w:rsidR="00D3477E" w:rsidRPr="00880E7B" w:rsidRDefault="00D3477E">
      <w:pPr>
        <w:tabs>
          <w:tab w:val="left" w:pos="540"/>
          <w:tab w:val="left" w:pos="569"/>
        </w:tabs>
        <w:jc w:val="both"/>
        <w:rPr>
          <w:bCs/>
          <w:sz w:val="22"/>
          <w:szCs w:val="22"/>
        </w:rPr>
      </w:pPr>
    </w:p>
    <w:p w:rsidR="003F6A59" w:rsidRPr="00880E7B" w:rsidRDefault="002A02D2">
      <w:pPr>
        <w:tabs>
          <w:tab w:val="left" w:pos="540"/>
          <w:tab w:val="left" w:pos="569"/>
        </w:tabs>
        <w:jc w:val="both"/>
        <w:rPr>
          <w:bCs/>
          <w:sz w:val="22"/>
          <w:szCs w:val="22"/>
        </w:rPr>
      </w:pPr>
      <w:r>
        <w:rPr>
          <w:bCs/>
          <w:sz w:val="22"/>
          <w:szCs w:val="22"/>
        </w:rPr>
        <w:t>O</w:t>
      </w:r>
      <w:bookmarkStart w:id="0" w:name="_GoBack"/>
      <w:bookmarkEnd w:id="0"/>
      <w:r>
        <w:rPr>
          <w:bCs/>
          <w:sz w:val="22"/>
          <w:szCs w:val="22"/>
        </w:rPr>
        <w:t>ktobar</w:t>
      </w:r>
      <w:r w:rsidR="00A17092" w:rsidRPr="00880E7B">
        <w:rPr>
          <w:bCs/>
          <w:sz w:val="22"/>
          <w:szCs w:val="22"/>
        </w:rPr>
        <w:t xml:space="preserve">, </w:t>
      </w:r>
      <w:r w:rsidR="0060584A" w:rsidRPr="00880E7B">
        <w:rPr>
          <w:bCs/>
          <w:sz w:val="22"/>
          <w:szCs w:val="22"/>
        </w:rPr>
        <w:t>202</w:t>
      </w:r>
      <w:r w:rsidR="0060584A">
        <w:rPr>
          <w:bCs/>
          <w:sz w:val="22"/>
          <w:szCs w:val="22"/>
        </w:rPr>
        <w:t>4</w:t>
      </w:r>
      <w:r w:rsidR="00A17092" w:rsidRPr="00880E7B">
        <w:rPr>
          <w:bCs/>
          <w:sz w:val="22"/>
          <w:szCs w:val="22"/>
        </w:rPr>
        <w:t>. godine</w:t>
      </w:r>
    </w:p>
    <w:sectPr w:rsidR="003F6A59" w:rsidRPr="00880E7B"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E85" w:rsidRDefault="00507E85">
      <w:r>
        <w:separator/>
      </w:r>
    </w:p>
  </w:endnote>
  <w:endnote w:type="continuationSeparator" w:id="0">
    <w:p w:rsidR="00507E85" w:rsidRDefault="0050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10" w:rsidRPr="00B23F69" w:rsidRDefault="00BB1B1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A02D2">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A02D2">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E85" w:rsidRDefault="00507E85">
      <w:r>
        <w:separator/>
      </w:r>
    </w:p>
  </w:footnote>
  <w:footnote w:type="continuationSeparator" w:id="0">
    <w:p w:rsidR="00507E85" w:rsidRDefault="00507E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en-029"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4A4"/>
    <w:rsid w:val="00006B27"/>
    <w:rsid w:val="000176CA"/>
    <w:rsid w:val="00036FA0"/>
    <w:rsid w:val="0003793F"/>
    <w:rsid w:val="00045D87"/>
    <w:rsid w:val="00057E35"/>
    <w:rsid w:val="000635B4"/>
    <w:rsid w:val="000655F2"/>
    <w:rsid w:val="00070CC6"/>
    <w:rsid w:val="00076726"/>
    <w:rsid w:val="00080303"/>
    <w:rsid w:val="000A1E34"/>
    <w:rsid w:val="000A3F58"/>
    <w:rsid w:val="000B4654"/>
    <w:rsid w:val="000C30AD"/>
    <w:rsid w:val="000D2343"/>
    <w:rsid w:val="000D301C"/>
    <w:rsid w:val="000D3449"/>
    <w:rsid w:val="000D425A"/>
    <w:rsid w:val="000D60CC"/>
    <w:rsid w:val="000E2084"/>
    <w:rsid w:val="000E6F55"/>
    <w:rsid w:val="000E7205"/>
    <w:rsid w:val="000F1321"/>
    <w:rsid w:val="000F77FA"/>
    <w:rsid w:val="00107BF7"/>
    <w:rsid w:val="001254C9"/>
    <w:rsid w:val="00125DDD"/>
    <w:rsid w:val="00126F53"/>
    <w:rsid w:val="001335BF"/>
    <w:rsid w:val="00134F03"/>
    <w:rsid w:val="0014766D"/>
    <w:rsid w:val="001536CC"/>
    <w:rsid w:val="00157150"/>
    <w:rsid w:val="00184CE3"/>
    <w:rsid w:val="001A3FBA"/>
    <w:rsid w:val="001A5518"/>
    <w:rsid w:val="001B1C6A"/>
    <w:rsid w:val="001C1263"/>
    <w:rsid w:val="001C1417"/>
    <w:rsid w:val="001C64E4"/>
    <w:rsid w:val="001C7086"/>
    <w:rsid w:val="001D295D"/>
    <w:rsid w:val="001E390B"/>
    <w:rsid w:val="001E4CF0"/>
    <w:rsid w:val="001F42FB"/>
    <w:rsid w:val="001F719A"/>
    <w:rsid w:val="002031B3"/>
    <w:rsid w:val="00215931"/>
    <w:rsid w:val="00227BDB"/>
    <w:rsid w:val="00234BD4"/>
    <w:rsid w:val="00234CB1"/>
    <w:rsid w:val="002352F8"/>
    <w:rsid w:val="00237938"/>
    <w:rsid w:val="00241CD1"/>
    <w:rsid w:val="00244523"/>
    <w:rsid w:val="002501D7"/>
    <w:rsid w:val="002510A5"/>
    <w:rsid w:val="00254A0A"/>
    <w:rsid w:val="00262406"/>
    <w:rsid w:val="00266046"/>
    <w:rsid w:val="00266E8F"/>
    <w:rsid w:val="002735E3"/>
    <w:rsid w:val="002846DB"/>
    <w:rsid w:val="00284CCD"/>
    <w:rsid w:val="00287BE6"/>
    <w:rsid w:val="0029251B"/>
    <w:rsid w:val="002A02D2"/>
    <w:rsid w:val="002A7555"/>
    <w:rsid w:val="002C6637"/>
    <w:rsid w:val="002D2595"/>
    <w:rsid w:val="002D56AA"/>
    <w:rsid w:val="002E0135"/>
    <w:rsid w:val="002E1805"/>
    <w:rsid w:val="002E37A5"/>
    <w:rsid w:val="00304D00"/>
    <w:rsid w:val="00306ECD"/>
    <w:rsid w:val="00310F03"/>
    <w:rsid w:val="003247D2"/>
    <w:rsid w:val="003254C8"/>
    <w:rsid w:val="00333F9C"/>
    <w:rsid w:val="00344504"/>
    <w:rsid w:val="003445C1"/>
    <w:rsid w:val="00347437"/>
    <w:rsid w:val="00355B61"/>
    <w:rsid w:val="00362686"/>
    <w:rsid w:val="00371510"/>
    <w:rsid w:val="00372D66"/>
    <w:rsid w:val="00374607"/>
    <w:rsid w:val="00396102"/>
    <w:rsid w:val="00396238"/>
    <w:rsid w:val="00396DFD"/>
    <w:rsid w:val="003A7059"/>
    <w:rsid w:val="003B7A36"/>
    <w:rsid w:val="003C0AFF"/>
    <w:rsid w:val="003C17AB"/>
    <w:rsid w:val="003C3D91"/>
    <w:rsid w:val="003C7823"/>
    <w:rsid w:val="003E1DCC"/>
    <w:rsid w:val="003F6A59"/>
    <w:rsid w:val="0040369B"/>
    <w:rsid w:val="00405731"/>
    <w:rsid w:val="004065C8"/>
    <w:rsid w:val="004109FA"/>
    <w:rsid w:val="00411B4B"/>
    <w:rsid w:val="00415BEE"/>
    <w:rsid w:val="00423C76"/>
    <w:rsid w:val="00427F85"/>
    <w:rsid w:val="00436F42"/>
    <w:rsid w:val="004378B4"/>
    <w:rsid w:val="00442815"/>
    <w:rsid w:val="00451314"/>
    <w:rsid w:val="00452E9D"/>
    <w:rsid w:val="004534C7"/>
    <w:rsid w:val="00454673"/>
    <w:rsid w:val="004671AA"/>
    <w:rsid w:val="00467506"/>
    <w:rsid w:val="00480FB1"/>
    <w:rsid w:val="00483928"/>
    <w:rsid w:val="00484137"/>
    <w:rsid w:val="00490E7F"/>
    <w:rsid w:val="00493AA3"/>
    <w:rsid w:val="004A50BA"/>
    <w:rsid w:val="004A66A6"/>
    <w:rsid w:val="004D053F"/>
    <w:rsid w:val="004D56E7"/>
    <w:rsid w:val="004D6103"/>
    <w:rsid w:val="004E364D"/>
    <w:rsid w:val="004E3BCE"/>
    <w:rsid w:val="004F0E97"/>
    <w:rsid w:val="00501DD1"/>
    <w:rsid w:val="00507E85"/>
    <w:rsid w:val="005122E1"/>
    <w:rsid w:val="00515C21"/>
    <w:rsid w:val="00520ECB"/>
    <w:rsid w:val="0052206B"/>
    <w:rsid w:val="005272C4"/>
    <w:rsid w:val="00530BD7"/>
    <w:rsid w:val="005320F5"/>
    <w:rsid w:val="00541277"/>
    <w:rsid w:val="00545CD2"/>
    <w:rsid w:val="005476F3"/>
    <w:rsid w:val="00560ED8"/>
    <w:rsid w:val="00572527"/>
    <w:rsid w:val="00573E40"/>
    <w:rsid w:val="005760D6"/>
    <w:rsid w:val="00576348"/>
    <w:rsid w:val="00586F48"/>
    <w:rsid w:val="005A0B2E"/>
    <w:rsid w:val="005A23D2"/>
    <w:rsid w:val="005A36CB"/>
    <w:rsid w:val="005B49B8"/>
    <w:rsid w:val="005C0741"/>
    <w:rsid w:val="005C5EF4"/>
    <w:rsid w:val="005D0061"/>
    <w:rsid w:val="005E2180"/>
    <w:rsid w:val="005E2E0B"/>
    <w:rsid w:val="005E7A7D"/>
    <w:rsid w:val="00602457"/>
    <w:rsid w:val="0060584A"/>
    <w:rsid w:val="00612994"/>
    <w:rsid w:val="006150FF"/>
    <w:rsid w:val="006424DE"/>
    <w:rsid w:val="00646BD1"/>
    <w:rsid w:val="00647B1C"/>
    <w:rsid w:val="006522CB"/>
    <w:rsid w:val="006561C2"/>
    <w:rsid w:val="00671CB3"/>
    <w:rsid w:val="00674BAF"/>
    <w:rsid w:val="0068068F"/>
    <w:rsid w:val="00682200"/>
    <w:rsid w:val="00692BF6"/>
    <w:rsid w:val="006A1497"/>
    <w:rsid w:val="006B0BD1"/>
    <w:rsid w:val="006B2F46"/>
    <w:rsid w:val="006B7EA6"/>
    <w:rsid w:val="006D0145"/>
    <w:rsid w:val="006D20A5"/>
    <w:rsid w:val="006D37BF"/>
    <w:rsid w:val="006D6660"/>
    <w:rsid w:val="006F0320"/>
    <w:rsid w:val="00700888"/>
    <w:rsid w:val="00702E22"/>
    <w:rsid w:val="00714420"/>
    <w:rsid w:val="0072020E"/>
    <w:rsid w:val="0073680C"/>
    <w:rsid w:val="00780296"/>
    <w:rsid w:val="0078188B"/>
    <w:rsid w:val="0078504E"/>
    <w:rsid w:val="00786071"/>
    <w:rsid w:val="007A1B9E"/>
    <w:rsid w:val="007A3ECB"/>
    <w:rsid w:val="007C046F"/>
    <w:rsid w:val="007C7A9E"/>
    <w:rsid w:val="007E0E8A"/>
    <w:rsid w:val="007E44FD"/>
    <w:rsid w:val="00816250"/>
    <w:rsid w:val="00822B03"/>
    <w:rsid w:val="00824AB9"/>
    <w:rsid w:val="00836B35"/>
    <w:rsid w:val="008415ED"/>
    <w:rsid w:val="00843A06"/>
    <w:rsid w:val="00843BDE"/>
    <w:rsid w:val="0084772B"/>
    <w:rsid w:val="00880E7B"/>
    <w:rsid w:val="0089705C"/>
    <w:rsid w:val="008A2EBC"/>
    <w:rsid w:val="008A6D43"/>
    <w:rsid w:val="008B0483"/>
    <w:rsid w:val="008B491E"/>
    <w:rsid w:val="008C1A28"/>
    <w:rsid w:val="008C2E98"/>
    <w:rsid w:val="008C7927"/>
    <w:rsid w:val="008D17E7"/>
    <w:rsid w:val="008E3572"/>
    <w:rsid w:val="008E49BD"/>
    <w:rsid w:val="008E53E9"/>
    <w:rsid w:val="008E5771"/>
    <w:rsid w:val="008F21AE"/>
    <w:rsid w:val="008F4ACF"/>
    <w:rsid w:val="00915107"/>
    <w:rsid w:val="00915863"/>
    <w:rsid w:val="00937EBA"/>
    <w:rsid w:val="00940B9B"/>
    <w:rsid w:val="00944601"/>
    <w:rsid w:val="0095676E"/>
    <w:rsid w:val="00956983"/>
    <w:rsid w:val="00956B83"/>
    <w:rsid w:val="00963CF0"/>
    <w:rsid w:val="00964BB1"/>
    <w:rsid w:val="00973E27"/>
    <w:rsid w:val="00975CCF"/>
    <w:rsid w:val="009775D9"/>
    <w:rsid w:val="00997175"/>
    <w:rsid w:val="009A1847"/>
    <w:rsid w:val="009A4C25"/>
    <w:rsid w:val="009A4D3D"/>
    <w:rsid w:val="009A7B42"/>
    <w:rsid w:val="009B062A"/>
    <w:rsid w:val="009B12CB"/>
    <w:rsid w:val="009B3DC1"/>
    <w:rsid w:val="009B493C"/>
    <w:rsid w:val="009E7C6F"/>
    <w:rsid w:val="009F1793"/>
    <w:rsid w:val="009F2D23"/>
    <w:rsid w:val="009F371D"/>
    <w:rsid w:val="00A01D69"/>
    <w:rsid w:val="00A02335"/>
    <w:rsid w:val="00A07EB0"/>
    <w:rsid w:val="00A17092"/>
    <w:rsid w:val="00A37F47"/>
    <w:rsid w:val="00A455F2"/>
    <w:rsid w:val="00A461DF"/>
    <w:rsid w:val="00A46C9A"/>
    <w:rsid w:val="00A511E6"/>
    <w:rsid w:val="00A522DB"/>
    <w:rsid w:val="00A576FC"/>
    <w:rsid w:val="00A619F3"/>
    <w:rsid w:val="00A62A73"/>
    <w:rsid w:val="00A832E7"/>
    <w:rsid w:val="00A84155"/>
    <w:rsid w:val="00A86A5D"/>
    <w:rsid w:val="00A87FF6"/>
    <w:rsid w:val="00A96251"/>
    <w:rsid w:val="00AA0A3B"/>
    <w:rsid w:val="00AA2763"/>
    <w:rsid w:val="00AA33B6"/>
    <w:rsid w:val="00AA4A0A"/>
    <w:rsid w:val="00AA75AA"/>
    <w:rsid w:val="00AB50CA"/>
    <w:rsid w:val="00AB5C86"/>
    <w:rsid w:val="00AB6D64"/>
    <w:rsid w:val="00AC53CE"/>
    <w:rsid w:val="00AD2193"/>
    <w:rsid w:val="00AD6FED"/>
    <w:rsid w:val="00AE56AB"/>
    <w:rsid w:val="00AF2AC7"/>
    <w:rsid w:val="00AF74CE"/>
    <w:rsid w:val="00B208DB"/>
    <w:rsid w:val="00B23F69"/>
    <w:rsid w:val="00B27F4D"/>
    <w:rsid w:val="00B51E0C"/>
    <w:rsid w:val="00B60619"/>
    <w:rsid w:val="00B65C54"/>
    <w:rsid w:val="00B66A70"/>
    <w:rsid w:val="00B67366"/>
    <w:rsid w:val="00B7258F"/>
    <w:rsid w:val="00B80EE1"/>
    <w:rsid w:val="00B82099"/>
    <w:rsid w:val="00B82265"/>
    <w:rsid w:val="00B825FB"/>
    <w:rsid w:val="00B84135"/>
    <w:rsid w:val="00BA216A"/>
    <w:rsid w:val="00BB1425"/>
    <w:rsid w:val="00BB1B10"/>
    <w:rsid w:val="00BD0820"/>
    <w:rsid w:val="00BE18F6"/>
    <w:rsid w:val="00BF20A4"/>
    <w:rsid w:val="00BF76BA"/>
    <w:rsid w:val="00C04D34"/>
    <w:rsid w:val="00C05DF8"/>
    <w:rsid w:val="00C061D3"/>
    <w:rsid w:val="00C06864"/>
    <w:rsid w:val="00C10F54"/>
    <w:rsid w:val="00C23D8D"/>
    <w:rsid w:val="00C37AA3"/>
    <w:rsid w:val="00C37E4F"/>
    <w:rsid w:val="00C37FD7"/>
    <w:rsid w:val="00C41D86"/>
    <w:rsid w:val="00C43419"/>
    <w:rsid w:val="00C44CF3"/>
    <w:rsid w:val="00C57602"/>
    <w:rsid w:val="00C61BE0"/>
    <w:rsid w:val="00C70B0E"/>
    <w:rsid w:val="00C726AA"/>
    <w:rsid w:val="00C773CA"/>
    <w:rsid w:val="00C83785"/>
    <w:rsid w:val="00C857FD"/>
    <w:rsid w:val="00C86605"/>
    <w:rsid w:val="00C94C0D"/>
    <w:rsid w:val="00CA1FEB"/>
    <w:rsid w:val="00CB2573"/>
    <w:rsid w:val="00CD4F85"/>
    <w:rsid w:val="00CD6F02"/>
    <w:rsid w:val="00CE246D"/>
    <w:rsid w:val="00CE37B6"/>
    <w:rsid w:val="00CF07A0"/>
    <w:rsid w:val="00CF3E03"/>
    <w:rsid w:val="00D0082A"/>
    <w:rsid w:val="00D145B9"/>
    <w:rsid w:val="00D1709A"/>
    <w:rsid w:val="00D17D4E"/>
    <w:rsid w:val="00D21400"/>
    <w:rsid w:val="00D21455"/>
    <w:rsid w:val="00D3477E"/>
    <w:rsid w:val="00D35D0D"/>
    <w:rsid w:val="00D44AE4"/>
    <w:rsid w:val="00D47634"/>
    <w:rsid w:val="00D613BB"/>
    <w:rsid w:val="00D709B3"/>
    <w:rsid w:val="00D745AB"/>
    <w:rsid w:val="00D93357"/>
    <w:rsid w:val="00DA2ED6"/>
    <w:rsid w:val="00DB76B8"/>
    <w:rsid w:val="00DC2EA1"/>
    <w:rsid w:val="00DC7E27"/>
    <w:rsid w:val="00DD0F7B"/>
    <w:rsid w:val="00DD3976"/>
    <w:rsid w:val="00DD6AAF"/>
    <w:rsid w:val="00DE3F5C"/>
    <w:rsid w:val="00DE5F43"/>
    <w:rsid w:val="00DF1D20"/>
    <w:rsid w:val="00DF657B"/>
    <w:rsid w:val="00E01621"/>
    <w:rsid w:val="00E2025F"/>
    <w:rsid w:val="00E21324"/>
    <w:rsid w:val="00E246B9"/>
    <w:rsid w:val="00E31FEA"/>
    <w:rsid w:val="00E357E9"/>
    <w:rsid w:val="00E40FEC"/>
    <w:rsid w:val="00E45169"/>
    <w:rsid w:val="00E46A36"/>
    <w:rsid w:val="00E47787"/>
    <w:rsid w:val="00E51C30"/>
    <w:rsid w:val="00E523E1"/>
    <w:rsid w:val="00E52A7C"/>
    <w:rsid w:val="00E64180"/>
    <w:rsid w:val="00E65CC6"/>
    <w:rsid w:val="00E74AEE"/>
    <w:rsid w:val="00E85750"/>
    <w:rsid w:val="00E868E5"/>
    <w:rsid w:val="00E9237A"/>
    <w:rsid w:val="00E92D13"/>
    <w:rsid w:val="00E939FA"/>
    <w:rsid w:val="00EA00B6"/>
    <w:rsid w:val="00EA37B3"/>
    <w:rsid w:val="00EA5765"/>
    <w:rsid w:val="00EB1777"/>
    <w:rsid w:val="00EB365B"/>
    <w:rsid w:val="00EB7A9D"/>
    <w:rsid w:val="00EC2532"/>
    <w:rsid w:val="00ED0D40"/>
    <w:rsid w:val="00ED7812"/>
    <w:rsid w:val="00EE5C05"/>
    <w:rsid w:val="00EF3B86"/>
    <w:rsid w:val="00F11E5B"/>
    <w:rsid w:val="00F317E9"/>
    <w:rsid w:val="00F34554"/>
    <w:rsid w:val="00F45F77"/>
    <w:rsid w:val="00F5167F"/>
    <w:rsid w:val="00F52258"/>
    <w:rsid w:val="00F8570A"/>
    <w:rsid w:val="00F91C7B"/>
    <w:rsid w:val="00FC43E4"/>
    <w:rsid w:val="00FD599D"/>
    <w:rsid w:val="00FE600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D230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241CD1"/>
    <w:rPr>
      <w:sz w:val="24"/>
      <w:szCs w:val="24"/>
      <w:lang w:val="en-US" w:eastAsia="en-US"/>
    </w:rPr>
  </w:style>
  <w:style w:type="paragraph" w:styleId="Date">
    <w:name w:val="Date"/>
    <w:basedOn w:val="Normal"/>
    <w:next w:val="Normal"/>
    <w:link w:val="DateChar"/>
    <w:unhideWhenUsed/>
    <w:rsid w:val="00241CD1"/>
    <w:rPr>
      <w:sz w:val="22"/>
      <w:szCs w:val="20"/>
      <w:lang w:val="en-GB"/>
    </w:rPr>
  </w:style>
  <w:style w:type="character" w:customStyle="1" w:styleId="DateChar">
    <w:name w:val="Date Char"/>
    <w:basedOn w:val="DefaultParagraphFont"/>
    <w:link w:val="Date"/>
    <w:rsid w:val="00241CD1"/>
    <w:rPr>
      <w:sz w:val="22"/>
      <w:lang w:val="en-GB" w:eastAsia="en-US"/>
    </w:rPr>
  </w:style>
  <w:style w:type="paragraph" w:styleId="Revision">
    <w:name w:val="Revision"/>
    <w:hidden/>
    <w:uiPriority w:val="99"/>
    <w:semiHidden/>
    <w:rsid w:val="000635B4"/>
    <w:rPr>
      <w:sz w:val="24"/>
      <w:szCs w:val="24"/>
      <w:lang w:val="en-US" w:eastAsia="en-US"/>
    </w:rPr>
  </w:style>
  <w:style w:type="character" w:styleId="Hyperlink">
    <w:name w:val="Hyperlink"/>
    <w:basedOn w:val="DefaultParagraphFont"/>
    <w:rsid w:val="008C7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5017">
      <w:bodyDiv w:val="1"/>
      <w:marLeft w:val="0"/>
      <w:marRight w:val="0"/>
      <w:marTop w:val="0"/>
      <w:marBottom w:val="0"/>
      <w:divBdr>
        <w:top w:val="none" w:sz="0" w:space="0" w:color="auto"/>
        <w:left w:val="none" w:sz="0" w:space="0" w:color="auto"/>
        <w:bottom w:val="none" w:sz="0" w:space="0" w:color="auto"/>
        <w:right w:val="none" w:sz="0" w:space="0" w:color="auto"/>
      </w:divBdr>
    </w:div>
    <w:div w:id="55980194">
      <w:bodyDiv w:val="1"/>
      <w:marLeft w:val="0"/>
      <w:marRight w:val="0"/>
      <w:marTop w:val="0"/>
      <w:marBottom w:val="0"/>
      <w:divBdr>
        <w:top w:val="none" w:sz="0" w:space="0" w:color="auto"/>
        <w:left w:val="none" w:sz="0" w:space="0" w:color="auto"/>
        <w:bottom w:val="none" w:sz="0" w:space="0" w:color="auto"/>
        <w:right w:val="none" w:sz="0" w:space="0" w:color="auto"/>
      </w:divBdr>
    </w:div>
    <w:div w:id="64912790">
      <w:bodyDiv w:val="1"/>
      <w:marLeft w:val="0"/>
      <w:marRight w:val="0"/>
      <w:marTop w:val="0"/>
      <w:marBottom w:val="0"/>
      <w:divBdr>
        <w:top w:val="none" w:sz="0" w:space="0" w:color="auto"/>
        <w:left w:val="none" w:sz="0" w:space="0" w:color="auto"/>
        <w:bottom w:val="none" w:sz="0" w:space="0" w:color="auto"/>
        <w:right w:val="none" w:sz="0" w:space="0" w:color="auto"/>
      </w:divBdr>
    </w:div>
    <w:div w:id="69625707">
      <w:bodyDiv w:val="1"/>
      <w:marLeft w:val="0"/>
      <w:marRight w:val="0"/>
      <w:marTop w:val="0"/>
      <w:marBottom w:val="0"/>
      <w:divBdr>
        <w:top w:val="none" w:sz="0" w:space="0" w:color="auto"/>
        <w:left w:val="none" w:sz="0" w:space="0" w:color="auto"/>
        <w:bottom w:val="none" w:sz="0" w:space="0" w:color="auto"/>
        <w:right w:val="none" w:sz="0" w:space="0" w:color="auto"/>
      </w:divBdr>
    </w:div>
    <w:div w:id="91438919">
      <w:bodyDiv w:val="1"/>
      <w:marLeft w:val="0"/>
      <w:marRight w:val="0"/>
      <w:marTop w:val="0"/>
      <w:marBottom w:val="0"/>
      <w:divBdr>
        <w:top w:val="none" w:sz="0" w:space="0" w:color="auto"/>
        <w:left w:val="none" w:sz="0" w:space="0" w:color="auto"/>
        <w:bottom w:val="none" w:sz="0" w:space="0" w:color="auto"/>
        <w:right w:val="none" w:sz="0" w:space="0" w:color="auto"/>
      </w:divBdr>
    </w:div>
    <w:div w:id="107705648">
      <w:bodyDiv w:val="1"/>
      <w:marLeft w:val="0"/>
      <w:marRight w:val="0"/>
      <w:marTop w:val="0"/>
      <w:marBottom w:val="0"/>
      <w:divBdr>
        <w:top w:val="none" w:sz="0" w:space="0" w:color="auto"/>
        <w:left w:val="none" w:sz="0" w:space="0" w:color="auto"/>
        <w:bottom w:val="none" w:sz="0" w:space="0" w:color="auto"/>
        <w:right w:val="none" w:sz="0" w:space="0" w:color="auto"/>
      </w:divBdr>
    </w:div>
    <w:div w:id="148445049">
      <w:bodyDiv w:val="1"/>
      <w:marLeft w:val="0"/>
      <w:marRight w:val="0"/>
      <w:marTop w:val="0"/>
      <w:marBottom w:val="0"/>
      <w:divBdr>
        <w:top w:val="none" w:sz="0" w:space="0" w:color="auto"/>
        <w:left w:val="none" w:sz="0" w:space="0" w:color="auto"/>
        <w:bottom w:val="none" w:sz="0" w:space="0" w:color="auto"/>
        <w:right w:val="none" w:sz="0" w:space="0" w:color="auto"/>
      </w:divBdr>
    </w:div>
    <w:div w:id="199972876">
      <w:bodyDiv w:val="1"/>
      <w:marLeft w:val="0"/>
      <w:marRight w:val="0"/>
      <w:marTop w:val="0"/>
      <w:marBottom w:val="0"/>
      <w:divBdr>
        <w:top w:val="none" w:sz="0" w:space="0" w:color="auto"/>
        <w:left w:val="none" w:sz="0" w:space="0" w:color="auto"/>
        <w:bottom w:val="none" w:sz="0" w:space="0" w:color="auto"/>
        <w:right w:val="none" w:sz="0" w:space="0" w:color="auto"/>
      </w:divBdr>
    </w:div>
    <w:div w:id="201092322">
      <w:bodyDiv w:val="1"/>
      <w:marLeft w:val="0"/>
      <w:marRight w:val="0"/>
      <w:marTop w:val="0"/>
      <w:marBottom w:val="0"/>
      <w:divBdr>
        <w:top w:val="none" w:sz="0" w:space="0" w:color="auto"/>
        <w:left w:val="none" w:sz="0" w:space="0" w:color="auto"/>
        <w:bottom w:val="none" w:sz="0" w:space="0" w:color="auto"/>
        <w:right w:val="none" w:sz="0" w:space="0" w:color="auto"/>
      </w:divBdr>
    </w:div>
    <w:div w:id="207495081">
      <w:bodyDiv w:val="1"/>
      <w:marLeft w:val="0"/>
      <w:marRight w:val="0"/>
      <w:marTop w:val="0"/>
      <w:marBottom w:val="0"/>
      <w:divBdr>
        <w:top w:val="none" w:sz="0" w:space="0" w:color="auto"/>
        <w:left w:val="none" w:sz="0" w:space="0" w:color="auto"/>
        <w:bottom w:val="none" w:sz="0" w:space="0" w:color="auto"/>
        <w:right w:val="none" w:sz="0" w:space="0" w:color="auto"/>
      </w:divBdr>
    </w:div>
    <w:div w:id="249199789">
      <w:bodyDiv w:val="1"/>
      <w:marLeft w:val="0"/>
      <w:marRight w:val="0"/>
      <w:marTop w:val="0"/>
      <w:marBottom w:val="0"/>
      <w:divBdr>
        <w:top w:val="none" w:sz="0" w:space="0" w:color="auto"/>
        <w:left w:val="none" w:sz="0" w:space="0" w:color="auto"/>
        <w:bottom w:val="none" w:sz="0" w:space="0" w:color="auto"/>
        <w:right w:val="none" w:sz="0" w:space="0" w:color="auto"/>
      </w:divBdr>
    </w:div>
    <w:div w:id="292634496">
      <w:bodyDiv w:val="1"/>
      <w:marLeft w:val="0"/>
      <w:marRight w:val="0"/>
      <w:marTop w:val="0"/>
      <w:marBottom w:val="0"/>
      <w:divBdr>
        <w:top w:val="none" w:sz="0" w:space="0" w:color="auto"/>
        <w:left w:val="none" w:sz="0" w:space="0" w:color="auto"/>
        <w:bottom w:val="none" w:sz="0" w:space="0" w:color="auto"/>
        <w:right w:val="none" w:sz="0" w:space="0" w:color="auto"/>
      </w:divBdr>
    </w:div>
    <w:div w:id="459030981">
      <w:bodyDiv w:val="1"/>
      <w:marLeft w:val="0"/>
      <w:marRight w:val="0"/>
      <w:marTop w:val="0"/>
      <w:marBottom w:val="0"/>
      <w:divBdr>
        <w:top w:val="none" w:sz="0" w:space="0" w:color="auto"/>
        <w:left w:val="none" w:sz="0" w:space="0" w:color="auto"/>
        <w:bottom w:val="none" w:sz="0" w:space="0" w:color="auto"/>
        <w:right w:val="none" w:sz="0" w:space="0" w:color="auto"/>
      </w:divBdr>
    </w:div>
    <w:div w:id="486630887">
      <w:bodyDiv w:val="1"/>
      <w:marLeft w:val="0"/>
      <w:marRight w:val="0"/>
      <w:marTop w:val="0"/>
      <w:marBottom w:val="0"/>
      <w:divBdr>
        <w:top w:val="none" w:sz="0" w:space="0" w:color="auto"/>
        <w:left w:val="none" w:sz="0" w:space="0" w:color="auto"/>
        <w:bottom w:val="none" w:sz="0" w:space="0" w:color="auto"/>
        <w:right w:val="none" w:sz="0" w:space="0" w:color="auto"/>
      </w:divBdr>
    </w:div>
    <w:div w:id="530458321">
      <w:bodyDiv w:val="1"/>
      <w:marLeft w:val="0"/>
      <w:marRight w:val="0"/>
      <w:marTop w:val="0"/>
      <w:marBottom w:val="0"/>
      <w:divBdr>
        <w:top w:val="none" w:sz="0" w:space="0" w:color="auto"/>
        <w:left w:val="none" w:sz="0" w:space="0" w:color="auto"/>
        <w:bottom w:val="none" w:sz="0" w:space="0" w:color="auto"/>
        <w:right w:val="none" w:sz="0" w:space="0" w:color="auto"/>
      </w:divBdr>
    </w:div>
    <w:div w:id="557282563">
      <w:bodyDiv w:val="1"/>
      <w:marLeft w:val="0"/>
      <w:marRight w:val="0"/>
      <w:marTop w:val="0"/>
      <w:marBottom w:val="0"/>
      <w:divBdr>
        <w:top w:val="none" w:sz="0" w:space="0" w:color="auto"/>
        <w:left w:val="none" w:sz="0" w:space="0" w:color="auto"/>
        <w:bottom w:val="none" w:sz="0" w:space="0" w:color="auto"/>
        <w:right w:val="none" w:sz="0" w:space="0" w:color="auto"/>
      </w:divBdr>
    </w:div>
    <w:div w:id="635454917">
      <w:bodyDiv w:val="1"/>
      <w:marLeft w:val="0"/>
      <w:marRight w:val="0"/>
      <w:marTop w:val="0"/>
      <w:marBottom w:val="0"/>
      <w:divBdr>
        <w:top w:val="none" w:sz="0" w:space="0" w:color="auto"/>
        <w:left w:val="none" w:sz="0" w:space="0" w:color="auto"/>
        <w:bottom w:val="none" w:sz="0" w:space="0" w:color="auto"/>
        <w:right w:val="none" w:sz="0" w:space="0" w:color="auto"/>
      </w:divBdr>
    </w:div>
    <w:div w:id="752165962">
      <w:bodyDiv w:val="1"/>
      <w:marLeft w:val="0"/>
      <w:marRight w:val="0"/>
      <w:marTop w:val="0"/>
      <w:marBottom w:val="0"/>
      <w:divBdr>
        <w:top w:val="none" w:sz="0" w:space="0" w:color="auto"/>
        <w:left w:val="none" w:sz="0" w:space="0" w:color="auto"/>
        <w:bottom w:val="none" w:sz="0" w:space="0" w:color="auto"/>
        <w:right w:val="none" w:sz="0" w:space="0" w:color="auto"/>
      </w:divBdr>
    </w:div>
    <w:div w:id="828912323">
      <w:bodyDiv w:val="1"/>
      <w:marLeft w:val="0"/>
      <w:marRight w:val="0"/>
      <w:marTop w:val="0"/>
      <w:marBottom w:val="0"/>
      <w:divBdr>
        <w:top w:val="none" w:sz="0" w:space="0" w:color="auto"/>
        <w:left w:val="none" w:sz="0" w:space="0" w:color="auto"/>
        <w:bottom w:val="none" w:sz="0" w:space="0" w:color="auto"/>
        <w:right w:val="none" w:sz="0" w:space="0" w:color="auto"/>
      </w:divBdr>
    </w:div>
    <w:div w:id="848178600">
      <w:bodyDiv w:val="1"/>
      <w:marLeft w:val="0"/>
      <w:marRight w:val="0"/>
      <w:marTop w:val="0"/>
      <w:marBottom w:val="0"/>
      <w:divBdr>
        <w:top w:val="none" w:sz="0" w:space="0" w:color="auto"/>
        <w:left w:val="none" w:sz="0" w:space="0" w:color="auto"/>
        <w:bottom w:val="none" w:sz="0" w:space="0" w:color="auto"/>
        <w:right w:val="none" w:sz="0" w:space="0" w:color="auto"/>
      </w:divBdr>
    </w:div>
    <w:div w:id="926573467">
      <w:bodyDiv w:val="1"/>
      <w:marLeft w:val="0"/>
      <w:marRight w:val="0"/>
      <w:marTop w:val="0"/>
      <w:marBottom w:val="0"/>
      <w:divBdr>
        <w:top w:val="none" w:sz="0" w:space="0" w:color="auto"/>
        <w:left w:val="none" w:sz="0" w:space="0" w:color="auto"/>
        <w:bottom w:val="none" w:sz="0" w:space="0" w:color="auto"/>
        <w:right w:val="none" w:sz="0" w:space="0" w:color="auto"/>
      </w:divBdr>
    </w:div>
    <w:div w:id="952439842">
      <w:bodyDiv w:val="1"/>
      <w:marLeft w:val="0"/>
      <w:marRight w:val="0"/>
      <w:marTop w:val="0"/>
      <w:marBottom w:val="0"/>
      <w:divBdr>
        <w:top w:val="none" w:sz="0" w:space="0" w:color="auto"/>
        <w:left w:val="none" w:sz="0" w:space="0" w:color="auto"/>
        <w:bottom w:val="none" w:sz="0" w:space="0" w:color="auto"/>
        <w:right w:val="none" w:sz="0" w:space="0" w:color="auto"/>
      </w:divBdr>
    </w:div>
    <w:div w:id="1012995408">
      <w:bodyDiv w:val="1"/>
      <w:marLeft w:val="0"/>
      <w:marRight w:val="0"/>
      <w:marTop w:val="0"/>
      <w:marBottom w:val="0"/>
      <w:divBdr>
        <w:top w:val="none" w:sz="0" w:space="0" w:color="auto"/>
        <w:left w:val="none" w:sz="0" w:space="0" w:color="auto"/>
        <w:bottom w:val="none" w:sz="0" w:space="0" w:color="auto"/>
        <w:right w:val="none" w:sz="0" w:space="0" w:color="auto"/>
      </w:divBdr>
    </w:div>
    <w:div w:id="1034234088">
      <w:bodyDiv w:val="1"/>
      <w:marLeft w:val="0"/>
      <w:marRight w:val="0"/>
      <w:marTop w:val="0"/>
      <w:marBottom w:val="0"/>
      <w:divBdr>
        <w:top w:val="none" w:sz="0" w:space="0" w:color="auto"/>
        <w:left w:val="none" w:sz="0" w:space="0" w:color="auto"/>
        <w:bottom w:val="none" w:sz="0" w:space="0" w:color="auto"/>
        <w:right w:val="none" w:sz="0" w:space="0" w:color="auto"/>
      </w:divBdr>
    </w:div>
    <w:div w:id="1035078101">
      <w:bodyDiv w:val="1"/>
      <w:marLeft w:val="0"/>
      <w:marRight w:val="0"/>
      <w:marTop w:val="0"/>
      <w:marBottom w:val="0"/>
      <w:divBdr>
        <w:top w:val="none" w:sz="0" w:space="0" w:color="auto"/>
        <w:left w:val="none" w:sz="0" w:space="0" w:color="auto"/>
        <w:bottom w:val="none" w:sz="0" w:space="0" w:color="auto"/>
        <w:right w:val="none" w:sz="0" w:space="0" w:color="auto"/>
      </w:divBdr>
    </w:div>
    <w:div w:id="1081875351">
      <w:bodyDiv w:val="1"/>
      <w:marLeft w:val="0"/>
      <w:marRight w:val="0"/>
      <w:marTop w:val="0"/>
      <w:marBottom w:val="0"/>
      <w:divBdr>
        <w:top w:val="none" w:sz="0" w:space="0" w:color="auto"/>
        <w:left w:val="none" w:sz="0" w:space="0" w:color="auto"/>
        <w:bottom w:val="none" w:sz="0" w:space="0" w:color="auto"/>
        <w:right w:val="none" w:sz="0" w:space="0" w:color="auto"/>
      </w:divBdr>
    </w:div>
    <w:div w:id="1121531255">
      <w:bodyDiv w:val="1"/>
      <w:marLeft w:val="0"/>
      <w:marRight w:val="0"/>
      <w:marTop w:val="0"/>
      <w:marBottom w:val="0"/>
      <w:divBdr>
        <w:top w:val="none" w:sz="0" w:space="0" w:color="auto"/>
        <w:left w:val="none" w:sz="0" w:space="0" w:color="auto"/>
        <w:bottom w:val="none" w:sz="0" w:space="0" w:color="auto"/>
        <w:right w:val="none" w:sz="0" w:space="0" w:color="auto"/>
      </w:divBdr>
    </w:div>
    <w:div w:id="1137994698">
      <w:bodyDiv w:val="1"/>
      <w:marLeft w:val="0"/>
      <w:marRight w:val="0"/>
      <w:marTop w:val="0"/>
      <w:marBottom w:val="0"/>
      <w:divBdr>
        <w:top w:val="none" w:sz="0" w:space="0" w:color="auto"/>
        <w:left w:val="none" w:sz="0" w:space="0" w:color="auto"/>
        <w:bottom w:val="none" w:sz="0" w:space="0" w:color="auto"/>
        <w:right w:val="none" w:sz="0" w:space="0" w:color="auto"/>
      </w:divBdr>
    </w:div>
    <w:div w:id="1284115250">
      <w:bodyDiv w:val="1"/>
      <w:marLeft w:val="0"/>
      <w:marRight w:val="0"/>
      <w:marTop w:val="0"/>
      <w:marBottom w:val="0"/>
      <w:divBdr>
        <w:top w:val="none" w:sz="0" w:space="0" w:color="auto"/>
        <w:left w:val="none" w:sz="0" w:space="0" w:color="auto"/>
        <w:bottom w:val="none" w:sz="0" w:space="0" w:color="auto"/>
        <w:right w:val="none" w:sz="0" w:space="0" w:color="auto"/>
      </w:divBdr>
    </w:div>
    <w:div w:id="1445736708">
      <w:bodyDiv w:val="1"/>
      <w:marLeft w:val="0"/>
      <w:marRight w:val="0"/>
      <w:marTop w:val="0"/>
      <w:marBottom w:val="0"/>
      <w:divBdr>
        <w:top w:val="none" w:sz="0" w:space="0" w:color="auto"/>
        <w:left w:val="none" w:sz="0" w:space="0" w:color="auto"/>
        <w:bottom w:val="none" w:sz="0" w:space="0" w:color="auto"/>
        <w:right w:val="none" w:sz="0" w:space="0" w:color="auto"/>
      </w:divBdr>
    </w:div>
    <w:div w:id="1447770303">
      <w:bodyDiv w:val="1"/>
      <w:marLeft w:val="0"/>
      <w:marRight w:val="0"/>
      <w:marTop w:val="0"/>
      <w:marBottom w:val="0"/>
      <w:divBdr>
        <w:top w:val="none" w:sz="0" w:space="0" w:color="auto"/>
        <w:left w:val="none" w:sz="0" w:space="0" w:color="auto"/>
        <w:bottom w:val="none" w:sz="0" w:space="0" w:color="auto"/>
        <w:right w:val="none" w:sz="0" w:space="0" w:color="auto"/>
      </w:divBdr>
    </w:div>
    <w:div w:id="1451168221">
      <w:bodyDiv w:val="1"/>
      <w:marLeft w:val="0"/>
      <w:marRight w:val="0"/>
      <w:marTop w:val="0"/>
      <w:marBottom w:val="0"/>
      <w:divBdr>
        <w:top w:val="none" w:sz="0" w:space="0" w:color="auto"/>
        <w:left w:val="none" w:sz="0" w:space="0" w:color="auto"/>
        <w:bottom w:val="none" w:sz="0" w:space="0" w:color="auto"/>
        <w:right w:val="none" w:sz="0" w:space="0" w:color="auto"/>
      </w:divBdr>
    </w:div>
    <w:div w:id="1542590921">
      <w:bodyDiv w:val="1"/>
      <w:marLeft w:val="0"/>
      <w:marRight w:val="0"/>
      <w:marTop w:val="0"/>
      <w:marBottom w:val="0"/>
      <w:divBdr>
        <w:top w:val="none" w:sz="0" w:space="0" w:color="auto"/>
        <w:left w:val="none" w:sz="0" w:space="0" w:color="auto"/>
        <w:bottom w:val="none" w:sz="0" w:space="0" w:color="auto"/>
        <w:right w:val="none" w:sz="0" w:space="0" w:color="auto"/>
      </w:divBdr>
    </w:div>
    <w:div w:id="1602907185">
      <w:bodyDiv w:val="1"/>
      <w:marLeft w:val="0"/>
      <w:marRight w:val="0"/>
      <w:marTop w:val="0"/>
      <w:marBottom w:val="0"/>
      <w:divBdr>
        <w:top w:val="none" w:sz="0" w:space="0" w:color="auto"/>
        <w:left w:val="none" w:sz="0" w:space="0" w:color="auto"/>
        <w:bottom w:val="none" w:sz="0" w:space="0" w:color="auto"/>
        <w:right w:val="none" w:sz="0" w:space="0" w:color="auto"/>
      </w:divBdr>
    </w:div>
    <w:div w:id="1688289947">
      <w:bodyDiv w:val="1"/>
      <w:marLeft w:val="0"/>
      <w:marRight w:val="0"/>
      <w:marTop w:val="0"/>
      <w:marBottom w:val="0"/>
      <w:divBdr>
        <w:top w:val="none" w:sz="0" w:space="0" w:color="auto"/>
        <w:left w:val="none" w:sz="0" w:space="0" w:color="auto"/>
        <w:bottom w:val="none" w:sz="0" w:space="0" w:color="auto"/>
        <w:right w:val="none" w:sz="0" w:space="0" w:color="auto"/>
      </w:divBdr>
    </w:div>
    <w:div w:id="1755474302">
      <w:bodyDiv w:val="1"/>
      <w:marLeft w:val="0"/>
      <w:marRight w:val="0"/>
      <w:marTop w:val="0"/>
      <w:marBottom w:val="0"/>
      <w:divBdr>
        <w:top w:val="none" w:sz="0" w:space="0" w:color="auto"/>
        <w:left w:val="none" w:sz="0" w:space="0" w:color="auto"/>
        <w:bottom w:val="none" w:sz="0" w:space="0" w:color="auto"/>
        <w:right w:val="none" w:sz="0" w:space="0" w:color="auto"/>
      </w:divBdr>
    </w:div>
    <w:div w:id="1792163066">
      <w:bodyDiv w:val="1"/>
      <w:marLeft w:val="0"/>
      <w:marRight w:val="0"/>
      <w:marTop w:val="0"/>
      <w:marBottom w:val="0"/>
      <w:divBdr>
        <w:top w:val="none" w:sz="0" w:space="0" w:color="auto"/>
        <w:left w:val="none" w:sz="0" w:space="0" w:color="auto"/>
        <w:bottom w:val="none" w:sz="0" w:space="0" w:color="auto"/>
        <w:right w:val="none" w:sz="0" w:space="0" w:color="auto"/>
      </w:divBdr>
    </w:div>
    <w:div w:id="1800300482">
      <w:bodyDiv w:val="1"/>
      <w:marLeft w:val="0"/>
      <w:marRight w:val="0"/>
      <w:marTop w:val="0"/>
      <w:marBottom w:val="0"/>
      <w:divBdr>
        <w:top w:val="none" w:sz="0" w:space="0" w:color="auto"/>
        <w:left w:val="none" w:sz="0" w:space="0" w:color="auto"/>
        <w:bottom w:val="none" w:sz="0" w:space="0" w:color="auto"/>
        <w:right w:val="none" w:sz="0" w:space="0" w:color="auto"/>
      </w:divBdr>
    </w:div>
    <w:div w:id="1838377447">
      <w:bodyDiv w:val="1"/>
      <w:marLeft w:val="0"/>
      <w:marRight w:val="0"/>
      <w:marTop w:val="0"/>
      <w:marBottom w:val="0"/>
      <w:divBdr>
        <w:top w:val="none" w:sz="0" w:space="0" w:color="auto"/>
        <w:left w:val="none" w:sz="0" w:space="0" w:color="auto"/>
        <w:bottom w:val="none" w:sz="0" w:space="0" w:color="auto"/>
        <w:right w:val="none" w:sz="0" w:space="0" w:color="auto"/>
      </w:divBdr>
    </w:div>
    <w:div w:id="1920090856">
      <w:bodyDiv w:val="1"/>
      <w:marLeft w:val="0"/>
      <w:marRight w:val="0"/>
      <w:marTop w:val="0"/>
      <w:marBottom w:val="0"/>
      <w:divBdr>
        <w:top w:val="none" w:sz="0" w:space="0" w:color="auto"/>
        <w:left w:val="none" w:sz="0" w:space="0" w:color="auto"/>
        <w:bottom w:val="none" w:sz="0" w:space="0" w:color="auto"/>
        <w:right w:val="none" w:sz="0" w:space="0" w:color="auto"/>
      </w:divBdr>
    </w:div>
    <w:div w:id="199846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AD2B-17E4-48D8-B56B-4D8DE8FA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6503</Words>
  <Characters>37071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43488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2</cp:revision>
  <cp:lastPrinted>2023-11-03T13:00:00Z</cp:lastPrinted>
  <dcterms:created xsi:type="dcterms:W3CDTF">2024-10-07T11:14:00Z</dcterms:created>
  <dcterms:modified xsi:type="dcterms:W3CDTF">2024-10-07T11:14:00Z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