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75BA5" w14:textId="77777777" w:rsidR="001A5518" w:rsidRPr="006B58D8" w:rsidRDefault="001A5518" w:rsidP="0069371F">
      <w:pPr>
        <w:jc w:val="both"/>
        <w:rPr>
          <w:b/>
          <w:bCs/>
          <w:i/>
          <w:iCs/>
          <w:sz w:val="22"/>
          <w:szCs w:val="22"/>
          <w:u w:val="single"/>
          <w:lang w:val="sr-Latn-ME"/>
        </w:rPr>
      </w:pPr>
    </w:p>
    <w:p w14:paraId="78E3B24A" w14:textId="77777777" w:rsidR="00F91C7B" w:rsidRPr="006B58D8" w:rsidRDefault="00F91C7B" w:rsidP="0069371F">
      <w:pPr>
        <w:jc w:val="both"/>
        <w:rPr>
          <w:b/>
          <w:bCs/>
          <w:i/>
          <w:iCs/>
          <w:sz w:val="22"/>
          <w:szCs w:val="22"/>
          <w:u w:val="single"/>
          <w:lang w:val="sr-Latn-ME"/>
        </w:rPr>
      </w:pPr>
    </w:p>
    <w:p w14:paraId="523BA9B5" w14:textId="77777777" w:rsidR="002510A5" w:rsidRPr="006B58D8" w:rsidRDefault="002510A5" w:rsidP="00890BFB">
      <w:pPr>
        <w:jc w:val="center"/>
        <w:rPr>
          <w:b/>
          <w:bCs/>
          <w:iCs/>
          <w:sz w:val="22"/>
          <w:szCs w:val="22"/>
          <w:u w:val="single"/>
          <w:lang w:val="sr-Latn-ME"/>
        </w:rPr>
      </w:pPr>
      <w:r w:rsidRPr="006B58D8">
        <w:rPr>
          <w:b/>
          <w:bCs/>
          <w:iCs/>
          <w:sz w:val="22"/>
          <w:szCs w:val="22"/>
          <w:u w:val="single"/>
          <w:lang w:val="sr-Latn-ME"/>
        </w:rPr>
        <w:t>SAŽETAK KARAKTERISTIKA LIJEKA</w:t>
      </w:r>
    </w:p>
    <w:p w14:paraId="55EA6316" w14:textId="77777777" w:rsidR="002510A5" w:rsidRPr="006B58D8" w:rsidRDefault="002510A5" w:rsidP="0069371F">
      <w:pPr>
        <w:jc w:val="both"/>
        <w:rPr>
          <w:b/>
          <w:bCs/>
          <w:i/>
          <w:iCs/>
          <w:sz w:val="22"/>
          <w:szCs w:val="22"/>
          <w:u w:val="single"/>
          <w:lang w:val="sr-Latn-ME"/>
        </w:rPr>
      </w:pPr>
    </w:p>
    <w:p w14:paraId="1BE83722" w14:textId="77777777" w:rsidR="003C17AB" w:rsidRPr="006B58D8" w:rsidRDefault="003C17AB" w:rsidP="0069371F">
      <w:pPr>
        <w:jc w:val="both"/>
        <w:rPr>
          <w:sz w:val="22"/>
          <w:szCs w:val="22"/>
          <w:lang w:val="sr-Latn-ME"/>
        </w:rPr>
      </w:pPr>
    </w:p>
    <w:p w14:paraId="7AD2A0BB" w14:textId="77777777" w:rsidR="003C17AB" w:rsidRPr="006B58D8" w:rsidRDefault="003C17AB" w:rsidP="0069371F">
      <w:pPr>
        <w:tabs>
          <w:tab w:val="left" w:pos="540"/>
          <w:tab w:val="left" w:pos="569"/>
        </w:tabs>
        <w:jc w:val="both"/>
        <w:rPr>
          <w:noProof/>
          <w:sz w:val="22"/>
          <w:szCs w:val="22"/>
          <w:lang w:val="sr-Latn-ME"/>
        </w:rPr>
      </w:pPr>
    </w:p>
    <w:p w14:paraId="7D6D2AEE" w14:textId="77777777" w:rsidR="00C37FD7" w:rsidRPr="006B58D8" w:rsidRDefault="00C37FD7" w:rsidP="0069371F">
      <w:pPr>
        <w:tabs>
          <w:tab w:val="left" w:pos="540"/>
          <w:tab w:val="left" w:pos="569"/>
        </w:tabs>
        <w:jc w:val="both"/>
        <w:rPr>
          <w:bCs/>
          <w:sz w:val="22"/>
          <w:szCs w:val="22"/>
          <w:lang w:val="sr-Latn-ME"/>
        </w:rPr>
      </w:pPr>
    </w:p>
    <w:p w14:paraId="6014D62F" w14:textId="77777777" w:rsidR="00411B4B" w:rsidRPr="006B58D8" w:rsidRDefault="00411B4B" w:rsidP="0069371F">
      <w:pPr>
        <w:tabs>
          <w:tab w:val="left" w:pos="540"/>
          <w:tab w:val="left" w:pos="569"/>
        </w:tabs>
        <w:jc w:val="both"/>
        <w:rPr>
          <w:b/>
          <w:bCs/>
          <w:sz w:val="22"/>
          <w:szCs w:val="22"/>
          <w:lang w:val="sr-Latn-ME"/>
        </w:rPr>
      </w:pPr>
      <w:r w:rsidRPr="006B58D8">
        <w:rPr>
          <w:b/>
          <w:bCs/>
          <w:sz w:val="22"/>
          <w:szCs w:val="22"/>
          <w:lang w:val="sr-Latn-ME"/>
        </w:rPr>
        <w:t>1.</w:t>
      </w:r>
      <w:r w:rsidR="00F5167F" w:rsidRPr="006B58D8">
        <w:rPr>
          <w:b/>
          <w:bCs/>
          <w:sz w:val="22"/>
          <w:szCs w:val="22"/>
          <w:lang w:val="sr-Latn-ME"/>
        </w:rPr>
        <w:tab/>
      </w:r>
      <w:r w:rsidR="002846DB" w:rsidRPr="006B58D8">
        <w:rPr>
          <w:b/>
          <w:bCs/>
          <w:sz w:val="22"/>
          <w:szCs w:val="22"/>
          <w:lang w:val="sr-Latn-ME"/>
        </w:rPr>
        <w:t xml:space="preserve">NAZIV </w:t>
      </w:r>
      <w:r w:rsidRPr="006B58D8">
        <w:rPr>
          <w:b/>
          <w:bCs/>
          <w:sz w:val="22"/>
          <w:szCs w:val="22"/>
          <w:lang w:val="sr-Latn-ME"/>
        </w:rPr>
        <w:t>LIJEKA</w:t>
      </w:r>
    </w:p>
    <w:p w14:paraId="1A69AE4E" w14:textId="77777777" w:rsidR="00EC2532" w:rsidRPr="006B58D8" w:rsidRDefault="00EC2532" w:rsidP="0069371F">
      <w:pPr>
        <w:jc w:val="both"/>
        <w:rPr>
          <w:sz w:val="22"/>
          <w:szCs w:val="22"/>
          <w:lang w:val="sr-Latn-ME"/>
        </w:rPr>
      </w:pPr>
    </w:p>
    <w:p w14:paraId="287117FC" w14:textId="159F796F" w:rsidR="000D425A" w:rsidRPr="006B58D8" w:rsidRDefault="00CA67FB" w:rsidP="0069371F">
      <w:pPr>
        <w:jc w:val="both"/>
        <w:rPr>
          <w:bCs/>
          <w:sz w:val="22"/>
          <w:szCs w:val="22"/>
          <w:lang w:val="sr-Latn-ME"/>
        </w:rPr>
      </w:pPr>
      <w:r w:rsidRPr="006B58D8">
        <w:rPr>
          <w:bCs/>
          <w:sz w:val="22"/>
          <w:szCs w:val="22"/>
          <w:lang w:val="sr-Latn-ME"/>
        </w:rPr>
        <w:t>Singulair, 5 mg, tablet</w:t>
      </w:r>
      <w:r w:rsidR="00DE5065" w:rsidRPr="006B58D8">
        <w:rPr>
          <w:bCs/>
          <w:sz w:val="22"/>
          <w:szCs w:val="22"/>
          <w:lang w:val="sr-Latn-ME"/>
        </w:rPr>
        <w:t>a</w:t>
      </w:r>
      <w:r w:rsidRPr="006B58D8">
        <w:rPr>
          <w:bCs/>
          <w:sz w:val="22"/>
          <w:szCs w:val="22"/>
          <w:lang w:val="sr-Latn-ME"/>
        </w:rPr>
        <w:t xml:space="preserve"> za žvakanje</w:t>
      </w:r>
    </w:p>
    <w:p w14:paraId="53876D74" w14:textId="77777777" w:rsidR="00CA67FB" w:rsidRPr="006B58D8" w:rsidRDefault="00CA67FB" w:rsidP="0069371F">
      <w:pPr>
        <w:jc w:val="both"/>
        <w:rPr>
          <w:sz w:val="22"/>
          <w:szCs w:val="22"/>
          <w:lang w:val="sr-Latn-ME"/>
        </w:rPr>
      </w:pPr>
    </w:p>
    <w:p w14:paraId="15B1D8FE" w14:textId="7BA6F638" w:rsidR="006D20A5" w:rsidRPr="006B58D8" w:rsidRDefault="006D20A5" w:rsidP="0069371F">
      <w:pPr>
        <w:jc w:val="both"/>
        <w:rPr>
          <w:sz w:val="22"/>
          <w:szCs w:val="22"/>
          <w:lang w:val="sr-Latn-ME"/>
        </w:rPr>
      </w:pPr>
      <w:r w:rsidRPr="006B58D8">
        <w:rPr>
          <w:sz w:val="22"/>
          <w:szCs w:val="22"/>
          <w:lang w:val="sr-Latn-ME"/>
        </w:rPr>
        <w:t>INN:</w:t>
      </w:r>
      <w:r w:rsidR="00CA67FB" w:rsidRPr="006B58D8">
        <w:rPr>
          <w:sz w:val="22"/>
          <w:szCs w:val="22"/>
          <w:lang w:val="sr-Latn-ME"/>
        </w:rPr>
        <w:t xml:space="preserve"> montelukast</w:t>
      </w:r>
    </w:p>
    <w:p w14:paraId="62DE55D3" w14:textId="77777777" w:rsidR="006D20A5" w:rsidRPr="006B58D8" w:rsidRDefault="006D20A5" w:rsidP="0069371F">
      <w:pPr>
        <w:jc w:val="both"/>
        <w:rPr>
          <w:bCs/>
          <w:sz w:val="22"/>
          <w:szCs w:val="22"/>
          <w:lang w:val="sr-Latn-ME"/>
        </w:rPr>
      </w:pPr>
    </w:p>
    <w:p w14:paraId="068F596C" w14:textId="77777777" w:rsidR="00530BD7" w:rsidRPr="006B58D8" w:rsidRDefault="00530BD7" w:rsidP="0069371F">
      <w:pPr>
        <w:jc w:val="both"/>
        <w:rPr>
          <w:bCs/>
          <w:sz w:val="22"/>
          <w:szCs w:val="22"/>
          <w:lang w:val="sr-Latn-ME"/>
        </w:rPr>
      </w:pPr>
    </w:p>
    <w:p w14:paraId="44662893" w14:textId="77777777" w:rsidR="00411B4B" w:rsidRPr="006B58D8" w:rsidRDefault="00411B4B" w:rsidP="0069371F">
      <w:pPr>
        <w:tabs>
          <w:tab w:val="left" w:pos="540"/>
          <w:tab w:val="left" w:pos="569"/>
        </w:tabs>
        <w:jc w:val="both"/>
        <w:rPr>
          <w:b/>
          <w:bCs/>
          <w:sz w:val="22"/>
          <w:szCs w:val="22"/>
          <w:lang w:val="sr-Latn-ME"/>
        </w:rPr>
      </w:pPr>
      <w:r w:rsidRPr="006B58D8">
        <w:rPr>
          <w:b/>
          <w:bCs/>
          <w:sz w:val="22"/>
          <w:szCs w:val="22"/>
          <w:lang w:val="sr-Latn-ME"/>
        </w:rPr>
        <w:t xml:space="preserve">2. </w:t>
      </w:r>
      <w:r w:rsidR="00F5167F" w:rsidRPr="006B58D8">
        <w:rPr>
          <w:b/>
          <w:bCs/>
          <w:sz w:val="22"/>
          <w:szCs w:val="22"/>
          <w:lang w:val="sr-Latn-ME"/>
        </w:rPr>
        <w:tab/>
      </w:r>
      <w:r w:rsidRPr="006B58D8">
        <w:rPr>
          <w:b/>
          <w:bCs/>
          <w:sz w:val="22"/>
          <w:szCs w:val="22"/>
          <w:lang w:val="sr-Latn-ME"/>
        </w:rPr>
        <w:t>KVALITATIVNI I KVANTITATIVNI SASTAV</w:t>
      </w:r>
    </w:p>
    <w:p w14:paraId="1E2F6CEA" w14:textId="7C2D7449" w:rsidR="005A0B2E" w:rsidRPr="006B58D8" w:rsidRDefault="005A0B2E" w:rsidP="0069371F">
      <w:pPr>
        <w:jc w:val="both"/>
        <w:rPr>
          <w:sz w:val="22"/>
          <w:szCs w:val="22"/>
          <w:lang w:val="sr-Latn-ME"/>
        </w:rPr>
      </w:pPr>
    </w:p>
    <w:p w14:paraId="1C13A044" w14:textId="55B70711" w:rsidR="00CA67FB" w:rsidRPr="006B58D8" w:rsidRDefault="00CA67FB" w:rsidP="0069371F">
      <w:pPr>
        <w:jc w:val="both"/>
        <w:rPr>
          <w:sz w:val="22"/>
          <w:szCs w:val="22"/>
          <w:lang w:val="sr-Latn-ME"/>
        </w:rPr>
      </w:pPr>
      <w:r w:rsidRPr="006B58D8">
        <w:rPr>
          <w:sz w:val="22"/>
          <w:szCs w:val="22"/>
          <w:lang w:val="sr-Latn-ME"/>
        </w:rPr>
        <w:t>Jedna tableta za žvakanje sadrži 5 mg montelukasta u obliku montelukast</w:t>
      </w:r>
      <w:r w:rsidR="00310986" w:rsidRPr="006B58D8">
        <w:rPr>
          <w:sz w:val="22"/>
          <w:szCs w:val="22"/>
          <w:lang w:val="sr-Latn-ME"/>
        </w:rPr>
        <w:t xml:space="preserve"> </w:t>
      </w:r>
      <w:r w:rsidRPr="006B58D8">
        <w:rPr>
          <w:sz w:val="22"/>
          <w:szCs w:val="22"/>
          <w:lang w:val="sr-Latn-ME"/>
        </w:rPr>
        <w:t>natrijuma.</w:t>
      </w:r>
    </w:p>
    <w:p w14:paraId="01C9AC59" w14:textId="77777777" w:rsidR="00445E9B" w:rsidRPr="006B58D8" w:rsidRDefault="00445E9B" w:rsidP="0069371F">
      <w:pPr>
        <w:jc w:val="both"/>
        <w:rPr>
          <w:sz w:val="22"/>
          <w:szCs w:val="22"/>
          <w:lang w:val="sr-Latn-ME"/>
        </w:rPr>
      </w:pPr>
    </w:p>
    <w:p w14:paraId="4E311E76" w14:textId="77777777" w:rsidR="00A4488F" w:rsidRPr="006B58D8" w:rsidRDefault="00CA67FB" w:rsidP="0069371F">
      <w:pPr>
        <w:jc w:val="both"/>
        <w:rPr>
          <w:sz w:val="22"/>
          <w:szCs w:val="22"/>
          <w:u w:val="single"/>
          <w:lang w:val="sr-Latn-ME"/>
        </w:rPr>
      </w:pPr>
      <w:r w:rsidRPr="006B58D8">
        <w:rPr>
          <w:sz w:val="22"/>
          <w:szCs w:val="22"/>
          <w:u w:val="single"/>
          <w:lang w:val="sr-Latn-ME"/>
        </w:rPr>
        <w:t>Pomoćne supstance sa potvrđenim dejstvom</w:t>
      </w:r>
      <w:r w:rsidRPr="006B58D8">
        <w:rPr>
          <w:sz w:val="22"/>
          <w:szCs w:val="22"/>
          <w:lang w:val="sr-Latn-ME"/>
        </w:rPr>
        <w:t>:</w:t>
      </w:r>
      <w:r w:rsidR="00445E9B" w:rsidRPr="006B58D8">
        <w:rPr>
          <w:sz w:val="22"/>
          <w:szCs w:val="22"/>
          <w:u w:val="single"/>
          <w:lang w:val="sr-Latn-ME"/>
        </w:rPr>
        <w:t xml:space="preserve"> </w:t>
      </w:r>
    </w:p>
    <w:p w14:paraId="37F824D9" w14:textId="6D82CE4C" w:rsidR="00CA67FB" w:rsidRPr="006B58D8" w:rsidRDefault="00CA67FB" w:rsidP="0069371F">
      <w:pPr>
        <w:jc w:val="both"/>
        <w:rPr>
          <w:sz w:val="22"/>
          <w:szCs w:val="22"/>
          <w:lang w:val="sr-Latn-ME"/>
        </w:rPr>
      </w:pPr>
      <w:r w:rsidRPr="006B58D8">
        <w:rPr>
          <w:sz w:val="22"/>
          <w:szCs w:val="22"/>
          <w:lang w:val="sr-Latn-ME"/>
        </w:rPr>
        <w:t>Ovaj lijek sadrži 1,5 mg aspartama (E 951) po tableti.</w:t>
      </w:r>
    </w:p>
    <w:p w14:paraId="46B5905C" w14:textId="0C8E13C2" w:rsidR="00445E9B" w:rsidRPr="006B58D8" w:rsidRDefault="00A4488F" w:rsidP="0069371F">
      <w:pPr>
        <w:jc w:val="both"/>
        <w:rPr>
          <w:sz w:val="22"/>
          <w:szCs w:val="22"/>
          <w:lang w:val="sr-Latn-ME"/>
        </w:rPr>
      </w:pPr>
      <w:r w:rsidRPr="006B58D8">
        <w:rPr>
          <w:sz w:val="22"/>
          <w:szCs w:val="22"/>
          <w:lang w:val="sr-Latn-ME"/>
        </w:rPr>
        <w:t>Ovaj lijek sadrži do 0,45 mg benzil alkohola (E 1519) po tableti.</w:t>
      </w:r>
    </w:p>
    <w:p w14:paraId="76D31D30" w14:textId="64387EB5" w:rsidR="00CA67FB" w:rsidRPr="006B58D8" w:rsidRDefault="00CA67FB" w:rsidP="0069371F">
      <w:pPr>
        <w:jc w:val="both"/>
        <w:rPr>
          <w:sz w:val="22"/>
          <w:szCs w:val="22"/>
          <w:lang w:val="sr-Latn-ME"/>
        </w:rPr>
      </w:pPr>
    </w:p>
    <w:p w14:paraId="1C721ADC" w14:textId="77777777" w:rsidR="0003793F" w:rsidRPr="006B58D8" w:rsidRDefault="0003793F" w:rsidP="0069371F">
      <w:pPr>
        <w:jc w:val="both"/>
        <w:rPr>
          <w:sz w:val="22"/>
          <w:szCs w:val="22"/>
          <w:lang w:val="sr-Latn-ME"/>
        </w:rPr>
      </w:pPr>
      <w:r w:rsidRPr="006B58D8">
        <w:rPr>
          <w:sz w:val="22"/>
          <w:szCs w:val="22"/>
          <w:lang w:val="sr-Latn-ME"/>
        </w:rPr>
        <w:t>Za spisak svih ekscipijenasa, pogledati dio 6.1.</w:t>
      </w:r>
    </w:p>
    <w:p w14:paraId="607D3932" w14:textId="77777777" w:rsidR="0003793F" w:rsidRPr="006B58D8" w:rsidRDefault="0003793F" w:rsidP="0069371F">
      <w:pPr>
        <w:jc w:val="both"/>
        <w:rPr>
          <w:sz w:val="22"/>
          <w:szCs w:val="22"/>
          <w:lang w:val="sr-Latn-ME"/>
        </w:rPr>
      </w:pPr>
    </w:p>
    <w:p w14:paraId="3F0813BF" w14:textId="77777777" w:rsidR="00C37FD7" w:rsidRPr="006B58D8" w:rsidRDefault="00C37FD7" w:rsidP="0069371F">
      <w:pPr>
        <w:jc w:val="both"/>
        <w:rPr>
          <w:sz w:val="22"/>
          <w:szCs w:val="22"/>
          <w:lang w:val="sr-Latn-ME"/>
        </w:rPr>
      </w:pPr>
    </w:p>
    <w:p w14:paraId="33EA6566" w14:textId="77777777" w:rsidR="00411B4B" w:rsidRPr="006B58D8" w:rsidRDefault="00411B4B" w:rsidP="0069371F">
      <w:pPr>
        <w:tabs>
          <w:tab w:val="left" w:pos="540"/>
          <w:tab w:val="left" w:pos="569"/>
        </w:tabs>
        <w:jc w:val="both"/>
        <w:rPr>
          <w:b/>
          <w:bCs/>
          <w:sz w:val="22"/>
          <w:szCs w:val="22"/>
          <w:lang w:val="sr-Latn-ME"/>
        </w:rPr>
      </w:pPr>
      <w:r w:rsidRPr="006B58D8">
        <w:rPr>
          <w:b/>
          <w:bCs/>
          <w:sz w:val="22"/>
          <w:szCs w:val="22"/>
          <w:lang w:val="sr-Latn-ME"/>
        </w:rPr>
        <w:t xml:space="preserve">3. </w:t>
      </w:r>
      <w:r w:rsidR="00F5167F" w:rsidRPr="006B58D8">
        <w:rPr>
          <w:b/>
          <w:bCs/>
          <w:sz w:val="22"/>
          <w:szCs w:val="22"/>
          <w:lang w:val="sr-Latn-ME"/>
        </w:rPr>
        <w:tab/>
      </w:r>
      <w:r w:rsidRPr="006B58D8">
        <w:rPr>
          <w:b/>
          <w:bCs/>
          <w:sz w:val="22"/>
          <w:szCs w:val="22"/>
          <w:lang w:val="sr-Latn-ME"/>
        </w:rPr>
        <w:t>FARMACEUTSKI OBLIK</w:t>
      </w:r>
      <w:r w:rsidR="009F2D23" w:rsidRPr="006B58D8">
        <w:rPr>
          <w:b/>
          <w:bCs/>
          <w:sz w:val="22"/>
          <w:szCs w:val="22"/>
          <w:lang w:val="sr-Latn-ME"/>
        </w:rPr>
        <w:t xml:space="preserve"> </w:t>
      </w:r>
    </w:p>
    <w:p w14:paraId="4240B9D2" w14:textId="77777777" w:rsidR="00411B4B" w:rsidRPr="006B58D8" w:rsidRDefault="00411B4B" w:rsidP="0069371F">
      <w:pPr>
        <w:jc w:val="both"/>
        <w:rPr>
          <w:bCs/>
          <w:sz w:val="22"/>
          <w:szCs w:val="22"/>
          <w:lang w:val="sr-Latn-ME"/>
        </w:rPr>
      </w:pPr>
    </w:p>
    <w:p w14:paraId="5E184261" w14:textId="77777777" w:rsidR="00CA67FB" w:rsidRPr="006B58D8" w:rsidRDefault="00CA67FB" w:rsidP="0069371F">
      <w:pPr>
        <w:jc w:val="both"/>
        <w:rPr>
          <w:sz w:val="22"/>
          <w:szCs w:val="22"/>
          <w:lang w:val="sr-Latn-ME"/>
        </w:rPr>
      </w:pPr>
      <w:r w:rsidRPr="006B58D8">
        <w:rPr>
          <w:sz w:val="22"/>
          <w:szCs w:val="22"/>
          <w:lang w:val="sr-Latn-ME"/>
        </w:rPr>
        <w:t>Tableta za žvakanje.</w:t>
      </w:r>
    </w:p>
    <w:p w14:paraId="63B77654" w14:textId="7074877E" w:rsidR="00CA67FB" w:rsidRPr="006B58D8" w:rsidRDefault="00CA67FB" w:rsidP="0069371F">
      <w:pPr>
        <w:jc w:val="both"/>
        <w:rPr>
          <w:sz w:val="22"/>
          <w:szCs w:val="22"/>
          <w:lang w:val="sr-Latn-ME"/>
        </w:rPr>
      </w:pPr>
      <w:r w:rsidRPr="006B58D8">
        <w:rPr>
          <w:sz w:val="22"/>
          <w:szCs w:val="22"/>
          <w:lang w:val="sr-Latn-ME"/>
        </w:rPr>
        <w:t>Ružičasta, okrugla, bikonveksna tableta za žvakanje,</w:t>
      </w:r>
      <w:r w:rsidR="00445E9B" w:rsidRPr="006B58D8">
        <w:rPr>
          <w:sz w:val="22"/>
          <w:szCs w:val="22"/>
          <w:lang w:val="sr-Latn-ME"/>
        </w:rPr>
        <w:t xml:space="preserve"> dijametra 9,5 mm,</w:t>
      </w:r>
      <w:r w:rsidRPr="006B58D8">
        <w:rPr>
          <w:sz w:val="22"/>
          <w:szCs w:val="22"/>
          <w:lang w:val="sr-Latn-ME"/>
        </w:rPr>
        <w:t xml:space="preserve"> sa utisnutim SINGULAIR na jednoj strani i MSD 275 na drugoj.</w:t>
      </w:r>
    </w:p>
    <w:p w14:paraId="482576DE" w14:textId="60EF0E16" w:rsidR="00EC2532" w:rsidRPr="006B58D8" w:rsidRDefault="00EC2532" w:rsidP="0069371F">
      <w:pPr>
        <w:jc w:val="both"/>
        <w:rPr>
          <w:bCs/>
          <w:sz w:val="22"/>
          <w:szCs w:val="22"/>
          <w:lang w:val="sr-Latn-ME"/>
        </w:rPr>
      </w:pPr>
    </w:p>
    <w:p w14:paraId="4DFC3F6D" w14:textId="77777777" w:rsidR="00310986" w:rsidRPr="006B58D8" w:rsidRDefault="00310986" w:rsidP="0069371F">
      <w:pPr>
        <w:jc w:val="both"/>
        <w:rPr>
          <w:bCs/>
          <w:sz w:val="22"/>
          <w:szCs w:val="22"/>
          <w:lang w:val="sr-Latn-ME"/>
        </w:rPr>
      </w:pPr>
    </w:p>
    <w:p w14:paraId="604E0AB9" w14:textId="77777777" w:rsidR="00411B4B" w:rsidRPr="006B58D8" w:rsidRDefault="00411B4B" w:rsidP="0069371F">
      <w:pPr>
        <w:tabs>
          <w:tab w:val="left" w:pos="540"/>
          <w:tab w:val="left" w:pos="569"/>
        </w:tabs>
        <w:jc w:val="both"/>
        <w:rPr>
          <w:b/>
          <w:bCs/>
          <w:sz w:val="22"/>
          <w:szCs w:val="22"/>
          <w:lang w:val="sr-Latn-ME"/>
        </w:rPr>
      </w:pPr>
      <w:r w:rsidRPr="006B58D8">
        <w:rPr>
          <w:b/>
          <w:bCs/>
          <w:sz w:val="22"/>
          <w:szCs w:val="22"/>
          <w:lang w:val="sr-Latn-ME"/>
        </w:rPr>
        <w:t xml:space="preserve">4. </w:t>
      </w:r>
      <w:r w:rsidR="00480FB1" w:rsidRPr="006B58D8">
        <w:rPr>
          <w:b/>
          <w:bCs/>
          <w:sz w:val="22"/>
          <w:szCs w:val="22"/>
          <w:lang w:val="sr-Latn-ME"/>
        </w:rPr>
        <w:tab/>
      </w:r>
      <w:r w:rsidRPr="006B58D8">
        <w:rPr>
          <w:b/>
          <w:bCs/>
          <w:sz w:val="22"/>
          <w:szCs w:val="22"/>
          <w:lang w:val="sr-Latn-ME"/>
        </w:rPr>
        <w:t>KLINIČKI PODACI</w:t>
      </w:r>
    </w:p>
    <w:p w14:paraId="2CFE4083" w14:textId="77777777" w:rsidR="00CD6F02" w:rsidRPr="006B58D8" w:rsidRDefault="00CD6F02" w:rsidP="0069371F">
      <w:pPr>
        <w:tabs>
          <w:tab w:val="left" w:pos="540"/>
          <w:tab w:val="left" w:pos="569"/>
        </w:tabs>
        <w:jc w:val="both"/>
        <w:rPr>
          <w:bCs/>
          <w:sz w:val="22"/>
          <w:szCs w:val="22"/>
          <w:lang w:val="sr-Latn-ME"/>
        </w:rPr>
      </w:pPr>
    </w:p>
    <w:p w14:paraId="30FDAB3F" w14:textId="77777777" w:rsidR="00411B4B" w:rsidRPr="006B58D8" w:rsidRDefault="00411B4B" w:rsidP="0069371F">
      <w:pPr>
        <w:tabs>
          <w:tab w:val="left" w:pos="540"/>
          <w:tab w:val="left" w:pos="569"/>
        </w:tabs>
        <w:jc w:val="both"/>
        <w:rPr>
          <w:b/>
          <w:bCs/>
          <w:sz w:val="22"/>
          <w:szCs w:val="22"/>
          <w:lang w:val="sr-Latn-ME"/>
        </w:rPr>
      </w:pPr>
      <w:r w:rsidRPr="006B58D8">
        <w:rPr>
          <w:b/>
          <w:bCs/>
          <w:sz w:val="22"/>
          <w:szCs w:val="22"/>
          <w:lang w:val="sr-Latn-ME"/>
        </w:rPr>
        <w:t xml:space="preserve">4.1. </w:t>
      </w:r>
      <w:r w:rsidR="00480FB1" w:rsidRPr="006B58D8">
        <w:rPr>
          <w:b/>
          <w:bCs/>
          <w:sz w:val="22"/>
          <w:szCs w:val="22"/>
          <w:lang w:val="sr-Latn-ME"/>
        </w:rPr>
        <w:tab/>
      </w:r>
      <w:r w:rsidRPr="006B58D8">
        <w:rPr>
          <w:b/>
          <w:bCs/>
          <w:sz w:val="22"/>
          <w:szCs w:val="22"/>
          <w:lang w:val="sr-Latn-ME"/>
        </w:rPr>
        <w:t>Terapijske indikacije</w:t>
      </w:r>
    </w:p>
    <w:p w14:paraId="0E9F5892" w14:textId="28F69B42" w:rsidR="00411B4B" w:rsidRPr="006B58D8" w:rsidRDefault="00411B4B" w:rsidP="0069371F">
      <w:pPr>
        <w:tabs>
          <w:tab w:val="left" w:pos="540"/>
          <w:tab w:val="left" w:pos="569"/>
        </w:tabs>
        <w:jc w:val="both"/>
        <w:rPr>
          <w:bCs/>
          <w:sz w:val="22"/>
          <w:szCs w:val="22"/>
          <w:lang w:val="sr-Latn-ME"/>
        </w:rPr>
      </w:pPr>
    </w:p>
    <w:p w14:paraId="30CDC822" w14:textId="1429D03E" w:rsidR="00CA67FB" w:rsidRPr="006B58D8" w:rsidRDefault="00445E9B" w:rsidP="0069371F">
      <w:pPr>
        <w:jc w:val="both"/>
        <w:rPr>
          <w:sz w:val="22"/>
          <w:szCs w:val="22"/>
          <w:lang w:val="sr-Latn-ME"/>
        </w:rPr>
      </w:pPr>
      <w:r w:rsidRPr="006B58D8">
        <w:rPr>
          <w:sz w:val="22"/>
          <w:szCs w:val="22"/>
          <w:lang w:val="sr-Latn-ME"/>
        </w:rPr>
        <w:t xml:space="preserve">Lijek </w:t>
      </w:r>
      <w:r w:rsidR="00CA67FB" w:rsidRPr="006B58D8">
        <w:rPr>
          <w:sz w:val="22"/>
          <w:szCs w:val="22"/>
          <w:lang w:val="sr-Latn-ME"/>
        </w:rPr>
        <w:t xml:space="preserve">Singulair je indikovan u liječenju astme, kao </w:t>
      </w:r>
      <w:r w:rsidRPr="006B58D8">
        <w:rPr>
          <w:sz w:val="22"/>
          <w:szCs w:val="22"/>
          <w:lang w:val="sr-Latn-ME"/>
        </w:rPr>
        <w:t xml:space="preserve">dodatna </w:t>
      </w:r>
      <w:r w:rsidR="00CA67FB" w:rsidRPr="006B58D8">
        <w:rPr>
          <w:sz w:val="22"/>
          <w:szCs w:val="22"/>
          <w:lang w:val="sr-Latn-ME"/>
        </w:rPr>
        <w:t>terapija kod pacijenata sa blagom do umjerenom perzistentnom astmom, koj</w:t>
      </w:r>
      <w:r w:rsidRPr="006B58D8">
        <w:rPr>
          <w:sz w:val="22"/>
          <w:szCs w:val="22"/>
          <w:lang w:val="sr-Latn-ME"/>
        </w:rPr>
        <w:t>i</w:t>
      </w:r>
      <w:r w:rsidR="00CA67FB" w:rsidRPr="006B58D8">
        <w:rPr>
          <w:sz w:val="22"/>
          <w:szCs w:val="22"/>
          <w:lang w:val="sr-Latn-ME"/>
        </w:rPr>
        <w:t xml:space="preserve"> nije</w:t>
      </w:r>
      <w:r w:rsidRPr="006B58D8">
        <w:rPr>
          <w:sz w:val="22"/>
          <w:szCs w:val="22"/>
          <w:lang w:val="sr-Latn-ME"/>
        </w:rPr>
        <w:t>su</w:t>
      </w:r>
      <w:r w:rsidR="00CA67FB" w:rsidRPr="006B58D8">
        <w:rPr>
          <w:sz w:val="22"/>
          <w:szCs w:val="22"/>
          <w:lang w:val="sr-Latn-ME"/>
        </w:rPr>
        <w:t xml:space="preserve"> adekvatno kontrolisan</w:t>
      </w:r>
      <w:r w:rsidRPr="006B58D8">
        <w:rPr>
          <w:sz w:val="22"/>
          <w:szCs w:val="22"/>
          <w:lang w:val="sr-Latn-ME"/>
        </w:rPr>
        <w:t>i</w:t>
      </w:r>
      <w:r w:rsidR="00CA67FB" w:rsidRPr="006B58D8">
        <w:rPr>
          <w:sz w:val="22"/>
          <w:szCs w:val="22"/>
          <w:lang w:val="sr-Latn-ME"/>
        </w:rPr>
        <w:t xml:space="preserve"> inhalacionim kortikosteroidima, i kod koj</w:t>
      </w:r>
      <w:r w:rsidRPr="006B58D8">
        <w:rPr>
          <w:sz w:val="22"/>
          <w:szCs w:val="22"/>
          <w:lang w:val="sr-Latn-ME"/>
        </w:rPr>
        <w:t>ih prim</w:t>
      </w:r>
      <w:r w:rsidR="00F17659" w:rsidRPr="006B58D8">
        <w:rPr>
          <w:sz w:val="22"/>
          <w:szCs w:val="22"/>
          <w:lang w:val="sr-Latn-ME"/>
        </w:rPr>
        <w:t>j</w:t>
      </w:r>
      <w:r w:rsidRPr="006B58D8">
        <w:rPr>
          <w:sz w:val="22"/>
          <w:szCs w:val="22"/>
          <w:lang w:val="sr-Latn-ME"/>
        </w:rPr>
        <w:t>ena kratkodelujućih β-agonista</w:t>
      </w:r>
      <w:r w:rsidR="00CA67FB" w:rsidRPr="006B58D8">
        <w:rPr>
          <w:sz w:val="22"/>
          <w:szCs w:val="22"/>
          <w:lang w:val="sr-Latn-ME"/>
        </w:rPr>
        <w:t xml:space="preserve"> "po potrebi" ne obezbjeđuj</w:t>
      </w:r>
      <w:r w:rsidRPr="006B58D8">
        <w:rPr>
          <w:sz w:val="22"/>
          <w:szCs w:val="22"/>
          <w:lang w:val="sr-Latn-ME"/>
        </w:rPr>
        <w:t>e</w:t>
      </w:r>
      <w:r w:rsidR="00CA67FB" w:rsidRPr="006B58D8">
        <w:rPr>
          <w:sz w:val="22"/>
          <w:szCs w:val="22"/>
          <w:lang w:val="sr-Latn-ME"/>
        </w:rPr>
        <w:t xml:space="preserve"> </w:t>
      </w:r>
      <w:r w:rsidRPr="006B58D8">
        <w:rPr>
          <w:sz w:val="22"/>
          <w:szCs w:val="22"/>
          <w:lang w:val="sr-Latn-ME"/>
        </w:rPr>
        <w:t xml:space="preserve">odgovarajuću </w:t>
      </w:r>
      <w:r w:rsidR="00CA67FB" w:rsidRPr="006B58D8">
        <w:rPr>
          <w:sz w:val="22"/>
          <w:szCs w:val="22"/>
          <w:lang w:val="sr-Latn-ME"/>
        </w:rPr>
        <w:t xml:space="preserve">kliničku kontrolu astme. </w:t>
      </w:r>
    </w:p>
    <w:p w14:paraId="61839D30" w14:textId="77777777" w:rsidR="00CA67FB" w:rsidRPr="006B58D8" w:rsidRDefault="00CA67FB" w:rsidP="0069371F">
      <w:pPr>
        <w:jc w:val="both"/>
        <w:rPr>
          <w:sz w:val="22"/>
          <w:szCs w:val="22"/>
          <w:lang w:val="sr-Latn-ME"/>
        </w:rPr>
      </w:pPr>
    </w:p>
    <w:p w14:paraId="1132164E" w14:textId="6661C489" w:rsidR="00CA67FB" w:rsidRPr="006B58D8" w:rsidRDefault="00445E9B" w:rsidP="0069371F">
      <w:pPr>
        <w:jc w:val="both"/>
        <w:rPr>
          <w:sz w:val="22"/>
          <w:szCs w:val="22"/>
          <w:lang w:val="sr-Latn-ME"/>
        </w:rPr>
      </w:pPr>
      <w:r w:rsidRPr="006B58D8">
        <w:rPr>
          <w:sz w:val="22"/>
          <w:szCs w:val="22"/>
          <w:lang w:val="sr-Latn-ME"/>
        </w:rPr>
        <w:t xml:space="preserve">Lijek </w:t>
      </w:r>
      <w:r w:rsidR="00CA67FB" w:rsidRPr="006B58D8">
        <w:rPr>
          <w:sz w:val="22"/>
          <w:szCs w:val="22"/>
          <w:lang w:val="sr-Latn-ME"/>
        </w:rPr>
        <w:t xml:space="preserve">Singulair takođe može </w:t>
      </w:r>
      <w:r w:rsidRPr="006B58D8">
        <w:rPr>
          <w:sz w:val="22"/>
          <w:szCs w:val="22"/>
          <w:lang w:val="sr-Latn-ME"/>
        </w:rPr>
        <w:t xml:space="preserve">da predstavlja </w:t>
      </w:r>
      <w:r w:rsidR="00CA67FB" w:rsidRPr="006B58D8">
        <w:rPr>
          <w:sz w:val="22"/>
          <w:szCs w:val="22"/>
          <w:lang w:val="sr-Latn-ME"/>
        </w:rPr>
        <w:t>alternativn</w:t>
      </w:r>
      <w:r w:rsidRPr="006B58D8">
        <w:rPr>
          <w:sz w:val="22"/>
          <w:szCs w:val="22"/>
          <w:lang w:val="sr-Latn-ME"/>
        </w:rPr>
        <w:t>u</w:t>
      </w:r>
      <w:r w:rsidR="00CA67FB" w:rsidRPr="006B58D8">
        <w:rPr>
          <w:sz w:val="22"/>
          <w:szCs w:val="22"/>
          <w:lang w:val="sr-Latn-ME"/>
        </w:rPr>
        <w:t xml:space="preserve"> </w:t>
      </w:r>
      <w:r w:rsidRPr="006B58D8">
        <w:rPr>
          <w:sz w:val="22"/>
          <w:szCs w:val="22"/>
          <w:lang w:val="sr-Latn-ME"/>
        </w:rPr>
        <w:t>opciju l</w:t>
      </w:r>
      <w:r w:rsidR="00F17659" w:rsidRPr="006B58D8">
        <w:rPr>
          <w:sz w:val="22"/>
          <w:szCs w:val="22"/>
          <w:lang w:val="sr-Latn-ME"/>
        </w:rPr>
        <w:t>ij</w:t>
      </w:r>
      <w:r w:rsidRPr="006B58D8">
        <w:rPr>
          <w:sz w:val="22"/>
          <w:szCs w:val="22"/>
          <w:lang w:val="sr-Latn-ME"/>
        </w:rPr>
        <w:t xml:space="preserve">ečenja malim dozama </w:t>
      </w:r>
      <w:r w:rsidR="00CA67FB" w:rsidRPr="006B58D8">
        <w:rPr>
          <w:sz w:val="22"/>
          <w:szCs w:val="22"/>
          <w:lang w:val="sr-Latn-ME"/>
        </w:rPr>
        <w:t>inhalacioni</w:t>
      </w:r>
      <w:r w:rsidRPr="006B58D8">
        <w:rPr>
          <w:sz w:val="22"/>
          <w:szCs w:val="22"/>
          <w:lang w:val="sr-Latn-ME"/>
        </w:rPr>
        <w:t>h</w:t>
      </w:r>
      <w:r w:rsidR="00CA67FB" w:rsidRPr="006B58D8">
        <w:rPr>
          <w:sz w:val="22"/>
          <w:szCs w:val="22"/>
          <w:lang w:val="sr-Latn-ME"/>
        </w:rPr>
        <w:t xml:space="preserve"> </w:t>
      </w:r>
      <w:r w:rsidRPr="006B58D8">
        <w:rPr>
          <w:sz w:val="22"/>
          <w:szCs w:val="22"/>
          <w:lang w:val="sr-Latn-ME"/>
        </w:rPr>
        <w:t xml:space="preserve">kortikosteroida </w:t>
      </w:r>
      <w:r w:rsidR="00CA67FB" w:rsidRPr="006B58D8">
        <w:rPr>
          <w:sz w:val="22"/>
          <w:szCs w:val="22"/>
          <w:lang w:val="sr-Latn-ME"/>
        </w:rPr>
        <w:t xml:space="preserve">kod pacijenata sa blagom perzistentnom astmom kod kojih u bliskoj prošlosti nije dolazilo do </w:t>
      </w:r>
      <w:r w:rsidR="008857B5" w:rsidRPr="006B58D8">
        <w:rPr>
          <w:sz w:val="22"/>
          <w:szCs w:val="22"/>
          <w:lang w:val="sr-Latn-ME"/>
        </w:rPr>
        <w:t>ozbiljn</w:t>
      </w:r>
      <w:r w:rsidR="006242DF" w:rsidRPr="006B58D8">
        <w:rPr>
          <w:sz w:val="22"/>
          <w:szCs w:val="22"/>
          <w:lang w:val="sr-Latn-ME"/>
        </w:rPr>
        <w:t>ih</w:t>
      </w:r>
      <w:r w:rsidR="008857B5" w:rsidRPr="006B58D8">
        <w:rPr>
          <w:sz w:val="22"/>
          <w:szCs w:val="22"/>
          <w:lang w:val="sr-Latn-ME"/>
        </w:rPr>
        <w:t xml:space="preserve"> </w:t>
      </w:r>
      <w:r w:rsidR="00CA67FB" w:rsidRPr="006B58D8">
        <w:rPr>
          <w:sz w:val="22"/>
          <w:szCs w:val="22"/>
          <w:lang w:val="sr-Latn-ME"/>
        </w:rPr>
        <w:t>napada astme</w:t>
      </w:r>
      <w:r w:rsidR="00CA67FB" w:rsidRPr="006B58D8" w:rsidDel="00E64B9A">
        <w:rPr>
          <w:sz w:val="22"/>
          <w:szCs w:val="22"/>
          <w:lang w:val="sr-Latn-ME"/>
        </w:rPr>
        <w:t xml:space="preserve"> </w:t>
      </w:r>
      <w:r w:rsidR="00CA67FB" w:rsidRPr="006B58D8">
        <w:rPr>
          <w:sz w:val="22"/>
          <w:szCs w:val="22"/>
          <w:lang w:val="sr-Latn-ME"/>
        </w:rPr>
        <w:t>koji su zahtijevali oraln</w:t>
      </w:r>
      <w:r w:rsidR="008857B5" w:rsidRPr="006B58D8">
        <w:rPr>
          <w:sz w:val="22"/>
          <w:szCs w:val="22"/>
          <w:lang w:val="sr-Latn-ME"/>
        </w:rPr>
        <w:t>u</w:t>
      </w:r>
      <w:r w:rsidR="00CA67FB" w:rsidRPr="006B58D8">
        <w:rPr>
          <w:sz w:val="22"/>
          <w:szCs w:val="22"/>
          <w:lang w:val="sr-Latn-ME"/>
        </w:rPr>
        <w:t xml:space="preserve"> </w:t>
      </w:r>
      <w:r w:rsidR="008857B5" w:rsidRPr="006B58D8">
        <w:rPr>
          <w:sz w:val="22"/>
          <w:szCs w:val="22"/>
          <w:lang w:val="sr-Latn-ME"/>
        </w:rPr>
        <w:t xml:space="preserve">upotrebu </w:t>
      </w:r>
      <w:r w:rsidR="00CA67FB" w:rsidRPr="006B58D8">
        <w:rPr>
          <w:sz w:val="22"/>
          <w:szCs w:val="22"/>
          <w:lang w:val="sr-Latn-ME"/>
        </w:rPr>
        <w:t>kortikosteroida, i kod kojih se pokazalo da nijesu sposobni da koriste inhalacione kortikosteroide (vidjeti dio 4.2.).</w:t>
      </w:r>
    </w:p>
    <w:p w14:paraId="498E55F9" w14:textId="77777777" w:rsidR="00CA67FB" w:rsidRPr="006B58D8" w:rsidRDefault="00CA67FB" w:rsidP="0069371F">
      <w:pPr>
        <w:jc w:val="both"/>
        <w:rPr>
          <w:sz w:val="22"/>
          <w:szCs w:val="22"/>
          <w:lang w:val="sr-Latn-ME"/>
        </w:rPr>
      </w:pPr>
    </w:p>
    <w:p w14:paraId="74850EAA" w14:textId="4FBDB35B" w:rsidR="00CA67FB" w:rsidRPr="006B58D8" w:rsidRDefault="00445E9B" w:rsidP="0069371F">
      <w:pPr>
        <w:jc w:val="both"/>
        <w:rPr>
          <w:sz w:val="22"/>
          <w:szCs w:val="22"/>
          <w:lang w:val="sr-Latn-ME"/>
        </w:rPr>
      </w:pPr>
      <w:r w:rsidRPr="006B58D8">
        <w:rPr>
          <w:sz w:val="22"/>
          <w:szCs w:val="22"/>
          <w:lang w:val="sr-Latn-ME"/>
        </w:rPr>
        <w:t xml:space="preserve">Lijek </w:t>
      </w:r>
      <w:r w:rsidR="00CA67FB" w:rsidRPr="006B58D8">
        <w:rPr>
          <w:sz w:val="22"/>
          <w:szCs w:val="22"/>
          <w:lang w:val="sr-Latn-ME"/>
        </w:rPr>
        <w:t xml:space="preserve">Singulair je takođe indikovan </w:t>
      </w:r>
      <w:r w:rsidR="008857B5" w:rsidRPr="006B58D8">
        <w:rPr>
          <w:sz w:val="22"/>
          <w:szCs w:val="22"/>
          <w:lang w:val="sr-Latn-ME"/>
        </w:rPr>
        <w:t xml:space="preserve">za </w:t>
      </w:r>
      <w:r w:rsidR="00CA67FB" w:rsidRPr="006B58D8">
        <w:rPr>
          <w:sz w:val="22"/>
          <w:szCs w:val="22"/>
          <w:lang w:val="sr-Latn-ME"/>
        </w:rPr>
        <w:t>profilaks</w:t>
      </w:r>
      <w:r w:rsidR="008857B5" w:rsidRPr="006B58D8">
        <w:rPr>
          <w:sz w:val="22"/>
          <w:szCs w:val="22"/>
          <w:lang w:val="sr-Latn-ME"/>
        </w:rPr>
        <w:t>u</w:t>
      </w:r>
      <w:r w:rsidR="00CA67FB" w:rsidRPr="006B58D8">
        <w:rPr>
          <w:sz w:val="22"/>
          <w:szCs w:val="22"/>
          <w:lang w:val="sr-Latn-ME"/>
        </w:rPr>
        <w:t xml:space="preserve"> astme </w:t>
      </w:r>
      <w:r w:rsidR="008857B5" w:rsidRPr="006B58D8">
        <w:rPr>
          <w:sz w:val="22"/>
          <w:szCs w:val="22"/>
          <w:lang w:val="sr-Latn-ME"/>
        </w:rPr>
        <w:t>u kojoj</w:t>
      </w:r>
      <w:r w:rsidR="00CA67FB" w:rsidRPr="006B58D8">
        <w:rPr>
          <w:sz w:val="22"/>
          <w:szCs w:val="22"/>
          <w:lang w:val="sr-Latn-ME"/>
        </w:rPr>
        <w:t xml:space="preserve"> je predominantna komponenta bronhokonstrikcija izazvana </w:t>
      </w:r>
      <w:r w:rsidR="00CA67FB" w:rsidRPr="006B58D8">
        <w:rPr>
          <w:sz w:val="22"/>
          <w:szCs w:val="22"/>
          <w:lang w:val="sr-Latn-ME" w:eastAsia="sr-Latn-CS"/>
        </w:rPr>
        <w:t>fizičkim</w:t>
      </w:r>
      <w:r w:rsidR="00CA67FB" w:rsidRPr="006B58D8">
        <w:rPr>
          <w:sz w:val="22"/>
          <w:szCs w:val="22"/>
          <w:lang w:val="sr-Latn-ME"/>
        </w:rPr>
        <w:t xml:space="preserve"> naporom (vježbanjem). </w:t>
      </w:r>
    </w:p>
    <w:p w14:paraId="17AF07E0" w14:textId="77777777" w:rsidR="00CA67FB" w:rsidRPr="006B58D8" w:rsidRDefault="00CA67FB" w:rsidP="0069371F">
      <w:pPr>
        <w:tabs>
          <w:tab w:val="left" w:pos="540"/>
          <w:tab w:val="left" w:pos="569"/>
        </w:tabs>
        <w:jc w:val="both"/>
        <w:rPr>
          <w:bCs/>
          <w:sz w:val="22"/>
          <w:szCs w:val="22"/>
          <w:lang w:val="sr-Latn-ME"/>
        </w:rPr>
      </w:pPr>
    </w:p>
    <w:p w14:paraId="121593DC" w14:textId="77777777" w:rsidR="00411B4B" w:rsidRPr="006B58D8" w:rsidRDefault="00411B4B" w:rsidP="0069371F">
      <w:pPr>
        <w:tabs>
          <w:tab w:val="left" w:pos="540"/>
          <w:tab w:val="left" w:pos="569"/>
        </w:tabs>
        <w:jc w:val="both"/>
        <w:rPr>
          <w:b/>
          <w:bCs/>
          <w:sz w:val="22"/>
          <w:szCs w:val="22"/>
          <w:lang w:val="sr-Latn-ME"/>
        </w:rPr>
      </w:pPr>
      <w:r w:rsidRPr="006B58D8">
        <w:rPr>
          <w:b/>
          <w:bCs/>
          <w:sz w:val="22"/>
          <w:szCs w:val="22"/>
          <w:lang w:val="sr-Latn-ME"/>
        </w:rPr>
        <w:t xml:space="preserve">4.2. </w:t>
      </w:r>
      <w:r w:rsidR="00480FB1" w:rsidRPr="006B58D8">
        <w:rPr>
          <w:b/>
          <w:bCs/>
          <w:sz w:val="22"/>
          <w:szCs w:val="22"/>
          <w:lang w:val="sr-Latn-ME"/>
        </w:rPr>
        <w:tab/>
      </w:r>
      <w:r w:rsidRPr="006B58D8">
        <w:rPr>
          <w:b/>
          <w:bCs/>
          <w:sz w:val="22"/>
          <w:szCs w:val="22"/>
          <w:lang w:val="sr-Latn-ME"/>
        </w:rPr>
        <w:t>Doziranje i način primjene</w:t>
      </w:r>
    </w:p>
    <w:p w14:paraId="60D628F3" w14:textId="77777777" w:rsidR="0072020E" w:rsidRPr="006B58D8" w:rsidRDefault="0072020E" w:rsidP="0069371F">
      <w:pPr>
        <w:tabs>
          <w:tab w:val="left" w:pos="540"/>
          <w:tab w:val="left" w:pos="569"/>
        </w:tabs>
        <w:jc w:val="both"/>
        <w:rPr>
          <w:bCs/>
          <w:sz w:val="22"/>
          <w:szCs w:val="22"/>
          <w:lang w:val="sr-Latn-ME"/>
        </w:rPr>
      </w:pPr>
    </w:p>
    <w:p w14:paraId="12EDDDCD" w14:textId="77777777" w:rsidR="00452E9D" w:rsidRPr="006B58D8" w:rsidRDefault="00452E9D" w:rsidP="0069371F">
      <w:pPr>
        <w:tabs>
          <w:tab w:val="left" w:pos="540"/>
          <w:tab w:val="left" w:pos="569"/>
        </w:tabs>
        <w:jc w:val="both"/>
        <w:rPr>
          <w:bCs/>
          <w:sz w:val="22"/>
          <w:szCs w:val="22"/>
          <w:u w:val="single"/>
          <w:lang w:val="sr-Latn-ME"/>
        </w:rPr>
      </w:pPr>
      <w:r w:rsidRPr="006B58D8">
        <w:rPr>
          <w:bCs/>
          <w:sz w:val="22"/>
          <w:szCs w:val="22"/>
          <w:u w:val="single"/>
          <w:lang w:val="sr-Latn-ME"/>
        </w:rPr>
        <w:t>Doziranje</w:t>
      </w:r>
    </w:p>
    <w:p w14:paraId="4C84F274" w14:textId="12579683" w:rsidR="00CA67FB" w:rsidRPr="006B58D8" w:rsidRDefault="008857B5" w:rsidP="0069371F">
      <w:pPr>
        <w:jc w:val="both"/>
        <w:rPr>
          <w:sz w:val="22"/>
          <w:szCs w:val="22"/>
          <w:lang w:val="sr-Latn-ME"/>
        </w:rPr>
      </w:pPr>
      <w:r w:rsidRPr="006B58D8">
        <w:rPr>
          <w:sz w:val="22"/>
          <w:szCs w:val="22"/>
          <w:lang w:val="sr-Latn-ME"/>
        </w:rPr>
        <w:t xml:space="preserve">Preporučena doza </w:t>
      </w:r>
      <w:r w:rsidR="00CA67FB" w:rsidRPr="006B58D8">
        <w:rPr>
          <w:sz w:val="22"/>
          <w:szCs w:val="22"/>
          <w:lang w:val="sr-Latn-ME"/>
        </w:rPr>
        <w:t>za pedijatrijske pacijente uzrasta od 6 do 14 godina (sve do punih 15 godina) je jedna tableta od 5 mg dnevno, koju treba uzeti uveče.</w:t>
      </w:r>
      <w:r w:rsidRPr="006B58D8">
        <w:rPr>
          <w:sz w:val="22"/>
          <w:szCs w:val="22"/>
          <w:lang w:val="sr-Latn-ME"/>
        </w:rPr>
        <w:t xml:space="preserve"> Ako se lijek uzima sa hranom, lijek</w:t>
      </w:r>
      <w:r w:rsidR="00CA67FB" w:rsidRPr="006B58D8">
        <w:rPr>
          <w:sz w:val="22"/>
          <w:szCs w:val="22"/>
          <w:lang w:val="sr-Latn-ME"/>
        </w:rPr>
        <w:t xml:space="preserve"> Singulair</w:t>
      </w:r>
      <w:r w:rsidR="00CA67FB" w:rsidRPr="006B58D8">
        <w:rPr>
          <w:sz w:val="22"/>
          <w:szCs w:val="22"/>
          <w:vertAlign w:val="superscript"/>
          <w:lang w:val="sr-Latn-ME"/>
        </w:rPr>
        <w:t xml:space="preserve"> </w:t>
      </w:r>
      <w:r w:rsidRPr="006B58D8">
        <w:rPr>
          <w:sz w:val="22"/>
          <w:szCs w:val="22"/>
          <w:lang w:val="sr-Latn-ME"/>
        </w:rPr>
        <w:t>treba</w:t>
      </w:r>
      <w:r w:rsidR="00CA67FB" w:rsidRPr="006B58D8">
        <w:rPr>
          <w:sz w:val="22"/>
          <w:szCs w:val="22"/>
          <w:lang w:val="sr-Latn-ME"/>
        </w:rPr>
        <w:t xml:space="preserve"> uzeti 1 sat prije ili 2 sata poslije uzimanja hrane. Nije potrebno prilagođavanje doze kod ove </w:t>
      </w:r>
      <w:r w:rsidRPr="006B58D8">
        <w:rPr>
          <w:sz w:val="22"/>
          <w:szCs w:val="22"/>
          <w:lang w:val="sr-Latn-ME"/>
        </w:rPr>
        <w:t xml:space="preserve">starosne </w:t>
      </w:r>
      <w:r w:rsidR="00CA67FB" w:rsidRPr="006B58D8">
        <w:rPr>
          <w:sz w:val="22"/>
          <w:szCs w:val="22"/>
          <w:lang w:val="sr-Latn-ME"/>
        </w:rPr>
        <w:t>grupe pacijenata.</w:t>
      </w:r>
    </w:p>
    <w:p w14:paraId="2356381D" w14:textId="77777777" w:rsidR="00CA67FB" w:rsidRPr="006B58D8" w:rsidRDefault="00CA67FB" w:rsidP="0069371F">
      <w:pPr>
        <w:jc w:val="both"/>
        <w:rPr>
          <w:sz w:val="22"/>
          <w:szCs w:val="22"/>
          <w:lang w:val="sr-Latn-ME"/>
        </w:rPr>
      </w:pPr>
    </w:p>
    <w:p w14:paraId="3DB3808F" w14:textId="77777777" w:rsidR="00CA67FB" w:rsidRPr="006B58D8" w:rsidRDefault="00CA67FB" w:rsidP="0069371F">
      <w:pPr>
        <w:jc w:val="both"/>
        <w:rPr>
          <w:sz w:val="22"/>
          <w:szCs w:val="22"/>
          <w:u w:val="single"/>
          <w:lang w:val="sr-Latn-ME"/>
        </w:rPr>
      </w:pPr>
      <w:r w:rsidRPr="006B58D8">
        <w:rPr>
          <w:sz w:val="22"/>
          <w:szCs w:val="22"/>
          <w:u w:val="single"/>
          <w:lang w:val="sr-Latn-ME"/>
        </w:rPr>
        <w:lastRenderedPageBreak/>
        <w:t>Opšte preporuke</w:t>
      </w:r>
    </w:p>
    <w:p w14:paraId="2A57C77D" w14:textId="3F50696E" w:rsidR="00CA67FB" w:rsidRPr="006B58D8" w:rsidRDefault="00CA67FB" w:rsidP="0069371F">
      <w:pPr>
        <w:jc w:val="both"/>
        <w:rPr>
          <w:sz w:val="22"/>
          <w:szCs w:val="22"/>
          <w:lang w:val="sr-Latn-ME"/>
        </w:rPr>
      </w:pPr>
      <w:r w:rsidRPr="006B58D8">
        <w:rPr>
          <w:sz w:val="22"/>
          <w:szCs w:val="22"/>
          <w:lang w:val="sr-Latn-ME"/>
        </w:rPr>
        <w:t xml:space="preserve">Terapijsko dejstvo lijeka Singulair na parametre koji pokazuju kontrolu astme </w:t>
      </w:r>
      <w:r w:rsidR="008857B5" w:rsidRPr="006B58D8">
        <w:rPr>
          <w:sz w:val="22"/>
          <w:szCs w:val="22"/>
          <w:lang w:val="sr-Latn-ME"/>
        </w:rPr>
        <w:t xml:space="preserve">postiže </w:t>
      </w:r>
      <w:r w:rsidRPr="006B58D8">
        <w:rPr>
          <w:sz w:val="22"/>
          <w:szCs w:val="22"/>
          <w:lang w:val="sr-Latn-ME"/>
        </w:rPr>
        <w:t xml:space="preserve">se </w:t>
      </w:r>
      <w:r w:rsidR="008857B5" w:rsidRPr="006B58D8">
        <w:rPr>
          <w:sz w:val="22"/>
          <w:szCs w:val="22"/>
          <w:lang w:val="sr-Latn-ME"/>
        </w:rPr>
        <w:t xml:space="preserve">u toku </w:t>
      </w:r>
      <w:r w:rsidRPr="006B58D8">
        <w:rPr>
          <w:sz w:val="22"/>
          <w:szCs w:val="22"/>
          <w:lang w:val="sr-Latn-ME"/>
        </w:rPr>
        <w:t>jednog dana. Pacijente treba savjetovati da nastave sa uzimanjem lijeka Singulair čak i kada je njihova astma pod kontrolom, baš kao i tokom perioda pogoršanja astme.</w:t>
      </w:r>
    </w:p>
    <w:p w14:paraId="048CE293" w14:textId="77777777" w:rsidR="00CA67FB" w:rsidRPr="006B58D8" w:rsidRDefault="00CA67FB" w:rsidP="0069371F">
      <w:pPr>
        <w:jc w:val="both"/>
        <w:rPr>
          <w:sz w:val="22"/>
          <w:szCs w:val="22"/>
          <w:lang w:val="sr-Latn-ME"/>
        </w:rPr>
      </w:pPr>
    </w:p>
    <w:p w14:paraId="2BDCE4EA" w14:textId="3B550DEB" w:rsidR="00CA67FB" w:rsidRPr="006B58D8" w:rsidRDefault="00CA67FB" w:rsidP="0069371F">
      <w:pPr>
        <w:pStyle w:val="Header"/>
        <w:tabs>
          <w:tab w:val="left" w:pos="284"/>
        </w:tabs>
        <w:jc w:val="both"/>
        <w:rPr>
          <w:sz w:val="22"/>
          <w:szCs w:val="22"/>
          <w:lang w:val="sr-Latn-ME"/>
        </w:rPr>
      </w:pPr>
      <w:r w:rsidRPr="006B58D8">
        <w:rPr>
          <w:sz w:val="22"/>
          <w:szCs w:val="22"/>
          <w:lang w:val="sr-Latn-ME"/>
        </w:rPr>
        <w:t xml:space="preserve">Nije potrebno </w:t>
      </w:r>
      <w:r w:rsidR="008857B5" w:rsidRPr="006B58D8">
        <w:rPr>
          <w:sz w:val="22"/>
          <w:szCs w:val="22"/>
          <w:lang w:val="sr-Latn-ME"/>
        </w:rPr>
        <w:t xml:space="preserve">prilagođavanje </w:t>
      </w:r>
      <w:r w:rsidRPr="006B58D8">
        <w:rPr>
          <w:sz w:val="22"/>
          <w:szCs w:val="22"/>
          <w:lang w:val="sr-Latn-ME"/>
        </w:rPr>
        <w:t>doze kod pacijenata sa bubrežnom insuficijencijom ili blag</w:t>
      </w:r>
      <w:r w:rsidR="00EA1616" w:rsidRPr="006B58D8">
        <w:rPr>
          <w:sz w:val="22"/>
          <w:szCs w:val="22"/>
          <w:lang w:val="sr-Latn-ME"/>
        </w:rPr>
        <w:t>i</w:t>
      </w:r>
      <w:r w:rsidRPr="006B58D8">
        <w:rPr>
          <w:sz w:val="22"/>
          <w:szCs w:val="22"/>
          <w:lang w:val="sr-Latn-ME"/>
        </w:rPr>
        <w:t>m do umjeren</w:t>
      </w:r>
      <w:r w:rsidR="00EA1616" w:rsidRPr="006B58D8">
        <w:rPr>
          <w:sz w:val="22"/>
          <w:szCs w:val="22"/>
          <w:lang w:val="sr-Latn-ME"/>
        </w:rPr>
        <w:t>i</w:t>
      </w:r>
      <w:r w:rsidRPr="006B58D8">
        <w:rPr>
          <w:sz w:val="22"/>
          <w:szCs w:val="22"/>
          <w:lang w:val="sr-Latn-ME"/>
        </w:rPr>
        <w:t>m oštećenjem funkcije jetre. Nema podataka koji se odnose na</w:t>
      </w:r>
      <w:r w:rsidR="008857B5" w:rsidRPr="006B58D8">
        <w:rPr>
          <w:sz w:val="22"/>
          <w:szCs w:val="22"/>
          <w:lang w:val="sr-Latn-ME"/>
        </w:rPr>
        <w:t xml:space="preserve"> primjenu lijeka kod</w:t>
      </w:r>
      <w:r w:rsidRPr="006B58D8">
        <w:rPr>
          <w:sz w:val="22"/>
          <w:szCs w:val="22"/>
          <w:lang w:val="sr-Latn-ME"/>
        </w:rPr>
        <w:t xml:space="preserve"> pacijen</w:t>
      </w:r>
      <w:r w:rsidR="008857B5" w:rsidRPr="006B58D8">
        <w:rPr>
          <w:sz w:val="22"/>
          <w:szCs w:val="22"/>
          <w:lang w:val="sr-Latn-ME"/>
        </w:rPr>
        <w:t>ata</w:t>
      </w:r>
      <w:r w:rsidRPr="006B58D8">
        <w:rPr>
          <w:sz w:val="22"/>
          <w:szCs w:val="22"/>
          <w:lang w:val="sr-Latn-ME"/>
        </w:rPr>
        <w:t xml:space="preserve"> sa teškim oštećenjem funkcije jetre. Ista doza lijeka se primjenjuje kod pacijenata muškog i ženskog pola.</w:t>
      </w:r>
    </w:p>
    <w:p w14:paraId="5446B1BC" w14:textId="77777777" w:rsidR="00CA67FB" w:rsidRPr="006B58D8" w:rsidRDefault="00CA67FB" w:rsidP="0069371F">
      <w:pPr>
        <w:jc w:val="both"/>
        <w:rPr>
          <w:sz w:val="22"/>
          <w:szCs w:val="22"/>
          <w:lang w:val="sr-Latn-ME"/>
        </w:rPr>
      </w:pPr>
    </w:p>
    <w:p w14:paraId="371D5323" w14:textId="38EB2284" w:rsidR="00CA67FB" w:rsidRPr="006B58D8" w:rsidRDefault="008857B5" w:rsidP="0069371F">
      <w:pPr>
        <w:jc w:val="both"/>
        <w:rPr>
          <w:sz w:val="22"/>
          <w:szCs w:val="22"/>
          <w:u w:val="single"/>
          <w:lang w:val="sr-Latn-ME"/>
        </w:rPr>
      </w:pPr>
      <w:r w:rsidRPr="006B58D8">
        <w:rPr>
          <w:sz w:val="22"/>
          <w:szCs w:val="22"/>
          <w:u w:val="single"/>
          <w:lang w:val="sr-Latn-ME"/>
        </w:rPr>
        <w:t xml:space="preserve">Lijek </w:t>
      </w:r>
      <w:r w:rsidR="00CA67FB" w:rsidRPr="006B58D8">
        <w:rPr>
          <w:sz w:val="22"/>
          <w:szCs w:val="22"/>
          <w:u w:val="single"/>
          <w:lang w:val="sr-Latn-ME"/>
        </w:rPr>
        <w:t>Singulair kao alternativna terapija niskodoznim inhalacionim kortikosteroidima kod pacijenata sa blagom perzistentnom astmom:</w:t>
      </w:r>
    </w:p>
    <w:p w14:paraId="05D912A9" w14:textId="77777777" w:rsidR="008857B5" w:rsidRPr="006B58D8" w:rsidRDefault="008857B5" w:rsidP="0069371F">
      <w:pPr>
        <w:jc w:val="both"/>
        <w:rPr>
          <w:sz w:val="22"/>
          <w:szCs w:val="22"/>
          <w:lang w:val="sr-Latn-ME"/>
        </w:rPr>
      </w:pPr>
    </w:p>
    <w:p w14:paraId="7B0B3762" w14:textId="3B968000" w:rsidR="00CA67FB" w:rsidRPr="006B58D8" w:rsidRDefault="00CA67FB" w:rsidP="0069371F">
      <w:pPr>
        <w:jc w:val="both"/>
        <w:rPr>
          <w:sz w:val="22"/>
          <w:szCs w:val="22"/>
          <w:lang w:val="sr-Latn-ME"/>
        </w:rPr>
      </w:pPr>
      <w:r w:rsidRPr="006B58D8">
        <w:rPr>
          <w:sz w:val="22"/>
          <w:szCs w:val="22"/>
          <w:lang w:val="sr-Latn-ME"/>
        </w:rPr>
        <w:t xml:space="preserve">Montelukast se ne preporučuje kao monoterapija kod pacijenata sa umjerenom perzistentnom astmom. Upotrebu montelukasta kao alternativne terapije za inhalacione kortikosteroide </w:t>
      </w:r>
      <w:r w:rsidR="008857B5" w:rsidRPr="006B58D8">
        <w:rPr>
          <w:sz w:val="22"/>
          <w:szCs w:val="22"/>
          <w:lang w:val="sr-Latn-ME"/>
        </w:rPr>
        <w:t>prim</w:t>
      </w:r>
      <w:r w:rsidR="00F17659" w:rsidRPr="006B58D8">
        <w:rPr>
          <w:sz w:val="22"/>
          <w:szCs w:val="22"/>
          <w:lang w:val="sr-Latn-ME"/>
        </w:rPr>
        <w:t>i</w:t>
      </w:r>
      <w:r w:rsidR="008857B5" w:rsidRPr="006B58D8">
        <w:rPr>
          <w:sz w:val="22"/>
          <w:szCs w:val="22"/>
          <w:lang w:val="sr-Latn-ME"/>
        </w:rPr>
        <w:t xml:space="preserve">jenjene u niskim dozama </w:t>
      </w:r>
      <w:r w:rsidRPr="006B58D8">
        <w:rPr>
          <w:sz w:val="22"/>
          <w:szCs w:val="22"/>
          <w:lang w:val="sr-Latn-ME"/>
        </w:rPr>
        <w:t xml:space="preserve">kod djece sa blagom perzistentnom astmom treba razmatrati samo kod pacijenata koji u bliskoj prošlosti nijesu imali ozbiljne napade astme koji su zahtijevali upotrebu oralnih kortikosteroida, i </w:t>
      </w:r>
      <w:r w:rsidR="008857B5" w:rsidRPr="006B58D8">
        <w:rPr>
          <w:sz w:val="22"/>
          <w:szCs w:val="22"/>
          <w:lang w:val="sr-Latn-ME"/>
        </w:rPr>
        <w:t>koji</w:t>
      </w:r>
      <w:r w:rsidRPr="006B58D8">
        <w:rPr>
          <w:sz w:val="22"/>
          <w:szCs w:val="22"/>
          <w:lang w:val="sr-Latn-ME"/>
        </w:rPr>
        <w:t xml:space="preserve"> s</w:t>
      </w:r>
      <w:r w:rsidR="008857B5" w:rsidRPr="006B58D8">
        <w:rPr>
          <w:sz w:val="22"/>
          <w:szCs w:val="22"/>
          <w:lang w:val="sr-Latn-ME"/>
        </w:rPr>
        <w:t>u</w:t>
      </w:r>
      <w:r w:rsidRPr="006B58D8">
        <w:rPr>
          <w:sz w:val="22"/>
          <w:szCs w:val="22"/>
          <w:lang w:val="sr-Latn-ME"/>
        </w:rPr>
        <w:t xml:space="preserve"> pokazal</w:t>
      </w:r>
      <w:r w:rsidR="008857B5" w:rsidRPr="006B58D8">
        <w:rPr>
          <w:sz w:val="22"/>
          <w:szCs w:val="22"/>
          <w:lang w:val="sr-Latn-ME"/>
        </w:rPr>
        <w:t>i</w:t>
      </w:r>
      <w:r w:rsidRPr="006B58D8">
        <w:rPr>
          <w:sz w:val="22"/>
          <w:szCs w:val="22"/>
          <w:lang w:val="sr-Latn-ME"/>
        </w:rPr>
        <w:t xml:space="preserve"> </w:t>
      </w:r>
      <w:r w:rsidR="008857B5" w:rsidRPr="006B58D8">
        <w:rPr>
          <w:sz w:val="22"/>
          <w:szCs w:val="22"/>
          <w:lang w:val="sr-Latn-ME"/>
        </w:rPr>
        <w:t>nemogućnost upotrebe</w:t>
      </w:r>
      <w:r w:rsidRPr="006B58D8">
        <w:rPr>
          <w:sz w:val="22"/>
          <w:szCs w:val="22"/>
          <w:lang w:val="sr-Latn-ME"/>
        </w:rPr>
        <w:t xml:space="preserve"> inhalacion</w:t>
      </w:r>
      <w:r w:rsidR="00F17659" w:rsidRPr="006B58D8">
        <w:rPr>
          <w:sz w:val="22"/>
          <w:szCs w:val="22"/>
          <w:lang w:val="sr-Latn-ME"/>
        </w:rPr>
        <w:t>i</w:t>
      </w:r>
      <w:r w:rsidR="008857B5" w:rsidRPr="006B58D8">
        <w:rPr>
          <w:sz w:val="22"/>
          <w:szCs w:val="22"/>
          <w:lang w:val="sr-Latn-ME"/>
        </w:rPr>
        <w:t>h</w:t>
      </w:r>
      <w:r w:rsidRPr="006B58D8">
        <w:rPr>
          <w:sz w:val="22"/>
          <w:szCs w:val="22"/>
          <w:lang w:val="sr-Latn-ME"/>
        </w:rPr>
        <w:t xml:space="preserve"> kortikosteroid</w:t>
      </w:r>
      <w:r w:rsidR="008857B5" w:rsidRPr="006B58D8">
        <w:rPr>
          <w:sz w:val="22"/>
          <w:szCs w:val="22"/>
          <w:lang w:val="sr-Latn-ME"/>
        </w:rPr>
        <w:t>a</w:t>
      </w:r>
      <w:r w:rsidRPr="006B58D8">
        <w:rPr>
          <w:sz w:val="22"/>
          <w:szCs w:val="22"/>
          <w:lang w:val="sr-Latn-ME"/>
        </w:rPr>
        <w:t xml:space="preserve"> (vidjeti dio 4.1). Blaga perzistentna astma se definiše kao pojava simptoma astme češće nego jednom nedjeljno, ali rjeđe nego jednom dnevno, noćni simptomi češće nego dva puta mjesečno, ali rjeđe nego jednom nedjeljno, sa normalnom funkcijom pluća između epizoda. Ako se ne postigne zadovoljavajuća kontrola astme na kontrolnom pregledu (obično u toku prvog mjeseca), treba razmotriti mogućnost dodatne ili druge antiinflamatorne terapije zasnovane na postepenom </w:t>
      </w:r>
      <w:r w:rsidR="008857B5" w:rsidRPr="006B58D8">
        <w:rPr>
          <w:sz w:val="22"/>
          <w:szCs w:val="22"/>
          <w:lang w:val="sr-Latn-ME"/>
        </w:rPr>
        <w:t xml:space="preserve">pristupu u </w:t>
      </w:r>
      <w:r w:rsidRPr="006B58D8">
        <w:rPr>
          <w:sz w:val="22"/>
          <w:szCs w:val="22"/>
          <w:lang w:val="sr-Latn-ME"/>
        </w:rPr>
        <w:t>liječenj</w:t>
      </w:r>
      <w:r w:rsidR="008857B5" w:rsidRPr="006B58D8">
        <w:rPr>
          <w:sz w:val="22"/>
          <w:szCs w:val="22"/>
          <w:lang w:val="sr-Latn-ME"/>
        </w:rPr>
        <w:t>u</w:t>
      </w:r>
      <w:r w:rsidRPr="006B58D8">
        <w:rPr>
          <w:sz w:val="22"/>
          <w:szCs w:val="22"/>
          <w:lang w:val="sr-Latn-ME"/>
        </w:rPr>
        <w:t xml:space="preserve"> astme</w:t>
      </w:r>
      <w:r w:rsidR="008857B5" w:rsidRPr="006B58D8">
        <w:rPr>
          <w:sz w:val="22"/>
          <w:szCs w:val="22"/>
          <w:lang w:val="sr-Latn-ME"/>
        </w:rPr>
        <w:t>.</w:t>
      </w:r>
      <w:r w:rsidRPr="006B58D8">
        <w:rPr>
          <w:sz w:val="22"/>
          <w:szCs w:val="22"/>
          <w:lang w:val="sr-Latn-ME"/>
        </w:rPr>
        <w:t xml:space="preserve"> Pacijente treba redovno pratiti radi kontrole astme.</w:t>
      </w:r>
    </w:p>
    <w:p w14:paraId="7858AA5A" w14:textId="77777777" w:rsidR="00CA67FB" w:rsidRPr="006B58D8" w:rsidRDefault="00CA67FB" w:rsidP="0069371F">
      <w:pPr>
        <w:autoSpaceDE w:val="0"/>
        <w:autoSpaceDN w:val="0"/>
        <w:adjustRightInd w:val="0"/>
        <w:jc w:val="both"/>
        <w:rPr>
          <w:i/>
          <w:iCs/>
          <w:sz w:val="22"/>
          <w:szCs w:val="22"/>
          <w:lang w:val="sr-Latn-ME" w:eastAsia="sr-Latn-CS"/>
        </w:rPr>
      </w:pPr>
    </w:p>
    <w:p w14:paraId="7C8C335B" w14:textId="1E5467BB" w:rsidR="00CA67FB" w:rsidRPr="006B58D8" w:rsidRDefault="00CA67FB" w:rsidP="0069371F">
      <w:pPr>
        <w:autoSpaceDE w:val="0"/>
        <w:autoSpaceDN w:val="0"/>
        <w:adjustRightInd w:val="0"/>
        <w:jc w:val="both"/>
        <w:rPr>
          <w:iCs/>
          <w:sz w:val="22"/>
          <w:szCs w:val="22"/>
          <w:u w:val="single"/>
          <w:lang w:val="sr-Latn-ME" w:eastAsia="sr-Latn-CS"/>
        </w:rPr>
      </w:pPr>
      <w:r w:rsidRPr="006B58D8">
        <w:rPr>
          <w:iCs/>
          <w:sz w:val="22"/>
          <w:szCs w:val="22"/>
          <w:u w:val="single"/>
          <w:lang w:val="sr-Latn-ME" w:eastAsia="sr-Latn-CS"/>
        </w:rPr>
        <w:t xml:space="preserve">Terapija lijekom </w:t>
      </w:r>
      <w:r w:rsidRPr="006B58D8">
        <w:rPr>
          <w:sz w:val="22"/>
          <w:szCs w:val="22"/>
          <w:u w:val="single"/>
          <w:lang w:val="sr-Latn-ME"/>
        </w:rPr>
        <w:t>Singulair</w:t>
      </w:r>
      <w:r w:rsidRPr="006B58D8">
        <w:rPr>
          <w:iCs/>
          <w:sz w:val="22"/>
          <w:szCs w:val="22"/>
          <w:u w:val="single"/>
          <w:lang w:val="sr-Latn-ME" w:eastAsia="sr-Latn-CS"/>
        </w:rPr>
        <w:t xml:space="preserve"> u odnosu na druge ljekove za terapiju astme:</w:t>
      </w:r>
    </w:p>
    <w:p w14:paraId="299B2338" w14:textId="1D0E2AD2" w:rsidR="00CA67FB" w:rsidRPr="006B58D8" w:rsidRDefault="00CA67FB" w:rsidP="0069371F">
      <w:pPr>
        <w:jc w:val="both"/>
        <w:rPr>
          <w:sz w:val="22"/>
          <w:szCs w:val="22"/>
          <w:lang w:val="sr-Latn-ME"/>
        </w:rPr>
      </w:pPr>
      <w:r w:rsidRPr="006B58D8">
        <w:rPr>
          <w:sz w:val="22"/>
          <w:szCs w:val="22"/>
          <w:lang w:val="sr-Latn-ME"/>
        </w:rPr>
        <w:t xml:space="preserve">Kada se </w:t>
      </w:r>
      <w:r w:rsidR="008857B5" w:rsidRPr="006B58D8">
        <w:rPr>
          <w:sz w:val="22"/>
          <w:szCs w:val="22"/>
          <w:lang w:val="sr-Latn-ME"/>
        </w:rPr>
        <w:t xml:space="preserve">lijek </w:t>
      </w:r>
      <w:r w:rsidRPr="006B58D8">
        <w:rPr>
          <w:sz w:val="22"/>
          <w:szCs w:val="22"/>
          <w:lang w:val="sr-Latn-ME"/>
        </w:rPr>
        <w:t xml:space="preserve">Singulair koristi kao dodatna terapija inhalacionim kortikosteroidima, </w:t>
      </w:r>
      <w:r w:rsidRPr="006B58D8">
        <w:rPr>
          <w:iCs/>
          <w:sz w:val="22"/>
          <w:szCs w:val="22"/>
          <w:lang w:val="sr-Latn-ME" w:eastAsia="sr-Latn-CS"/>
        </w:rPr>
        <w:t xml:space="preserve">inhalacioni kortikosteroid ne smije biti naglo zamijenjen lijekom </w:t>
      </w:r>
      <w:r w:rsidRPr="006B58D8">
        <w:rPr>
          <w:sz w:val="22"/>
          <w:szCs w:val="22"/>
          <w:lang w:val="sr-Latn-ME"/>
        </w:rPr>
        <w:t xml:space="preserve">Singulair (vidjeti </w:t>
      </w:r>
      <w:r w:rsidR="00EA1616" w:rsidRPr="006B58D8">
        <w:rPr>
          <w:sz w:val="22"/>
          <w:szCs w:val="22"/>
          <w:lang w:val="sr-Latn-ME"/>
        </w:rPr>
        <w:t xml:space="preserve">dio </w:t>
      </w:r>
      <w:r w:rsidRPr="006B58D8">
        <w:rPr>
          <w:sz w:val="22"/>
          <w:szCs w:val="22"/>
          <w:lang w:val="sr-Latn-ME"/>
        </w:rPr>
        <w:t>4.4).</w:t>
      </w:r>
    </w:p>
    <w:p w14:paraId="3FA2EA3E" w14:textId="77777777" w:rsidR="00CA67FB" w:rsidRPr="006B58D8" w:rsidRDefault="00CA67FB" w:rsidP="0069371F">
      <w:pPr>
        <w:jc w:val="both"/>
        <w:rPr>
          <w:sz w:val="22"/>
          <w:szCs w:val="22"/>
          <w:lang w:val="sr-Latn-ME"/>
        </w:rPr>
      </w:pPr>
    </w:p>
    <w:p w14:paraId="680130A0" w14:textId="7E17FD07" w:rsidR="00CA67FB" w:rsidRPr="006B58D8" w:rsidRDefault="00CA67FB" w:rsidP="0069371F">
      <w:pPr>
        <w:autoSpaceDE w:val="0"/>
        <w:autoSpaceDN w:val="0"/>
        <w:adjustRightInd w:val="0"/>
        <w:jc w:val="both"/>
        <w:rPr>
          <w:iCs/>
          <w:sz w:val="22"/>
          <w:szCs w:val="22"/>
          <w:lang w:val="sr-Latn-ME" w:eastAsia="sr-Latn-CS"/>
        </w:rPr>
      </w:pPr>
      <w:r w:rsidRPr="006B58D8">
        <w:rPr>
          <w:iCs/>
          <w:sz w:val="22"/>
          <w:szCs w:val="22"/>
          <w:lang w:val="sr-Latn-ME" w:eastAsia="sr-Latn-CS"/>
        </w:rPr>
        <w:t xml:space="preserve">Film tablete od 10 mg namijenjene su za liječenje odraslih i adolescenata </w:t>
      </w:r>
      <w:r w:rsidR="008857B5" w:rsidRPr="006B58D8">
        <w:rPr>
          <w:iCs/>
          <w:sz w:val="22"/>
          <w:szCs w:val="22"/>
          <w:lang w:val="sr-Latn-ME" w:eastAsia="sr-Latn-CS"/>
        </w:rPr>
        <w:t xml:space="preserve">uzrasta </w:t>
      </w:r>
      <w:r w:rsidRPr="006B58D8">
        <w:rPr>
          <w:iCs/>
          <w:sz w:val="22"/>
          <w:szCs w:val="22"/>
          <w:lang w:val="sr-Latn-ME" w:eastAsia="sr-Latn-CS"/>
        </w:rPr>
        <w:t xml:space="preserve">15 </w:t>
      </w:r>
      <w:r w:rsidR="008857B5" w:rsidRPr="006B58D8">
        <w:rPr>
          <w:iCs/>
          <w:sz w:val="22"/>
          <w:szCs w:val="22"/>
          <w:lang w:val="sr-Latn-ME" w:eastAsia="sr-Latn-CS"/>
        </w:rPr>
        <w:t>i više godina</w:t>
      </w:r>
      <w:r w:rsidRPr="006B58D8">
        <w:rPr>
          <w:iCs/>
          <w:sz w:val="22"/>
          <w:szCs w:val="22"/>
          <w:lang w:val="sr-Latn-ME" w:eastAsia="sr-Latn-CS"/>
        </w:rPr>
        <w:t>.</w:t>
      </w:r>
    </w:p>
    <w:p w14:paraId="10B35DBE" w14:textId="77777777" w:rsidR="00CA67FB" w:rsidRPr="006B58D8" w:rsidRDefault="00CA67FB" w:rsidP="0069371F">
      <w:pPr>
        <w:jc w:val="both"/>
        <w:rPr>
          <w:i/>
          <w:sz w:val="22"/>
          <w:szCs w:val="22"/>
          <w:lang w:val="sr-Latn-ME"/>
        </w:rPr>
      </w:pPr>
    </w:p>
    <w:p w14:paraId="4C1FFFEA" w14:textId="77777777" w:rsidR="00CA67FB" w:rsidRPr="006B58D8" w:rsidRDefault="00CA67FB" w:rsidP="0069371F">
      <w:pPr>
        <w:jc w:val="both"/>
        <w:rPr>
          <w:i/>
          <w:sz w:val="22"/>
          <w:szCs w:val="22"/>
          <w:lang w:val="sr-Latn-ME"/>
        </w:rPr>
      </w:pPr>
      <w:r w:rsidRPr="006B58D8">
        <w:rPr>
          <w:i/>
          <w:sz w:val="22"/>
          <w:szCs w:val="22"/>
          <w:lang w:val="sr-Latn-ME"/>
        </w:rPr>
        <w:t>Pedijatrijska populacija</w:t>
      </w:r>
    </w:p>
    <w:p w14:paraId="02A98F33" w14:textId="1C16D7F4" w:rsidR="00CA67FB" w:rsidRPr="006B58D8" w:rsidRDefault="008857B5" w:rsidP="0069371F">
      <w:pPr>
        <w:jc w:val="both"/>
        <w:rPr>
          <w:sz w:val="22"/>
          <w:szCs w:val="22"/>
          <w:lang w:val="sr-Latn-ME"/>
        </w:rPr>
      </w:pPr>
      <w:r w:rsidRPr="006B58D8">
        <w:rPr>
          <w:sz w:val="22"/>
          <w:szCs w:val="22"/>
          <w:lang w:val="sr-Latn-ME"/>
        </w:rPr>
        <w:t xml:space="preserve">Ne treba primjenjivati lijek Singulair, 5 mg, tablete za žvakanje, kod </w:t>
      </w:r>
      <w:r w:rsidR="00CA67FB" w:rsidRPr="006B58D8">
        <w:rPr>
          <w:sz w:val="22"/>
          <w:szCs w:val="22"/>
          <w:lang w:val="sr-Latn-ME"/>
        </w:rPr>
        <w:t>djec</w:t>
      </w:r>
      <w:r w:rsidRPr="006B58D8">
        <w:rPr>
          <w:sz w:val="22"/>
          <w:szCs w:val="22"/>
          <w:lang w:val="sr-Latn-ME"/>
        </w:rPr>
        <w:t>e</w:t>
      </w:r>
      <w:r w:rsidR="00CA67FB" w:rsidRPr="006B58D8">
        <w:rPr>
          <w:sz w:val="22"/>
          <w:szCs w:val="22"/>
          <w:lang w:val="sr-Latn-ME"/>
        </w:rPr>
        <w:t xml:space="preserve"> mlađ</w:t>
      </w:r>
      <w:r w:rsidRPr="006B58D8">
        <w:rPr>
          <w:sz w:val="22"/>
          <w:szCs w:val="22"/>
          <w:lang w:val="sr-Latn-ME"/>
        </w:rPr>
        <w:t>e</w:t>
      </w:r>
      <w:r w:rsidR="00CA67FB" w:rsidRPr="006B58D8">
        <w:rPr>
          <w:sz w:val="22"/>
          <w:szCs w:val="22"/>
          <w:lang w:val="sr-Latn-ME"/>
        </w:rPr>
        <w:t xml:space="preserve"> od 6 godina</w:t>
      </w:r>
      <w:r w:rsidR="00EB13FD" w:rsidRPr="006B58D8">
        <w:rPr>
          <w:sz w:val="22"/>
          <w:szCs w:val="22"/>
          <w:lang w:val="sr-Latn-ME"/>
        </w:rPr>
        <w:t>.</w:t>
      </w:r>
      <w:r w:rsidR="00CA67FB" w:rsidRPr="006B58D8">
        <w:rPr>
          <w:sz w:val="22"/>
          <w:szCs w:val="22"/>
          <w:lang w:val="sr-Latn-ME"/>
        </w:rPr>
        <w:t xml:space="preserve">  </w:t>
      </w:r>
      <w:r w:rsidR="00EB13FD" w:rsidRPr="006B58D8">
        <w:rPr>
          <w:sz w:val="22"/>
          <w:szCs w:val="22"/>
          <w:lang w:val="sr-Latn-ME"/>
        </w:rPr>
        <w:t>B</w:t>
      </w:r>
      <w:r w:rsidR="00CA67FB" w:rsidRPr="006B58D8">
        <w:rPr>
          <w:sz w:val="22"/>
          <w:szCs w:val="22"/>
          <w:lang w:val="sr-Latn-ME"/>
        </w:rPr>
        <w:t>ezbjednost i efikasnost</w:t>
      </w:r>
      <w:r w:rsidR="00EB13FD" w:rsidRPr="006B58D8">
        <w:rPr>
          <w:sz w:val="22"/>
          <w:szCs w:val="22"/>
          <w:lang w:val="sr-Latn-ME"/>
        </w:rPr>
        <w:t xml:space="preserve"> lijeka Singulair, 5 mg, tablete za žvakanje, nije utvrđena kod djece mlađe od 6 godina.</w:t>
      </w:r>
      <w:r w:rsidR="00CA67FB" w:rsidRPr="006B58D8">
        <w:rPr>
          <w:sz w:val="22"/>
          <w:szCs w:val="22"/>
          <w:lang w:val="sr-Latn-ME"/>
        </w:rPr>
        <w:t xml:space="preserve"> </w:t>
      </w:r>
    </w:p>
    <w:p w14:paraId="3DE74D2D" w14:textId="77777777" w:rsidR="00CA67FB" w:rsidRPr="006B58D8" w:rsidRDefault="00CA67FB" w:rsidP="0069371F">
      <w:pPr>
        <w:jc w:val="both"/>
        <w:rPr>
          <w:sz w:val="22"/>
          <w:szCs w:val="22"/>
          <w:lang w:val="sr-Latn-ME"/>
        </w:rPr>
      </w:pPr>
    </w:p>
    <w:p w14:paraId="3FC70DD0" w14:textId="17B966F4" w:rsidR="00EB13FD" w:rsidRPr="006B58D8" w:rsidRDefault="00CA67FB" w:rsidP="0069371F">
      <w:pPr>
        <w:jc w:val="both"/>
        <w:rPr>
          <w:sz w:val="22"/>
          <w:szCs w:val="22"/>
          <w:lang w:val="sr-Latn-ME"/>
        </w:rPr>
      </w:pPr>
      <w:r w:rsidRPr="006B58D8">
        <w:rPr>
          <w:sz w:val="22"/>
          <w:szCs w:val="22"/>
          <w:lang w:val="sr-Latn-ME"/>
        </w:rPr>
        <w:t xml:space="preserve">Tablete za žvakanje </w:t>
      </w:r>
      <w:r w:rsidR="00EB13FD" w:rsidRPr="006B58D8">
        <w:rPr>
          <w:sz w:val="22"/>
          <w:szCs w:val="22"/>
          <w:lang w:val="sr-Latn-ME"/>
        </w:rPr>
        <w:t xml:space="preserve">lijeka Singulair </w:t>
      </w:r>
      <w:r w:rsidRPr="006B58D8">
        <w:rPr>
          <w:sz w:val="22"/>
          <w:szCs w:val="22"/>
          <w:lang w:val="sr-Latn-ME"/>
        </w:rPr>
        <w:t>od 4 mg su namijenjene za djecu uzrasta od 2 do 5 godina (sve do punih 6 godina).</w:t>
      </w:r>
    </w:p>
    <w:p w14:paraId="2B87437E" w14:textId="5139F481" w:rsidR="00CA67FB" w:rsidRPr="006B58D8" w:rsidRDefault="00CA67FB" w:rsidP="0069371F">
      <w:pPr>
        <w:jc w:val="both"/>
        <w:rPr>
          <w:sz w:val="22"/>
          <w:szCs w:val="22"/>
          <w:lang w:val="sr-Latn-ME"/>
        </w:rPr>
      </w:pPr>
      <w:r w:rsidRPr="006B58D8">
        <w:rPr>
          <w:sz w:val="22"/>
          <w:szCs w:val="22"/>
          <w:lang w:val="sr-Latn-ME"/>
        </w:rPr>
        <w:t xml:space="preserve">Granule </w:t>
      </w:r>
      <w:r w:rsidR="00EB13FD" w:rsidRPr="006B58D8">
        <w:rPr>
          <w:sz w:val="22"/>
          <w:szCs w:val="22"/>
          <w:lang w:val="sr-Latn-ME"/>
        </w:rPr>
        <w:t xml:space="preserve">lijeka Singulair </w:t>
      </w:r>
      <w:r w:rsidRPr="006B58D8">
        <w:rPr>
          <w:sz w:val="22"/>
          <w:szCs w:val="22"/>
          <w:lang w:val="sr-Latn-ME"/>
        </w:rPr>
        <w:t>od 4 mg su namijenjene za djecu uzrasta od 6 mjeseci do 5 godina (sve do punih 6 godina).</w:t>
      </w:r>
    </w:p>
    <w:p w14:paraId="666ED34F" w14:textId="77777777" w:rsidR="00CA67FB" w:rsidRPr="006B58D8" w:rsidRDefault="00CA67FB" w:rsidP="0069371F">
      <w:pPr>
        <w:tabs>
          <w:tab w:val="left" w:pos="540"/>
          <w:tab w:val="left" w:pos="569"/>
        </w:tabs>
        <w:jc w:val="both"/>
        <w:rPr>
          <w:bCs/>
          <w:sz w:val="22"/>
          <w:szCs w:val="22"/>
          <w:u w:val="single"/>
          <w:lang w:val="sr-Latn-ME"/>
        </w:rPr>
      </w:pPr>
    </w:p>
    <w:p w14:paraId="2B5D980A" w14:textId="3EAF6825" w:rsidR="00452E9D" w:rsidRPr="006B58D8" w:rsidRDefault="00452E9D" w:rsidP="0069371F">
      <w:pPr>
        <w:tabs>
          <w:tab w:val="left" w:pos="540"/>
          <w:tab w:val="left" w:pos="569"/>
        </w:tabs>
        <w:jc w:val="both"/>
        <w:rPr>
          <w:bCs/>
          <w:sz w:val="22"/>
          <w:szCs w:val="22"/>
          <w:lang w:val="sr-Latn-ME"/>
        </w:rPr>
      </w:pPr>
      <w:r w:rsidRPr="006B58D8">
        <w:rPr>
          <w:bCs/>
          <w:sz w:val="22"/>
          <w:szCs w:val="22"/>
          <w:u w:val="single"/>
          <w:lang w:val="sr-Latn-ME"/>
        </w:rPr>
        <w:t>Način primjene</w:t>
      </w:r>
    </w:p>
    <w:p w14:paraId="7B033A15" w14:textId="77777777" w:rsidR="00CA67FB" w:rsidRPr="006B58D8" w:rsidRDefault="00CA67FB" w:rsidP="0069371F">
      <w:pPr>
        <w:pStyle w:val="Header"/>
        <w:tabs>
          <w:tab w:val="left" w:pos="284"/>
        </w:tabs>
        <w:jc w:val="both"/>
        <w:rPr>
          <w:sz w:val="22"/>
          <w:szCs w:val="22"/>
          <w:lang w:val="sr-Latn-ME"/>
        </w:rPr>
      </w:pPr>
      <w:r w:rsidRPr="006B58D8">
        <w:rPr>
          <w:sz w:val="22"/>
          <w:szCs w:val="22"/>
          <w:lang w:val="sr-Latn-ME"/>
        </w:rPr>
        <w:t xml:space="preserve">Lijek je namijenjen za oralnu upotrebu. </w:t>
      </w:r>
    </w:p>
    <w:p w14:paraId="7DD7A349" w14:textId="543471EB" w:rsidR="00CA67FB" w:rsidRPr="006B58D8" w:rsidRDefault="00CA67FB" w:rsidP="0069371F">
      <w:pPr>
        <w:pStyle w:val="Header"/>
        <w:tabs>
          <w:tab w:val="left" w:pos="284"/>
        </w:tabs>
        <w:jc w:val="both"/>
        <w:rPr>
          <w:sz w:val="22"/>
          <w:szCs w:val="22"/>
          <w:lang w:val="sr-Latn-ME"/>
        </w:rPr>
      </w:pPr>
      <w:r w:rsidRPr="006B58D8">
        <w:rPr>
          <w:sz w:val="22"/>
          <w:szCs w:val="22"/>
          <w:lang w:val="sr-Latn-ME"/>
        </w:rPr>
        <w:t>Tablete treba sažvakati prije gutanja.</w:t>
      </w:r>
    </w:p>
    <w:p w14:paraId="529B6109" w14:textId="77777777" w:rsidR="00CA67FB" w:rsidRPr="006B58D8" w:rsidRDefault="00CA67FB" w:rsidP="0069371F">
      <w:pPr>
        <w:tabs>
          <w:tab w:val="left" w:pos="540"/>
          <w:tab w:val="left" w:pos="569"/>
        </w:tabs>
        <w:jc w:val="both"/>
        <w:rPr>
          <w:bCs/>
          <w:sz w:val="22"/>
          <w:szCs w:val="22"/>
          <w:lang w:val="sr-Latn-ME"/>
        </w:rPr>
      </w:pPr>
    </w:p>
    <w:p w14:paraId="409E9046" w14:textId="77777777" w:rsidR="00411B4B" w:rsidRPr="006B58D8" w:rsidRDefault="00411B4B" w:rsidP="0069371F">
      <w:pPr>
        <w:tabs>
          <w:tab w:val="left" w:pos="540"/>
          <w:tab w:val="left" w:pos="569"/>
        </w:tabs>
        <w:jc w:val="both"/>
        <w:rPr>
          <w:b/>
          <w:bCs/>
          <w:sz w:val="22"/>
          <w:szCs w:val="22"/>
          <w:lang w:val="sr-Latn-ME"/>
        </w:rPr>
      </w:pPr>
      <w:r w:rsidRPr="006B58D8">
        <w:rPr>
          <w:b/>
          <w:bCs/>
          <w:sz w:val="22"/>
          <w:szCs w:val="22"/>
          <w:lang w:val="sr-Latn-ME"/>
        </w:rPr>
        <w:t xml:space="preserve">4.3. </w:t>
      </w:r>
      <w:r w:rsidR="00480FB1" w:rsidRPr="006B58D8">
        <w:rPr>
          <w:b/>
          <w:bCs/>
          <w:sz w:val="22"/>
          <w:szCs w:val="22"/>
          <w:lang w:val="sr-Latn-ME"/>
        </w:rPr>
        <w:tab/>
      </w:r>
      <w:r w:rsidRPr="006B58D8">
        <w:rPr>
          <w:b/>
          <w:bCs/>
          <w:sz w:val="22"/>
          <w:szCs w:val="22"/>
          <w:lang w:val="sr-Latn-ME"/>
        </w:rPr>
        <w:t>Kontraindikacije</w:t>
      </w:r>
    </w:p>
    <w:p w14:paraId="1E11A2B3" w14:textId="09438AFA" w:rsidR="0072020E" w:rsidRPr="006B58D8" w:rsidRDefault="0072020E" w:rsidP="0069371F">
      <w:pPr>
        <w:tabs>
          <w:tab w:val="left" w:pos="540"/>
          <w:tab w:val="left" w:pos="569"/>
        </w:tabs>
        <w:jc w:val="both"/>
        <w:rPr>
          <w:bCs/>
          <w:sz w:val="22"/>
          <w:szCs w:val="22"/>
          <w:lang w:val="sr-Latn-ME"/>
        </w:rPr>
      </w:pPr>
    </w:p>
    <w:p w14:paraId="7F375249" w14:textId="54FA5F8A" w:rsidR="007A033F" w:rsidRPr="006B58D8" w:rsidRDefault="007A033F" w:rsidP="0069371F">
      <w:pPr>
        <w:tabs>
          <w:tab w:val="left" w:pos="540"/>
          <w:tab w:val="left" w:pos="569"/>
        </w:tabs>
        <w:jc w:val="both"/>
        <w:rPr>
          <w:sz w:val="22"/>
          <w:szCs w:val="22"/>
          <w:lang w:val="sr-Latn-ME"/>
        </w:rPr>
      </w:pPr>
      <w:r w:rsidRPr="006B58D8">
        <w:rPr>
          <w:sz w:val="22"/>
          <w:szCs w:val="22"/>
          <w:lang w:val="sr-Latn-ME"/>
        </w:rPr>
        <w:t xml:space="preserve">Preosjetljivost na </w:t>
      </w:r>
      <w:r w:rsidR="00EB13FD" w:rsidRPr="006B58D8">
        <w:rPr>
          <w:sz w:val="22"/>
          <w:szCs w:val="22"/>
          <w:lang w:val="sr-Latn-ME"/>
        </w:rPr>
        <w:t>montelukast</w:t>
      </w:r>
      <w:r w:rsidRPr="006B58D8">
        <w:rPr>
          <w:sz w:val="22"/>
          <w:szCs w:val="22"/>
          <w:lang w:val="sr-Latn-ME"/>
        </w:rPr>
        <w:t xml:space="preserve"> ili bilo koj</w:t>
      </w:r>
      <w:r w:rsidR="00EB13FD" w:rsidRPr="006B58D8">
        <w:rPr>
          <w:sz w:val="22"/>
          <w:szCs w:val="22"/>
          <w:lang w:val="sr-Latn-ME"/>
        </w:rPr>
        <w:t>u</w:t>
      </w:r>
      <w:r w:rsidRPr="006B58D8">
        <w:rPr>
          <w:sz w:val="22"/>
          <w:szCs w:val="22"/>
          <w:lang w:val="sr-Latn-ME"/>
        </w:rPr>
        <w:t xml:space="preserve"> od pomoćnih </w:t>
      </w:r>
      <w:r w:rsidR="00EB13FD" w:rsidRPr="006B58D8">
        <w:rPr>
          <w:sz w:val="22"/>
          <w:szCs w:val="22"/>
          <w:lang w:val="sr-Latn-ME"/>
        </w:rPr>
        <w:t>supstanci</w:t>
      </w:r>
      <w:r w:rsidRPr="006B58D8">
        <w:rPr>
          <w:sz w:val="22"/>
          <w:szCs w:val="22"/>
          <w:lang w:val="sr-Latn-ME"/>
        </w:rPr>
        <w:t>, koj</w:t>
      </w:r>
      <w:r w:rsidR="00EB13FD" w:rsidRPr="006B58D8">
        <w:rPr>
          <w:sz w:val="22"/>
          <w:szCs w:val="22"/>
          <w:lang w:val="sr-Latn-ME"/>
        </w:rPr>
        <w:t>e</w:t>
      </w:r>
      <w:r w:rsidRPr="006B58D8">
        <w:rPr>
          <w:sz w:val="22"/>
          <w:szCs w:val="22"/>
          <w:lang w:val="sr-Latn-ME"/>
        </w:rPr>
        <w:t xml:space="preserve"> </w:t>
      </w:r>
      <w:r w:rsidR="00EB13FD" w:rsidRPr="006B58D8">
        <w:rPr>
          <w:sz w:val="22"/>
          <w:szCs w:val="22"/>
          <w:lang w:val="sr-Latn-ME"/>
        </w:rPr>
        <w:t>ulaze u sastav lijeka (</w:t>
      </w:r>
      <w:r w:rsidRPr="006B58D8">
        <w:rPr>
          <w:sz w:val="22"/>
          <w:szCs w:val="22"/>
          <w:lang w:val="sr-Latn-ME"/>
        </w:rPr>
        <w:t>navjeden</w:t>
      </w:r>
      <w:r w:rsidR="00EB13FD" w:rsidRPr="006B58D8">
        <w:rPr>
          <w:sz w:val="22"/>
          <w:szCs w:val="22"/>
          <w:lang w:val="sr-Latn-ME"/>
        </w:rPr>
        <w:t>e</w:t>
      </w:r>
      <w:r w:rsidRPr="006B58D8">
        <w:rPr>
          <w:sz w:val="22"/>
          <w:szCs w:val="22"/>
          <w:lang w:val="sr-Latn-ME"/>
        </w:rPr>
        <w:t xml:space="preserve"> u dijelu 6.1</w:t>
      </w:r>
      <w:r w:rsidR="00EB13FD" w:rsidRPr="006B58D8">
        <w:rPr>
          <w:sz w:val="22"/>
          <w:szCs w:val="22"/>
          <w:lang w:val="sr-Latn-ME"/>
        </w:rPr>
        <w:t>)</w:t>
      </w:r>
      <w:r w:rsidRPr="006B58D8">
        <w:rPr>
          <w:sz w:val="22"/>
          <w:szCs w:val="22"/>
          <w:lang w:val="sr-Latn-ME"/>
        </w:rPr>
        <w:t>.</w:t>
      </w:r>
    </w:p>
    <w:p w14:paraId="1244DCF2" w14:textId="77777777" w:rsidR="007A033F" w:rsidRPr="006B58D8" w:rsidRDefault="007A033F" w:rsidP="0069371F">
      <w:pPr>
        <w:tabs>
          <w:tab w:val="left" w:pos="540"/>
          <w:tab w:val="left" w:pos="569"/>
        </w:tabs>
        <w:jc w:val="both"/>
        <w:rPr>
          <w:bCs/>
          <w:sz w:val="22"/>
          <w:szCs w:val="22"/>
          <w:lang w:val="sr-Latn-ME"/>
        </w:rPr>
      </w:pPr>
    </w:p>
    <w:p w14:paraId="259B7BA1" w14:textId="77777777" w:rsidR="00411B4B" w:rsidRPr="006B58D8" w:rsidRDefault="00411B4B" w:rsidP="0069371F">
      <w:pPr>
        <w:tabs>
          <w:tab w:val="left" w:pos="540"/>
          <w:tab w:val="left" w:pos="569"/>
        </w:tabs>
        <w:jc w:val="both"/>
        <w:rPr>
          <w:b/>
          <w:bCs/>
          <w:sz w:val="22"/>
          <w:szCs w:val="22"/>
          <w:lang w:val="sr-Latn-ME"/>
        </w:rPr>
      </w:pPr>
      <w:r w:rsidRPr="006B58D8">
        <w:rPr>
          <w:b/>
          <w:bCs/>
          <w:sz w:val="22"/>
          <w:szCs w:val="22"/>
          <w:lang w:val="sr-Latn-ME"/>
        </w:rPr>
        <w:t xml:space="preserve">4.4. </w:t>
      </w:r>
      <w:r w:rsidR="00480FB1" w:rsidRPr="006B58D8">
        <w:rPr>
          <w:b/>
          <w:bCs/>
          <w:sz w:val="22"/>
          <w:szCs w:val="22"/>
          <w:lang w:val="sr-Latn-ME"/>
        </w:rPr>
        <w:tab/>
      </w:r>
      <w:r w:rsidRPr="006B58D8">
        <w:rPr>
          <w:b/>
          <w:bCs/>
          <w:sz w:val="22"/>
          <w:szCs w:val="22"/>
          <w:lang w:val="sr-Latn-ME"/>
        </w:rPr>
        <w:t>Posebna upozorenja i mjere opreza pri upotrebi lijeka</w:t>
      </w:r>
    </w:p>
    <w:p w14:paraId="58E297B8" w14:textId="2EE36FC9" w:rsidR="0072020E" w:rsidRPr="006B58D8" w:rsidRDefault="0072020E" w:rsidP="0069371F">
      <w:pPr>
        <w:tabs>
          <w:tab w:val="left" w:pos="540"/>
          <w:tab w:val="left" w:pos="569"/>
        </w:tabs>
        <w:jc w:val="both"/>
        <w:rPr>
          <w:bCs/>
          <w:sz w:val="22"/>
          <w:szCs w:val="22"/>
          <w:lang w:val="sr-Latn-ME"/>
        </w:rPr>
      </w:pPr>
    </w:p>
    <w:p w14:paraId="62DA62B7" w14:textId="544218CE" w:rsidR="007A033F" w:rsidRPr="006B58D8" w:rsidRDefault="007A033F" w:rsidP="0069371F">
      <w:pPr>
        <w:jc w:val="both"/>
        <w:rPr>
          <w:sz w:val="22"/>
          <w:szCs w:val="22"/>
          <w:lang w:val="sr-Latn-ME"/>
        </w:rPr>
      </w:pPr>
      <w:r w:rsidRPr="006B58D8">
        <w:rPr>
          <w:sz w:val="22"/>
          <w:szCs w:val="22"/>
          <w:lang w:val="sr-Latn-ME"/>
        </w:rPr>
        <w:t>Pacijente treba savjetovati da nikada ne koriste montelukast u terapiji akutnog napada astme i da za ovu svrhu imaju spremne odgovarajuće ljekove</w:t>
      </w:r>
      <w:r w:rsidR="00EB13FD" w:rsidRPr="006B58D8">
        <w:rPr>
          <w:sz w:val="22"/>
          <w:szCs w:val="22"/>
          <w:lang w:val="sr-Latn-ME"/>
        </w:rPr>
        <w:t>, namjenjene za ovu svrhu</w:t>
      </w:r>
      <w:r w:rsidRPr="006B58D8">
        <w:rPr>
          <w:sz w:val="22"/>
          <w:szCs w:val="22"/>
          <w:lang w:val="sr-Latn-ME"/>
        </w:rPr>
        <w:t xml:space="preserve">. Ukoliko se javi akutni napad, treba upotrijebiti kratkodelujući inhalacioni β-agonist. Pacijenti treba </w:t>
      </w:r>
      <w:r w:rsidR="00EB13FD" w:rsidRPr="006B58D8">
        <w:rPr>
          <w:sz w:val="22"/>
          <w:szCs w:val="22"/>
          <w:lang w:val="sr-Latn-ME"/>
        </w:rPr>
        <w:t xml:space="preserve">što prije </w:t>
      </w:r>
      <w:r w:rsidRPr="006B58D8">
        <w:rPr>
          <w:sz w:val="22"/>
          <w:szCs w:val="22"/>
          <w:lang w:val="sr-Latn-ME"/>
        </w:rPr>
        <w:t xml:space="preserve">da </w:t>
      </w:r>
      <w:r w:rsidR="00EB13FD" w:rsidRPr="006B58D8">
        <w:rPr>
          <w:sz w:val="22"/>
          <w:szCs w:val="22"/>
          <w:lang w:val="sr-Latn-ME"/>
        </w:rPr>
        <w:t>konsultuju</w:t>
      </w:r>
      <w:r w:rsidRPr="006B58D8">
        <w:rPr>
          <w:sz w:val="22"/>
          <w:szCs w:val="22"/>
          <w:lang w:val="sr-Latn-ME"/>
        </w:rPr>
        <w:t xml:space="preserve"> ljekara ukoliko im </w:t>
      </w:r>
      <w:r w:rsidR="00EB13FD" w:rsidRPr="006B58D8">
        <w:rPr>
          <w:sz w:val="22"/>
          <w:szCs w:val="22"/>
          <w:lang w:val="sr-Latn-ME"/>
        </w:rPr>
        <w:t xml:space="preserve">je potrebno da </w:t>
      </w:r>
      <w:r w:rsidRPr="006B58D8">
        <w:rPr>
          <w:sz w:val="22"/>
          <w:szCs w:val="22"/>
          <w:lang w:val="sr-Latn-ME"/>
        </w:rPr>
        <w:t xml:space="preserve">više </w:t>
      </w:r>
      <w:r w:rsidR="00EB13FD" w:rsidRPr="006B58D8">
        <w:rPr>
          <w:sz w:val="22"/>
          <w:szCs w:val="22"/>
          <w:lang w:val="sr-Latn-ME"/>
        </w:rPr>
        <w:t>puta inhaliraju kratkodelujuće</w:t>
      </w:r>
      <w:r w:rsidR="00EB13FD" w:rsidRPr="006B58D8" w:rsidDel="001B4139">
        <w:rPr>
          <w:sz w:val="22"/>
          <w:szCs w:val="22"/>
          <w:lang w:val="sr-Latn-ME"/>
        </w:rPr>
        <w:t xml:space="preserve"> </w:t>
      </w:r>
      <w:r w:rsidRPr="006B58D8">
        <w:rPr>
          <w:sz w:val="22"/>
          <w:szCs w:val="22"/>
          <w:lang w:val="sr-Latn-ME"/>
        </w:rPr>
        <w:t>β-</w:t>
      </w:r>
      <w:r w:rsidR="00EB13FD" w:rsidRPr="006B58D8">
        <w:rPr>
          <w:sz w:val="22"/>
          <w:szCs w:val="22"/>
          <w:lang w:val="sr-Latn-ME"/>
        </w:rPr>
        <w:t xml:space="preserve">agoniste </w:t>
      </w:r>
      <w:r w:rsidRPr="006B58D8">
        <w:rPr>
          <w:sz w:val="22"/>
          <w:szCs w:val="22"/>
          <w:lang w:val="sr-Latn-ME"/>
        </w:rPr>
        <w:t xml:space="preserve">nego što je </w:t>
      </w:r>
      <w:r w:rsidR="00EB13FD" w:rsidRPr="006B58D8">
        <w:rPr>
          <w:sz w:val="22"/>
          <w:szCs w:val="22"/>
          <w:lang w:val="sr-Latn-ME"/>
        </w:rPr>
        <w:t xml:space="preserve">to </w:t>
      </w:r>
      <w:r w:rsidRPr="006B58D8">
        <w:rPr>
          <w:sz w:val="22"/>
          <w:szCs w:val="22"/>
          <w:lang w:val="sr-Latn-ME"/>
        </w:rPr>
        <w:t xml:space="preserve">uobičajeno. </w:t>
      </w:r>
    </w:p>
    <w:p w14:paraId="6F09FAB1" w14:textId="77777777" w:rsidR="007A033F" w:rsidRPr="006B58D8" w:rsidRDefault="007A033F" w:rsidP="0069371F">
      <w:pPr>
        <w:jc w:val="both"/>
        <w:rPr>
          <w:sz w:val="22"/>
          <w:szCs w:val="22"/>
          <w:lang w:val="sr-Latn-ME"/>
        </w:rPr>
      </w:pPr>
      <w:r w:rsidRPr="006B58D8">
        <w:rPr>
          <w:sz w:val="22"/>
          <w:szCs w:val="22"/>
          <w:lang w:val="sr-Latn-ME"/>
        </w:rPr>
        <w:t xml:space="preserve">  </w:t>
      </w:r>
    </w:p>
    <w:p w14:paraId="6CE34DF0" w14:textId="77777777" w:rsidR="007A033F" w:rsidRPr="006B58D8" w:rsidRDefault="007A033F" w:rsidP="0069371F">
      <w:pPr>
        <w:pStyle w:val="Header"/>
        <w:tabs>
          <w:tab w:val="left" w:pos="284"/>
        </w:tabs>
        <w:jc w:val="both"/>
        <w:rPr>
          <w:sz w:val="22"/>
          <w:szCs w:val="22"/>
          <w:lang w:val="sr-Latn-ME" w:eastAsia="sr-Latn-CS"/>
        </w:rPr>
      </w:pPr>
      <w:r w:rsidRPr="006B58D8">
        <w:rPr>
          <w:sz w:val="22"/>
          <w:szCs w:val="22"/>
          <w:lang w:val="sr-Latn-ME" w:eastAsia="sr-Latn-CS"/>
        </w:rPr>
        <w:lastRenderedPageBreak/>
        <w:t xml:space="preserve">Inhalacioni ili oralni kortikosteroidi ne smiju biti naglo zamijenjeni montelukastom. </w:t>
      </w:r>
    </w:p>
    <w:p w14:paraId="7D28B463" w14:textId="6FD3C57B" w:rsidR="007A033F" w:rsidRPr="006B58D8" w:rsidRDefault="007A033F" w:rsidP="0069371F">
      <w:pPr>
        <w:jc w:val="both"/>
        <w:rPr>
          <w:sz w:val="22"/>
          <w:szCs w:val="22"/>
          <w:lang w:val="sr-Latn-ME"/>
        </w:rPr>
      </w:pPr>
      <w:r w:rsidRPr="006B58D8">
        <w:rPr>
          <w:sz w:val="22"/>
          <w:szCs w:val="22"/>
          <w:lang w:val="sr-Latn-ME"/>
        </w:rPr>
        <w:t xml:space="preserve"> </w:t>
      </w:r>
    </w:p>
    <w:p w14:paraId="1D9D452F" w14:textId="06BE710E" w:rsidR="007A033F" w:rsidRPr="006B58D8" w:rsidRDefault="007A033F" w:rsidP="0069371F">
      <w:pPr>
        <w:jc w:val="both"/>
        <w:rPr>
          <w:sz w:val="22"/>
          <w:szCs w:val="22"/>
          <w:lang w:val="sr-Latn-ME"/>
        </w:rPr>
      </w:pPr>
      <w:r w:rsidRPr="006B58D8">
        <w:rPr>
          <w:sz w:val="22"/>
          <w:szCs w:val="22"/>
          <w:lang w:val="sr-Latn-ME"/>
        </w:rPr>
        <w:t xml:space="preserve">Nema podataka koji pokazuju da doza oralnih kortikosteroida može biti smanjena kada se montelukast </w:t>
      </w:r>
      <w:r w:rsidR="00EB13FD" w:rsidRPr="006B58D8">
        <w:rPr>
          <w:sz w:val="22"/>
          <w:szCs w:val="22"/>
          <w:lang w:val="sr-Latn-ME"/>
        </w:rPr>
        <w:t xml:space="preserve">primjenjuje </w:t>
      </w:r>
      <w:r w:rsidRPr="006B58D8">
        <w:rPr>
          <w:sz w:val="22"/>
          <w:szCs w:val="22"/>
          <w:lang w:val="sr-Latn-ME"/>
        </w:rPr>
        <w:t>istovremeno.</w:t>
      </w:r>
    </w:p>
    <w:p w14:paraId="3573E26F" w14:textId="77777777" w:rsidR="007A033F" w:rsidRPr="006B58D8" w:rsidRDefault="007A033F" w:rsidP="0069371F">
      <w:pPr>
        <w:jc w:val="both"/>
        <w:rPr>
          <w:sz w:val="22"/>
          <w:szCs w:val="22"/>
          <w:lang w:val="sr-Latn-ME"/>
        </w:rPr>
      </w:pPr>
    </w:p>
    <w:p w14:paraId="39C2854E" w14:textId="06681BC9" w:rsidR="007A033F" w:rsidRPr="006B58D8" w:rsidRDefault="007A033F" w:rsidP="0069371F">
      <w:pPr>
        <w:pStyle w:val="Header"/>
        <w:tabs>
          <w:tab w:val="left" w:pos="284"/>
        </w:tabs>
        <w:jc w:val="both"/>
        <w:rPr>
          <w:sz w:val="22"/>
          <w:szCs w:val="22"/>
          <w:lang w:val="sr-Latn-ME" w:eastAsia="sr-Latn-CS"/>
        </w:rPr>
      </w:pPr>
      <w:r w:rsidRPr="006B58D8">
        <w:rPr>
          <w:sz w:val="22"/>
          <w:szCs w:val="22"/>
          <w:lang w:val="sr-Latn-ME"/>
        </w:rPr>
        <w:t xml:space="preserve">U rijetkim slučajevima, kod pacijenata na terapiji antiastmatičnim ljekovima, uključujući montelukast, može se javiti sistemska eozinofilija koju ponekad prate klinički znaci vaskulitisa, koji odgovaraju </w:t>
      </w:r>
      <w:r w:rsidRPr="006B58D8">
        <w:rPr>
          <w:i/>
          <w:sz w:val="22"/>
          <w:szCs w:val="22"/>
          <w:lang w:val="sr-Latn-ME"/>
        </w:rPr>
        <w:t>Churg-Strauss</w:t>
      </w:r>
      <w:r w:rsidRPr="006B58D8">
        <w:rPr>
          <w:sz w:val="22"/>
          <w:szCs w:val="22"/>
          <w:lang w:val="sr-Latn-ME"/>
        </w:rPr>
        <w:t xml:space="preserve"> sindromu, stanju koje se često liječi sistemskom prim</w:t>
      </w:r>
      <w:r w:rsidR="001252E7" w:rsidRPr="006B58D8">
        <w:rPr>
          <w:sz w:val="22"/>
          <w:szCs w:val="22"/>
          <w:lang w:val="sr-Latn-ME"/>
        </w:rPr>
        <w:t>j</w:t>
      </w:r>
      <w:r w:rsidRPr="006B58D8">
        <w:rPr>
          <w:sz w:val="22"/>
          <w:szCs w:val="22"/>
          <w:lang w:val="sr-Latn-ME"/>
        </w:rPr>
        <w:t>enom kortikosteroida. Ovakvi slučajevi su ponekad</w:t>
      </w:r>
      <w:r w:rsidR="00EB13FD" w:rsidRPr="006B58D8">
        <w:rPr>
          <w:sz w:val="22"/>
          <w:szCs w:val="22"/>
          <w:lang w:val="sr-Latn-ME"/>
        </w:rPr>
        <w:t>,</w:t>
      </w:r>
      <w:r w:rsidRPr="006B58D8">
        <w:rPr>
          <w:sz w:val="22"/>
          <w:szCs w:val="22"/>
          <w:lang w:val="sr-Latn-ME"/>
        </w:rPr>
        <w:t xml:space="preserve"> bili udruženi sa smanjenjem ili ukidanjem terapije oralnim kortikosteroidima. Iako uzročno poslijedična povezanost sa </w:t>
      </w:r>
      <w:r w:rsidR="00EB13FD" w:rsidRPr="006B58D8">
        <w:rPr>
          <w:sz w:val="22"/>
          <w:szCs w:val="22"/>
          <w:lang w:val="sr-Latn-ME"/>
        </w:rPr>
        <w:t xml:space="preserve">antagonistima leukotrijenskih </w:t>
      </w:r>
      <w:r w:rsidRPr="006B58D8">
        <w:rPr>
          <w:sz w:val="22"/>
          <w:szCs w:val="22"/>
          <w:lang w:val="sr-Latn-ME"/>
        </w:rPr>
        <w:t xml:space="preserve">receptora još nije </w:t>
      </w:r>
      <w:r w:rsidR="00EB13FD" w:rsidRPr="006B58D8">
        <w:rPr>
          <w:sz w:val="22"/>
          <w:szCs w:val="22"/>
          <w:lang w:val="sr-Latn-ME"/>
        </w:rPr>
        <w:t>utvrđena</w:t>
      </w:r>
      <w:r w:rsidRPr="006B58D8">
        <w:rPr>
          <w:sz w:val="22"/>
          <w:szCs w:val="22"/>
          <w:lang w:val="sr-Latn-ME"/>
        </w:rPr>
        <w:t xml:space="preserve">, ljekari treba da obrate pažnju na eozinofiliju, osip sa simptomima vaskulitisa, pogoršanje plućnih simptoma, kardiološke komplikacije i/ili neuropatiju, kada se pojave kod njihovih pacijenata. </w:t>
      </w:r>
      <w:r w:rsidRPr="006B58D8">
        <w:rPr>
          <w:sz w:val="22"/>
          <w:szCs w:val="22"/>
          <w:lang w:val="sr-Latn-ME" w:eastAsia="sr-Latn-CS"/>
        </w:rPr>
        <w:t>Pacijente kod kojih se razviju ovi simptomi treba ponovo pregledati i odrediti odgovarajuću terapiju.</w:t>
      </w:r>
    </w:p>
    <w:p w14:paraId="7680D806" w14:textId="77777777" w:rsidR="007A033F" w:rsidRPr="006B58D8" w:rsidRDefault="007A033F" w:rsidP="0069371F">
      <w:pPr>
        <w:jc w:val="both"/>
        <w:rPr>
          <w:sz w:val="22"/>
          <w:szCs w:val="22"/>
          <w:lang w:val="sr-Latn-ME"/>
        </w:rPr>
      </w:pPr>
    </w:p>
    <w:p w14:paraId="66443CB9" w14:textId="5A51D69D" w:rsidR="007A033F" w:rsidRPr="006B58D8" w:rsidRDefault="007A033F" w:rsidP="0049261C">
      <w:pPr>
        <w:jc w:val="both"/>
        <w:rPr>
          <w:bCs/>
          <w:sz w:val="22"/>
          <w:szCs w:val="22"/>
          <w:lang w:val="sr-Latn-ME"/>
        </w:rPr>
      </w:pPr>
      <w:r w:rsidRPr="006B58D8">
        <w:rPr>
          <w:sz w:val="22"/>
          <w:szCs w:val="22"/>
          <w:lang w:val="sr-Latn-ME"/>
        </w:rPr>
        <w:t xml:space="preserve">Terapija montelukastom ne </w:t>
      </w:r>
      <w:r w:rsidR="00EB13FD" w:rsidRPr="006B58D8">
        <w:rPr>
          <w:sz w:val="22"/>
          <w:szCs w:val="22"/>
          <w:lang w:val="sr-Latn-ME"/>
        </w:rPr>
        <w:t xml:space="preserve">mijenja </w:t>
      </w:r>
      <w:r w:rsidRPr="006B58D8">
        <w:rPr>
          <w:sz w:val="22"/>
          <w:szCs w:val="22"/>
          <w:lang w:val="sr-Latn-ME"/>
        </w:rPr>
        <w:t xml:space="preserve">potrebu pacijenata </w:t>
      </w:r>
      <w:r w:rsidR="00EB13FD" w:rsidRPr="006B58D8">
        <w:rPr>
          <w:sz w:val="22"/>
          <w:szCs w:val="22"/>
          <w:lang w:val="sr-Latn-ME"/>
        </w:rPr>
        <w:t xml:space="preserve">sa astmom osjetljivom na </w:t>
      </w:r>
      <w:r w:rsidRPr="006B58D8">
        <w:rPr>
          <w:sz w:val="22"/>
          <w:szCs w:val="22"/>
          <w:lang w:val="sr-Latn-ME"/>
        </w:rPr>
        <w:t>aspirin da izb</w:t>
      </w:r>
      <w:r w:rsidR="001252E7" w:rsidRPr="006B58D8">
        <w:rPr>
          <w:sz w:val="22"/>
          <w:szCs w:val="22"/>
          <w:lang w:val="sr-Latn-ME"/>
        </w:rPr>
        <w:t>j</w:t>
      </w:r>
      <w:r w:rsidRPr="006B58D8">
        <w:rPr>
          <w:sz w:val="22"/>
          <w:szCs w:val="22"/>
          <w:lang w:val="sr-Latn-ME"/>
        </w:rPr>
        <w:t>egavaju uzimanje aspirina i drugih</w:t>
      </w:r>
      <w:r w:rsidR="009878DA" w:rsidRPr="006B58D8">
        <w:rPr>
          <w:sz w:val="22"/>
          <w:szCs w:val="22"/>
          <w:lang w:val="sr-Latn-ME"/>
        </w:rPr>
        <w:t xml:space="preserve"> nesteroidnih</w:t>
      </w:r>
      <w:r w:rsidRPr="006B58D8">
        <w:rPr>
          <w:sz w:val="22"/>
          <w:szCs w:val="22"/>
          <w:lang w:val="sr-Latn-ME"/>
        </w:rPr>
        <w:t xml:space="preserve"> antiinflamatornih lekova.</w:t>
      </w:r>
    </w:p>
    <w:p w14:paraId="13F625D8" w14:textId="6D7E96E8" w:rsidR="00A4488F" w:rsidRPr="006B58D8" w:rsidDel="00A4488F" w:rsidRDefault="00A4488F" w:rsidP="0069371F">
      <w:pPr>
        <w:tabs>
          <w:tab w:val="left" w:pos="720"/>
        </w:tabs>
        <w:jc w:val="both"/>
        <w:rPr>
          <w:sz w:val="22"/>
          <w:szCs w:val="22"/>
          <w:lang w:val="sr-Latn-ME"/>
        </w:rPr>
      </w:pPr>
    </w:p>
    <w:tbl>
      <w:tblPr>
        <w:tblStyle w:val="TableGrid"/>
        <w:tblW w:w="0" w:type="auto"/>
        <w:tblInd w:w="0" w:type="dxa"/>
        <w:tblLook w:val="04A0" w:firstRow="1" w:lastRow="0" w:firstColumn="1" w:lastColumn="0" w:noHBand="0" w:noVBand="1"/>
      </w:tblPr>
      <w:tblGrid>
        <w:gridCol w:w="9061"/>
      </w:tblGrid>
      <w:tr w:rsidR="00A4488F" w:rsidRPr="006B58D8" w14:paraId="2CD26244" w14:textId="77777777" w:rsidTr="002E4651">
        <w:tc>
          <w:tcPr>
            <w:tcW w:w="9061" w:type="dxa"/>
            <w:tcBorders>
              <w:top w:val="single" w:sz="4" w:space="0" w:color="auto"/>
              <w:left w:val="single" w:sz="4" w:space="0" w:color="auto"/>
              <w:bottom w:val="single" w:sz="4" w:space="0" w:color="auto"/>
              <w:right w:val="single" w:sz="4" w:space="0" w:color="auto"/>
            </w:tcBorders>
            <w:hideMark/>
          </w:tcPr>
          <w:p w14:paraId="65168AA9" w14:textId="68353982" w:rsidR="00A4488F" w:rsidRPr="006B58D8" w:rsidRDefault="00A4488F" w:rsidP="0049261C">
            <w:pPr>
              <w:jc w:val="both"/>
              <w:rPr>
                <w:b/>
                <w:bCs/>
                <w:sz w:val="22"/>
                <w:szCs w:val="22"/>
                <w:lang w:val="sr-Latn-ME" w:eastAsia="en-GB"/>
              </w:rPr>
            </w:pPr>
            <w:r w:rsidRPr="006B58D8">
              <w:rPr>
                <w:b/>
                <w:bCs/>
                <w:sz w:val="22"/>
                <w:szCs w:val="22"/>
                <w:lang w:val="sr-Latn-ME" w:eastAsia="en-GB"/>
              </w:rPr>
              <w:t>Neuropsihijatrijski događaji, kao što su bihejvioralne promjene, depresija i suicidalnost, su prijavljene u svim starosnim grupama pacijenata koji su uzimali montekulakst (vidjeti dio 4.8). Simptomi mogu biti ozbiljni i mogu da se nastave ukoliko se terapija ne prekine. Zbog toga bi trebalo obustaviti primjenu montelukasta ukoliko tokom trajanja terapije dođe do pojave n</w:t>
            </w:r>
            <w:r w:rsidR="00891937" w:rsidRPr="006B58D8">
              <w:rPr>
                <w:b/>
                <w:bCs/>
                <w:sz w:val="22"/>
                <w:szCs w:val="22"/>
                <w:lang w:val="sr-Latn-ME" w:eastAsia="en-GB"/>
              </w:rPr>
              <w:t>e</w:t>
            </w:r>
            <w:r w:rsidRPr="006B58D8">
              <w:rPr>
                <w:b/>
                <w:bCs/>
                <w:sz w:val="22"/>
                <w:szCs w:val="22"/>
                <w:lang w:val="sr-Latn-ME" w:eastAsia="en-GB"/>
              </w:rPr>
              <w:t>uropsihijatrijskih simptoma. Posavjetujte pacijente i/ili njegovatelje da obrate pažnju na pojavu neuropsihijatrijskih događaja i kažite im da obavijeste svog ljekara ukoliko se jave ove promjene u ponašanju.</w:t>
            </w:r>
          </w:p>
        </w:tc>
      </w:tr>
    </w:tbl>
    <w:p w14:paraId="35D74F86" w14:textId="77777777" w:rsidR="00057E35" w:rsidRPr="006B58D8" w:rsidRDefault="00057E35" w:rsidP="0069371F">
      <w:pPr>
        <w:tabs>
          <w:tab w:val="left" w:pos="540"/>
          <w:tab w:val="left" w:pos="569"/>
        </w:tabs>
        <w:jc w:val="both"/>
        <w:rPr>
          <w:bCs/>
          <w:sz w:val="22"/>
          <w:szCs w:val="22"/>
          <w:lang w:val="sr-Latn-ME"/>
        </w:rPr>
      </w:pPr>
    </w:p>
    <w:p w14:paraId="3B024803" w14:textId="77777777" w:rsidR="00A4488F" w:rsidRPr="006B58D8" w:rsidRDefault="00A4488F" w:rsidP="00A4488F">
      <w:pPr>
        <w:tabs>
          <w:tab w:val="left" w:pos="540"/>
          <w:tab w:val="left" w:pos="569"/>
        </w:tabs>
        <w:jc w:val="both"/>
        <w:rPr>
          <w:bCs/>
          <w:sz w:val="22"/>
          <w:szCs w:val="22"/>
          <w:u w:val="single"/>
          <w:lang w:val="sr-Latn-ME"/>
        </w:rPr>
      </w:pPr>
      <w:r w:rsidRPr="006B58D8">
        <w:rPr>
          <w:bCs/>
          <w:sz w:val="22"/>
          <w:szCs w:val="22"/>
          <w:u w:val="single"/>
          <w:lang w:val="sr-Latn-ME"/>
        </w:rPr>
        <w:t>Aspartam</w:t>
      </w:r>
    </w:p>
    <w:p w14:paraId="6191717B" w14:textId="77777777" w:rsidR="00A4488F" w:rsidRPr="006B58D8" w:rsidRDefault="00A4488F" w:rsidP="00A4488F">
      <w:pPr>
        <w:tabs>
          <w:tab w:val="left" w:pos="540"/>
          <w:tab w:val="left" w:pos="569"/>
        </w:tabs>
        <w:jc w:val="both"/>
        <w:rPr>
          <w:bCs/>
          <w:sz w:val="22"/>
          <w:szCs w:val="22"/>
          <w:lang w:val="sr-Latn-ME"/>
        </w:rPr>
      </w:pPr>
      <w:r w:rsidRPr="006B58D8">
        <w:rPr>
          <w:bCs/>
          <w:sz w:val="22"/>
          <w:szCs w:val="22"/>
          <w:lang w:val="sr-Latn-ME"/>
        </w:rPr>
        <w:t xml:space="preserve">Lijek Singulair sadrži aspartam, izvor fenilalanina. Svaka tableta za žvakanje od 5 mg sadrži 1,5 mg aspartama, što je ekvivalentno količini od 0,842 mg fenilalanina po dozi. Ovo može imati štetan efekat po pacijente sa fenilketonurijom. </w:t>
      </w:r>
    </w:p>
    <w:p w14:paraId="23BB6615" w14:textId="77777777" w:rsidR="00A4488F" w:rsidRPr="006B58D8" w:rsidRDefault="00A4488F" w:rsidP="00A4488F">
      <w:pPr>
        <w:tabs>
          <w:tab w:val="left" w:pos="540"/>
          <w:tab w:val="left" w:pos="569"/>
        </w:tabs>
        <w:jc w:val="both"/>
        <w:rPr>
          <w:bCs/>
          <w:sz w:val="22"/>
          <w:szCs w:val="22"/>
          <w:lang w:val="sr-Latn-ME"/>
        </w:rPr>
      </w:pPr>
    </w:p>
    <w:p w14:paraId="67480AC5" w14:textId="77777777" w:rsidR="00A4488F" w:rsidRPr="006B58D8" w:rsidRDefault="00A4488F" w:rsidP="00A4488F">
      <w:pPr>
        <w:tabs>
          <w:tab w:val="left" w:pos="540"/>
          <w:tab w:val="left" w:pos="569"/>
        </w:tabs>
        <w:jc w:val="both"/>
        <w:rPr>
          <w:bCs/>
          <w:sz w:val="22"/>
          <w:szCs w:val="22"/>
          <w:u w:val="single"/>
          <w:lang w:val="sr-Latn-ME"/>
        </w:rPr>
      </w:pPr>
      <w:r w:rsidRPr="006B58D8">
        <w:rPr>
          <w:bCs/>
          <w:sz w:val="22"/>
          <w:szCs w:val="22"/>
          <w:u w:val="single"/>
          <w:lang w:val="sr-Latn-ME"/>
        </w:rPr>
        <w:t>Natrijum</w:t>
      </w:r>
    </w:p>
    <w:p w14:paraId="51D20AEC" w14:textId="6652EE37" w:rsidR="00A4488F" w:rsidRPr="006B58D8" w:rsidRDefault="00A4488F" w:rsidP="00A4488F">
      <w:pPr>
        <w:tabs>
          <w:tab w:val="left" w:pos="540"/>
          <w:tab w:val="left" w:pos="569"/>
        </w:tabs>
        <w:jc w:val="both"/>
        <w:rPr>
          <w:bCs/>
          <w:sz w:val="22"/>
          <w:szCs w:val="22"/>
          <w:lang w:val="sr-Latn-ME"/>
        </w:rPr>
      </w:pPr>
      <w:r w:rsidRPr="006B58D8">
        <w:rPr>
          <w:bCs/>
          <w:sz w:val="22"/>
          <w:szCs w:val="22"/>
          <w:lang w:val="sr-Latn-ME"/>
        </w:rPr>
        <w:t xml:space="preserve">Ovaj lijek sadrži manje od 1 mmol (23 mg) natrijuma po tableti, odnosno suštinski je </w:t>
      </w:r>
      <w:r w:rsidR="006242DF" w:rsidRPr="006B58D8">
        <w:rPr>
          <w:bCs/>
          <w:sz w:val="22"/>
          <w:szCs w:val="22"/>
          <w:lang w:val="sr-Latn-ME"/>
        </w:rPr>
        <w:t>„</w:t>
      </w:r>
      <w:r w:rsidRPr="006B58D8">
        <w:rPr>
          <w:bCs/>
          <w:sz w:val="22"/>
          <w:szCs w:val="22"/>
          <w:lang w:val="sr-Latn-ME"/>
        </w:rPr>
        <w:t>bez natrijuma</w:t>
      </w:r>
      <w:r w:rsidR="006242DF" w:rsidRPr="006B58D8">
        <w:rPr>
          <w:bCs/>
          <w:sz w:val="22"/>
          <w:szCs w:val="22"/>
          <w:lang w:val="sr-Latn-ME"/>
        </w:rPr>
        <w:t>“</w:t>
      </w:r>
      <w:r w:rsidRPr="006B58D8">
        <w:rPr>
          <w:bCs/>
          <w:sz w:val="22"/>
          <w:szCs w:val="22"/>
          <w:lang w:val="sr-Latn-ME"/>
        </w:rPr>
        <w:t>.</w:t>
      </w:r>
    </w:p>
    <w:p w14:paraId="01F9D408" w14:textId="77777777" w:rsidR="00A4488F" w:rsidRPr="006B58D8" w:rsidRDefault="00A4488F" w:rsidP="00A4488F">
      <w:pPr>
        <w:tabs>
          <w:tab w:val="left" w:pos="540"/>
          <w:tab w:val="left" w:pos="569"/>
        </w:tabs>
        <w:jc w:val="both"/>
        <w:rPr>
          <w:bCs/>
          <w:sz w:val="22"/>
          <w:szCs w:val="22"/>
          <w:lang w:val="sr-Latn-ME"/>
        </w:rPr>
      </w:pPr>
    </w:p>
    <w:p w14:paraId="6847F7A4" w14:textId="77777777" w:rsidR="00A4488F" w:rsidRPr="006B58D8" w:rsidRDefault="00A4488F" w:rsidP="00A4488F">
      <w:pPr>
        <w:tabs>
          <w:tab w:val="left" w:pos="540"/>
          <w:tab w:val="left" w:pos="569"/>
        </w:tabs>
        <w:jc w:val="both"/>
        <w:rPr>
          <w:bCs/>
          <w:sz w:val="22"/>
          <w:szCs w:val="22"/>
          <w:u w:val="single"/>
          <w:lang w:val="sr-Latn-ME"/>
        </w:rPr>
      </w:pPr>
      <w:r w:rsidRPr="006B58D8">
        <w:rPr>
          <w:bCs/>
          <w:sz w:val="22"/>
          <w:szCs w:val="22"/>
          <w:u w:val="single"/>
          <w:lang w:val="sr-Latn-ME"/>
        </w:rPr>
        <w:t>Benzil alkohol</w:t>
      </w:r>
    </w:p>
    <w:p w14:paraId="2BF44C63" w14:textId="77777777" w:rsidR="00A4488F" w:rsidRPr="006B58D8" w:rsidRDefault="00A4488F" w:rsidP="00A4488F">
      <w:pPr>
        <w:tabs>
          <w:tab w:val="left" w:pos="540"/>
          <w:tab w:val="left" w:pos="569"/>
        </w:tabs>
        <w:jc w:val="both"/>
        <w:rPr>
          <w:bCs/>
          <w:sz w:val="22"/>
          <w:szCs w:val="22"/>
          <w:lang w:val="sr-Latn-ME"/>
        </w:rPr>
      </w:pPr>
      <w:r w:rsidRPr="006B58D8">
        <w:rPr>
          <w:bCs/>
          <w:sz w:val="22"/>
          <w:szCs w:val="22"/>
          <w:lang w:val="sr-Latn-ME"/>
        </w:rPr>
        <w:t>Ovaj lijek sadrži do 0,45 mg benzil alkohola po tableti. Benzil alkohol može izazvati alergijske reakcije.</w:t>
      </w:r>
    </w:p>
    <w:p w14:paraId="7E309D5F" w14:textId="56233B78" w:rsidR="00A4488F" w:rsidRPr="006B58D8" w:rsidRDefault="00A4488F" w:rsidP="00A4488F">
      <w:pPr>
        <w:tabs>
          <w:tab w:val="left" w:pos="540"/>
          <w:tab w:val="left" w:pos="569"/>
        </w:tabs>
        <w:jc w:val="both"/>
        <w:rPr>
          <w:bCs/>
          <w:sz w:val="22"/>
          <w:szCs w:val="22"/>
          <w:lang w:val="sr-Latn-ME"/>
        </w:rPr>
      </w:pPr>
      <w:r w:rsidRPr="006B58D8">
        <w:rPr>
          <w:bCs/>
          <w:sz w:val="22"/>
          <w:szCs w:val="22"/>
          <w:lang w:val="sr-Latn-ME"/>
        </w:rPr>
        <w:t>Velike količine treba primjenjivati sa oprezom i samo ukoliko je to neophodno, naročito kod pojedinaca sa oštećenjem funkcije jetre ili bubrega, kao i trudnica i dojilja, zbog rizika od akumulacije i toksičnosti (metabolička acidoza).</w:t>
      </w:r>
    </w:p>
    <w:p w14:paraId="58C0682C" w14:textId="77777777" w:rsidR="00A4488F" w:rsidRPr="006B58D8" w:rsidRDefault="00A4488F" w:rsidP="00A4488F">
      <w:pPr>
        <w:tabs>
          <w:tab w:val="left" w:pos="540"/>
          <w:tab w:val="left" w:pos="569"/>
        </w:tabs>
        <w:jc w:val="both"/>
        <w:rPr>
          <w:bCs/>
          <w:sz w:val="22"/>
          <w:szCs w:val="22"/>
          <w:lang w:val="sr-Latn-ME"/>
        </w:rPr>
      </w:pPr>
    </w:p>
    <w:p w14:paraId="20128A98" w14:textId="34E58A27" w:rsidR="00411B4B" w:rsidRPr="006B58D8" w:rsidRDefault="00411B4B" w:rsidP="0069371F">
      <w:pPr>
        <w:tabs>
          <w:tab w:val="left" w:pos="540"/>
          <w:tab w:val="left" w:pos="569"/>
        </w:tabs>
        <w:jc w:val="both"/>
        <w:rPr>
          <w:b/>
          <w:bCs/>
          <w:sz w:val="22"/>
          <w:szCs w:val="22"/>
          <w:lang w:val="sr-Latn-ME"/>
        </w:rPr>
      </w:pPr>
      <w:r w:rsidRPr="006B58D8">
        <w:rPr>
          <w:b/>
          <w:bCs/>
          <w:sz w:val="22"/>
          <w:szCs w:val="22"/>
          <w:lang w:val="sr-Latn-ME"/>
        </w:rPr>
        <w:t>4.5.</w:t>
      </w:r>
      <w:r w:rsidR="001252E7" w:rsidRPr="006B58D8">
        <w:rPr>
          <w:b/>
          <w:bCs/>
          <w:sz w:val="22"/>
          <w:szCs w:val="22"/>
          <w:lang w:val="sr-Latn-ME"/>
        </w:rPr>
        <w:t xml:space="preserve"> </w:t>
      </w:r>
      <w:r w:rsidRPr="006B58D8">
        <w:rPr>
          <w:b/>
          <w:bCs/>
          <w:sz w:val="22"/>
          <w:szCs w:val="22"/>
          <w:lang w:val="sr-Latn-ME"/>
        </w:rPr>
        <w:t>Interakcije sa drugim ljekovima i druge vrste interakcija</w:t>
      </w:r>
    </w:p>
    <w:p w14:paraId="025BA491" w14:textId="105D4EE4" w:rsidR="0072020E" w:rsidRPr="006B58D8" w:rsidRDefault="0072020E" w:rsidP="0069371F">
      <w:pPr>
        <w:tabs>
          <w:tab w:val="left" w:pos="540"/>
          <w:tab w:val="left" w:pos="569"/>
        </w:tabs>
        <w:jc w:val="both"/>
        <w:rPr>
          <w:bCs/>
          <w:sz w:val="22"/>
          <w:szCs w:val="22"/>
          <w:lang w:val="sr-Latn-ME"/>
        </w:rPr>
      </w:pPr>
    </w:p>
    <w:p w14:paraId="5F331743" w14:textId="351143A6" w:rsidR="007A033F" w:rsidRPr="006B58D8" w:rsidRDefault="007A033F" w:rsidP="0069371F">
      <w:pPr>
        <w:jc w:val="both"/>
        <w:rPr>
          <w:sz w:val="22"/>
          <w:szCs w:val="22"/>
          <w:lang w:val="sr-Latn-ME"/>
        </w:rPr>
      </w:pPr>
      <w:r w:rsidRPr="006B58D8">
        <w:rPr>
          <w:sz w:val="22"/>
          <w:szCs w:val="22"/>
          <w:lang w:val="sr-Latn-ME"/>
        </w:rPr>
        <w:t xml:space="preserve">Montelukast se može </w:t>
      </w:r>
      <w:r w:rsidR="00FC0364" w:rsidRPr="006B58D8">
        <w:rPr>
          <w:sz w:val="22"/>
          <w:szCs w:val="22"/>
          <w:lang w:val="sr-Latn-ME"/>
        </w:rPr>
        <w:t>prim</w:t>
      </w:r>
      <w:r w:rsidR="005F2F59" w:rsidRPr="006B58D8">
        <w:rPr>
          <w:sz w:val="22"/>
          <w:szCs w:val="22"/>
          <w:lang w:val="sr-Latn-ME"/>
        </w:rPr>
        <w:t>jenjivati</w:t>
      </w:r>
      <w:r w:rsidR="00FC0364" w:rsidRPr="006B58D8">
        <w:rPr>
          <w:sz w:val="22"/>
          <w:szCs w:val="22"/>
          <w:lang w:val="sr-Latn-ME"/>
        </w:rPr>
        <w:t xml:space="preserve"> </w:t>
      </w:r>
      <w:r w:rsidRPr="006B58D8">
        <w:rPr>
          <w:sz w:val="22"/>
          <w:szCs w:val="22"/>
          <w:lang w:val="sr-Latn-ME"/>
        </w:rPr>
        <w:t>sa ostalim ljekovima</w:t>
      </w:r>
      <w:r w:rsidR="005F2F59" w:rsidRPr="006B58D8">
        <w:rPr>
          <w:sz w:val="22"/>
          <w:szCs w:val="22"/>
          <w:lang w:val="sr-Latn-ME"/>
        </w:rPr>
        <w:t xml:space="preserve"> koji se</w:t>
      </w:r>
      <w:r w:rsidRPr="006B58D8">
        <w:rPr>
          <w:sz w:val="22"/>
          <w:szCs w:val="22"/>
          <w:lang w:val="sr-Latn-ME"/>
        </w:rPr>
        <w:t xml:space="preserve"> rutinski </w:t>
      </w:r>
      <w:r w:rsidR="005F2F59" w:rsidRPr="006B58D8">
        <w:rPr>
          <w:sz w:val="22"/>
          <w:szCs w:val="22"/>
          <w:lang w:val="sr-Latn-ME"/>
        </w:rPr>
        <w:t xml:space="preserve">koriste </w:t>
      </w:r>
      <w:r w:rsidRPr="006B58D8">
        <w:rPr>
          <w:sz w:val="22"/>
          <w:szCs w:val="22"/>
          <w:lang w:val="sr-Latn-ME"/>
        </w:rPr>
        <w:t>u profilaksi i hroničnom liječenju astme. U istraživanjima interakcija između ljekova, preporučena klinička doza montelukasta nije imala klinički značajne efekte na farmakokinetiku sljedećih ljekova: teofilina, prednizona, prednizolona, oralnih kontraceptiva (etinil estradiol/noretindron 35/1), terfenadina, digoksina i varfarina.</w:t>
      </w:r>
    </w:p>
    <w:p w14:paraId="46105BA7" w14:textId="77777777" w:rsidR="007A033F" w:rsidRPr="006B58D8" w:rsidRDefault="007A033F" w:rsidP="0069371F">
      <w:pPr>
        <w:jc w:val="both"/>
        <w:rPr>
          <w:sz w:val="22"/>
          <w:szCs w:val="22"/>
          <w:lang w:val="sr-Latn-ME"/>
        </w:rPr>
      </w:pPr>
    </w:p>
    <w:p w14:paraId="7C98E83C" w14:textId="22721C02" w:rsidR="007A033F" w:rsidRPr="006B58D8" w:rsidRDefault="007A033F" w:rsidP="0069371F">
      <w:pPr>
        <w:jc w:val="both"/>
        <w:rPr>
          <w:sz w:val="22"/>
          <w:szCs w:val="22"/>
          <w:lang w:val="sr-Latn-ME"/>
        </w:rPr>
      </w:pPr>
      <w:r w:rsidRPr="006B58D8">
        <w:rPr>
          <w:sz w:val="22"/>
          <w:szCs w:val="22"/>
          <w:lang w:val="sr-Latn-ME"/>
        </w:rPr>
        <w:t xml:space="preserve">Površina ispod krive </w:t>
      </w:r>
      <w:r w:rsidR="008C4C69" w:rsidRPr="006B58D8">
        <w:rPr>
          <w:sz w:val="22"/>
          <w:szCs w:val="22"/>
          <w:lang w:val="sr-Latn-ME"/>
        </w:rPr>
        <w:t xml:space="preserve">(PIK) </w:t>
      </w:r>
      <w:r w:rsidRPr="006B58D8">
        <w:rPr>
          <w:sz w:val="22"/>
          <w:szCs w:val="22"/>
          <w:lang w:val="sr-Latn-ME"/>
        </w:rPr>
        <w:t xml:space="preserve">za montelukast </w:t>
      </w:r>
      <w:r w:rsidR="008C4C69" w:rsidRPr="006B58D8">
        <w:rPr>
          <w:sz w:val="22"/>
          <w:szCs w:val="22"/>
          <w:lang w:val="sr-Latn-ME"/>
        </w:rPr>
        <w:t xml:space="preserve">je smanjena </w:t>
      </w:r>
      <w:r w:rsidRPr="006B58D8">
        <w:rPr>
          <w:sz w:val="22"/>
          <w:szCs w:val="22"/>
          <w:lang w:val="sr-Latn-ME"/>
        </w:rPr>
        <w:t xml:space="preserve">za </w:t>
      </w:r>
      <w:r w:rsidR="008C4C69" w:rsidRPr="006B58D8">
        <w:rPr>
          <w:sz w:val="22"/>
          <w:szCs w:val="22"/>
          <w:lang w:val="sr-Latn-ME"/>
        </w:rPr>
        <w:t xml:space="preserve">oko </w:t>
      </w:r>
      <w:r w:rsidRPr="006B58D8">
        <w:rPr>
          <w:sz w:val="22"/>
          <w:szCs w:val="22"/>
          <w:lang w:val="sr-Latn-ME"/>
        </w:rPr>
        <w:t xml:space="preserve">40% kod </w:t>
      </w:r>
      <w:r w:rsidR="008C4C69" w:rsidRPr="006B58D8">
        <w:rPr>
          <w:sz w:val="22"/>
          <w:szCs w:val="22"/>
          <w:lang w:val="sr-Latn-ME"/>
        </w:rPr>
        <w:t xml:space="preserve">pacijenata </w:t>
      </w:r>
      <w:r w:rsidRPr="006B58D8">
        <w:rPr>
          <w:sz w:val="22"/>
          <w:szCs w:val="22"/>
          <w:lang w:val="sr-Latn-ME"/>
        </w:rPr>
        <w:t>koj</w:t>
      </w:r>
      <w:r w:rsidR="008C4C69" w:rsidRPr="006B58D8">
        <w:rPr>
          <w:sz w:val="22"/>
          <w:szCs w:val="22"/>
          <w:lang w:val="sr-Latn-ME"/>
        </w:rPr>
        <w:t>ima</w:t>
      </w:r>
      <w:r w:rsidRPr="006B58D8">
        <w:rPr>
          <w:sz w:val="22"/>
          <w:szCs w:val="22"/>
          <w:lang w:val="sr-Latn-ME"/>
        </w:rPr>
        <w:t xml:space="preserve"> s</w:t>
      </w:r>
      <w:r w:rsidR="008C4C69" w:rsidRPr="006B58D8">
        <w:rPr>
          <w:sz w:val="22"/>
          <w:szCs w:val="22"/>
          <w:lang w:val="sr-Latn-ME"/>
        </w:rPr>
        <w:t>e</w:t>
      </w:r>
      <w:r w:rsidRPr="006B58D8">
        <w:rPr>
          <w:sz w:val="22"/>
          <w:szCs w:val="22"/>
          <w:lang w:val="sr-Latn-ME"/>
        </w:rPr>
        <w:t xml:space="preserve"> istovremeno </w:t>
      </w:r>
      <w:r w:rsidR="008C4C69" w:rsidRPr="006B58D8">
        <w:rPr>
          <w:sz w:val="22"/>
          <w:szCs w:val="22"/>
          <w:lang w:val="sr-Latn-ME"/>
        </w:rPr>
        <w:t xml:space="preserve">daje </w:t>
      </w:r>
      <w:r w:rsidRPr="006B58D8">
        <w:rPr>
          <w:sz w:val="22"/>
          <w:szCs w:val="22"/>
          <w:lang w:val="sr-Latn-ME"/>
        </w:rPr>
        <w:t xml:space="preserve">fenobarbital. </w:t>
      </w:r>
      <w:r w:rsidR="0069188F" w:rsidRPr="006B58D8">
        <w:rPr>
          <w:sz w:val="22"/>
          <w:szCs w:val="22"/>
          <w:lang w:val="sr-Latn-ME"/>
        </w:rPr>
        <w:t>Obzirom da se</w:t>
      </w:r>
      <w:r w:rsidRPr="006B58D8">
        <w:rPr>
          <w:sz w:val="22"/>
          <w:szCs w:val="22"/>
          <w:lang w:val="sr-Latn-ME"/>
        </w:rPr>
        <w:t xml:space="preserve"> montelukast metaboliše </w:t>
      </w:r>
      <w:r w:rsidR="0069188F" w:rsidRPr="006B58D8">
        <w:rPr>
          <w:sz w:val="22"/>
          <w:szCs w:val="22"/>
          <w:lang w:val="sr-Latn-ME"/>
        </w:rPr>
        <w:t xml:space="preserve">posredstvom enzima </w:t>
      </w:r>
      <w:r w:rsidRPr="006B58D8">
        <w:rPr>
          <w:sz w:val="22"/>
          <w:szCs w:val="22"/>
          <w:lang w:val="sr-Latn-ME"/>
        </w:rPr>
        <w:t>CYP 3A4, 2C8 i 2C9</w:t>
      </w:r>
      <w:r w:rsidR="0069188F" w:rsidRPr="006B58D8">
        <w:rPr>
          <w:sz w:val="22"/>
          <w:szCs w:val="22"/>
          <w:lang w:val="sr-Latn-ME"/>
        </w:rPr>
        <w:t xml:space="preserve"> posebnu pažnju</w:t>
      </w:r>
      <w:r w:rsidR="00763D61" w:rsidRPr="006B58D8">
        <w:rPr>
          <w:sz w:val="22"/>
          <w:szCs w:val="22"/>
          <w:lang w:val="sr-Latn-ME"/>
        </w:rPr>
        <w:t xml:space="preserve"> treba obratiti</w:t>
      </w:r>
      <w:r w:rsidRPr="006B58D8">
        <w:rPr>
          <w:sz w:val="22"/>
          <w:szCs w:val="22"/>
          <w:lang w:val="sr-Latn-ME"/>
        </w:rPr>
        <w:t xml:space="preserve"> kod djece </w:t>
      </w:r>
      <w:r w:rsidR="00763D61" w:rsidRPr="006B58D8">
        <w:rPr>
          <w:sz w:val="22"/>
          <w:szCs w:val="22"/>
          <w:lang w:val="sr-Latn-ME"/>
        </w:rPr>
        <w:t xml:space="preserve">kod koje </w:t>
      </w:r>
      <w:r w:rsidRPr="006B58D8">
        <w:rPr>
          <w:sz w:val="22"/>
          <w:szCs w:val="22"/>
          <w:lang w:val="sr-Latn-ME"/>
        </w:rPr>
        <w:t xml:space="preserve">se montelukast daje </w:t>
      </w:r>
      <w:r w:rsidR="00763D61" w:rsidRPr="006B58D8">
        <w:rPr>
          <w:sz w:val="22"/>
          <w:szCs w:val="22"/>
          <w:lang w:val="sr-Latn-ME"/>
        </w:rPr>
        <w:t xml:space="preserve">uporedo </w:t>
      </w:r>
      <w:r w:rsidRPr="006B58D8">
        <w:rPr>
          <w:sz w:val="22"/>
          <w:szCs w:val="22"/>
          <w:lang w:val="sr-Latn-ME"/>
        </w:rPr>
        <w:t>sa induktorima CYP 3A4, 2C8 i 2C9 kao što su fenitoin, fenobarbital i rifampicin.</w:t>
      </w:r>
    </w:p>
    <w:p w14:paraId="11124C72" w14:textId="77777777" w:rsidR="007A033F" w:rsidRPr="006B58D8" w:rsidRDefault="007A033F" w:rsidP="0069371F">
      <w:pPr>
        <w:jc w:val="both"/>
        <w:rPr>
          <w:sz w:val="22"/>
          <w:szCs w:val="22"/>
          <w:lang w:val="sr-Latn-ME"/>
        </w:rPr>
      </w:pPr>
    </w:p>
    <w:p w14:paraId="0085F559" w14:textId="55FDDFE6" w:rsidR="007A033F" w:rsidRPr="006B58D8" w:rsidRDefault="000F20CF" w:rsidP="0069371F">
      <w:pPr>
        <w:jc w:val="both"/>
        <w:rPr>
          <w:sz w:val="22"/>
          <w:szCs w:val="22"/>
          <w:lang w:val="sr-Latn-ME"/>
        </w:rPr>
      </w:pPr>
      <w:r w:rsidRPr="006B58D8">
        <w:rPr>
          <w:i/>
          <w:sz w:val="22"/>
          <w:szCs w:val="22"/>
          <w:lang w:val="sr-Latn-ME"/>
        </w:rPr>
        <w:t>I</w:t>
      </w:r>
      <w:r w:rsidR="007A033F" w:rsidRPr="006B58D8">
        <w:rPr>
          <w:i/>
          <w:sz w:val="22"/>
          <w:szCs w:val="22"/>
          <w:lang w:val="sr-Latn-ME"/>
        </w:rPr>
        <w:t>n vitro</w:t>
      </w:r>
      <w:r w:rsidR="007A033F" w:rsidRPr="006B58D8">
        <w:rPr>
          <w:sz w:val="22"/>
          <w:szCs w:val="22"/>
          <w:lang w:val="sr-Latn-ME"/>
        </w:rPr>
        <w:t xml:space="preserve"> </w:t>
      </w:r>
      <w:r w:rsidRPr="006B58D8">
        <w:rPr>
          <w:sz w:val="22"/>
          <w:szCs w:val="22"/>
          <w:lang w:val="sr-Latn-ME"/>
        </w:rPr>
        <w:t xml:space="preserve">studije </w:t>
      </w:r>
      <w:r w:rsidR="007A033F" w:rsidRPr="006B58D8">
        <w:rPr>
          <w:sz w:val="22"/>
          <w:szCs w:val="22"/>
          <w:lang w:val="sr-Latn-ME"/>
        </w:rPr>
        <w:t>su pokazal</w:t>
      </w:r>
      <w:r w:rsidRPr="006B58D8">
        <w:rPr>
          <w:sz w:val="22"/>
          <w:szCs w:val="22"/>
          <w:lang w:val="sr-Latn-ME"/>
        </w:rPr>
        <w:t>e</w:t>
      </w:r>
      <w:r w:rsidR="007A033F" w:rsidRPr="006B58D8">
        <w:rPr>
          <w:sz w:val="22"/>
          <w:szCs w:val="22"/>
          <w:lang w:val="sr-Latn-ME"/>
        </w:rPr>
        <w:t xml:space="preserve"> da je montelukast snažan inhibitor CYP 2C8. Međutim, podaci </w:t>
      </w:r>
      <w:r w:rsidR="003A28AB" w:rsidRPr="006B58D8">
        <w:rPr>
          <w:sz w:val="22"/>
          <w:szCs w:val="22"/>
          <w:lang w:val="sr-Latn-ME"/>
        </w:rPr>
        <w:t>o kliničkoj interakciji ljekova koji se odnose na</w:t>
      </w:r>
      <w:r w:rsidR="007A033F" w:rsidRPr="006B58D8">
        <w:rPr>
          <w:sz w:val="22"/>
          <w:szCs w:val="22"/>
          <w:lang w:val="sr-Latn-ME"/>
        </w:rPr>
        <w:t xml:space="preserve"> montelukast i rosiglitiazon (</w:t>
      </w:r>
      <w:r w:rsidR="003A3AC6" w:rsidRPr="006B58D8">
        <w:rPr>
          <w:sz w:val="22"/>
          <w:szCs w:val="22"/>
          <w:lang w:val="sr-Latn-ME"/>
        </w:rPr>
        <w:t>predstavnik</w:t>
      </w:r>
      <w:r w:rsidR="007A033F" w:rsidRPr="006B58D8">
        <w:rPr>
          <w:sz w:val="22"/>
          <w:szCs w:val="22"/>
          <w:lang w:val="sr-Latn-ME"/>
        </w:rPr>
        <w:t xml:space="preserve"> l</w:t>
      </w:r>
      <w:r w:rsidR="00863F80" w:rsidRPr="006B58D8">
        <w:rPr>
          <w:sz w:val="22"/>
          <w:szCs w:val="22"/>
          <w:lang w:val="sr-Latn-ME"/>
        </w:rPr>
        <w:t>ij</w:t>
      </w:r>
      <w:r w:rsidR="007A033F" w:rsidRPr="006B58D8">
        <w:rPr>
          <w:sz w:val="22"/>
          <w:szCs w:val="22"/>
          <w:lang w:val="sr-Latn-ME"/>
        </w:rPr>
        <w:t>ek</w:t>
      </w:r>
      <w:r w:rsidR="003A3AC6" w:rsidRPr="006B58D8">
        <w:rPr>
          <w:sz w:val="22"/>
          <w:szCs w:val="22"/>
          <w:lang w:val="sr-Latn-ME"/>
        </w:rPr>
        <w:t>ova</w:t>
      </w:r>
      <w:r w:rsidR="007A033F" w:rsidRPr="006B58D8">
        <w:rPr>
          <w:sz w:val="22"/>
          <w:szCs w:val="22"/>
          <w:lang w:val="sr-Latn-ME"/>
        </w:rPr>
        <w:t xml:space="preserve"> koji se metaboliš</w:t>
      </w:r>
      <w:r w:rsidR="003A3AC6" w:rsidRPr="006B58D8">
        <w:rPr>
          <w:sz w:val="22"/>
          <w:szCs w:val="22"/>
          <w:lang w:val="sr-Latn-ME"/>
        </w:rPr>
        <w:t>u</w:t>
      </w:r>
      <w:r w:rsidR="007A033F" w:rsidRPr="006B58D8">
        <w:rPr>
          <w:sz w:val="22"/>
          <w:szCs w:val="22"/>
          <w:lang w:val="sr-Latn-ME"/>
        </w:rPr>
        <w:t xml:space="preserve"> </w:t>
      </w:r>
      <w:r w:rsidR="003A3AC6" w:rsidRPr="006B58D8">
        <w:rPr>
          <w:sz w:val="22"/>
          <w:szCs w:val="22"/>
          <w:lang w:val="sr-Latn-ME"/>
        </w:rPr>
        <w:t xml:space="preserve">posredstvom </w:t>
      </w:r>
      <w:r w:rsidR="007A033F" w:rsidRPr="006B58D8">
        <w:rPr>
          <w:sz w:val="22"/>
          <w:szCs w:val="22"/>
          <w:lang w:val="sr-Latn-ME"/>
        </w:rPr>
        <w:t>CYP 2C8) pokazali su da montelukast ne inhibira CYP 2C8</w:t>
      </w:r>
      <w:r w:rsidR="00A61B5F" w:rsidRPr="006B58D8">
        <w:rPr>
          <w:i/>
          <w:sz w:val="22"/>
          <w:szCs w:val="22"/>
          <w:lang w:val="sr-Latn-ME"/>
        </w:rPr>
        <w:t xml:space="preserve"> in vivo</w:t>
      </w:r>
      <w:r w:rsidR="007A033F" w:rsidRPr="006B58D8">
        <w:rPr>
          <w:i/>
          <w:sz w:val="22"/>
          <w:szCs w:val="22"/>
          <w:lang w:val="sr-Latn-ME"/>
        </w:rPr>
        <w:t>.</w:t>
      </w:r>
      <w:r w:rsidR="007A033F" w:rsidRPr="006B58D8">
        <w:rPr>
          <w:sz w:val="22"/>
          <w:szCs w:val="22"/>
          <w:lang w:val="sr-Latn-ME"/>
        </w:rPr>
        <w:t xml:space="preserve"> Zbog toga se ne očekuje da </w:t>
      </w:r>
      <w:r w:rsidR="00A61B5F" w:rsidRPr="006B58D8">
        <w:rPr>
          <w:sz w:val="22"/>
          <w:szCs w:val="22"/>
          <w:lang w:val="sr-Latn-ME"/>
        </w:rPr>
        <w:t xml:space="preserve">će </w:t>
      </w:r>
      <w:r w:rsidR="007A033F" w:rsidRPr="006B58D8">
        <w:rPr>
          <w:sz w:val="22"/>
          <w:szCs w:val="22"/>
          <w:lang w:val="sr-Latn-ME"/>
        </w:rPr>
        <w:t xml:space="preserve">montelukast značajno da </w:t>
      </w:r>
      <w:r w:rsidR="00A61B5F" w:rsidRPr="006B58D8">
        <w:rPr>
          <w:sz w:val="22"/>
          <w:szCs w:val="22"/>
          <w:lang w:val="sr-Latn-ME"/>
        </w:rPr>
        <w:t xml:space="preserve">utiče na </w:t>
      </w:r>
      <w:r w:rsidR="007A033F" w:rsidRPr="006B58D8">
        <w:rPr>
          <w:sz w:val="22"/>
          <w:szCs w:val="22"/>
          <w:lang w:val="sr-Latn-ME"/>
        </w:rPr>
        <w:t xml:space="preserve">metabolizam ljekova </w:t>
      </w:r>
      <w:r w:rsidR="00A61B5F" w:rsidRPr="006B58D8">
        <w:rPr>
          <w:sz w:val="22"/>
          <w:szCs w:val="22"/>
          <w:lang w:val="sr-Latn-ME"/>
        </w:rPr>
        <w:t>u čijem metabolizmu učestvuje ovaj</w:t>
      </w:r>
      <w:r w:rsidR="007A033F" w:rsidRPr="006B58D8">
        <w:rPr>
          <w:sz w:val="22"/>
          <w:szCs w:val="22"/>
          <w:lang w:val="sr-Latn-ME"/>
        </w:rPr>
        <w:t xml:space="preserve"> enzim (na primer paklitaksel, rosiglitiazon i repaglinid).  </w:t>
      </w:r>
    </w:p>
    <w:p w14:paraId="2E21F4EE" w14:textId="0FE0C32A" w:rsidR="007A033F" w:rsidRPr="006B58D8" w:rsidRDefault="007526DE" w:rsidP="0069371F">
      <w:pPr>
        <w:tabs>
          <w:tab w:val="center" w:pos="4536"/>
          <w:tab w:val="right" w:pos="9072"/>
        </w:tabs>
        <w:jc w:val="both"/>
        <w:rPr>
          <w:sz w:val="22"/>
          <w:szCs w:val="22"/>
          <w:lang w:val="sr-Latn-ME"/>
        </w:rPr>
      </w:pPr>
      <w:r w:rsidRPr="006B58D8">
        <w:rPr>
          <w:i/>
          <w:sz w:val="22"/>
          <w:szCs w:val="22"/>
          <w:lang w:val="sr-Latn-ME"/>
        </w:rPr>
        <w:lastRenderedPageBreak/>
        <w:t>I</w:t>
      </w:r>
      <w:r w:rsidR="007A033F" w:rsidRPr="006B58D8">
        <w:rPr>
          <w:i/>
          <w:sz w:val="22"/>
          <w:szCs w:val="22"/>
          <w:lang w:val="sr-Latn-ME"/>
        </w:rPr>
        <w:t>n vitro</w:t>
      </w:r>
      <w:r w:rsidR="007A033F" w:rsidRPr="006B58D8">
        <w:rPr>
          <w:sz w:val="22"/>
          <w:szCs w:val="22"/>
          <w:lang w:val="sr-Latn-ME"/>
        </w:rPr>
        <w:t xml:space="preserve"> </w:t>
      </w:r>
      <w:r w:rsidRPr="006B58D8">
        <w:rPr>
          <w:sz w:val="22"/>
          <w:szCs w:val="22"/>
          <w:lang w:val="sr-Latn-ME"/>
        </w:rPr>
        <w:t xml:space="preserve">studije </w:t>
      </w:r>
      <w:r w:rsidR="007A033F" w:rsidRPr="006B58D8">
        <w:rPr>
          <w:sz w:val="22"/>
          <w:szCs w:val="22"/>
          <w:lang w:val="sr-Latn-ME"/>
        </w:rPr>
        <w:t>su pokazal</w:t>
      </w:r>
      <w:r w:rsidRPr="006B58D8">
        <w:rPr>
          <w:sz w:val="22"/>
          <w:szCs w:val="22"/>
          <w:lang w:val="sr-Latn-ME"/>
        </w:rPr>
        <w:t>e</w:t>
      </w:r>
      <w:r w:rsidR="007A033F" w:rsidRPr="006B58D8">
        <w:rPr>
          <w:sz w:val="22"/>
          <w:szCs w:val="22"/>
          <w:lang w:val="sr-Latn-ME"/>
        </w:rPr>
        <w:t xml:space="preserve"> da je montelukast supstrat enzima CYP 2C8, a u </w:t>
      </w:r>
      <w:r w:rsidRPr="006B58D8">
        <w:rPr>
          <w:sz w:val="22"/>
          <w:szCs w:val="22"/>
          <w:lang w:val="sr-Latn-ME"/>
        </w:rPr>
        <w:t>manjoj</w:t>
      </w:r>
      <w:r w:rsidR="007A033F" w:rsidRPr="006B58D8">
        <w:rPr>
          <w:sz w:val="22"/>
          <w:szCs w:val="22"/>
          <w:lang w:val="sr-Latn-ME"/>
        </w:rPr>
        <w:t xml:space="preserve"> m</w:t>
      </w:r>
      <w:r w:rsidR="00863F80" w:rsidRPr="006B58D8">
        <w:rPr>
          <w:sz w:val="22"/>
          <w:szCs w:val="22"/>
          <w:lang w:val="sr-Latn-ME"/>
        </w:rPr>
        <w:t>j</w:t>
      </w:r>
      <w:r w:rsidR="007A033F" w:rsidRPr="006B58D8">
        <w:rPr>
          <w:sz w:val="22"/>
          <w:szCs w:val="22"/>
          <w:lang w:val="sr-Latn-ME"/>
        </w:rPr>
        <w:t xml:space="preserve">eri i enzima 2C9 i 3A4. U </w:t>
      </w:r>
      <w:r w:rsidRPr="006B58D8">
        <w:rPr>
          <w:sz w:val="22"/>
          <w:szCs w:val="22"/>
          <w:lang w:val="sr-Latn-ME"/>
        </w:rPr>
        <w:t>kliničkom ispitivanju interakcije ljekova</w:t>
      </w:r>
      <w:r w:rsidR="007A033F" w:rsidRPr="006B58D8">
        <w:rPr>
          <w:sz w:val="22"/>
          <w:szCs w:val="22"/>
          <w:lang w:val="sr-Latn-ME"/>
        </w:rPr>
        <w:t xml:space="preserve"> u kojoj su ispitivani montelukast i gemfibrozil (inhibitor i CYP 2C8 i 2C9), gemfibrozil je povećao sistemsku izloženost montelukastu 4,4 puta. Pri istovrem</w:t>
      </w:r>
      <w:r w:rsidR="00863F80" w:rsidRPr="006B58D8">
        <w:rPr>
          <w:sz w:val="22"/>
          <w:szCs w:val="22"/>
          <w:lang w:val="sr-Latn-ME"/>
        </w:rPr>
        <w:t>e</w:t>
      </w:r>
      <w:r w:rsidR="007A033F" w:rsidRPr="006B58D8">
        <w:rPr>
          <w:sz w:val="22"/>
          <w:szCs w:val="22"/>
          <w:lang w:val="sr-Latn-ME"/>
        </w:rPr>
        <w:t>noj prim</w:t>
      </w:r>
      <w:r w:rsidR="00863F80" w:rsidRPr="006B58D8">
        <w:rPr>
          <w:sz w:val="22"/>
          <w:szCs w:val="22"/>
          <w:lang w:val="sr-Latn-ME"/>
        </w:rPr>
        <w:t>j</w:t>
      </w:r>
      <w:r w:rsidR="007A033F" w:rsidRPr="006B58D8">
        <w:rPr>
          <w:sz w:val="22"/>
          <w:szCs w:val="22"/>
          <w:lang w:val="sr-Latn-ME"/>
        </w:rPr>
        <w:t>eni sa gemfibrozilom ili drugim snažnim inhibitorima CYP 2C8, nije potrebno prilagođavati uobičajenu dozu montelukasta, ali l</w:t>
      </w:r>
      <w:r w:rsidR="00863F80" w:rsidRPr="006B58D8">
        <w:rPr>
          <w:sz w:val="22"/>
          <w:szCs w:val="22"/>
          <w:lang w:val="sr-Latn-ME"/>
        </w:rPr>
        <w:t>j</w:t>
      </w:r>
      <w:r w:rsidR="007A033F" w:rsidRPr="006B58D8">
        <w:rPr>
          <w:sz w:val="22"/>
          <w:szCs w:val="22"/>
          <w:lang w:val="sr-Latn-ME"/>
        </w:rPr>
        <w:t>ekar treba da ima na umu mogućnost povećanja ispoljavanja neželjenih reakcija.</w:t>
      </w:r>
    </w:p>
    <w:p w14:paraId="67BE1EA2" w14:textId="77777777" w:rsidR="007A033F" w:rsidRPr="006B58D8" w:rsidRDefault="007A033F" w:rsidP="0069371F">
      <w:pPr>
        <w:tabs>
          <w:tab w:val="center" w:pos="4536"/>
          <w:tab w:val="right" w:pos="9072"/>
        </w:tabs>
        <w:jc w:val="both"/>
        <w:rPr>
          <w:sz w:val="22"/>
          <w:szCs w:val="22"/>
          <w:lang w:val="sr-Latn-ME"/>
        </w:rPr>
      </w:pPr>
    </w:p>
    <w:p w14:paraId="03AA1FD5" w14:textId="64F1BFA0" w:rsidR="007A033F" w:rsidRPr="006B58D8" w:rsidRDefault="007A033F" w:rsidP="0069371F">
      <w:pPr>
        <w:tabs>
          <w:tab w:val="center" w:pos="4536"/>
          <w:tab w:val="right" w:pos="9072"/>
        </w:tabs>
        <w:jc w:val="both"/>
        <w:rPr>
          <w:sz w:val="22"/>
          <w:szCs w:val="22"/>
          <w:lang w:val="sr-Latn-ME"/>
        </w:rPr>
      </w:pPr>
      <w:r w:rsidRPr="006B58D8">
        <w:rPr>
          <w:sz w:val="22"/>
          <w:szCs w:val="22"/>
          <w:lang w:val="sr-Latn-ME"/>
        </w:rPr>
        <w:t xml:space="preserve">Na osnovu </w:t>
      </w:r>
      <w:r w:rsidRPr="006B58D8">
        <w:rPr>
          <w:i/>
          <w:sz w:val="22"/>
          <w:szCs w:val="22"/>
          <w:lang w:val="sr-Latn-ME"/>
        </w:rPr>
        <w:t>in vitro</w:t>
      </w:r>
      <w:r w:rsidRPr="006B58D8">
        <w:rPr>
          <w:sz w:val="22"/>
          <w:szCs w:val="22"/>
          <w:lang w:val="sr-Latn-ME"/>
        </w:rPr>
        <w:t xml:space="preserve"> podataka, ne očekuju se klinički značajne interakcije sa manje potentnim inhibitorima CYP 2C8 (npr. trimetoprim). Prilikom istovremene prim</w:t>
      </w:r>
      <w:r w:rsidR="00863F80" w:rsidRPr="006B58D8">
        <w:rPr>
          <w:sz w:val="22"/>
          <w:szCs w:val="22"/>
          <w:lang w:val="sr-Latn-ME"/>
        </w:rPr>
        <w:t>j</w:t>
      </w:r>
      <w:r w:rsidRPr="006B58D8">
        <w:rPr>
          <w:sz w:val="22"/>
          <w:szCs w:val="22"/>
          <w:lang w:val="sr-Latn-ME"/>
        </w:rPr>
        <w:t>ene montelukasta sa itrakonazolom, jakim inhibitorom CYP 3A4, nije došlo do značajnog povećanja sistems</w:t>
      </w:r>
      <w:r w:rsidR="00863F80" w:rsidRPr="006B58D8">
        <w:rPr>
          <w:sz w:val="22"/>
          <w:szCs w:val="22"/>
          <w:lang w:val="sr-Latn-ME"/>
        </w:rPr>
        <w:t>k</w:t>
      </w:r>
      <w:r w:rsidRPr="006B58D8">
        <w:rPr>
          <w:sz w:val="22"/>
          <w:szCs w:val="22"/>
          <w:lang w:val="sr-Latn-ME"/>
        </w:rPr>
        <w:t>e izloženosti montelukastu.</w:t>
      </w:r>
    </w:p>
    <w:p w14:paraId="66A83CD8" w14:textId="77777777" w:rsidR="007A033F" w:rsidRPr="006B58D8" w:rsidRDefault="007A033F" w:rsidP="0069371F">
      <w:pPr>
        <w:tabs>
          <w:tab w:val="left" w:pos="540"/>
          <w:tab w:val="left" w:pos="569"/>
        </w:tabs>
        <w:jc w:val="both"/>
        <w:rPr>
          <w:bCs/>
          <w:sz w:val="22"/>
          <w:szCs w:val="22"/>
          <w:lang w:val="sr-Latn-ME"/>
        </w:rPr>
      </w:pPr>
    </w:p>
    <w:p w14:paraId="10C4FCC3" w14:textId="3CABD343" w:rsidR="0072020E" w:rsidRPr="006B58D8" w:rsidRDefault="0072020E" w:rsidP="0069371F">
      <w:pPr>
        <w:tabs>
          <w:tab w:val="left" w:pos="540"/>
          <w:tab w:val="left" w:pos="569"/>
        </w:tabs>
        <w:jc w:val="both"/>
        <w:rPr>
          <w:b/>
          <w:sz w:val="22"/>
          <w:szCs w:val="22"/>
          <w:lang w:val="sr-Latn-ME"/>
        </w:rPr>
      </w:pPr>
      <w:r w:rsidRPr="006B58D8">
        <w:rPr>
          <w:b/>
          <w:bCs/>
          <w:sz w:val="22"/>
          <w:szCs w:val="22"/>
          <w:lang w:val="sr-Latn-ME"/>
        </w:rPr>
        <w:t xml:space="preserve">4.6. </w:t>
      </w:r>
      <w:r w:rsidR="00480FB1" w:rsidRPr="006B58D8">
        <w:rPr>
          <w:b/>
          <w:bCs/>
          <w:sz w:val="22"/>
          <w:szCs w:val="22"/>
          <w:lang w:val="sr-Latn-ME"/>
        </w:rPr>
        <w:tab/>
      </w:r>
      <w:r w:rsidR="000B3B8B" w:rsidRPr="006B58D8">
        <w:rPr>
          <w:b/>
          <w:bCs/>
          <w:sz w:val="22"/>
          <w:szCs w:val="22"/>
          <w:lang w:val="sr-Latn-ME"/>
        </w:rPr>
        <w:t xml:space="preserve">Plodnost, </w:t>
      </w:r>
      <w:r w:rsidR="000B3B8B" w:rsidRPr="006B58D8">
        <w:rPr>
          <w:b/>
          <w:sz w:val="22"/>
          <w:szCs w:val="22"/>
          <w:lang w:val="sr-Latn-ME"/>
        </w:rPr>
        <w:t>t</w:t>
      </w:r>
      <w:r w:rsidR="006D20A5" w:rsidRPr="006B58D8">
        <w:rPr>
          <w:b/>
          <w:sz w:val="22"/>
          <w:szCs w:val="22"/>
          <w:lang w:val="sr-Latn-ME"/>
        </w:rPr>
        <w:t>rudnoća i dojenje</w:t>
      </w:r>
    </w:p>
    <w:p w14:paraId="43D5A80F" w14:textId="77777777" w:rsidR="002031B3" w:rsidRPr="006B58D8" w:rsidRDefault="002031B3" w:rsidP="0069371F">
      <w:pPr>
        <w:tabs>
          <w:tab w:val="left" w:pos="540"/>
          <w:tab w:val="left" w:pos="569"/>
        </w:tabs>
        <w:jc w:val="both"/>
        <w:rPr>
          <w:sz w:val="22"/>
          <w:szCs w:val="22"/>
          <w:u w:val="single"/>
          <w:lang w:val="sr-Latn-ME"/>
        </w:rPr>
      </w:pPr>
    </w:p>
    <w:p w14:paraId="769D2B67" w14:textId="77777777" w:rsidR="007A3ECB" w:rsidRPr="006B58D8" w:rsidRDefault="007A3ECB">
      <w:pPr>
        <w:tabs>
          <w:tab w:val="left" w:pos="540"/>
          <w:tab w:val="left" w:pos="569"/>
        </w:tabs>
        <w:jc w:val="both"/>
        <w:rPr>
          <w:sz w:val="22"/>
          <w:szCs w:val="22"/>
          <w:u w:val="single"/>
          <w:lang w:val="sr-Latn-ME"/>
        </w:rPr>
      </w:pPr>
      <w:r w:rsidRPr="006B58D8">
        <w:rPr>
          <w:sz w:val="22"/>
          <w:szCs w:val="22"/>
          <w:u w:val="single"/>
          <w:lang w:val="sr-Latn-ME"/>
        </w:rPr>
        <w:t>Trudnoća</w:t>
      </w:r>
    </w:p>
    <w:p w14:paraId="54F8D41D" w14:textId="5B755382" w:rsidR="007A033F" w:rsidRPr="006B58D8" w:rsidRDefault="007A033F">
      <w:pPr>
        <w:jc w:val="both"/>
        <w:rPr>
          <w:sz w:val="22"/>
          <w:szCs w:val="22"/>
          <w:lang w:val="sr-Latn-ME"/>
        </w:rPr>
      </w:pPr>
      <w:r w:rsidRPr="006B58D8">
        <w:rPr>
          <w:sz w:val="22"/>
          <w:szCs w:val="22"/>
          <w:lang w:val="sr-Latn-ME"/>
        </w:rPr>
        <w:t xml:space="preserve">Ispitivanja na životinjama nijesu pokazala štetno dejstvo lijeka u trudnoći </w:t>
      </w:r>
      <w:r w:rsidR="004053BD" w:rsidRPr="006B58D8">
        <w:rPr>
          <w:sz w:val="22"/>
          <w:szCs w:val="22"/>
          <w:lang w:val="sr-Latn-ME"/>
        </w:rPr>
        <w:t>i</w:t>
      </w:r>
      <w:r w:rsidRPr="006B58D8">
        <w:rPr>
          <w:sz w:val="22"/>
          <w:szCs w:val="22"/>
          <w:lang w:val="sr-Latn-ME"/>
        </w:rPr>
        <w:t xml:space="preserve"> embriofet</w:t>
      </w:r>
      <w:r w:rsidR="004053BD" w:rsidRPr="006B58D8">
        <w:rPr>
          <w:sz w:val="22"/>
          <w:szCs w:val="22"/>
          <w:lang w:val="sr-Latn-ME"/>
        </w:rPr>
        <w:t>alni razvoj</w:t>
      </w:r>
      <w:r w:rsidRPr="006B58D8">
        <w:rPr>
          <w:sz w:val="22"/>
          <w:szCs w:val="22"/>
          <w:lang w:val="sr-Latn-ME"/>
        </w:rPr>
        <w:t>.</w:t>
      </w:r>
    </w:p>
    <w:p w14:paraId="4F3D8E96" w14:textId="77777777" w:rsidR="00126A05" w:rsidRPr="006B58D8" w:rsidRDefault="00126A05">
      <w:pPr>
        <w:jc w:val="both"/>
        <w:rPr>
          <w:sz w:val="22"/>
          <w:szCs w:val="22"/>
          <w:lang w:val="sr-Latn-ME"/>
        </w:rPr>
      </w:pPr>
    </w:p>
    <w:p w14:paraId="4D443B4D" w14:textId="330C6EFB" w:rsidR="007A033F" w:rsidRPr="006B58D8" w:rsidRDefault="004053BD">
      <w:pPr>
        <w:jc w:val="both"/>
        <w:rPr>
          <w:sz w:val="22"/>
          <w:szCs w:val="22"/>
          <w:lang w:val="sr-Latn-ME"/>
        </w:rPr>
      </w:pPr>
      <w:r w:rsidRPr="006B58D8">
        <w:rPr>
          <w:sz w:val="22"/>
          <w:szCs w:val="22"/>
          <w:lang w:val="sr-Latn-ME"/>
        </w:rPr>
        <w:t>P</w:t>
      </w:r>
      <w:r w:rsidR="00A4488F" w:rsidRPr="006B58D8">
        <w:rPr>
          <w:sz w:val="22"/>
          <w:szCs w:val="22"/>
          <w:lang w:val="sr-Latn-ME"/>
        </w:rPr>
        <w:t>rospektivn</w:t>
      </w:r>
      <w:r w:rsidRPr="006B58D8">
        <w:rPr>
          <w:sz w:val="22"/>
          <w:szCs w:val="22"/>
          <w:lang w:val="sr-Latn-ME"/>
        </w:rPr>
        <w:t>e</w:t>
      </w:r>
      <w:r w:rsidR="00A4488F" w:rsidRPr="006B58D8">
        <w:rPr>
          <w:sz w:val="22"/>
          <w:szCs w:val="22"/>
          <w:lang w:val="sr-Latn-ME"/>
        </w:rPr>
        <w:t xml:space="preserve"> i retrospektivn</w:t>
      </w:r>
      <w:r w:rsidRPr="006B58D8">
        <w:rPr>
          <w:sz w:val="22"/>
          <w:szCs w:val="22"/>
          <w:lang w:val="sr-Latn-ME"/>
        </w:rPr>
        <w:t>e</w:t>
      </w:r>
      <w:r w:rsidR="00A4488F" w:rsidRPr="006B58D8">
        <w:rPr>
          <w:sz w:val="22"/>
          <w:szCs w:val="22"/>
          <w:lang w:val="sr-Latn-ME"/>
        </w:rPr>
        <w:t xml:space="preserve"> kohortn</w:t>
      </w:r>
      <w:r w:rsidRPr="006B58D8">
        <w:rPr>
          <w:sz w:val="22"/>
          <w:szCs w:val="22"/>
          <w:lang w:val="sr-Latn-ME"/>
        </w:rPr>
        <w:t>e</w:t>
      </w:r>
      <w:r w:rsidR="00A4488F" w:rsidRPr="006B58D8">
        <w:rPr>
          <w:sz w:val="22"/>
          <w:szCs w:val="22"/>
          <w:lang w:val="sr-Latn-ME"/>
        </w:rPr>
        <w:t xml:space="preserve"> studij</w:t>
      </w:r>
      <w:r w:rsidRPr="006B58D8">
        <w:rPr>
          <w:sz w:val="22"/>
          <w:szCs w:val="22"/>
          <w:lang w:val="sr-Latn-ME"/>
        </w:rPr>
        <w:t>e</w:t>
      </w:r>
      <w:r w:rsidR="00A4488F" w:rsidRPr="006B58D8">
        <w:rPr>
          <w:sz w:val="22"/>
          <w:szCs w:val="22"/>
          <w:lang w:val="sr-Latn-ME"/>
        </w:rPr>
        <w:t xml:space="preserve"> </w:t>
      </w:r>
      <w:r w:rsidRPr="006B58D8">
        <w:rPr>
          <w:sz w:val="22"/>
          <w:szCs w:val="22"/>
          <w:lang w:val="sr-Latn-ME"/>
        </w:rPr>
        <w:t xml:space="preserve">primjene </w:t>
      </w:r>
      <w:r w:rsidR="00A4488F" w:rsidRPr="006B58D8">
        <w:rPr>
          <w:sz w:val="22"/>
          <w:szCs w:val="22"/>
          <w:lang w:val="sr-Latn-ME"/>
        </w:rPr>
        <w:t xml:space="preserve">montelukasta </w:t>
      </w:r>
      <w:r w:rsidRPr="006B58D8">
        <w:rPr>
          <w:sz w:val="22"/>
          <w:szCs w:val="22"/>
          <w:lang w:val="sr-Latn-ME"/>
        </w:rPr>
        <w:t xml:space="preserve">u </w:t>
      </w:r>
      <w:r w:rsidR="00A4488F" w:rsidRPr="006B58D8">
        <w:rPr>
          <w:sz w:val="22"/>
          <w:szCs w:val="22"/>
          <w:lang w:val="sr-Latn-ME"/>
        </w:rPr>
        <w:t>trudn</w:t>
      </w:r>
      <w:r w:rsidRPr="006B58D8">
        <w:rPr>
          <w:sz w:val="22"/>
          <w:szCs w:val="22"/>
          <w:lang w:val="sr-Latn-ME"/>
        </w:rPr>
        <w:t>oći</w:t>
      </w:r>
      <w:r w:rsidR="00A4488F" w:rsidRPr="006B58D8">
        <w:rPr>
          <w:sz w:val="22"/>
          <w:szCs w:val="22"/>
          <w:lang w:val="sr-Latn-ME"/>
        </w:rPr>
        <w:t xml:space="preserve"> </w:t>
      </w:r>
      <w:r w:rsidR="00B664A4" w:rsidRPr="006B58D8">
        <w:rPr>
          <w:sz w:val="22"/>
          <w:szCs w:val="22"/>
          <w:lang w:val="sr-Latn-ME"/>
        </w:rPr>
        <w:t xml:space="preserve">koje su ispitivale pojavu velikih urođenih mana </w:t>
      </w:r>
      <w:r w:rsidR="00A4488F" w:rsidRPr="006B58D8">
        <w:rPr>
          <w:sz w:val="22"/>
          <w:szCs w:val="22"/>
          <w:lang w:val="sr-Latn-ME"/>
        </w:rPr>
        <w:t xml:space="preserve">nisu ustanovile rizik povezan sa </w:t>
      </w:r>
      <w:r w:rsidR="00B664A4" w:rsidRPr="006B58D8">
        <w:rPr>
          <w:sz w:val="22"/>
          <w:szCs w:val="22"/>
          <w:lang w:val="sr-Latn-ME"/>
        </w:rPr>
        <w:t xml:space="preserve">primjenom </w:t>
      </w:r>
      <w:r w:rsidR="00A4488F" w:rsidRPr="006B58D8">
        <w:rPr>
          <w:sz w:val="22"/>
          <w:szCs w:val="22"/>
          <w:lang w:val="sr-Latn-ME"/>
        </w:rPr>
        <w:t>lijek</w:t>
      </w:r>
      <w:r w:rsidR="00B664A4" w:rsidRPr="006B58D8">
        <w:rPr>
          <w:sz w:val="22"/>
          <w:szCs w:val="22"/>
          <w:lang w:val="sr-Latn-ME"/>
        </w:rPr>
        <w:t>a</w:t>
      </w:r>
      <w:r w:rsidR="00A4488F" w:rsidRPr="006B58D8">
        <w:rPr>
          <w:sz w:val="22"/>
          <w:szCs w:val="22"/>
          <w:lang w:val="sr-Latn-ME"/>
        </w:rPr>
        <w:t xml:space="preserve">. Dostupne studije imaju metodološka ograničenja, koja uključuju malu veličinu uzorka, retrospektivno prikupljanje podataka u </w:t>
      </w:r>
      <w:r w:rsidR="00B664A4" w:rsidRPr="006B58D8">
        <w:rPr>
          <w:sz w:val="22"/>
          <w:szCs w:val="22"/>
          <w:lang w:val="sr-Latn-ME"/>
        </w:rPr>
        <w:t xml:space="preserve">određenim </w:t>
      </w:r>
      <w:r w:rsidR="00A4488F" w:rsidRPr="006B58D8">
        <w:rPr>
          <w:sz w:val="22"/>
          <w:szCs w:val="22"/>
          <w:lang w:val="sr-Latn-ME"/>
        </w:rPr>
        <w:t xml:space="preserve">slučajevima i </w:t>
      </w:r>
      <w:r w:rsidR="00B664A4" w:rsidRPr="006B58D8">
        <w:rPr>
          <w:sz w:val="22"/>
          <w:szCs w:val="22"/>
          <w:lang w:val="sr-Latn-ME"/>
        </w:rPr>
        <w:t xml:space="preserve">nedoslednost </w:t>
      </w:r>
      <w:r w:rsidR="00A4488F" w:rsidRPr="006B58D8">
        <w:rPr>
          <w:sz w:val="22"/>
          <w:szCs w:val="22"/>
          <w:lang w:val="sr-Latn-ME"/>
        </w:rPr>
        <w:t>uporednih grupa.</w:t>
      </w:r>
    </w:p>
    <w:p w14:paraId="5298A2C4" w14:textId="77777777" w:rsidR="00A4488F" w:rsidRPr="006B58D8" w:rsidRDefault="00A4488F">
      <w:pPr>
        <w:jc w:val="both"/>
        <w:rPr>
          <w:sz w:val="22"/>
          <w:szCs w:val="22"/>
          <w:lang w:val="sr-Latn-ME"/>
        </w:rPr>
      </w:pPr>
    </w:p>
    <w:p w14:paraId="4DA3DAE7" w14:textId="4CA6A0A1" w:rsidR="007A033F" w:rsidRPr="006B58D8" w:rsidRDefault="00B664A4">
      <w:pPr>
        <w:jc w:val="both"/>
        <w:rPr>
          <w:sz w:val="22"/>
          <w:szCs w:val="22"/>
          <w:lang w:val="sr-Latn-ME"/>
        </w:rPr>
      </w:pPr>
      <w:r w:rsidRPr="006B58D8">
        <w:rPr>
          <w:sz w:val="22"/>
          <w:szCs w:val="22"/>
          <w:lang w:val="sr-Latn-ME"/>
        </w:rPr>
        <w:t>Montelukast</w:t>
      </w:r>
      <w:r w:rsidR="007A033F" w:rsidRPr="006B58D8">
        <w:rPr>
          <w:sz w:val="22"/>
          <w:szCs w:val="22"/>
          <w:lang w:val="sr-Latn-ME"/>
        </w:rPr>
        <w:t xml:space="preserve"> </w:t>
      </w:r>
      <w:r w:rsidR="00A850D5" w:rsidRPr="006B58D8">
        <w:rPr>
          <w:sz w:val="22"/>
          <w:szCs w:val="22"/>
          <w:lang w:val="sr-Latn-ME"/>
        </w:rPr>
        <w:t xml:space="preserve">se može </w:t>
      </w:r>
      <w:r w:rsidR="007A033F" w:rsidRPr="006B58D8">
        <w:rPr>
          <w:sz w:val="22"/>
          <w:szCs w:val="22"/>
          <w:lang w:val="sr-Latn-ME"/>
        </w:rPr>
        <w:t>primjenjivati tokom trudnoće samo ako se procijeni da je primjena ovog lijeka apsolutno neophodna.</w:t>
      </w:r>
    </w:p>
    <w:p w14:paraId="12AB6971" w14:textId="77777777" w:rsidR="007A033F" w:rsidRPr="006B58D8" w:rsidRDefault="007A033F">
      <w:pPr>
        <w:tabs>
          <w:tab w:val="left" w:pos="540"/>
          <w:tab w:val="left" w:pos="569"/>
        </w:tabs>
        <w:jc w:val="both"/>
        <w:rPr>
          <w:sz w:val="22"/>
          <w:szCs w:val="22"/>
          <w:u w:val="single"/>
          <w:lang w:val="sr-Latn-ME"/>
        </w:rPr>
      </w:pPr>
    </w:p>
    <w:p w14:paraId="681F294A" w14:textId="77777777" w:rsidR="0072020E" w:rsidRPr="006B58D8" w:rsidRDefault="007A3ECB">
      <w:pPr>
        <w:tabs>
          <w:tab w:val="left" w:pos="540"/>
          <w:tab w:val="left" w:pos="569"/>
        </w:tabs>
        <w:jc w:val="both"/>
        <w:rPr>
          <w:b/>
          <w:bCs/>
          <w:sz w:val="22"/>
          <w:szCs w:val="22"/>
          <w:lang w:val="sr-Latn-ME"/>
        </w:rPr>
      </w:pPr>
      <w:r w:rsidRPr="006B58D8">
        <w:rPr>
          <w:sz w:val="22"/>
          <w:szCs w:val="22"/>
          <w:u w:val="single"/>
          <w:lang w:val="sr-Latn-ME"/>
        </w:rPr>
        <w:t xml:space="preserve">Dojenje </w:t>
      </w:r>
    </w:p>
    <w:p w14:paraId="103DCC00" w14:textId="0569253C" w:rsidR="007A033F" w:rsidRPr="006B58D8" w:rsidRDefault="007A033F">
      <w:pPr>
        <w:jc w:val="both"/>
        <w:rPr>
          <w:sz w:val="22"/>
          <w:szCs w:val="22"/>
          <w:lang w:val="sr-Latn-ME"/>
        </w:rPr>
      </w:pPr>
      <w:r w:rsidRPr="006B58D8">
        <w:rPr>
          <w:sz w:val="22"/>
          <w:szCs w:val="22"/>
          <w:lang w:val="sr-Latn-ME"/>
        </w:rPr>
        <w:t>Ispitivanja na pacovima su pokazala da se montelukast izlučuje mlijek</w:t>
      </w:r>
      <w:r w:rsidR="00EB31D8" w:rsidRPr="006B58D8">
        <w:rPr>
          <w:sz w:val="22"/>
          <w:szCs w:val="22"/>
          <w:lang w:val="sr-Latn-ME"/>
        </w:rPr>
        <w:t>om</w:t>
      </w:r>
      <w:r w:rsidRPr="006B58D8">
        <w:rPr>
          <w:sz w:val="22"/>
          <w:szCs w:val="22"/>
          <w:lang w:val="sr-Latn-ME"/>
        </w:rPr>
        <w:t xml:space="preserve"> ženki pacova (vidjeti dio 5.3). Nije poznato da li se montelukast ili njegovi metaboliti izlučuju human</w:t>
      </w:r>
      <w:r w:rsidR="009A3EE1" w:rsidRPr="006B58D8">
        <w:rPr>
          <w:sz w:val="22"/>
          <w:szCs w:val="22"/>
          <w:lang w:val="sr-Latn-ME"/>
        </w:rPr>
        <w:t>im</w:t>
      </w:r>
      <w:r w:rsidRPr="006B58D8">
        <w:rPr>
          <w:sz w:val="22"/>
          <w:szCs w:val="22"/>
          <w:lang w:val="sr-Latn-ME"/>
        </w:rPr>
        <w:t xml:space="preserve"> mlijek</w:t>
      </w:r>
      <w:r w:rsidR="009A3EE1" w:rsidRPr="006B58D8">
        <w:rPr>
          <w:sz w:val="22"/>
          <w:szCs w:val="22"/>
          <w:lang w:val="sr-Latn-ME"/>
        </w:rPr>
        <w:t>om</w:t>
      </w:r>
      <w:r w:rsidRPr="006B58D8">
        <w:rPr>
          <w:sz w:val="22"/>
          <w:szCs w:val="22"/>
          <w:lang w:val="sr-Latn-ME"/>
        </w:rPr>
        <w:t>.</w:t>
      </w:r>
    </w:p>
    <w:p w14:paraId="2DC7D3C0" w14:textId="77777777" w:rsidR="007A033F" w:rsidRPr="006B58D8" w:rsidRDefault="007A033F">
      <w:pPr>
        <w:jc w:val="both"/>
        <w:rPr>
          <w:sz w:val="22"/>
          <w:szCs w:val="22"/>
          <w:lang w:val="sr-Latn-ME"/>
        </w:rPr>
      </w:pPr>
    </w:p>
    <w:p w14:paraId="66133C9F" w14:textId="232C5F7A" w:rsidR="007A033F" w:rsidRPr="006B58D8" w:rsidRDefault="00F17659">
      <w:pPr>
        <w:jc w:val="both"/>
        <w:rPr>
          <w:sz w:val="22"/>
          <w:szCs w:val="22"/>
          <w:lang w:val="sr-Latn-ME"/>
        </w:rPr>
      </w:pPr>
      <w:r w:rsidRPr="006B58D8">
        <w:rPr>
          <w:sz w:val="22"/>
          <w:szCs w:val="22"/>
          <w:lang w:val="sr-Latn-ME"/>
        </w:rPr>
        <w:t xml:space="preserve">Lijek </w:t>
      </w:r>
      <w:r w:rsidR="007A033F" w:rsidRPr="006B58D8">
        <w:rPr>
          <w:sz w:val="22"/>
          <w:szCs w:val="22"/>
          <w:lang w:val="sr-Latn-ME"/>
        </w:rPr>
        <w:t xml:space="preserve">Singulair </w:t>
      </w:r>
      <w:r w:rsidR="009A3EE1" w:rsidRPr="006B58D8">
        <w:rPr>
          <w:sz w:val="22"/>
          <w:szCs w:val="22"/>
          <w:lang w:val="sr-Latn-ME"/>
        </w:rPr>
        <w:t>mogu primjenjivati</w:t>
      </w:r>
      <w:r w:rsidR="007A033F" w:rsidRPr="006B58D8">
        <w:rPr>
          <w:sz w:val="22"/>
          <w:szCs w:val="22"/>
          <w:lang w:val="sr-Latn-ME"/>
        </w:rPr>
        <w:t xml:space="preserve"> dojilj</w:t>
      </w:r>
      <w:r w:rsidR="009A3EE1" w:rsidRPr="006B58D8">
        <w:rPr>
          <w:sz w:val="22"/>
          <w:szCs w:val="22"/>
          <w:lang w:val="sr-Latn-ME"/>
        </w:rPr>
        <w:t>e</w:t>
      </w:r>
      <w:r w:rsidR="007A033F" w:rsidRPr="006B58D8">
        <w:rPr>
          <w:sz w:val="22"/>
          <w:szCs w:val="22"/>
          <w:lang w:val="sr-Latn-ME"/>
        </w:rPr>
        <w:t xml:space="preserve"> samo ako se procijeni da je primjena ovog lijeka apsolutno neophodna.</w:t>
      </w:r>
    </w:p>
    <w:p w14:paraId="033E833F" w14:textId="77777777" w:rsidR="007A033F" w:rsidRPr="006B58D8" w:rsidRDefault="007A033F" w:rsidP="0069371F">
      <w:pPr>
        <w:tabs>
          <w:tab w:val="left" w:pos="540"/>
          <w:tab w:val="left" w:pos="569"/>
        </w:tabs>
        <w:ind w:left="540" w:hanging="540"/>
        <w:jc w:val="both"/>
        <w:rPr>
          <w:b/>
          <w:bCs/>
          <w:sz w:val="22"/>
          <w:szCs w:val="22"/>
          <w:lang w:val="sr-Latn-ME"/>
        </w:rPr>
      </w:pPr>
    </w:p>
    <w:p w14:paraId="5A593ED1" w14:textId="77777777" w:rsidR="0072020E" w:rsidRPr="006B58D8" w:rsidRDefault="0072020E" w:rsidP="0069371F">
      <w:pPr>
        <w:tabs>
          <w:tab w:val="left" w:pos="540"/>
          <w:tab w:val="left" w:pos="569"/>
        </w:tabs>
        <w:ind w:left="540" w:hanging="540"/>
        <w:jc w:val="both"/>
        <w:rPr>
          <w:b/>
          <w:bCs/>
          <w:sz w:val="22"/>
          <w:szCs w:val="22"/>
          <w:lang w:val="sr-Latn-ME"/>
        </w:rPr>
      </w:pPr>
      <w:r w:rsidRPr="006B58D8">
        <w:rPr>
          <w:b/>
          <w:bCs/>
          <w:sz w:val="22"/>
          <w:szCs w:val="22"/>
          <w:lang w:val="sr-Latn-ME"/>
        </w:rPr>
        <w:t xml:space="preserve">4.7. </w:t>
      </w:r>
      <w:r w:rsidR="00480FB1" w:rsidRPr="006B58D8">
        <w:rPr>
          <w:b/>
          <w:bCs/>
          <w:sz w:val="22"/>
          <w:szCs w:val="22"/>
          <w:lang w:val="sr-Latn-ME"/>
        </w:rPr>
        <w:tab/>
      </w:r>
      <w:r w:rsidRPr="006B58D8">
        <w:rPr>
          <w:b/>
          <w:bCs/>
          <w:sz w:val="22"/>
          <w:szCs w:val="22"/>
          <w:lang w:val="sr-Latn-ME"/>
        </w:rPr>
        <w:t xml:space="preserve">Uticaj na </w:t>
      </w:r>
      <w:r w:rsidR="002031B3" w:rsidRPr="006B58D8">
        <w:rPr>
          <w:b/>
          <w:bCs/>
          <w:sz w:val="22"/>
          <w:szCs w:val="22"/>
          <w:lang w:val="sr-Latn-ME"/>
        </w:rPr>
        <w:t xml:space="preserve">sposobnost </w:t>
      </w:r>
      <w:r w:rsidR="00F34554" w:rsidRPr="006B58D8">
        <w:rPr>
          <w:b/>
          <w:bCs/>
          <w:sz w:val="22"/>
          <w:szCs w:val="22"/>
          <w:lang w:val="sr-Latn-ME"/>
        </w:rPr>
        <w:t>upravljanja vozili</w:t>
      </w:r>
      <w:r w:rsidRPr="006B58D8">
        <w:rPr>
          <w:b/>
          <w:bCs/>
          <w:sz w:val="22"/>
          <w:szCs w:val="22"/>
          <w:lang w:val="sr-Latn-ME"/>
        </w:rPr>
        <w:t>m</w:t>
      </w:r>
      <w:r w:rsidR="00F34554" w:rsidRPr="006B58D8">
        <w:rPr>
          <w:b/>
          <w:bCs/>
          <w:sz w:val="22"/>
          <w:szCs w:val="22"/>
          <w:lang w:val="sr-Latn-ME"/>
        </w:rPr>
        <w:t>a</w:t>
      </w:r>
      <w:r w:rsidRPr="006B58D8">
        <w:rPr>
          <w:b/>
          <w:bCs/>
          <w:sz w:val="22"/>
          <w:szCs w:val="22"/>
          <w:lang w:val="sr-Latn-ME"/>
        </w:rPr>
        <w:t xml:space="preserve"> i </w:t>
      </w:r>
      <w:r w:rsidR="000D3449" w:rsidRPr="006B58D8">
        <w:rPr>
          <w:b/>
          <w:bCs/>
          <w:sz w:val="22"/>
          <w:szCs w:val="22"/>
          <w:lang w:val="sr-Latn-ME"/>
        </w:rPr>
        <w:t xml:space="preserve">rukovanje </w:t>
      </w:r>
      <w:r w:rsidRPr="006B58D8">
        <w:rPr>
          <w:b/>
          <w:bCs/>
          <w:sz w:val="22"/>
          <w:szCs w:val="22"/>
          <w:lang w:val="sr-Latn-ME"/>
        </w:rPr>
        <w:t>mašinama</w:t>
      </w:r>
    </w:p>
    <w:p w14:paraId="2CCBB716" w14:textId="7022CD6F" w:rsidR="0072020E" w:rsidRPr="006B58D8" w:rsidRDefault="0072020E" w:rsidP="0069371F">
      <w:pPr>
        <w:tabs>
          <w:tab w:val="left" w:pos="540"/>
          <w:tab w:val="left" w:pos="569"/>
        </w:tabs>
        <w:jc w:val="both"/>
        <w:rPr>
          <w:b/>
          <w:bCs/>
          <w:sz w:val="22"/>
          <w:szCs w:val="22"/>
          <w:lang w:val="sr-Latn-ME"/>
        </w:rPr>
      </w:pPr>
    </w:p>
    <w:p w14:paraId="09D684CB" w14:textId="2F6D1DED" w:rsidR="007A033F" w:rsidRPr="006B58D8" w:rsidRDefault="00F17659" w:rsidP="0069371F">
      <w:pPr>
        <w:jc w:val="both"/>
        <w:rPr>
          <w:sz w:val="22"/>
          <w:szCs w:val="22"/>
          <w:lang w:val="sr-Latn-ME"/>
        </w:rPr>
      </w:pPr>
      <w:r w:rsidRPr="006B58D8">
        <w:rPr>
          <w:sz w:val="22"/>
          <w:szCs w:val="22"/>
          <w:lang w:val="sr-Latn-ME"/>
        </w:rPr>
        <w:t xml:space="preserve">Lijek </w:t>
      </w:r>
      <w:r w:rsidR="007A033F" w:rsidRPr="006B58D8">
        <w:rPr>
          <w:sz w:val="22"/>
          <w:szCs w:val="22"/>
          <w:lang w:val="sr-Latn-ME"/>
        </w:rPr>
        <w:t>Singulair nema ili ima zanemarljivo mali uticaj na sposobnost upravljanja vozilima ili rukovanja mašinama</w:t>
      </w:r>
      <w:r w:rsidR="00586BB6" w:rsidRPr="006B58D8">
        <w:rPr>
          <w:sz w:val="22"/>
          <w:szCs w:val="22"/>
          <w:lang w:val="sr-Latn-ME"/>
        </w:rPr>
        <w:t>.</w:t>
      </w:r>
      <w:r w:rsidR="007A033F" w:rsidRPr="006B58D8" w:rsidDel="00E028AB">
        <w:rPr>
          <w:sz w:val="22"/>
          <w:szCs w:val="22"/>
          <w:lang w:val="sr-Latn-ME"/>
        </w:rPr>
        <w:t xml:space="preserve"> </w:t>
      </w:r>
      <w:r w:rsidR="007A033F" w:rsidRPr="006B58D8">
        <w:rPr>
          <w:sz w:val="22"/>
          <w:szCs w:val="22"/>
          <w:lang w:val="sr-Latn-ME"/>
        </w:rPr>
        <w:t>Međutim, pojedinci su prijavljivali pospanost ili vrtoglavicu.</w:t>
      </w:r>
    </w:p>
    <w:p w14:paraId="0230165C" w14:textId="77777777" w:rsidR="007A033F" w:rsidRPr="006B58D8" w:rsidRDefault="007A033F" w:rsidP="0069371F">
      <w:pPr>
        <w:tabs>
          <w:tab w:val="left" w:pos="540"/>
          <w:tab w:val="left" w:pos="569"/>
        </w:tabs>
        <w:jc w:val="both"/>
        <w:rPr>
          <w:b/>
          <w:bCs/>
          <w:sz w:val="22"/>
          <w:szCs w:val="22"/>
          <w:lang w:val="sr-Latn-ME"/>
        </w:rPr>
      </w:pPr>
    </w:p>
    <w:p w14:paraId="67224D03" w14:textId="139469A1" w:rsidR="007A033F" w:rsidRDefault="0072020E" w:rsidP="006B58D8">
      <w:pPr>
        <w:tabs>
          <w:tab w:val="left" w:pos="540"/>
          <w:tab w:val="left" w:pos="569"/>
        </w:tabs>
        <w:jc w:val="both"/>
        <w:rPr>
          <w:b/>
          <w:bCs/>
          <w:sz w:val="22"/>
          <w:szCs w:val="22"/>
          <w:lang w:val="sr-Latn-ME"/>
        </w:rPr>
      </w:pPr>
      <w:r w:rsidRPr="006B58D8">
        <w:rPr>
          <w:b/>
          <w:bCs/>
          <w:sz w:val="22"/>
          <w:szCs w:val="22"/>
          <w:lang w:val="sr-Latn-ME"/>
        </w:rPr>
        <w:t xml:space="preserve">4.8. </w:t>
      </w:r>
      <w:r w:rsidR="00480FB1" w:rsidRPr="006B58D8">
        <w:rPr>
          <w:b/>
          <w:bCs/>
          <w:sz w:val="22"/>
          <w:szCs w:val="22"/>
          <w:lang w:val="sr-Latn-ME"/>
        </w:rPr>
        <w:tab/>
      </w:r>
      <w:r w:rsidRPr="006B58D8">
        <w:rPr>
          <w:b/>
          <w:bCs/>
          <w:sz w:val="22"/>
          <w:szCs w:val="22"/>
          <w:lang w:val="sr-Latn-ME"/>
        </w:rPr>
        <w:t>Neželjena dejstva</w:t>
      </w:r>
    </w:p>
    <w:p w14:paraId="3FA50508" w14:textId="77777777" w:rsidR="006B58D8" w:rsidRPr="006B58D8" w:rsidRDefault="006B58D8" w:rsidP="006B58D8">
      <w:pPr>
        <w:tabs>
          <w:tab w:val="left" w:pos="540"/>
          <w:tab w:val="left" w:pos="569"/>
        </w:tabs>
        <w:jc w:val="both"/>
        <w:rPr>
          <w:b/>
          <w:bCs/>
          <w:sz w:val="22"/>
          <w:szCs w:val="22"/>
          <w:lang w:val="sr-Latn-ME"/>
        </w:rPr>
      </w:pPr>
    </w:p>
    <w:p w14:paraId="395E0ECE" w14:textId="77777777" w:rsidR="007A033F" w:rsidRPr="006B58D8" w:rsidRDefault="007A033F" w:rsidP="0069371F">
      <w:pPr>
        <w:jc w:val="both"/>
        <w:rPr>
          <w:sz w:val="22"/>
          <w:szCs w:val="22"/>
          <w:lang w:val="sr-Latn-ME"/>
        </w:rPr>
      </w:pPr>
      <w:r w:rsidRPr="006B58D8">
        <w:rPr>
          <w:sz w:val="22"/>
          <w:szCs w:val="22"/>
          <w:lang w:val="sr-Latn-ME"/>
        </w:rPr>
        <w:t>Montelukast je procjenjivan u sljedećim kliničkim ispitivanjima:</w:t>
      </w:r>
    </w:p>
    <w:p w14:paraId="686AD08C" w14:textId="77777777" w:rsidR="007A033F" w:rsidRPr="006B58D8" w:rsidRDefault="007A033F" w:rsidP="0069371F">
      <w:pPr>
        <w:numPr>
          <w:ilvl w:val="0"/>
          <w:numId w:val="12"/>
        </w:numPr>
        <w:tabs>
          <w:tab w:val="left" w:pos="284"/>
        </w:tabs>
        <w:jc w:val="both"/>
        <w:rPr>
          <w:sz w:val="22"/>
          <w:szCs w:val="22"/>
          <w:lang w:val="sr-Latn-ME"/>
        </w:rPr>
      </w:pPr>
      <w:r w:rsidRPr="006B58D8">
        <w:rPr>
          <w:sz w:val="22"/>
          <w:szCs w:val="22"/>
          <w:lang w:val="sr-Latn-ME"/>
        </w:rPr>
        <w:t>film tablete od 10 mg, kod otprilike 4000 odraslih i adolesenata sa astmom, starosti 15 godina i više</w:t>
      </w:r>
    </w:p>
    <w:p w14:paraId="64CF7149" w14:textId="77777777" w:rsidR="007A033F" w:rsidRPr="006B58D8" w:rsidRDefault="007A033F" w:rsidP="0069371F">
      <w:pPr>
        <w:numPr>
          <w:ilvl w:val="0"/>
          <w:numId w:val="12"/>
        </w:numPr>
        <w:tabs>
          <w:tab w:val="left" w:pos="284"/>
        </w:tabs>
        <w:jc w:val="both"/>
        <w:rPr>
          <w:sz w:val="22"/>
          <w:szCs w:val="22"/>
          <w:lang w:val="sr-Latn-ME"/>
        </w:rPr>
      </w:pPr>
      <w:r w:rsidRPr="006B58D8">
        <w:rPr>
          <w:sz w:val="22"/>
          <w:szCs w:val="22"/>
          <w:lang w:val="sr-Latn-ME"/>
        </w:rPr>
        <w:t>tablete za žvakanje od 5 mg, kod otprilike 1750 pedijatrijskih astmatičnih pacijenata, starosti 6 do 14 godina</w:t>
      </w:r>
    </w:p>
    <w:p w14:paraId="0539E2FA" w14:textId="77777777" w:rsidR="007A033F" w:rsidRPr="006B58D8" w:rsidRDefault="007A033F" w:rsidP="0069371F">
      <w:pPr>
        <w:jc w:val="both"/>
        <w:rPr>
          <w:sz w:val="22"/>
          <w:szCs w:val="22"/>
          <w:lang w:val="sr-Latn-ME"/>
        </w:rPr>
      </w:pPr>
    </w:p>
    <w:p w14:paraId="18C5420D" w14:textId="208C66D9" w:rsidR="007A033F" w:rsidRPr="006B58D8" w:rsidRDefault="00AC518D" w:rsidP="0069371F">
      <w:pPr>
        <w:jc w:val="both"/>
        <w:rPr>
          <w:sz w:val="22"/>
          <w:szCs w:val="22"/>
          <w:lang w:val="sr-Latn-ME"/>
        </w:rPr>
      </w:pPr>
      <w:r w:rsidRPr="006B58D8">
        <w:rPr>
          <w:sz w:val="22"/>
          <w:szCs w:val="22"/>
          <w:lang w:val="sr-Latn-ME"/>
        </w:rPr>
        <w:t>Kod pacijenata lječenih montelukastom sl</w:t>
      </w:r>
      <w:r w:rsidR="00472790" w:rsidRPr="006B58D8">
        <w:rPr>
          <w:sz w:val="22"/>
          <w:szCs w:val="22"/>
          <w:lang w:val="sr-Latn-ME"/>
        </w:rPr>
        <w:t>j</w:t>
      </w:r>
      <w:r w:rsidRPr="006B58D8">
        <w:rPr>
          <w:sz w:val="22"/>
          <w:szCs w:val="22"/>
          <w:lang w:val="sr-Latn-ME"/>
        </w:rPr>
        <w:t>edeće, sa lijekom povezane, neželjene reakcije u klini</w:t>
      </w:r>
      <w:r w:rsidR="00D47A1B" w:rsidRPr="006B58D8">
        <w:rPr>
          <w:sz w:val="22"/>
          <w:szCs w:val="22"/>
          <w:lang w:val="sr-Latn-ME"/>
        </w:rPr>
        <w:t xml:space="preserve">čkim studijama </w:t>
      </w:r>
      <w:r w:rsidR="007A033F" w:rsidRPr="006B58D8">
        <w:rPr>
          <w:sz w:val="22"/>
          <w:szCs w:val="22"/>
          <w:lang w:val="sr-Latn-ME"/>
        </w:rPr>
        <w:t xml:space="preserve">su </w:t>
      </w:r>
      <w:r w:rsidR="00D47A1B" w:rsidRPr="006B58D8">
        <w:rPr>
          <w:sz w:val="22"/>
          <w:szCs w:val="22"/>
          <w:lang w:val="sr-Latn-ME"/>
        </w:rPr>
        <w:t xml:space="preserve">prijavljene </w:t>
      </w:r>
      <w:r w:rsidR="007A033F" w:rsidRPr="006B58D8">
        <w:rPr>
          <w:sz w:val="22"/>
          <w:szCs w:val="22"/>
          <w:lang w:val="sr-Latn-ME"/>
        </w:rPr>
        <w:t>čest</w:t>
      </w:r>
      <w:r w:rsidR="005571D0" w:rsidRPr="006B58D8">
        <w:rPr>
          <w:sz w:val="22"/>
          <w:szCs w:val="22"/>
          <w:lang w:val="sr-Latn-ME"/>
        </w:rPr>
        <w:t>o</w:t>
      </w:r>
      <w:r w:rsidR="007A033F" w:rsidRPr="006B58D8">
        <w:rPr>
          <w:sz w:val="22"/>
          <w:szCs w:val="22"/>
          <w:lang w:val="sr-Latn-ME"/>
        </w:rPr>
        <w:t xml:space="preserve"> (</w:t>
      </w:r>
      <w:r w:rsidR="007A033F" w:rsidRPr="006B58D8">
        <w:rPr>
          <w:sz w:val="22"/>
          <w:szCs w:val="22"/>
          <w:lang w:val="sr-Latn-ME"/>
        </w:rPr>
        <w:sym w:font="Symbol" w:char="F0B3"/>
      </w:r>
      <w:r w:rsidR="007A033F" w:rsidRPr="006B58D8">
        <w:rPr>
          <w:sz w:val="22"/>
          <w:szCs w:val="22"/>
          <w:lang w:val="sr-Latn-ME"/>
        </w:rPr>
        <w:t xml:space="preserve">1/100, &lt;1/10), i sa većom incidencom nego kod pacijenata </w:t>
      </w:r>
      <w:r w:rsidR="00472790" w:rsidRPr="006B58D8">
        <w:rPr>
          <w:sz w:val="22"/>
          <w:szCs w:val="22"/>
          <w:lang w:val="sr-Latn-ME"/>
        </w:rPr>
        <w:t xml:space="preserve">koji su uzimali </w:t>
      </w:r>
      <w:r w:rsidR="007A033F" w:rsidRPr="006B58D8">
        <w:rPr>
          <w:sz w:val="22"/>
          <w:szCs w:val="22"/>
          <w:lang w:val="sr-Latn-ME"/>
        </w:rPr>
        <w:t>placebo:</w:t>
      </w:r>
    </w:p>
    <w:p w14:paraId="287C087B" w14:textId="3552EDA9" w:rsidR="007A033F" w:rsidRPr="006B58D8" w:rsidRDefault="007A033F" w:rsidP="0069371F">
      <w:pPr>
        <w:spacing w:after="200" w:line="276" w:lineRule="auto"/>
        <w:jc w:val="both"/>
        <w:rPr>
          <w:rFonts w:eastAsia="Calibri"/>
          <w:sz w:val="22"/>
          <w:szCs w:val="22"/>
          <w:u w:val="single"/>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680" w:type="dxa"/>
        </w:tblCellMar>
        <w:tblLook w:val="01E0" w:firstRow="1" w:lastRow="1" w:firstColumn="1" w:lastColumn="1" w:noHBand="0" w:noVBand="0"/>
      </w:tblPr>
      <w:tblGrid>
        <w:gridCol w:w="2952"/>
        <w:gridCol w:w="2952"/>
        <w:gridCol w:w="2952"/>
      </w:tblGrid>
      <w:tr w:rsidR="007A033F" w:rsidRPr="006B58D8" w14:paraId="4E6F5641" w14:textId="77777777" w:rsidTr="004B2949">
        <w:trPr>
          <w:jc w:val="center"/>
        </w:trPr>
        <w:tc>
          <w:tcPr>
            <w:tcW w:w="2952" w:type="dxa"/>
            <w:shd w:val="clear" w:color="auto" w:fill="auto"/>
            <w:vAlign w:val="center"/>
          </w:tcPr>
          <w:p w14:paraId="096463C1" w14:textId="62811681" w:rsidR="007A033F" w:rsidRPr="006B58D8" w:rsidRDefault="007A033F">
            <w:pPr>
              <w:jc w:val="both"/>
              <w:rPr>
                <w:sz w:val="22"/>
                <w:szCs w:val="22"/>
                <w:lang w:val="sr-Latn-ME"/>
              </w:rPr>
            </w:pPr>
            <w:r w:rsidRPr="006B58D8">
              <w:rPr>
                <w:b/>
                <w:sz w:val="22"/>
                <w:szCs w:val="22"/>
                <w:lang w:val="sr-Latn-ME"/>
              </w:rPr>
              <w:t xml:space="preserve">Klasa </w:t>
            </w:r>
            <w:r w:rsidR="005571D0" w:rsidRPr="006B58D8">
              <w:rPr>
                <w:b/>
                <w:sz w:val="22"/>
                <w:szCs w:val="22"/>
                <w:lang w:val="sr-Latn-ME" w:eastAsia="sr-Latn-CS"/>
              </w:rPr>
              <w:t>sistema organa</w:t>
            </w:r>
          </w:p>
        </w:tc>
        <w:tc>
          <w:tcPr>
            <w:tcW w:w="2952" w:type="dxa"/>
            <w:shd w:val="clear" w:color="auto" w:fill="auto"/>
            <w:vAlign w:val="center"/>
          </w:tcPr>
          <w:p w14:paraId="6B538E58" w14:textId="0311F756" w:rsidR="007A033F" w:rsidRPr="006B58D8" w:rsidRDefault="007A033F" w:rsidP="0069371F">
            <w:pPr>
              <w:jc w:val="both"/>
              <w:rPr>
                <w:b/>
                <w:sz w:val="22"/>
                <w:szCs w:val="22"/>
                <w:lang w:val="sr-Latn-ME"/>
              </w:rPr>
            </w:pPr>
            <w:r w:rsidRPr="006B58D8">
              <w:rPr>
                <w:b/>
                <w:sz w:val="22"/>
                <w:szCs w:val="22"/>
                <w:lang w:val="sr-Latn-ME" w:eastAsia="sr-Latn-CS"/>
              </w:rPr>
              <w:t xml:space="preserve">Odrasli i adolescenti </w:t>
            </w:r>
            <w:r w:rsidR="00777417" w:rsidRPr="006B58D8">
              <w:rPr>
                <w:b/>
                <w:sz w:val="22"/>
                <w:szCs w:val="22"/>
                <w:lang w:val="sr-Latn-ME" w:eastAsia="sr-Latn-CS"/>
              </w:rPr>
              <w:t xml:space="preserve">starosti </w:t>
            </w:r>
            <w:r w:rsidRPr="006B58D8">
              <w:rPr>
                <w:b/>
                <w:sz w:val="22"/>
                <w:szCs w:val="22"/>
                <w:lang w:val="sr-Latn-ME" w:eastAsia="sr-Latn-CS"/>
              </w:rPr>
              <w:t xml:space="preserve">15 godina i stariji </w:t>
            </w:r>
            <w:r w:rsidRPr="006B58D8">
              <w:rPr>
                <w:b/>
                <w:sz w:val="22"/>
                <w:szCs w:val="22"/>
                <w:lang w:val="sr-Latn-ME"/>
              </w:rPr>
              <w:t>(dvije</w:t>
            </w:r>
            <w:r w:rsidR="00472790" w:rsidRPr="006B58D8">
              <w:rPr>
                <w:b/>
                <w:sz w:val="22"/>
                <w:szCs w:val="22"/>
                <w:lang w:val="sr-Latn-ME"/>
              </w:rPr>
              <w:t xml:space="preserve"> studije koje su trajale</w:t>
            </w:r>
            <w:r w:rsidR="005571D0" w:rsidRPr="006B58D8">
              <w:rPr>
                <w:b/>
                <w:sz w:val="22"/>
                <w:szCs w:val="22"/>
                <w:lang w:val="sr-Latn-ME"/>
              </w:rPr>
              <w:t xml:space="preserve"> </w:t>
            </w:r>
            <w:r w:rsidRPr="006B58D8">
              <w:rPr>
                <w:b/>
                <w:sz w:val="22"/>
                <w:szCs w:val="22"/>
                <w:lang w:val="sr-Latn-ME"/>
              </w:rPr>
              <w:t>12</w:t>
            </w:r>
            <w:r w:rsidR="00472790" w:rsidRPr="006B58D8">
              <w:rPr>
                <w:b/>
                <w:sz w:val="22"/>
                <w:szCs w:val="22"/>
                <w:lang w:val="sr-Latn-ME"/>
              </w:rPr>
              <w:t xml:space="preserve"> nedelja;</w:t>
            </w:r>
            <w:r w:rsidRPr="006B58D8">
              <w:rPr>
                <w:b/>
                <w:sz w:val="22"/>
                <w:szCs w:val="22"/>
                <w:lang w:val="sr-Latn-ME"/>
              </w:rPr>
              <w:t>; n=795)</w:t>
            </w:r>
          </w:p>
        </w:tc>
        <w:tc>
          <w:tcPr>
            <w:tcW w:w="2952" w:type="dxa"/>
            <w:shd w:val="clear" w:color="auto" w:fill="auto"/>
            <w:vAlign w:val="center"/>
          </w:tcPr>
          <w:p w14:paraId="7F88BEC0" w14:textId="77777777" w:rsidR="007A033F" w:rsidRPr="006B58D8" w:rsidRDefault="007A033F" w:rsidP="0069371F">
            <w:pPr>
              <w:jc w:val="both"/>
              <w:rPr>
                <w:b/>
                <w:sz w:val="22"/>
                <w:szCs w:val="22"/>
                <w:lang w:val="sr-Latn-ME"/>
              </w:rPr>
            </w:pPr>
            <w:r w:rsidRPr="006B58D8">
              <w:rPr>
                <w:b/>
                <w:sz w:val="22"/>
                <w:szCs w:val="22"/>
                <w:lang w:val="sr-Latn-ME"/>
              </w:rPr>
              <w:t>Pedijatrijski pacijenti</w:t>
            </w:r>
          </w:p>
          <w:p w14:paraId="3C0AC476" w14:textId="41445607" w:rsidR="007A033F" w:rsidRPr="006B58D8" w:rsidRDefault="007A033F" w:rsidP="0069371F">
            <w:pPr>
              <w:jc w:val="both"/>
              <w:rPr>
                <w:b/>
                <w:sz w:val="22"/>
                <w:szCs w:val="22"/>
                <w:lang w:val="sr-Latn-ME"/>
              </w:rPr>
            </w:pPr>
            <w:r w:rsidRPr="006B58D8">
              <w:rPr>
                <w:b/>
                <w:sz w:val="22"/>
                <w:szCs w:val="22"/>
                <w:lang w:val="sr-Latn-ME"/>
              </w:rPr>
              <w:t xml:space="preserve">starosti </w:t>
            </w:r>
            <w:r w:rsidR="00472790" w:rsidRPr="006B58D8">
              <w:rPr>
                <w:b/>
                <w:sz w:val="22"/>
                <w:szCs w:val="22"/>
                <w:lang w:val="sr-Latn-ME"/>
              </w:rPr>
              <w:t xml:space="preserve">od </w:t>
            </w:r>
            <w:r w:rsidRPr="006B58D8">
              <w:rPr>
                <w:b/>
                <w:sz w:val="22"/>
                <w:szCs w:val="22"/>
                <w:lang w:val="sr-Latn-ME"/>
              </w:rPr>
              <w:t>6 do 14 godina</w:t>
            </w:r>
          </w:p>
          <w:p w14:paraId="041FAE53" w14:textId="365E83CF" w:rsidR="007A033F" w:rsidRPr="006B58D8" w:rsidRDefault="007A033F" w:rsidP="0069371F">
            <w:pPr>
              <w:jc w:val="both"/>
              <w:rPr>
                <w:b/>
                <w:sz w:val="22"/>
                <w:szCs w:val="22"/>
                <w:lang w:val="sr-Latn-ME"/>
              </w:rPr>
            </w:pPr>
            <w:r w:rsidRPr="006B58D8">
              <w:rPr>
                <w:b/>
                <w:sz w:val="22"/>
                <w:szCs w:val="22"/>
                <w:lang w:val="sr-Latn-ME"/>
              </w:rPr>
              <w:t xml:space="preserve">(jedna </w:t>
            </w:r>
            <w:r w:rsidR="00777417" w:rsidRPr="006B58D8">
              <w:rPr>
                <w:b/>
                <w:sz w:val="22"/>
                <w:szCs w:val="22"/>
                <w:lang w:val="sr-Latn-ME"/>
              </w:rPr>
              <w:t xml:space="preserve">studija od </w:t>
            </w:r>
            <w:r w:rsidRPr="006B58D8">
              <w:rPr>
                <w:b/>
                <w:sz w:val="22"/>
                <w:szCs w:val="22"/>
                <w:lang w:val="sr-Latn-ME"/>
              </w:rPr>
              <w:t xml:space="preserve">8 </w:t>
            </w:r>
            <w:r w:rsidR="00777417" w:rsidRPr="006B58D8">
              <w:rPr>
                <w:b/>
                <w:sz w:val="22"/>
                <w:szCs w:val="22"/>
                <w:lang w:val="sr-Latn-ME"/>
              </w:rPr>
              <w:t>nedelja</w:t>
            </w:r>
            <w:r w:rsidRPr="006B58D8">
              <w:rPr>
                <w:b/>
                <w:sz w:val="22"/>
                <w:szCs w:val="22"/>
                <w:lang w:val="sr-Latn-ME"/>
              </w:rPr>
              <w:t>; n=201) (dvije</w:t>
            </w:r>
            <w:r w:rsidR="00777417" w:rsidRPr="006B58D8">
              <w:rPr>
                <w:b/>
                <w:sz w:val="22"/>
                <w:szCs w:val="22"/>
                <w:lang w:val="sr-Latn-ME"/>
              </w:rPr>
              <w:t xml:space="preserve"> studije od</w:t>
            </w:r>
            <w:r w:rsidRPr="006B58D8">
              <w:rPr>
                <w:b/>
                <w:sz w:val="22"/>
                <w:szCs w:val="22"/>
                <w:lang w:val="sr-Latn-ME"/>
              </w:rPr>
              <w:t xml:space="preserve"> 56</w:t>
            </w:r>
            <w:r w:rsidR="00777417" w:rsidRPr="006B58D8">
              <w:rPr>
                <w:b/>
                <w:sz w:val="22"/>
                <w:szCs w:val="22"/>
                <w:lang w:val="sr-Latn-ME"/>
              </w:rPr>
              <w:t>nedelja</w:t>
            </w:r>
            <w:r w:rsidRPr="006B58D8">
              <w:rPr>
                <w:b/>
                <w:sz w:val="22"/>
                <w:szCs w:val="22"/>
                <w:lang w:val="sr-Latn-ME"/>
              </w:rPr>
              <w:t>; n=615)</w:t>
            </w:r>
          </w:p>
        </w:tc>
      </w:tr>
      <w:tr w:rsidR="007A033F" w:rsidRPr="006B58D8" w14:paraId="52B86844" w14:textId="77777777" w:rsidTr="004B2949">
        <w:trPr>
          <w:jc w:val="center"/>
        </w:trPr>
        <w:tc>
          <w:tcPr>
            <w:tcW w:w="2952" w:type="dxa"/>
            <w:shd w:val="clear" w:color="auto" w:fill="auto"/>
            <w:vAlign w:val="center"/>
          </w:tcPr>
          <w:p w14:paraId="204CECFB" w14:textId="77777777" w:rsidR="007A033F" w:rsidRPr="006B58D8" w:rsidRDefault="007A033F" w:rsidP="0069371F">
            <w:pPr>
              <w:jc w:val="both"/>
              <w:rPr>
                <w:b/>
                <w:sz w:val="22"/>
                <w:szCs w:val="22"/>
                <w:lang w:val="sr-Latn-ME"/>
              </w:rPr>
            </w:pPr>
            <w:r w:rsidRPr="006B58D8">
              <w:rPr>
                <w:b/>
                <w:sz w:val="22"/>
                <w:szCs w:val="22"/>
                <w:lang w:val="sr-Latn-ME"/>
              </w:rPr>
              <w:lastRenderedPageBreak/>
              <w:t>Poremećaji nervnog sistema</w:t>
            </w:r>
          </w:p>
          <w:p w14:paraId="422C2C34" w14:textId="77777777" w:rsidR="007A033F" w:rsidRPr="006B58D8" w:rsidRDefault="007A033F" w:rsidP="0069371F">
            <w:pPr>
              <w:jc w:val="both"/>
              <w:rPr>
                <w:sz w:val="22"/>
                <w:szCs w:val="22"/>
                <w:lang w:val="sr-Latn-ME"/>
              </w:rPr>
            </w:pPr>
          </w:p>
        </w:tc>
        <w:tc>
          <w:tcPr>
            <w:tcW w:w="2952" w:type="dxa"/>
            <w:shd w:val="clear" w:color="auto" w:fill="auto"/>
            <w:vAlign w:val="center"/>
          </w:tcPr>
          <w:p w14:paraId="33A8AA9F" w14:textId="77777777" w:rsidR="007A033F" w:rsidRPr="006B58D8" w:rsidRDefault="007A033F" w:rsidP="0069371F">
            <w:pPr>
              <w:jc w:val="both"/>
              <w:rPr>
                <w:sz w:val="22"/>
                <w:szCs w:val="22"/>
                <w:lang w:val="sr-Latn-ME"/>
              </w:rPr>
            </w:pPr>
            <w:r w:rsidRPr="006B58D8">
              <w:rPr>
                <w:sz w:val="22"/>
                <w:szCs w:val="22"/>
                <w:lang w:val="sr-Latn-ME"/>
              </w:rPr>
              <w:t>glavobolja</w:t>
            </w:r>
          </w:p>
        </w:tc>
        <w:tc>
          <w:tcPr>
            <w:tcW w:w="2952" w:type="dxa"/>
            <w:shd w:val="clear" w:color="auto" w:fill="auto"/>
            <w:vAlign w:val="center"/>
          </w:tcPr>
          <w:p w14:paraId="68A66688" w14:textId="77777777" w:rsidR="007A033F" w:rsidRPr="006B58D8" w:rsidRDefault="007A033F" w:rsidP="0069371F">
            <w:pPr>
              <w:jc w:val="both"/>
              <w:rPr>
                <w:sz w:val="22"/>
                <w:szCs w:val="22"/>
                <w:lang w:val="sr-Latn-ME"/>
              </w:rPr>
            </w:pPr>
            <w:r w:rsidRPr="006B58D8">
              <w:rPr>
                <w:sz w:val="22"/>
                <w:szCs w:val="22"/>
                <w:lang w:val="sr-Latn-ME"/>
              </w:rPr>
              <w:t>glavobolja</w:t>
            </w:r>
          </w:p>
        </w:tc>
      </w:tr>
      <w:tr w:rsidR="007A033F" w:rsidRPr="006B58D8" w14:paraId="489F1F58" w14:textId="77777777" w:rsidTr="004B2949">
        <w:trPr>
          <w:jc w:val="center"/>
        </w:trPr>
        <w:tc>
          <w:tcPr>
            <w:tcW w:w="2952" w:type="dxa"/>
            <w:shd w:val="clear" w:color="auto" w:fill="auto"/>
            <w:vAlign w:val="center"/>
          </w:tcPr>
          <w:p w14:paraId="0784D205" w14:textId="66EC3776" w:rsidR="007A033F" w:rsidRPr="006B58D8" w:rsidRDefault="00472790" w:rsidP="0069371F">
            <w:pPr>
              <w:jc w:val="both"/>
              <w:rPr>
                <w:b/>
                <w:sz w:val="22"/>
                <w:szCs w:val="22"/>
                <w:lang w:val="sr-Latn-ME"/>
              </w:rPr>
            </w:pPr>
            <w:r w:rsidRPr="006B58D8">
              <w:rPr>
                <w:b/>
                <w:sz w:val="22"/>
                <w:szCs w:val="22"/>
                <w:lang w:val="sr-Latn-ME"/>
              </w:rPr>
              <w:t>G</w:t>
            </w:r>
            <w:r w:rsidR="007A033F" w:rsidRPr="006B58D8">
              <w:rPr>
                <w:b/>
                <w:sz w:val="22"/>
                <w:szCs w:val="22"/>
                <w:lang w:val="sr-Latn-ME"/>
              </w:rPr>
              <w:t>astrointestinaln</w:t>
            </w:r>
            <w:r w:rsidRPr="006B58D8">
              <w:rPr>
                <w:b/>
                <w:sz w:val="22"/>
                <w:szCs w:val="22"/>
                <w:lang w:val="sr-Latn-ME"/>
              </w:rPr>
              <w:t>i</w:t>
            </w:r>
          </w:p>
          <w:p w14:paraId="0D79D114" w14:textId="0F189EAF" w:rsidR="007A033F" w:rsidRPr="006B58D8" w:rsidRDefault="00472790" w:rsidP="0069371F">
            <w:pPr>
              <w:jc w:val="both"/>
              <w:rPr>
                <w:b/>
                <w:sz w:val="22"/>
                <w:szCs w:val="22"/>
                <w:lang w:val="sr-Latn-ME"/>
              </w:rPr>
            </w:pPr>
            <w:r w:rsidRPr="006B58D8">
              <w:rPr>
                <w:b/>
                <w:sz w:val="22"/>
                <w:szCs w:val="22"/>
                <w:lang w:val="sr-Latn-ME"/>
              </w:rPr>
              <w:t>poremećaji</w:t>
            </w:r>
          </w:p>
          <w:p w14:paraId="155695C7" w14:textId="77777777" w:rsidR="007A033F" w:rsidRPr="006B58D8" w:rsidRDefault="007A033F" w:rsidP="0069371F">
            <w:pPr>
              <w:jc w:val="both"/>
              <w:rPr>
                <w:sz w:val="22"/>
                <w:szCs w:val="22"/>
                <w:lang w:val="sr-Latn-ME"/>
              </w:rPr>
            </w:pPr>
          </w:p>
        </w:tc>
        <w:tc>
          <w:tcPr>
            <w:tcW w:w="2952" w:type="dxa"/>
            <w:shd w:val="clear" w:color="auto" w:fill="auto"/>
            <w:vAlign w:val="center"/>
          </w:tcPr>
          <w:p w14:paraId="35BCBEE6" w14:textId="77777777" w:rsidR="007A033F" w:rsidRPr="006B58D8" w:rsidRDefault="007A033F" w:rsidP="0069371F">
            <w:pPr>
              <w:jc w:val="both"/>
              <w:rPr>
                <w:sz w:val="22"/>
                <w:szCs w:val="22"/>
                <w:lang w:val="sr-Latn-ME"/>
              </w:rPr>
            </w:pPr>
            <w:r w:rsidRPr="006B58D8">
              <w:rPr>
                <w:sz w:val="22"/>
                <w:szCs w:val="22"/>
                <w:lang w:val="sr-Latn-ME"/>
              </w:rPr>
              <w:t>abdominalni bol</w:t>
            </w:r>
          </w:p>
        </w:tc>
        <w:tc>
          <w:tcPr>
            <w:tcW w:w="2952" w:type="dxa"/>
            <w:shd w:val="clear" w:color="auto" w:fill="auto"/>
            <w:vAlign w:val="center"/>
          </w:tcPr>
          <w:p w14:paraId="24F43B99" w14:textId="77777777" w:rsidR="007A033F" w:rsidRPr="006B58D8" w:rsidRDefault="007A033F" w:rsidP="0069371F">
            <w:pPr>
              <w:jc w:val="both"/>
              <w:rPr>
                <w:sz w:val="22"/>
                <w:szCs w:val="22"/>
                <w:lang w:val="sr-Latn-ME"/>
              </w:rPr>
            </w:pPr>
          </w:p>
        </w:tc>
      </w:tr>
    </w:tbl>
    <w:p w14:paraId="4974300E" w14:textId="00095F93" w:rsidR="007A033F" w:rsidRPr="006B58D8" w:rsidRDefault="007A033F" w:rsidP="0069371F">
      <w:pPr>
        <w:spacing w:after="200" w:line="276" w:lineRule="auto"/>
        <w:jc w:val="both"/>
        <w:rPr>
          <w:rFonts w:eastAsia="Calibri"/>
          <w:sz w:val="22"/>
          <w:szCs w:val="22"/>
          <w:u w:val="single"/>
          <w:lang w:val="sr-Latn-ME"/>
        </w:rPr>
      </w:pPr>
    </w:p>
    <w:p w14:paraId="714E64C3" w14:textId="4FD5CED9" w:rsidR="007A033F" w:rsidRPr="006B58D8" w:rsidRDefault="00777417" w:rsidP="0069371F">
      <w:pPr>
        <w:jc w:val="both"/>
        <w:rPr>
          <w:sz w:val="22"/>
          <w:szCs w:val="22"/>
          <w:lang w:val="sr-Latn-ME"/>
        </w:rPr>
      </w:pPr>
      <w:r w:rsidRPr="006B58D8">
        <w:rPr>
          <w:sz w:val="22"/>
          <w:szCs w:val="22"/>
          <w:lang w:val="sr-Latn-ME"/>
        </w:rPr>
        <w:t>U toku dugotrajnog liječenja</w:t>
      </w:r>
      <w:r w:rsidR="007A033F" w:rsidRPr="006B58D8">
        <w:rPr>
          <w:sz w:val="22"/>
          <w:szCs w:val="22"/>
          <w:lang w:val="sr-Latn-ME"/>
        </w:rPr>
        <w:t xml:space="preserve">, u kliničkim ispitivanjima sa ograničenim brojem pacijenata, u trajanju do dvije godine </w:t>
      </w:r>
      <w:r w:rsidRPr="006B58D8">
        <w:rPr>
          <w:sz w:val="22"/>
          <w:szCs w:val="22"/>
          <w:lang w:val="sr-Latn-ME"/>
        </w:rPr>
        <w:t>kod odraslih pacijenata</w:t>
      </w:r>
      <w:r w:rsidR="007A033F" w:rsidRPr="006B58D8">
        <w:rPr>
          <w:sz w:val="22"/>
          <w:szCs w:val="22"/>
          <w:lang w:val="sr-Latn-ME"/>
        </w:rPr>
        <w:t xml:space="preserve">, i do 12 mjeseci </w:t>
      </w:r>
      <w:r w:rsidRPr="006B58D8">
        <w:rPr>
          <w:sz w:val="22"/>
          <w:szCs w:val="22"/>
          <w:lang w:val="sr-Latn-ME"/>
        </w:rPr>
        <w:t xml:space="preserve">kod </w:t>
      </w:r>
      <w:r w:rsidR="007A033F" w:rsidRPr="006B58D8">
        <w:rPr>
          <w:sz w:val="22"/>
          <w:szCs w:val="22"/>
          <w:lang w:val="sr-Latn-ME"/>
        </w:rPr>
        <w:t>pedijatrijsk</w:t>
      </w:r>
      <w:r w:rsidRPr="006B58D8">
        <w:rPr>
          <w:sz w:val="22"/>
          <w:szCs w:val="22"/>
          <w:lang w:val="sr-Latn-ME"/>
        </w:rPr>
        <w:t>ih</w:t>
      </w:r>
      <w:r w:rsidR="007A033F" w:rsidRPr="006B58D8">
        <w:rPr>
          <w:sz w:val="22"/>
          <w:szCs w:val="22"/>
          <w:lang w:val="sr-Latn-ME"/>
        </w:rPr>
        <w:t xml:space="preserve"> pacijen</w:t>
      </w:r>
      <w:r w:rsidRPr="006B58D8">
        <w:rPr>
          <w:sz w:val="22"/>
          <w:szCs w:val="22"/>
          <w:lang w:val="sr-Latn-ME"/>
        </w:rPr>
        <w:t>ata</w:t>
      </w:r>
      <w:r w:rsidR="007A033F" w:rsidRPr="006B58D8">
        <w:rPr>
          <w:sz w:val="22"/>
          <w:szCs w:val="22"/>
          <w:lang w:val="sr-Latn-ME"/>
        </w:rPr>
        <w:t xml:space="preserve"> starosti 6 do 14 godina, bezbjednosni profil se nije mijenjao.</w:t>
      </w:r>
    </w:p>
    <w:p w14:paraId="677C7AA3" w14:textId="77777777" w:rsidR="007A033F" w:rsidRPr="006B58D8" w:rsidRDefault="007A033F" w:rsidP="0069371F">
      <w:pPr>
        <w:jc w:val="both"/>
        <w:rPr>
          <w:sz w:val="22"/>
          <w:szCs w:val="22"/>
          <w:lang w:val="sr-Latn-ME"/>
        </w:rPr>
      </w:pPr>
    </w:p>
    <w:p w14:paraId="2D79BB86" w14:textId="77777777" w:rsidR="007A033F" w:rsidRPr="006B58D8" w:rsidRDefault="007A033F" w:rsidP="0069371F">
      <w:pPr>
        <w:pStyle w:val="Header"/>
        <w:tabs>
          <w:tab w:val="left" w:pos="284"/>
        </w:tabs>
        <w:jc w:val="both"/>
        <w:rPr>
          <w:b/>
          <w:sz w:val="22"/>
          <w:szCs w:val="22"/>
          <w:lang w:val="sr-Latn-ME"/>
        </w:rPr>
      </w:pPr>
      <w:r w:rsidRPr="006B58D8">
        <w:rPr>
          <w:b/>
          <w:sz w:val="22"/>
          <w:szCs w:val="22"/>
          <w:lang w:val="sr-Latn-ME"/>
        </w:rPr>
        <w:t>Tabelarni prikaz neželjenih reakcija</w:t>
      </w:r>
    </w:p>
    <w:p w14:paraId="321BC445" w14:textId="72C0C2AD" w:rsidR="007A033F" w:rsidRPr="006B58D8" w:rsidRDefault="007A033F" w:rsidP="0069371F">
      <w:pPr>
        <w:pStyle w:val="Header"/>
        <w:tabs>
          <w:tab w:val="left" w:pos="284"/>
        </w:tabs>
        <w:jc w:val="both"/>
        <w:rPr>
          <w:sz w:val="22"/>
          <w:szCs w:val="22"/>
          <w:lang w:val="sr-Latn-ME" w:eastAsia="sr-Latn-CS"/>
        </w:rPr>
      </w:pPr>
      <w:r w:rsidRPr="006B58D8">
        <w:rPr>
          <w:sz w:val="22"/>
          <w:szCs w:val="22"/>
          <w:lang w:val="sr-Latn-ME"/>
        </w:rPr>
        <w:t>Neželjene reakcije prijavljene tokom post-marketinškog praćenja su razvrstane po sistemima organa</w:t>
      </w:r>
      <w:r w:rsidR="00777417" w:rsidRPr="006B58D8">
        <w:rPr>
          <w:sz w:val="22"/>
          <w:szCs w:val="22"/>
          <w:lang w:val="sr-Latn-ME"/>
        </w:rPr>
        <w:t xml:space="preserve"> u tabeli ispod.</w:t>
      </w:r>
      <w:r w:rsidRPr="006B58D8">
        <w:rPr>
          <w:sz w:val="22"/>
          <w:szCs w:val="22"/>
          <w:lang w:val="sr-Latn-ME"/>
        </w:rPr>
        <w:t xml:space="preserve"> </w:t>
      </w:r>
      <w:r w:rsidR="00777417" w:rsidRPr="006B58D8">
        <w:rPr>
          <w:sz w:val="22"/>
          <w:szCs w:val="22"/>
          <w:lang w:val="sr-Latn-ME"/>
        </w:rPr>
        <w:t>K</w:t>
      </w:r>
      <w:r w:rsidRPr="006B58D8">
        <w:rPr>
          <w:sz w:val="22"/>
          <w:szCs w:val="22"/>
          <w:lang w:val="sr-Latn-ME"/>
        </w:rPr>
        <w:t>ategorije učestalosti su određene na osnovu relevantnih kliničkih studija</w:t>
      </w:r>
      <w:r w:rsidRPr="006B58D8">
        <w:rPr>
          <w:sz w:val="22"/>
          <w:szCs w:val="22"/>
          <w:lang w:val="sr-Latn-ME" w:eastAsia="sr-Latn-CS"/>
        </w:rPr>
        <w:t>.</w:t>
      </w:r>
    </w:p>
    <w:p w14:paraId="02A439EA" w14:textId="41FDECBA" w:rsidR="007A033F" w:rsidRPr="006B58D8" w:rsidRDefault="007A033F" w:rsidP="0069371F">
      <w:pPr>
        <w:spacing w:after="200" w:line="276" w:lineRule="auto"/>
        <w:jc w:val="both"/>
        <w:rPr>
          <w:rFonts w:eastAsia="Calibri"/>
          <w:sz w:val="22"/>
          <w:szCs w:val="22"/>
          <w:u w:val="single"/>
          <w:lang w:val="sr-Latn-ME"/>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4214"/>
        <w:gridCol w:w="2454"/>
      </w:tblGrid>
      <w:tr w:rsidR="007A033F" w:rsidRPr="006B58D8" w14:paraId="6650708C" w14:textId="77777777" w:rsidTr="0069371F">
        <w:tc>
          <w:tcPr>
            <w:tcW w:w="3294" w:type="dxa"/>
            <w:shd w:val="clear" w:color="auto" w:fill="auto"/>
          </w:tcPr>
          <w:p w14:paraId="5F8AD3BB" w14:textId="01D5C8E8" w:rsidR="007A033F" w:rsidRPr="006B58D8" w:rsidRDefault="005571D0" w:rsidP="0069371F">
            <w:pPr>
              <w:jc w:val="both"/>
              <w:rPr>
                <w:b/>
                <w:sz w:val="22"/>
                <w:szCs w:val="22"/>
                <w:lang w:val="sr-Latn-ME"/>
              </w:rPr>
            </w:pPr>
            <w:r w:rsidRPr="006B58D8">
              <w:rPr>
                <w:b/>
                <w:sz w:val="22"/>
                <w:szCs w:val="22"/>
                <w:lang w:val="sr-Latn-ME"/>
              </w:rPr>
              <w:t>Klasa s</w:t>
            </w:r>
            <w:r w:rsidR="007A033F" w:rsidRPr="006B58D8">
              <w:rPr>
                <w:b/>
                <w:sz w:val="22"/>
                <w:szCs w:val="22"/>
                <w:lang w:val="sr-Latn-ME"/>
              </w:rPr>
              <w:t>istem</w:t>
            </w:r>
            <w:r w:rsidRPr="006B58D8">
              <w:rPr>
                <w:b/>
                <w:sz w:val="22"/>
                <w:szCs w:val="22"/>
                <w:lang w:val="sr-Latn-ME"/>
              </w:rPr>
              <w:t>a</w:t>
            </w:r>
            <w:r w:rsidR="007A033F" w:rsidRPr="006B58D8">
              <w:rPr>
                <w:b/>
                <w:sz w:val="22"/>
                <w:szCs w:val="22"/>
                <w:lang w:val="sr-Latn-ME"/>
              </w:rPr>
              <w:t xml:space="preserve"> organa</w:t>
            </w:r>
          </w:p>
        </w:tc>
        <w:tc>
          <w:tcPr>
            <w:tcW w:w="4214" w:type="dxa"/>
            <w:shd w:val="clear" w:color="auto" w:fill="auto"/>
          </w:tcPr>
          <w:p w14:paraId="6BE98978" w14:textId="77777777" w:rsidR="007A033F" w:rsidRPr="006B58D8" w:rsidRDefault="007A033F" w:rsidP="0069371F">
            <w:pPr>
              <w:jc w:val="both"/>
              <w:rPr>
                <w:b/>
                <w:sz w:val="22"/>
                <w:szCs w:val="22"/>
                <w:lang w:val="sr-Latn-ME"/>
              </w:rPr>
            </w:pPr>
            <w:r w:rsidRPr="006B58D8">
              <w:rPr>
                <w:b/>
                <w:sz w:val="22"/>
                <w:szCs w:val="22"/>
                <w:lang w:val="sr-Latn-ME"/>
              </w:rPr>
              <w:t>Neželjena reakcija</w:t>
            </w:r>
          </w:p>
        </w:tc>
        <w:tc>
          <w:tcPr>
            <w:tcW w:w="2454" w:type="dxa"/>
            <w:shd w:val="clear" w:color="auto" w:fill="auto"/>
          </w:tcPr>
          <w:p w14:paraId="794BA6F1" w14:textId="77777777" w:rsidR="007A033F" w:rsidRPr="006B58D8" w:rsidRDefault="007A033F" w:rsidP="0069371F">
            <w:pPr>
              <w:jc w:val="both"/>
              <w:rPr>
                <w:b/>
                <w:sz w:val="22"/>
                <w:szCs w:val="22"/>
                <w:lang w:val="sr-Latn-ME"/>
              </w:rPr>
            </w:pPr>
            <w:r w:rsidRPr="006B58D8">
              <w:rPr>
                <w:b/>
                <w:sz w:val="22"/>
                <w:szCs w:val="22"/>
                <w:lang w:val="sr-Latn-ME"/>
              </w:rPr>
              <w:t>Kategorija učestalosti*</w:t>
            </w:r>
          </w:p>
        </w:tc>
      </w:tr>
      <w:tr w:rsidR="007A033F" w:rsidRPr="006B58D8" w14:paraId="1F791616" w14:textId="77777777" w:rsidTr="0069371F">
        <w:tc>
          <w:tcPr>
            <w:tcW w:w="3294" w:type="dxa"/>
            <w:shd w:val="clear" w:color="auto" w:fill="auto"/>
          </w:tcPr>
          <w:p w14:paraId="36FA9496" w14:textId="77777777" w:rsidR="007A033F" w:rsidRPr="006B58D8" w:rsidRDefault="007A033F" w:rsidP="0069371F">
            <w:pPr>
              <w:jc w:val="both"/>
              <w:rPr>
                <w:sz w:val="22"/>
                <w:szCs w:val="22"/>
                <w:lang w:val="sr-Latn-ME"/>
              </w:rPr>
            </w:pPr>
            <w:r w:rsidRPr="006B58D8">
              <w:rPr>
                <w:sz w:val="22"/>
                <w:szCs w:val="22"/>
                <w:lang w:val="sr-Latn-ME"/>
              </w:rPr>
              <w:t>Infekcije i infestacije</w:t>
            </w:r>
          </w:p>
        </w:tc>
        <w:tc>
          <w:tcPr>
            <w:tcW w:w="4214" w:type="dxa"/>
            <w:shd w:val="clear" w:color="auto" w:fill="auto"/>
          </w:tcPr>
          <w:p w14:paraId="4622FD48" w14:textId="77777777" w:rsidR="007A033F" w:rsidRPr="006B58D8" w:rsidRDefault="007A033F" w:rsidP="0069371F">
            <w:pPr>
              <w:jc w:val="both"/>
              <w:rPr>
                <w:sz w:val="22"/>
                <w:szCs w:val="22"/>
                <w:lang w:val="sr-Latn-ME"/>
              </w:rPr>
            </w:pPr>
            <w:r w:rsidRPr="006B58D8">
              <w:rPr>
                <w:sz w:val="22"/>
                <w:szCs w:val="22"/>
                <w:lang w:val="sr-Latn-ME"/>
              </w:rPr>
              <w:t>Infekcije gornjih disajnih puteva†</w:t>
            </w:r>
          </w:p>
        </w:tc>
        <w:tc>
          <w:tcPr>
            <w:tcW w:w="2454" w:type="dxa"/>
            <w:shd w:val="clear" w:color="auto" w:fill="auto"/>
          </w:tcPr>
          <w:p w14:paraId="475B953D" w14:textId="7E5C257A" w:rsidR="007A033F" w:rsidRPr="006B58D8" w:rsidRDefault="007A033F" w:rsidP="0069371F">
            <w:pPr>
              <w:jc w:val="both"/>
              <w:rPr>
                <w:sz w:val="22"/>
                <w:szCs w:val="22"/>
                <w:lang w:val="sr-Latn-ME"/>
              </w:rPr>
            </w:pPr>
            <w:r w:rsidRPr="006B58D8">
              <w:rPr>
                <w:sz w:val="22"/>
                <w:szCs w:val="22"/>
                <w:lang w:val="sr-Latn-ME"/>
              </w:rPr>
              <w:t>Veoma često</w:t>
            </w:r>
          </w:p>
        </w:tc>
      </w:tr>
      <w:tr w:rsidR="0069371F" w:rsidRPr="006B58D8" w14:paraId="58EB97CA" w14:textId="77777777" w:rsidTr="0069371F">
        <w:tc>
          <w:tcPr>
            <w:tcW w:w="3294" w:type="dxa"/>
            <w:vMerge w:val="restart"/>
            <w:shd w:val="clear" w:color="auto" w:fill="auto"/>
          </w:tcPr>
          <w:p w14:paraId="03510411" w14:textId="77777777" w:rsidR="0069371F" w:rsidRPr="006B58D8" w:rsidRDefault="0069371F" w:rsidP="0069371F">
            <w:pPr>
              <w:jc w:val="both"/>
              <w:rPr>
                <w:sz w:val="22"/>
                <w:szCs w:val="22"/>
                <w:lang w:val="sr-Latn-ME"/>
              </w:rPr>
            </w:pPr>
            <w:r w:rsidRPr="006B58D8">
              <w:rPr>
                <w:sz w:val="22"/>
                <w:szCs w:val="22"/>
                <w:lang w:val="sr-Latn-ME"/>
              </w:rPr>
              <w:t>Poremećaji na nivou krvi i limfnog sistema</w:t>
            </w:r>
          </w:p>
        </w:tc>
        <w:tc>
          <w:tcPr>
            <w:tcW w:w="4214" w:type="dxa"/>
            <w:shd w:val="clear" w:color="auto" w:fill="auto"/>
          </w:tcPr>
          <w:p w14:paraId="5615AAE2" w14:textId="77777777" w:rsidR="0069371F" w:rsidRPr="006B58D8" w:rsidRDefault="0069371F" w:rsidP="0069371F">
            <w:pPr>
              <w:jc w:val="both"/>
              <w:rPr>
                <w:sz w:val="22"/>
                <w:szCs w:val="22"/>
                <w:lang w:val="sr-Latn-ME"/>
              </w:rPr>
            </w:pPr>
            <w:r w:rsidRPr="006B58D8">
              <w:rPr>
                <w:sz w:val="22"/>
                <w:szCs w:val="22"/>
                <w:lang w:val="sr-Latn-ME"/>
              </w:rPr>
              <w:t>Pojačana sklonost ka krvarenju</w:t>
            </w:r>
          </w:p>
        </w:tc>
        <w:tc>
          <w:tcPr>
            <w:tcW w:w="2454" w:type="dxa"/>
            <w:shd w:val="clear" w:color="auto" w:fill="auto"/>
          </w:tcPr>
          <w:p w14:paraId="18498E7A" w14:textId="138447D5" w:rsidR="0069371F" w:rsidRPr="006B58D8" w:rsidRDefault="0069371F" w:rsidP="0069371F">
            <w:pPr>
              <w:jc w:val="both"/>
              <w:rPr>
                <w:sz w:val="22"/>
                <w:szCs w:val="22"/>
                <w:lang w:val="sr-Latn-ME"/>
              </w:rPr>
            </w:pPr>
            <w:r w:rsidRPr="006B58D8">
              <w:rPr>
                <w:sz w:val="22"/>
                <w:szCs w:val="22"/>
                <w:lang w:val="sr-Latn-ME"/>
              </w:rPr>
              <w:t xml:space="preserve">Rijetko </w:t>
            </w:r>
          </w:p>
        </w:tc>
      </w:tr>
      <w:tr w:rsidR="0069371F" w:rsidRPr="006B58D8" w14:paraId="1BC2455D" w14:textId="77777777" w:rsidTr="0069371F">
        <w:tc>
          <w:tcPr>
            <w:tcW w:w="3294" w:type="dxa"/>
            <w:vMerge/>
            <w:shd w:val="clear" w:color="auto" w:fill="auto"/>
          </w:tcPr>
          <w:p w14:paraId="2D2C867C" w14:textId="77777777" w:rsidR="0069371F" w:rsidRPr="006B58D8" w:rsidRDefault="0069371F" w:rsidP="0069371F">
            <w:pPr>
              <w:jc w:val="both"/>
              <w:rPr>
                <w:sz w:val="22"/>
                <w:szCs w:val="22"/>
                <w:lang w:val="sr-Latn-ME"/>
              </w:rPr>
            </w:pPr>
          </w:p>
        </w:tc>
        <w:tc>
          <w:tcPr>
            <w:tcW w:w="4214" w:type="dxa"/>
            <w:shd w:val="clear" w:color="auto" w:fill="auto"/>
          </w:tcPr>
          <w:p w14:paraId="20300B94" w14:textId="40C19FE3" w:rsidR="0069371F" w:rsidRPr="006B58D8" w:rsidRDefault="0069371F" w:rsidP="0069371F">
            <w:pPr>
              <w:jc w:val="both"/>
              <w:rPr>
                <w:sz w:val="22"/>
                <w:szCs w:val="22"/>
                <w:lang w:val="sr-Latn-ME"/>
              </w:rPr>
            </w:pPr>
            <w:r w:rsidRPr="006B58D8">
              <w:rPr>
                <w:sz w:val="22"/>
                <w:szCs w:val="22"/>
                <w:lang w:val="sr-Latn-ME"/>
              </w:rPr>
              <w:t>Trombocitopenija</w:t>
            </w:r>
          </w:p>
        </w:tc>
        <w:tc>
          <w:tcPr>
            <w:tcW w:w="2454" w:type="dxa"/>
            <w:shd w:val="clear" w:color="auto" w:fill="auto"/>
          </w:tcPr>
          <w:p w14:paraId="6E390002" w14:textId="48304E72" w:rsidR="0069371F" w:rsidRPr="006B58D8" w:rsidRDefault="0069371F" w:rsidP="0069371F">
            <w:pPr>
              <w:jc w:val="both"/>
              <w:rPr>
                <w:sz w:val="22"/>
                <w:szCs w:val="22"/>
                <w:lang w:val="sr-Latn-ME"/>
              </w:rPr>
            </w:pPr>
            <w:r w:rsidRPr="006B58D8">
              <w:rPr>
                <w:sz w:val="22"/>
                <w:szCs w:val="22"/>
                <w:lang w:val="sr-Latn-ME"/>
              </w:rPr>
              <w:t>Veoma rijetko</w:t>
            </w:r>
          </w:p>
        </w:tc>
      </w:tr>
      <w:tr w:rsidR="007A033F" w:rsidRPr="006B58D8" w14:paraId="5212B7C3" w14:textId="77777777" w:rsidTr="0069371F">
        <w:trPr>
          <w:trHeight w:val="520"/>
        </w:trPr>
        <w:tc>
          <w:tcPr>
            <w:tcW w:w="3294" w:type="dxa"/>
            <w:vMerge w:val="restart"/>
            <w:shd w:val="clear" w:color="auto" w:fill="auto"/>
          </w:tcPr>
          <w:p w14:paraId="612B066F" w14:textId="34356BE1" w:rsidR="007A033F" w:rsidRPr="006B58D8" w:rsidRDefault="00777417" w:rsidP="0069371F">
            <w:pPr>
              <w:jc w:val="both"/>
              <w:rPr>
                <w:sz w:val="22"/>
                <w:szCs w:val="22"/>
                <w:lang w:val="sr-Latn-ME"/>
              </w:rPr>
            </w:pPr>
            <w:r w:rsidRPr="006B58D8">
              <w:rPr>
                <w:sz w:val="22"/>
                <w:szCs w:val="22"/>
                <w:lang w:val="sr-Latn-ME"/>
              </w:rPr>
              <w:t>I</w:t>
            </w:r>
            <w:r w:rsidR="005571D0" w:rsidRPr="006B58D8">
              <w:rPr>
                <w:sz w:val="22"/>
                <w:szCs w:val="22"/>
                <w:lang w:val="sr-Latn-ME"/>
              </w:rPr>
              <w:t>muno</w:t>
            </w:r>
            <w:r w:rsidRPr="006B58D8">
              <w:rPr>
                <w:sz w:val="22"/>
                <w:szCs w:val="22"/>
                <w:lang w:val="sr-Latn-ME"/>
              </w:rPr>
              <w:t>loški</w:t>
            </w:r>
            <w:r w:rsidR="005571D0" w:rsidRPr="006B58D8">
              <w:rPr>
                <w:sz w:val="22"/>
                <w:szCs w:val="22"/>
                <w:lang w:val="sr-Latn-ME"/>
              </w:rPr>
              <w:t xml:space="preserve"> </w:t>
            </w:r>
            <w:r w:rsidRPr="006B58D8">
              <w:rPr>
                <w:sz w:val="22"/>
                <w:szCs w:val="22"/>
                <w:lang w:val="sr-Latn-ME"/>
              </w:rPr>
              <w:t>poreme</w:t>
            </w:r>
            <w:r w:rsidR="00C212AA" w:rsidRPr="006B58D8">
              <w:rPr>
                <w:sz w:val="22"/>
                <w:szCs w:val="22"/>
                <w:lang w:val="sr-Latn-ME"/>
              </w:rPr>
              <w:t>ćaji</w:t>
            </w:r>
            <w:r w:rsidRPr="006B58D8">
              <w:rPr>
                <w:sz w:val="22"/>
                <w:szCs w:val="22"/>
                <w:lang w:val="sr-Latn-ME"/>
              </w:rPr>
              <w:t xml:space="preserve"> </w:t>
            </w:r>
          </w:p>
        </w:tc>
        <w:tc>
          <w:tcPr>
            <w:tcW w:w="4214" w:type="dxa"/>
            <w:shd w:val="clear" w:color="auto" w:fill="auto"/>
          </w:tcPr>
          <w:p w14:paraId="4AA2B94C" w14:textId="77777777" w:rsidR="007A033F" w:rsidRPr="006B58D8" w:rsidRDefault="007A033F" w:rsidP="0069371F">
            <w:pPr>
              <w:jc w:val="both"/>
              <w:rPr>
                <w:sz w:val="22"/>
                <w:szCs w:val="22"/>
                <w:lang w:val="sr-Latn-ME"/>
              </w:rPr>
            </w:pPr>
            <w:r w:rsidRPr="006B58D8">
              <w:rPr>
                <w:sz w:val="22"/>
                <w:szCs w:val="22"/>
                <w:lang w:val="sr-Latn-ME"/>
              </w:rPr>
              <w:t>Reakcije preosjetljivosti uključujući anafilaksu</w:t>
            </w:r>
          </w:p>
        </w:tc>
        <w:tc>
          <w:tcPr>
            <w:tcW w:w="2454" w:type="dxa"/>
            <w:shd w:val="clear" w:color="auto" w:fill="auto"/>
          </w:tcPr>
          <w:p w14:paraId="5FAB84CE" w14:textId="0D67F545" w:rsidR="007A033F" w:rsidRPr="006B58D8" w:rsidRDefault="007A033F" w:rsidP="0069371F">
            <w:pPr>
              <w:jc w:val="both"/>
              <w:rPr>
                <w:sz w:val="22"/>
                <w:szCs w:val="22"/>
                <w:lang w:val="sr-Latn-ME"/>
              </w:rPr>
            </w:pPr>
            <w:r w:rsidRPr="006B58D8">
              <w:rPr>
                <w:sz w:val="22"/>
                <w:szCs w:val="22"/>
                <w:lang w:val="sr-Latn-ME"/>
              </w:rPr>
              <w:t xml:space="preserve">Povremeno </w:t>
            </w:r>
          </w:p>
        </w:tc>
      </w:tr>
      <w:tr w:rsidR="007A033F" w:rsidRPr="006B58D8" w14:paraId="1E29658D" w14:textId="77777777" w:rsidTr="0069371F">
        <w:trPr>
          <w:trHeight w:val="127"/>
        </w:trPr>
        <w:tc>
          <w:tcPr>
            <w:tcW w:w="3294" w:type="dxa"/>
            <w:vMerge/>
            <w:shd w:val="clear" w:color="auto" w:fill="auto"/>
          </w:tcPr>
          <w:p w14:paraId="3320A761" w14:textId="77777777" w:rsidR="007A033F" w:rsidRPr="006B58D8" w:rsidRDefault="007A033F" w:rsidP="0069371F">
            <w:pPr>
              <w:jc w:val="both"/>
              <w:rPr>
                <w:sz w:val="22"/>
                <w:szCs w:val="22"/>
                <w:lang w:val="sr-Latn-ME"/>
              </w:rPr>
            </w:pPr>
          </w:p>
        </w:tc>
        <w:tc>
          <w:tcPr>
            <w:tcW w:w="4214" w:type="dxa"/>
            <w:shd w:val="clear" w:color="auto" w:fill="auto"/>
          </w:tcPr>
          <w:p w14:paraId="06C21187" w14:textId="77777777" w:rsidR="007A033F" w:rsidRPr="006B58D8" w:rsidRDefault="007A033F" w:rsidP="0069371F">
            <w:pPr>
              <w:jc w:val="both"/>
              <w:rPr>
                <w:sz w:val="22"/>
                <w:szCs w:val="22"/>
                <w:lang w:val="sr-Latn-ME"/>
              </w:rPr>
            </w:pPr>
            <w:r w:rsidRPr="006B58D8">
              <w:rPr>
                <w:sz w:val="22"/>
                <w:szCs w:val="22"/>
                <w:lang w:val="sr-Latn-ME"/>
              </w:rPr>
              <w:t>Hepatička eozinofilna infiltracija</w:t>
            </w:r>
          </w:p>
        </w:tc>
        <w:tc>
          <w:tcPr>
            <w:tcW w:w="2454" w:type="dxa"/>
            <w:shd w:val="clear" w:color="auto" w:fill="auto"/>
          </w:tcPr>
          <w:p w14:paraId="5E2720FD" w14:textId="09B405F7" w:rsidR="007A033F" w:rsidRPr="006B58D8" w:rsidRDefault="007A033F" w:rsidP="0069371F">
            <w:pPr>
              <w:jc w:val="both"/>
              <w:rPr>
                <w:sz w:val="22"/>
                <w:szCs w:val="22"/>
                <w:lang w:val="sr-Latn-ME"/>
              </w:rPr>
            </w:pPr>
            <w:r w:rsidRPr="006B58D8">
              <w:rPr>
                <w:sz w:val="22"/>
                <w:szCs w:val="22"/>
                <w:lang w:val="sr-Latn-ME"/>
              </w:rPr>
              <w:t>Veoma rijetko</w:t>
            </w:r>
          </w:p>
        </w:tc>
      </w:tr>
      <w:tr w:rsidR="007A033F" w:rsidRPr="006B58D8" w14:paraId="5E552F4D" w14:textId="77777777" w:rsidTr="0069371F">
        <w:trPr>
          <w:trHeight w:val="85"/>
        </w:trPr>
        <w:tc>
          <w:tcPr>
            <w:tcW w:w="3294" w:type="dxa"/>
            <w:vMerge w:val="restart"/>
            <w:shd w:val="clear" w:color="auto" w:fill="auto"/>
          </w:tcPr>
          <w:p w14:paraId="35298B52" w14:textId="77777777" w:rsidR="007A033F" w:rsidRPr="006B58D8" w:rsidRDefault="007A033F" w:rsidP="0069371F">
            <w:pPr>
              <w:jc w:val="both"/>
              <w:rPr>
                <w:sz w:val="22"/>
                <w:szCs w:val="22"/>
                <w:lang w:val="sr-Latn-ME"/>
              </w:rPr>
            </w:pPr>
            <w:r w:rsidRPr="006B58D8">
              <w:rPr>
                <w:sz w:val="22"/>
                <w:szCs w:val="22"/>
                <w:lang w:val="sr-Latn-ME"/>
              </w:rPr>
              <w:t>Psihijatrijski poremećaji</w:t>
            </w:r>
          </w:p>
        </w:tc>
        <w:tc>
          <w:tcPr>
            <w:tcW w:w="4214" w:type="dxa"/>
            <w:shd w:val="clear" w:color="auto" w:fill="auto"/>
          </w:tcPr>
          <w:p w14:paraId="15D28C01" w14:textId="0821D3FC" w:rsidR="007A033F" w:rsidRPr="006B58D8" w:rsidRDefault="007A033F" w:rsidP="0069371F">
            <w:pPr>
              <w:jc w:val="both"/>
              <w:rPr>
                <w:sz w:val="22"/>
                <w:szCs w:val="22"/>
                <w:lang w:val="sr-Latn-ME"/>
              </w:rPr>
            </w:pPr>
            <w:r w:rsidRPr="006B58D8">
              <w:rPr>
                <w:sz w:val="22"/>
                <w:szCs w:val="22"/>
                <w:lang w:val="sr-Latn-ME"/>
              </w:rPr>
              <w:t xml:space="preserve">Poremećaji sna uključujući noćne more, nesanicu, somnambulizam, uznemirenost, agitaciju uz agresivno i neprijateljsko ponašanje, depresija, psihomotorna hiperaktivnost (uključujući iritabilnost, </w:t>
            </w:r>
            <w:r w:rsidR="006242DF" w:rsidRPr="006B58D8">
              <w:rPr>
                <w:sz w:val="22"/>
                <w:szCs w:val="22"/>
                <w:lang w:val="sr-Latn-ME"/>
              </w:rPr>
              <w:t>nemir</w:t>
            </w:r>
            <w:r w:rsidRPr="006B58D8">
              <w:rPr>
                <w:sz w:val="22"/>
                <w:szCs w:val="22"/>
                <w:lang w:val="sr-Latn-ME"/>
              </w:rPr>
              <w:t>, tremor</w:t>
            </w:r>
            <w:r w:rsidRPr="006B58D8">
              <w:rPr>
                <w:sz w:val="22"/>
                <w:szCs w:val="22"/>
                <w:vertAlign w:val="superscript"/>
                <w:lang w:val="sr-Latn-ME"/>
              </w:rPr>
              <w:t>§</w:t>
            </w:r>
            <w:r w:rsidRPr="006B58D8">
              <w:rPr>
                <w:sz w:val="22"/>
                <w:szCs w:val="22"/>
                <w:lang w:val="sr-Latn-ME"/>
              </w:rPr>
              <w:t>)</w:t>
            </w:r>
          </w:p>
        </w:tc>
        <w:tc>
          <w:tcPr>
            <w:tcW w:w="2454" w:type="dxa"/>
            <w:shd w:val="clear" w:color="auto" w:fill="auto"/>
          </w:tcPr>
          <w:p w14:paraId="4951B337" w14:textId="2A8E75F2" w:rsidR="007A033F" w:rsidRPr="006B58D8" w:rsidRDefault="007A033F" w:rsidP="0069371F">
            <w:pPr>
              <w:jc w:val="both"/>
              <w:rPr>
                <w:sz w:val="22"/>
                <w:szCs w:val="22"/>
                <w:lang w:val="sr-Latn-ME"/>
              </w:rPr>
            </w:pPr>
            <w:r w:rsidRPr="006B58D8">
              <w:rPr>
                <w:sz w:val="22"/>
                <w:szCs w:val="22"/>
                <w:lang w:val="sr-Latn-ME"/>
              </w:rPr>
              <w:t xml:space="preserve">Povremeno </w:t>
            </w:r>
          </w:p>
        </w:tc>
      </w:tr>
      <w:tr w:rsidR="007A033F" w:rsidRPr="006B58D8" w14:paraId="08B20B53" w14:textId="77777777" w:rsidTr="0069371F">
        <w:trPr>
          <w:trHeight w:val="85"/>
        </w:trPr>
        <w:tc>
          <w:tcPr>
            <w:tcW w:w="3294" w:type="dxa"/>
            <w:vMerge/>
            <w:shd w:val="clear" w:color="auto" w:fill="auto"/>
          </w:tcPr>
          <w:p w14:paraId="05049383" w14:textId="77777777" w:rsidR="007A033F" w:rsidRPr="006B58D8" w:rsidRDefault="007A033F" w:rsidP="0069371F">
            <w:pPr>
              <w:jc w:val="both"/>
              <w:rPr>
                <w:sz w:val="22"/>
                <w:szCs w:val="22"/>
                <w:lang w:val="sr-Latn-ME"/>
              </w:rPr>
            </w:pPr>
          </w:p>
        </w:tc>
        <w:tc>
          <w:tcPr>
            <w:tcW w:w="4214" w:type="dxa"/>
            <w:shd w:val="clear" w:color="auto" w:fill="auto"/>
          </w:tcPr>
          <w:p w14:paraId="1B9BC9B5" w14:textId="3B9104F1" w:rsidR="007A033F" w:rsidRPr="006B58D8" w:rsidRDefault="007A033F" w:rsidP="0069371F">
            <w:pPr>
              <w:jc w:val="both"/>
              <w:rPr>
                <w:sz w:val="22"/>
                <w:szCs w:val="22"/>
                <w:lang w:val="sr-Latn-ME"/>
              </w:rPr>
            </w:pPr>
            <w:r w:rsidRPr="006B58D8">
              <w:rPr>
                <w:sz w:val="22"/>
                <w:szCs w:val="22"/>
                <w:lang w:val="sr-Latn-ME"/>
              </w:rPr>
              <w:t>Poremećaj pažnje, slabljenje memorije</w:t>
            </w:r>
            <w:r w:rsidR="004854E1" w:rsidRPr="006B58D8">
              <w:rPr>
                <w:sz w:val="22"/>
                <w:szCs w:val="22"/>
                <w:lang w:val="sr-Latn-ME"/>
              </w:rPr>
              <w:t>, tikovi</w:t>
            </w:r>
          </w:p>
        </w:tc>
        <w:tc>
          <w:tcPr>
            <w:tcW w:w="2454" w:type="dxa"/>
            <w:shd w:val="clear" w:color="auto" w:fill="auto"/>
          </w:tcPr>
          <w:p w14:paraId="4295D24F" w14:textId="4E3CFD91" w:rsidR="007A033F" w:rsidRPr="006B58D8" w:rsidRDefault="007A033F" w:rsidP="0069371F">
            <w:pPr>
              <w:jc w:val="both"/>
              <w:rPr>
                <w:sz w:val="22"/>
                <w:szCs w:val="22"/>
                <w:lang w:val="sr-Latn-ME"/>
              </w:rPr>
            </w:pPr>
            <w:r w:rsidRPr="006B58D8">
              <w:rPr>
                <w:sz w:val="22"/>
                <w:szCs w:val="22"/>
                <w:lang w:val="sr-Latn-ME"/>
              </w:rPr>
              <w:t xml:space="preserve">Rijetko </w:t>
            </w:r>
          </w:p>
        </w:tc>
      </w:tr>
      <w:tr w:rsidR="007A033F" w:rsidRPr="006B58D8" w14:paraId="286BD205" w14:textId="77777777" w:rsidTr="0069371F">
        <w:trPr>
          <w:trHeight w:val="85"/>
        </w:trPr>
        <w:tc>
          <w:tcPr>
            <w:tcW w:w="3294" w:type="dxa"/>
            <w:vMerge/>
            <w:shd w:val="clear" w:color="auto" w:fill="auto"/>
          </w:tcPr>
          <w:p w14:paraId="316934D6" w14:textId="77777777" w:rsidR="007A033F" w:rsidRPr="006B58D8" w:rsidRDefault="007A033F" w:rsidP="0069371F">
            <w:pPr>
              <w:jc w:val="both"/>
              <w:rPr>
                <w:sz w:val="22"/>
                <w:szCs w:val="22"/>
                <w:lang w:val="sr-Latn-ME"/>
              </w:rPr>
            </w:pPr>
          </w:p>
        </w:tc>
        <w:tc>
          <w:tcPr>
            <w:tcW w:w="4214" w:type="dxa"/>
            <w:shd w:val="clear" w:color="auto" w:fill="auto"/>
          </w:tcPr>
          <w:p w14:paraId="2C1CCCBC" w14:textId="1259F07D" w:rsidR="007A033F" w:rsidRPr="006B58D8" w:rsidRDefault="004854E1" w:rsidP="0069371F">
            <w:pPr>
              <w:jc w:val="both"/>
              <w:rPr>
                <w:sz w:val="22"/>
                <w:szCs w:val="22"/>
                <w:lang w:val="sr-Latn-ME"/>
              </w:rPr>
            </w:pPr>
            <w:r w:rsidRPr="006B58D8">
              <w:rPr>
                <w:sz w:val="22"/>
                <w:szCs w:val="22"/>
                <w:lang w:val="sr-Latn-ME"/>
              </w:rPr>
              <w:t>Halucinacije,</w:t>
            </w:r>
            <w:r w:rsidR="005571D0" w:rsidRPr="006B58D8">
              <w:rPr>
                <w:sz w:val="22"/>
                <w:szCs w:val="22"/>
                <w:lang w:val="sr-Latn-ME"/>
              </w:rPr>
              <w:t xml:space="preserve"> </w:t>
            </w:r>
            <w:r w:rsidRPr="006B58D8">
              <w:rPr>
                <w:sz w:val="22"/>
                <w:szCs w:val="22"/>
                <w:lang w:val="sr-Latn-ME"/>
              </w:rPr>
              <w:t>dezorjentacija, suicidalne misli i ponašanje (suicidalnost), opsesivno-kompulzivni simptomi, disfemija</w:t>
            </w:r>
          </w:p>
        </w:tc>
        <w:tc>
          <w:tcPr>
            <w:tcW w:w="2454" w:type="dxa"/>
            <w:shd w:val="clear" w:color="auto" w:fill="auto"/>
          </w:tcPr>
          <w:p w14:paraId="67E71DB7" w14:textId="4B65E46C" w:rsidR="007A033F" w:rsidRPr="006B58D8" w:rsidRDefault="007A033F" w:rsidP="0069371F">
            <w:pPr>
              <w:jc w:val="both"/>
              <w:rPr>
                <w:sz w:val="22"/>
                <w:szCs w:val="22"/>
                <w:lang w:val="sr-Latn-ME"/>
              </w:rPr>
            </w:pPr>
            <w:r w:rsidRPr="006B58D8">
              <w:rPr>
                <w:sz w:val="22"/>
                <w:szCs w:val="22"/>
                <w:lang w:val="sr-Latn-ME"/>
              </w:rPr>
              <w:t>Veoma rijetko</w:t>
            </w:r>
          </w:p>
        </w:tc>
      </w:tr>
      <w:tr w:rsidR="007A033F" w:rsidRPr="006B58D8" w14:paraId="32A0D7EE" w14:textId="77777777" w:rsidTr="0069371F">
        <w:tc>
          <w:tcPr>
            <w:tcW w:w="3294" w:type="dxa"/>
            <w:shd w:val="clear" w:color="auto" w:fill="auto"/>
          </w:tcPr>
          <w:p w14:paraId="4B64C9CE" w14:textId="77777777" w:rsidR="007A033F" w:rsidRPr="006B58D8" w:rsidRDefault="007A033F" w:rsidP="0069371F">
            <w:pPr>
              <w:jc w:val="both"/>
              <w:rPr>
                <w:sz w:val="22"/>
                <w:szCs w:val="22"/>
                <w:lang w:val="sr-Latn-ME"/>
              </w:rPr>
            </w:pPr>
            <w:r w:rsidRPr="006B58D8">
              <w:rPr>
                <w:sz w:val="22"/>
                <w:szCs w:val="22"/>
                <w:lang w:val="sr-Latn-ME"/>
              </w:rPr>
              <w:t>Poremećaji nervnog sistema</w:t>
            </w:r>
          </w:p>
        </w:tc>
        <w:tc>
          <w:tcPr>
            <w:tcW w:w="4214" w:type="dxa"/>
            <w:shd w:val="clear" w:color="auto" w:fill="auto"/>
          </w:tcPr>
          <w:p w14:paraId="749EC251" w14:textId="77777777" w:rsidR="007A033F" w:rsidRPr="006B58D8" w:rsidRDefault="007A033F" w:rsidP="00445E9B">
            <w:pPr>
              <w:rPr>
                <w:sz w:val="22"/>
                <w:szCs w:val="22"/>
                <w:lang w:val="sr-Latn-ME"/>
              </w:rPr>
            </w:pPr>
            <w:r w:rsidRPr="006B58D8">
              <w:rPr>
                <w:sz w:val="22"/>
                <w:szCs w:val="22"/>
                <w:lang w:val="sr-Latn-ME"/>
              </w:rPr>
              <w:t>Vrtoglavica, pospanost, parestezija/hipoestezija, konvulzija</w:t>
            </w:r>
          </w:p>
        </w:tc>
        <w:tc>
          <w:tcPr>
            <w:tcW w:w="2454" w:type="dxa"/>
            <w:shd w:val="clear" w:color="auto" w:fill="auto"/>
          </w:tcPr>
          <w:p w14:paraId="09919F81" w14:textId="292CEDED" w:rsidR="007A033F" w:rsidRPr="006B58D8" w:rsidRDefault="007A033F" w:rsidP="0069371F">
            <w:pPr>
              <w:jc w:val="both"/>
              <w:rPr>
                <w:sz w:val="22"/>
                <w:szCs w:val="22"/>
                <w:lang w:val="sr-Latn-ME"/>
              </w:rPr>
            </w:pPr>
            <w:r w:rsidRPr="006B58D8">
              <w:rPr>
                <w:sz w:val="22"/>
                <w:szCs w:val="22"/>
                <w:lang w:val="sr-Latn-ME"/>
              </w:rPr>
              <w:t xml:space="preserve">Povremeno </w:t>
            </w:r>
          </w:p>
        </w:tc>
      </w:tr>
      <w:tr w:rsidR="007A033F" w:rsidRPr="006B58D8" w14:paraId="3F57A7B8" w14:textId="77777777" w:rsidTr="0069371F">
        <w:tc>
          <w:tcPr>
            <w:tcW w:w="3294" w:type="dxa"/>
            <w:shd w:val="clear" w:color="auto" w:fill="auto"/>
          </w:tcPr>
          <w:p w14:paraId="5F88848D" w14:textId="77777777" w:rsidR="007A033F" w:rsidRPr="006B58D8" w:rsidRDefault="007A033F" w:rsidP="0069371F">
            <w:pPr>
              <w:jc w:val="both"/>
              <w:rPr>
                <w:sz w:val="22"/>
                <w:szCs w:val="22"/>
                <w:lang w:val="sr-Latn-ME"/>
              </w:rPr>
            </w:pPr>
            <w:r w:rsidRPr="006B58D8">
              <w:rPr>
                <w:sz w:val="22"/>
                <w:szCs w:val="22"/>
                <w:lang w:val="sr-Latn-ME"/>
              </w:rPr>
              <w:t>Kardiološki poremećaji</w:t>
            </w:r>
          </w:p>
        </w:tc>
        <w:tc>
          <w:tcPr>
            <w:tcW w:w="4214" w:type="dxa"/>
            <w:shd w:val="clear" w:color="auto" w:fill="auto"/>
          </w:tcPr>
          <w:p w14:paraId="1351ECD1" w14:textId="77777777" w:rsidR="007A033F" w:rsidRPr="006B58D8" w:rsidRDefault="007A033F" w:rsidP="0069371F">
            <w:pPr>
              <w:jc w:val="both"/>
              <w:rPr>
                <w:sz w:val="22"/>
                <w:szCs w:val="22"/>
                <w:lang w:val="sr-Latn-ME"/>
              </w:rPr>
            </w:pPr>
            <w:r w:rsidRPr="006B58D8">
              <w:rPr>
                <w:sz w:val="22"/>
                <w:szCs w:val="22"/>
                <w:lang w:val="sr-Latn-ME"/>
              </w:rPr>
              <w:t>Palpitacije</w:t>
            </w:r>
          </w:p>
        </w:tc>
        <w:tc>
          <w:tcPr>
            <w:tcW w:w="2454" w:type="dxa"/>
            <w:shd w:val="clear" w:color="auto" w:fill="auto"/>
          </w:tcPr>
          <w:p w14:paraId="48F6CE5D" w14:textId="0D0AAD97" w:rsidR="007A033F" w:rsidRPr="006B58D8" w:rsidRDefault="007A033F" w:rsidP="0069371F">
            <w:pPr>
              <w:jc w:val="both"/>
              <w:rPr>
                <w:sz w:val="22"/>
                <w:szCs w:val="22"/>
                <w:lang w:val="sr-Latn-ME"/>
              </w:rPr>
            </w:pPr>
            <w:r w:rsidRPr="006B58D8">
              <w:rPr>
                <w:sz w:val="22"/>
                <w:szCs w:val="22"/>
                <w:lang w:val="sr-Latn-ME"/>
              </w:rPr>
              <w:t xml:space="preserve">Rijetko </w:t>
            </w:r>
          </w:p>
        </w:tc>
      </w:tr>
      <w:tr w:rsidR="007A033F" w:rsidRPr="006B58D8" w14:paraId="27F1DC2D" w14:textId="77777777" w:rsidTr="0069371F">
        <w:trPr>
          <w:trHeight w:val="128"/>
        </w:trPr>
        <w:tc>
          <w:tcPr>
            <w:tcW w:w="3294" w:type="dxa"/>
            <w:vMerge w:val="restart"/>
            <w:shd w:val="clear" w:color="auto" w:fill="auto"/>
          </w:tcPr>
          <w:p w14:paraId="20CA00D5" w14:textId="77777777" w:rsidR="007A033F" w:rsidRPr="006B58D8" w:rsidRDefault="007A033F" w:rsidP="00445E9B">
            <w:pPr>
              <w:rPr>
                <w:sz w:val="22"/>
                <w:szCs w:val="22"/>
                <w:lang w:val="sr-Latn-ME"/>
              </w:rPr>
            </w:pPr>
            <w:r w:rsidRPr="006B58D8">
              <w:rPr>
                <w:sz w:val="22"/>
                <w:szCs w:val="22"/>
                <w:lang w:val="sr-Latn-ME"/>
              </w:rPr>
              <w:t>Respiratorni, torakalni i mediastinalni poremećaji</w:t>
            </w:r>
          </w:p>
        </w:tc>
        <w:tc>
          <w:tcPr>
            <w:tcW w:w="4214" w:type="dxa"/>
            <w:shd w:val="clear" w:color="auto" w:fill="auto"/>
          </w:tcPr>
          <w:p w14:paraId="008EADB2" w14:textId="77777777" w:rsidR="007A033F" w:rsidRPr="006B58D8" w:rsidRDefault="007A033F" w:rsidP="0069371F">
            <w:pPr>
              <w:jc w:val="both"/>
              <w:rPr>
                <w:sz w:val="22"/>
                <w:szCs w:val="22"/>
                <w:lang w:val="sr-Latn-ME"/>
              </w:rPr>
            </w:pPr>
            <w:r w:rsidRPr="006B58D8">
              <w:rPr>
                <w:sz w:val="22"/>
                <w:szCs w:val="22"/>
                <w:lang w:val="sr-Latn-ME"/>
              </w:rPr>
              <w:t>Epistaksa</w:t>
            </w:r>
          </w:p>
        </w:tc>
        <w:tc>
          <w:tcPr>
            <w:tcW w:w="2454" w:type="dxa"/>
            <w:shd w:val="clear" w:color="auto" w:fill="auto"/>
          </w:tcPr>
          <w:p w14:paraId="7CAA2F9F" w14:textId="77777777" w:rsidR="007A033F" w:rsidRPr="006B58D8" w:rsidRDefault="007A033F" w:rsidP="0069371F">
            <w:pPr>
              <w:jc w:val="both"/>
              <w:rPr>
                <w:sz w:val="22"/>
                <w:szCs w:val="22"/>
                <w:lang w:val="sr-Latn-ME"/>
              </w:rPr>
            </w:pPr>
            <w:r w:rsidRPr="006B58D8">
              <w:rPr>
                <w:sz w:val="22"/>
                <w:szCs w:val="22"/>
                <w:lang w:val="sr-Latn-ME"/>
              </w:rPr>
              <w:t xml:space="preserve">Povremeno </w:t>
            </w:r>
          </w:p>
        </w:tc>
      </w:tr>
      <w:tr w:rsidR="007A033F" w:rsidRPr="006B58D8" w14:paraId="57DAA9A4" w14:textId="77777777" w:rsidTr="0069371F">
        <w:trPr>
          <w:trHeight w:val="127"/>
        </w:trPr>
        <w:tc>
          <w:tcPr>
            <w:tcW w:w="3294" w:type="dxa"/>
            <w:vMerge/>
            <w:shd w:val="clear" w:color="auto" w:fill="auto"/>
          </w:tcPr>
          <w:p w14:paraId="049881A5" w14:textId="77777777" w:rsidR="007A033F" w:rsidRPr="006B58D8" w:rsidRDefault="007A033F" w:rsidP="0069371F">
            <w:pPr>
              <w:jc w:val="both"/>
              <w:rPr>
                <w:sz w:val="22"/>
                <w:szCs w:val="22"/>
                <w:lang w:val="sr-Latn-ME"/>
              </w:rPr>
            </w:pPr>
          </w:p>
        </w:tc>
        <w:tc>
          <w:tcPr>
            <w:tcW w:w="4214" w:type="dxa"/>
            <w:shd w:val="clear" w:color="auto" w:fill="auto"/>
          </w:tcPr>
          <w:p w14:paraId="69B23B81" w14:textId="7888F1D4" w:rsidR="007A033F" w:rsidRPr="006B58D8" w:rsidRDefault="007A033F">
            <w:pPr>
              <w:jc w:val="both"/>
              <w:rPr>
                <w:sz w:val="22"/>
                <w:szCs w:val="22"/>
                <w:lang w:val="sr-Latn-ME"/>
              </w:rPr>
            </w:pPr>
            <w:r w:rsidRPr="006B58D8">
              <w:rPr>
                <w:i/>
                <w:sz w:val="22"/>
                <w:szCs w:val="22"/>
                <w:lang w:val="sr-Latn-ME"/>
              </w:rPr>
              <w:t>Churg-Strauss</w:t>
            </w:r>
            <w:r w:rsidRPr="006B58D8">
              <w:rPr>
                <w:sz w:val="22"/>
                <w:szCs w:val="22"/>
                <w:lang w:val="sr-Latn-ME"/>
              </w:rPr>
              <w:t xml:space="preserve"> Sindrom (CSS) </w:t>
            </w:r>
            <w:r w:rsidR="00603A81" w:rsidRPr="006B58D8">
              <w:rPr>
                <w:sz w:val="22"/>
                <w:szCs w:val="22"/>
                <w:lang w:val="sr-Latn-ME"/>
              </w:rPr>
              <w:t>(</w:t>
            </w:r>
            <w:r w:rsidRPr="006B58D8">
              <w:rPr>
                <w:sz w:val="22"/>
                <w:szCs w:val="22"/>
                <w:lang w:val="sr-Latn-ME"/>
              </w:rPr>
              <w:t>vid</w:t>
            </w:r>
            <w:r w:rsidR="005571D0" w:rsidRPr="006B58D8">
              <w:rPr>
                <w:sz w:val="22"/>
                <w:szCs w:val="22"/>
                <w:lang w:val="sr-Latn-ME"/>
              </w:rPr>
              <w:t>jeti</w:t>
            </w:r>
            <w:r w:rsidRPr="006B58D8">
              <w:rPr>
                <w:sz w:val="22"/>
                <w:szCs w:val="22"/>
                <w:lang w:val="sr-Latn-ME"/>
              </w:rPr>
              <w:t xml:space="preserve"> </w:t>
            </w:r>
            <w:r w:rsidR="005571D0" w:rsidRPr="006B58D8">
              <w:rPr>
                <w:sz w:val="22"/>
                <w:szCs w:val="22"/>
                <w:lang w:val="sr-Latn-ME"/>
              </w:rPr>
              <w:t xml:space="preserve">dio </w:t>
            </w:r>
            <w:r w:rsidRPr="006B58D8">
              <w:rPr>
                <w:sz w:val="22"/>
                <w:szCs w:val="22"/>
                <w:lang w:val="sr-Latn-ME"/>
              </w:rPr>
              <w:t>4.4</w:t>
            </w:r>
            <w:r w:rsidR="00603A81" w:rsidRPr="006B58D8">
              <w:rPr>
                <w:sz w:val="22"/>
                <w:szCs w:val="22"/>
                <w:lang w:val="sr-Latn-ME"/>
              </w:rPr>
              <w:t>)</w:t>
            </w:r>
          </w:p>
        </w:tc>
        <w:tc>
          <w:tcPr>
            <w:tcW w:w="2454" w:type="dxa"/>
            <w:shd w:val="clear" w:color="auto" w:fill="auto"/>
          </w:tcPr>
          <w:p w14:paraId="75A1B647" w14:textId="3760EB9D" w:rsidR="007A033F" w:rsidRPr="006B58D8" w:rsidRDefault="007A033F" w:rsidP="0069371F">
            <w:pPr>
              <w:jc w:val="both"/>
              <w:rPr>
                <w:sz w:val="22"/>
                <w:szCs w:val="22"/>
                <w:lang w:val="sr-Latn-ME"/>
              </w:rPr>
            </w:pPr>
            <w:r w:rsidRPr="006B58D8">
              <w:rPr>
                <w:sz w:val="22"/>
                <w:szCs w:val="22"/>
                <w:lang w:val="sr-Latn-ME"/>
              </w:rPr>
              <w:t>Veoma rijetko</w:t>
            </w:r>
          </w:p>
        </w:tc>
      </w:tr>
      <w:tr w:rsidR="007A033F" w:rsidRPr="006B58D8" w14:paraId="21C73E1B" w14:textId="77777777" w:rsidTr="0069371F">
        <w:trPr>
          <w:trHeight w:val="127"/>
        </w:trPr>
        <w:tc>
          <w:tcPr>
            <w:tcW w:w="3294" w:type="dxa"/>
            <w:vMerge/>
            <w:shd w:val="clear" w:color="auto" w:fill="auto"/>
          </w:tcPr>
          <w:p w14:paraId="7AAAEF7C" w14:textId="77777777" w:rsidR="007A033F" w:rsidRPr="006B58D8" w:rsidRDefault="007A033F" w:rsidP="0069371F">
            <w:pPr>
              <w:jc w:val="both"/>
              <w:rPr>
                <w:sz w:val="22"/>
                <w:szCs w:val="22"/>
                <w:lang w:val="sr-Latn-ME"/>
              </w:rPr>
            </w:pPr>
          </w:p>
        </w:tc>
        <w:tc>
          <w:tcPr>
            <w:tcW w:w="4214" w:type="dxa"/>
            <w:shd w:val="clear" w:color="auto" w:fill="auto"/>
          </w:tcPr>
          <w:p w14:paraId="0AB2725E" w14:textId="77777777" w:rsidR="007A033F" w:rsidRPr="006B58D8" w:rsidRDefault="007A033F" w:rsidP="0069371F">
            <w:pPr>
              <w:jc w:val="both"/>
              <w:rPr>
                <w:sz w:val="22"/>
                <w:szCs w:val="22"/>
                <w:lang w:val="sr-Latn-ME"/>
              </w:rPr>
            </w:pPr>
            <w:r w:rsidRPr="006B58D8">
              <w:rPr>
                <w:sz w:val="22"/>
                <w:szCs w:val="22"/>
                <w:lang w:val="sr-Latn-ME"/>
              </w:rPr>
              <w:t>Pulmonarna eozinofilija</w:t>
            </w:r>
          </w:p>
        </w:tc>
        <w:tc>
          <w:tcPr>
            <w:tcW w:w="2454" w:type="dxa"/>
            <w:shd w:val="clear" w:color="auto" w:fill="auto"/>
          </w:tcPr>
          <w:p w14:paraId="7ADA3F9C" w14:textId="53A10720" w:rsidR="007A033F" w:rsidRPr="006B58D8" w:rsidRDefault="007A033F" w:rsidP="0069371F">
            <w:pPr>
              <w:jc w:val="both"/>
              <w:rPr>
                <w:sz w:val="22"/>
                <w:szCs w:val="22"/>
                <w:lang w:val="sr-Latn-ME"/>
              </w:rPr>
            </w:pPr>
            <w:r w:rsidRPr="006B58D8">
              <w:rPr>
                <w:sz w:val="22"/>
                <w:szCs w:val="22"/>
                <w:lang w:val="sr-Latn-ME"/>
              </w:rPr>
              <w:t>Veoma rijetko</w:t>
            </w:r>
          </w:p>
        </w:tc>
      </w:tr>
      <w:tr w:rsidR="007A033F" w:rsidRPr="006B58D8" w14:paraId="548F714E" w14:textId="77777777" w:rsidTr="0069371F">
        <w:trPr>
          <w:trHeight w:val="128"/>
        </w:trPr>
        <w:tc>
          <w:tcPr>
            <w:tcW w:w="3294" w:type="dxa"/>
            <w:vMerge w:val="restart"/>
            <w:shd w:val="clear" w:color="auto" w:fill="auto"/>
          </w:tcPr>
          <w:p w14:paraId="73A66427" w14:textId="77777777" w:rsidR="007A033F" w:rsidRPr="006B58D8" w:rsidRDefault="007A033F" w:rsidP="0069371F">
            <w:pPr>
              <w:jc w:val="both"/>
              <w:rPr>
                <w:sz w:val="22"/>
                <w:szCs w:val="22"/>
                <w:lang w:val="sr-Latn-ME"/>
              </w:rPr>
            </w:pPr>
            <w:r w:rsidRPr="006B58D8">
              <w:rPr>
                <w:sz w:val="22"/>
                <w:szCs w:val="22"/>
                <w:lang w:val="sr-Latn-ME"/>
              </w:rPr>
              <w:t>Gastrointestinalni poremećaji</w:t>
            </w:r>
          </w:p>
        </w:tc>
        <w:tc>
          <w:tcPr>
            <w:tcW w:w="4214" w:type="dxa"/>
            <w:shd w:val="clear" w:color="auto" w:fill="auto"/>
          </w:tcPr>
          <w:p w14:paraId="515D1DE9" w14:textId="77777777" w:rsidR="007A033F" w:rsidRPr="006B58D8" w:rsidRDefault="007A033F" w:rsidP="0069371F">
            <w:pPr>
              <w:jc w:val="both"/>
              <w:rPr>
                <w:sz w:val="22"/>
                <w:szCs w:val="22"/>
                <w:lang w:val="sr-Latn-ME"/>
              </w:rPr>
            </w:pPr>
            <w:r w:rsidRPr="006B58D8">
              <w:rPr>
                <w:sz w:val="22"/>
                <w:szCs w:val="22"/>
                <w:lang w:val="sr-Latn-ME"/>
              </w:rPr>
              <w:t>Dijareja‡, nauzeja‡, povraćanje‡</w:t>
            </w:r>
          </w:p>
        </w:tc>
        <w:tc>
          <w:tcPr>
            <w:tcW w:w="2454" w:type="dxa"/>
            <w:shd w:val="clear" w:color="auto" w:fill="auto"/>
          </w:tcPr>
          <w:p w14:paraId="7C51434A" w14:textId="0C246BAB" w:rsidR="007A033F" w:rsidRPr="006B58D8" w:rsidRDefault="007A033F" w:rsidP="0069371F">
            <w:pPr>
              <w:jc w:val="both"/>
              <w:rPr>
                <w:sz w:val="22"/>
                <w:szCs w:val="22"/>
                <w:lang w:val="sr-Latn-ME"/>
              </w:rPr>
            </w:pPr>
            <w:r w:rsidRPr="006B58D8">
              <w:rPr>
                <w:sz w:val="22"/>
                <w:szCs w:val="22"/>
                <w:lang w:val="sr-Latn-ME"/>
              </w:rPr>
              <w:t xml:space="preserve">Često </w:t>
            </w:r>
          </w:p>
        </w:tc>
      </w:tr>
      <w:tr w:rsidR="007A033F" w:rsidRPr="006B58D8" w14:paraId="6014D5EE" w14:textId="77777777" w:rsidTr="0069371F">
        <w:trPr>
          <w:trHeight w:val="127"/>
        </w:trPr>
        <w:tc>
          <w:tcPr>
            <w:tcW w:w="3294" w:type="dxa"/>
            <w:vMerge/>
            <w:shd w:val="clear" w:color="auto" w:fill="auto"/>
          </w:tcPr>
          <w:p w14:paraId="1DFAAE41" w14:textId="77777777" w:rsidR="007A033F" w:rsidRPr="006B58D8" w:rsidRDefault="007A033F" w:rsidP="0069371F">
            <w:pPr>
              <w:jc w:val="both"/>
              <w:rPr>
                <w:sz w:val="22"/>
                <w:szCs w:val="22"/>
                <w:lang w:val="sr-Latn-ME"/>
              </w:rPr>
            </w:pPr>
          </w:p>
        </w:tc>
        <w:tc>
          <w:tcPr>
            <w:tcW w:w="4214" w:type="dxa"/>
            <w:shd w:val="clear" w:color="auto" w:fill="auto"/>
          </w:tcPr>
          <w:p w14:paraId="34FBC330" w14:textId="77777777" w:rsidR="007A033F" w:rsidRPr="006B58D8" w:rsidRDefault="007A033F" w:rsidP="0069371F">
            <w:pPr>
              <w:jc w:val="both"/>
              <w:rPr>
                <w:sz w:val="22"/>
                <w:szCs w:val="22"/>
                <w:lang w:val="sr-Latn-ME"/>
              </w:rPr>
            </w:pPr>
            <w:r w:rsidRPr="006B58D8">
              <w:rPr>
                <w:sz w:val="22"/>
                <w:szCs w:val="22"/>
                <w:lang w:val="sr-Latn-ME"/>
              </w:rPr>
              <w:t>Suvoća usta, dispepsija</w:t>
            </w:r>
          </w:p>
        </w:tc>
        <w:tc>
          <w:tcPr>
            <w:tcW w:w="2454" w:type="dxa"/>
            <w:shd w:val="clear" w:color="auto" w:fill="auto"/>
          </w:tcPr>
          <w:p w14:paraId="397BDE88" w14:textId="2EB2588A" w:rsidR="007A033F" w:rsidRPr="006B58D8" w:rsidRDefault="007A033F" w:rsidP="0069371F">
            <w:pPr>
              <w:jc w:val="both"/>
              <w:rPr>
                <w:sz w:val="22"/>
                <w:szCs w:val="22"/>
                <w:lang w:val="sr-Latn-ME"/>
              </w:rPr>
            </w:pPr>
            <w:r w:rsidRPr="006B58D8">
              <w:rPr>
                <w:sz w:val="22"/>
                <w:szCs w:val="22"/>
                <w:lang w:val="sr-Latn-ME"/>
              </w:rPr>
              <w:t>Povremeno</w:t>
            </w:r>
          </w:p>
        </w:tc>
      </w:tr>
      <w:tr w:rsidR="007A033F" w:rsidRPr="006B58D8" w14:paraId="3E81837D" w14:textId="77777777" w:rsidTr="0069371F">
        <w:trPr>
          <w:trHeight w:val="128"/>
        </w:trPr>
        <w:tc>
          <w:tcPr>
            <w:tcW w:w="3294" w:type="dxa"/>
            <w:vMerge w:val="restart"/>
            <w:shd w:val="clear" w:color="auto" w:fill="auto"/>
          </w:tcPr>
          <w:p w14:paraId="1A5FF317" w14:textId="77777777" w:rsidR="007A033F" w:rsidRPr="006B58D8" w:rsidRDefault="007A033F" w:rsidP="0069371F">
            <w:pPr>
              <w:jc w:val="both"/>
              <w:rPr>
                <w:sz w:val="22"/>
                <w:szCs w:val="22"/>
                <w:lang w:val="sr-Latn-ME"/>
              </w:rPr>
            </w:pPr>
            <w:r w:rsidRPr="006B58D8">
              <w:rPr>
                <w:sz w:val="22"/>
                <w:szCs w:val="22"/>
                <w:lang w:val="sr-Latn-ME"/>
              </w:rPr>
              <w:t>Hepatobilijarni poremećaji</w:t>
            </w:r>
          </w:p>
        </w:tc>
        <w:tc>
          <w:tcPr>
            <w:tcW w:w="4214" w:type="dxa"/>
            <w:shd w:val="clear" w:color="auto" w:fill="auto"/>
          </w:tcPr>
          <w:p w14:paraId="6DFD74D9" w14:textId="77777777" w:rsidR="007A033F" w:rsidRPr="006B58D8" w:rsidRDefault="007A033F" w:rsidP="0069371F">
            <w:pPr>
              <w:jc w:val="both"/>
              <w:rPr>
                <w:sz w:val="22"/>
                <w:szCs w:val="22"/>
                <w:lang w:val="sr-Latn-ME"/>
              </w:rPr>
            </w:pPr>
            <w:r w:rsidRPr="006B58D8">
              <w:rPr>
                <w:sz w:val="22"/>
                <w:szCs w:val="22"/>
                <w:lang w:val="sr-Latn-ME"/>
              </w:rPr>
              <w:t>Povišeni nivoi serumskih transaminaza (ALT, AST)</w:t>
            </w:r>
          </w:p>
        </w:tc>
        <w:tc>
          <w:tcPr>
            <w:tcW w:w="2454" w:type="dxa"/>
            <w:shd w:val="clear" w:color="auto" w:fill="auto"/>
          </w:tcPr>
          <w:p w14:paraId="2F788B37" w14:textId="4DBD2FF8" w:rsidR="007A033F" w:rsidRPr="006B58D8" w:rsidRDefault="007A033F" w:rsidP="0069371F">
            <w:pPr>
              <w:jc w:val="both"/>
              <w:rPr>
                <w:sz w:val="22"/>
                <w:szCs w:val="22"/>
                <w:lang w:val="sr-Latn-ME"/>
              </w:rPr>
            </w:pPr>
            <w:r w:rsidRPr="006B58D8">
              <w:rPr>
                <w:sz w:val="22"/>
                <w:szCs w:val="22"/>
                <w:lang w:val="sr-Latn-ME"/>
              </w:rPr>
              <w:t xml:space="preserve">Često </w:t>
            </w:r>
          </w:p>
        </w:tc>
      </w:tr>
      <w:tr w:rsidR="007A033F" w:rsidRPr="006B58D8" w14:paraId="10F5E0F2" w14:textId="77777777" w:rsidTr="0069371F">
        <w:trPr>
          <w:trHeight w:val="127"/>
        </w:trPr>
        <w:tc>
          <w:tcPr>
            <w:tcW w:w="3294" w:type="dxa"/>
            <w:vMerge/>
            <w:shd w:val="clear" w:color="auto" w:fill="auto"/>
          </w:tcPr>
          <w:p w14:paraId="099E2955" w14:textId="77777777" w:rsidR="007A033F" w:rsidRPr="006B58D8" w:rsidRDefault="007A033F" w:rsidP="0069371F">
            <w:pPr>
              <w:jc w:val="both"/>
              <w:rPr>
                <w:sz w:val="22"/>
                <w:szCs w:val="22"/>
                <w:lang w:val="sr-Latn-ME"/>
              </w:rPr>
            </w:pPr>
          </w:p>
        </w:tc>
        <w:tc>
          <w:tcPr>
            <w:tcW w:w="4214" w:type="dxa"/>
            <w:shd w:val="clear" w:color="auto" w:fill="auto"/>
          </w:tcPr>
          <w:p w14:paraId="13A449F8" w14:textId="27D125D1" w:rsidR="007A033F" w:rsidRPr="006B58D8" w:rsidRDefault="007A033F" w:rsidP="00445E9B">
            <w:pPr>
              <w:rPr>
                <w:sz w:val="22"/>
                <w:szCs w:val="22"/>
                <w:lang w:val="sr-Latn-ME"/>
              </w:rPr>
            </w:pPr>
            <w:r w:rsidRPr="006B58D8">
              <w:rPr>
                <w:sz w:val="22"/>
                <w:szCs w:val="22"/>
                <w:lang w:val="sr-Latn-ME"/>
              </w:rPr>
              <w:t>Hepatitis (uključujući holestazni, hepatocelularni hepatitis i oštećenja jetre m</w:t>
            </w:r>
            <w:r w:rsidR="00A23782" w:rsidRPr="006B58D8">
              <w:rPr>
                <w:sz w:val="22"/>
                <w:szCs w:val="22"/>
                <w:lang w:val="sr-Latn-ME"/>
              </w:rPr>
              <w:t>j</w:t>
            </w:r>
            <w:r w:rsidRPr="006B58D8">
              <w:rPr>
                <w:sz w:val="22"/>
                <w:szCs w:val="22"/>
                <w:lang w:val="sr-Latn-ME"/>
              </w:rPr>
              <w:t>ešovitog tipa)</w:t>
            </w:r>
          </w:p>
        </w:tc>
        <w:tc>
          <w:tcPr>
            <w:tcW w:w="2454" w:type="dxa"/>
            <w:shd w:val="clear" w:color="auto" w:fill="auto"/>
          </w:tcPr>
          <w:p w14:paraId="20B66964" w14:textId="3B2533B4" w:rsidR="007A033F" w:rsidRPr="006B58D8" w:rsidRDefault="007A033F" w:rsidP="0069371F">
            <w:pPr>
              <w:jc w:val="both"/>
              <w:rPr>
                <w:sz w:val="22"/>
                <w:szCs w:val="22"/>
                <w:lang w:val="sr-Latn-ME"/>
              </w:rPr>
            </w:pPr>
            <w:r w:rsidRPr="006B58D8">
              <w:rPr>
                <w:sz w:val="22"/>
                <w:szCs w:val="22"/>
                <w:lang w:val="sr-Latn-ME"/>
              </w:rPr>
              <w:t>Veoma rijetko</w:t>
            </w:r>
          </w:p>
        </w:tc>
      </w:tr>
      <w:tr w:rsidR="007A033F" w:rsidRPr="006B58D8" w14:paraId="642E36A7" w14:textId="77777777" w:rsidTr="0069371F">
        <w:trPr>
          <w:trHeight w:val="66"/>
        </w:trPr>
        <w:tc>
          <w:tcPr>
            <w:tcW w:w="3294" w:type="dxa"/>
            <w:vMerge w:val="restart"/>
            <w:shd w:val="clear" w:color="auto" w:fill="auto"/>
          </w:tcPr>
          <w:p w14:paraId="43C35F8F" w14:textId="77777777" w:rsidR="007A033F" w:rsidRPr="006B58D8" w:rsidRDefault="007A033F" w:rsidP="0069371F">
            <w:pPr>
              <w:jc w:val="both"/>
              <w:rPr>
                <w:sz w:val="22"/>
                <w:szCs w:val="22"/>
                <w:lang w:val="sr-Latn-ME"/>
              </w:rPr>
            </w:pPr>
            <w:r w:rsidRPr="006B58D8">
              <w:rPr>
                <w:sz w:val="22"/>
                <w:szCs w:val="22"/>
                <w:lang w:val="sr-Latn-ME"/>
              </w:rPr>
              <w:t>Poremećaji na nivou kože i potkožnog tkiva</w:t>
            </w:r>
          </w:p>
        </w:tc>
        <w:tc>
          <w:tcPr>
            <w:tcW w:w="4214" w:type="dxa"/>
            <w:shd w:val="clear" w:color="auto" w:fill="auto"/>
          </w:tcPr>
          <w:p w14:paraId="3935BAE7" w14:textId="77777777" w:rsidR="007A033F" w:rsidRPr="006B58D8" w:rsidRDefault="007A033F" w:rsidP="0069371F">
            <w:pPr>
              <w:jc w:val="both"/>
              <w:rPr>
                <w:sz w:val="22"/>
                <w:szCs w:val="22"/>
                <w:lang w:val="sr-Latn-ME"/>
              </w:rPr>
            </w:pPr>
            <w:r w:rsidRPr="006B58D8">
              <w:rPr>
                <w:sz w:val="22"/>
                <w:szCs w:val="22"/>
                <w:lang w:val="sr-Latn-ME"/>
              </w:rPr>
              <w:t>Osip‡</w:t>
            </w:r>
          </w:p>
        </w:tc>
        <w:tc>
          <w:tcPr>
            <w:tcW w:w="2454" w:type="dxa"/>
            <w:shd w:val="clear" w:color="auto" w:fill="auto"/>
          </w:tcPr>
          <w:p w14:paraId="5D501478" w14:textId="0E5522EB" w:rsidR="007A033F" w:rsidRPr="006B58D8" w:rsidRDefault="007A033F" w:rsidP="0069371F">
            <w:pPr>
              <w:jc w:val="both"/>
              <w:rPr>
                <w:sz w:val="22"/>
                <w:szCs w:val="22"/>
                <w:lang w:val="sr-Latn-ME"/>
              </w:rPr>
            </w:pPr>
            <w:r w:rsidRPr="006B58D8">
              <w:rPr>
                <w:sz w:val="22"/>
                <w:szCs w:val="22"/>
                <w:lang w:val="sr-Latn-ME"/>
              </w:rPr>
              <w:t xml:space="preserve">Često </w:t>
            </w:r>
          </w:p>
        </w:tc>
      </w:tr>
      <w:tr w:rsidR="007A033F" w:rsidRPr="006B58D8" w14:paraId="5C9AD53A" w14:textId="77777777" w:rsidTr="0069371F">
        <w:trPr>
          <w:trHeight w:val="63"/>
        </w:trPr>
        <w:tc>
          <w:tcPr>
            <w:tcW w:w="3294" w:type="dxa"/>
            <w:vMerge/>
            <w:shd w:val="clear" w:color="auto" w:fill="auto"/>
          </w:tcPr>
          <w:p w14:paraId="5BF3968F" w14:textId="77777777" w:rsidR="007A033F" w:rsidRPr="006B58D8" w:rsidRDefault="007A033F" w:rsidP="0069371F">
            <w:pPr>
              <w:jc w:val="both"/>
              <w:rPr>
                <w:sz w:val="22"/>
                <w:szCs w:val="22"/>
                <w:lang w:val="sr-Latn-ME"/>
              </w:rPr>
            </w:pPr>
          </w:p>
        </w:tc>
        <w:tc>
          <w:tcPr>
            <w:tcW w:w="4214" w:type="dxa"/>
            <w:shd w:val="clear" w:color="auto" w:fill="auto"/>
          </w:tcPr>
          <w:p w14:paraId="2AE3C963" w14:textId="77777777" w:rsidR="007A033F" w:rsidRPr="006B58D8" w:rsidRDefault="007A033F" w:rsidP="0069371F">
            <w:pPr>
              <w:jc w:val="both"/>
              <w:rPr>
                <w:sz w:val="22"/>
                <w:szCs w:val="22"/>
                <w:lang w:val="sr-Latn-ME"/>
              </w:rPr>
            </w:pPr>
            <w:r w:rsidRPr="006B58D8">
              <w:rPr>
                <w:sz w:val="22"/>
                <w:szCs w:val="22"/>
                <w:lang w:val="sr-Latn-ME"/>
              </w:rPr>
              <w:t>Pojava modrica, urtikarija, svrab</w:t>
            </w:r>
          </w:p>
        </w:tc>
        <w:tc>
          <w:tcPr>
            <w:tcW w:w="2454" w:type="dxa"/>
            <w:shd w:val="clear" w:color="auto" w:fill="auto"/>
          </w:tcPr>
          <w:p w14:paraId="7FB1A1D8" w14:textId="12362DF0" w:rsidR="007A033F" w:rsidRPr="006B58D8" w:rsidRDefault="007A033F" w:rsidP="0069371F">
            <w:pPr>
              <w:jc w:val="both"/>
              <w:rPr>
                <w:sz w:val="22"/>
                <w:szCs w:val="22"/>
                <w:lang w:val="sr-Latn-ME"/>
              </w:rPr>
            </w:pPr>
            <w:r w:rsidRPr="006B58D8">
              <w:rPr>
                <w:sz w:val="22"/>
                <w:szCs w:val="22"/>
                <w:lang w:val="sr-Latn-ME"/>
              </w:rPr>
              <w:t xml:space="preserve">Povremeno </w:t>
            </w:r>
          </w:p>
        </w:tc>
      </w:tr>
      <w:tr w:rsidR="007A033F" w:rsidRPr="006B58D8" w14:paraId="3DE7D097" w14:textId="77777777" w:rsidTr="0069371F">
        <w:trPr>
          <w:trHeight w:val="63"/>
        </w:trPr>
        <w:tc>
          <w:tcPr>
            <w:tcW w:w="3294" w:type="dxa"/>
            <w:vMerge/>
            <w:shd w:val="clear" w:color="auto" w:fill="auto"/>
          </w:tcPr>
          <w:p w14:paraId="3AF2F25B" w14:textId="77777777" w:rsidR="007A033F" w:rsidRPr="006B58D8" w:rsidRDefault="007A033F" w:rsidP="0069371F">
            <w:pPr>
              <w:jc w:val="both"/>
              <w:rPr>
                <w:sz w:val="22"/>
                <w:szCs w:val="22"/>
                <w:lang w:val="sr-Latn-ME"/>
              </w:rPr>
            </w:pPr>
          </w:p>
        </w:tc>
        <w:tc>
          <w:tcPr>
            <w:tcW w:w="4214" w:type="dxa"/>
            <w:shd w:val="clear" w:color="auto" w:fill="auto"/>
          </w:tcPr>
          <w:p w14:paraId="15485033" w14:textId="77777777" w:rsidR="007A033F" w:rsidRPr="006B58D8" w:rsidRDefault="007A033F" w:rsidP="0069371F">
            <w:pPr>
              <w:jc w:val="both"/>
              <w:rPr>
                <w:sz w:val="22"/>
                <w:szCs w:val="22"/>
                <w:lang w:val="sr-Latn-ME"/>
              </w:rPr>
            </w:pPr>
            <w:r w:rsidRPr="006B58D8">
              <w:rPr>
                <w:sz w:val="22"/>
                <w:szCs w:val="22"/>
                <w:lang w:val="sr-Latn-ME"/>
              </w:rPr>
              <w:t>Angioedem</w:t>
            </w:r>
          </w:p>
        </w:tc>
        <w:tc>
          <w:tcPr>
            <w:tcW w:w="2454" w:type="dxa"/>
            <w:shd w:val="clear" w:color="auto" w:fill="auto"/>
          </w:tcPr>
          <w:p w14:paraId="12395E6A" w14:textId="10176C60" w:rsidR="007A033F" w:rsidRPr="006B58D8" w:rsidRDefault="007A033F" w:rsidP="0069371F">
            <w:pPr>
              <w:jc w:val="both"/>
              <w:rPr>
                <w:sz w:val="22"/>
                <w:szCs w:val="22"/>
                <w:lang w:val="sr-Latn-ME"/>
              </w:rPr>
            </w:pPr>
            <w:r w:rsidRPr="006B58D8">
              <w:rPr>
                <w:sz w:val="22"/>
                <w:szCs w:val="22"/>
                <w:lang w:val="sr-Latn-ME"/>
              </w:rPr>
              <w:t xml:space="preserve">Rijetko </w:t>
            </w:r>
          </w:p>
        </w:tc>
      </w:tr>
      <w:tr w:rsidR="007A033F" w:rsidRPr="006B58D8" w14:paraId="236E9169" w14:textId="77777777" w:rsidTr="0069371F">
        <w:trPr>
          <w:trHeight w:val="63"/>
        </w:trPr>
        <w:tc>
          <w:tcPr>
            <w:tcW w:w="3294" w:type="dxa"/>
            <w:vMerge/>
            <w:shd w:val="clear" w:color="auto" w:fill="auto"/>
          </w:tcPr>
          <w:p w14:paraId="013A00A9" w14:textId="77777777" w:rsidR="007A033F" w:rsidRPr="006B58D8" w:rsidRDefault="007A033F" w:rsidP="0069371F">
            <w:pPr>
              <w:jc w:val="both"/>
              <w:rPr>
                <w:sz w:val="22"/>
                <w:szCs w:val="22"/>
                <w:lang w:val="sr-Latn-ME"/>
              </w:rPr>
            </w:pPr>
          </w:p>
        </w:tc>
        <w:tc>
          <w:tcPr>
            <w:tcW w:w="4214" w:type="dxa"/>
            <w:shd w:val="clear" w:color="auto" w:fill="auto"/>
          </w:tcPr>
          <w:p w14:paraId="2937F1AB" w14:textId="4701BA24" w:rsidR="007A033F" w:rsidRPr="006B58D8" w:rsidRDefault="00A23782">
            <w:pPr>
              <w:jc w:val="both"/>
              <w:rPr>
                <w:sz w:val="22"/>
                <w:szCs w:val="22"/>
                <w:lang w:val="sr-Latn-ME"/>
              </w:rPr>
            </w:pPr>
            <w:r w:rsidRPr="006B58D8">
              <w:rPr>
                <w:sz w:val="22"/>
                <w:szCs w:val="22"/>
                <w:lang w:val="sr-Latn-ME"/>
              </w:rPr>
              <w:t>nodozni eritem</w:t>
            </w:r>
            <w:r w:rsidR="007A033F" w:rsidRPr="006B58D8">
              <w:rPr>
                <w:sz w:val="22"/>
                <w:szCs w:val="22"/>
                <w:lang w:val="sr-Latn-ME"/>
              </w:rPr>
              <w:t xml:space="preserve">, </w:t>
            </w:r>
            <w:r w:rsidRPr="006B58D8">
              <w:rPr>
                <w:sz w:val="22"/>
                <w:szCs w:val="22"/>
                <w:lang w:val="sr-Latn-ME"/>
              </w:rPr>
              <w:t>multiformni eritem</w:t>
            </w:r>
          </w:p>
        </w:tc>
        <w:tc>
          <w:tcPr>
            <w:tcW w:w="2454" w:type="dxa"/>
            <w:shd w:val="clear" w:color="auto" w:fill="auto"/>
          </w:tcPr>
          <w:p w14:paraId="623EEF48" w14:textId="5962A27B" w:rsidR="007A033F" w:rsidRPr="006B58D8" w:rsidRDefault="007A033F" w:rsidP="0069371F">
            <w:pPr>
              <w:jc w:val="both"/>
              <w:rPr>
                <w:sz w:val="22"/>
                <w:szCs w:val="22"/>
                <w:lang w:val="sr-Latn-ME"/>
              </w:rPr>
            </w:pPr>
            <w:r w:rsidRPr="006B58D8">
              <w:rPr>
                <w:sz w:val="22"/>
                <w:szCs w:val="22"/>
                <w:lang w:val="sr-Latn-ME"/>
              </w:rPr>
              <w:t>Veoma rijetko</w:t>
            </w:r>
          </w:p>
        </w:tc>
      </w:tr>
      <w:tr w:rsidR="007A033F" w:rsidRPr="006B58D8" w14:paraId="2596735A" w14:textId="77777777" w:rsidTr="0069371F">
        <w:tc>
          <w:tcPr>
            <w:tcW w:w="3294" w:type="dxa"/>
            <w:shd w:val="clear" w:color="auto" w:fill="auto"/>
          </w:tcPr>
          <w:p w14:paraId="63CD28AF" w14:textId="77777777" w:rsidR="007A033F" w:rsidRPr="006B58D8" w:rsidRDefault="007A033F" w:rsidP="00445E9B">
            <w:pPr>
              <w:rPr>
                <w:sz w:val="22"/>
                <w:szCs w:val="22"/>
                <w:lang w:val="sr-Latn-ME"/>
              </w:rPr>
            </w:pPr>
            <w:r w:rsidRPr="006B58D8">
              <w:rPr>
                <w:sz w:val="22"/>
                <w:szCs w:val="22"/>
                <w:lang w:val="sr-Latn-ME"/>
              </w:rPr>
              <w:t>Poremećaji mišićno-skeletnog sistema i vezivnog tkiva</w:t>
            </w:r>
          </w:p>
        </w:tc>
        <w:tc>
          <w:tcPr>
            <w:tcW w:w="4214" w:type="dxa"/>
            <w:shd w:val="clear" w:color="auto" w:fill="auto"/>
          </w:tcPr>
          <w:p w14:paraId="509E9C9D" w14:textId="77777777" w:rsidR="007A033F" w:rsidRPr="006B58D8" w:rsidRDefault="007A033F" w:rsidP="0069371F">
            <w:pPr>
              <w:jc w:val="both"/>
              <w:rPr>
                <w:sz w:val="22"/>
                <w:szCs w:val="22"/>
                <w:lang w:val="sr-Latn-ME"/>
              </w:rPr>
            </w:pPr>
            <w:r w:rsidRPr="006B58D8">
              <w:rPr>
                <w:sz w:val="22"/>
                <w:szCs w:val="22"/>
                <w:lang w:val="sr-Latn-ME"/>
              </w:rPr>
              <w:t>Artralgija, mialgija, uključujući mišićne grčeve</w:t>
            </w:r>
          </w:p>
        </w:tc>
        <w:tc>
          <w:tcPr>
            <w:tcW w:w="2454" w:type="dxa"/>
            <w:shd w:val="clear" w:color="auto" w:fill="auto"/>
          </w:tcPr>
          <w:p w14:paraId="6FEB011C" w14:textId="51CF5207" w:rsidR="007A033F" w:rsidRPr="006B58D8" w:rsidRDefault="007A033F" w:rsidP="0069371F">
            <w:pPr>
              <w:jc w:val="both"/>
              <w:rPr>
                <w:sz w:val="22"/>
                <w:szCs w:val="22"/>
                <w:lang w:val="sr-Latn-ME"/>
              </w:rPr>
            </w:pPr>
            <w:r w:rsidRPr="006B58D8">
              <w:rPr>
                <w:sz w:val="22"/>
                <w:szCs w:val="22"/>
                <w:lang w:val="sr-Latn-ME"/>
              </w:rPr>
              <w:t>Povremeno</w:t>
            </w:r>
          </w:p>
        </w:tc>
      </w:tr>
      <w:tr w:rsidR="000C4455" w:rsidRPr="006B58D8" w14:paraId="5440A845" w14:textId="77777777" w:rsidTr="0069371F">
        <w:tc>
          <w:tcPr>
            <w:tcW w:w="3294" w:type="dxa"/>
            <w:shd w:val="clear" w:color="auto" w:fill="auto"/>
          </w:tcPr>
          <w:p w14:paraId="17D417FE" w14:textId="1274668A" w:rsidR="000C4455" w:rsidRPr="006B58D8" w:rsidRDefault="000C4455" w:rsidP="000C4455">
            <w:pPr>
              <w:jc w:val="both"/>
              <w:rPr>
                <w:sz w:val="22"/>
                <w:szCs w:val="22"/>
                <w:lang w:val="sr-Latn-ME"/>
              </w:rPr>
            </w:pPr>
            <w:r w:rsidRPr="006B58D8">
              <w:rPr>
                <w:sz w:val="22"/>
                <w:szCs w:val="22"/>
                <w:lang w:val="sr-Latn-ME"/>
              </w:rPr>
              <w:t>Poremećaji bubrega i urinarnog sistema</w:t>
            </w:r>
            <w:r w:rsidRPr="006B58D8" w:rsidDel="009A0FF5">
              <w:rPr>
                <w:szCs w:val="22"/>
                <w:lang w:val="sr-Latn-ME"/>
              </w:rPr>
              <w:t xml:space="preserve"> </w:t>
            </w:r>
          </w:p>
        </w:tc>
        <w:tc>
          <w:tcPr>
            <w:tcW w:w="4214" w:type="dxa"/>
            <w:shd w:val="clear" w:color="auto" w:fill="auto"/>
          </w:tcPr>
          <w:p w14:paraId="3EA92C03" w14:textId="168E85B7" w:rsidR="000C4455" w:rsidRPr="006B58D8" w:rsidRDefault="000C4455" w:rsidP="000C4455">
            <w:pPr>
              <w:jc w:val="both"/>
              <w:rPr>
                <w:sz w:val="22"/>
                <w:szCs w:val="22"/>
                <w:lang w:val="sr-Latn-ME"/>
              </w:rPr>
            </w:pPr>
            <w:r w:rsidRPr="006B58D8">
              <w:rPr>
                <w:sz w:val="22"/>
                <w:szCs w:val="22"/>
                <w:lang w:val="sr-Latn-ME"/>
              </w:rPr>
              <w:t>Enureza kod djece</w:t>
            </w:r>
          </w:p>
        </w:tc>
        <w:tc>
          <w:tcPr>
            <w:tcW w:w="2454" w:type="dxa"/>
            <w:shd w:val="clear" w:color="auto" w:fill="auto"/>
          </w:tcPr>
          <w:p w14:paraId="7B0A4687" w14:textId="58A7CCDC" w:rsidR="000C4455" w:rsidRPr="006B58D8" w:rsidRDefault="000C4455" w:rsidP="000C4455">
            <w:pPr>
              <w:jc w:val="both"/>
              <w:rPr>
                <w:sz w:val="22"/>
                <w:szCs w:val="22"/>
                <w:lang w:val="sr-Latn-ME"/>
              </w:rPr>
            </w:pPr>
            <w:r w:rsidRPr="006B58D8">
              <w:rPr>
                <w:sz w:val="22"/>
                <w:szCs w:val="22"/>
                <w:lang w:val="sr-Latn-ME"/>
              </w:rPr>
              <w:t>Povremeno</w:t>
            </w:r>
          </w:p>
        </w:tc>
      </w:tr>
      <w:tr w:rsidR="007A033F" w:rsidRPr="006B58D8" w14:paraId="4D0484BD" w14:textId="77777777" w:rsidTr="0069371F">
        <w:trPr>
          <w:trHeight w:val="128"/>
        </w:trPr>
        <w:tc>
          <w:tcPr>
            <w:tcW w:w="3294" w:type="dxa"/>
            <w:vMerge w:val="restart"/>
            <w:shd w:val="clear" w:color="auto" w:fill="auto"/>
          </w:tcPr>
          <w:p w14:paraId="4F844964" w14:textId="77777777" w:rsidR="007A033F" w:rsidRPr="006B58D8" w:rsidRDefault="007A033F" w:rsidP="0069371F">
            <w:pPr>
              <w:jc w:val="both"/>
              <w:rPr>
                <w:sz w:val="22"/>
                <w:szCs w:val="22"/>
                <w:lang w:val="sr-Latn-ME"/>
              </w:rPr>
            </w:pPr>
            <w:r w:rsidRPr="006B58D8">
              <w:rPr>
                <w:sz w:val="22"/>
                <w:szCs w:val="22"/>
                <w:lang w:val="sr-Latn-ME"/>
              </w:rPr>
              <w:lastRenderedPageBreak/>
              <w:t>Opšti poremećaji i reakcije na mjestu primjene</w:t>
            </w:r>
          </w:p>
        </w:tc>
        <w:tc>
          <w:tcPr>
            <w:tcW w:w="4214" w:type="dxa"/>
            <w:shd w:val="clear" w:color="auto" w:fill="auto"/>
          </w:tcPr>
          <w:p w14:paraId="21005181" w14:textId="77777777" w:rsidR="007A033F" w:rsidRPr="006B58D8" w:rsidRDefault="007A033F" w:rsidP="0069371F">
            <w:pPr>
              <w:jc w:val="both"/>
              <w:rPr>
                <w:sz w:val="22"/>
                <w:szCs w:val="22"/>
                <w:lang w:val="sr-Latn-ME"/>
              </w:rPr>
            </w:pPr>
            <w:r w:rsidRPr="006B58D8">
              <w:rPr>
                <w:sz w:val="22"/>
                <w:szCs w:val="22"/>
                <w:lang w:val="sr-Latn-ME"/>
              </w:rPr>
              <w:t>Pireksija‡</w:t>
            </w:r>
          </w:p>
        </w:tc>
        <w:tc>
          <w:tcPr>
            <w:tcW w:w="2454" w:type="dxa"/>
            <w:shd w:val="clear" w:color="auto" w:fill="auto"/>
          </w:tcPr>
          <w:p w14:paraId="244382FA" w14:textId="64498B1E" w:rsidR="007A033F" w:rsidRPr="006B58D8" w:rsidRDefault="007A033F" w:rsidP="0069371F">
            <w:pPr>
              <w:jc w:val="both"/>
              <w:rPr>
                <w:sz w:val="22"/>
                <w:szCs w:val="22"/>
                <w:lang w:val="sr-Latn-ME"/>
              </w:rPr>
            </w:pPr>
            <w:r w:rsidRPr="006B58D8">
              <w:rPr>
                <w:sz w:val="22"/>
                <w:szCs w:val="22"/>
                <w:lang w:val="sr-Latn-ME"/>
              </w:rPr>
              <w:t xml:space="preserve">Često </w:t>
            </w:r>
          </w:p>
        </w:tc>
      </w:tr>
      <w:tr w:rsidR="007A033F" w:rsidRPr="006B58D8" w14:paraId="4AD10B85" w14:textId="77777777" w:rsidTr="0069371F">
        <w:trPr>
          <w:trHeight w:val="127"/>
        </w:trPr>
        <w:tc>
          <w:tcPr>
            <w:tcW w:w="3294" w:type="dxa"/>
            <w:vMerge/>
            <w:shd w:val="clear" w:color="auto" w:fill="auto"/>
          </w:tcPr>
          <w:p w14:paraId="41653149" w14:textId="77777777" w:rsidR="007A033F" w:rsidRPr="006B58D8" w:rsidRDefault="007A033F" w:rsidP="0069371F">
            <w:pPr>
              <w:jc w:val="both"/>
              <w:rPr>
                <w:sz w:val="22"/>
                <w:szCs w:val="22"/>
                <w:lang w:val="sr-Latn-ME"/>
              </w:rPr>
            </w:pPr>
          </w:p>
        </w:tc>
        <w:tc>
          <w:tcPr>
            <w:tcW w:w="4214" w:type="dxa"/>
            <w:shd w:val="clear" w:color="auto" w:fill="auto"/>
          </w:tcPr>
          <w:p w14:paraId="62208333" w14:textId="77777777" w:rsidR="007A033F" w:rsidRPr="006B58D8" w:rsidRDefault="007A033F" w:rsidP="0069371F">
            <w:pPr>
              <w:jc w:val="both"/>
              <w:rPr>
                <w:sz w:val="22"/>
                <w:szCs w:val="22"/>
                <w:lang w:val="sr-Latn-ME"/>
              </w:rPr>
            </w:pPr>
            <w:r w:rsidRPr="006B58D8">
              <w:rPr>
                <w:sz w:val="22"/>
                <w:szCs w:val="22"/>
                <w:lang w:val="sr-Latn-ME"/>
              </w:rPr>
              <w:t>Astenija/zamor, opšta slabost, edem</w:t>
            </w:r>
          </w:p>
        </w:tc>
        <w:tc>
          <w:tcPr>
            <w:tcW w:w="2454" w:type="dxa"/>
            <w:shd w:val="clear" w:color="auto" w:fill="auto"/>
          </w:tcPr>
          <w:p w14:paraId="145638E3" w14:textId="4F5F125D" w:rsidR="007A033F" w:rsidRPr="006B58D8" w:rsidRDefault="007A033F" w:rsidP="0069371F">
            <w:pPr>
              <w:jc w:val="both"/>
              <w:rPr>
                <w:sz w:val="22"/>
                <w:szCs w:val="22"/>
                <w:lang w:val="sr-Latn-ME"/>
              </w:rPr>
            </w:pPr>
            <w:r w:rsidRPr="006B58D8">
              <w:rPr>
                <w:sz w:val="22"/>
                <w:szCs w:val="22"/>
                <w:lang w:val="sr-Latn-ME"/>
              </w:rPr>
              <w:t xml:space="preserve">Povremeno </w:t>
            </w:r>
          </w:p>
        </w:tc>
      </w:tr>
      <w:tr w:rsidR="007A033F" w:rsidRPr="006B58D8" w14:paraId="7D5EECA8" w14:textId="77777777" w:rsidTr="0069371F">
        <w:tc>
          <w:tcPr>
            <w:tcW w:w="9962" w:type="dxa"/>
            <w:gridSpan w:val="3"/>
            <w:shd w:val="clear" w:color="auto" w:fill="auto"/>
          </w:tcPr>
          <w:p w14:paraId="50B3C9DA" w14:textId="18012847" w:rsidR="007A033F" w:rsidRPr="006B58D8" w:rsidRDefault="007A033F" w:rsidP="0069371F">
            <w:pPr>
              <w:pStyle w:val="Header"/>
              <w:tabs>
                <w:tab w:val="left" w:pos="284"/>
              </w:tabs>
              <w:jc w:val="both"/>
              <w:rPr>
                <w:i/>
                <w:sz w:val="22"/>
                <w:szCs w:val="22"/>
                <w:lang w:val="sr-Latn-ME"/>
              </w:rPr>
            </w:pPr>
            <w:r w:rsidRPr="006B58D8">
              <w:rPr>
                <w:i/>
                <w:sz w:val="22"/>
                <w:szCs w:val="22"/>
                <w:lang w:val="sr-Latn-ME"/>
              </w:rPr>
              <w:t xml:space="preserve">*Kategorije učestalosti su definisane za svaku neželjenu reakciju koja je prijavljena u bazi podataka odgovarajućih kliničkih istraživanja. </w:t>
            </w:r>
            <w:r w:rsidRPr="006B58D8">
              <w:rPr>
                <w:i/>
                <w:sz w:val="22"/>
                <w:szCs w:val="22"/>
                <w:lang w:val="sr-Latn-ME"/>
              </w:rPr>
              <w:sym w:font="Symbol" w:char="F05B"/>
            </w:r>
            <w:r w:rsidRPr="006B58D8">
              <w:rPr>
                <w:i/>
                <w:sz w:val="22"/>
                <w:szCs w:val="22"/>
                <w:lang w:val="sr-Latn-ME"/>
              </w:rPr>
              <w:t>Veoma čest</w:t>
            </w:r>
            <w:r w:rsidR="00A23782" w:rsidRPr="006B58D8">
              <w:rPr>
                <w:i/>
                <w:sz w:val="22"/>
                <w:szCs w:val="22"/>
                <w:lang w:val="sr-Latn-ME"/>
              </w:rPr>
              <w:t>o</w:t>
            </w:r>
            <w:r w:rsidRPr="006B58D8">
              <w:rPr>
                <w:i/>
                <w:sz w:val="22"/>
                <w:szCs w:val="22"/>
                <w:lang w:val="sr-Latn-ME"/>
              </w:rPr>
              <w:t>, (≥10), Čest</w:t>
            </w:r>
            <w:r w:rsidR="00A23782" w:rsidRPr="006B58D8">
              <w:rPr>
                <w:i/>
                <w:sz w:val="22"/>
                <w:szCs w:val="22"/>
                <w:lang w:val="sr-Latn-ME"/>
              </w:rPr>
              <w:t>o</w:t>
            </w:r>
            <w:r w:rsidRPr="006B58D8">
              <w:rPr>
                <w:i/>
                <w:sz w:val="22"/>
                <w:szCs w:val="22"/>
                <w:lang w:val="sr-Latn-ME"/>
              </w:rPr>
              <w:t xml:space="preserve"> (</w:t>
            </w:r>
            <w:r w:rsidRPr="006B58D8">
              <w:rPr>
                <w:i/>
                <w:sz w:val="22"/>
                <w:szCs w:val="22"/>
                <w:lang w:val="sr-Latn-ME"/>
              </w:rPr>
              <w:sym w:font="Symbol" w:char="F0B3"/>
            </w:r>
            <w:r w:rsidRPr="006B58D8">
              <w:rPr>
                <w:i/>
                <w:sz w:val="22"/>
                <w:szCs w:val="22"/>
                <w:lang w:val="sr-Latn-ME"/>
              </w:rPr>
              <w:t xml:space="preserve">1/100, </w:t>
            </w:r>
            <w:r w:rsidRPr="006B58D8">
              <w:rPr>
                <w:i/>
                <w:sz w:val="22"/>
                <w:szCs w:val="22"/>
                <w:lang w:val="sr-Latn-ME"/>
              </w:rPr>
              <w:sym w:font="Symbol" w:char="F03C"/>
            </w:r>
            <w:r w:rsidRPr="006B58D8">
              <w:rPr>
                <w:i/>
                <w:sz w:val="22"/>
                <w:szCs w:val="22"/>
                <w:lang w:val="sr-Latn-ME"/>
              </w:rPr>
              <w:t>1/10), povremen</w:t>
            </w:r>
            <w:r w:rsidR="00A23782" w:rsidRPr="006B58D8">
              <w:rPr>
                <w:i/>
                <w:sz w:val="22"/>
                <w:szCs w:val="22"/>
                <w:lang w:val="sr-Latn-ME"/>
              </w:rPr>
              <w:t>o</w:t>
            </w:r>
            <w:r w:rsidRPr="006B58D8">
              <w:rPr>
                <w:i/>
                <w:sz w:val="22"/>
                <w:szCs w:val="22"/>
                <w:lang w:val="sr-Latn-ME"/>
              </w:rPr>
              <w:t xml:space="preserve"> (</w:t>
            </w:r>
            <w:r w:rsidRPr="006B58D8">
              <w:rPr>
                <w:i/>
                <w:sz w:val="22"/>
                <w:szCs w:val="22"/>
                <w:lang w:val="sr-Latn-ME"/>
              </w:rPr>
              <w:sym w:font="Symbol" w:char="F0B3"/>
            </w:r>
            <w:r w:rsidRPr="006B58D8">
              <w:rPr>
                <w:i/>
                <w:sz w:val="22"/>
                <w:szCs w:val="22"/>
                <w:lang w:val="sr-Latn-ME"/>
              </w:rPr>
              <w:t xml:space="preserve">1/1000, </w:t>
            </w:r>
            <w:r w:rsidRPr="006B58D8">
              <w:rPr>
                <w:i/>
                <w:sz w:val="22"/>
                <w:szCs w:val="22"/>
                <w:lang w:val="sr-Latn-ME"/>
              </w:rPr>
              <w:sym w:font="Symbol" w:char="F03C"/>
            </w:r>
            <w:r w:rsidRPr="006B58D8">
              <w:rPr>
                <w:i/>
                <w:sz w:val="22"/>
                <w:szCs w:val="22"/>
                <w:lang w:val="sr-Latn-ME"/>
              </w:rPr>
              <w:t>1/100), rijetk</w:t>
            </w:r>
            <w:r w:rsidR="00A23782" w:rsidRPr="006B58D8">
              <w:rPr>
                <w:i/>
                <w:sz w:val="22"/>
                <w:szCs w:val="22"/>
                <w:lang w:val="sr-Latn-ME"/>
              </w:rPr>
              <w:t>o</w:t>
            </w:r>
            <w:r w:rsidRPr="006B58D8">
              <w:rPr>
                <w:i/>
                <w:sz w:val="22"/>
                <w:szCs w:val="22"/>
                <w:lang w:val="sr-Latn-ME"/>
              </w:rPr>
              <w:t xml:space="preserve"> (</w:t>
            </w:r>
            <w:r w:rsidRPr="006B58D8">
              <w:rPr>
                <w:i/>
                <w:sz w:val="22"/>
                <w:szCs w:val="22"/>
                <w:lang w:val="sr-Latn-ME"/>
              </w:rPr>
              <w:sym w:font="Symbol" w:char="F0B3"/>
            </w:r>
            <w:r w:rsidRPr="006B58D8">
              <w:rPr>
                <w:i/>
                <w:sz w:val="22"/>
                <w:szCs w:val="22"/>
                <w:lang w:val="sr-Latn-ME"/>
              </w:rPr>
              <w:t xml:space="preserve">1/10.000, </w:t>
            </w:r>
            <w:r w:rsidRPr="006B58D8">
              <w:rPr>
                <w:i/>
                <w:sz w:val="22"/>
                <w:szCs w:val="22"/>
                <w:lang w:val="sr-Latn-ME"/>
              </w:rPr>
              <w:sym w:font="Symbol" w:char="F03C"/>
            </w:r>
            <w:r w:rsidRPr="006B58D8">
              <w:rPr>
                <w:i/>
                <w:sz w:val="22"/>
                <w:szCs w:val="22"/>
                <w:lang w:val="sr-Latn-ME"/>
              </w:rPr>
              <w:t>1/1000), veoma rijetk</w:t>
            </w:r>
            <w:r w:rsidR="00A23782" w:rsidRPr="006B58D8">
              <w:rPr>
                <w:i/>
                <w:sz w:val="22"/>
                <w:szCs w:val="22"/>
                <w:lang w:val="sr-Latn-ME"/>
              </w:rPr>
              <w:t>o</w:t>
            </w:r>
            <w:r w:rsidRPr="006B58D8">
              <w:rPr>
                <w:i/>
                <w:sz w:val="22"/>
                <w:szCs w:val="22"/>
                <w:lang w:val="sr-Latn-ME"/>
              </w:rPr>
              <w:t xml:space="preserve"> (</w:t>
            </w:r>
            <w:r w:rsidRPr="006B58D8">
              <w:rPr>
                <w:i/>
                <w:sz w:val="22"/>
                <w:szCs w:val="22"/>
                <w:lang w:val="sr-Latn-ME"/>
              </w:rPr>
              <w:sym w:font="Symbol" w:char="F03C"/>
            </w:r>
            <w:r w:rsidRPr="006B58D8">
              <w:rPr>
                <w:i/>
                <w:sz w:val="22"/>
                <w:szCs w:val="22"/>
                <w:lang w:val="sr-Latn-ME"/>
              </w:rPr>
              <w:t>1/10.000 uključujući i sporadične slučajeve)</w:t>
            </w:r>
          </w:p>
          <w:p w14:paraId="1C53968D" w14:textId="77777777" w:rsidR="007A033F" w:rsidRPr="006B58D8" w:rsidRDefault="007A033F" w:rsidP="0069371F">
            <w:pPr>
              <w:pStyle w:val="Header"/>
              <w:tabs>
                <w:tab w:val="left" w:pos="284"/>
              </w:tabs>
              <w:jc w:val="both"/>
              <w:rPr>
                <w:i/>
                <w:sz w:val="22"/>
                <w:szCs w:val="22"/>
                <w:lang w:val="sr-Latn-ME"/>
              </w:rPr>
            </w:pPr>
          </w:p>
          <w:p w14:paraId="4DC35758" w14:textId="43671FF6" w:rsidR="007A033F" w:rsidRPr="006B58D8" w:rsidRDefault="007A033F" w:rsidP="0069371F">
            <w:pPr>
              <w:pStyle w:val="Header"/>
              <w:tabs>
                <w:tab w:val="left" w:pos="284"/>
              </w:tabs>
              <w:jc w:val="both"/>
              <w:rPr>
                <w:sz w:val="22"/>
                <w:szCs w:val="22"/>
                <w:lang w:val="sr-Latn-ME"/>
              </w:rPr>
            </w:pPr>
            <w:r w:rsidRPr="006B58D8">
              <w:rPr>
                <w:sz w:val="22"/>
                <w:szCs w:val="22"/>
                <w:lang w:val="sr-Latn-ME"/>
              </w:rPr>
              <w:t xml:space="preserve">† Ove neželjene reakcije prijavljene </w:t>
            </w:r>
            <w:r w:rsidR="00A23782" w:rsidRPr="006B58D8">
              <w:rPr>
                <w:sz w:val="22"/>
                <w:szCs w:val="22"/>
                <w:lang w:val="sr-Latn-ME"/>
              </w:rPr>
              <w:t xml:space="preserve">su </w:t>
            </w:r>
            <w:r w:rsidRPr="006B58D8">
              <w:rPr>
                <w:sz w:val="22"/>
                <w:szCs w:val="22"/>
                <w:lang w:val="sr-Latn-ME"/>
              </w:rPr>
              <w:t>"veoma čest</w:t>
            </w:r>
            <w:r w:rsidR="00A23782" w:rsidRPr="006B58D8">
              <w:rPr>
                <w:sz w:val="22"/>
                <w:szCs w:val="22"/>
                <w:lang w:val="sr-Latn-ME"/>
              </w:rPr>
              <w:t>o</w:t>
            </w:r>
            <w:r w:rsidRPr="006B58D8">
              <w:rPr>
                <w:sz w:val="22"/>
                <w:szCs w:val="22"/>
                <w:lang w:val="sr-Latn-ME"/>
              </w:rPr>
              <w:t>" kod pacijenata koji su dobijali montelukast, prijavljene su i " veoma čest</w:t>
            </w:r>
            <w:r w:rsidR="00A23782" w:rsidRPr="006B58D8">
              <w:rPr>
                <w:sz w:val="22"/>
                <w:szCs w:val="22"/>
                <w:lang w:val="sr-Latn-ME"/>
              </w:rPr>
              <w:t>o</w:t>
            </w:r>
            <w:r w:rsidRPr="006B58D8">
              <w:rPr>
                <w:sz w:val="22"/>
                <w:szCs w:val="22"/>
                <w:lang w:val="sr-Latn-ME"/>
              </w:rPr>
              <w:t>" kod pacijenata koji su dobijali placebo u kliničkim studijama.</w:t>
            </w:r>
          </w:p>
          <w:p w14:paraId="59FAA6AE" w14:textId="77777777" w:rsidR="007A033F" w:rsidRPr="006B58D8" w:rsidRDefault="007A033F" w:rsidP="0069371F">
            <w:pPr>
              <w:pStyle w:val="Header"/>
              <w:tabs>
                <w:tab w:val="left" w:pos="284"/>
              </w:tabs>
              <w:jc w:val="both"/>
              <w:rPr>
                <w:sz w:val="22"/>
                <w:szCs w:val="22"/>
                <w:lang w:val="sr-Latn-ME"/>
              </w:rPr>
            </w:pPr>
          </w:p>
          <w:p w14:paraId="7FD947A2" w14:textId="25F5F9D7" w:rsidR="007A033F" w:rsidRPr="006B58D8" w:rsidRDefault="007A033F" w:rsidP="0069371F">
            <w:pPr>
              <w:pStyle w:val="Header"/>
              <w:tabs>
                <w:tab w:val="left" w:pos="284"/>
              </w:tabs>
              <w:jc w:val="both"/>
              <w:rPr>
                <w:sz w:val="22"/>
                <w:szCs w:val="22"/>
                <w:lang w:val="sr-Latn-ME"/>
              </w:rPr>
            </w:pPr>
            <w:r w:rsidRPr="006B58D8">
              <w:rPr>
                <w:sz w:val="22"/>
                <w:szCs w:val="22"/>
                <w:lang w:val="sr-Latn-ME"/>
              </w:rPr>
              <w:t xml:space="preserve">‡ Ove neželjene reakcije prijavljene </w:t>
            </w:r>
            <w:r w:rsidR="00A23782" w:rsidRPr="006B58D8">
              <w:rPr>
                <w:sz w:val="22"/>
                <w:szCs w:val="22"/>
                <w:lang w:val="sr-Latn-ME"/>
              </w:rPr>
              <w:t xml:space="preserve">su </w:t>
            </w:r>
            <w:r w:rsidRPr="006B58D8">
              <w:rPr>
                <w:sz w:val="22"/>
                <w:szCs w:val="22"/>
                <w:lang w:val="sr-Latn-ME"/>
              </w:rPr>
              <w:t>"čest</w:t>
            </w:r>
            <w:r w:rsidR="00A23782" w:rsidRPr="006B58D8">
              <w:rPr>
                <w:sz w:val="22"/>
                <w:szCs w:val="22"/>
                <w:lang w:val="sr-Latn-ME"/>
              </w:rPr>
              <w:t>o</w:t>
            </w:r>
            <w:r w:rsidRPr="006B58D8">
              <w:rPr>
                <w:sz w:val="22"/>
                <w:szCs w:val="22"/>
                <w:lang w:val="sr-Latn-ME"/>
              </w:rPr>
              <w:t>" kod pacijenata koji su dobijali montelukast, prijavljene su i "čest</w:t>
            </w:r>
            <w:r w:rsidR="00A23782" w:rsidRPr="006B58D8">
              <w:rPr>
                <w:sz w:val="22"/>
                <w:szCs w:val="22"/>
                <w:lang w:val="sr-Latn-ME"/>
              </w:rPr>
              <w:t>o</w:t>
            </w:r>
            <w:r w:rsidRPr="006B58D8">
              <w:rPr>
                <w:sz w:val="22"/>
                <w:szCs w:val="22"/>
                <w:lang w:val="sr-Latn-ME"/>
              </w:rPr>
              <w:t>" kod pacijenata koji su dobijali placebo u kliničkim studijama.</w:t>
            </w:r>
          </w:p>
          <w:p w14:paraId="4D9E1DAB" w14:textId="77777777" w:rsidR="007A033F" w:rsidRPr="006B58D8" w:rsidRDefault="007A033F" w:rsidP="0069371F">
            <w:pPr>
              <w:jc w:val="both"/>
              <w:rPr>
                <w:sz w:val="22"/>
                <w:szCs w:val="22"/>
                <w:lang w:val="sr-Latn-ME"/>
              </w:rPr>
            </w:pPr>
            <w:r w:rsidRPr="006B58D8">
              <w:rPr>
                <w:sz w:val="22"/>
                <w:szCs w:val="22"/>
                <w:lang w:val="sr-Latn-ME"/>
              </w:rPr>
              <w:t>§ Kategorija učestalosti: rijetka</w:t>
            </w:r>
          </w:p>
          <w:p w14:paraId="45E500DD" w14:textId="77777777" w:rsidR="007A033F" w:rsidRPr="006B58D8" w:rsidRDefault="007A033F" w:rsidP="0069371F">
            <w:pPr>
              <w:jc w:val="both"/>
              <w:rPr>
                <w:sz w:val="22"/>
                <w:szCs w:val="22"/>
                <w:lang w:val="sr-Latn-ME"/>
              </w:rPr>
            </w:pPr>
          </w:p>
        </w:tc>
      </w:tr>
    </w:tbl>
    <w:p w14:paraId="456F7290" w14:textId="77777777" w:rsidR="007A033F" w:rsidRPr="006B58D8" w:rsidRDefault="007A033F" w:rsidP="0069371F">
      <w:pPr>
        <w:spacing w:after="200" w:line="276" w:lineRule="auto"/>
        <w:jc w:val="both"/>
        <w:rPr>
          <w:rFonts w:eastAsia="Calibri"/>
          <w:sz w:val="22"/>
          <w:szCs w:val="22"/>
          <w:u w:val="single"/>
          <w:lang w:val="sr-Latn-ME"/>
        </w:rPr>
      </w:pPr>
    </w:p>
    <w:p w14:paraId="6EC43200" w14:textId="29F148A1" w:rsidR="005A23D2" w:rsidRPr="006B58D8" w:rsidRDefault="005A23D2">
      <w:pPr>
        <w:spacing w:after="200" w:line="276" w:lineRule="auto"/>
        <w:jc w:val="both"/>
        <w:rPr>
          <w:rFonts w:eastAsia="Calibri"/>
          <w:sz w:val="22"/>
          <w:szCs w:val="22"/>
          <w:u w:val="single"/>
          <w:lang w:val="sr-Latn-ME"/>
        </w:rPr>
      </w:pPr>
      <w:r w:rsidRPr="006B58D8">
        <w:rPr>
          <w:rFonts w:eastAsia="Calibri"/>
          <w:sz w:val="22"/>
          <w:szCs w:val="22"/>
          <w:u w:val="single"/>
          <w:lang w:val="sr-Latn-ME"/>
        </w:rPr>
        <w:t>Prijavljivanje sumnji na neželjena dejstva</w:t>
      </w:r>
    </w:p>
    <w:p w14:paraId="16BFD249" w14:textId="77777777" w:rsidR="00492DB7" w:rsidRPr="006B58D8" w:rsidRDefault="00492DB7">
      <w:pPr>
        <w:spacing w:after="200"/>
        <w:jc w:val="both"/>
        <w:rPr>
          <w:rFonts w:eastAsia="Calibri"/>
          <w:sz w:val="22"/>
          <w:szCs w:val="22"/>
          <w:lang w:val="sr-Latn-ME"/>
        </w:rPr>
      </w:pPr>
      <w:r w:rsidRPr="006B58D8">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7F306A5" w14:textId="77777777" w:rsidR="00492DB7" w:rsidRPr="006B58D8" w:rsidRDefault="00492DB7">
      <w:pPr>
        <w:pStyle w:val="NoSpacing"/>
        <w:jc w:val="both"/>
        <w:rPr>
          <w:rFonts w:eastAsia="Calibri"/>
          <w:sz w:val="22"/>
          <w:szCs w:val="22"/>
          <w:lang w:val="sr-Latn-ME"/>
        </w:rPr>
      </w:pPr>
      <w:r w:rsidRPr="006B58D8">
        <w:rPr>
          <w:rFonts w:eastAsia="Calibri"/>
          <w:sz w:val="22"/>
          <w:szCs w:val="22"/>
          <w:lang w:val="sr-Latn-ME"/>
        </w:rPr>
        <w:t xml:space="preserve">Institut za ljekove i medicinska sredstva </w:t>
      </w:r>
    </w:p>
    <w:p w14:paraId="2152D6C3" w14:textId="77777777" w:rsidR="00492DB7" w:rsidRPr="006B58D8" w:rsidRDefault="00492DB7">
      <w:pPr>
        <w:pStyle w:val="NoSpacing"/>
        <w:jc w:val="both"/>
        <w:rPr>
          <w:rFonts w:eastAsia="Calibri"/>
          <w:sz w:val="22"/>
          <w:szCs w:val="22"/>
          <w:lang w:val="sr-Latn-ME"/>
        </w:rPr>
      </w:pPr>
      <w:r w:rsidRPr="006B58D8">
        <w:rPr>
          <w:rFonts w:eastAsia="Calibri"/>
          <w:sz w:val="22"/>
          <w:szCs w:val="22"/>
          <w:lang w:val="sr-Latn-ME"/>
        </w:rPr>
        <w:t>Odjeljenje za farmakovigilancu</w:t>
      </w:r>
    </w:p>
    <w:p w14:paraId="0205C31F" w14:textId="77777777" w:rsidR="00492DB7" w:rsidRPr="006B58D8" w:rsidRDefault="00492DB7">
      <w:pPr>
        <w:pStyle w:val="NoSpacing"/>
        <w:jc w:val="both"/>
        <w:rPr>
          <w:rFonts w:eastAsia="Calibri"/>
          <w:sz w:val="22"/>
          <w:szCs w:val="22"/>
          <w:lang w:val="sr-Latn-ME"/>
        </w:rPr>
      </w:pPr>
      <w:r w:rsidRPr="006B58D8">
        <w:rPr>
          <w:rFonts w:eastAsia="Calibri"/>
          <w:sz w:val="22"/>
          <w:szCs w:val="22"/>
          <w:lang w:val="sr-Latn-ME"/>
        </w:rPr>
        <w:t>Bulevar Ivana Crnojevića 64a, 81000 Podgorica</w:t>
      </w:r>
    </w:p>
    <w:p w14:paraId="321B2C4B" w14:textId="77777777" w:rsidR="00492DB7" w:rsidRPr="006B58D8" w:rsidRDefault="00492DB7" w:rsidP="00445E9B">
      <w:pPr>
        <w:pStyle w:val="NoSpacing"/>
        <w:jc w:val="both"/>
        <w:rPr>
          <w:rFonts w:eastAsia="Calibri"/>
          <w:sz w:val="22"/>
          <w:szCs w:val="22"/>
          <w:lang w:val="sr-Latn-ME"/>
        </w:rPr>
      </w:pPr>
    </w:p>
    <w:p w14:paraId="577EFD48" w14:textId="77777777" w:rsidR="00492DB7" w:rsidRPr="006B58D8" w:rsidRDefault="00492DB7">
      <w:pPr>
        <w:pStyle w:val="NoSpacing"/>
        <w:jc w:val="both"/>
        <w:rPr>
          <w:rFonts w:eastAsia="Calibri"/>
          <w:sz w:val="22"/>
          <w:szCs w:val="22"/>
          <w:lang w:val="sr-Latn-ME"/>
        </w:rPr>
      </w:pPr>
      <w:r w:rsidRPr="006B58D8">
        <w:rPr>
          <w:rFonts w:eastAsia="Calibri"/>
          <w:sz w:val="22"/>
          <w:szCs w:val="22"/>
          <w:lang w:val="sr-Latn-ME"/>
        </w:rPr>
        <w:t>tel: +382 (0) 20 310 280</w:t>
      </w:r>
    </w:p>
    <w:p w14:paraId="3DC7A14D" w14:textId="77777777" w:rsidR="00492DB7" w:rsidRPr="006B58D8" w:rsidRDefault="00492DB7">
      <w:pPr>
        <w:pStyle w:val="NoSpacing"/>
        <w:jc w:val="both"/>
        <w:rPr>
          <w:rFonts w:eastAsia="Calibri"/>
          <w:sz w:val="22"/>
          <w:szCs w:val="22"/>
          <w:lang w:val="sr-Latn-ME"/>
        </w:rPr>
      </w:pPr>
      <w:r w:rsidRPr="006B58D8">
        <w:rPr>
          <w:rFonts w:eastAsia="Calibri"/>
          <w:sz w:val="22"/>
          <w:szCs w:val="22"/>
          <w:lang w:val="sr-Latn-ME"/>
        </w:rPr>
        <w:t>fax: +382 (0) 20 310 581</w:t>
      </w:r>
    </w:p>
    <w:p w14:paraId="2E83E143" w14:textId="77777777" w:rsidR="00492DB7" w:rsidRPr="006B58D8" w:rsidRDefault="000D2DFF">
      <w:pPr>
        <w:pStyle w:val="NoSpacing"/>
        <w:jc w:val="both"/>
        <w:rPr>
          <w:rFonts w:eastAsia="Calibri"/>
          <w:sz w:val="22"/>
          <w:szCs w:val="22"/>
          <w:lang w:val="sr-Latn-ME"/>
        </w:rPr>
      </w:pPr>
      <w:hyperlink r:id="rId9" w:history="1">
        <w:r w:rsidR="00492DB7" w:rsidRPr="006B58D8">
          <w:rPr>
            <w:rStyle w:val="Hyperlink"/>
            <w:rFonts w:eastAsia="Calibri"/>
            <w:sz w:val="22"/>
            <w:szCs w:val="22"/>
            <w:lang w:val="sr-Latn-ME"/>
          </w:rPr>
          <w:t>www.cinmed.me</w:t>
        </w:r>
      </w:hyperlink>
    </w:p>
    <w:p w14:paraId="14659C76" w14:textId="77777777" w:rsidR="00492DB7" w:rsidRPr="006B58D8" w:rsidRDefault="000D2DFF">
      <w:pPr>
        <w:pStyle w:val="NoSpacing"/>
        <w:jc w:val="both"/>
        <w:rPr>
          <w:rFonts w:eastAsia="Calibri"/>
          <w:color w:val="0000FF"/>
          <w:sz w:val="22"/>
          <w:szCs w:val="22"/>
          <w:u w:val="single"/>
          <w:lang w:val="sr-Latn-ME"/>
        </w:rPr>
      </w:pPr>
      <w:hyperlink r:id="rId10" w:history="1">
        <w:r w:rsidR="00492DB7" w:rsidRPr="006B58D8">
          <w:rPr>
            <w:rStyle w:val="Hyperlink"/>
            <w:rFonts w:eastAsia="Calibri"/>
            <w:sz w:val="22"/>
            <w:szCs w:val="22"/>
            <w:lang w:val="sr-Latn-ME"/>
          </w:rPr>
          <w:t>nezeljenadejstva@cinmed.me</w:t>
        </w:r>
      </w:hyperlink>
    </w:p>
    <w:p w14:paraId="19301B88" w14:textId="2B6F8E8B" w:rsidR="00492DB7" w:rsidRPr="006B58D8" w:rsidRDefault="00492DB7">
      <w:pPr>
        <w:pStyle w:val="NoSpacing"/>
        <w:jc w:val="both"/>
        <w:rPr>
          <w:rFonts w:eastAsia="Calibri"/>
          <w:sz w:val="22"/>
          <w:szCs w:val="22"/>
          <w:lang w:val="sr-Latn-ME"/>
        </w:rPr>
      </w:pPr>
      <w:r w:rsidRPr="006B58D8">
        <w:rPr>
          <w:rFonts w:eastAsia="Calibri"/>
          <w:sz w:val="22"/>
          <w:szCs w:val="22"/>
          <w:lang w:val="sr-Latn-ME"/>
        </w:rPr>
        <w:t>putem IS zdravstvene zaštite</w:t>
      </w:r>
    </w:p>
    <w:p w14:paraId="52F06B17" w14:textId="77777777" w:rsidR="008613DF" w:rsidRPr="006B58D8" w:rsidRDefault="008613DF" w:rsidP="008613DF">
      <w:pPr>
        <w:rPr>
          <w:sz w:val="22"/>
          <w:szCs w:val="22"/>
          <w:lang w:val="sr-Latn-ME"/>
        </w:rPr>
      </w:pPr>
      <w:r w:rsidRPr="006B58D8">
        <w:rPr>
          <w:sz w:val="22"/>
          <w:szCs w:val="22"/>
          <w:lang w:val="sr-Latn-ME"/>
        </w:rPr>
        <w:t>QR kod za online prijavu sumnje na neželjeno dejstvo lijeka:</w:t>
      </w:r>
    </w:p>
    <w:p w14:paraId="6C4934EF" w14:textId="77777777" w:rsidR="008613DF" w:rsidRPr="006B58D8" w:rsidRDefault="008613DF" w:rsidP="008613DF">
      <w:pPr>
        <w:rPr>
          <w:sz w:val="22"/>
          <w:szCs w:val="22"/>
          <w:lang w:val="sr-Latn-ME"/>
        </w:rPr>
      </w:pPr>
    </w:p>
    <w:p w14:paraId="71BC43CF" w14:textId="4F809E06" w:rsidR="008613DF" w:rsidRPr="006B58D8" w:rsidRDefault="008613DF" w:rsidP="008613DF">
      <w:pPr>
        <w:pStyle w:val="NoSpacing"/>
        <w:jc w:val="both"/>
        <w:rPr>
          <w:rFonts w:eastAsia="Calibri"/>
          <w:sz w:val="22"/>
          <w:szCs w:val="22"/>
          <w:lang w:val="sr-Latn-ME"/>
        </w:rPr>
      </w:pPr>
      <w:r w:rsidRPr="006B58D8">
        <w:rPr>
          <w:noProof/>
        </w:rPr>
        <w:drawing>
          <wp:inline distT="0" distB="0" distL="0" distR="0" wp14:anchorId="143B26EC" wp14:editId="3C50DDF0">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14FB2D0" w14:textId="77777777" w:rsidR="00836B35" w:rsidRPr="006B58D8" w:rsidRDefault="00836B35" w:rsidP="0069371F">
      <w:pPr>
        <w:tabs>
          <w:tab w:val="left" w:pos="540"/>
          <w:tab w:val="left" w:pos="569"/>
        </w:tabs>
        <w:jc w:val="both"/>
        <w:rPr>
          <w:b/>
          <w:bCs/>
          <w:sz w:val="22"/>
          <w:szCs w:val="22"/>
          <w:lang w:val="sr-Latn-ME"/>
        </w:rPr>
      </w:pPr>
    </w:p>
    <w:p w14:paraId="198BBC11" w14:textId="77777777" w:rsidR="00CD6F02"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4.9. </w:t>
      </w:r>
      <w:r w:rsidR="00480FB1" w:rsidRPr="006B58D8">
        <w:rPr>
          <w:b/>
          <w:bCs/>
          <w:sz w:val="22"/>
          <w:szCs w:val="22"/>
          <w:lang w:val="sr-Latn-ME"/>
        </w:rPr>
        <w:tab/>
      </w:r>
      <w:r w:rsidRPr="006B58D8">
        <w:rPr>
          <w:b/>
          <w:bCs/>
          <w:sz w:val="22"/>
          <w:szCs w:val="22"/>
          <w:lang w:val="sr-Latn-ME"/>
        </w:rPr>
        <w:t>Predoziranje</w:t>
      </w:r>
      <w:r w:rsidR="002846DB" w:rsidRPr="006B58D8">
        <w:rPr>
          <w:b/>
          <w:bCs/>
          <w:sz w:val="22"/>
          <w:szCs w:val="22"/>
          <w:lang w:val="sr-Latn-ME"/>
        </w:rPr>
        <w:t xml:space="preserve"> </w:t>
      </w:r>
    </w:p>
    <w:p w14:paraId="20BA9E3C" w14:textId="77777777" w:rsidR="00CD6F02" w:rsidRPr="006B58D8" w:rsidRDefault="00CD6F02" w:rsidP="0069371F">
      <w:pPr>
        <w:tabs>
          <w:tab w:val="left" w:pos="540"/>
          <w:tab w:val="left" w:pos="569"/>
        </w:tabs>
        <w:jc w:val="both"/>
        <w:rPr>
          <w:b/>
          <w:bCs/>
          <w:sz w:val="22"/>
          <w:szCs w:val="22"/>
          <w:lang w:val="sr-Latn-ME"/>
        </w:rPr>
      </w:pPr>
    </w:p>
    <w:p w14:paraId="13CDC97F" w14:textId="14CE1795" w:rsidR="007A033F" w:rsidRPr="006B58D8" w:rsidRDefault="007A033F" w:rsidP="0069371F">
      <w:pPr>
        <w:jc w:val="both"/>
        <w:rPr>
          <w:sz w:val="22"/>
          <w:szCs w:val="22"/>
          <w:lang w:val="sr-Latn-ME"/>
        </w:rPr>
      </w:pPr>
      <w:r w:rsidRPr="006B58D8">
        <w:rPr>
          <w:sz w:val="22"/>
          <w:szCs w:val="22"/>
          <w:lang w:val="sr-Latn-ME"/>
        </w:rPr>
        <w:t xml:space="preserve">Kod ispitivanja hroničnih slučajeva astme, montelukast se primjenjivao kod odraslih pacijenata u dozi od 200 mg/dan, tokom 22 nedjelje, a u </w:t>
      </w:r>
      <w:r w:rsidR="00CE392B" w:rsidRPr="006B58D8">
        <w:rPr>
          <w:sz w:val="22"/>
          <w:szCs w:val="22"/>
          <w:lang w:val="sr-Latn-ME"/>
        </w:rPr>
        <w:t xml:space="preserve">kratkotrajnim </w:t>
      </w:r>
      <w:r w:rsidRPr="006B58D8">
        <w:rPr>
          <w:sz w:val="22"/>
          <w:szCs w:val="22"/>
          <w:lang w:val="sr-Latn-ME"/>
        </w:rPr>
        <w:t>ispitivanjima, montelukast se primjenjivao u dozi do 900 mg/dan, tokom jedne nedjelje, bez klinički značajnih neželjenih reakcija.</w:t>
      </w:r>
    </w:p>
    <w:p w14:paraId="58B7D717" w14:textId="77777777" w:rsidR="007A033F" w:rsidRPr="006B58D8" w:rsidRDefault="007A033F" w:rsidP="0069371F">
      <w:pPr>
        <w:jc w:val="both"/>
        <w:rPr>
          <w:sz w:val="22"/>
          <w:szCs w:val="22"/>
          <w:lang w:val="sr-Latn-ME"/>
        </w:rPr>
      </w:pPr>
    </w:p>
    <w:p w14:paraId="1FC371E9" w14:textId="701224AB" w:rsidR="007A033F" w:rsidRPr="006B58D8" w:rsidRDefault="007A033F" w:rsidP="0069371F">
      <w:pPr>
        <w:jc w:val="both"/>
        <w:rPr>
          <w:sz w:val="22"/>
          <w:szCs w:val="22"/>
          <w:lang w:val="sr-Latn-ME"/>
        </w:rPr>
      </w:pPr>
      <w:r w:rsidRPr="006B58D8">
        <w:rPr>
          <w:sz w:val="22"/>
          <w:szCs w:val="22"/>
          <w:lang w:val="sr-Latn-ME"/>
        </w:rPr>
        <w:t>Postoje izvještaji o akutno</w:t>
      </w:r>
      <w:r w:rsidR="00180417" w:rsidRPr="006B58D8">
        <w:rPr>
          <w:sz w:val="22"/>
          <w:szCs w:val="22"/>
          <w:lang w:val="sr-Latn-ME"/>
        </w:rPr>
        <w:t>m</w:t>
      </w:r>
      <w:r w:rsidRPr="006B58D8">
        <w:rPr>
          <w:sz w:val="22"/>
          <w:szCs w:val="22"/>
          <w:lang w:val="sr-Latn-ME"/>
        </w:rPr>
        <w:t xml:space="preserve"> predoziran</w:t>
      </w:r>
      <w:r w:rsidR="00674A40" w:rsidRPr="006B58D8">
        <w:rPr>
          <w:sz w:val="22"/>
          <w:szCs w:val="22"/>
          <w:lang w:val="sr-Latn-ME"/>
        </w:rPr>
        <w:t>ju</w:t>
      </w:r>
      <w:r w:rsidR="00180417" w:rsidRPr="006B58D8">
        <w:rPr>
          <w:sz w:val="22"/>
          <w:szCs w:val="22"/>
          <w:lang w:val="sr-Latn-ME"/>
        </w:rPr>
        <w:t xml:space="preserve"> montelukastom koji su dobijeni na osnovu</w:t>
      </w:r>
      <w:r w:rsidRPr="006B58D8">
        <w:rPr>
          <w:sz w:val="22"/>
          <w:szCs w:val="22"/>
          <w:lang w:val="sr-Latn-ME"/>
        </w:rPr>
        <w:t xml:space="preserve"> post</w:t>
      </w:r>
      <w:r w:rsidR="00180417" w:rsidRPr="006B58D8">
        <w:rPr>
          <w:sz w:val="22"/>
          <w:szCs w:val="22"/>
          <w:lang w:val="sr-Latn-ME"/>
        </w:rPr>
        <w:t xml:space="preserve">marketinškog </w:t>
      </w:r>
      <w:r w:rsidRPr="006B58D8">
        <w:rPr>
          <w:sz w:val="22"/>
          <w:szCs w:val="22"/>
          <w:lang w:val="sr-Latn-ME"/>
        </w:rPr>
        <w:t>iskustv</w:t>
      </w:r>
      <w:r w:rsidR="00180417" w:rsidRPr="006B58D8">
        <w:rPr>
          <w:sz w:val="22"/>
          <w:szCs w:val="22"/>
          <w:lang w:val="sr-Latn-ME"/>
        </w:rPr>
        <w:t>a</w:t>
      </w:r>
      <w:r w:rsidRPr="006B58D8">
        <w:rPr>
          <w:sz w:val="22"/>
          <w:szCs w:val="22"/>
          <w:lang w:val="sr-Latn-ME"/>
        </w:rPr>
        <w:t xml:space="preserve"> i </w:t>
      </w:r>
      <w:r w:rsidR="00180417" w:rsidRPr="006B58D8">
        <w:rPr>
          <w:sz w:val="22"/>
          <w:szCs w:val="22"/>
          <w:lang w:val="sr-Latn-ME"/>
        </w:rPr>
        <w:t>kliničkih ispitivanja.</w:t>
      </w:r>
      <w:r w:rsidRPr="006B58D8">
        <w:rPr>
          <w:sz w:val="22"/>
          <w:szCs w:val="22"/>
          <w:lang w:val="sr-Latn-ME"/>
        </w:rPr>
        <w:t xml:space="preserve"> Ov</w:t>
      </w:r>
      <w:r w:rsidR="00674A40" w:rsidRPr="006B58D8">
        <w:rPr>
          <w:sz w:val="22"/>
          <w:szCs w:val="22"/>
          <w:lang w:val="sr-Latn-ME"/>
        </w:rPr>
        <w:t>i</w:t>
      </w:r>
      <w:r w:rsidRPr="006B58D8">
        <w:rPr>
          <w:sz w:val="22"/>
          <w:szCs w:val="22"/>
          <w:lang w:val="sr-Latn-ME"/>
        </w:rPr>
        <w:t xml:space="preserve"> </w:t>
      </w:r>
      <w:r w:rsidR="00674A40" w:rsidRPr="006B58D8">
        <w:rPr>
          <w:sz w:val="22"/>
          <w:szCs w:val="22"/>
          <w:lang w:val="sr-Latn-ME"/>
        </w:rPr>
        <w:t>izv</w:t>
      </w:r>
      <w:r w:rsidR="00F17659" w:rsidRPr="006B58D8">
        <w:rPr>
          <w:sz w:val="22"/>
          <w:szCs w:val="22"/>
          <w:lang w:val="sr-Latn-ME"/>
        </w:rPr>
        <w:t>j</w:t>
      </w:r>
      <w:r w:rsidR="00674A40" w:rsidRPr="006B58D8">
        <w:rPr>
          <w:sz w:val="22"/>
          <w:szCs w:val="22"/>
          <w:lang w:val="sr-Latn-ME"/>
        </w:rPr>
        <w:t>eštaji su uključili odrasle i djecu</w:t>
      </w:r>
      <w:r w:rsidR="00CB6152" w:rsidRPr="006B58D8">
        <w:rPr>
          <w:sz w:val="22"/>
          <w:szCs w:val="22"/>
          <w:lang w:val="sr-Latn-ME"/>
        </w:rPr>
        <w:t xml:space="preserve"> i uzimanje doze do</w:t>
      </w:r>
      <w:r w:rsidRPr="006B58D8">
        <w:rPr>
          <w:sz w:val="22"/>
          <w:szCs w:val="22"/>
          <w:lang w:val="sr-Latn-ME"/>
        </w:rPr>
        <w:t xml:space="preserve"> 1000 miligrama (</w:t>
      </w:r>
      <w:r w:rsidR="00CB6152" w:rsidRPr="006B58D8">
        <w:rPr>
          <w:sz w:val="22"/>
          <w:szCs w:val="22"/>
          <w:lang w:val="sr-Latn-ME"/>
        </w:rPr>
        <w:t xml:space="preserve">oko </w:t>
      </w:r>
      <w:r w:rsidRPr="006B58D8">
        <w:rPr>
          <w:sz w:val="22"/>
          <w:szCs w:val="22"/>
          <w:lang w:val="sr-Latn-ME"/>
        </w:rPr>
        <w:t xml:space="preserve">61 mg/kg kod djeteta 42 mjeseca starosti). Dobijeni klinički i laboratorijski nalazi bili su konzistentni sa bezbjednosnim profilom kod odraslih i pedijatrijskih pacijenata. Nije bilo neželjenih reakcija u većini prijavljenih slučajeva predoziranja. </w:t>
      </w:r>
    </w:p>
    <w:p w14:paraId="27F5C858" w14:textId="77777777" w:rsidR="007A033F" w:rsidRPr="006B58D8" w:rsidRDefault="007A033F" w:rsidP="0069371F">
      <w:pPr>
        <w:jc w:val="both"/>
        <w:rPr>
          <w:sz w:val="22"/>
          <w:szCs w:val="22"/>
          <w:lang w:val="sr-Latn-ME"/>
        </w:rPr>
      </w:pPr>
    </w:p>
    <w:p w14:paraId="1B13A380" w14:textId="77777777" w:rsidR="007A033F" w:rsidRPr="006B58D8" w:rsidRDefault="007A033F" w:rsidP="0069371F">
      <w:pPr>
        <w:jc w:val="both"/>
        <w:rPr>
          <w:sz w:val="22"/>
          <w:szCs w:val="22"/>
          <w:u w:val="single"/>
          <w:lang w:val="sr-Latn-ME"/>
        </w:rPr>
      </w:pPr>
      <w:r w:rsidRPr="006B58D8">
        <w:rPr>
          <w:sz w:val="22"/>
          <w:szCs w:val="22"/>
          <w:u w:val="single"/>
          <w:lang w:val="sr-Latn-ME"/>
        </w:rPr>
        <w:t>Simptomi predoziranja</w:t>
      </w:r>
    </w:p>
    <w:p w14:paraId="5B741C92" w14:textId="5052C2BA" w:rsidR="007A033F" w:rsidRPr="006B58D8" w:rsidRDefault="007A033F" w:rsidP="0069371F">
      <w:pPr>
        <w:jc w:val="both"/>
        <w:rPr>
          <w:sz w:val="22"/>
          <w:szCs w:val="22"/>
          <w:lang w:val="sr-Latn-ME"/>
        </w:rPr>
      </w:pPr>
      <w:r w:rsidRPr="006B58D8">
        <w:rPr>
          <w:sz w:val="22"/>
          <w:szCs w:val="22"/>
          <w:lang w:val="sr-Latn-ME"/>
        </w:rPr>
        <w:t>Neželjene reakcije koje su se najčešće pojavljivale su bile konzistentne sa bezbjednosnim profilom montelukasta i uključivale su abdominalni bol, somnolenciju, žeđ, gla</w:t>
      </w:r>
      <w:r w:rsidR="00854C95" w:rsidRPr="006B58D8">
        <w:rPr>
          <w:sz w:val="22"/>
          <w:szCs w:val="22"/>
          <w:lang w:val="sr-Latn-ME"/>
        </w:rPr>
        <w:t>vo</w:t>
      </w:r>
      <w:r w:rsidRPr="006B58D8">
        <w:rPr>
          <w:sz w:val="22"/>
          <w:szCs w:val="22"/>
          <w:lang w:val="sr-Latn-ME"/>
        </w:rPr>
        <w:t>bolju, povraćanje i psihomotornu hiperaktivnost.</w:t>
      </w:r>
    </w:p>
    <w:p w14:paraId="1078FA4A" w14:textId="27A2B924" w:rsidR="007A033F" w:rsidRDefault="007A033F" w:rsidP="0069371F">
      <w:pPr>
        <w:jc w:val="both"/>
        <w:rPr>
          <w:sz w:val="22"/>
          <w:szCs w:val="22"/>
          <w:u w:val="single"/>
          <w:lang w:val="sr-Latn-ME"/>
        </w:rPr>
      </w:pPr>
    </w:p>
    <w:p w14:paraId="28A557D2" w14:textId="77777777" w:rsidR="006B58D8" w:rsidRPr="006B58D8" w:rsidRDefault="006B58D8" w:rsidP="0069371F">
      <w:pPr>
        <w:jc w:val="both"/>
        <w:rPr>
          <w:sz w:val="22"/>
          <w:szCs w:val="22"/>
          <w:u w:val="single"/>
          <w:lang w:val="sr-Latn-ME"/>
        </w:rPr>
      </w:pPr>
    </w:p>
    <w:p w14:paraId="0C2695EB" w14:textId="77777777" w:rsidR="007A033F" w:rsidRPr="006B58D8" w:rsidRDefault="007A033F" w:rsidP="0069371F">
      <w:pPr>
        <w:jc w:val="both"/>
        <w:rPr>
          <w:sz w:val="22"/>
          <w:szCs w:val="22"/>
          <w:u w:val="single"/>
          <w:lang w:val="sr-Latn-ME"/>
        </w:rPr>
      </w:pPr>
      <w:r w:rsidRPr="006B58D8">
        <w:rPr>
          <w:sz w:val="22"/>
          <w:szCs w:val="22"/>
          <w:u w:val="single"/>
          <w:lang w:val="sr-Latn-ME"/>
        </w:rPr>
        <w:lastRenderedPageBreak/>
        <w:t>Terapija predoziranja</w:t>
      </w:r>
    </w:p>
    <w:p w14:paraId="3F521237" w14:textId="0315AF62" w:rsidR="007A033F" w:rsidRPr="006B58D8" w:rsidRDefault="007A033F" w:rsidP="0069371F">
      <w:pPr>
        <w:jc w:val="both"/>
        <w:rPr>
          <w:sz w:val="22"/>
          <w:szCs w:val="22"/>
          <w:lang w:val="sr-Latn-ME"/>
        </w:rPr>
      </w:pPr>
      <w:r w:rsidRPr="006B58D8">
        <w:rPr>
          <w:sz w:val="22"/>
          <w:szCs w:val="22"/>
          <w:lang w:val="sr-Latn-ME"/>
        </w:rPr>
        <w:t xml:space="preserve">Nijesu dostupni specifični podaci o terapiji predoziranja montelukastom. Nije poznato da li je montelukast moguće </w:t>
      </w:r>
      <w:r w:rsidR="00854C95" w:rsidRPr="006B58D8">
        <w:rPr>
          <w:sz w:val="22"/>
          <w:szCs w:val="22"/>
          <w:lang w:val="sr-Latn-ME"/>
        </w:rPr>
        <w:t xml:space="preserve">ukloniti peritonealnom dijalizom, </w:t>
      </w:r>
      <w:r w:rsidRPr="006B58D8">
        <w:rPr>
          <w:sz w:val="22"/>
          <w:szCs w:val="22"/>
          <w:lang w:val="sr-Latn-ME"/>
        </w:rPr>
        <w:t>ili hemodijalizom.</w:t>
      </w:r>
    </w:p>
    <w:p w14:paraId="32553745" w14:textId="1930219C" w:rsidR="00227BDB" w:rsidRDefault="00227BDB" w:rsidP="0069371F">
      <w:pPr>
        <w:tabs>
          <w:tab w:val="left" w:pos="540"/>
          <w:tab w:val="left" w:pos="569"/>
        </w:tabs>
        <w:jc w:val="both"/>
        <w:rPr>
          <w:b/>
          <w:bCs/>
          <w:sz w:val="22"/>
          <w:szCs w:val="22"/>
          <w:lang w:val="sr-Latn-ME"/>
        </w:rPr>
      </w:pPr>
    </w:p>
    <w:p w14:paraId="66860F59" w14:textId="77777777" w:rsidR="00CB695B" w:rsidRPr="006B58D8" w:rsidRDefault="00CB695B" w:rsidP="0069371F">
      <w:pPr>
        <w:tabs>
          <w:tab w:val="left" w:pos="540"/>
          <w:tab w:val="left" w:pos="569"/>
        </w:tabs>
        <w:jc w:val="both"/>
        <w:rPr>
          <w:b/>
          <w:bCs/>
          <w:sz w:val="22"/>
          <w:szCs w:val="22"/>
          <w:lang w:val="sr-Latn-ME"/>
        </w:rPr>
      </w:pPr>
    </w:p>
    <w:p w14:paraId="0A3612E2"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5. </w:t>
      </w:r>
      <w:r w:rsidR="00480FB1" w:rsidRPr="006B58D8">
        <w:rPr>
          <w:b/>
          <w:bCs/>
          <w:sz w:val="22"/>
          <w:szCs w:val="22"/>
          <w:lang w:val="sr-Latn-ME"/>
        </w:rPr>
        <w:tab/>
      </w:r>
      <w:r w:rsidRPr="006B58D8">
        <w:rPr>
          <w:b/>
          <w:bCs/>
          <w:sz w:val="22"/>
          <w:szCs w:val="22"/>
          <w:lang w:val="sr-Latn-ME"/>
        </w:rPr>
        <w:t>FARMAKOLOŠK</w:t>
      </w:r>
      <w:r w:rsidR="000D425A" w:rsidRPr="006B58D8">
        <w:rPr>
          <w:b/>
          <w:bCs/>
          <w:sz w:val="22"/>
          <w:szCs w:val="22"/>
          <w:lang w:val="sr-Latn-ME"/>
        </w:rPr>
        <w:t>I</w:t>
      </w:r>
      <w:r w:rsidRPr="006B58D8">
        <w:rPr>
          <w:b/>
          <w:bCs/>
          <w:sz w:val="22"/>
          <w:szCs w:val="22"/>
          <w:lang w:val="sr-Latn-ME"/>
        </w:rPr>
        <w:t xml:space="preserve"> PODACI</w:t>
      </w:r>
    </w:p>
    <w:p w14:paraId="577F2026" w14:textId="77777777" w:rsidR="0072020E" w:rsidRPr="006B58D8" w:rsidRDefault="0072020E" w:rsidP="0069371F">
      <w:pPr>
        <w:tabs>
          <w:tab w:val="left" w:pos="540"/>
          <w:tab w:val="left" w:pos="569"/>
        </w:tabs>
        <w:jc w:val="both"/>
        <w:rPr>
          <w:b/>
          <w:bCs/>
          <w:sz w:val="22"/>
          <w:szCs w:val="22"/>
          <w:lang w:val="sr-Latn-ME"/>
        </w:rPr>
      </w:pPr>
    </w:p>
    <w:p w14:paraId="4301268C"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5.1. </w:t>
      </w:r>
      <w:r w:rsidR="00480FB1" w:rsidRPr="006B58D8">
        <w:rPr>
          <w:b/>
          <w:bCs/>
          <w:sz w:val="22"/>
          <w:szCs w:val="22"/>
          <w:lang w:val="sr-Latn-ME"/>
        </w:rPr>
        <w:tab/>
      </w:r>
      <w:r w:rsidRPr="006B58D8">
        <w:rPr>
          <w:b/>
          <w:bCs/>
          <w:sz w:val="22"/>
          <w:szCs w:val="22"/>
          <w:lang w:val="sr-Latn-ME"/>
        </w:rPr>
        <w:t>Farmakodinamski podaci</w:t>
      </w:r>
      <w:r w:rsidR="003A7059" w:rsidRPr="006B58D8">
        <w:rPr>
          <w:b/>
          <w:bCs/>
          <w:sz w:val="22"/>
          <w:szCs w:val="22"/>
          <w:lang w:val="sr-Latn-ME"/>
        </w:rPr>
        <w:t xml:space="preserve"> </w:t>
      </w:r>
    </w:p>
    <w:p w14:paraId="1E30B369" w14:textId="77777777" w:rsidR="00F45F77" w:rsidRPr="006B58D8" w:rsidRDefault="00F45F77" w:rsidP="0069371F">
      <w:pPr>
        <w:tabs>
          <w:tab w:val="left" w:pos="540"/>
          <w:tab w:val="left" w:pos="569"/>
        </w:tabs>
        <w:jc w:val="both"/>
        <w:rPr>
          <w:b/>
          <w:bCs/>
          <w:sz w:val="22"/>
          <w:szCs w:val="22"/>
          <w:lang w:val="sr-Latn-ME"/>
        </w:rPr>
      </w:pPr>
    </w:p>
    <w:p w14:paraId="4D5F81DC" w14:textId="574F999A" w:rsidR="0072020E" w:rsidRPr="006B58D8" w:rsidRDefault="0072020E" w:rsidP="0069371F">
      <w:pPr>
        <w:tabs>
          <w:tab w:val="left" w:pos="540"/>
          <w:tab w:val="left" w:pos="569"/>
        </w:tabs>
        <w:jc w:val="both"/>
        <w:rPr>
          <w:bCs/>
          <w:sz w:val="22"/>
          <w:szCs w:val="22"/>
          <w:lang w:val="sr-Latn-ME"/>
        </w:rPr>
      </w:pPr>
      <w:r w:rsidRPr="006B58D8">
        <w:rPr>
          <w:bCs/>
          <w:sz w:val="22"/>
          <w:szCs w:val="22"/>
          <w:lang w:val="sr-Latn-ME"/>
        </w:rPr>
        <w:t>Farmakoterapijska grupa:</w:t>
      </w:r>
      <w:r w:rsidR="007A033F" w:rsidRPr="006B58D8">
        <w:rPr>
          <w:bCs/>
          <w:sz w:val="22"/>
          <w:szCs w:val="22"/>
          <w:lang w:val="sr-Latn-ME"/>
        </w:rPr>
        <w:t xml:space="preserve"> </w:t>
      </w:r>
      <w:r w:rsidR="007A033F" w:rsidRPr="006B58D8">
        <w:rPr>
          <w:sz w:val="22"/>
          <w:szCs w:val="22"/>
          <w:lang w:val="sr-Latn-ME"/>
        </w:rPr>
        <w:t>antagonista leukotrijenskih receptora</w:t>
      </w:r>
    </w:p>
    <w:p w14:paraId="6405B008" w14:textId="77777777" w:rsidR="0072020E" w:rsidRPr="006B58D8" w:rsidRDefault="0072020E" w:rsidP="0069371F">
      <w:pPr>
        <w:tabs>
          <w:tab w:val="left" w:pos="540"/>
          <w:tab w:val="left" w:pos="569"/>
        </w:tabs>
        <w:jc w:val="both"/>
        <w:rPr>
          <w:bCs/>
          <w:sz w:val="22"/>
          <w:szCs w:val="22"/>
          <w:lang w:val="sr-Latn-ME"/>
        </w:rPr>
      </w:pPr>
    </w:p>
    <w:p w14:paraId="493F1E50" w14:textId="51789083" w:rsidR="0072020E" w:rsidRPr="006B58D8" w:rsidRDefault="0072020E" w:rsidP="0069371F">
      <w:pPr>
        <w:tabs>
          <w:tab w:val="left" w:pos="540"/>
          <w:tab w:val="left" w:pos="569"/>
        </w:tabs>
        <w:jc w:val="both"/>
        <w:rPr>
          <w:bCs/>
          <w:sz w:val="22"/>
          <w:szCs w:val="22"/>
          <w:lang w:val="sr-Latn-ME"/>
        </w:rPr>
      </w:pPr>
      <w:r w:rsidRPr="006B58D8">
        <w:rPr>
          <w:bCs/>
          <w:sz w:val="22"/>
          <w:szCs w:val="22"/>
          <w:lang w:val="sr-Latn-ME"/>
        </w:rPr>
        <w:t>ATC kod:</w:t>
      </w:r>
      <w:r w:rsidR="007A033F" w:rsidRPr="006B58D8">
        <w:rPr>
          <w:bCs/>
          <w:sz w:val="22"/>
          <w:szCs w:val="22"/>
          <w:lang w:val="sr-Latn-ME"/>
        </w:rPr>
        <w:t xml:space="preserve"> </w:t>
      </w:r>
      <w:r w:rsidR="007A033F" w:rsidRPr="006B58D8">
        <w:rPr>
          <w:sz w:val="22"/>
          <w:szCs w:val="22"/>
          <w:lang w:val="sr-Latn-ME"/>
        </w:rPr>
        <w:t>R03DC03</w:t>
      </w:r>
    </w:p>
    <w:p w14:paraId="157AC320" w14:textId="101F243A" w:rsidR="002E37A5" w:rsidRPr="006B58D8" w:rsidRDefault="002E37A5" w:rsidP="0069371F">
      <w:pPr>
        <w:tabs>
          <w:tab w:val="left" w:pos="540"/>
          <w:tab w:val="left" w:pos="569"/>
        </w:tabs>
        <w:jc w:val="both"/>
        <w:rPr>
          <w:b/>
          <w:bCs/>
          <w:sz w:val="22"/>
          <w:szCs w:val="22"/>
          <w:lang w:val="sr-Latn-ME"/>
        </w:rPr>
      </w:pPr>
    </w:p>
    <w:p w14:paraId="23DCE0F8" w14:textId="77777777" w:rsidR="007A033F" w:rsidRPr="006B58D8" w:rsidRDefault="007A033F" w:rsidP="0069371F">
      <w:pPr>
        <w:jc w:val="both"/>
        <w:rPr>
          <w:sz w:val="22"/>
          <w:szCs w:val="22"/>
          <w:u w:val="single"/>
          <w:lang w:val="sr-Latn-ME"/>
        </w:rPr>
      </w:pPr>
      <w:r w:rsidRPr="006B58D8">
        <w:rPr>
          <w:sz w:val="22"/>
          <w:szCs w:val="22"/>
          <w:u w:val="single"/>
          <w:lang w:val="sr-Latn-ME"/>
        </w:rPr>
        <w:t>Mehanizam dejstva</w:t>
      </w:r>
    </w:p>
    <w:p w14:paraId="6BAF4EBA" w14:textId="2DC40D7B" w:rsidR="007A033F" w:rsidRPr="006B58D8" w:rsidRDefault="007A033F" w:rsidP="0069371F">
      <w:pPr>
        <w:pStyle w:val="Header"/>
        <w:tabs>
          <w:tab w:val="left" w:pos="284"/>
        </w:tabs>
        <w:jc w:val="both"/>
        <w:rPr>
          <w:sz w:val="22"/>
          <w:szCs w:val="22"/>
          <w:lang w:val="sr-Latn-ME"/>
        </w:rPr>
      </w:pPr>
      <w:r w:rsidRPr="006B58D8">
        <w:rPr>
          <w:sz w:val="22"/>
          <w:szCs w:val="22"/>
          <w:lang w:val="sr-Latn-ME"/>
        </w:rPr>
        <w:t>Cisteinil leukotrieni (LTC</w:t>
      </w:r>
      <w:r w:rsidRPr="006B58D8">
        <w:rPr>
          <w:sz w:val="22"/>
          <w:szCs w:val="22"/>
          <w:vertAlign w:val="subscript"/>
          <w:lang w:val="sr-Latn-ME"/>
        </w:rPr>
        <w:t>4</w:t>
      </w:r>
      <w:r w:rsidRPr="006B58D8">
        <w:rPr>
          <w:sz w:val="22"/>
          <w:szCs w:val="22"/>
          <w:lang w:val="sr-Latn-ME"/>
        </w:rPr>
        <w:t>, LTD</w:t>
      </w:r>
      <w:r w:rsidRPr="006B58D8">
        <w:rPr>
          <w:sz w:val="22"/>
          <w:szCs w:val="22"/>
          <w:vertAlign w:val="subscript"/>
          <w:lang w:val="sr-Latn-ME"/>
        </w:rPr>
        <w:t>4</w:t>
      </w:r>
      <w:r w:rsidRPr="006B58D8">
        <w:rPr>
          <w:sz w:val="22"/>
          <w:szCs w:val="22"/>
          <w:lang w:val="sr-Latn-ME"/>
        </w:rPr>
        <w:t>, LTE</w:t>
      </w:r>
      <w:r w:rsidRPr="006B58D8">
        <w:rPr>
          <w:sz w:val="22"/>
          <w:szCs w:val="22"/>
          <w:vertAlign w:val="subscript"/>
          <w:lang w:val="sr-Latn-ME"/>
        </w:rPr>
        <w:t>4</w:t>
      </w:r>
      <w:r w:rsidRPr="006B58D8">
        <w:rPr>
          <w:sz w:val="22"/>
          <w:szCs w:val="22"/>
          <w:lang w:val="sr-Latn-ME"/>
        </w:rPr>
        <w:t>) predstavljaju potentne inflamatorne eiko</w:t>
      </w:r>
      <w:r w:rsidR="00A727FB" w:rsidRPr="006B58D8">
        <w:rPr>
          <w:sz w:val="22"/>
          <w:szCs w:val="22"/>
          <w:lang w:val="sr-Latn-ME"/>
        </w:rPr>
        <w:t>z</w:t>
      </w:r>
      <w:r w:rsidRPr="006B58D8">
        <w:rPr>
          <w:sz w:val="22"/>
          <w:szCs w:val="22"/>
          <w:lang w:val="sr-Latn-ME"/>
        </w:rPr>
        <w:t xml:space="preserve">anoide koji se oslobađaju iz različitih ćelija uključujući </w:t>
      </w:r>
      <w:r w:rsidR="00A727FB" w:rsidRPr="006B58D8">
        <w:rPr>
          <w:sz w:val="22"/>
          <w:szCs w:val="22"/>
          <w:lang w:val="sr-Latn-ME"/>
        </w:rPr>
        <w:t>mastocite</w:t>
      </w:r>
      <w:r w:rsidRPr="006B58D8">
        <w:rPr>
          <w:sz w:val="22"/>
          <w:szCs w:val="22"/>
          <w:lang w:val="sr-Latn-ME"/>
        </w:rPr>
        <w:t xml:space="preserve"> i eozinofile. Ovi važni proastmatični medijatori vezuju se za cisteinil leukotrienske receptore (CysLT) koji se kod ljudi nalaze u disajnim putevima i ispoljavaju dejstva kao što su bronhokonstrikcija, </w:t>
      </w:r>
      <w:r w:rsidR="00854C95" w:rsidRPr="006B58D8">
        <w:rPr>
          <w:sz w:val="22"/>
          <w:szCs w:val="22"/>
          <w:lang w:val="sr-Latn-ME"/>
        </w:rPr>
        <w:t xml:space="preserve">sekrecija mukusa, </w:t>
      </w:r>
      <w:r w:rsidRPr="006B58D8">
        <w:rPr>
          <w:sz w:val="22"/>
          <w:szCs w:val="22"/>
          <w:lang w:val="sr-Latn-ME"/>
        </w:rPr>
        <w:t xml:space="preserve">vaskularna permeabilnost i </w:t>
      </w:r>
      <w:r w:rsidR="00854C95" w:rsidRPr="006B58D8">
        <w:rPr>
          <w:sz w:val="22"/>
          <w:szCs w:val="22"/>
          <w:lang w:val="sr-Latn-ME"/>
        </w:rPr>
        <w:t xml:space="preserve">regrutacija </w:t>
      </w:r>
      <w:r w:rsidRPr="006B58D8">
        <w:rPr>
          <w:sz w:val="22"/>
          <w:szCs w:val="22"/>
          <w:lang w:val="sr-Latn-ME"/>
        </w:rPr>
        <w:t>eozinofila.</w:t>
      </w:r>
    </w:p>
    <w:p w14:paraId="3F6C1E18" w14:textId="77777777" w:rsidR="007A033F" w:rsidRPr="006B58D8" w:rsidRDefault="007A033F" w:rsidP="0069371F">
      <w:pPr>
        <w:pStyle w:val="Header"/>
        <w:tabs>
          <w:tab w:val="left" w:pos="284"/>
        </w:tabs>
        <w:jc w:val="both"/>
        <w:rPr>
          <w:sz w:val="22"/>
          <w:szCs w:val="22"/>
          <w:lang w:val="sr-Latn-ME"/>
        </w:rPr>
      </w:pPr>
    </w:p>
    <w:p w14:paraId="31CB678B" w14:textId="77777777" w:rsidR="007A033F" w:rsidRPr="006B58D8" w:rsidRDefault="007A033F" w:rsidP="0069371F">
      <w:pPr>
        <w:pStyle w:val="Header"/>
        <w:tabs>
          <w:tab w:val="left" w:pos="284"/>
        </w:tabs>
        <w:jc w:val="both"/>
        <w:rPr>
          <w:sz w:val="22"/>
          <w:szCs w:val="22"/>
          <w:u w:val="single"/>
          <w:lang w:val="sr-Latn-ME"/>
        </w:rPr>
      </w:pPr>
      <w:r w:rsidRPr="006B58D8">
        <w:rPr>
          <w:sz w:val="22"/>
          <w:szCs w:val="22"/>
          <w:u w:val="single"/>
          <w:lang w:val="sr-Latn-ME"/>
        </w:rPr>
        <w:t>Farmakodinamski efekti</w:t>
      </w:r>
    </w:p>
    <w:p w14:paraId="63501DC1" w14:textId="5548D519" w:rsidR="007A033F" w:rsidRPr="006B58D8" w:rsidRDefault="007A033F" w:rsidP="0069371F">
      <w:pPr>
        <w:pStyle w:val="Header"/>
        <w:tabs>
          <w:tab w:val="left" w:pos="284"/>
        </w:tabs>
        <w:jc w:val="both"/>
        <w:rPr>
          <w:sz w:val="22"/>
          <w:szCs w:val="22"/>
          <w:lang w:val="sr-Latn-ME" w:eastAsia="sr-Latn-CS"/>
        </w:rPr>
      </w:pPr>
      <w:r w:rsidRPr="006B58D8">
        <w:rPr>
          <w:sz w:val="22"/>
          <w:szCs w:val="22"/>
          <w:lang w:val="sr-Latn-ME"/>
        </w:rPr>
        <w:t>Montelukast predstavlja supstancu aktivnu nakon oralne primjene koja se visokim afinitetom i selektivnošću vezuje za CysLT</w:t>
      </w:r>
      <w:r w:rsidRPr="006B58D8">
        <w:rPr>
          <w:sz w:val="22"/>
          <w:szCs w:val="22"/>
          <w:vertAlign w:val="subscript"/>
          <w:lang w:val="sr-Latn-ME"/>
        </w:rPr>
        <w:t>1</w:t>
      </w:r>
      <w:r w:rsidRPr="006B58D8">
        <w:rPr>
          <w:sz w:val="22"/>
          <w:szCs w:val="22"/>
          <w:lang w:val="sr-Latn-ME"/>
        </w:rPr>
        <w:t xml:space="preserve"> receptor. U kliničkim studijama je pokazano da montelukast inhibira bronhokonstrikciju nastalu usljed inhalacije LTD</w:t>
      </w:r>
      <w:r w:rsidRPr="006B58D8">
        <w:rPr>
          <w:sz w:val="22"/>
          <w:szCs w:val="22"/>
          <w:vertAlign w:val="subscript"/>
          <w:lang w:val="sr-Latn-ME"/>
        </w:rPr>
        <w:t>4</w:t>
      </w:r>
      <w:r w:rsidRPr="006B58D8">
        <w:rPr>
          <w:sz w:val="22"/>
          <w:szCs w:val="22"/>
          <w:lang w:val="sr-Latn-ME"/>
        </w:rPr>
        <w:t>, i to u malim dozama kao što je doza od 5 mg. Bronhodilatacija nastaje u roku od 2 sata od oralno primijenjenog lijeka. Bronhodilatatorni efek</w:t>
      </w:r>
      <w:r w:rsidR="003F5D7F" w:rsidRPr="006B58D8">
        <w:rPr>
          <w:sz w:val="22"/>
          <w:szCs w:val="22"/>
          <w:lang w:val="sr-Latn-ME"/>
        </w:rPr>
        <w:t>a</w:t>
      </w:r>
      <w:r w:rsidRPr="006B58D8">
        <w:rPr>
          <w:sz w:val="22"/>
          <w:szCs w:val="22"/>
          <w:lang w:val="sr-Latn-ME"/>
        </w:rPr>
        <w:t xml:space="preserve">t prouzrokovan </w:t>
      </w:r>
      <w:r w:rsidRPr="006B58D8">
        <w:rPr>
          <w:sz w:val="22"/>
          <w:szCs w:val="22"/>
          <w:lang w:val="sr-Latn-ME" w:eastAsia="sr-Latn-CS"/>
        </w:rPr>
        <w:t>β-agonistom je aditivan na efekat montelukasta. L</w:t>
      </w:r>
      <w:r w:rsidR="00491E27" w:rsidRPr="006B58D8">
        <w:rPr>
          <w:sz w:val="22"/>
          <w:szCs w:val="22"/>
          <w:lang w:val="sr-Latn-ME" w:eastAsia="sr-Latn-CS"/>
        </w:rPr>
        <w:t>ij</w:t>
      </w:r>
      <w:r w:rsidRPr="006B58D8">
        <w:rPr>
          <w:sz w:val="22"/>
          <w:szCs w:val="22"/>
          <w:lang w:val="sr-Latn-ME" w:eastAsia="sr-Latn-CS"/>
        </w:rPr>
        <w:t>ečenje montelukastom inhibira i ranu i kasnu fazu bronhokonstrikcije izazvanu antigenima. Montelukast je, u poređenju sa placebom, smanjio broj eozinofila u perifernoj krvi kod odraslih i pedijatrijskih pacijenata. U posebnoj studiji je pokazano da montelukast značajno smanjuje broj eozinofila u disajnim putevima (mjereno u sputumu)</w:t>
      </w:r>
      <w:r w:rsidR="000A4260" w:rsidRPr="006B58D8">
        <w:rPr>
          <w:sz w:val="22"/>
          <w:szCs w:val="22"/>
          <w:lang w:val="sr-Latn-ME" w:eastAsia="sr-Latn-CS"/>
        </w:rPr>
        <w:t xml:space="preserve"> i </w:t>
      </w:r>
      <w:r w:rsidRPr="006B58D8">
        <w:rPr>
          <w:sz w:val="22"/>
          <w:szCs w:val="22"/>
          <w:lang w:val="sr-Latn-ME" w:eastAsia="sr-Latn-CS"/>
        </w:rPr>
        <w:t>u perifernoj krvi pri čemu se poboljšava klinička kontrola astme.</w:t>
      </w:r>
    </w:p>
    <w:p w14:paraId="13926249" w14:textId="77777777" w:rsidR="007A033F" w:rsidRPr="006B58D8" w:rsidRDefault="007A033F" w:rsidP="0069371F">
      <w:pPr>
        <w:pStyle w:val="Header"/>
        <w:tabs>
          <w:tab w:val="left" w:pos="284"/>
        </w:tabs>
        <w:jc w:val="both"/>
        <w:rPr>
          <w:sz w:val="22"/>
          <w:szCs w:val="22"/>
          <w:lang w:val="sr-Latn-ME" w:eastAsia="sr-Latn-CS"/>
        </w:rPr>
      </w:pPr>
    </w:p>
    <w:p w14:paraId="71D156F2" w14:textId="1DDB1311" w:rsidR="007A033F" w:rsidRPr="006B58D8" w:rsidRDefault="007A033F" w:rsidP="0069371F">
      <w:pPr>
        <w:pStyle w:val="Header"/>
        <w:tabs>
          <w:tab w:val="left" w:pos="284"/>
        </w:tabs>
        <w:jc w:val="both"/>
        <w:rPr>
          <w:sz w:val="22"/>
          <w:szCs w:val="22"/>
          <w:u w:val="single"/>
          <w:lang w:val="sr-Latn-ME" w:eastAsia="sr-Latn-CS"/>
        </w:rPr>
      </w:pPr>
      <w:r w:rsidRPr="006B58D8">
        <w:rPr>
          <w:sz w:val="22"/>
          <w:szCs w:val="22"/>
          <w:u w:val="single"/>
          <w:lang w:val="sr-Latn-ME" w:eastAsia="sr-Latn-CS"/>
        </w:rPr>
        <w:t>Klinička efikasnost i bezb</w:t>
      </w:r>
      <w:r w:rsidR="00D6295D" w:rsidRPr="006B58D8">
        <w:rPr>
          <w:sz w:val="22"/>
          <w:szCs w:val="22"/>
          <w:u w:val="single"/>
          <w:lang w:val="sr-Latn-ME" w:eastAsia="sr-Latn-CS"/>
        </w:rPr>
        <w:t>j</w:t>
      </w:r>
      <w:r w:rsidRPr="006B58D8">
        <w:rPr>
          <w:sz w:val="22"/>
          <w:szCs w:val="22"/>
          <w:u w:val="single"/>
          <w:lang w:val="sr-Latn-ME" w:eastAsia="sr-Latn-CS"/>
        </w:rPr>
        <w:t>ednost</w:t>
      </w:r>
    </w:p>
    <w:p w14:paraId="0701663F" w14:textId="77777777" w:rsidR="007A033F" w:rsidRPr="006B58D8" w:rsidRDefault="007A033F" w:rsidP="0069371F">
      <w:pPr>
        <w:pStyle w:val="Header"/>
        <w:tabs>
          <w:tab w:val="left" w:pos="284"/>
        </w:tabs>
        <w:jc w:val="both"/>
        <w:rPr>
          <w:sz w:val="22"/>
          <w:szCs w:val="22"/>
          <w:lang w:val="sr-Latn-ME" w:eastAsia="sr-Latn-CS"/>
        </w:rPr>
      </w:pPr>
    </w:p>
    <w:p w14:paraId="5BBC3AC1" w14:textId="0922446C" w:rsidR="007A033F" w:rsidRPr="006B58D8" w:rsidRDefault="007A033F" w:rsidP="0069371F">
      <w:pPr>
        <w:pStyle w:val="Header"/>
        <w:tabs>
          <w:tab w:val="left" w:pos="284"/>
        </w:tabs>
        <w:jc w:val="both"/>
        <w:rPr>
          <w:sz w:val="22"/>
          <w:szCs w:val="22"/>
          <w:lang w:val="sr-Latn-ME" w:eastAsia="sr-Latn-CS"/>
        </w:rPr>
      </w:pPr>
      <w:r w:rsidRPr="006B58D8">
        <w:rPr>
          <w:sz w:val="22"/>
          <w:szCs w:val="22"/>
          <w:lang w:val="sr-Latn-ME" w:eastAsia="sr-Latn-CS"/>
        </w:rPr>
        <w:t>U studijama koje su sprovedene na odraslim pacijentima montelukast, u dozi od 10 mg jednom dnevno, u poređenju sa placebom, je pokazao značajno poboljšanje u jutarnjem FEV</w:t>
      </w:r>
      <w:r w:rsidRPr="006B58D8">
        <w:rPr>
          <w:sz w:val="22"/>
          <w:szCs w:val="22"/>
          <w:vertAlign w:val="subscript"/>
          <w:lang w:val="sr-Latn-ME" w:eastAsia="sr-Latn-CS"/>
        </w:rPr>
        <w:t>1</w:t>
      </w:r>
      <w:r w:rsidRPr="006B58D8">
        <w:rPr>
          <w:sz w:val="22"/>
          <w:szCs w:val="22"/>
          <w:lang w:val="sr-Latn-ME" w:eastAsia="sr-Latn-CS"/>
        </w:rPr>
        <w:t xml:space="preserve"> (10.4% </w:t>
      </w:r>
      <w:r w:rsidR="006C6D96" w:rsidRPr="006B58D8">
        <w:rPr>
          <w:sz w:val="22"/>
          <w:szCs w:val="22"/>
          <w:lang w:val="sr-Latn-ME" w:eastAsia="sr-Latn-CS"/>
        </w:rPr>
        <w:t xml:space="preserve">naspram </w:t>
      </w:r>
      <w:r w:rsidRPr="006B58D8">
        <w:rPr>
          <w:sz w:val="22"/>
          <w:szCs w:val="22"/>
          <w:lang w:val="sr-Latn-ME" w:eastAsia="sr-Latn-CS"/>
        </w:rPr>
        <w:t xml:space="preserve">2.7%, u odnosu na početne nivoe), </w:t>
      </w:r>
      <w:r w:rsidRPr="006B58D8">
        <w:rPr>
          <w:i/>
          <w:sz w:val="22"/>
          <w:szCs w:val="22"/>
          <w:lang w:val="sr-Latn-ME" w:eastAsia="sr-Latn-CS"/>
        </w:rPr>
        <w:t>AM peak expiratory flow rate</w:t>
      </w:r>
      <w:r w:rsidRPr="006B58D8">
        <w:rPr>
          <w:sz w:val="22"/>
          <w:szCs w:val="22"/>
          <w:lang w:val="sr-Latn-ME" w:eastAsia="sr-Latn-CS"/>
        </w:rPr>
        <w:t xml:space="preserve"> (PEFR) (24.5 </w:t>
      </w:r>
      <w:r w:rsidR="00AF3FA6" w:rsidRPr="006B58D8">
        <w:rPr>
          <w:sz w:val="22"/>
          <w:szCs w:val="22"/>
          <w:lang w:val="sr-Latn-ME" w:eastAsia="sr-Latn-CS"/>
        </w:rPr>
        <w:t>l</w:t>
      </w:r>
      <w:r w:rsidRPr="006B58D8">
        <w:rPr>
          <w:sz w:val="22"/>
          <w:szCs w:val="22"/>
          <w:lang w:val="sr-Latn-ME" w:eastAsia="sr-Latn-CS"/>
        </w:rPr>
        <w:t xml:space="preserve">/min </w:t>
      </w:r>
      <w:r w:rsidR="006C6D96" w:rsidRPr="006B58D8">
        <w:rPr>
          <w:sz w:val="22"/>
          <w:szCs w:val="22"/>
          <w:lang w:val="sr-Latn-ME" w:eastAsia="sr-Latn-CS"/>
        </w:rPr>
        <w:t xml:space="preserve">naspram </w:t>
      </w:r>
      <w:r w:rsidRPr="006B58D8">
        <w:rPr>
          <w:sz w:val="22"/>
          <w:szCs w:val="22"/>
          <w:lang w:val="sr-Latn-ME" w:eastAsia="sr-Latn-CS"/>
        </w:rPr>
        <w:t xml:space="preserve">3.3 </w:t>
      </w:r>
      <w:r w:rsidR="00AF3FA6" w:rsidRPr="006B58D8">
        <w:rPr>
          <w:sz w:val="22"/>
          <w:szCs w:val="22"/>
          <w:lang w:val="sr-Latn-ME" w:eastAsia="sr-Latn-CS"/>
        </w:rPr>
        <w:t>l</w:t>
      </w:r>
      <w:r w:rsidRPr="006B58D8">
        <w:rPr>
          <w:sz w:val="22"/>
          <w:szCs w:val="22"/>
          <w:lang w:val="sr-Latn-ME" w:eastAsia="sr-Latn-CS"/>
        </w:rPr>
        <w:t xml:space="preserve">/min, u odnosu na početne nivoe), kao i značajno smanjenje u ukupnoj primijeni β-agonista (-26.1% </w:t>
      </w:r>
      <w:r w:rsidR="006C6D96" w:rsidRPr="006B58D8">
        <w:rPr>
          <w:sz w:val="22"/>
          <w:szCs w:val="22"/>
          <w:lang w:val="sr-Latn-ME" w:eastAsia="sr-Latn-CS"/>
        </w:rPr>
        <w:t xml:space="preserve">naspram </w:t>
      </w:r>
      <w:r w:rsidRPr="006B58D8">
        <w:rPr>
          <w:sz w:val="22"/>
          <w:szCs w:val="22"/>
          <w:lang w:val="sr-Latn-ME" w:eastAsia="sr-Latn-CS"/>
        </w:rPr>
        <w:t>-4.6% u odnosu na početne nivoe). Poboljšanje skora simptoma astme u toku dana i noći, koji su prijavljivali pacijenti, bilo je značajno veće u odnosu na placebo.</w:t>
      </w:r>
    </w:p>
    <w:p w14:paraId="5F26DCF9" w14:textId="77777777" w:rsidR="007A033F" w:rsidRPr="006B58D8" w:rsidRDefault="007A033F" w:rsidP="0069371F">
      <w:pPr>
        <w:pStyle w:val="Header"/>
        <w:tabs>
          <w:tab w:val="left" w:pos="284"/>
        </w:tabs>
        <w:jc w:val="both"/>
        <w:rPr>
          <w:sz w:val="22"/>
          <w:szCs w:val="22"/>
          <w:lang w:val="sr-Latn-ME"/>
        </w:rPr>
      </w:pPr>
    </w:p>
    <w:p w14:paraId="70F814A5" w14:textId="02A7A09B" w:rsidR="007A033F" w:rsidRPr="006B58D8" w:rsidRDefault="007A033F" w:rsidP="0069371F">
      <w:pPr>
        <w:pStyle w:val="Header"/>
        <w:tabs>
          <w:tab w:val="left" w:pos="284"/>
        </w:tabs>
        <w:jc w:val="both"/>
        <w:rPr>
          <w:sz w:val="22"/>
          <w:szCs w:val="22"/>
          <w:lang w:val="sr-Latn-ME" w:eastAsia="sr-Latn-CS"/>
        </w:rPr>
      </w:pPr>
      <w:r w:rsidRPr="006B58D8">
        <w:rPr>
          <w:sz w:val="22"/>
          <w:szCs w:val="22"/>
          <w:lang w:val="sr-Latn-ME"/>
        </w:rPr>
        <w:t xml:space="preserve">Studije na odraslim pacijentima pokazale su da montelukast može da poveća klinički efekat inhalacionih kortikosteroida (% promjene u odnosu na početni nivo za kombinaciju inhalacioni beklometazon plus montelukast </w:t>
      </w:r>
      <w:r w:rsidR="00263FDB" w:rsidRPr="006B58D8">
        <w:rPr>
          <w:sz w:val="22"/>
          <w:szCs w:val="22"/>
          <w:lang w:val="sr-Latn-ME"/>
        </w:rPr>
        <w:t xml:space="preserve">naspram </w:t>
      </w:r>
      <w:r w:rsidRPr="006B58D8">
        <w:rPr>
          <w:sz w:val="22"/>
          <w:szCs w:val="22"/>
          <w:lang w:val="sr-Latn-ME"/>
        </w:rPr>
        <w:t>sam beklometazon: FEV</w:t>
      </w:r>
      <w:r w:rsidRPr="006B58D8">
        <w:rPr>
          <w:sz w:val="22"/>
          <w:szCs w:val="22"/>
          <w:vertAlign w:val="subscript"/>
          <w:lang w:val="sr-Latn-ME"/>
        </w:rPr>
        <w:t>1</w:t>
      </w:r>
      <w:r w:rsidRPr="006B58D8">
        <w:rPr>
          <w:sz w:val="22"/>
          <w:szCs w:val="22"/>
          <w:lang w:val="sr-Latn-ME"/>
        </w:rPr>
        <w:t xml:space="preserve">: 5.43% </w:t>
      </w:r>
      <w:r w:rsidR="00AF3FA6" w:rsidRPr="006B58D8">
        <w:rPr>
          <w:sz w:val="22"/>
          <w:szCs w:val="22"/>
          <w:lang w:val="sr-Latn-ME"/>
        </w:rPr>
        <w:t>naspram</w:t>
      </w:r>
      <w:r w:rsidRPr="006B58D8">
        <w:rPr>
          <w:sz w:val="22"/>
          <w:szCs w:val="22"/>
          <w:lang w:val="sr-Latn-ME"/>
        </w:rPr>
        <w:t xml:space="preserve"> 1.04%; upotreba </w:t>
      </w:r>
      <w:r w:rsidRPr="006B58D8">
        <w:rPr>
          <w:sz w:val="22"/>
          <w:szCs w:val="22"/>
          <w:lang w:val="sr-Latn-ME" w:eastAsia="sr-Latn-CS"/>
        </w:rPr>
        <w:t xml:space="preserve">β-agonista: -8.70% </w:t>
      </w:r>
      <w:r w:rsidR="00AF3FA6" w:rsidRPr="006B58D8">
        <w:rPr>
          <w:sz w:val="22"/>
          <w:szCs w:val="22"/>
          <w:lang w:val="sr-Latn-ME" w:eastAsia="sr-Latn-CS"/>
        </w:rPr>
        <w:t>naspram</w:t>
      </w:r>
      <w:r w:rsidRPr="006B58D8">
        <w:rPr>
          <w:sz w:val="22"/>
          <w:szCs w:val="22"/>
          <w:lang w:val="sr-Latn-ME" w:eastAsia="sr-Latn-CS"/>
        </w:rPr>
        <w:t xml:space="preserve"> 2.64%). U poređenju sa inhalacionim beklometazonom (200 μg dva puta dnevno) montelukast je pokazao brži inicijalni odgovor, iako je u studiji koja je trajala 12 nedjelja beklometazon obezbijedio bolji ukupni efekat liječenja (% promjene u odnosu na početne nivoe za montelukast </w:t>
      </w:r>
      <w:r w:rsidR="00AF3FA6" w:rsidRPr="006B58D8">
        <w:rPr>
          <w:sz w:val="22"/>
          <w:szCs w:val="22"/>
          <w:lang w:val="sr-Latn-ME" w:eastAsia="sr-Latn-CS"/>
        </w:rPr>
        <w:t>naspram</w:t>
      </w:r>
      <w:r w:rsidRPr="006B58D8">
        <w:rPr>
          <w:sz w:val="22"/>
          <w:szCs w:val="22"/>
          <w:lang w:val="sr-Latn-ME" w:eastAsia="sr-Latn-CS"/>
        </w:rPr>
        <w:t xml:space="preserve"> beklometazon za FEV</w:t>
      </w:r>
      <w:r w:rsidRPr="006B58D8">
        <w:rPr>
          <w:sz w:val="22"/>
          <w:szCs w:val="22"/>
          <w:vertAlign w:val="subscript"/>
          <w:lang w:val="sr-Latn-ME" w:eastAsia="sr-Latn-CS"/>
        </w:rPr>
        <w:t>1</w:t>
      </w:r>
      <w:r w:rsidRPr="006B58D8">
        <w:rPr>
          <w:sz w:val="22"/>
          <w:szCs w:val="22"/>
          <w:lang w:val="sr-Latn-ME" w:eastAsia="sr-Latn-CS"/>
        </w:rPr>
        <w:t xml:space="preserve">: 7.49% </w:t>
      </w:r>
      <w:r w:rsidR="00AF3FA6" w:rsidRPr="006B58D8">
        <w:rPr>
          <w:sz w:val="22"/>
          <w:szCs w:val="22"/>
          <w:lang w:val="sr-Latn-ME" w:eastAsia="sr-Latn-CS"/>
        </w:rPr>
        <w:t>naspram</w:t>
      </w:r>
      <w:r w:rsidRPr="006B58D8">
        <w:rPr>
          <w:sz w:val="22"/>
          <w:szCs w:val="22"/>
          <w:lang w:val="sr-Latn-ME" w:eastAsia="sr-Latn-CS"/>
        </w:rPr>
        <w:t xml:space="preserve"> 13.3%; upotreba β-agonista: -28.28% </w:t>
      </w:r>
      <w:r w:rsidR="00AF3FA6" w:rsidRPr="006B58D8">
        <w:rPr>
          <w:sz w:val="22"/>
          <w:szCs w:val="22"/>
          <w:lang w:val="sr-Latn-ME" w:eastAsia="sr-Latn-CS"/>
        </w:rPr>
        <w:t>naspram</w:t>
      </w:r>
      <w:r w:rsidRPr="006B58D8">
        <w:rPr>
          <w:sz w:val="22"/>
          <w:szCs w:val="22"/>
          <w:lang w:val="sr-Latn-ME" w:eastAsia="sr-Latn-CS"/>
        </w:rPr>
        <w:t xml:space="preserve"> -43.89%). Međutim, u poređenju sa beklometazonom, kod visokog procenta pacijenata koji su liječeni montelukastom postignut je sličan klinički odgovor (npr. kod 50% pacijenata koji su liječeni beklometazonom postignuto je poboljšanje FEV</w:t>
      </w:r>
      <w:r w:rsidRPr="006B58D8">
        <w:rPr>
          <w:sz w:val="22"/>
          <w:szCs w:val="22"/>
          <w:vertAlign w:val="subscript"/>
          <w:lang w:val="sr-Latn-ME" w:eastAsia="sr-Latn-CS"/>
        </w:rPr>
        <w:t>1</w:t>
      </w:r>
      <w:r w:rsidRPr="006B58D8">
        <w:rPr>
          <w:sz w:val="22"/>
          <w:szCs w:val="22"/>
          <w:lang w:val="sr-Latn-ME" w:eastAsia="sr-Latn-CS"/>
        </w:rPr>
        <w:t xml:space="preserve"> od oko 11% ili više u odnosu na početne nivoe, dok je oko 42% pacijenata koji su liječeni montelukastom postiglo isti odgovor). </w:t>
      </w:r>
    </w:p>
    <w:p w14:paraId="783CF620" w14:textId="77777777" w:rsidR="007A033F" w:rsidRPr="006B58D8" w:rsidRDefault="007A033F" w:rsidP="0069371F">
      <w:pPr>
        <w:pStyle w:val="Header"/>
        <w:tabs>
          <w:tab w:val="left" w:pos="284"/>
        </w:tabs>
        <w:jc w:val="both"/>
        <w:rPr>
          <w:sz w:val="22"/>
          <w:szCs w:val="22"/>
          <w:lang w:val="sr-Latn-ME" w:eastAsia="sr-Latn-CS"/>
        </w:rPr>
      </w:pPr>
    </w:p>
    <w:p w14:paraId="048626B4" w14:textId="41D2A523" w:rsidR="007A033F" w:rsidRPr="006B58D8" w:rsidRDefault="007A033F" w:rsidP="0069371F">
      <w:pPr>
        <w:pStyle w:val="Header"/>
        <w:tabs>
          <w:tab w:val="left" w:pos="284"/>
        </w:tabs>
        <w:jc w:val="both"/>
        <w:rPr>
          <w:sz w:val="22"/>
          <w:szCs w:val="22"/>
          <w:lang w:val="sr-Latn-ME" w:eastAsia="sr-Latn-CS"/>
        </w:rPr>
      </w:pPr>
      <w:r w:rsidRPr="006B58D8">
        <w:rPr>
          <w:sz w:val="22"/>
          <w:szCs w:val="22"/>
          <w:lang w:val="sr-Latn-ME" w:eastAsia="sr-Latn-CS"/>
        </w:rPr>
        <w:t>U studiji na pedijatrijskim pacijentima starosti 6-14 godina koja je trajala 8 nedjelja montelukast 5 mg jednom dnevno, u poređenju sa placebom, je značajno poboljšao respiratornu funkciju (FEV</w:t>
      </w:r>
      <w:r w:rsidRPr="006B58D8">
        <w:rPr>
          <w:sz w:val="22"/>
          <w:szCs w:val="22"/>
          <w:vertAlign w:val="subscript"/>
          <w:lang w:val="sr-Latn-ME" w:eastAsia="sr-Latn-CS"/>
        </w:rPr>
        <w:t>1</w:t>
      </w:r>
      <w:r w:rsidRPr="006B58D8">
        <w:rPr>
          <w:sz w:val="22"/>
          <w:szCs w:val="22"/>
          <w:lang w:val="sr-Latn-ME" w:eastAsia="sr-Latn-CS"/>
        </w:rPr>
        <w:t xml:space="preserve"> 8.71% </w:t>
      </w:r>
      <w:r w:rsidR="007577F1" w:rsidRPr="006B58D8">
        <w:rPr>
          <w:sz w:val="22"/>
          <w:szCs w:val="22"/>
          <w:lang w:val="sr-Latn-ME" w:eastAsia="sr-Latn-CS"/>
        </w:rPr>
        <w:t xml:space="preserve">naspram </w:t>
      </w:r>
      <w:r w:rsidRPr="006B58D8">
        <w:rPr>
          <w:sz w:val="22"/>
          <w:szCs w:val="22"/>
          <w:lang w:val="sr-Latn-ME" w:eastAsia="sr-Latn-CS"/>
        </w:rPr>
        <w:t xml:space="preserve">4.16% u odnosu na početne nivoe); AM PEFR 27.9 </w:t>
      </w:r>
      <w:r w:rsidR="007577F1" w:rsidRPr="006B58D8">
        <w:rPr>
          <w:sz w:val="22"/>
          <w:szCs w:val="22"/>
          <w:lang w:val="sr-Latn-ME" w:eastAsia="sr-Latn-CS"/>
        </w:rPr>
        <w:t>l</w:t>
      </w:r>
      <w:r w:rsidRPr="006B58D8">
        <w:rPr>
          <w:sz w:val="22"/>
          <w:szCs w:val="22"/>
          <w:lang w:val="sr-Latn-ME" w:eastAsia="sr-Latn-CS"/>
        </w:rPr>
        <w:t xml:space="preserve">/min </w:t>
      </w:r>
      <w:r w:rsidR="006C6D96" w:rsidRPr="006B58D8">
        <w:rPr>
          <w:sz w:val="22"/>
          <w:szCs w:val="22"/>
          <w:lang w:val="sr-Latn-ME" w:eastAsia="sr-Latn-CS"/>
        </w:rPr>
        <w:t xml:space="preserve">naspram </w:t>
      </w:r>
      <w:r w:rsidRPr="006B58D8">
        <w:rPr>
          <w:sz w:val="22"/>
          <w:szCs w:val="22"/>
          <w:lang w:val="sr-Latn-ME" w:eastAsia="sr-Latn-CS"/>
        </w:rPr>
        <w:t xml:space="preserve">17.8 </w:t>
      </w:r>
      <w:r w:rsidR="007577F1" w:rsidRPr="006B58D8">
        <w:rPr>
          <w:sz w:val="22"/>
          <w:szCs w:val="22"/>
          <w:lang w:val="sr-Latn-ME" w:eastAsia="sr-Latn-CS"/>
        </w:rPr>
        <w:t>l</w:t>
      </w:r>
      <w:r w:rsidRPr="006B58D8">
        <w:rPr>
          <w:sz w:val="22"/>
          <w:szCs w:val="22"/>
          <w:lang w:val="sr-Latn-ME" w:eastAsia="sr-Latn-CS"/>
        </w:rPr>
        <w:t>/min u odnosu na početne nivoe) i smanjio prim</w:t>
      </w:r>
      <w:r w:rsidR="005F1EA1" w:rsidRPr="006B58D8">
        <w:rPr>
          <w:sz w:val="22"/>
          <w:szCs w:val="22"/>
          <w:lang w:val="sr-Latn-ME" w:eastAsia="sr-Latn-CS"/>
        </w:rPr>
        <w:t>j</w:t>
      </w:r>
      <w:r w:rsidRPr="006B58D8">
        <w:rPr>
          <w:sz w:val="22"/>
          <w:szCs w:val="22"/>
          <w:lang w:val="sr-Latn-ME" w:eastAsia="sr-Latn-CS"/>
        </w:rPr>
        <w:t>enu β-agonista "po potrebi" (-11.7%</w:t>
      </w:r>
      <w:r w:rsidR="007577F1" w:rsidRPr="006B58D8">
        <w:rPr>
          <w:sz w:val="22"/>
          <w:szCs w:val="22"/>
          <w:lang w:val="sr-Latn-ME" w:eastAsia="sr-Latn-CS"/>
        </w:rPr>
        <w:t xml:space="preserve"> naspram</w:t>
      </w:r>
      <w:r w:rsidRPr="006B58D8">
        <w:rPr>
          <w:sz w:val="22"/>
          <w:szCs w:val="22"/>
          <w:lang w:val="sr-Latn-ME" w:eastAsia="sr-Latn-CS"/>
        </w:rPr>
        <w:t xml:space="preserve"> +8.2% u odnosu na početne nivoe).</w:t>
      </w:r>
      <w:bookmarkStart w:id="0" w:name="_GoBack"/>
      <w:bookmarkEnd w:id="0"/>
    </w:p>
    <w:p w14:paraId="29877480" w14:textId="448CCEEC" w:rsidR="007A033F" w:rsidRPr="006B58D8" w:rsidRDefault="007A033F" w:rsidP="0069371F">
      <w:pPr>
        <w:pStyle w:val="Header"/>
        <w:tabs>
          <w:tab w:val="left" w:pos="284"/>
        </w:tabs>
        <w:jc w:val="both"/>
        <w:rPr>
          <w:sz w:val="22"/>
          <w:szCs w:val="22"/>
          <w:lang w:val="sr-Latn-ME" w:eastAsia="sr-Latn-CS"/>
        </w:rPr>
      </w:pPr>
      <w:r w:rsidRPr="006B58D8">
        <w:rPr>
          <w:sz w:val="22"/>
          <w:szCs w:val="22"/>
          <w:lang w:val="sr-Latn-ME" w:eastAsia="sr-Latn-CS"/>
        </w:rPr>
        <w:lastRenderedPageBreak/>
        <w:t>U studiji koja je trajala 12 mjeseci upoređivana je efikasnost montelukasta u odnosu na inhalacioni flutikazon u kontroli astme kod pedijatrijskih pacijenata starosti 6-14 godina koji su imali blagu perzistentnu astmu. Montelukast nije pokazao slabije dejstvo u odnosu na flutikazon u povećanju broja dana bez astme (</w:t>
      </w:r>
      <w:r w:rsidRPr="006B58D8">
        <w:rPr>
          <w:i/>
          <w:sz w:val="22"/>
          <w:szCs w:val="22"/>
          <w:lang w:val="sr-Latn-ME" w:eastAsia="sr-Latn-CS"/>
        </w:rPr>
        <w:t>rescue free days</w:t>
      </w:r>
      <w:r w:rsidRPr="006B58D8">
        <w:rPr>
          <w:sz w:val="22"/>
          <w:szCs w:val="22"/>
          <w:lang w:val="sr-Latn-ME" w:eastAsia="sr-Latn-CS"/>
        </w:rPr>
        <w:t xml:space="preserve"> - RFD) što je bio primarni parametar praćena u studiji. U prosjeku, u toku perioda praćenja od 12 mjeseci procenat dana bez astme je povećan sa 61.6 na 84.0 u grupi koja je uzimala montelukast i sa 60.9 na 86.7 u flutikazon grupi. Razlika među grupama u povećanju broja dana bez astme (RFD) bila je statistički značajna (-2.8% sa 95% CI  od -4.7, -0.9), ali u okviru predhodno definisanih granica kliničke neinferiornosti. </w:t>
      </w:r>
    </w:p>
    <w:p w14:paraId="4C8D1350" w14:textId="77777777" w:rsidR="007A033F" w:rsidRPr="006B58D8" w:rsidRDefault="007A033F" w:rsidP="0069371F">
      <w:pPr>
        <w:pStyle w:val="Header"/>
        <w:tabs>
          <w:tab w:val="left" w:pos="284"/>
        </w:tabs>
        <w:jc w:val="both"/>
        <w:rPr>
          <w:sz w:val="22"/>
          <w:szCs w:val="22"/>
          <w:lang w:val="sr-Latn-ME" w:eastAsia="sr-Latn-CS"/>
        </w:rPr>
      </w:pPr>
      <w:r w:rsidRPr="006B58D8">
        <w:rPr>
          <w:sz w:val="22"/>
          <w:szCs w:val="22"/>
          <w:lang w:val="sr-Latn-ME" w:eastAsia="sr-Latn-CS"/>
        </w:rPr>
        <w:t xml:space="preserve">I montelukast i flutikazon su poboljšali kontrolu astme prema sekundarnim parametrima praćenja u toku 12-mjesečne studije: </w:t>
      </w:r>
    </w:p>
    <w:p w14:paraId="5B2AC279" w14:textId="77777777" w:rsidR="007A033F" w:rsidRPr="006B58D8" w:rsidRDefault="007A033F" w:rsidP="0069371F">
      <w:pPr>
        <w:autoSpaceDE w:val="0"/>
        <w:autoSpaceDN w:val="0"/>
        <w:adjustRightInd w:val="0"/>
        <w:jc w:val="both"/>
        <w:rPr>
          <w:sz w:val="22"/>
          <w:szCs w:val="22"/>
          <w:lang w:val="sr-Latn-ME" w:eastAsia="sr-Latn-CS"/>
        </w:rPr>
      </w:pPr>
    </w:p>
    <w:p w14:paraId="127370B4" w14:textId="62DBFCE7" w:rsidR="007A033F" w:rsidRPr="006B58D8" w:rsidRDefault="007A033F" w:rsidP="0069371F">
      <w:pPr>
        <w:autoSpaceDE w:val="0"/>
        <w:autoSpaceDN w:val="0"/>
        <w:adjustRightInd w:val="0"/>
        <w:jc w:val="both"/>
        <w:rPr>
          <w:sz w:val="22"/>
          <w:szCs w:val="22"/>
          <w:lang w:val="sr-Latn-ME" w:eastAsia="sr-Latn-CS"/>
        </w:rPr>
      </w:pPr>
      <w:r w:rsidRPr="006B58D8">
        <w:rPr>
          <w:sz w:val="22"/>
          <w:szCs w:val="22"/>
          <w:lang w:val="sr-Latn-ME" w:eastAsia="sr-Latn-CS"/>
        </w:rPr>
        <w:t>FEV</w:t>
      </w:r>
      <w:r w:rsidRPr="006B58D8">
        <w:rPr>
          <w:sz w:val="22"/>
          <w:szCs w:val="22"/>
          <w:vertAlign w:val="subscript"/>
          <w:lang w:val="sr-Latn-ME" w:eastAsia="sr-Latn-CS"/>
        </w:rPr>
        <w:t>1</w:t>
      </w:r>
      <w:r w:rsidRPr="006B58D8">
        <w:rPr>
          <w:sz w:val="22"/>
          <w:szCs w:val="22"/>
          <w:lang w:val="sr-Latn-ME" w:eastAsia="sr-Latn-CS"/>
        </w:rPr>
        <w:t xml:space="preserve"> je povećan sa 1.83 </w:t>
      </w:r>
      <w:r w:rsidR="00164853" w:rsidRPr="006B58D8">
        <w:rPr>
          <w:sz w:val="22"/>
          <w:szCs w:val="22"/>
          <w:lang w:val="sr-Latn-ME" w:eastAsia="sr-Latn-CS"/>
        </w:rPr>
        <w:t>l</w:t>
      </w:r>
      <w:r w:rsidRPr="006B58D8">
        <w:rPr>
          <w:sz w:val="22"/>
          <w:szCs w:val="22"/>
          <w:lang w:val="sr-Latn-ME" w:eastAsia="sr-Latn-CS"/>
        </w:rPr>
        <w:t xml:space="preserve"> na 2.09 </w:t>
      </w:r>
      <w:r w:rsidR="00164853" w:rsidRPr="006B58D8">
        <w:rPr>
          <w:sz w:val="22"/>
          <w:szCs w:val="22"/>
          <w:lang w:val="sr-Latn-ME" w:eastAsia="sr-Latn-CS"/>
        </w:rPr>
        <w:t>l</w:t>
      </w:r>
      <w:r w:rsidRPr="006B58D8">
        <w:rPr>
          <w:sz w:val="22"/>
          <w:szCs w:val="22"/>
          <w:lang w:val="sr-Latn-ME" w:eastAsia="sr-Latn-CS"/>
        </w:rPr>
        <w:t xml:space="preserve"> u grupi sa montelukastom i sa 1.85 </w:t>
      </w:r>
      <w:r w:rsidR="00164853" w:rsidRPr="006B58D8">
        <w:rPr>
          <w:sz w:val="22"/>
          <w:szCs w:val="22"/>
          <w:lang w:val="sr-Latn-ME" w:eastAsia="sr-Latn-CS"/>
        </w:rPr>
        <w:t>l</w:t>
      </w:r>
      <w:r w:rsidRPr="006B58D8">
        <w:rPr>
          <w:sz w:val="22"/>
          <w:szCs w:val="22"/>
          <w:lang w:val="sr-Latn-ME" w:eastAsia="sr-Latn-CS"/>
        </w:rPr>
        <w:t xml:space="preserve"> na 2.14 </w:t>
      </w:r>
      <w:r w:rsidR="00164853" w:rsidRPr="006B58D8">
        <w:rPr>
          <w:sz w:val="22"/>
          <w:szCs w:val="22"/>
          <w:lang w:val="sr-Latn-ME" w:eastAsia="sr-Latn-CS"/>
        </w:rPr>
        <w:t>l</w:t>
      </w:r>
      <w:r w:rsidRPr="006B58D8">
        <w:rPr>
          <w:sz w:val="22"/>
          <w:szCs w:val="22"/>
          <w:lang w:val="sr-Latn-ME" w:eastAsia="sr-Latn-CS"/>
        </w:rPr>
        <w:t xml:space="preserve"> u grupi sa flutikazonom. Razlika među grupama u prosječnom povećanju FEV</w:t>
      </w:r>
      <w:r w:rsidRPr="006B58D8">
        <w:rPr>
          <w:sz w:val="22"/>
          <w:szCs w:val="22"/>
          <w:vertAlign w:val="subscript"/>
          <w:lang w:val="sr-Latn-ME" w:eastAsia="sr-Latn-CS"/>
        </w:rPr>
        <w:t>1</w:t>
      </w:r>
      <w:r w:rsidRPr="006B58D8">
        <w:rPr>
          <w:sz w:val="22"/>
          <w:szCs w:val="22"/>
          <w:lang w:val="sr-Latn-ME" w:eastAsia="sr-Latn-CS"/>
        </w:rPr>
        <w:t xml:space="preserve"> bila je -0.02 </w:t>
      </w:r>
      <w:r w:rsidR="00164853" w:rsidRPr="006B58D8">
        <w:rPr>
          <w:sz w:val="22"/>
          <w:szCs w:val="22"/>
          <w:lang w:val="sr-Latn-ME" w:eastAsia="sr-Latn-CS"/>
        </w:rPr>
        <w:t>l</w:t>
      </w:r>
      <w:r w:rsidRPr="006B58D8">
        <w:rPr>
          <w:sz w:val="22"/>
          <w:szCs w:val="22"/>
          <w:lang w:val="sr-Latn-ME" w:eastAsia="sr-Latn-CS"/>
        </w:rPr>
        <w:t xml:space="preserve"> sa 95% CI </w:t>
      </w:r>
      <w:r w:rsidR="00164853" w:rsidRPr="006B58D8">
        <w:rPr>
          <w:sz w:val="22"/>
          <w:szCs w:val="22"/>
          <w:lang w:val="sr-Latn-ME" w:eastAsia="sr-Latn-CS"/>
        </w:rPr>
        <w:t>od</w:t>
      </w:r>
      <w:r w:rsidRPr="006B58D8">
        <w:rPr>
          <w:sz w:val="22"/>
          <w:szCs w:val="22"/>
          <w:lang w:val="sr-Latn-ME" w:eastAsia="sr-Latn-CS"/>
        </w:rPr>
        <w:t xml:space="preserve"> -0.06</w:t>
      </w:r>
      <w:r w:rsidR="00164853" w:rsidRPr="006B58D8">
        <w:rPr>
          <w:sz w:val="22"/>
          <w:szCs w:val="22"/>
          <w:lang w:val="sr-Latn-ME" w:eastAsia="sr-Latn-CS"/>
        </w:rPr>
        <w:t xml:space="preserve">; </w:t>
      </w:r>
      <w:r w:rsidRPr="006B58D8">
        <w:rPr>
          <w:sz w:val="22"/>
          <w:szCs w:val="22"/>
          <w:lang w:val="sr-Latn-ME" w:eastAsia="sr-Latn-CS"/>
        </w:rPr>
        <w:t>0.02. Srednje povećanje FEV</w:t>
      </w:r>
      <w:r w:rsidRPr="006B58D8">
        <w:rPr>
          <w:sz w:val="22"/>
          <w:szCs w:val="22"/>
          <w:vertAlign w:val="subscript"/>
          <w:lang w:val="sr-Latn-ME" w:eastAsia="sr-Latn-CS"/>
        </w:rPr>
        <w:t>1</w:t>
      </w:r>
      <w:r w:rsidRPr="006B58D8">
        <w:rPr>
          <w:sz w:val="22"/>
          <w:szCs w:val="22"/>
          <w:lang w:val="sr-Latn-ME" w:eastAsia="sr-Latn-CS"/>
        </w:rPr>
        <w:t xml:space="preserve"> u procentima u odnosu na početne vrijednosti bilo je 0.6% u grupi sa montelukastom i 2.7% u grupi koja je liječena flutikazonom. Razlika među grupama u promjeni FEV</w:t>
      </w:r>
      <w:r w:rsidRPr="006B58D8">
        <w:rPr>
          <w:sz w:val="22"/>
          <w:szCs w:val="22"/>
          <w:vertAlign w:val="subscript"/>
          <w:lang w:val="sr-Latn-ME" w:eastAsia="sr-Latn-CS"/>
        </w:rPr>
        <w:t>1</w:t>
      </w:r>
      <w:r w:rsidRPr="006B58D8">
        <w:rPr>
          <w:sz w:val="22"/>
          <w:szCs w:val="22"/>
          <w:lang w:val="sr-Latn-ME" w:eastAsia="sr-Latn-CS"/>
        </w:rPr>
        <w:t xml:space="preserve"> u odnosu na početne vrijednosti u % je bila značajna: -2.2% sa 95% CI od -3.6, -0.7.</w:t>
      </w:r>
    </w:p>
    <w:p w14:paraId="71B76D93" w14:textId="77777777" w:rsidR="007A033F" w:rsidRPr="006B58D8" w:rsidRDefault="007A033F" w:rsidP="0069371F">
      <w:pPr>
        <w:autoSpaceDE w:val="0"/>
        <w:autoSpaceDN w:val="0"/>
        <w:adjustRightInd w:val="0"/>
        <w:jc w:val="both"/>
        <w:rPr>
          <w:sz w:val="22"/>
          <w:szCs w:val="22"/>
          <w:lang w:val="sr-Latn-ME" w:eastAsia="sr-Latn-CS"/>
        </w:rPr>
      </w:pPr>
    </w:p>
    <w:p w14:paraId="24F3857C" w14:textId="77777777" w:rsidR="007A033F" w:rsidRPr="006B58D8" w:rsidRDefault="007A033F" w:rsidP="0069371F">
      <w:pPr>
        <w:autoSpaceDE w:val="0"/>
        <w:autoSpaceDN w:val="0"/>
        <w:adjustRightInd w:val="0"/>
        <w:jc w:val="both"/>
        <w:rPr>
          <w:sz w:val="22"/>
          <w:szCs w:val="22"/>
          <w:lang w:val="sr-Latn-ME" w:eastAsia="sr-Latn-CS"/>
        </w:rPr>
      </w:pPr>
      <w:r w:rsidRPr="006B58D8">
        <w:rPr>
          <w:sz w:val="22"/>
          <w:szCs w:val="22"/>
          <w:lang w:val="sr-Latn-ME" w:eastAsia="sr-Latn-CS"/>
        </w:rPr>
        <w:t>Procenat dana u kojima je korišćen β-agonist smanjen je sa 38.0 na 15.4 u grupi sa montelukastom, i sa 38.5 na 12.8 dana u grupi koja je liječena flutikazonom. Razlika između grupa u procentu dana u kojima je korišćen β-agonist bila je značajna: 2.7 sa 95% CI od 0.9, 4.5.</w:t>
      </w:r>
    </w:p>
    <w:p w14:paraId="2D549ADF" w14:textId="77777777" w:rsidR="007A033F" w:rsidRPr="006B58D8" w:rsidRDefault="007A033F" w:rsidP="0069371F">
      <w:pPr>
        <w:autoSpaceDE w:val="0"/>
        <w:autoSpaceDN w:val="0"/>
        <w:adjustRightInd w:val="0"/>
        <w:jc w:val="both"/>
        <w:rPr>
          <w:sz w:val="22"/>
          <w:szCs w:val="22"/>
          <w:lang w:val="sr-Latn-ME" w:eastAsia="sr-Latn-CS"/>
        </w:rPr>
      </w:pPr>
    </w:p>
    <w:p w14:paraId="21C63907" w14:textId="14B425AF" w:rsidR="007A033F" w:rsidRPr="006B58D8" w:rsidRDefault="007A033F" w:rsidP="0069371F">
      <w:pPr>
        <w:autoSpaceDE w:val="0"/>
        <w:autoSpaceDN w:val="0"/>
        <w:adjustRightInd w:val="0"/>
        <w:jc w:val="both"/>
        <w:rPr>
          <w:sz w:val="22"/>
          <w:szCs w:val="22"/>
          <w:lang w:val="sr-Latn-ME" w:eastAsia="sr-Latn-CS"/>
        </w:rPr>
      </w:pPr>
      <w:r w:rsidRPr="006B58D8">
        <w:rPr>
          <w:sz w:val="22"/>
          <w:szCs w:val="22"/>
          <w:lang w:val="sr-Latn-ME" w:eastAsia="sr-Latn-CS"/>
        </w:rPr>
        <w:t xml:space="preserve">Procenat pacijenata koji su imali napad astme (napad astme je definisan kao period pogoršanja astme koji je zahtijevao liječenje oralnim kortikosteroidima, neplaniranu posjetu ljekaru, posjetu službi hitne pomoći ili hospitalizaciju) bio je 32.2 u grupi koja je liječena montelukastom i 25.6 u grupi pacijenata sa flutikazonom; </w:t>
      </w:r>
      <w:r w:rsidR="008230A6" w:rsidRPr="006B58D8">
        <w:rPr>
          <w:sz w:val="22"/>
          <w:szCs w:val="22"/>
          <w:lang w:val="sr-Latn-ME" w:eastAsia="sr-Latn-CS"/>
        </w:rPr>
        <w:t>odnos vjerovatnoće (</w:t>
      </w:r>
      <w:r w:rsidRPr="006B58D8">
        <w:rPr>
          <w:sz w:val="22"/>
          <w:szCs w:val="22"/>
          <w:lang w:val="sr-Latn-ME" w:eastAsia="sr-Latn-CS"/>
        </w:rPr>
        <w:t>95% CI) je bio značajan: 1.38 (1.04, 1.84).</w:t>
      </w:r>
    </w:p>
    <w:p w14:paraId="4C86771E" w14:textId="77777777" w:rsidR="007A033F" w:rsidRPr="006B58D8" w:rsidRDefault="007A033F" w:rsidP="0069371F">
      <w:pPr>
        <w:autoSpaceDE w:val="0"/>
        <w:autoSpaceDN w:val="0"/>
        <w:adjustRightInd w:val="0"/>
        <w:jc w:val="both"/>
        <w:rPr>
          <w:sz w:val="22"/>
          <w:szCs w:val="22"/>
          <w:lang w:val="sr-Latn-ME" w:eastAsia="sr-Latn-CS"/>
        </w:rPr>
      </w:pPr>
    </w:p>
    <w:p w14:paraId="5D948EDE" w14:textId="77777777" w:rsidR="007A033F" w:rsidRPr="006B58D8" w:rsidRDefault="007A033F" w:rsidP="0069371F">
      <w:pPr>
        <w:autoSpaceDE w:val="0"/>
        <w:autoSpaceDN w:val="0"/>
        <w:adjustRightInd w:val="0"/>
        <w:jc w:val="both"/>
        <w:rPr>
          <w:sz w:val="22"/>
          <w:szCs w:val="22"/>
          <w:lang w:val="sr-Latn-ME" w:eastAsia="sr-Latn-CS"/>
        </w:rPr>
      </w:pPr>
      <w:r w:rsidRPr="006B58D8">
        <w:rPr>
          <w:sz w:val="22"/>
          <w:szCs w:val="22"/>
          <w:lang w:val="sr-Latn-ME" w:eastAsia="sr-Latn-CS"/>
        </w:rPr>
        <w:t>Procenat pacijenata koji su koristili sistemske (uglavnom oralne) kortikosteroide u toku studije bio je 17.8% u grupi sa montelukastom i 10.5% u grupi liječenoj flutikazonom. Razlika između grupa je bila značajna: 7.3% sa 95% CI od 2.9, 11.7.</w:t>
      </w:r>
    </w:p>
    <w:p w14:paraId="2739B3BD" w14:textId="77777777" w:rsidR="007A033F" w:rsidRPr="006B58D8" w:rsidRDefault="007A033F" w:rsidP="0069371F">
      <w:pPr>
        <w:autoSpaceDE w:val="0"/>
        <w:autoSpaceDN w:val="0"/>
        <w:adjustRightInd w:val="0"/>
        <w:jc w:val="both"/>
        <w:rPr>
          <w:sz w:val="22"/>
          <w:szCs w:val="22"/>
          <w:lang w:val="sr-Latn-ME" w:eastAsia="sr-Latn-CS"/>
        </w:rPr>
      </w:pPr>
    </w:p>
    <w:p w14:paraId="6BB1325F" w14:textId="10B3A578" w:rsidR="007A033F" w:rsidRPr="006B58D8" w:rsidRDefault="007A033F" w:rsidP="0069371F">
      <w:pPr>
        <w:autoSpaceDE w:val="0"/>
        <w:autoSpaceDN w:val="0"/>
        <w:adjustRightInd w:val="0"/>
        <w:jc w:val="both"/>
        <w:rPr>
          <w:sz w:val="22"/>
          <w:szCs w:val="22"/>
          <w:lang w:val="sr-Latn-ME" w:eastAsia="sr-Latn-CS"/>
        </w:rPr>
      </w:pPr>
      <w:r w:rsidRPr="006B58D8">
        <w:rPr>
          <w:sz w:val="22"/>
          <w:szCs w:val="22"/>
          <w:lang w:val="sr-Latn-ME" w:eastAsia="sr-Latn-CS"/>
        </w:rPr>
        <w:t>Značajna redukcija bronhokonstrikcije izazvane naporom (</w:t>
      </w:r>
      <w:r w:rsidRPr="006B58D8">
        <w:rPr>
          <w:i/>
          <w:sz w:val="22"/>
          <w:szCs w:val="22"/>
          <w:lang w:val="sr-Latn-ME" w:eastAsia="sr-Latn-CS"/>
        </w:rPr>
        <w:t>exercise induced bronchoconstriction</w:t>
      </w:r>
      <w:r w:rsidR="006C6D96" w:rsidRPr="006B58D8">
        <w:rPr>
          <w:i/>
          <w:sz w:val="22"/>
          <w:szCs w:val="22"/>
          <w:lang w:val="sr-Latn-ME" w:eastAsia="sr-Latn-CS"/>
        </w:rPr>
        <w:t>,</w:t>
      </w:r>
      <w:r w:rsidRPr="006B58D8">
        <w:rPr>
          <w:sz w:val="22"/>
          <w:szCs w:val="22"/>
          <w:lang w:val="sr-Latn-ME" w:eastAsia="sr-Latn-CS"/>
        </w:rPr>
        <w:t xml:space="preserve"> EIB) je pokazana u studiji na odraslim pacijentima koja je trajala 12 nedjelja (maksimalni pad FEV</w:t>
      </w:r>
      <w:r w:rsidRPr="006B58D8">
        <w:rPr>
          <w:sz w:val="22"/>
          <w:szCs w:val="22"/>
          <w:vertAlign w:val="subscript"/>
          <w:lang w:val="sr-Latn-ME" w:eastAsia="sr-Latn-CS"/>
        </w:rPr>
        <w:t>1</w:t>
      </w:r>
      <w:r w:rsidRPr="006B58D8">
        <w:rPr>
          <w:sz w:val="22"/>
          <w:szCs w:val="22"/>
          <w:lang w:val="sr-Latn-ME" w:eastAsia="sr-Latn-CS"/>
        </w:rPr>
        <w:t xml:space="preserve"> bio je 22.33% u montelukast grupi </w:t>
      </w:r>
      <w:r w:rsidR="008230A6" w:rsidRPr="006B58D8">
        <w:rPr>
          <w:sz w:val="22"/>
          <w:szCs w:val="22"/>
          <w:lang w:val="sr-Latn-ME" w:eastAsia="sr-Latn-CS"/>
        </w:rPr>
        <w:t>naspran</w:t>
      </w:r>
      <w:r w:rsidRPr="006B58D8">
        <w:rPr>
          <w:sz w:val="22"/>
          <w:szCs w:val="22"/>
          <w:lang w:val="sr-Latn-ME" w:eastAsia="sr-Latn-CS"/>
        </w:rPr>
        <w:t xml:space="preserve"> 32.40% u placebo grupi; vrijeme oporavka do 5% u odnosu na početne vrijednosti FEV</w:t>
      </w:r>
      <w:r w:rsidRPr="006B58D8">
        <w:rPr>
          <w:sz w:val="22"/>
          <w:szCs w:val="22"/>
          <w:vertAlign w:val="subscript"/>
          <w:lang w:val="sr-Latn-ME" w:eastAsia="sr-Latn-CS"/>
        </w:rPr>
        <w:t>1</w:t>
      </w:r>
      <w:r w:rsidRPr="006B58D8">
        <w:rPr>
          <w:sz w:val="22"/>
          <w:szCs w:val="22"/>
          <w:lang w:val="sr-Latn-ME" w:eastAsia="sr-Latn-CS"/>
        </w:rPr>
        <w:t xml:space="preserve"> bilo je 44.22 min u montelukast grupi i 60.64 min u placebo grupi). Ovaj efekat bio je konzistentan u toku 12 nedjelja trajanja studije. Smanjenje EIB je takođe pokazano u kratkotrajnoj studiji na pedijatrijskim pacijentima (maksimalno smanjenje FEV</w:t>
      </w:r>
      <w:r w:rsidRPr="006B58D8">
        <w:rPr>
          <w:sz w:val="22"/>
          <w:szCs w:val="22"/>
          <w:vertAlign w:val="subscript"/>
          <w:lang w:val="sr-Latn-ME" w:eastAsia="sr-Latn-CS"/>
        </w:rPr>
        <w:t>1</w:t>
      </w:r>
      <w:r w:rsidRPr="006B58D8">
        <w:rPr>
          <w:sz w:val="22"/>
          <w:szCs w:val="22"/>
          <w:lang w:val="sr-Latn-ME" w:eastAsia="sr-Latn-CS"/>
        </w:rPr>
        <w:t xml:space="preserve"> vrijednosti je bilo 18.27% </w:t>
      </w:r>
      <w:r w:rsidR="008230A6" w:rsidRPr="006B58D8">
        <w:rPr>
          <w:sz w:val="22"/>
          <w:szCs w:val="22"/>
          <w:lang w:val="sr-Latn-ME" w:eastAsia="sr-Latn-CS"/>
        </w:rPr>
        <w:t xml:space="preserve">naspram </w:t>
      </w:r>
      <w:r w:rsidRPr="006B58D8">
        <w:rPr>
          <w:sz w:val="22"/>
          <w:szCs w:val="22"/>
          <w:lang w:val="sr-Latn-ME" w:eastAsia="sr-Latn-CS"/>
        </w:rPr>
        <w:t>26.11%; vrijeme oporavka do 5% od početne vrijednosti FEV</w:t>
      </w:r>
      <w:r w:rsidRPr="006B58D8">
        <w:rPr>
          <w:sz w:val="22"/>
          <w:szCs w:val="22"/>
          <w:vertAlign w:val="subscript"/>
          <w:lang w:val="sr-Latn-ME" w:eastAsia="sr-Latn-CS"/>
        </w:rPr>
        <w:t>1</w:t>
      </w:r>
      <w:r w:rsidRPr="006B58D8">
        <w:rPr>
          <w:sz w:val="22"/>
          <w:szCs w:val="22"/>
          <w:lang w:val="sr-Latn-ME" w:eastAsia="sr-Latn-CS"/>
        </w:rPr>
        <w:t xml:space="preserve"> je bilo 17.76 min </w:t>
      </w:r>
      <w:r w:rsidR="008230A6" w:rsidRPr="006B58D8">
        <w:rPr>
          <w:sz w:val="22"/>
          <w:szCs w:val="22"/>
          <w:lang w:val="sr-Latn-ME" w:eastAsia="sr-Latn-CS"/>
        </w:rPr>
        <w:t>naspram</w:t>
      </w:r>
      <w:r w:rsidRPr="006B58D8">
        <w:rPr>
          <w:sz w:val="22"/>
          <w:szCs w:val="22"/>
          <w:lang w:val="sr-Latn-ME" w:eastAsia="sr-Latn-CS"/>
        </w:rPr>
        <w:t xml:space="preserve"> 27.98 min). U ob</w:t>
      </w:r>
      <w:r w:rsidR="00DC2A98" w:rsidRPr="006B58D8">
        <w:rPr>
          <w:sz w:val="22"/>
          <w:szCs w:val="22"/>
          <w:lang w:val="sr-Latn-ME" w:eastAsia="sr-Latn-CS"/>
        </w:rPr>
        <w:t>j</w:t>
      </w:r>
      <w:r w:rsidRPr="006B58D8">
        <w:rPr>
          <w:sz w:val="22"/>
          <w:szCs w:val="22"/>
          <w:lang w:val="sr-Latn-ME" w:eastAsia="sr-Latn-CS"/>
        </w:rPr>
        <w:t xml:space="preserve">e studije efekat je pokazan na kraju doznog intervala pri čemu je doziranje bilo jednom dnevno. </w:t>
      </w:r>
    </w:p>
    <w:p w14:paraId="07E6691E" w14:textId="77777777" w:rsidR="007A033F" w:rsidRPr="006B58D8" w:rsidRDefault="007A033F" w:rsidP="0069371F">
      <w:pPr>
        <w:autoSpaceDE w:val="0"/>
        <w:autoSpaceDN w:val="0"/>
        <w:adjustRightInd w:val="0"/>
        <w:jc w:val="both"/>
        <w:rPr>
          <w:sz w:val="22"/>
          <w:szCs w:val="22"/>
          <w:lang w:val="sr-Latn-ME" w:eastAsia="sr-Latn-CS"/>
        </w:rPr>
      </w:pPr>
    </w:p>
    <w:p w14:paraId="2D5B4817" w14:textId="09320854" w:rsidR="007A033F" w:rsidRPr="006B58D8" w:rsidRDefault="007A033F" w:rsidP="0069371F">
      <w:pPr>
        <w:autoSpaceDE w:val="0"/>
        <w:autoSpaceDN w:val="0"/>
        <w:adjustRightInd w:val="0"/>
        <w:jc w:val="both"/>
        <w:rPr>
          <w:sz w:val="22"/>
          <w:szCs w:val="22"/>
          <w:lang w:val="sr-Latn-ME" w:eastAsia="sr-Latn-CS"/>
        </w:rPr>
      </w:pPr>
      <w:r w:rsidRPr="006B58D8">
        <w:rPr>
          <w:sz w:val="22"/>
          <w:szCs w:val="22"/>
          <w:lang w:val="sr-Latn-ME" w:eastAsia="sr-Latn-CS"/>
        </w:rPr>
        <w:t>Kod astmatičnih pacijenata osjetljivih na aspirin koji su istovremeno dobijali inhalacione i/ili oralne kortikosteroide, liječenje montelukastom u poređenju sa placebom, dalo je značajno poboljšanje u kontroli astme (promjena FEV</w:t>
      </w:r>
      <w:r w:rsidRPr="006B58D8">
        <w:rPr>
          <w:sz w:val="22"/>
          <w:szCs w:val="22"/>
          <w:vertAlign w:val="subscript"/>
          <w:lang w:val="sr-Latn-ME" w:eastAsia="sr-Latn-CS"/>
        </w:rPr>
        <w:t>1</w:t>
      </w:r>
      <w:r w:rsidRPr="006B58D8">
        <w:rPr>
          <w:sz w:val="22"/>
          <w:szCs w:val="22"/>
          <w:lang w:val="sr-Latn-ME" w:eastAsia="sr-Latn-CS"/>
        </w:rPr>
        <w:t xml:space="preserve"> od 8.55% </w:t>
      </w:r>
      <w:r w:rsidR="008230A6" w:rsidRPr="006B58D8">
        <w:rPr>
          <w:sz w:val="22"/>
          <w:szCs w:val="22"/>
          <w:lang w:val="sr-Latn-ME" w:eastAsia="sr-Latn-CS"/>
        </w:rPr>
        <w:t>naspram</w:t>
      </w:r>
      <w:r w:rsidRPr="006B58D8">
        <w:rPr>
          <w:sz w:val="22"/>
          <w:szCs w:val="22"/>
          <w:lang w:val="sr-Latn-ME" w:eastAsia="sr-Latn-CS"/>
        </w:rPr>
        <w:t xml:space="preserve"> -1.74% u odnosu na početne vrijednosti i smanjenje ukupne upotrebe β-agonista od -27.78% </w:t>
      </w:r>
      <w:r w:rsidR="008230A6" w:rsidRPr="006B58D8">
        <w:rPr>
          <w:sz w:val="22"/>
          <w:szCs w:val="22"/>
          <w:lang w:val="sr-Latn-ME" w:eastAsia="sr-Latn-CS"/>
        </w:rPr>
        <w:t>naspram</w:t>
      </w:r>
      <w:r w:rsidRPr="006B58D8">
        <w:rPr>
          <w:sz w:val="22"/>
          <w:szCs w:val="22"/>
          <w:lang w:val="sr-Latn-ME" w:eastAsia="sr-Latn-CS"/>
        </w:rPr>
        <w:t xml:space="preserve"> 2.09% u odnosu na početne vrijednosti).</w:t>
      </w:r>
    </w:p>
    <w:p w14:paraId="15BD8D27" w14:textId="77777777" w:rsidR="007A033F" w:rsidRPr="006B58D8" w:rsidRDefault="007A033F" w:rsidP="0069371F">
      <w:pPr>
        <w:tabs>
          <w:tab w:val="left" w:pos="540"/>
          <w:tab w:val="left" w:pos="569"/>
        </w:tabs>
        <w:jc w:val="both"/>
        <w:rPr>
          <w:b/>
          <w:bCs/>
          <w:sz w:val="22"/>
          <w:szCs w:val="22"/>
          <w:lang w:val="sr-Latn-ME"/>
        </w:rPr>
      </w:pPr>
    </w:p>
    <w:p w14:paraId="219C50DC"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5.2. </w:t>
      </w:r>
      <w:r w:rsidR="00480FB1" w:rsidRPr="006B58D8">
        <w:rPr>
          <w:b/>
          <w:bCs/>
          <w:sz w:val="22"/>
          <w:szCs w:val="22"/>
          <w:lang w:val="sr-Latn-ME"/>
        </w:rPr>
        <w:tab/>
      </w:r>
      <w:r w:rsidRPr="006B58D8">
        <w:rPr>
          <w:b/>
          <w:bCs/>
          <w:sz w:val="22"/>
          <w:szCs w:val="22"/>
          <w:lang w:val="sr-Latn-ME"/>
        </w:rPr>
        <w:t>Farmakokinetički podaci</w:t>
      </w:r>
      <w:r w:rsidR="003A7059" w:rsidRPr="006B58D8">
        <w:rPr>
          <w:b/>
          <w:bCs/>
          <w:sz w:val="22"/>
          <w:szCs w:val="22"/>
          <w:lang w:val="sr-Latn-ME"/>
        </w:rPr>
        <w:t xml:space="preserve"> </w:t>
      </w:r>
    </w:p>
    <w:p w14:paraId="04D6BE2D" w14:textId="277B3EAD" w:rsidR="0072020E" w:rsidRPr="006B58D8" w:rsidRDefault="0072020E" w:rsidP="0069371F">
      <w:pPr>
        <w:tabs>
          <w:tab w:val="left" w:pos="540"/>
          <w:tab w:val="left" w:pos="569"/>
        </w:tabs>
        <w:jc w:val="both"/>
        <w:rPr>
          <w:bCs/>
          <w:sz w:val="22"/>
          <w:szCs w:val="22"/>
          <w:lang w:val="sr-Latn-ME"/>
        </w:rPr>
      </w:pPr>
    </w:p>
    <w:p w14:paraId="75E347DC" w14:textId="77777777" w:rsidR="007A033F" w:rsidRPr="006B58D8" w:rsidRDefault="007A033F" w:rsidP="0069371F">
      <w:pPr>
        <w:pStyle w:val="Header"/>
        <w:tabs>
          <w:tab w:val="left" w:pos="284"/>
        </w:tabs>
        <w:jc w:val="both"/>
        <w:rPr>
          <w:i/>
          <w:sz w:val="22"/>
          <w:szCs w:val="22"/>
          <w:lang w:val="sr-Latn-ME"/>
        </w:rPr>
      </w:pPr>
      <w:r w:rsidRPr="006B58D8">
        <w:rPr>
          <w:sz w:val="22"/>
          <w:szCs w:val="22"/>
          <w:u w:val="single"/>
          <w:lang w:val="sr-Latn-ME"/>
        </w:rPr>
        <w:t>Resorpcija</w:t>
      </w:r>
      <w:r w:rsidRPr="006B58D8">
        <w:rPr>
          <w:i/>
          <w:sz w:val="22"/>
          <w:szCs w:val="22"/>
          <w:lang w:val="sr-Latn-ME"/>
        </w:rPr>
        <w:t xml:space="preserve"> </w:t>
      </w:r>
    </w:p>
    <w:p w14:paraId="2B48BB42" w14:textId="77777777" w:rsidR="007A033F" w:rsidRPr="006B58D8" w:rsidRDefault="007A033F" w:rsidP="0069371F">
      <w:pPr>
        <w:pStyle w:val="Header"/>
        <w:tabs>
          <w:tab w:val="left" w:pos="284"/>
        </w:tabs>
        <w:jc w:val="both"/>
        <w:rPr>
          <w:sz w:val="22"/>
          <w:szCs w:val="22"/>
          <w:lang w:val="sr-Latn-ME"/>
        </w:rPr>
      </w:pPr>
      <w:r w:rsidRPr="006B58D8">
        <w:rPr>
          <w:sz w:val="22"/>
          <w:szCs w:val="22"/>
          <w:lang w:val="sr-Latn-ME"/>
        </w:rPr>
        <w:t>Montelukast se brzo resorbuje poslije</w:t>
      </w:r>
      <w:r w:rsidRPr="006B58D8">
        <w:rPr>
          <w:i/>
          <w:sz w:val="22"/>
          <w:szCs w:val="22"/>
          <w:lang w:val="sr-Latn-ME"/>
        </w:rPr>
        <w:t xml:space="preserve"> </w:t>
      </w:r>
      <w:r w:rsidRPr="006B58D8">
        <w:rPr>
          <w:sz w:val="22"/>
          <w:szCs w:val="22"/>
          <w:lang w:val="sr-Latn-ME"/>
        </w:rPr>
        <w:t>peroralne primjene. Za 10 mg film tablete srednja maksimalna koncentracija u plazmi (C</w:t>
      </w:r>
      <w:r w:rsidRPr="006B58D8">
        <w:rPr>
          <w:sz w:val="22"/>
          <w:szCs w:val="22"/>
          <w:vertAlign w:val="subscript"/>
          <w:lang w:val="sr-Latn-ME"/>
        </w:rPr>
        <w:t>max</w:t>
      </w:r>
      <w:r w:rsidRPr="006B58D8">
        <w:rPr>
          <w:sz w:val="22"/>
          <w:szCs w:val="22"/>
          <w:lang w:val="sr-Latn-ME"/>
        </w:rPr>
        <w:t>) se postiže za 3 sata (T</w:t>
      </w:r>
      <w:r w:rsidRPr="006B58D8">
        <w:rPr>
          <w:sz w:val="22"/>
          <w:szCs w:val="22"/>
          <w:vertAlign w:val="subscript"/>
          <w:lang w:val="sr-Latn-ME"/>
        </w:rPr>
        <w:t>max</w:t>
      </w:r>
      <w:r w:rsidRPr="006B58D8">
        <w:rPr>
          <w:sz w:val="22"/>
          <w:szCs w:val="22"/>
          <w:lang w:val="sr-Latn-ME"/>
        </w:rPr>
        <w:t>) nakon primjene kod odraslih u uslovima gladovanja. Prosječna bioraspoloživost nakon oralne primjene je 64%. Standardni obrok ne utiče na bioraspoloživost nakon oralne primjene i na C</w:t>
      </w:r>
      <w:r w:rsidRPr="006B58D8">
        <w:rPr>
          <w:sz w:val="22"/>
          <w:szCs w:val="22"/>
          <w:vertAlign w:val="subscript"/>
          <w:lang w:val="sr-Latn-ME"/>
        </w:rPr>
        <w:t>max</w:t>
      </w:r>
      <w:r w:rsidRPr="006B58D8">
        <w:rPr>
          <w:sz w:val="22"/>
          <w:szCs w:val="22"/>
          <w:lang w:val="sr-Latn-ME"/>
        </w:rPr>
        <w:t>. Bezbjednost i efikasnost su pokazane u kliničkim ispitivanjima u kojima su film tablete od 10 mg primjenjivane bez obzira na vrijeme obroka.</w:t>
      </w:r>
    </w:p>
    <w:p w14:paraId="2044A207" w14:textId="77777777" w:rsidR="007A033F" w:rsidRPr="006B58D8" w:rsidRDefault="007A033F" w:rsidP="0069371F">
      <w:pPr>
        <w:pStyle w:val="Header"/>
        <w:tabs>
          <w:tab w:val="left" w:pos="284"/>
        </w:tabs>
        <w:jc w:val="both"/>
        <w:rPr>
          <w:sz w:val="22"/>
          <w:szCs w:val="22"/>
          <w:lang w:val="sr-Latn-ME"/>
        </w:rPr>
      </w:pPr>
    </w:p>
    <w:p w14:paraId="0408B239" w14:textId="5AC4BFC7" w:rsidR="007A033F" w:rsidRPr="006B58D8" w:rsidRDefault="007A033F" w:rsidP="0069371F">
      <w:pPr>
        <w:pStyle w:val="Header"/>
        <w:tabs>
          <w:tab w:val="left" w:pos="284"/>
        </w:tabs>
        <w:jc w:val="both"/>
        <w:rPr>
          <w:sz w:val="22"/>
          <w:szCs w:val="22"/>
          <w:lang w:val="sr-Latn-ME"/>
        </w:rPr>
      </w:pPr>
      <w:r w:rsidRPr="006B58D8">
        <w:rPr>
          <w:sz w:val="22"/>
          <w:szCs w:val="22"/>
          <w:lang w:val="sr-Latn-ME"/>
        </w:rPr>
        <w:t>Za tablete za žvakanje od 5 mg C</w:t>
      </w:r>
      <w:r w:rsidRPr="006B58D8">
        <w:rPr>
          <w:sz w:val="22"/>
          <w:szCs w:val="22"/>
          <w:vertAlign w:val="subscript"/>
          <w:lang w:val="sr-Latn-ME"/>
        </w:rPr>
        <w:t>max</w:t>
      </w:r>
      <w:r w:rsidRPr="006B58D8">
        <w:rPr>
          <w:sz w:val="22"/>
          <w:szCs w:val="22"/>
          <w:lang w:val="sr-Latn-ME"/>
        </w:rPr>
        <w:t xml:space="preserve"> je dostignuta za 2 sata nakon primjene kod odraslih</w:t>
      </w:r>
      <w:r w:rsidR="00595895" w:rsidRPr="006B58D8">
        <w:rPr>
          <w:sz w:val="22"/>
          <w:szCs w:val="22"/>
          <w:lang w:val="sr-Latn-ME"/>
        </w:rPr>
        <w:t xml:space="preserve"> pacijenata</w:t>
      </w:r>
      <w:r w:rsidRPr="006B58D8">
        <w:rPr>
          <w:sz w:val="22"/>
          <w:szCs w:val="22"/>
          <w:lang w:val="sr-Latn-ME"/>
        </w:rPr>
        <w:t xml:space="preserve"> u uslovima gladovanja. Prosječna bioraspoloživost nakon oralne primjene je 73%, i smanjuje se na 63% nakon uzimanja standardizovanog obroka.</w:t>
      </w:r>
    </w:p>
    <w:p w14:paraId="5CA9F9B7" w14:textId="77777777" w:rsidR="007A033F" w:rsidRPr="006B58D8" w:rsidRDefault="007A033F" w:rsidP="0069371F">
      <w:pPr>
        <w:pStyle w:val="Header"/>
        <w:tabs>
          <w:tab w:val="left" w:pos="284"/>
        </w:tabs>
        <w:jc w:val="both"/>
        <w:rPr>
          <w:i/>
          <w:sz w:val="22"/>
          <w:szCs w:val="22"/>
          <w:lang w:val="sr-Latn-ME"/>
        </w:rPr>
      </w:pPr>
    </w:p>
    <w:p w14:paraId="7FDDC67B" w14:textId="77777777" w:rsidR="007A033F" w:rsidRPr="006B58D8" w:rsidRDefault="007A033F" w:rsidP="0069371F">
      <w:pPr>
        <w:pStyle w:val="Header"/>
        <w:tabs>
          <w:tab w:val="left" w:pos="284"/>
        </w:tabs>
        <w:jc w:val="both"/>
        <w:rPr>
          <w:sz w:val="22"/>
          <w:szCs w:val="22"/>
          <w:lang w:val="sr-Latn-ME"/>
        </w:rPr>
      </w:pPr>
      <w:r w:rsidRPr="006B58D8">
        <w:rPr>
          <w:sz w:val="22"/>
          <w:szCs w:val="22"/>
          <w:u w:val="single"/>
          <w:lang w:val="sr-Latn-ME"/>
        </w:rPr>
        <w:lastRenderedPageBreak/>
        <w:t>Distribucija</w:t>
      </w:r>
      <w:r w:rsidRPr="006B58D8">
        <w:rPr>
          <w:sz w:val="22"/>
          <w:szCs w:val="22"/>
          <w:lang w:val="sr-Latn-ME"/>
        </w:rPr>
        <w:t xml:space="preserve"> </w:t>
      </w:r>
    </w:p>
    <w:p w14:paraId="7A145730" w14:textId="5351DB7D" w:rsidR="007A033F" w:rsidRPr="006B58D8" w:rsidRDefault="007A033F" w:rsidP="0069371F">
      <w:pPr>
        <w:pStyle w:val="Header"/>
        <w:tabs>
          <w:tab w:val="left" w:pos="284"/>
        </w:tabs>
        <w:jc w:val="both"/>
        <w:rPr>
          <w:sz w:val="22"/>
          <w:szCs w:val="22"/>
          <w:lang w:val="sr-Latn-ME"/>
        </w:rPr>
      </w:pPr>
      <w:r w:rsidRPr="006B58D8">
        <w:rPr>
          <w:sz w:val="22"/>
          <w:szCs w:val="22"/>
          <w:lang w:val="sr-Latn-ME"/>
        </w:rPr>
        <w:t>Montelukast se vezuje više od 99% za proteine plazme. Volumen distribucije u stanju ravnoteže za montelukast je u prosjeku 8-11 litara. Studije na pacovima koji su tretirani radioob</w:t>
      </w:r>
      <w:r w:rsidR="00595895" w:rsidRPr="006B58D8">
        <w:rPr>
          <w:sz w:val="22"/>
          <w:szCs w:val="22"/>
          <w:lang w:val="sr-Latn-ME"/>
        </w:rPr>
        <w:t>i</w:t>
      </w:r>
      <w:r w:rsidRPr="006B58D8">
        <w:rPr>
          <w:sz w:val="22"/>
          <w:szCs w:val="22"/>
          <w:lang w:val="sr-Latn-ME"/>
        </w:rPr>
        <w:t>l</w:t>
      </w:r>
      <w:r w:rsidR="00595895" w:rsidRPr="006B58D8">
        <w:rPr>
          <w:sz w:val="22"/>
          <w:szCs w:val="22"/>
          <w:lang w:val="sr-Latn-ME"/>
        </w:rPr>
        <w:t>j</w:t>
      </w:r>
      <w:r w:rsidRPr="006B58D8">
        <w:rPr>
          <w:sz w:val="22"/>
          <w:szCs w:val="22"/>
          <w:lang w:val="sr-Latn-ME"/>
        </w:rPr>
        <w:t>eženim montelukastom ukazuju da montelukast minimalno prolazi krvno-moždanu barijeru. Pored toga, koncentracije radioob</w:t>
      </w:r>
      <w:r w:rsidR="00595895" w:rsidRPr="006B58D8">
        <w:rPr>
          <w:sz w:val="22"/>
          <w:szCs w:val="22"/>
          <w:lang w:val="sr-Latn-ME"/>
        </w:rPr>
        <w:t>i</w:t>
      </w:r>
      <w:r w:rsidRPr="006B58D8">
        <w:rPr>
          <w:sz w:val="22"/>
          <w:szCs w:val="22"/>
          <w:lang w:val="sr-Latn-ME"/>
        </w:rPr>
        <w:t>l</w:t>
      </w:r>
      <w:r w:rsidR="00595895" w:rsidRPr="006B58D8">
        <w:rPr>
          <w:sz w:val="22"/>
          <w:szCs w:val="22"/>
          <w:lang w:val="sr-Latn-ME"/>
        </w:rPr>
        <w:t>j</w:t>
      </w:r>
      <w:r w:rsidRPr="006B58D8">
        <w:rPr>
          <w:sz w:val="22"/>
          <w:szCs w:val="22"/>
          <w:lang w:val="sr-Latn-ME"/>
        </w:rPr>
        <w:t>eženog materijala u tkivima 24 sata poslije doziranja su bile minimalne u svim drugim tkivima.</w:t>
      </w:r>
    </w:p>
    <w:p w14:paraId="7961CC0A" w14:textId="77777777" w:rsidR="007A033F" w:rsidRPr="006B58D8" w:rsidRDefault="007A033F" w:rsidP="0069371F">
      <w:pPr>
        <w:pStyle w:val="Header"/>
        <w:tabs>
          <w:tab w:val="left" w:pos="284"/>
        </w:tabs>
        <w:jc w:val="both"/>
        <w:rPr>
          <w:i/>
          <w:sz w:val="22"/>
          <w:szCs w:val="22"/>
          <w:lang w:val="sr-Latn-ME"/>
        </w:rPr>
      </w:pPr>
    </w:p>
    <w:p w14:paraId="37DD825C" w14:textId="77777777" w:rsidR="007A033F" w:rsidRPr="006B58D8" w:rsidRDefault="007A033F" w:rsidP="0069371F">
      <w:pPr>
        <w:pStyle w:val="Header"/>
        <w:tabs>
          <w:tab w:val="left" w:pos="284"/>
        </w:tabs>
        <w:jc w:val="both"/>
        <w:rPr>
          <w:sz w:val="22"/>
          <w:szCs w:val="22"/>
          <w:lang w:val="sr-Latn-ME"/>
        </w:rPr>
      </w:pPr>
      <w:r w:rsidRPr="006B58D8">
        <w:rPr>
          <w:sz w:val="22"/>
          <w:szCs w:val="22"/>
          <w:u w:val="single"/>
          <w:lang w:val="sr-Latn-ME"/>
        </w:rPr>
        <w:t>Biotransformacija</w:t>
      </w:r>
      <w:r w:rsidRPr="006B58D8">
        <w:rPr>
          <w:sz w:val="22"/>
          <w:szCs w:val="22"/>
          <w:lang w:val="sr-Latn-ME"/>
        </w:rPr>
        <w:t xml:space="preserve"> </w:t>
      </w:r>
    </w:p>
    <w:p w14:paraId="47DEDE76" w14:textId="20F926F6" w:rsidR="007A033F" w:rsidRPr="006B58D8" w:rsidRDefault="007A033F" w:rsidP="0069371F">
      <w:pPr>
        <w:pStyle w:val="Header"/>
        <w:tabs>
          <w:tab w:val="left" w:pos="284"/>
        </w:tabs>
        <w:jc w:val="both"/>
        <w:rPr>
          <w:sz w:val="22"/>
          <w:szCs w:val="22"/>
          <w:lang w:val="sr-Latn-ME"/>
        </w:rPr>
      </w:pPr>
      <w:r w:rsidRPr="006B58D8">
        <w:rPr>
          <w:sz w:val="22"/>
          <w:szCs w:val="22"/>
          <w:lang w:val="sr-Latn-ME"/>
        </w:rPr>
        <w:t>Montelukast se intenzivno metaboliše. U studijama sa terapijskim dozama montelukasta, koncentracije metabolita u plazmi se nijesu mogle detektovati u stanju ravnoteže ni kod odra</w:t>
      </w:r>
      <w:r w:rsidR="00A37C87" w:rsidRPr="006B58D8">
        <w:rPr>
          <w:sz w:val="22"/>
          <w:szCs w:val="22"/>
          <w:lang w:val="sr-Latn-ME"/>
        </w:rPr>
        <w:t>s</w:t>
      </w:r>
      <w:r w:rsidRPr="006B58D8">
        <w:rPr>
          <w:sz w:val="22"/>
          <w:szCs w:val="22"/>
          <w:lang w:val="sr-Latn-ME"/>
        </w:rPr>
        <w:t xml:space="preserve">lih ni kod djece. </w:t>
      </w:r>
    </w:p>
    <w:p w14:paraId="4C0922F1" w14:textId="77777777" w:rsidR="007A033F" w:rsidRPr="006B58D8" w:rsidRDefault="007A033F" w:rsidP="0069371F">
      <w:pPr>
        <w:pStyle w:val="Header"/>
        <w:tabs>
          <w:tab w:val="left" w:pos="284"/>
        </w:tabs>
        <w:jc w:val="both"/>
        <w:rPr>
          <w:i/>
          <w:sz w:val="22"/>
          <w:szCs w:val="22"/>
          <w:lang w:val="sr-Latn-ME"/>
        </w:rPr>
      </w:pPr>
    </w:p>
    <w:p w14:paraId="158E5BBC" w14:textId="0CC4F63F" w:rsidR="007A033F" w:rsidRPr="006B58D8" w:rsidRDefault="007A033F" w:rsidP="0069371F">
      <w:pPr>
        <w:pStyle w:val="Header"/>
        <w:tabs>
          <w:tab w:val="left" w:pos="284"/>
        </w:tabs>
        <w:jc w:val="both"/>
        <w:rPr>
          <w:sz w:val="22"/>
          <w:szCs w:val="22"/>
          <w:lang w:val="sr-Latn-ME"/>
        </w:rPr>
      </w:pPr>
      <w:r w:rsidRPr="006B58D8">
        <w:rPr>
          <w:sz w:val="22"/>
          <w:szCs w:val="22"/>
          <w:lang w:val="sr-Latn-ME"/>
        </w:rPr>
        <w:t>Citohrom P4502C8 je najznačajniji enzim u metabolizmu montelukasta. Dodatno, CYP 3A4,</w:t>
      </w:r>
      <w:r w:rsidR="00A37C87" w:rsidRPr="006B58D8">
        <w:rPr>
          <w:sz w:val="22"/>
          <w:szCs w:val="22"/>
          <w:lang w:val="sr-Latn-ME"/>
        </w:rPr>
        <w:t xml:space="preserve"> i </w:t>
      </w:r>
      <w:r w:rsidRPr="006B58D8">
        <w:rPr>
          <w:sz w:val="22"/>
          <w:szCs w:val="22"/>
          <w:lang w:val="sr-Latn-ME"/>
        </w:rPr>
        <w:t>2C9 mogu biti u manjoj meri uključeni u metabolizam montelukasta, iako</w:t>
      </w:r>
      <w:r w:rsidR="006C6D96" w:rsidRPr="006B58D8">
        <w:rPr>
          <w:sz w:val="22"/>
          <w:szCs w:val="22"/>
          <w:lang w:val="sr-Latn-ME"/>
        </w:rPr>
        <w:t xml:space="preserve"> je pokazano da</w:t>
      </w:r>
      <w:r w:rsidRPr="006B58D8">
        <w:rPr>
          <w:sz w:val="22"/>
          <w:szCs w:val="22"/>
          <w:lang w:val="sr-Latn-ME"/>
        </w:rPr>
        <w:t xml:space="preserve"> itrakonazol, inhibitor CYP 3A4, nije uticao na prom</w:t>
      </w:r>
      <w:r w:rsidR="00CF1C84" w:rsidRPr="006B58D8">
        <w:rPr>
          <w:sz w:val="22"/>
          <w:szCs w:val="22"/>
          <w:lang w:val="sr-Latn-ME"/>
        </w:rPr>
        <w:t>j</w:t>
      </w:r>
      <w:r w:rsidRPr="006B58D8">
        <w:rPr>
          <w:sz w:val="22"/>
          <w:szCs w:val="22"/>
          <w:lang w:val="sr-Latn-ME"/>
        </w:rPr>
        <w:t xml:space="preserve">enu farmakokinetičkih varijabli montelukasta kod zdravih ispitanika koji su uzimali 10 mg montelukasta dnevno. Na osnovu </w:t>
      </w:r>
      <w:r w:rsidRPr="006B58D8">
        <w:rPr>
          <w:i/>
          <w:sz w:val="22"/>
          <w:szCs w:val="22"/>
          <w:lang w:val="sr-Latn-ME"/>
        </w:rPr>
        <w:t>in vitro</w:t>
      </w:r>
      <w:r w:rsidRPr="006B58D8">
        <w:rPr>
          <w:sz w:val="22"/>
          <w:szCs w:val="22"/>
          <w:lang w:val="sr-Latn-ME"/>
        </w:rPr>
        <w:t xml:space="preserve"> rezultata na mikrozomima humane jetre utvrđeno je da terapijske koncentracije montelukasta u plazmi ne inhibiraju citohrome P450 3A4, 2C9, 1A2, 2A6, 2C19 i 2D6. Doprinos metabolita terapijskom dejstvu montelukasta je minimalan.</w:t>
      </w:r>
    </w:p>
    <w:p w14:paraId="1161E928" w14:textId="77777777" w:rsidR="007A033F" w:rsidRPr="006B58D8" w:rsidRDefault="007A033F" w:rsidP="0069371F">
      <w:pPr>
        <w:pStyle w:val="Header"/>
        <w:tabs>
          <w:tab w:val="left" w:pos="284"/>
        </w:tabs>
        <w:jc w:val="both"/>
        <w:rPr>
          <w:i/>
          <w:sz w:val="22"/>
          <w:szCs w:val="22"/>
          <w:lang w:val="sr-Latn-ME"/>
        </w:rPr>
      </w:pPr>
    </w:p>
    <w:p w14:paraId="743A5D4C" w14:textId="77777777" w:rsidR="007A033F" w:rsidRPr="006B58D8" w:rsidRDefault="007A033F" w:rsidP="0069371F">
      <w:pPr>
        <w:pStyle w:val="Header"/>
        <w:tabs>
          <w:tab w:val="left" w:pos="284"/>
        </w:tabs>
        <w:jc w:val="both"/>
        <w:rPr>
          <w:sz w:val="22"/>
          <w:szCs w:val="22"/>
          <w:lang w:val="sr-Latn-ME"/>
        </w:rPr>
      </w:pPr>
      <w:r w:rsidRPr="006B58D8">
        <w:rPr>
          <w:sz w:val="22"/>
          <w:szCs w:val="22"/>
          <w:u w:val="single"/>
          <w:lang w:val="sr-Latn-ME"/>
        </w:rPr>
        <w:t>Eliminacija</w:t>
      </w:r>
    </w:p>
    <w:p w14:paraId="7E1A2E88" w14:textId="065E33EA" w:rsidR="007A033F" w:rsidRPr="006B58D8" w:rsidRDefault="007A033F" w:rsidP="0069371F">
      <w:pPr>
        <w:pStyle w:val="Header"/>
        <w:tabs>
          <w:tab w:val="left" w:pos="284"/>
        </w:tabs>
        <w:jc w:val="both"/>
        <w:rPr>
          <w:sz w:val="22"/>
          <w:szCs w:val="22"/>
          <w:lang w:val="sr-Latn-ME"/>
        </w:rPr>
      </w:pPr>
      <w:r w:rsidRPr="006B58D8">
        <w:rPr>
          <w:sz w:val="22"/>
          <w:szCs w:val="22"/>
          <w:lang w:val="sr-Latn-ME"/>
        </w:rPr>
        <w:t>Plazma klirens montelukasta kod zdravih odraslih osoba je u prosjeku 45 ml/min. Poslije oralne primjene radioob</w:t>
      </w:r>
      <w:r w:rsidR="00687FC8" w:rsidRPr="006B58D8">
        <w:rPr>
          <w:sz w:val="22"/>
          <w:szCs w:val="22"/>
          <w:lang w:val="sr-Latn-ME"/>
        </w:rPr>
        <w:t>i</w:t>
      </w:r>
      <w:r w:rsidRPr="006B58D8">
        <w:rPr>
          <w:sz w:val="22"/>
          <w:szCs w:val="22"/>
          <w:lang w:val="sr-Latn-ME"/>
        </w:rPr>
        <w:t>l</w:t>
      </w:r>
      <w:r w:rsidR="00687FC8" w:rsidRPr="006B58D8">
        <w:rPr>
          <w:sz w:val="22"/>
          <w:szCs w:val="22"/>
          <w:lang w:val="sr-Latn-ME"/>
        </w:rPr>
        <w:t>j</w:t>
      </w:r>
      <w:r w:rsidRPr="006B58D8">
        <w:rPr>
          <w:sz w:val="22"/>
          <w:szCs w:val="22"/>
          <w:lang w:val="sr-Latn-ME"/>
        </w:rPr>
        <w:t>eženog montelukasta</w:t>
      </w:r>
      <w:r w:rsidR="00687FC8" w:rsidRPr="006B58D8">
        <w:rPr>
          <w:sz w:val="22"/>
          <w:szCs w:val="22"/>
          <w:lang w:val="sr-Latn-ME"/>
        </w:rPr>
        <w:t>,</w:t>
      </w:r>
      <w:r w:rsidRPr="006B58D8">
        <w:rPr>
          <w:sz w:val="22"/>
          <w:szCs w:val="22"/>
          <w:lang w:val="sr-Latn-ME"/>
        </w:rPr>
        <w:t xml:space="preserve"> 86% radioaktivnosti se može detektovati u fecesu prikupljenom tokom 5 dana, i </w:t>
      </w:r>
      <w:r w:rsidRPr="006B58D8">
        <w:rPr>
          <w:sz w:val="22"/>
          <w:szCs w:val="22"/>
          <w:lang w:val="sr-Latn-ME" w:eastAsia="sr-Latn-CS"/>
        </w:rPr>
        <w:t>&lt; od 0.2% se detektuje u urinu. Zajedno sa podacima o oralnoj biorapoloživosti ovi podaci ukazuju da se montelukast i njegovi metaboliti skoro isključivo eliminišu putem žuči.</w:t>
      </w:r>
      <w:r w:rsidRPr="006B58D8">
        <w:rPr>
          <w:sz w:val="22"/>
          <w:szCs w:val="22"/>
          <w:lang w:val="sr-Latn-ME"/>
        </w:rPr>
        <w:t xml:space="preserve"> </w:t>
      </w:r>
    </w:p>
    <w:p w14:paraId="4D781669" w14:textId="77777777" w:rsidR="007A033F" w:rsidRPr="006B58D8" w:rsidRDefault="007A033F" w:rsidP="0069371F">
      <w:pPr>
        <w:pStyle w:val="Header"/>
        <w:tabs>
          <w:tab w:val="left" w:pos="284"/>
        </w:tabs>
        <w:jc w:val="both"/>
        <w:rPr>
          <w:i/>
          <w:sz w:val="22"/>
          <w:szCs w:val="22"/>
          <w:lang w:val="sr-Latn-ME"/>
        </w:rPr>
      </w:pPr>
    </w:p>
    <w:p w14:paraId="13008F7E" w14:textId="77777777" w:rsidR="007A033F" w:rsidRPr="006B58D8" w:rsidRDefault="007A033F" w:rsidP="0069371F">
      <w:pPr>
        <w:pStyle w:val="Header"/>
        <w:tabs>
          <w:tab w:val="left" w:pos="284"/>
        </w:tabs>
        <w:jc w:val="both"/>
        <w:rPr>
          <w:sz w:val="22"/>
          <w:szCs w:val="22"/>
          <w:u w:val="single"/>
          <w:lang w:val="sr-Latn-ME"/>
        </w:rPr>
      </w:pPr>
      <w:r w:rsidRPr="006B58D8">
        <w:rPr>
          <w:sz w:val="22"/>
          <w:szCs w:val="22"/>
          <w:u w:val="single"/>
          <w:lang w:val="sr-Latn-ME"/>
        </w:rPr>
        <w:t>Karakteristike kod pacijenata</w:t>
      </w:r>
    </w:p>
    <w:p w14:paraId="178D83FB" w14:textId="77777777" w:rsidR="007A033F" w:rsidRPr="006B58D8" w:rsidRDefault="007A033F" w:rsidP="0069371F">
      <w:pPr>
        <w:pStyle w:val="Header"/>
        <w:tabs>
          <w:tab w:val="left" w:pos="284"/>
        </w:tabs>
        <w:jc w:val="both"/>
        <w:rPr>
          <w:sz w:val="22"/>
          <w:szCs w:val="22"/>
          <w:lang w:val="sr-Latn-ME"/>
        </w:rPr>
      </w:pPr>
      <w:r w:rsidRPr="006B58D8">
        <w:rPr>
          <w:sz w:val="22"/>
          <w:szCs w:val="22"/>
          <w:lang w:val="sr-Latn-ME"/>
        </w:rPr>
        <w:t xml:space="preserve">Nije neophodno prilagođavanje doze kod starih osoba ili kod pacijenata sa blagom do umjerenom insuficijencijom jetre. Nijesu sprovedena klinička ispitivanja na pacijentima sa oštećenom funkcijom bubrega. Pošto se montelukast i njegovi metaboliti eliminišu bilijarnim putem pretpostavlja se da nije potrebno prilagođavanje doze kod pacijenata sa renalnom insuficijencijom. Nema podataka o farmakokinetici montelukasta kod pacijenata sa teškom insuficijencijom jetre (Child-Pugh skor &gt;9). </w:t>
      </w:r>
    </w:p>
    <w:p w14:paraId="2B0CF84C" w14:textId="77777777" w:rsidR="007A033F" w:rsidRPr="006B58D8" w:rsidRDefault="007A033F" w:rsidP="0069371F">
      <w:pPr>
        <w:pStyle w:val="Header"/>
        <w:tabs>
          <w:tab w:val="left" w:pos="284"/>
        </w:tabs>
        <w:jc w:val="both"/>
        <w:rPr>
          <w:sz w:val="22"/>
          <w:szCs w:val="22"/>
          <w:lang w:val="sr-Latn-ME"/>
        </w:rPr>
      </w:pPr>
    </w:p>
    <w:p w14:paraId="2B9E335C" w14:textId="77777777" w:rsidR="007A033F" w:rsidRPr="006B58D8" w:rsidRDefault="007A033F" w:rsidP="0069371F">
      <w:pPr>
        <w:autoSpaceDE w:val="0"/>
        <w:autoSpaceDN w:val="0"/>
        <w:adjustRightInd w:val="0"/>
        <w:jc w:val="both"/>
        <w:rPr>
          <w:sz w:val="22"/>
          <w:szCs w:val="22"/>
          <w:lang w:val="sr-Latn-ME" w:eastAsia="sr-Latn-CS"/>
        </w:rPr>
      </w:pPr>
      <w:r w:rsidRPr="006B58D8">
        <w:rPr>
          <w:sz w:val="22"/>
          <w:szCs w:val="22"/>
          <w:lang w:val="sr-Latn-ME" w:eastAsia="sr-Latn-CS"/>
        </w:rPr>
        <w:t xml:space="preserve">Nakon primjene visokih doza montelukasta (20 do 60 puta većih od preporučenih doza za odrasle) uočeno je smanjenje koncentracije teofilina u plazmi. Ovaj efekat nije zapažen nakon primjene doze od 10 mg jedanput dnevno.  </w:t>
      </w:r>
    </w:p>
    <w:p w14:paraId="3E203D7A" w14:textId="77777777" w:rsidR="007A033F" w:rsidRPr="006B58D8" w:rsidRDefault="007A033F" w:rsidP="0069371F">
      <w:pPr>
        <w:tabs>
          <w:tab w:val="left" w:pos="540"/>
          <w:tab w:val="left" w:pos="569"/>
        </w:tabs>
        <w:jc w:val="both"/>
        <w:rPr>
          <w:bCs/>
          <w:sz w:val="22"/>
          <w:szCs w:val="22"/>
          <w:lang w:val="sr-Latn-ME"/>
        </w:rPr>
      </w:pPr>
    </w:p>
    <w:p w14:paraId="3D4A64F1"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5.3. </w:t>
      </w:r>
      <w:r w:rsidR="00480FB1" w:rsidRPr="006B58D8">
        <w:rPr>
          <w:b/>
          <w:bCs/>
          <w:sz w:val="22"/>
          <w:szCs w:val="22"/>
          <w:lang w:val="sr-Latn-ME"/>
        </w:rPr>
        <w:tab/>
      </w:r>
      <w:r w:rsidRPr="006B58D8">
        <w:rPr>
          <w:b/>
          <w:bCs/>
          <w:sz w:val="22"/>
          <w:szCs w:val="22"/>
          <w:lang w:val="sr-Latn-ME"/>
        </w:rPr>
        <w:t xml:space="preserve">Pretklinički podaci o bezbjednosti </w:t>
      </w:r>
    </w:p>
    <w:p w14:paraId="6A0F4BE9" w14:textId="77777777" w:rsidR="00836B35" w:rsidRPr="006B58D8" w:rsidRDefault="00836B35" w:rsidP="0069371F">
      <w:pPr>
        <w:tabs>
          <w:tab w:val="left" w:pos="540"/>
          <w:tab w:val="left" w:pos="569"/>
        </w:tabs>
        <w:jc w:val="both"/>
        <w:rPr>
          <w:bCs/>
          <w:sz w:val="22"/>
          <w:szCs w:val="22"/>
          <w:lang w:val="sr-Latn-ME"/>
        </w:rPr>
      </w:pPr>
    </w:p>
    <w:p w14:paraId="130B9B94" w14:textId="416B68F9" w:rsidR="007A033F" w:rsidRPr="006B58D8" w:rsidRDefault="007A033F" w:rsidP="0069371F">
      <w:pPr>
        <w:jc w:val="both"/>
        <w:rPr>
          <w:sz w:val="22"/>
          <w:szCs w:val="22"/>
          <w:lang w:val="sr-Latn-ME"/>
        </w:rPr>
      </w:pPr>
      <w:r w:rsidRPr="006B58D8">
        <w:rPr>
          <w:sz w:val="22"/>
          <w:szCs w:val="22"/>
          <w:lang w:val="sr-Latn-ME"/>
        </w:rPr>
        <w:t>U ispitivanjima toksičnosti kod životinja, uočene su minimalne serumske biohemijske promjene u vrij</w:t>
      </w:r>
      <w:r w:rsidR="00C420D4" w:rsidRPr="006B58D8">
        <w:rPr>
          <w:sz w:val="22"/>
          <w:szCs w:val="22"/>
          <w:lang w:val="sr-Latn-ME"/>
        </w:rPr>
        <w:t>e</w:t>
      </w:r>
      <w:r w:rsidRPr="006B58D8">
        <w:rPr>
          <w:sz w:val="22"/>
          <w:szCs w:val="22"/>
          <w:lang w:val="sr-Latn-ME"/>
        </w:rPr>
        <w:t>dnostima ALT, glukoze, fosfora i triglicerida, pri čemu su</w:t>
      </w:r>
      <w:r w:rsidR="006C6D96" w:rsidRPr="006B58D8">
        <w:rPr>
          <w:sz w:val="22"/>
          <w:szCs w:val="22"/>
          <w:lang w:val="sr-Latn-ME"/>
        </w:rPr>
        <w:t xml:space="preserve"> promjene</w:t>
      </w:r>
      <w:r w:rsidRPr="006B58D8">
        <w:rPr>
          <w:sz w:val="22"/>
          <w:szCs w:val="22"/>
          <w:lang w:val="sr-Latn-ME"/>
        </w:rPr>
        <w:t xml:space="preserve"> bile prolazne prirode. Znaci toksičnosti kod životinja bili su povećano lučenje pljuvačke, gastrointestinalni simptomi, rijetke stolice i disbalans elektrolita.  Javili su se kod doza koje su podrazumijevale 17</w:t>
      </w:r>
      <w:r w:rsidR="006C6D96" w:rsidRPr="006B58D8">
        <w:rPr>
          <w:sz w:val="22"/>
          <w:szCs w:val="22"/>
          <w:lang w:val="sr-Latn-ME"/>
        </w:rPr>
        <w:t xml:space="preserve"> puta veću </w:t>
      </w:r>
      <w:r w:rsidRPr="006B58D8">
        <w:rPr>
          <w:sz w:val="22"/>
          <w:szCs w:val="22"/>
          <w:lang w:val="sr-Latn-ME"/>
        </w:rPr>
        <w:t xml:space="preserve"> sistemsku izloženost u odnosu na kliničk</w:t>
      </w:r>
      <w:r w:rsidR="006C6D96" w:rsidRPr="006B58D8">
        <w:rPr>
          <w:sz w:val="22"/>
          <w:szCs w:val="22"/>
          <w:lang w:val="sr-Latn-ME"/>
        </w:rPr>
        <w:t>e</w:t>
      </w:r>
      <w:r w:rsidRPr="006B58D8">
        <w:rPr>
          <w:sz w:val="22"/>
          <w:szCs w:val="22"/>
          <w:lang w:val="sr-Latn-ME"/>
        </w:rPr>
        <w:t xml:space="preserve"> doz</w:t>
      </w:r>
      <w:r w:rsidR="006C6D96" w:rsidRPr="006B58D8">
        <w:rPr>
          <w:sz w:val="22"/>
          <w:szCs w:val="22"/>
          <w:lang w:val="sr-Latn-ME"/>
        </w:rPr>
        <w:t>e</w:t>
      </w:r>
      <w:r w:rsidRPr="006B58D8">
        <w:rPr>
          <w:sz w:val="22"/>
          <w:szCs w:val="22"/>
          <w:lang w:val="sr-Latn-ME"/>
        </w:rPr>
        <w:t>. Kod majmuna, neželjena dejstva su se javila kod doza od 150 mg/kg/dan (&gt; 232</w:t>
      </w:r>
      <w:r w:rsidR="006C6D96" w:rsidRPr="006B58D8">
        <w:rPr>
          <w:sz w:val="22"/>
          <w:szCs w:val="22"/>
          <w:lang w:val="sr-Latn-ME"/>
        </w:rPr>
        <w:t xml:space="preserve"> puta veća</w:t>
      </w:r>
      <w:r w:rsidRPr="006B58D8">
        <w:rPr>
          <w:sz w:val="22"/>
          <w:szCs w:val="22"/>
          <w:lang w:val="sr-Latn-ME"/>
        </w:rPr>
        <w:t xml:space="preserve"> sistemska izloženost u odnosu na kliničke doze). U ispitivanjima na životinjama, montelukast nije uticao na fertil</w:t>
      </w:r>
      <w:r w:rsidR="00ED2651" w:rsidRPr="006B58D8">
        <w:rPr>
          <w:sz w:val="22"/>
          <w:szCs w:val="22"/>
          <w:lang w:val="sr-Latn-ME"/>
        </w:rPr>
        <w:t>itet</w:t>
      </w:r>
      <w:r w:rsidRPr="006B58D8">
        <w:rPr>
          <w:sz w:val="22"/>
          <w:szCs w:val="22"/>
          <w:lang w:val="sr-Latn-ME"/>
        </w:rPr>
        <w:t xml:space="preserve"> ili reproduktivnu sposobnost kod sistemskog izlaganja koje prevazilazi kliničku sistemsku izloženost više od 24 puta. Blago smanjenje tjelesne </w:t>
      </w:r>
      <w:r w:rsidR="006C6D96" w:rsidRPr="006B58D8">
        <w:rPr>
          <w:sz w:val="22"/>
          <w:szCs w:val="22"/>
          <w:lang w:val="sr-Latn-ME"/>
        </w:rPr>
        <w:t xml:space="preserve">mase </w:t>
      </w:r>
      <w:r w:rsidRPr="006B58D8">
        <w:rPr>
          <w:sz w:val="22"/>
          <w:szCs w:val="22"/>
          <w:lang w:val="sr-Latn-ME"/>
        </w:rPr>
        <w:t>kod mladunaca uočeno je u ispitivanju plodnosti ženki pacova, pri 200 mg/kg/dan (&gt; 69</w:t>
      </w:r>
      <w:r w:rsidR="006C6D96" w:rsidRPr="006B58D8">
        <w:rPr>
          <w:sz w:val="22"/>
          <w:szCs w:val="22"/>
          <w:lang w:val="sr-Latn-ME"/>
        </w:rPr>
        <w:t xml:space="preserve"> puta veća </w:t>
      </w:r>
      <w:r w:rsidRPr="006B58D8">
        <w:rPr>
          <w:sz w:val="22"/>
          <w:szCs w:val="22"/>
          <w:lang w:val="sr-Latn-ME"/>
        </w:rPr>
        <w:t xml:space="preserve"> sistemska izloženost</w:t>
      </w:r>
      <w:r w:rsidR="006C6D96" w:rsidRPr="006B58D8">
        <w:rPr>
          <w:sz w:val="22"/>
          <w:szCs w:val="22"/>
          <w:lang w:val="sr-Latn-ME"/>
        </w:rPr>
        <w:t xml:space="preserve"> u odnosu na kliničke doze</w:t>
      </w:r>
      <w:r w:rsidRPr="006B58D8">
        <w:rPr>
          <w:sz w:val="22"/>
          <w:szCs w:val="22"/>
          <w:lang w:val="sr-Latn-ME"/>
        </w:rPr>
        <w:t>). U ispitivanjima na</w:t>
      </w:r>
      <w:r w:rsidR="00402CAF" w:rsidRPr="006B58D8">
        <w:rPr>
          <w:sz w:val="22"/>
          <w:szCs w:val="22"/>
          <w:lang w:val="sr-Latn-ME"/>
        </w:rPr>
        <w:t xml:space="preserve"> </w:t>
      </w:r>
      <w:r w:rsidR="006C6D96" w:rsidRPr="006B58D8">
        <w:rPr>
          <w:sz w:val="22"/>
          <w:szCs w:val="22"/>
          <w:lang w:val="sr-Latn-ME"/>
        </w:rPr>
        <w:t>kunićima</w:t>
      </w:r>
      <w:r w:rsidRPr="006B58D8">
        <w:rPr>
          <w:sz w:val="22"/>
          <w:szCs w:val="22"/>
          <w:lang w:val="sr-Latn-ME"/>
        </w:rPr>
        <w:t>, veća incidenca nekompletne osifikacije, u poređenju sa istovremenom terapijom kod kontrolnih životinja, uočena je kod sistemske izloženosti &gt;24 puta veće od sistemske izloženosti pri kliničkom režimu doziranja. Nijesu uočene abnormalnosti kod pacova. Pokazalo se da montelukast prolazi placetarnu barijeru i da se izlučuje u mlijeku životinja koje doje.</w:t>
      </w:r>
    </w:p>
    <w:p w14:paraId="3F5C44C6" w14:textId="77777777" w:rsidR="007A033F" w:rsidRPr="006B58D8" w:rsidRDefault="007A033F" w:rsidP="0069371F">
      <w:pPr>
        <w:jc w:val="both"/>
        <w:rPr>
          <w:sz w:val="22"/>
          <w:szCs w:val="22"/>
          <w:lang w:val="sr-Latn-ME"/>
        </w:rPr>
      </w:pPr>
    </w:p>
    <w:p w14:paraId="60738998" w14:textId="33650218" w:rsidR="007A033F" w:rsidRPr="006B58D8" w:rsidRDefault="007A033F" w:rsidP="0069371F">
      <w:pPr>
        <w:jc w:val="both"/>
        <w:rPr>
          <w:sz w:val="22"/>
          <w:szCs w:val="22"/>
          <w:lang w:val="sr-Latn-ME"/>
        </w:rPr>
      </w:pPr>
      <w:r w:rsidRPr="006B58D8">
        <w:rPr>
          <w:sz w:val="22"/>
          <w:szCs w:val="22"/>
          <w:lang w:val="sr-Latn-ME"/>
        </w:rPr>
        <w:t>Nije bilo smrtnih slučajeva poslije pojedinačne oralne doze montelukast natrijuma pri dozama od 500</w:t>
      </w:r>
      <w:r w:rsidR="007313FC" w:rsidRPr="006B58D8">
        <w:rPr>
          <w:sz w:val="22"/>
          <w:szCs w:val="22"/>
          <w:lang w:val="sr-Latn-ME"/>
        </w:rPr>
        <w:t>0</w:t>
      </w:r>
      <w:r w:rsidRPr="006B58D8">
        <w:rPr>
          <w:sz w:val="22"/>
          <w:szCs w:val="22"/>
          <w:lang w:val="sr-Latn-ME"/>
        </w:rPr>
        <w:t xml:space="preserve"> mg/kg, kod miševa i pacova (15000 mg/m</w:t>
      </w:r>
      <w:r w:rsidRPr="006B58D8">
        <w:rPr>
          <w:sz w:val="22"/>
          <w:szCs w:val="22"/>
          <w:vertAlign w:val="superscript"/>
          <w:lang w:val="sr-Latn-ME"/>
        </w:rPr>
        <w:t>2</w:t>
      </w:r>
      <w:r w:rsidRPr="006B58D8">
        <w:rPr>
          <w:sz w:val="22"/>
          <w:szCs w:val="22"/>
          <w:lang w:val="sr-Latn-ME"/>
        </w:rPr>
        <w:t xml:space="preserve"> i 30000 mg/m</w:t>
      </w:r>
      <w:r w:rsidRPr="006B58D8">
        <w:rPr>
          <w:sz w:val="22"/>
          <w:szCs w:val="22"/>
          <w:vertAlign w:val="superscript"/>
          <w:lang w:val="sr-Latn-ME"/>
        </w:rPr>
        <w:t>2</w:t>
      </w:r>
      <w:r w:rsidRPr="006B58D8">
        <w:rPr>
          <w:sz w:val="22"/>
          <w:szCs w:val="22"/>
          <w:lang w:val="sr-Latn-ME"/>
        </w:rPr>
        <w:t xml:space="preserve"> kod miševa, odnosno pacova), što je maksimalna testirana doza. Ova doza je jednaka 25000 puta većoj dozi od preporučene humane doze za odrasle (bazirano na težini odraslog pacijenta od 50 kg).</w:t>
      </w:r>
    </w:p>
    <w:p w14:paraId="4B72745E" w14:textId="0D7B52F6" w:rsidR="007A033F" w:rsidRPr="006B58D8" w:rsidRDefault="007A033F" w:rsidP="0069371F">
      <w:pPr>
        <w:jc w:val="both"/>
        <w:rPr>
          <w:sz w:val="22"/>
          <w:szCs w:val="22"/>
          <w:lang w:val="sr-Latn-ME"/>
        </w:rPr>
      </w:pPr>
      <w:r w:rsidRPr="006B58D8">
        <w:rPr>
          <w:sz w:val="22"/>
          <w:szCs w:val="22"/>
          <w:lang w:val="sr-Latn-ME"/>
        </w:rPr>
        <w:lastRenderedPageBreak/>
        <w:t xml:space="preserve">Utvrđeno je da montelukast nije fototoksičan kod miševa za UVA, UVB ili vidljivi spektar svjetlosti, pri dozama od 500 mg/kg/dan ( otprilike &gt;200 puta </w:t>
      </w:r>
      <w:r w:rsidR="007313FC" w:rsidRPr="006B58D8">
        <w:rPr>
          <w:sz w:val="22"/>
          <w:szCs w:val="22"/>
          <w:lang w:val="sr-Latn-ME"/>
        </w:rPr>
        <w:t xml:space="preserve"> veća sistemska izloženost u odnosu na kliničke doze</w:t>
      </w:r>
      <w:r w:rsidRPr="006B58D8">
        <w:rPr>
          <w:sz w:val="22"/>
          <w:szCs w:val="22"/>
          <w:lang w:val="sr-Latn-ME"/>
        </w:rPr>
        <w:t xml:space="preserve">). </w:t>
      </w:r>
    </w:p>
    <w:p w14:paraId="00E7266D" w14:textId="77777777" w:rsidR="007A033F" w:rsidRPr="006B58D8" w:rsidRDefault="007A033F" w:rsidP="0069371F">
      <w:pPr>
        <w:jc w:val="both"/>
        <w:rPr>
          <w:sz w:val="22"/>
          <w:szCs w:val="22"/>
          <w:lang w:val="sr-Latn-ME"/>
        </w:rPr>
      </w:pPr>
    </w:p>
    <w:p w14:paraId="67E02C18" w14:textId="5D80B300" w:rsidR="00396DFD" w:rsidRPr="006B58D8" w:rsidRDefault="007A033F" w:rsidP="0069371F">
      <w:pPr>
        <w:tabs>
          <w:tab w:val="left" w:pos="540"/>
          <w:tab w:val="left" w:pos="569"/>
        </w:tabs>
        <w:jc w:val="both"/>
        <w:rPr>
          <w:sz w:val="22"/>
          <w:szCs w:val="22"/>
          <w:lang w:val="sr-Latn-ME"/>
        </w:rPr>
      </w:pPr>
      <w:r w:rsidRPr="006B58D8">
        <w:rPr>
          <w:sz w:val="22"/>
          <w:szCs w:val="22"/>
          <w:lang w:val="sr-Latn-ME"/>
        </w:rPr>
        <w:t xml:space="preserve">Montelukast nije pokazao mutagenost kod </w:t>
      </w:r>
      <w:r w:rsidRPr="006B58D8">
        <w:rPr>
          <w:i/>
          <w:sz w:val="22"/>
          <w:szCs w:val="22"/>
          <w:lang w:val="sr-Latn-ME"/>
        </w:rPr>
        <w:t>in vitro</w:t>
      </w:r>
      <w:r w:rsidRPr="006B58D8">
        <w:rPr>
          <w:sz w:val="22"/>
          <w:szCs w:val="22"/>
          <w:lang w:val="sr-Latn-ME"/>
        </w:rPr>
        <w:t xml:space="preserve"> i</w:t>
      </w:r>
      <w:r w:rsidRPr="006B58D8">
        <w:rPr>
          <w:i/>
          <w:sz w:val="22"/>
          <w:szCs w:val="22"/>
          <w:lang w:val="sr-Latn-ME"/>
        </w:rPr>
        <w:t xml:space="preserve"> in vivo</w:t>
      </w:r>
      <w:r w:rsidRPr="006B58D8">
        <w:rPr>
          <w:sz w:val="22"/>
          <w:szCs w:val="22"/>
          <w:lang w:val="sr-Latn-ME"/>
        </w:rPr>
        <w:t xml:space="preserve"> testova, niti je bi</w:t>
      </w:r>
      <w:r w:rsidR="00ED2651" w:rsidRPr="006B58D8">
        <w:rPr>
          <w:sz w:val="22"/>
          <w:szCs w:val="22"/>
          <w:lang w:val="sr-Latn-ME"/>
        </w:rPr>
        <w:t>l</w:t>
      </w:r>
      <w:r w:rsidRPr="006B58D8">
        <w:rPr>
          <w:sz w:val="22"/>
          <w:szCs w:val="22"/>
          <w:lang w:val="sr-Latn-ME"/>
        </w:rPr>
        <w:t>o kancerogenog dejstva kod glodara.</w:t>
      </w:r>
    </w:p>
    <w:p w14:paraId="295B9574" w14:textId="2968DCFF" w:rsidR="00413763" w:rsidRDefault="00413763" w:rsidP="0069371F">
      <w:pPr>
        <w:tabs>
          <w:tab w:val="left" w:pos="540"/>
          <w:tab w:val="left" w:pos="569"/>
        </w:tabs>
        <w:jc w:val="both"/>
        <w:rPr>
          <w:b/>
          <w:bCs/>
          <w:sz w:val="22"/>
          <w:szCs w:val="22"/>
          <w:lang w:val="sr-Latn-ME"/>
        </w:rPr>
      </w:pPr>
    </w:p>
    <w:p w14:paraId="36F2EAA5" w14:textId="77777777" w:rsidR="00A466D7" w:rsidRPr="006B58D8" w:rsidRDefault="00A466D7" w:rsidP="0069371F">
      <w:pPr>
        <w:tabs>
          <w:tab w:val="left" w:pos="540"/>
          <w:tab w:val="left" w:pos="569"/>
        </w:tabs>
        <w:jc w:val="both"/>
        <w:rPr>
          <w:b/>
          <w:bCs/>
          <w:sz w:val="22"/>
          <w:szCs w:val="22"/>
          <w:lang w:val="sr-Latn-ME"/>
        </w:rPr>
      </w:pPr>
    </w:p>
    <w:p w14:paraId="1E0877A0"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6. </w:t>
      </w:r>
      <w:r w:rsidR="00480FB1" w:rsidRPr="006B58D8">
        <w:rPr>
          <w:b/>
          <w:bCs/>
          <w:sz w:val="22"/>
          <w:szCs w:val="22"/>
          <w:lang w:val="sr-Latn-ME"/>
        </w:rPr>
        <w:tab/>
      </w:r>
      <w:r w:rsidRPr="006B58D8">
        <w:rPr>
          <w:b/>
          <w:bCs/>
          <w:sz w:val="22"/>
          <w:szCs w:val="22"/>
          <w:lang w:val="sr-Latn-ME"/>
        </w:rPr>
        <w:t>FARMACEUTSKI PODACI</w:t>
      </w:r>
    </w:p>
    <w:p w14:paraId="45E205F9" w14:textId="77777777" w:rsidR="00836B35" w:rsidRPr="006B58D8" w:rsidRDefault="00836B35" w:rsidP="0069371F">
      <w:pPr>
        <w:tabs>
          <w:tab w:val="left" w:pos="540"/>
          <w:tab w:val="left" w:pos="569"/>
        </w:tabs>
        <w:jc w:val="both"/>
        <w:rPr>
          <w:bCs/>
          <w:sz w:val="22"/>
          <w:szCs w:val="22"/>
          <w:lang w:val="sr-Latn-ME"/>
        </w:rPr>
      </w:pPr>
    </w:p>
    <w:p w14:paraId="0B0BFAED"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6.1. </w:t>
      </w:r>
      <w:r w:rsidR="00480FB1" w:rsidRPr="006B58D8">
        <w:rPr>
          <w:b/>
          <w:bCs/>
          <w:sz w:val="22"/>
          <w:szCs w:val="22"/>
          <w:lang w:val="sr-Latn-ME"/>
        </w:rPr>
        <w:tab/>
      </w:r>
      <w:r w:rsidRPr="006B58D8">
        <w:rPr>
          <w:b/>
          <w:bCs/>
          <w:sz w:val="22"/>
          <w:szCs w:val="22"/>
          <w:lang w:val="sr-Latn-ME"/>
        </w:rPr>
        <w:t>Lista pomoćnih supstanci</w:t>
      </w:r>
      <w:r w:rsidR="002E0135" w:rsidRPr="006B58D8">
        <w:rPr>
          <w:b/>
          <w:bCs/>
          <w:sz w:val="22"/>
          <w:szCs w:val="22"/>
          <w:lang w:val="sr-Latn-ME"/>
        </w:rPr>
        <w:t xml:space="preserve"> (ekscipijenasa)</w:t>
      </w:r>
    </w:p>
    <w:p w14:paraId="65A604ED" w14:textId="2D234138" w:rsidR="0072020E" w:rsidRPr="006B58D8" w:rsidRDefault="0072020E" w:rsidP="0069371F">
      <w:pPr>
        <w:tabs>
          <w:tab w:val="left" w:pos="540"/>
          <w:tab w:val="left" w:pos="569"/>
        </w:tabs>
        <w:jc w:val="both"/>
        <w:rPr>
          <w:bCs/>
          <w:sz w:val="22"/>
          <w:szCs w:val="22"/>
          <w:lang w:val="sr-Latn-ME"/>
        </w:rPr>
      </w:pPr>
    </w:p>
    <w:p w14:paraId="0D79E4F8" w14:textId="77777777" w:rsidR="007A033F" w:rsidRPr="006B58D8" w:rsidRDefault="007A033F" w:rsidP="0069371F">
      <w:pPr>
        <w:jc w:val="both"/>
        <w:rPr>
          <w:sz w:val="22"/>
          <w:szCs w:val="22"/>
          <w:lang w:val="sr-Latn-ME"/>
        </w:rPr>
      </w:pPr>
      <w:r w:rsidRPr="006B58D8">
        <w:rPr>
          <w:sz w:val="22"/>
          <w:szCs w:val="22"/>
          <w:lang w:val="sr-Latn-ME"/>
        </w:rPr>
        <w:t>Manitol (E 421)</w:t>
      </w:r>
    </w:p>
    <w:p w14:paraId="1851AF19" w14:textId="77777777" w:rsidR="007A033F" w:rsidRPr="006B58D8" w:rsidRDefault="007A033F" w:rsidP="0069371F">
      <w:pPr>
        <w:jc w:val="both"/>
        <w:rPr>
          <w:sz w:val="22"/>
          <w:szCs w:val="22"/>
          <w:lang w:val="sr-Latn-ME"/>
        </w:rPr>
      </w:pPr>
      <w:r w:rsidRPr="006B58D8">
        <w:rPr>
          <w:sz w:val="22"/>
          <w:szCs w:val="22"/>
          <w:lang w:val="sr-Latn-ME"/>
        </w:rPr>
        <w:t>Celuloza, mikrokristalna</w:t>
      </w:r>
    </w:p>
    <w:p w14:paraId="10B723FB" w14:textId="4AD511F1" w:rsidR="007A033F" w:rsidRPr="006B58D8" w:rsidRDefault="007A033F" w:rsidP="0069371F">
      <w:pPr>
        <w:jc w:val="both"/>
        <w:rPr>
          <w:sz w:val="22"/>
          <w:szCs w:val="22"/>
          <w:lang w:val="sr-Latn-ME"/>
        </w:rPr>
      </w:pPr>
      <w:r w:rsidRPr="006B58D8">
        <w:rPr>
          <w:sz w:val="22"/>
          <w:szCs w:val="22"/>
          <w:lang w:val="sr-Latn-ME"/>
        </w:rPr>
        <w:t>Hi</w:t>
      </w:r>
      <w:r w:rsidR="001F3CDC" w:rsidRPr="006B58D8">
        <w:rPr>
          <w:sz w:val="22"/>
          <w:szCs w:val="22"/>
          <w:lang w:val="sr-Latn-ME"/>
        </w:rPr>
        <w:t>droksi</w:t>
      </w:r>
      <w:r w:rsidRPr="006B58D8">
        <w:rPr>
          <w:sz w:val="22"/>
          <w:szCs w:val="22"/>
          <w:lang w:val="sr-Latn-ME"/>
        </w:rPr>
        <w:t xml:space="preserve">propilceluloza (E 463) </w:t>
      </w:r>
    </w:p>
    <w:p w14:paraId="5CEC1C1D" w14:textId="29BEB646" w:rsidR="007A033F" w:rsidRPr="006B58D8" w:rsidRDefault="007A033F" w:rsidP="0069371F">
      <w:pPr>
        <w:jc w:val="both"/>
        <w:rPr>
          <w:sz w:val="22"/>
          <w:szCs w:val="22"/>
          <w:lang w:val="sr-Latn-ME"/>
        </w:rPr>
      </w:pPr>
      <w:r w:rsidRPr="006B58D8">
        <w:rPr>
          <w:sz w:val="22"/>
          <w:szCs w:val="22"/>
          <w:lang w:val="sr-Latn-ME"/>
        </w:rPr>
        <w:t>Gvožđe</w:t>
      </w:r>
      <w:r w:rsidR="00413763" w:rsidRPr="006B58D8">
        <w:rPr>
          <w:sz w:val="22"/>
          <w:szCs w:val="22"/>
          <w:lang w:val="sr-Latn-ME"/>
        </w:rPr>
        <w:t xml:space="preserve"> </w:t>
      </w:r>
      <w:r w:rsidRPr="006B58D8">
        <w:rPr>
          <w:sz w:val="22"/>
          <w:szCs w:val="22"/>
          <w:lang w:val="sr-Latn-ME"/>
        </w:rPr>
        <w:t>(III)</w:t>
      </w:r>
      <w:r w:rsidR="00413763" w:rsidRPr="006B58D8">
        <w:rPr>
          <w:sz w:val="22"/>
          <w:szCs w:val="22"/>
          <w:lang w:val="sr-Latn-ME"/>
        </w:rPr>
        <w:t xml:space="preserve"> </w:t>
      </w:r>
      <w:r w:rsidRPr="006B58D8">
        <w:rPr>
          <w:sz w:val="22"/>
          <w:szCs w:val="22"/>
          <w:lang w:val="sr-Latn-ME"/>
        </w:rPr>
        <w:t>oksid, crveni (E 172)</w:t>
      </w:r>
    </w:p>
    <w:p w14:paraId="68FF6CC2" w14:textId="14636B3B" w:rsidR="007A033F" w:rsidRPr="006B58D8" w:rsidRDefault="007A033F" w:rsidP="0069371F">
      <w:pPr>
        <w:jc w:val="both"/>
        <w:rPr>
          <w:sz w:val="22"/>
          <w:szCs w:val="22"/>
          <w:lang w:val="sr-Latn-ME"/>
        </w:rPr>
      </w:pPr>
      <w:r w:rsidRPr="006B58D8">
        <w:rPr>
          <w:sz w:val="22"/>
          <w:szCs w:val="22"/>
          <w:lang w:val="sr-Latn-ME"/>
        </w:rPr>
        <w:t>Kroskarmeloza</w:t>
      </w:r>
      <w:r w:rsidR="00413763" w:rsidRPr="006B58D8">
        <w:rPr>
          <w:sz w:val="22"/>
          <w:szCs w:val="22"/>
          <w:lang w:val="sr-Latn-ME"/>
        </w:rPr>
        <w:t xml:space="preserve"> </w:t>
      </w:r>
      <w:r w:rsidRPr="006B58D8">
        <w:rPr>
          <w:sz w:val="22"/>
          <w:szCs w:val="22"/>
          <w:lang w:val="sr-Latn-ME"/>
        </w:rPr>
        <w:t>natrijum</w:t>
      </w:r>
    </w:p>
    <w:p w14:paraId="29FC41B8" w14:textId="6632534D" w:rsidR="007A033F" w:rsidRPr="006B58D8" w:rsidRDefault="007A033F" w:rsidP="0069371F">
      <w:pPr>
        <w:jc w:val="both"/>
        <w:rPr>
          <w:sz w:val="22"/>
          <w:szCs w:val="22"/>
          <w:lang w:val="sr-Latn-ME"/>
        </w:rPr>
      </w:pPr>
      <w:r w:rsidRPr="006B58D8">
        <w:rPr>
          <w:sz w:val="22"/>
          <w:szCs w:val="22"/>
          <w:lang w:val="sr-Latn-ME"/>
        </w:rPr>
        <w:t xml:space="preserve">Aroma trešnje </w:t>
      </w:r>
      <w:r w:rsidR="00A4488F" w:rsidRPr="006B58D8">
        <w:rPr>
          <w:sz w:val="22"/>
          <w:szCs w:val="22"/>
          <w:lang w:val="sr-Latn-ME"/>
        </w:rPr>
        <w:t>koja sadrži benzil alkohol (E 1519)</w:t>
      </w:r>
    </w:p>
    <w:p w14:paraId="4D71F141" w14:textId="77777777" w:rsidR="007A033F" w:rsidRPr="006B58D8" w:rsidRDefault="007A033F" w:rsidP="0069371F">
      <w:pPr>
        <w:jc w:val="both"/>
        <w:rPr>
          <w:sz w:val="22"/>
          <w:szCs w:val="22"/>
          <w:lang w:val="sr-Latn-ME"/>
        </w:rPr>
      </w:pPr>
      <w:r w:rsidRPr="006B58D8">
        <w:rPr>
          <w:sz w:val="22"/>
          <w:szCs w:val="22"/>
          <w:lang w:val="sr-Latn-ME"/>
        </w:rPr>
        <w:t>Aspartam (E 951)</w:t>
      </w:r>
    </w:p>
    <w:p w14:paraId="27413A68" w14:textId="45157B11" w:rsidR="007A033F" w:rsidRPr="006B58D8" w:rsidRDefault="007A033F" w:rsidP="0069371F">
      <w:pPr>
        <w:jc w:val="both"/>
        <w:rPr>
          <w:sz w:val="22"/>
          <w:szCs w:val="22"/>
          <w:lang w:val="sr-Latn-ME"/>
        </w:rPr>
      </w:pPr>
      <w:r w:rsidRPr="006B58D8">
        <w:rPr>
          <w:sz w:val="22"/>
          <w:szCs w:val="22"/>
          <w:lang w:val="sr-Latn-ME"/>
        </w:rPr>
        <w:t>Magnezijum</w:t>
      </w:r>
      <w:r w:rsidR="00413763" w:rsidRPr="006B58D8">
        <w:rPr>
          <w:sz w:val="22"/>
          <w:szCs w:val="22"/>
          <w:lang w:val="sr-Latn-ME"/>
        </w:rPr>
        <w:t xml:space="preserve"> </w:t>
      </w:r>
      <w:r w:rsidRPr="006B58D8">
        <w:rPr>
          <w:sz w:val="22"/>
          <w:szCs w:val="22"/>
          <w:lang w:val="sr-Latn-ME"/>
        </w:rPr>
        <w:t>stearat</w:t>
      </w:r>
    </w:p>
    <w:p w14:paraId="542B01BA" w14:textId="77777777" w:rsidR="00413763" w:rsidRPr="006B58D8" w:rsidRDefault="00413763" w:rsidP="0069371F">
      <w:pPr>
        <w:tabs>
          <w:tab w:val="left" w:pos="540"/>
          <w:tab w:val="left" w:pos="569"/>
        </w:tabs>
        <w:jc w:val="both"/>
        <w:rPr>
          <w:bCs/>
          <w:sz w:val="22"/>
          <w:szCs w:val="22"/>
          <w:lang w:val="sr-Latn-ME"/>
        </w:rPr>
      </w:pPr>
    </w:p>
    <w:p w14:paraId="2D17E618"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6.2. </w:t>
      </w:r>
      <w:r w:rsidR="00480FB1" w:rsidRPr="006B58D8">
        <w:rPr>
          <w:b/>
          <w:bCs/>
          <w:sz w:val="22"/>
          <w:szCs w:val="22"/>
          <w:lang w:val="sr-Latn-ME"/>
        </w:rPr>
        <w:tab/>
      </w:r>
      <w:r w:rsidRPr="006B58D8">
        <w:rPr>
          <w:b/>
          <w:bCs/>
          <w:sz w:val="22"/>
          <w:szCs w:val="22"/>
          <w:lang w:val="sr-Latn-ME"/>
        </w:rPr>
        <w:t>Inkompatibilnost</w:t>
      </w:r>
      <w:r w:rsidR="002846DB" w:rsidRPr="006B58D8">
        <w:rPr>
          <w:b/>
          <w:bCs/>
          <w:sz w:val="22"/>
          <w:szCs w:val="22"/>
          <w:lang w:val="sr-Latn-ME"/>
        </w:rPr>
        <w:t>i</w:t>
      </w:r>
    </w:p>
    <w:p w14:paraId="08E2F313" w14:textId="15854B85" w:rsidR="0072020E" w:rsidRPr="006B58D8" w:rsidRDefault="0072020E" w:rsidP="0069371F">
      <w:pPr>
        <w:tabs>
          <w:tab w:val="left" w:pos="540"/>
          <w:tab w:val="left" w:pos="569"/>
        </w:tabs>
        <w:jc w:val="both"/>
        <w:rPr>
          <w:bCs/>
          <w:sz w:val="22"/>
          <w:szCs w:val="22"/>
          <w:lang w:val="sr-Latn-ME"/>
        </w:rPr>
      </w:pPr>
    </w:p>
    <w:p w14:paraId="14A17301" w14:textId="77777777" w:rsidR="007A033F" w:rsidRPr="006B58D8" w:rsidRDefault="007A033F" w:rsidP="0069371F">
      <w:pPr>
        <w:jc w:val="both"/>
        <w:rPr>
          <w:b/>
          <w:sz w:val="22"/>
          <w:szCs w:val="22"/>
          <w:lang w:val="sr-Latn-ME"/>
        </w:rPr>
      </w:pPr>
      <w:r w:rsidRPr="006B58D8">
        <w:rPr>
          <w:sz w:val="22"/>
          <w:szCs w:val="22"/>
          <w:lang w:val="sr-Latn-ME"/>
        </w:rPr>
        <w:t>Nijesu poznate.</w:t>
      </w:r>
    </w:p>
    <w:p w14:paraId="35AEF95F" w14:textId="77777777" w:rsidR="007A033F" w:rsidRPr="006B58D8" w:rsidRDefault="007A033F" w:rsidP="0069371F">
      <w:pPr>
        <w:tabs>
          <w:tab w:val="left" w:pos="540"/>
          <w:tab w:val="left" w:pos="569"/>
        </w:tabs>
        <w:jc w:val="both"/>
        <w:rPr>
          <w:bCs/>
          <w:sz w:val="22"/>
          <w:szCs w:val="22"/>
          <w:lang w:val="sr-Latn-ME"/>
        </w:rPr>
      </w:pPr>
    </w:p>
    <w:p w14:paraId="0593D6E7" w14:textId="6422F2FE"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6.3.</w:t>
      </w:r>
      <w:r w:rsidR="00C05DF8" w:rsidRPr="006B58D8">
        <w:rPr>
          <w:b/>
          <w:bCs/>
          <w:sz w:val="22"/>
          <w:szCs w:val="22"/>
          <w:lang w:val="sr-Latn-ME"/>
        </w:rPr>
        <w:t xml:space="preserve"> </w:t>
      </w:r>
      <w:r w:rsidR="00480FB1" w:rsidRPr="006B58D8">
        <w:rPr>
          <w:b/>
          <w:bCs/>
          <w:sz w:val="22"/>
          <w:szCs w:val="22"/>
          <w:lang w:val="sr-Latn-ME"/>
        </w:rPr>
        <w:tab/>
      </w:r>
      <w:r w:rsidRPr="006B58D8">
        <w:rPr>
          <w:b/>
          <w:bCs/>
          <w:sz w:val="22"/>
          <w:szCs w:val="22"/>
          <w:lang w:val="sr-Latn-ME"/>
        </w:rPr>
        <w:t>Rok upotrebe</w:t>
      </w:r>
    </w:p>
    <w:p w14:paraId="2BD0EB31" w14:textId="77777777" w:rsidR="009001D9" w:rsidRPr="006B58D8" w:rsidRDefault="009001D9" w:rsidP="0069371F">
      <w:pPr>
        <w:tabs>
          <w:tab w:val="left" w:pos="540"/>
          <w:tab w:val="left" w:pos="569"/>
        </w:tabs>
        <w:jc w:val="both"/>
        <w:rPr>
          <w:b/>
          <w:bCs/>
          <w:sz w:val="22"/>
          <w:szCs w:val="22"/>
          <w:lang w:val="sr-Latn-ME"/>
        </w:rPr>
      </w:pPr>
    </w:p>
    <w:p w14:paraId="3010391D" w14:textId="77777777" w:rsidR="007A033F" w:rsidRPr="006B58D8" w:rsidRDefault="007A033F" w:rsidP="0069371F">
      <w:pPr>
        <w:jc w:val="both"/>
        <w:rPr>
          <w:sz w:val="22"/>
          <w:szCs w:val="22"/>
          <w:lang w:val="sr-Latn-ME"/>
        </w:rPr>
      </w:pPr>
      <w:r w:rsidRPr="006B58D8">
        <w:rPr>
          <w:sz w:val="22"/>
          <w:szCs w:val="22"/>
          <w:lang w:val="sr-Latn-ME"/>
        </w:rPr>
        <w:t>2 godine.</w:t>
      </w:r>
    </w:p>
    <w:p w14:paraId="13A81BD6" w14:textId="77777777" w:rsidR="0072020E" w:rsidRPr="006B58D8" w:rsidRDefault="0072020E" w:rsidP="0069371F">
      <w:pPr>
        <w:tabs>
          <w:tab w:val="left" w:pos="540"/>
          <w:tab w:val="left" w:pos="569"/>
        </w:tabs>
        <w:jc w:val="both"/>
        <w:rPr>
          <w:bCs/>
          <w:sz w:val="22"/>
          <w:szCs w:val="22"/>
          <w:lang w:val="sr-Latn-ME"/>
        </w:rPr>
      </w:pPr>
    </w:p>
    <w:p w14:paraId="334091E5"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6.4. </w:t>
      </w:r>
      <w:r w:rsidR="00480FB1" w:rsidRPr="006B58D8">
        <w:rPr>
          <w:b/>
          <w:bCs/>
          <w:sz w:val="22"/>
          <w:szCs w:val="22"/>
          <w:lang w:val="sr-Latn-ME"/>
        </w:rPr>
        <w:tab/>
      </w:r>
      <w:r w:rsidRPr="006B58D8">
        <w:rPr>
          <w:b/>
          <w:bCs/>
          <w:sz w:val="22"/>
          <w:szCs w:val="22"/>
          <w:lang w:val="sr-Latn-ME"/>
        </w:rPr>
        <w:t>Posebne mjere upozorenja pri čuvanju</w:t>
      </w:r>
      <w:r w:rsidR="00F8570A" w:rsidRPr="006B58D8">
        <w:rPr>
          <w:b/>
          <w:bCs/>
          <w:sz w:val="22"/>
          <w:szCs w:val="22"/>
          <w:lang w:val="sr-Latn-ME"/>
        </w:rPr>
        <w:t xml:space="preserve"> lijeka</w:t>
      </w:r>
    </w:p>
    <w:p w14:paraId="4F29DE06" w14:textId="3E6094FD" w:rsidR="00EC2532" w:rsidRPr="006B58D8" w:rsidRDefault="00EC2532" w:rsidP="0069371F">
      <w:pPr>
        <w:tabs>
          <w:tab w:val="left" w:pos="540"/>
          <w:tab w:val="left" w:pos="569"/>
        </w:tabs>
        <w:jc w:val="both"/>
        <w:rPr>
          <w:bCs/>
          <w:sz w:val="22"/>
          <w:szCs w:val="22"/>
          <w:lang w:val="sr-Latn-ME"/>
        </w:rPr>
      </w:pPr>
    </w:p>
    <w:p w14:paraId="317FF83D" w14:textId="77777777" w:rsidR="00402CAF" w:rsidRPr="006B58D8" w:rsidRDefault="00616FFB" w:rsidP="0069371F">
      <w:pPr>
        <w:tabs>
          <w:tab w:val="left" w:pos="540"/>
          <w:tab w:val="left" w:pos="569"/>
        </w:tabs>
        <w:jc w:val="both"/>
        <w:rPr>
          <w:sz w:val="22"/>
          <w:szCs w:val="22"/>
          <w:lang w:val="sr-Latn-ME"/>
        </w:rPr>
      </w:pPr>
      <w:r w:rsidRPr="006B58D8">
        <w:rPr>
          <w:sz w:val="22"/>
          <w:szCs w:val="22"/>
          <w:lang w:val="sr-Latn-ME"/>
        </w:rPr>
        <w:t>Lijek treba čuvati u originalnom pakovanju, radi zaštite od svjetlosti i vlage.</w:t>
      </w:r>
    </w:p>
    <w:p w14:paraId="1A407DDC" w14:textId="7CC1CA6F" w:rsidR="007A033F" w:rsidRPr="006B58D8" w:rsidRDefault="00616FFB" w:rsidP="0069371F">
      <w:pPr>
        <w:tabs>
          <w:tab w:val="left" w:pos="540"/>
          <w:tab w:val="left" w:pos="569"/>
        </w:tabs>
        <w:jc w:val="both"/>
        <w:rPr>
          <w:bCs/>
          <w:sz w:val="22"/>
          <w:szCs w:val="22"/>
          <w:lang w:val="sr-Latn-ME"/>
        </w:rPr>
      </w:pPr>
      <w:r w:rsidRPr="006B58D8">
        <w:rPr>
          <w:sz w:val="22"/>
          <w:szCs w:val="22"/>
          <w:lang w:val="sr-Latn-ME"/>
        </w:rPr>
        <w:t xml:space="preserve"> </w:t>
      </w:r>
    </w:p>
    <w:p w14:paraId="1437723C"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6.5. </w:t>
      </w:r>
      <w:r w:rsidR="00480FB1" w:rsidRPr="006B58D8">
        <w:rPr>
          <w:b/>
          <w:bCs/>
          <w:sz w:val="22"/>
          <w:szCs w:val="22"/>
          <w:lang w:val="sr-Latn-ME"/>
        </w:rPr>
        <w:tab/>
      </w:r>
      <w:r w:rsidR="002846DB" w:rsidRPr="006B58D8">
        <w:rPr>
          <w:b/>
          <w:bCs/>
          <w:sz w:val="22"/>
          <w:szCs w:val="22"/>
          <w:lang w:val="sr-Latn-ME"/>
        </w:rPr>
        <w:t xml:space="preserve">Vrsta i sadržaj </w:t>
      </w:r>
      <w:r w:rsidR="00F8570A" w:rsidRPr="006B58D8">
        <w:rPr>
          <w:b/>
          <w:bCs/>
          <w:sz w:val="22"/>
          <w:szCs w:val="22"/>
          <w:lang w:val="sr-Latn-ME"/>
        </w:rPr>
        <w:t>pakovanja</w:t>
      </w:r>
      <w:r w:rsidR="00C06864" w:rsidRPr="006B58D8">
        <w:rPr>
          <w:b/>
          <w:bCs/>
          <w:sz w:val="22"/>
          <w:szCs w:val="22"/>
          <w:lang w:val="sr-Latn-ME"/>
        </w:rPr>
        <w:t xml:space="preserve"> </w:t>
      </w:r>
    </w:p>
    <w:p w14:paraId="2E262A69" w14:textId="3F52F401" w:rsidR="0072020E" w:rsidRPr="006B58D8" w:rsidRDefault="0072020E" w:rsidP="0069371F">
      <w:pPr>
        <w:tabs>
          <w:tab w:val="left" w:pos="540"/>
          <w:tab w:val="left" w:pos="569"/>
        </w:tabs>
        <w:jc w:val="both"/>
        <w:rPr>
          <w:bCs/>
          <w:sz w:val="22"/>
          <w:szCs w:val="22"/>
          <w:lang w:val="sr-Latn-ME"/>
        </w:rPr>
      </w:pPr>
    </w:p>
    <w:p w14:paraId="403179CB" w14:textId="77777777" w:rsidR="00F279D5" w:rsidRPr="006B58D8" w:rsidRDefault="00F279D5" w:rsidP="00F279D5">
      <w:pPr>
        <w:rPr>
          <w:sz w:val="22"/>
          <w:szCs w:val="22"/>
          <w:lang w:val="sr-Latn-ME"/>
        </w:rPr>
      </w:pPr>
      <w:r w:rsidRPr="006B58D8">
        <w:rPr>
          <w:sz w:val="22"/>
          <w:szCs w:val="22"/>
          <w:lang w:val="sr-Latn-ME"/>
        </w:rPr>
        <w:t>Unutrašnje pakovanje je poliamid/PVC/aluminijumski blister sa 14 tableta za žvakanje.</w:t>
      </w:r>
    </w:p>
    <w:p w14:paraId="451A2920" w14:textId="77777777" w:rsidR="00F279D5" w:rsidRPr="006B58D8" w:rsidRDefault="00F279D5" w:rsidP="00F279D5">
      <w:pPr>
        <w:rPr>
          <w:sz w:val="22"/>
          <w:szCs w:val="22"/>
          <w:lang w:val="sr-Latn-ME"/>
        </w:rPr>
      </w:pPr>
      <w:r w:rsidRPr="006B58D8">
        <w:rPr>
          <w:sz w:val="22"/>
          <w:szCs w:val="22"/>
          <w:lang w:val="sr-Latn-ME"/>
        </w:rPr>
        <w:t>Spoljašnje pakovanje je složiva kartonska kutija u kojoj se nalaze 2 blistera sa po 14 tableta za žvakanje (ukupno 28 tableta za žvakanje) i Uputstvo za lijek.</w:t>
      </w:r>
    </w:p>
    <w:p w14:paraId="5121C748" w14:textId="77777777" w:rsidR="007A033F" w:rsidRPr="006B58D8" w:rsidRDefault="007A033F" w:rsidP="0069371F">
      <w:pPr>
        <w:tabs>
          <w:tab w:val="left" w:pos="540"/>
          <w:tab w:val="left" w:pos="569"/>
        </w:tabs>
        <w:jc w:val="both"/>
        <w:rPr>
          <w:bCs/>
          <w:sz w:val="22"/>
          <w:szCs w:val="22"/>
          <w:lang w:val="sr-Latn-ME"/>
        </w:rPr>
      </w:pPr>
    </w:p>
    <w:p w14:paraId="0935C3FB" w14:textId="77777777" w:rsidR="002846DB"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6.6. </w:t>
      </w:r>
      <w:r w:rsidR="00480FB1" w:rsidRPr="006B58D8">
        <w:rPr>
          <w:b/>
          <w:bCs/>
          <w:sz w:val="22"/>
          <w:szCs w:val="22"/>
          <w:lang w:val="sr-Latn-ME"/>
        </w:rPr>
        <w:tab/>
      </w:r>
      <w:r w:rsidRPr="006B58D8">
        <w:rPr>
          <w:b/>
          <w:bCs/>
          <w:color w:val="000000"/>
          <w:sz w:val="22"/>
          <w:szCs w:val="22"/>
          <w:lang w:val="sr-Latn-ME"/>
        </w:rPr>
        <w:t>Posebne mjere opreza pri odlaganju materijala koji treba odbaciti nakon primjene lijeka</w:t>
      </w:r>
      <w:r w:rsidRPr="006B58D8">
        <w:rPr>
          <w:b/>
          <w:bCs/>
          <w:sz w:val="22"/>
          <w:szCs w:val="22"/>
          <w:lang w:val="sr-Latn-ME"/>
        </w:rPr>
        <w:t xml:space="preserve"> </w:t>
      </w:r>
      <w:r w:rsidR="00310F03" w:rsidRPr="006B58D8">
        <w:rPr>
          <w:b/>
          <w:bCs/>
          <w:sz w:val="22"/>
          <w:szCs w:val="22"/>
          <w:lang w:val="sr-Latn-ME"/>
        </w:rPr>
        <w:t>(i druga uputs</w:t>
      </w:r>
      <w:r w:rsidR="004109FA" w:rsidRPr="006B58D8">
        <w:rPr>
          <w:b/>
          <w:bCs/>
          <w:sz w:val="22"/>
          <w:szCs w:val="22"/>
          <w:lang w:val="sr-Latn-ME"/>
        </w:rPr>
        <w:t>t</w:t>
      </w:r>
      <w:r w:rsidR="00310F03" w:rsidRPr="006B58D8">
        <w:rPr>
          <w:b/>
          <w:bCs/>
          <w:sz w:val="22"/>
          <w:szCs w:val="22"/>
          <w:lang w:val="sr-Latn-ME"/>
        </w:rPr>
        <w:t xml:space="preserve">va za rukovanje lijekom) </w:t>
      </w:r>
    </w:p>
    <w:p w14:paraId="6EAC32BF" w14:textId="77777777" w:rsidR="00B66A70" w:rsidRPr="006B58D8" w:rsidRDefault="00B66A70" w:rsidP="0069371F">
      <w:pPr>
        <w:tabs>
          <w:tab w:val="left" w:pos="540"/>
          <w:tab w:val="left" w:pos="569"/>
        </w:tabs>
        <w:jc w:val="both"/>
        <w:rPr>
          <w:b/>
          <w:bCs/>
          <w:sz w:val="22"/>
          <w:szCs w:val="22"/>
          <w:lang w:val="sr-Latn-ME"/>
        </w:rPr>
      </w:pPr>
    </w:p>
    <w:p w14:paraId="4A4DAF49" w14:textId="341459CE" w:rsidR="007A033F" w:rsidRPr="006B58D8" w:rsidRDefault="006D0276" w:rsidP="0069371F">
      <w:pPr>
        <w:jc w:val="both"/>
        <w:rPr>
          <w:sz w:val="22"/>
          <w:szCs w:val="22"/>
          <w:lang w:val="sr-Latn-ME"/>
        </w:rPr>
      </w:pPr>
      <w:r w:rsidRPr="006B58D8">
        <w:rPr>
          <w:sz w:val="22"/>
          <w:szCs w:val="22"/>
          <w:lang w:val="sr-Latn-ME"/>
        </w:rPr>
        <w:t>Svu neiskorišćenu količinu lijeka ili otpadnog materijala nakon njegove upotrebe treba ukloniti, u skladu sa važećim propisima.</w:t>
      </w:r>
    </w:p>
    <w:p w14:paraId="5F23BCED" w14:textId="076F7267" w:rsidR="0072020E" w:rsidRPr="006B58D8" w:rsidRDefault="0072020E" w:rsidP="0069371F">
      <w:pPr>
        <w:tabs>
          <w:tab w:val="left" w:pos="540"/>
          <w:tab w:val="left" w:pos="569"/>
        </w:tabs>
        <w:jc w:val="both"/>
        <w:rPr>
          <w:bCs/>
          <w:sz w:val="22"/>
          <w:szCs w:val="22"/>
          <w:lang w:val="sr-Latn-ME"/>
        </w:rPr>
      </w:pPr>
    </w:p>
    <w:p w14:paraId="598497D5" w14:textId="77777777" w:rsidR="008D7EBE" w:rsidRPr="006B58D8" w:rsidRDefault="008D7EBE" w:rsidP="0069371F">
      <w:pPr>
        <w:tabs>
          <w:tab w:val="left" w:pos="540"/>
          <w:tab w:val="left" w:pos="569"/>
        </w:tabs>
        <w:jc w:val="both"/>
        <w:rPr>
          <w:bCs/>
          <w:sz w:val="22"/>
          <w:szCs w:val="22"/>
          <w:lang w:val="sr-Latn-ME"/>
        </w:rPr>
      </w:pPr>
    </w:p>
    <w:p w14:paraId="7913AD88" w14:textId="132BE22C" w:rsidR="00F8570A"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7. </w:t>
      </w:r>
      <w:r w:rsidR="00480FB1" w:rsidRPr="006B58D8">
        <w:rPr>
          <w:b/>
          <w:bCs/>
          <w:sz w:val="22"/>
          <w:szCs w:val="22"/>
          <w:lang w:val="sr-Latn-ME"/>
        </w:rPr>
        <w:tab/>
      </w:r>
      <w:r w:rsidRPr="006B58D8">
        <w:rPr>
          <w:b/>
          <w:bCs/>
          <w:sz w:val="22"/>
          <w:szCs w:val="22"/>
          <w:lang w:val="sr-Latn-ME"/>
        </w:rPr>
        <w:t>NOSILAC DOZVOLE</w:t>
      </w:r>
      <w:r w:rsidR="00483928" w:rsidRPr="006B58D8">
        <w:rPr>
          <w:b/>
          <w:bCs/>
          <w:sz w:val="22"/>
          <w:szCs w:val="22"/>
          <w:lang w:val="sr-Latn-ME"/>
        </w:rPr>
        <w:t xml:space="preserve"> </w:t>
      </w:r>
    </w:p>
    <w:p w14:paraId="15906C6E" w14:textId="77777777" w:rsidR="009B5974" w:rsidRPr="006B58D8" w:rsidRDefault="009B5974" w:rsidP="0069371F">
      <w:pPr>
        <w:tabs>
          <w:tab w:val="left" w:pos="540"/>
          <w:tab w:val="left" w:pos="569"/>
        </w:tabs>
        <w:jc w:val="both"/>
        <w:rPr>
          <w:b/>
          <w:bCs/>
          <w:sz w:val="22"/>
          <w:szCs w:val="22"/>
          <w:lang w:val="sr-Latn-ME"/>
        </w:rPr>
      </w:pPr>
    </w:p>
    <w:p w14:paraId="172F9197" w14:textId="77777777" w:rsidR="009B5974" w:rsidRPr="006B58D8" w:rsidRDefault="009B5974" w:rsidP="009B5974">
      <w:pPr>
        <w:rPr>
          <w:sz w:val="22"/>
          <w:szCs w:val="22"/>
          <w:lang w:val="sr-Latn-ME"/>
        </w:rPr>
      </w:pPr>
      <w:r w:rsidRPr="006B58D8">
        <w:rPr>
          <w:sz w:val="22"/>
          <w:szCs w:val="22"/>
          <w:lang w:val="sr-Latn-ME"/>
        </w:rPr>
        <w:t>Glosarij d.o.o.</w:t>
      </w:r>
    </w:p>
    <w:p w14:paraId="16F11E2E" w14:textId="77777777" w:rsidR="009B5974" w:rsidRPr="006B58D8" w:rsidRDefault="009B5974" w:rsidP="009B5974">
      <w:pPr>
        <w:rPr>
          <w:sz w:val="22"/>
          <w:szCs w:val="22"/>
          <w:lang w:val="sr-Latn-ME"/>
        </w:rPr>
      </w:pPr>
      <w:r w:rsidRPr="006B58D8">
        <w:rPr>
          <w:sz w:val="22"/>
          <w:szCs w:val="22"/>
          <w:lang w:val="sr-Latn-ME"/>
        </w:rPr>
        <w:t>Vojislavljevića 76, Podgorica, Crna Gora</w:t>
      </w:r>
    </w:p>
    <w:p w14:paraId="11FF0537" w14:textId="62B91114" w:rsidR="00C37FD7" w:rsidRPr="006B58D8" w:rsidRDefault="00C37FD7" w:rsidP="0069371F">
      <w:pPr>
        <w:tabs>
          <w:tab w:val="left" w:pos="540"/>
          <w:tab w:val="left" w:pos="569"/>
        </w:tabs>
        <w:jc w:val="both"/>
        <w:rPr>
          <w:bCs/>
          <w:sz w:val="22"/>
          <w:szCs w:val="22"/>
          <w:lang w:val="sr-Latn-ME"/>
        </w:rPr>
      </w:pPr>
    </w:p>
    <w:p w14:paraId="70D1122A" w14:textId="31DBF207" w:rsidR="008D7EBE" w:rsidRPr="006B58D8" w:rsidRDefault="008D7EBE" w:rsidP="0069371F">
      <w:pPr>
        <w:tabs>
          <w:tab w:val="left" w:pos="540"/>
          <w:tab w:val="left" w:pos="569"/>
        </w:tabs>
        <w:jc w:val="both"/>
        <w:rPr>
          <w:bCs/>
          <w:sz w:val="22"/>
          <w:szCs w:val="22"/>
          <w:lang w:val="sr-Latn-ME"/>
        </w:rPr>
      </w:pPr>
    </w:p>
    <w:p w14:paraId="7F77D6C3"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t xml:space="preserve">8. </w:t>
      </w:r>
      <w:r w:rsidR="00480FB1" w:rsidRPr="006B58D8">
        <w:rPr>
          <w:b/>
          <w:bCs/>
          <w:sz w:val="22"/>
          <w:szCs w:val="22"/>
          <w:lang w:val="sr-Latn-ME"/>
        </w:rPr>
        <w:tab/>
      </w:r>
      <w:r w:rsidRPr="006B58D8">
        <w:rPr>
          <w:b/>
          <w:bCs/>
          <w:sz w:val="22"/>
          <w:szCs w:val="22"/>
          <w:lang w:val="sr-Latn-ME"/>
        </w:rPr>
        <w:t>BROJ DOZVOLE</w:t>
      </w:r>
      <w:r w:rsidR="008A6D43" w:rsidRPr="006B58D8">
        <w:rPr>
          <w:b/>
          <w:bCs/>
          <w:sz w:val="22"/>
          <w:szCs w:val="22"/>
          <w:lang w:val="sr-Latn-ME"/>
        </w:rPr>
        <w:t xml:space="preserve"> ZA STAVLJANJE LIJEKA U PROMET</w:t>
      </w:r>
    </w:p>
    <w:p w14:paraId="3376E822" w14:textId="77777777" w:rsidR="0072020E" w:rsidRPr="006B58D8" w:rsidRDefault="0072020E" w:rsidP="0069371F">
      <w:pPr>
        <w:tabs>
          <w:tab w:val="left" w:pos="540"/>
          <w:tab w:val="left" w:pos="569"/>
        </w:tabs>
        <w:jc w:val="both"/>
        <w:rPr>
          <w:bCs/>
          <w:sz w:val="22"/>
          <w:szCs w:val="22"/>
          <w:lang w:val="sr-Latn-ME"/>
        </w:rPr>
      </w:pPr>
    </w:p>
    <w:p w14:paraId="73B42C67" w14:textId="323C6B2F" w:rsidR="00F45F77" w:rsidRDefault="00CA4E1A" w:rsidP="0069371F">
      <w:pPr>
        <w:tabs>
          <w:tab w:val="left" w:pos="540"/>
          <w:tab w:val="left" w:pos="569"/>
        </w:tabs>
        <w:jc w:val="both"/>
        <w:rPr>
          <w:sz w:val="22"/>
          <w:szCs w:val="22"/>
          <w:lang w:val="sr-Latn-ME"/>
        </w:rPr>
      </w:pPr>
      <w:r w:rsidRPr="006B58D8">
        <w:rPr>
          <w:sz w:val="22"/>
          <w:szCs w:val="22"/>
          <w:lang w:val="sr-Latn-ME"/>
        </w:rPr>
        <w:t xml:space="preserve">2030/23/2720 </w:t>
      </w:r>
      <w:r w:rsidR="00A466D7">
        <w:rPr>
          <w:sz w:val="22"/>
          <w:szCs w:val="22"/>
          <w:lang w:val="sr-Latn-ME"/>
        </w:rPr>
        <w:t>-</w:t>
      </w:r>
      <w:r w:rsidRPr="006B58D8">
        <w:rPr>
          <w:sz w:val="22"/>
          <w:szCs w:val="22"/>
          <w:lang w:val="sr-Latn-ME"/>
        </w:rPr>
        <w:t xml:space="preserve"> 6662</w:t>
      </w:r>
    </w:p>
    <w:p w14:paraId="6AE8C1B6" w14:textId="77777777" w:rsidR="00A466D7" w:rsidRPr="006B58D8" w:rsidRDefault="00A466D7" w:rsidP="0069371F">
      <w:pPr>
        <w:tabs>
          <w:tab w:val="left" w:pos="540"/>
          <w:tab w:val="left" w:pos="569"/>
        </w:tabs>
        <w:jc w:val="both"/>
        <w:rPr>
          <w:sz w:val="22"/>
          <w:szCs w:val="22"/>
          <w:lang w:val="sr-Latn-ME"/>
        </w:rPr>
      </w:pPr>
    </w:p>
    <w:p w14:paraId="0D04E18F" w14:textId="77777777" w:rsidR="008D7EBE" w:rsidRPr="006B58D8" w:rsidRDefault="008D7EBE" w:rsidP="0069371F">
      <w:pPr>
        <w:tabs>
          <w:tab w:val="left" w:pos="540"/>
          <w:tab w:val="left" w:pos="569"/>
        </w:tabs>
        <w:jc w:val="both"/>
        <w:rPr>
          <w:bCs/>
          <w:sz w:val="22"/>
          <w:szCs w:val="22"/>
          <w:lang w:val="sr-Latn-ME"/>
        </w:rPr>
      </w:pPr>
    </w:p>
    <w:p w14:paraId="62185344" w14:textId="77777777" w:rsidR="0072020E" w:rsidRPr="006B58D8" w:rsidRDefault="0072020E" w:rsidP="0069371F">
      <w:pPr>
        <w:tabs>
          <w:tab w:val="left" w:pos="540"/>
          <w:tab w:val="left" w:pos="569"/>
        </w:tabs>
        <w:jc w:val="both"/>
        <w:rPr>
          <w:b/>
          <w:bCs/>
          <w:sz w:val="22"/>
          <w:szCs w:val="22"/>
          <w:lang w:val="sr-Latn-ME"/>
        </w:rPr>
      </w:pPr>
      <w:r w:rsidRPr="006B58D8">
        <w:rPr>
          <w:b/>
          <w:bCs/>
          <w:sz w:val="22"/>
          <w:szCs w:val="22"/>
          <w:lang w:val="sr-Latn-ME"/>
        </w:rPr>
        <w:lastRenderedPageBreak/>
        <w:t xml:space="preserve">9. </w:t>
      </w:r>
      <w:r w:rsidR="00480FB1" w:rsidRPr="006B58D8">
        <w:rPr>
          <w:b/>
          <w:bCs/>
          <w:sz w:val="22"/>
          <w:szCs w:val="22"/>
          <w:lang w:val="sr-Latn-ME"/>
        </w:rPr>
        <w:tab/>
      </w:r>
      <w:r w:rsidRPr="006B58D8">
        <w:rPr>
          <w:b/>
          <w:bCs/>
          <w:sz w:val="22"/>
          <w:szCs w:val="22"/>
          <w:lang w:val="sr-Latn-ME"/>
        </w:rPr>
        <w:t xml:space="preserve">DATUM </w:t>
      </w:r>
      <w:r w:rsidR="00C05DF8" w:rsidRPr="006B58D8">
        <w:rPr>
          <w:b/>
          <w:bCs/>
          <w:sz w:val="22"/>
          <w:szCs w:val="22"/>
          <w:lang w:val="sr-Latn-ME"/>
        </w:rPr>
        <w:t xml:space="preserve">PRVE </w:t>
      </w:r>
      <w:r w:rsidR="008A6D43" w:rsidRPr="006B58D8">
        <w:rPr>
          <w:b/>
          <w:bCs/>
          <w:sz w:val="22"/>
          <w:szCs w:val="22"/>
          <w:lang w:val="sr-Latn-ME"/>
        </w:rPr>
        <w:t>DOZVOLE</w:t>
      </w:r>
      <w:r w:rsidR="00C05DF8" w:rsidRPr="006B58D8">
        <w:rPr>
          <w:b/>
          <w:bCs/>
          <w:sz w:val="22"/>
          <w:szCs w:val="22"/>
          <w:lang w:val="sr-Latn-ME"/>
        </w:rPr>
        <w:t>/OBNOVE DOZVOLE</w:t>
      </w:r>
      <w:r w:rsidR="008A6D43" w:rsidRPr="006B58D8">
        <w:rPr>
          <w:b/>
          <w:bCs/>
          <w:sz w:val="22"/>
          <w:szCs w:val="22"/>
          <w:lang w:val="sr-Latn-ME"/>
        </w:rPr>
        <w:t xml:space="preserve"> ZA STAVLJANJE LIJEKA U PROMET</w:t>
      </w:r>
    </w:p>
    <w:p w14:paraId="5A3F4E9D" w14:textId="77777777" w:rsidR="0072020E" w:rsidRPr="006B58D8" w:rsidRDefault="0072020E" w:rsidP="0069371F">
      <w:pPr>
        <w:tabs>
          <w:tab w:val="left" w:pos="540"/>
          <w:tab w:val="left" w:pos="569"/>
        </w:tabs>
        <w:jc w:val="both"/>
        <w:rPr>
          <w:bCs/>
          <w:sz w:val="22"/>
          <w:szCs w:val="22"/>
          <w:lang w:val="sr-Latn-ME"/>
        </w:rPr>
      </w:pPr>
    </w:p>
    <w:p w14:paraId="076BF023" w14:textId="635B84D7" w:rsidR="009B5974" w:rsidRPr="006B58D8" w:rsidRDefault="009B5974" w:rsidP="0069371F">
      <w:pPr>
        <w:tabs>
          <w:tab w:val="left" w:pos="540"/>
          <w:tab w:val="left" w:pos="569"/>
        </w:tabs>
        <w:jc w:val="both"/>
        <w:rPr>
          <w:sz w:val="22"/>
          <w:szCs w:val="22"/>
          <w:lang w:val="sr-Latn-ME"/>
        </w:rPr>
      </w:pPr>
      <w:r w:rsidRPr="006B58D8">
        <w:rPr>
          <w:sz w:val="22"/>
          <w:szCs w:val="22"/>
          <w:lang w:val="sr-Latn-ME"/>
        </w:rPr>
        <w:t>Datum prve dozvole:</w:t>
      </w:r>
      <w:r w:rsidR="00212223" w:rsidRPr="006B58D8">
        <w:rPr>
          <w:sz w:val="22"/>
          <w:szCs w:val="22"/>
          <w:lang w:val="sr-Latn-ME"/>
        </w:rPr>
        <w:t xml:space="preserve"> 15.06.2011.</w:t>
      </w:r>
    </w:p>
    <w:p w14:paraId="49B7C0FD" w14:textId="14985399" w:rsidR="00836B35" w:rsidRPr="006B58D8" w:rsidRDefault="009B5974" w:rsidP="0069371F">
      <w:pPr>
        <w:tabs>
          <w:tab w:val="left" w:pos="540"/>
          <w:tab w:val="left" w:pos="569"/>
        </w:tabs>
        <w:jc w:val="both"/>
        <w:rPr>
          <w:bCs/>
          <w:sz w:val="22"/>
          <w:szCs w:val="22"/>
          <w:lang w:val="sr-Latn-ME"/>
        </w:rPr>
      </w:pPr>
      <w:r w:rsidRPr="006B58D8">
        <w:rPr>
          <w:sz w:val="22"/>
          <w:szCs w:val="22"/>
          <w:lang w:val="sr-Latn-ME"/>
        </w:rPr>
        <w:t>Datum poslednje obnove dozvole:</w:t>
      </w:r>
      <w:r w:rsidR="00F8408A" w:rsidRPr="006B58D8">
        <w:rPr>
          <w:sz w:val="22"/>
          <w:szCs w:val="22"/>
          <w:lang w:val="sr-Latn-ME"/>
        </w:rPr>
        <w:t xml:space="preserve"> 20.07.2023. godine</w:t>
      </w:r>
    </w:p>
    <w:p w14:paraId="68E7B813" w14:textId="77C54C27" w:rsidR="008D7EBE" w:rsidRPr="006B58D8" w:rsidRDefault="008D7EBE" w:rsidP="0069371F">
      <w:pPr>
        <w:tabs>
          <w:tab w:val="left" w:pos="540"/>
          <w:tab w:val="left" w:pos="569"/>
        </w:tabs>
        <w:jc w:val="both"/>
        <w:rPr>
          <w:bCs/>
          <w:sz w:val="22"/>
          <w:szCs w:val="22"/>
          <w:lang w:val="sr-Latn-ME"/>
        </w:rPr>
      </w:pPr>
    </w:p>
    <w:p w14:paraId="67076648" w14:textId="77777777" w:rsidR="009B5974" w:rsidRPr="006B58D8" w:rsidRDefault="009B5974" w:rsidP="0069371F">
      <w:pPr>
        <w:tabs>
          <w:tab w:val="left" w:pos="540"/>
          <w:tab w:val="left" w:pos="569"/>
        </w:tabs>
        <w:jc w:val="both"/>
        <w:rPr>
          <w:bCs/>
          <w:sz w:val="22"/>
          <w:szCs w:val="22"/>
          <w:lang w:val="sr-Latn-ME"/>
        </w:rPr>
      </w:pPr>
    </w:p>
    <w:p w14:paraId="29738F97" w14:textId="7FFEF56D" w:rsidR="003F6A59" w:rsidRDefault="0072020E" w:rsidP="0069371F">
      <w:pPr>
        <w:tabs>
          <w:tab w:val="left" w:pos="540"/>
          <w:tab w:val="left" w:pos="569"/>
        </w:tabs>
        <w:ind w:left="540" w:hanging="540"/>
        <w:jc w:val="both"/>
        <w:rPr>
          <w:b/>
          <w:bCs/>
          <w:sz w:val="22"/>
          <w:szCs w:val="22"/>
          <w:lang w:val="sr-Latn-ME"/>
        </w:rPr>
      </w:pPr>
      <w:r w:rsidRPr="006B58D8">
        <w:rPr>
          <w:b/>
          <w:bCs/>
          <w:sz w:val="22"/>
          <w:szCs w:val="22"/>
          <w:lang w:val="sr-Latn-ME"/>
        </w:rPr>
        <w:t xml:space="preserve">10. </w:t>
      </w:r>
      <w:r w:rsidR="00480FB1" w:rsidRPr="006B58D8">
        <w:rPr>
          <w:b/>
          <w:bCs/>
          <w:sz w:val="22"/>
          <w:szCs w:val="22"/>
          <w:lang w:val="sr-Latn-ME"/>
        </w:rPr>
        <w:tab/>
      </w:r>
      <w:r w:rsidR="002846DB" w:rsidRPr="006B58D8">
        <w:rPr>
          <w:b/>
          <w:bCs/>
          <w:sz w:val="22"/>
          <w:szCs w:val="22"/>
          <w:lang w:val="sr-Latn-ME"/>
        </w:rPr>
        <w:t>D</w:t>
      </w:r>
      <w:r w:rsidR="00EC2532" w:rsidRPr="006B58D8">
        <w:rPr>
          <w:b/>
          <w:bCs/>
          <w:sz w:val="22"/>
          <w:szCs w:val="22"/>
          <w:lang w:val="sr-Latn-ME"/>
        </w:rPr>
        <w:t xml:space="preserve">ATUM REVIZIJE TEKSTA </w:t>
      </w:r>
    </w:p>
    <w:p w14:paraId="731A5BE4" w14:textId="4248004B" w:rsidR="00A466D7" w:rsidRDefault="00A466D7" w:rsidP="0069371F">
      <w:pPr>
        <w:tabs>
          <w:tab w:val="left" w:pos="540"/>
          <w:tab w:val="left" w:pos="569"/>
        </w:tabs>
        <w:ind w:left="540" w:hanging="540"/>
        <w:jc w:val="both"/>
        <w:rPr>
          <w:b/>
          <w:bCs/>
          <w:sz w:val="22"/>
          <w:szCs w:val="22"/>
          <w:lang w:val="sr-Latn-ME"/>
        </w:rPr>
      </w:pPr>
    </w:p>
    <w:p w14:paraId="5F4015BC" w14:textId="76D80236" w:rsidR="00A466D7" w:rsidRPr="00A466D7" w:rsidRDefault="00A466D7" w:rsidP="0069371F">
      <w:pPr>
        <w:tabs>
          <w:tab w:val="left" w:pos="540"/>
          <w:tab w:val="left" w:pos="569"/>
        </w:tabs>
        <w:ind w:left="540" w:hanging="540"/>
        <w:jc w:val="both"/>
        <w:rPr>
          <w:bCs/>
          <w:sz w:val="22"/>
          <w:szCs w:val="22"/>
          <w:lang w:val="sr-Latn-ME"/>
        </w:rPr>
      </w:pPr>
      <w:r w:rsidRPr="00A466D7">
        <w:rPr>
          <w:bCs/>
          <w:sz w:val="22"/>
          <w:szCs w:val="22"/>
          <w:lang w:val="sr-Latn-ME"/>
        </w:rPr>
        <w:t>Oktobar, 2024. godine</w:t>
      </w:r>
    </w:p>
    <w:p w14:paraId="695DE3B4" w14:textId="6025C7E5" w:rsidR="007A033F" w:rsidRPr="006B58D8" w:rsidRDefault="007A033F" w:rsidP="0069371F">
      <w:pPr>
        <w:jc w:val="both"/>
        <w:rPr>
          <w:bCs/>
          <w:sz w:val="22"/>
          <w:szCs w:val="22"/>
          <w:lang w:val="sr-Latn-ME"/>
        </w:rPr>
      </w:pPr>
    </w:p>
    <w:p w14:paraId="5CAD9C48" w14:textId="30F79048" w:rsidR="003F6A59" w:rsidRPr="006B58D8" w:rsidRDefault="003F6A59" w:rsidP="0069371F">
      <w:pPr>
        <w:jc w:val="both"/>
        <w:rPr>
          <w:sz w:val="22"/>
          <w:szCs w:val="22"/>
          <w:lang w:val="sr-Latn-ME"/>
        </w:rPr>
      </w:pPr>
    </w:p>
    <w:sectPr w:rsidR="003F6A59" w:rsidRPr="006B58D8"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52A4D" w14:textId="77777777" w:rsidR="000D2DFF" w:rsidRDefault="000D2DFF">
      <w:r>
        <w:separator/>
      </w:r>
    </w:p>
  </w:endnote>
  <w:endnote w:type="continuationSeparator" w:id="0">
    <w:p w14:paraId="34FA6477" w14:textId="77777777" w:rsidR="000D2DFF" w:rsidRDefault="000D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19E5" w14:textId="78A3B6BD"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B695B">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B695B">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6EC26" w14:textId="77777777" w:rsidR="000D2DFF" w:rsidRDefault="000D2DFF">
      <w:r>
        <w:separator/>
      </w:r>
    </w:p>
  </w:footnote>
  <w:footnote w:type="continuationSeparator" w:id="0">
    <w:p w14:paraId="7175165A" w14:textId="77777777" w:rsidR="000D2DFF" w:rsidRDefault="000D2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4pt;height:14.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CA0619"/>
    <w:multiLevelType w:val="hybridMultilevel"/>
    <w:tmpl w:val="4CA4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3F0B"/>
    <w:rsid w:val="00057E35"/>
    <w:rsid w:val="00076726"/>
    <w:rsid w:val="00080303"/>
    <w:rsid w:val="000A3F58"/>
    <w:rsid w:val="000A4260"/>
    <w:rsid w:val="000A5DA2"/>
    <w:rsid w:val="000B3B8B"/>
    <w:rsid w:val="000C4455"/>
    <w:rsid w:val="000D2343"/>
    <w:rsid w:val="000D2DFF"/>
    <w:rsid w:val="000D3449"/>
    <w:rsid w:val="000D425A"/>
    <w:rsid w:val="000D60CC"/>
    <w:rsid w:val="000E2084"/>
    <w:rsid w:val="000E6F55"/>
    <w:rsid w:val="000F20CF"/>
    <w:rsid w:val="000F77FA"/>
    <w:rsid w:val="00107BF7"/>
    <w:rsid w:val="00124EAB"/>
    <w:rsid w:val="001252E7"/>
    <w:rsid w:val="00126A05"/>
    <w:rsid w:val="00126F53"/>
    <w:rsid w:val="001453A7"/>
    <w:rsid w:val="0014766D"/>
    <w:rsid w:val="00152848"/>
    <w:rsid w:val="001536CC"/>
    <w:rsid w:val="00164853"/>
    <w:rsid w:val="00180417"/>
    <w:rsid w:val="0019047A"/>
    <w:rsid w:val="001A3FBA"/>
    <w:rsid w:val="001A5518"/>
    <w:rsid w:val="001B1C6A"/>
    <w:rsid w:val="001C1263"/>
    <w:rsid w:val="001C1417"/>
    <w:rsid w:val="001D2A46"/>
    <w:rsid w:val="001E390B"/>
    <w:rsid w:val="001F3CDC"/>
    <w:rsid w:val="001F42BC"/>
    <w:rsid w:val="001F42FB"/>
    <w:rsid w:val="001F719A"/>
    <w:rsid w:val="002031B3"/>
    <w:rsid w:val="002051B2"/>
    <w:rsid w:val="00210939"/>
    <w:rsid w:val="00212223"/>
    <w:rsid w:val="00215931"/>
    <w:rsid w:val="00227BDB"/>
    <w:rsid w:val="00234CB1"/>
    <w:rsid w:val="002352F8"/>
    <w:rsid w:val="00243DFE"/>
    <w:rsid w:val="002510A5"/>
    <w:rsid w:val="00254A0A"/>
    <w:rsid w:val="00263FDB"/>
    <w:rsid w:val="00266046"/>
    <w:rsid w:val="002846DB"/>
    <w:rsid w:val="00284CCD"/>
    <w:rsid w:val="0029143D"/>
    <w:rsid w:val="002A0D63"/>
    <w:rsid w:val="002C2452"/>
    <w:rsid w:val="002C6637"/>
    <w:rsid w:val="002E0135"/>
    <w:rsid w:val="002E37A5"/>
    <w:rsid w:val="002F6ACA"/>
    <w:rsid w:val="00310986"/>
    <w:rsid w:val="00310F03"/>
    <w:rsid w:val="0031281F"/>
    <w:rsid w:val="003247D2"/>
    <w:rsid w:val="00342D67"/>
    <w:rsid w:val="003445C1"/>
    <w:rsid w:val="00355B61"/>
    <w:rsid w:val="00362686"/>
    <w:rsid w:val="00371510"/>
    <w:rsid w:val="00395626"/>
    <w:rsid w:val="00396DFD"/>
    <w:rsid w:val="003A28AB"/>
    <w:rsid w:val="003A3AC6"/>
    <w:rsid w:val="003A7059"/>
    <w:rsid w:val="003B5729"/>
    <w:rsid w:val="003B7A36"/>
    <w:rsid w:val="003C130E"/>
    <w:rsid w:val="003C17AB"/>
    <w:rsid w:val="003C7823"/>
    <w:rsid w:val="003D2290"/>
    <w:rsid w:val="003E1DCC"/>
    <w:rsid w:val="003F5D7F"/>
    <w:rsid w:val="003F6A59"/>
    <w:rsid w:val="00402CAF"/>
    <w:rsid w:val="004053BD"/>
    <w:rsid w:val="004065C8"/>
    <w:rsid w:val="004109FA"/>
    <w:rsid w:val="00411B4B"/>
    <w:rsid w:val="00413763"/>
    <w:rsid w:val="00415BEE"/>
    <w:rsid w:val="00427F85"/>
    <w:rsid w:val="00436F42"/>
    <w:rsid w:val="004378B4"/>
    <w:rsid w:val="0044380B"/>
    <w:rsid w:val="00445E9B"/>
    <w:rsid w:val="00451314"/>
    <w:rsid w:val="00452E9D"/>
    <w:rsid w:val="004534C7"/>
    <w:rsid w:val="00460B16"/>
    <w:rsid w:val="004671AA"/>
    <w:rsid w:val="00472790"/>
    <w:rsid w:val="00474624"/>
    <w:rsid w:val="00480FB1"/>
    <w:rsid w:val="00483928"/>
    <w:rsid w:val="004854E1"/>
    <w:rsid w:val="00491E27"/>
    <w:rsid w:val="0049261C"/>
    <w:rsid w:val="00492DB7"/>
    <w:rsid w:val="00495467"/>
    <w:rsid w:val="004B0133"/>
    <w:rsid w:val="004D6103"/>
    <w:rsid w:val="004E3BCE"/>
    <w:rsid w:val="004E6DED"/>
    <w:rsid w:val="004F0E97"/>
    <w:rsid w:val="00501DD1"/>
    <w:rsid w:val="00515C21"/>
    <w:rsid w:val="00530BD7"/>
    <w:rsid w:val="00535890"/>
    <w:rsid w:val="00545CD2"/>
    <w:rsid w:val="005476F3"/>
    <w:rsid w:val="005571D0"/>
    <w:rsid w:val="00567CE2"/>
    <w:rsid w:val="00572527"/>
    <w:rsid w:val="00573E40"/>
    <w:rsid w:val="00576348"/>
    <w:rsid w:val="00586BB6"/>
    <w:rsid w:val="00595895"/>
    <w:rsid w:val="005A0B2E"/>
    <w:rsid w:val="005A23D2"/>
    <w:rsid w:val="005A36CB"/>
    <w:rsid w:val="005B49B8"/>
    <w:rsid w:val="005C0741"/>
    <w:rsid w:val="005C5EF4"/>
    <w:rsid w:val="005E2E0B"/>
    <w:rsid w:val="005E39F6"/>
    <w:rsid w:val="005E7A7D"/>
    <w:rsid w:val="005F1EA1"/>
    <w:rsid w:val="005F2F59"/>
    <w:rsid w:val="00602457"/>
    <w:rsid w:val="00603A81"/>
    <w:rsid w:val="00616FFB"/>
    <w:rsid w:val="006242DF"/>
    <w:rsid w:val="006430E7"/>
    <w:rsid w:val="00646BD1"/>
    <w:rsid w:val="006561C2"/>
    <w:rsid w:val="00671CB3"/>
    <w:rsid w:val="00674A40"/>
    <w:rsid w:val="00674BAF"/>
    <w:rsid w:val="00682200"/>
    <w:rsid w:val="00687FC8"/>
    <w:rsid w:val="0069188F"/>
    <w:rsid w:val="00692BF6"/>
    <w:rsid w:val="0069371F"/>
    <w:rsid w:val="006A1497"/>
    <w:rsid w:val="006B0BD1"/>
    <w:rsid w:val="006B58D8"/>
    <w:rsid w:val="006C6D96"/>
    <w:rsid w:val="006D0276"/>
    <w:rsid w:val="006D20A5"/>
    <w:rsid w:val="006D37BF"/>
    <w:rsid w:val="00700374"/>
    <w:rsid w:val="00702E22"/>
    <w:rsid w:val="00710E33"/>
    <w:rsid w:val="0072020E"/>
    <w:rsid w:val="007313FC"/>
    <w:rsid w:val="007526DE"/>
    <w:rsid w:val="007577F1"/>
    <w:rsid w:val="00763D61"/>
    <w:rsid w:val="00767D81"/>
    <w:rsid w:val="00777417"/>
    <w:rsid w:val="00786071"/>
    <w:rsid w:val="007A033F"/>
    <w:rsid w:val="007A3ECB"/>
    <w:rsid w:val="007B19C7"/>
    <w:rsid w:val="00813A34"/>
    <w:rsid w:val="008230A6"/>
    <w:rsid w:val="00824AB9"/>
    <w:rsid w:val="00836B35"/>
    <w:rsid w:val="00843BDE"/>
    <w:rsid w:val="00854C95"/>
    <w:rsid w:val="008613DF"/>
    <w:rsid w:val="00863F80"/>
    <w:rsid w:val="008734C0"/>
    <w:rsid w:val="008857B5"/>
    <w:rsid w:val="00890BFB"/>
    <w:rsid w:val="00891937"/>
    <w:rsid w:val="0089705C"/>
    <w:rsid w:val="00897913"/>
    <w:rsid w:val="008A3D99"/>
    <w:rsid w:val="008A6D43"/>
    <w:rsid w:val="008B491E"/>
    <w:rsid w:val="008C1A28"/>
    <w:rsid w:val="008C2E98"/>
    <w:rsid w:val="008C4C69"/>
    <w:rsid w:val="008D7EBE"/>
    <w:rsid w:val="008E49BD"/>
    <w:rsid w:val="008E53E9"/>
    <w:rsid w:val="008E5771"/>
    <w:rsid w:val="008F4ACF"/>
    <w:rsid w:val="008F6BB0"/>
    <w:rsid w:val="009001D9"/>
    <w:rsid w:val="00940B9B"/>
    <w:rsid w:val="00943221"/>
    <w:rsid w:val="0095676E"/>
    <w:rsid w:val="00956983"/>
    <w:rsid w:val="0095737F"/>
    <w:rsid w:val="00963CF0"/>
    <w:rsid w:val="00964BB1"/>
    <w:rsid w:val="009775D9"/>
    <w:rsid w:val="009878DA"/>
    <w:rsid w:val="00997175"/>
    <w:rsid w:val="009A1847"/>
    <w:rsid w:val="009A3EE1"/>
    <w:rsid w:val="009B062A"/>
    <w:rsid w:val="009B5974"/>
    <w:rsid w:val="009E7C6F"/>
    <w:rsid w:val="009F1793"/>
    <w:rsid w:val="009F2D23"/>
    <w:rsid w:val="00A01D69"/>
    <w:rsid w:val="00A02335"/>
    <w:rsid w:val="00A23782"/>
    <w:rsid w:val="00A37C87"/>
    <w:rsid w:val="00A4488F"/>
    <w:rsid w:val="00A466D7"/>
    <w:rsid w:val="00A46C9A"/>
    <w:rsid w:val="00A60EC1"/>
    <w:rsid w:val="00A619F3"/>
    <w:rsid w:val="00A61B5F"/>
    <w:rsid w:val="00A62A73"/>
    <w:rsid w:val="00A727FB"/>
    <w:rsid w:val="00A850D5"/>
    <w:rsid w:val="00A87FF6"/>
    <w:rsid w:val="00AA0A3B"/>
    <w:rsid w:val="00AA2763"/>
    <w:rsid w:val="00AA33B6"/>
    <w:rsid w:val="00AB50CA"/>
    <w:rsid w:val="00AB6D64"/>
    <w:rsid w:val="00AC518D"/>
    <w:rsid w:val="00AC53CE"/>
    <w:rsid w:val="00AD2193"/>
    <w:rsid w:val="00AF2AC7"/>
    <w:rsid w:val="00AF3FA6"/>
    <w:rsid w:val="00AF74CE"/>
    <w:rsid w:val="00B208DB"/>
    <w:rsid w:val="00B23F69"/>
    <w:rsid w:val="00B60619"/>
    <w:rsid w:val="00B664A4"/>
    <w:rsid w:val="00B66A70"/>
    <w:rsid w:val="00B67366"/>
    <w:rsid w:val="00B80EE1"/>
    <w:rsid w:val="00B84135"/>
    <w:rsid w:val="00C04D34"/>
    <w:rsid w:val="00C05DF8"/>
    <w:rsid w:val="00C06864"/>
    <w:rsid w:val="00C10F54"/>
    <w:rsid w:val="00C212AA"/>
    <w:rsid w:val="00C23D8D"/>
    <w:rsid w:val="00C37AA3"/>
    <w:rsid w:val="00C37FD7"/>
    <w:rsid w:val="00C420D4"/>
    <w:rsid w:val="00C43419"/>
    <w:rsid w:val="00C44CF3"/>
    <w:rsid w:val="00C61BE0"/>
    <w:rsid w:val="00C70B0E"/>
    <w:rsid w:val="00C773CA"/>
    <w:rsid w:val="00C83785"/>
    <w:rsid w:val="00C83DD7"/>
    <w:rsid w:val="00C91713"/>
    <w:rsid w:val="00C94C0D"/>
    <w:rsid w:val="00CA1ED1"/>
    <w:rsid w:val="00CA1FEB"/>
    <w:rsid w:val="00CA4E1A"/>
    <w:rsid w:val="00CA67FB"/>
    <w:rsid w:val="00CB2EA1"/>
    <w:rsid w:val="00CB2F69"/>
    <w:rsid w:val="00CB6152"/>
    <w:rsid w:val="00CB695B"/>
    <w:rsid w:val="00CC3BA1"/>
    <w:rsid w:val="00CD4F85"/>
    <w:rsid w:val="00CD6F02"/>
    <w:rsid w:val="00CE246D"/>
    <w:rsid w:val="00CE392B"/>
    <w:rsid w:val="00CE5AA9"/>
    <w:rsid w:val="00CF07A0"/>
    <w:rsid w:val="00CF1C84"/>
    <w:rsid w:val="00CF3E03"/>
    <w:rsid w:val="00CF783E"/>
    <w:rsid w:val="00D0082A"/>
    <w:rsid w:val="00D0357E"/>
    <w:rsid w:val="00D17D3C"/>
    <w:rsid w:val="00D20737"/>
    <w:rsid w:val="00D21455"/>
    <w:rsid w:val="00D431F9"/>
    <w:rsid w:val="00D433D0"/>
    <w:rsid w:val="00D47634"/>
    <w:rsid w:val="00D47A1B"/>
    <w:rsid w:val="00D6295D"/>
    <w:rsid w:val="00D678C8"/>
    <w:rsid w:val="00D709B3"/>
    <w:rsid w:val="00D85317"/>
    <w:rsid w:val="00DA2ED6"/>
    <w:rsid w:val="00DB4E61"/>
    <w:rsid w:val="00DB76B8"/>
    <w:rsid w:val="00DC2A98"/>
    <w:rsid w:val="00DC2EA1"/>
    <w:rsid w:val="00DD6AAF"/>
    <w:rsid w:val="00DE3F5C"/>
    <w:rsid w:val="00DE5065"/>
    <w:rsid w:val="00DF1D20"/>
    <w:rsid w:val="00E1045D"/>
    <w:rsid w:val="00E21324"/>
    <w:rsid w:val="00E246B9"/>
    <w:rsid w:val="00E31FEA"/>
    <w:rsid w:val="00E402E5"/>
    <w:rsid w:val="00E45169"/>
    <w:rsid w:val="00E47787"/>
    <w:rsid w:val="00E51C30"/>
    <w:rsid w:val="00E64180"/>
    <w:rsid w:val="00E74AEE"/>
    <w:rsid w:val="00E81674"/>
    <w:rsid w:val="00E868E5"/>
    <w:rsid w:val="00E9237A"/>
    <w:rsid w:val="00E939FA"/>
    <w:rsid w:val="00EA1616"/>
    <w:rsid w:val="00EA1BD9"/>
    <w:rsid w:val="00EA5765"/>
    <w:rsid w:val="00EB0858"/>
    <w:rsid w:val="00EB13FD"/>
    <w:rsid w:val="00EB31D8"/>
    <w:rsid w:val="00EC2532"/>
    <w:rsid w:val="00ED2651"/>
    <w:rsid w:val="00ED7812"/>
    <w:rsid w:val="00EE0132"/>
    <w:rsid w:val="00EE7C81"/>
    <w:rsid w:val="00EF3B86"/>
    <w:rsid w:val="00F17659"/>
    <w:rsid w:val="00F279D5"/>
    <w:rsid w:val="00F317E9"/>
    <w:rsid w:val="00F34554"/>
    <w:rsid w:val="00F36709"/>
    <w:rsid w:val="00F45F77"/>
    <w:rsid w:val="00F5167F"/>
    <w:rsid w:val="00F52258"/>
    <w:rsid w:val="00F63800"/>
    <w:rsid w:val="00F83907"/>
    <w:rsid w:val="00F83A36"/>
    <w:rsid w:val="00F8408A"/>
    <w:rsid w:val="00F8570A"/>
    <w:rsid w:val="00F91C7B"/>
    <w:rsid w:val="00FC0364"/>
    <w:rsid w:val="00FD459F"/>
    <w:rsid w:val="00FE7C9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C9A7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Header Char Char,Header Char1 Char Char,Header Char Char Char Char, Char Char Char Char Char, Char Char1 Char Char,Header Char1, Char Char1, Char Char1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 Char Char,Header Char Char Char,Header Char1 Char Char Char,Header Char Char Char Char Char, Char Char Char Char Char Char, Char Char1 Char Char Char,Header Char1 Char, Char Char1 Char1, Char Char1 Char Char1"/>
    <w:link w:val="Header"/>
    <w:rsid w:val="00CA67FB"/>
    <w:rPr>
      <w:sz w:val="24"/>
      <w:szCs w:val="24"/>
      <w:lang w:val="en-US" w:eastAsia="en-US"/>
    </w:rPr>
  </w:style>
  <w:style w:type="character" w:styleId="Hyperlink">
    <w:name w:val="Hyperlink"/>
    <w:basedOn w:val="DefaultParagraphFont"/>
    <w:rsid w:val="00492DB7"/>
    <w:rPr>
      <w:color w:val="0563C1" w:themeColor="hyperlink"/>
      <w:u w:val="single"/>
    </w:rPr>
  </w:style>
  <w:style w:type="paragraph" w:styleId="Revision">
    <w:name w:val="Revision"/>
    <w:hidden/>
    <w:uiPriority w:val="99"/>
    <w:semiHidden/>
    <w:rsid w:val="00445E9B"/>
    <w:rPr>
      <w:sz w:val="24"/>
      <w:szCs w:val="24"/>
      <w:lang w:val="en-US" w:eastAsia="en-US"/>
    </w:rPr>
  </w:style>
  <w:style w:type="paragraph" w:styleId="BodyText">
    <w:name w:val="Body Text"/>
    <w:basedOn w:val="Normal"/>
    <w:link w:val="BodyTextChar"/>
    <w:rsid w:val="008613DF"/>
    <w:pPr>
      <w:spacing w:after="120"/>
    </w:pPr>
    <w:rPr>
      <w:sz w:val="20"/>
      <w:szCs w:val="20"/>
    </w:rPr>
  </w:style>
  <w:style w:type="character" w:customStyle="1" w:styleId="BodyTextChar">
    <w:name w:val="Body Text Char"/>
    <w:basedOn w:val="DefaultParagraphFont"/>
    <w:link w:val="BodyText"/>
    <w:rsid w:val="008613DF"/>
    <w:rPr>
      <w:lang w:val="en-US" w:eastAsia="en-US"/>
    </w:rPr>
  </w:style>
  <w:style w:type="table" w:styleId="TableGrid">
    <w:name w:val="Table Grid"/>
    <w:basedOn w:val="TableNormal"/>
    <w:rsid w:val="00A4488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4B344-0071-4DFF-ACFD-8721BCC372B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3683A13-DBB7-43BA-A830-C5ED821F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30334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Marijanović</cp:lastModifiedBy>
  <cp:revision>3</cp:revision>
  <dcterms:created xsi:type="dcterms:W3CDTF">2024-10-10T11:02:00Z</dcterms:created>
  <dcterms:modified xsi:type="dcterms:W3CDTF">2024-10-10T11:56:00Z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4c33000e-788e-48a8-b045-fb362e74f13a</vt:lpwstr>
  </property>
  <property fmtid="{D5CDD505-2E9C-101B-9397-08002B2CF9AE}" pid="3" name="bjSaver">
    <vt:lpwstr>TAvzsvFs7v5j+dDpgIwcKBNzogUjMz+B</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y fmtid="{D5CDD505-2E9C-101B-9397-08002B2CF9AE}" pid="8" name="MSIP_Label_04f783dd-f5fe-4e6c-8816-198fd9c95f56_Enabled">
    <vt:lpwstr>true</vt:lpwstr>
  </property>
  <property fmtid="{D5CDD505-2E9C-101B-9397-08002B2CF9AE}" pid="9" name="MSIP_Label_04f783dd-f5fe-4e6c-8816-198fd9c95f56_SetDate">
    <vt:lpwstr>2024-10-07T15:03:15Z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4614c754-5b99-4d9a-9ab6-8f63f9ec5ad7</vt:lpwstr>
  </property>
  <property fmtid="{D5CDD505-2E9C-101B-9397-08002B2CF9AE}" pid="14" name="MSIP_Label_04f783dd-f5fe-4e6c-8816-198fd9c95f56_ContentBits">
    <vt:lpwstr>0</vt:lpwstr>
  </property>
</Properties>
</file>