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3890D5" w14:textId="77777777" w:rsidR="00DD2A82" w:rsidRPr="001D68EC" w:rsidRDefault="00DD2A82" w:rsidP="004C4B44">
      <w:pPr>
        <w:tabs>
          <w:tab w:val="clear" w:pos="284"/>
          <w:tab w:val="left" w:pos="0"/>
        </w:tabs>
        <w:rPr>
          <w:lang w:val="sr-Latn-ME"/>
        </w:rPr>
      </w:pPr>
      <w:bookmarkStart w:id="0" w:name="_GoBack"/>
      <w:bookmarkEnd w:id="0"/>
    </w:p>
    <w:p w14:paraId="7218ED81" w14:textId="7A97B053" w:rsidR="00CE09F3" w:rsidRPr="001D68EC" w:rsidRDefault="00CE09F3" w:rsidP="004C4B44">
      <w:pPr>
        <w:jc w:val="center"/>
        <w:rPr>
          <w:b/>
          <w:bCs/>
          <w:iCs/>
          <w:szCs w:val="22"/>
          <w:u w:val="single"/>
          <w:lang w:val="sr-Latn-ME"/>
        </w:rPr>
      </w:pPr>
      <w:r w:rsidRPr="001D68EC">
        <w:rPr>
          <w:b/>
          <w:bCs/>
          <w:iCs/>
          <w:szCs w:val="22"/>
          <w:u w:val="single"/>
          <w:lang w:val="sr-Latn-ME"/>
        </w:rPr>
        <w:t>SAŽETAK KARAKTERISTIKA L</w:t>
      </w:r>
      <w:r w:rsidR="0031263D" w:rsidRPr="001D68EC">
        <w:rPr>
          <w:b/>
          <w:bCs/>
          <w:iCs/>
          <w:szCs w:val="22"/>
          <w:u w:val="single"/>
          <w:lang w:val="sr-Latn-ME"/>
        </w:rPr>
        <w:t>IJ</w:t>
      </w:r>
      <w:r w:rsidRPr="001D68EC">
        <w:rPr>
          <w:b/>
          <w:bCs/>
          <w:iCs/>
          <w:szCs w:val="22"/>
          <w:u w:val="single"/>
          <w:lang w:val="sr-Latn-ME"/>
        </w:rPr>
        <w:t>EKA</w:t>
      </w:r>
    </w:p>
    <w:p w14:paraId="415C5B8F" w14:textId="77777777" w:rsidR="00CE09F3" w:rsidRPr="001D68EC" w:rsidRDefault="003E3EC7" w:rsidP="00804889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 </w:t>
      </w:r>
    </w:p>
    <w:p w14:paraId="0F315F55" w14:textId="1B2393D2" w:rsidR="00CE09F3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t xml:space="preserve">1. </w:t>
      </w:r>
      <w:r w:rsidR="0031263D" w:rsidRPr="001D68EC">
        <w:rPr>
          <w:lang w:val="sr-Latn-ME"/>
        </w:rPr>
        <w:t>NAZIV</w:t>
      </w:r>
      <w:r w:rsidRPr="001D68EC">
        <w:rPr>
          <w:lang w:val="sr-Latn-ME"/>
        </w:rPr>
        <w:t xml:space="preserve"> L</w:t>
      </w:r>
      <w:r w:rsidR="0031263D" w:rsidRPr="001D68EC">
        <w:rPr>
          <w:lang w:val="sr-Latn-ME"/>
        </w:rPr>
        <w:t>IJ</w:t>
      </w:r>
      <w:r w:rsidRPr="001D68EC">
        <w:rPr>
          <w:lang w:val="sr-Latn-ME"/>
        </w:rPr>
        <w:t>EKA</w:t>
      </w:r>
    </w:p>
    <w:p w14:paraId="7423064F" w14:textId="1E3AC422" w:rsidR="007732A7" w:rsidRPr="001D68EC" w:rsidRDefault="007C2189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Tigeciclina Normon</w:t>
      </w:r>
      <w:r w:rsidR="00CE09F3" w:rsidRPr="001D68EC">
        <w:rPr>
          <w:bCs/>
          <w:szCs w:val="22"/>
          <w:lang w:val="sr-Latn-ME"/>
        </w:rPr>
        <w:t xml:space="preserve">, </w:t>
      </w:r>
      <w:r w:rsidR="007732A7" w:rsidRPr="001D68EC">
        <w:rPr>
          <w:bCs/>
          <w:szCs w:val="22"/>
          <w:lang w:val="sr-Latn-ME"/>
        </w:rPr>
        <w:t>50 mg, prašak za rastvor za infuziju</w:t>
      </w:r>
    </w:p>
    <w:p w14:paraId="7EB5FB02" w14:textId="77777777" w:rsidR="000853E3" w:rsidRPr="001D68EC" w:rsidRDefault="000853E3">
      <w:pPr>
        <w:rPr>
          <w:bCs/>
          <w:szCs w:val="22"/>
          <w:lang w:val="sr-Latn-ME"/>
        </w:rPr>
      </w:pPr>
    </w:p>
    <w:p w14:paraId="266B74BD" w14:textId="77777777" w:rsidR="00CE09F3" w:rsidRPr="001D68EC" w:rsidRDefault="007732A7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INN: tigeciklin</w:t>
      </w:r>
    </w:p>
    <w:p w14:paraId="64D84F52" w14:textId="77777777" w:rsidR="00BE454B" w:rsidRPr="001D68EC" w:rsidRDefault="00BE454B">
      <w:pPr>
        <w:rPr>
          <w:szCs w:val="22"/>
          <w:lang w:val="sr-Latn-ME"/>
        </w:rPr>
      </w:pPr>
    </w:p>
    <w:p w14:paraId="036A37A1" w14:textId="77777777" w:rsidR="00CE09F3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t>2. KVALITATIVNI I KVANTITATIVNI SASTAV</w:t>
      </w:r>
    </w:p>
    <w:p w14:paraId="1CE4BB1C" w14:textId="490AE660" w:rsidR="00EE174C" w:rsidRPr="001D68EC" w:rsidRDefault="000E6645">
      <w:pPr>
        <w:rPr>
          <w:szCs w:val="22"/>
          <w:lang w:val="sr-Latn-ME"/>
        </w:rPr>
      </w:pPr>
      <w:bookmarkStart w:id="1" w:name="_Hlk113616247"/>
      <w:r w:rsidRPr="001D68EC">
        <w:rPr>
          <w:szCs w:val="22"/>
          <w:lang w:val="sr-Latn-ME"/>
        </w:rPr>
        <w:t>Jedna</w:t>
      </w:r>
      <w:r w:rsidR="00266DFE" w:rsidRPr="001D68EC">
        <w:rPr>
          <w:szCs w:val="22"/>
          <w:lang w:val="sr-Latn-ME"/>
        </w:rPr>
        <w:t xml:space="preserve"> bočica </w:t>
      </w:r>
      <w:r w:rsidR="00D50F9A" w:rsidRPr="001D68EC">
        <w:rPr>
          <w:szCs w:val="22"/>
          <w:lang w:val="sr-Latn-ME"/>
        </w:rPr>
        <w:t>z</w:t>
      </w:r>
      <w:r w:rsidR="006F3868" w:rsidRPr="001D68EC">
        <w:rPr>
          <w:szCs w:val="22"/>
          <w:lang w:val="sr-Latn-ME"/>
        </w:rPr>
        <w:t>a</w:t>
      </w:r>
      <w:r w:rsidR="0031263D" w:rsidRPr="001D68EC">
        <w:rPr>
          <w:szCs w:val="22"/>
          <w:lang w:val="sr-Latn-ME"/>
        </w:rPr>
        <w:t>pre</w:t>
      </w:r>
      <w:r w:rsidR="006F3868" w:rsidRPr="001D68EC">
        <w:rPr>
          <w:szCs w:val="22"/>
          <w:lang w:val="sr-Latn-ME"/>
        </w:rPr>
        <w:t>mine 10</w:t>
      </w:r>
      <w:r w:rsidR="000853E3" w:rsidRPr="001D68EC">
        <w:rPr>
          <w:szCs w:val="22"/>
          <w:lang w:val="sr-Latn-ME"/>
        </w:rPr>
        <w:t xml:space="preserve"> m</w:t>
      </w:r>
      <w:r w:rsidR="00855F21" w:rsidRPr="001D68EC">
        <w:rPr>
          <w:szCs w:val="22"/>
          <w:lang w:val="sr-Latn-ME"/>
        </w:rPr>
        <w:t>l</w:t>
      </w:r>
      <w:r w:rsidR="000853E3" w:rsidRPr="001D68EC">
        <w:rPr>
          <w:szCs w:val="22"/>
          <w:lang w:val="sr-Latn-ME"/>
        </w:rPr>
        <w:t xml:space="preserve"> sadrži 5</w:t>
      </w:r>
      <w:r w:rsidR="00266DFE" w:rsidRPr="001D68EC">
        <w:rPr>
          <w:szCs w:val="22"/>
          <w:lang w:val="sr-Latn-ME"/>
        </w:rPr>
        <w:t xml:space="preserve">0 mg </w:t>
      </w:r>
      <w:r w:rsidR="000853E3" w:rsidRPr="001D68EC">
        <w:rPr>
          <w:szCs w:val="22"/>
          <w:lang w:val="sr-Latn-ME"/>
        </w:rPr>
        <w:t>tigeciklina. Nakon rekonstitucije, 1 m</w:t>
      </w:r>
      <w:r w:rsidR="004C4B44" w:rsidRPr="001D68EC">
        <w:rPr>
          <w:szCs w:val="22"/>
          <w:lang w:val="sr-Latn-ME"/>
        </w:rPr>
        <w:t>l</w:t>
      </w:r>
      <w:r w:rsidR="000853E3" w:rsidRPr="001D68EC">
        <w:rPr>
          <w:szCs w:val="22"/>
          <w:lang w:val="sr-Latn-ME"/>
        </w:rPr>
        <w:t xml:space="preserve"> rastvora sadrži 10 mg tigeciklina.</w:t>
      </w:r>
    </w:p>
    <w:bookmarkEnd w:id="1"/>
    <w:p w14:paraId="0DEAEDAD" w14:textId="77777777" w:rsidR="00EE174C" w:rsidRPr="001D68EC" w:rsidRDefault="00EE174C">
      <w:pPr>
        <w:rPr>
          <w:szCs w:val="22"/>
          <w:lang w:val="sr-Latn-ME"/>
        </w:rPr>
      </w:pPr>
    </w:p>
    <w:p w14:paraId="08ACCAC9" w14:textId="042CEB4F" w:rsidR="001F4615" w:rsidRPr="001D68EC" w:rsidRDefault="001F461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Za </w:t>
      </w:r>
      <w:r w:rsidR="0031263D" w:rsidRPr="001D68EC">
        <w:rPr>
          <w:szCs w:val="22"/>
          <w:lang w:val="sr-Latn-ME"/>
        </w:rPr>
        <w:t>spisak svih ekscipijenasa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pogledati dio</w:t>
      </w:r>
      <w:r w:rsidRPr="001D68EC">
        <w:rPr>
          <w:szCs w:val="22"/>
          <w:lang w:val="sr-Latn-ME"/>
        </w:rPr>
        <w:t xml:space="preserve"> 6.1.</w:t>
      </w:r>
    </w:p>
    <w:p w14:paraId="7FDB2D92" w14:textId="77777777" w:rsidR="00BE454B" w:rsidRPr="001D68EC" w:rsidRDefault="00BE454B">
      <w:pPr>
        <w:rPr>
          <w:szCs w:val="22"/>
          <w:lang w:val="sr-Latn-ME"/>
        </w:rPr>
      </w:pPr>
    </w:p>
    <w:p w14:paraId="67EC38B0" w14:textId="77777777" w:rsidR="00CE09F3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t>3. FARMACEUTSKI OBLIK</w:t>
      </w:r>
    </w:p>
    <w:p w14:paraId="1633B178" w14:textId="1670341A" w:rsidR="000853E3" w:rsidRPr="001D68EC" w:rsidRDefault="00063E28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Prašak za rastvor za in</w:t>
      </w:r>
      <w:r w:rsidR="000853E3" w:rsidRPr="001D68EC">
        <w:rPr>
          <w:szCs w:val="22"/>
          <w:lang w:val="sr-Latn-ME"/>
        </w:rPr>
        <w:t>fuziju</w:t>
      </w:r>
      <w:r w:rsidRPr="001D68EC">
        <w:rPr>
          <w:szCs w:val="22"/>
          <w:lang w:val="sr-Latn-ME"/>
        </w:rPr>
        <w:t>.</w:t>
      </w:r>
    </w:p>
    <w:p w14:paraId="582C0582" w14:textId="14EA6767" w:rsidR="005E78AA" w:rsidRPr="001D68EC" w:rsidRDefault="00DD041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Liofilizirani p</w:t>
      </w:r>
      <w:r w:rsidR="006F7ED1" w:rsidRPr="001D68EC">
        <w:rPr>
          <w:szCs w:val="22"/>
          <w:lang w:val="sr-Latn-ME"/>
        </w:rPr>
        <w:t xml:space="preserve">rašak </w:t>
      </w:r>
      <w:r w:rsidR="000853E3" w:rsidRPr="001D68EC">
        <w:rPr>
          <w:szCs w:val="22"/>
          <w:lang w:val="sr-Latn-ME"/>
        </w:rPr>
        <w:t>narandžaste boje</w:t>
      </w:r>
      <w:r w:rsidR="00FB3887" w:rsidRPr="001D68EC">
        <w:rPr>
          <w:szCs w:val="22"/>
          <w:lang w:val="sr-Latn-ME"/>
        </w:rPr>
        <w:t>.</w:t>
      </w:r>
    </w:p>
    <w:p w14:paraId="26A90264" w14:textId="77777777" w:rsidR="00BE454B" w:rsidRPr="001D68EC" w:rsidRDefault="00BE454B">
      <w:pPr>
        <w:rPr>
          <w:szCs w:val="22"/>
          <w:lang w:val="sr-Latn-ME"/>
        </w:rPr>
      </w:pPr>
    </w:p>
    <w:p w14:paraId="2BDC3FEB" w14:textId="77777777" w:rsidR="00CE09F3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t>4. KLINIČKI PODACI</w:t>
      </w:r>
    </w:p>
    <w:p w14:paraId="3B8CDF3B" w14:textId="77777777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>4.1. Terapijske indikacije</w:t>
      </w:r>
    </w:p>
    <w:p w14:paraId="265CB181" w14:textId="77777777" w:rsidR="00CE09F3" w:rsidRPr="001D68EC" w:rsidRDefault="00CE09F3">
      <w:pPr>
        <w:rPr>
          <w:szCs w:val="22"/>
          <w:lang w:val="sr-Latn-ME"/>
        </w:rPr>
      </w:pPr>
    </w:p>
    <w:p w14:paraId="4D1257E3" w14:textId="719A02CB" w:rsidR="000853E3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Lijek</w:t>
      </w:r>
      <w:r w:rsidR="000853E3" w:rsidRPr="001D68EC">
        <w:rPr>
          <w:szCs w:val="22"/>
          <w:lang w:val="sr-Latn-ME"/>
        </w:rPr>
        <w:t xml:space="preserve"> </w:t>
      </w:r>
      <w:r w:rsidR="007C2189" w:rsidRPr="001D68EC">
        <w:rPr>
          <w:szCs w:val="22"/>
          <w:lang w:val="sr-Latn-ME"/>
        </w:rPr>
        <w:t>Tigeciclina Normon</w:t>
      </w:r>
      <w:r w:rsidR="000853E3" w:rsidRPr="001D68EC">
        <w:rPr>
          <w:szCs w:val="22"/>
          <w:lang w:val="sr-Latn-ME"/>
        </w:rPr>
        <w:t xml:space="preserve"> je indikovan za prim</w:t>
      </w:r>
      <w:r w:rsidR="00A14810" w:rsidRPr="001D68EC">
        <w:rPr>
          <w:szCs w:val="22"/>
          <w:lang w:val="sr-Latn-ME"/>
        </w:rPr>
        <w:t>j</w:t>
      </w:r>
      <w:r w:rsidR="000853E3" w:rsidRPr="001D68EC">
        <w:rPr>
          <w:szCs w:val="22"/>
          <w:lang w:val="sr-Latn-ME"/>
        </w:rPr>
        <w:t>enu kod odraslih i kod d</w:t>
      </w:r>
      <w:r w:rsidR="00A14810" w:rsidRPr="001D68EC">
        <w:rPr>
          <w:szCs w:val="22"/>
          <w:lang w:val="sr-Latn-ME"/>
        </w:rPr>
        <w:t>j</w:t>
      </w:r>
      <w:r w:rsidR="000853E3" w:rsidRPr="001D68EC">
        <w:rPr>
          <w:szCs w:val="22"/>
          <w:lang w:val="sr-Latn-ME"/>
        </w:rPr>
        <w:t>ece uzrasta 8 godina i starije u terapiji sledećih infekcija (</w:t>
      </w:r>
      <w:r w:rsidR="005B2A36" w:rsidRPr="001D68EC">
        <w:rPr>
          <w:szCs w:val="22"/>
          <w:lang w:val="sr-Latn-ME"/>
        </w:rPr>
        <w:t>pogledati</w:t>
      </w:r>
      <w:r w:rsidR="000853E3" w:rsidRPr="001D68EC">
        <w:rPr>
          <w:szCs w:val="22"/>
          <w:lang w:val="sr-Latn-ME"/>
        </w:rPr>
        <w:t xml:space="preserve"> </w:t>
      </w:r>
      <w:r w:rsidR="00A14810" w:rsidRPr="001D68EC">
        <w:rPr>
          <w:szCs w:val="22"/>
          <w:lang w:val="sr-Latn-ME"/>
        </w:rPr>
        <w:t>djelove</w:t>
      </w:r>
      <w:r w:rsidR="000853E3" w:rsidRPr="001D68EC">
        <w:rPr>
          <w:szCs w:val="22"/>
          <w:lang w:val="sr-Latn-ME"/>
        </w:rPr>
        <w:t xml:space="preserve"> 4.4 i 5.1):</w:t>
      </w:r>
    </w:p>
    <w:p w14:paraId="53C277E1" w14:textId="77777777" w:rsidR="000853E3" w:rsidRPr="001D68EC" w:rsidRDefault="000853E3">
      <w:pPr>
        <w:rPr>
          <w:szCs w:val="22"/>
          <w:lang w:val="sr-Latn-ME"/>
        </w:rPr>
      </w:pPr>
    </w:p>
    <w:p w14:paraId="5B241A85" w14:textId="77777777" w:rsidR="0024109D" w:rsidRPr="001D68EC" w:rsidRDefault="000853E3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• Komplikovane infekcije kože i mekog tkiva (engl. </w:t>
      </w:r>
      <w:r w:rsidRPr="001D68EC">
        <w:rPr>
          <w:i/>
          <w:szCs w:val="22"/>
          <w:lang w:val="sr-Latn-ME"/>
        </w:rPr>
        <w:t>complicated skin and soft tissue infections</w:t>
      </w:r>
      <w:r w:rsidRPr="001D68EC">
        <w:rPr>
          <w:szCs w:val="22"/>
          <w:lang w:val="sr-Latn-ME"/>
        </w:rPr>
        <w:t>, cSSTI),</w:t>
      </w:r>
      <w:r w:rsidR="0024109D" w:rsidRPr="001D68EC">
        <w:rPr>
          <w:szCs w:val="22"/>
          <w:lang w:val="sr-Latn-ME"/>
        </w:rPr>
        <w:t xml:space="preserve">     </w:t>
      </w:r>
    </w:p>
    <w:p w14:paraId="050C8533" w14:textId="5CBEF2B3" w:rsidR="000853E3" w:rsidRPr="001D68EC" w:rsidRDefault="0024109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  </w:t>
      </w:r>
      <w:r w:rsidR="000853E3" w:rsidRPr="001D68EC">
        <w:rPr>
          <w:szCs w:val="22"/>
          <w:lang w:val="sr-Latn-ME"/>
        </w:rPr>
        <w:t>isključujući terapiju dijabetesnog stopala (</w:t>
      </w:r>
      <w:r w:rsidR="005B2A36" w:rsidRPr="001D68EC">
        <w:rPr>
          <w:szCs w:val="22"/>
          <w:lang w:val="sr-Latn-ME"/>
        </w:rPr>
        <w:t>pogledati</w:t>
      </w:r>
      <w:r w:rsidR="000853E3"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="000853E3" w:rsidRPr="001D68EC">
        <w:rPr>
          <w:szCs w:val="22"/>
          <w:lang w:val="sr-Latn-ME"/>
        </w:rPr>
        <w:t xml:space="preserve"> 4.4)</w:t>
      </w:r>
    </w:p>
    <w:p w14:paraId="4C5E9645" w14:textId="77777777" w:rsidR="000853E3" w:rsidRPr="001D68EC" w:rsidRDefault="000853E3">
      <w:pPr>
        <w:rPr>
          <w:szCs w:val="22"/>
          <w:lang w:val="sr-Latn-ME"/>
        </w:rPr>
      </w:pPr>
    </w:p>
    <w:p w14:paraId="63B7BD5D" w14:textId="77777777" w:rsidR="000853E3" w:rsidRPr="001D68EC" w:rsidRDefault="000853E3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• Komplikovane intraabdominalne infekcije (engl. </w:t>
      </w:r>
      <w:r w:rsidRPr="001D68EC">
        <w:rPr>
          <w:i/>
          <w:szCs w:val="22"/>
          <w:lang w:val="sr-Latn-ME"/>
        </w:rPr>
        <w:t>complicated intra-abdominal infections</w:t>
      </w:r>
      <w:r w:rsidRPr="001D68EC">
        <w:rPr>
          <w:szCs w:val="22"/>
          <w:lang w:val="sr-Latn-ME"/>
        </w:rPr>
        <w:t>, cIAI)</w:t>
      </w:r>
    </w:p>
    <w:p w14:paraId="1AE892FF" w14:textId="77777777" w:rsidR="000853E3" w:rsidRPr="001D68EC" w:rsidRDefault="000853E3">
      <w:pPr>
        <w:rPr>
          <w:szCs w:val="22"/>
          <w:lang w:val="sr-Latn-ME"/>
        </w:rPr>
      </w:pPr>
    </w:p>
    <w:p w14:paraId="675BFDED" w14:textId="24BDBA76" w:rsidR="000853E3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Lijek</w:t>
      </w:r>
      <w:r w:rsidR="000853E3" w:rsidRPr="001D68EC">
        <w:rPr>
          <w:szCs w:val="22"/>
          <w:lang w:val="sr-Latn-ME"/>
        </w:rPr>
        <w:t xml:space="preserve"> </w:t>
      </w:r>
      <w:r w:rsidR="007C2189" w:rsidRPr="001D68EC">
        <w:rPr>
          <w:szCs w:val="22"/>
          <w:lang w:val="sr-Latn-ME"/>
        </w:rPr>
        <w:t>Tigeciclina Normon</w:t>
      </w:r>
      <w:r w:rsidR="000853E3" w:rsidRPr="001D68EC">
        <w:rPr>
          <w:szCs w:val="22"/>
          <w:lang w:val="sr-Latn-ME"/>
        </w:rPr>
        <w:t xml:space="preserve"> treba koristiti samo u situacijama kada drugi alternativni antibiotici ni</w:t>
      </w:r>
      <w:r w:rsidR="001B3AA6" w:rsidRPr="001D68EC">
        <w:rPr>
          <w:szCs w:val="22"/>
          <w:lang w:val="sr-Latn-ME"/>
        </w:rPr>
        <w:t>je</w:t>
      </w:r>
      <w:r w:rsidR="000853E3" w:rsidRPr="001D68EC">
        <w:rPr>
          <w:szCs w:val="22"/>
          <w:lang w:val="sr-Latn-ME"/>
        </w:rPr>
        <w:t>su pogodni (</w:t>
      </w:r>
      <w:r w:rsidR="005B2A36" w:rsidRPr="001D68EC">
        <w:rPr>
          <w:szCs w:val="22"/>
          <w:lang w:val="sr-Latn-ME"/>
        </w:rPr>
        <w:t>pogledati</w:t>
      </w:r>
      <w:r w:rsidR="000853E3" w:rsidRPr="001D68EC">
        <w:rPr>
          <w:szCs w:val="22"/>
          <w:lang w:val="sr-Latn-ME"/>
        </w:rPr>
        <w:t xml:space="preserve"> </w:t>
      </w:r>
      <w:r w:rsidR="00A14810" w:rsidRPr="001D68EC">
        <w:rPr>
          <w:szCs w:val="22"/>
          <w:lang w:val="sr-Latn-ME"/>
        </w:rPr>
        <w:t>djelove</w:t>
      </w:r>
      <w:r w:rsidR="000853E3" w:rsidRPr="001D68EC">
        <w:rPr>
          <w:szCs w:val="22"/>
          <w:lang w:val="sr-Latn-ME"/>
        </w:rPr>
        <w:t xml:space="preserve"> 4.4, 4.8 i 5.1).</w:t>
      </w:r>
    </w:p>
    <w:p w14:paraId="4F295D44" w14:textId="77777777" w:rsidR="000853E3" w:rsidRPr="001D68EC" w:rsidRDefault="000853E3">
      <w:pPr>
        <w:rPr>
          <w:szCs w:val="22"/>
          <w:lang w:val="sr-Latn-ME"/>
        </w:rPr>
      </w:pPr>
    </w:p>
    <w:p w14:paraId="00EBD053" w14:textId="23302F98" w:rsidR="000853E3" w:rsidRPr="001D68EC" w:rsidRDefault="000853E3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Treba uzeti u obzir zvanične sm</w:t>
      </w:r>
      <w:r w:rsidR="00A14810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ernice o pravilnoj upotrebi antibiotika.</w:t>
      </w:r>
    </w:p>
    <w:p w14:paraId="300C7AB7" w14:textId="77777777" w:rsidR="000853E3" w:rsidRPr="001D68EC" w:rsidRDefault="000853E3">
      <w:pPr>
        <w:rPr>
          <w:b/>
          <w:bCs/>
          <w:szCs w:val="22"/>
          <w:lang w:val="sr-Latn-ME"/>
        </w:rPr>
      </w:pPr>
    </w:p>
    <w:p w14:paraId="69CC8822" w14:textId="4A4BF3AA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>4.2. Doziranje i način prim</w:t>
      </w:r>
      <w:r w:rsidR="0031263D" w:rsidRPr="001D68EC">
        <w:rPr>
          <w:b/>
          <w:bCs/>
          <w:szCs w:val="22"/>
          <w:lang w:val="sr-Latn-ME"/>
        </w:rPr>
        <w:t>j</w:t>
      </w:r>
      <w:r w:rsidRPr="001D68EC">
        <w:rPr>
          <w:b/>
          <w:bCs/>
          <w:szCs w:val="22"/>
          <w:lang w:val="sr-Latn-ME"/>
        </w:rPr>
        <w:t>ene</w:t>
      </w:r>
    </w:p>
    <w:p w14:paraId="668F6F65" w14:textId="77777777" w:rsidR="00CE09F3" w:rsidRPr="001D68EC" w:rsidRDefault="00CE09F3">
      <w:pPr>
        <w:rPr>
          <w:szCs w:val="22"/>
          <w:lang w:val="sr-Latn-ME"/>
        </w:rPr>
      </w:pPr>
    </w:p>
    <w:p w14:paraId="27B156E0" w14:textId="77777777" w:rsidR="00147326" w:rsidRPr="001D68EC" w:rsidRDefault="00147326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Doziranje</w:t>
      </w:r>
    </w:p>
    <w:p w14:paraId="595E9967" w14:textId="77777777" w:rsidR="00147326" w:rsidRPr="001D68EC" w:rsidRDefault="00147326">
      <w:pPr>
        <w:rPr>
          <w:szCs w:val="22"/>
          <w:u w:val="single"/>
          <w:lang w:val="sr-Latn-ME"/>
        </w:rPr>
      </w:pPr>
    </w:p>
    <w:p w14:paraId="5314BD20" w14:textId="0A9E9484" w:rsidR="00147326" w:rsidRPr="001D68EC" w:rsidRDefault="0014732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Odrasli</w:t>
      </w:r>
    </w:p>
    <w:p w14:paraId="208012BF" w14:textId="7F8D9130" w:rsidR="00147326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</w:t>
      </w:r>
      <w:r w:rsidR="004B056E" w:rsidRPr="001D68EC">
        <w:rPr>
          <w:szCs w:val="22"/>
          <w:lang w:val="sr-Latn-ME"/>
        </w:rPr>
        <w:t>r</w:t>
      </w:r>
      <w:r w:rsidRPr="001D68EC">
        <w:rPr>
          <w:szCs w:val="22"/>
          <w:lang w:val="sr-Latn-ME"/>
        </w:rPr>
        <w:t>e</w:t>
      </w:r>
      <w:r w:rsidR="00147326" w:rsidRPr="001D68EC">
        <w:rPr>
          <w:szCs w:val="22"/>
          <w:lang w:val="sr-Latn-ME"/>
        </w:rPr>
        <w:t>poručena inicijalna doza za odrasle je 100 mg, nakon koje sl</w:t>
      </w:r>
      <w:r w:rsidR="00855F21" w:rsidRPr="001D68EC">
        <w:rPr>
          <w:szCs w:val="22"/>
          <w:lang w:val="sr-Latn-ME"/>
        </w:rPr>
        <w:t>ij</w:t>
      </w:r>
      <w:r w:rsidR="00147326" w:rsidRPr="001D68EC">
        <w:rPr>
          <w:szCs w:val="22"/>
          <w:lang w:val="sr-Latn-ME"/>
        </w:rPr>
        <w:t xml:space="preserve">edi </w:t>
      </w:r>
      <w:r w:rsidRPr="001D68EC">
        <w:rPr>
          <w:szCs w:val="22"/>
          <w:lang w:val="sr-Latn-ME"/>
        </w:rPr>
        <w:t>primjena</w:t>
      </w:r>
      <w:r w:rsidR="00147326" w:rsidRPr="001D68EC">
        <w:rPr>
          <w:szCs w:val="22"/>
          <w:lang w:val="sr-Latn-ME"/>
        </w:rPr>
        <w:t xml:space="preserve"> doze od 50 mg na svakih 12 sati,</w:t>
      </w:r>
      <w:r w:rsidR="00855F21" w:rsidRPr="001D68EC">
        <w:rPr>
          <w:szCs w:val="22"/>
          <w:lang w:val="sr-Latn-ME"/>
        </w:rPr>
        <w:t xml:space="preserve"> </w:t>
      </w:r>
      <w:r w:rsidR="00147326" w:rsidRPr="001D68EC">
        <w:rPr>
          <w:szCs w:val="22"/>
          <w:lang w:val="sr-Latn-ME"/>
        </w:rPr>
        <w:t>tokom 5 do 14 dana.</w:t>
      </w:r>
    </w:p>
    <w:p w14:paraId="7180814A" w14:textId="77777777" w:rsidR="00147326" w:rsidRPr="001D68EC" w:rsidRDefault="00147326">
      <w:pPr>
        <w:rPr>
          <w:szCs w:val="22"/>
          <w:lang w:val="sr-Latn-ME"/>
        </w:rPr>
      </w:pPr>
    </w:p>
    <w:p w14:paraId="1F9CF5B2" w14:textId="26910FE0" w:rsidR="00147326" w:rsidRPr="001D68EC" w:rsidRDefault="0031263D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Djeca</w:t>
      </w:r>
      <w:r w:rsidR="00147326" w:rsidRPr="001D68EC">
        <w:rPr>
          <w:i/>
          <w:szCs w:val="22"/>
          <w:lang w:val="sr-Latn-ME"/>
        </w:rPr>
        <w:t xml:space="preserve"> i adolescenti (8 do 17 godina)</w:t>
      </w:r>
    </w:p>
    <w:p w14:paraId="52DC6449" w14:textId="15E6A21E" w:rsidR="00147326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Djeca</w:t>
      </w:r>
      <w:r w:rsidR="00147326" w:rsidRPr="001D68EC">
        <w:rPr>
          <w:szCs w:val="22"/>
          <w:lang w:val="sr-Latn-ME"/>
        </w:rPr>
        <w:t xml:space="preserve"> uzrasta od 8 do &lt;12 godina: 1,2 mg/kg tigeciklina na svakih 12 sati intravenski do maksimalne doze</w:t>
      </w:r>
      <w:r w:rsidR="0024109D" w:rsidRPr="001D68EC">
        <w:rPr>
          <w:szCs w:val="22"/>
          <w:lang w:val="sr-Latn-ME"/>
        </w:rPr>
        <w:t xml:space="preserve"> </w:t>
      </w:r>
      <w:r w:rsidR="00147326" w:rsidRPr="001D68EC">
        <w:rPr>
          <w:szCs w:val="22"/>
          <w:lang w:val="sr-Latn-ME"/>
        </w:rPr>
        <w:t>od 50 mg na svakih 12 sati tokom 5 do 14 dana.</w:t>
      </w:r>
    </w:p>
    <w:p w14:paraId="6F5B9AB2" w14:textId="77777777" w:rsidR="00BE454B" w:rsidRPr="001D68EC" w:rsidRDefault="00BE454B">
      <w:pPr>
        <w:rPr>
          <w:szCs w:val="22"/>
          <w:lang w:val="sr-Latn-ME"/>
        </w:rPr>
      </w:pPr>
    </w:p>
    <w:p w14:paraId="6C003403" w14:textId="261ADB4B" w:rsidR="00147326" w:rsidRPr="001D68EC" w:rsidRDefault="0014732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Adolescenti uzrasta od 12 do &lt;18 godina: 50 mg tigeciklina na svakih 12 sati tokom 5 do 14 dana.</w:t>
      </w:r>
    </w:p>
    <w:p w14:paraId="67A7A2A2" w14:textId="77777777" w:rsidR="00BE454B" w:rsidRPr="001D68EC" w:rsidRDefault="00BE454B">
      <w:pPr>
        <w:rPr>
          <w:szCs w:val="22"/>
          <w:lang w:val="sr-Latn-ME"/>
        </w:rPr>
      </w:pPr>
    </w:p>
    <w:p w14:paraId="009BA772" w14:textId="2E8E5CF6" w:rsidR="00BE454B" w:rsidRPr="001D68EC" w:rsidRDefault="00BE454B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Trajanje terapije treba odrediti prema težini i mjestu infekcije i kliničkom odgovoru pacijenta.</w:t>
      </w:r>
    </w:p>
    <w:p w14:paraId="5ED83BB8" w14:textId="77777777" w:rsidR="00147326" w:rsidRPr="001D68EC" w:rsidRDefault="00147326">
      <w:pPr>
        <w:rPr>
          <w:szCs w:val="22"/>
          <w:lang w:val="sr-Latn-ME"/>
        </w:rPr>
      </w:pPr>
    </w:p>
    <w:p w14:paraId="6C31E7F2" w14:textId="77777777" w:rsidR="002E204C" w:rsidRDefault="002E204C">
      <w:pPr>
        <w:rPr>
          <w:i/>
          <w:szCs w:val="22"/>
          <w:lang w:val="sr-Latn-ME"/>
        </w:rPr>
      </w:pPr>
    </w:p>
    <w:p w14:paraId="2877D996" w14:textId="0DFE3487" w:rsidR="00147326" w:rsidRPr="001D68EC" w:rsidRDefault="0014732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lastRenderedPageBreak/>
        <w:t>Stariji pacijenti</w:t>
      </w:r>
    </w:p>
    <w:p w14:paraId="18E31DDF" w14:textId="40058FE5" w:rsidR="00147326" w:rsidRPr="001D68EC" w:rsidRDefault="0014732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Nije potrebno prilagođavati dozu kod starijih pacijenata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5.2).</w:t>
      </w:r>
    </w:p>
    <w:p w14:paraId="5BFDA756" w14:textId="77777777" w:rsidR="00147326" w:rsidRPr="001D68EC" w:rsidRDefault="00147326">
      <w:pPr>
        <w:rPr>
          <w:szCs w:val="22"/>
          <w:lang w:val="sr-Latn-ME"/>
        </w:rPr>
      </w:pPr>
    </w:p>
    <w:p w14:paraId="2D097858" w14:textId="77777777" w:rsidR="00147326" w:rsidRPr="001D68EC" w:rsidRDefault="0014732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Oštećenje funkcije jetre</w:t>
      </w:r>
    </w:p>
    <w:p w14:paraId="2E6988A3" w14:textId="7507D62C" w:rsidR="00147326" w:rsidRPr="001D68EC" w:rsidRDefault="0014732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Nije potrebno prilagođavati dozu kod pacijenata sa blagim do um</w:t>
      </w:r>
      <w:r w:rsidR="0024109D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erenim oštećenjem funkcije jetre (</w:t>
      </w:r>
      <w:r w:rsidRPr="001D68EC">
        <w:rPr>
          <w:i/>
          <w:szCs w:val="22"/>
          <w:lang w:val="sr-Latn-ME"/>
        </w:rPr>
        <w:t>Child</w:t>
      </w:r>
      <w:r w:rsidR="004B056E" w:rsidRPr="001D68EC">
        <w:rPr>
          <w:i/>
          <w:szCs w:val="22"/>
          <w:lang w:val="sr-Latn-ME"/>
        </w:rPr>
        <w:t xml:space="preserve"> </w:t>
      </w:r>
      <w:r w:rsidRPr="001D68EC">
        <w:rPr>
          <w:i/>
          <w:szCs w:val="22"/>
          <w:lang w:val="sr-Latn-ME"/>
        </w:rPr>
        <w:t>Pugh A i Child Pugh B</w:t>
      </w:r>
      <w:r w:rsidRPr="001D68EC">
        <w:rPr>
          <w:szCs w:val="22"/>
          <w:lang w:val="sr-Latn-ME"/>
        </w:rPr>
        <w:t>).</w:t>
      </w:r>
    </w:p>
    <w:p w14:paraId="21ABA803" w14:textId="77777777" w:rsidR="00147326" w:rsidRPr="001D68EC" w:rsidRDefault="00147326">
      <w:pPr>
        <w:rPr>
          <w:szCs w:val="22"/>
          <w:lang w:val="sr-Latn-ME"/>
        </w:rPr>
      </w:pPr>
    </w:p>
    <w:p w14:paraId="7A9DC670" w14:textId="4F0615B1" w:rsidR="00147326" w:rsidRPr="001D68EC" w:rsidRDefault="0014732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Kod pacijenata (uključujući i pedijatrijsku populaciju) sa teškim oštećenjem funkcije jetre (</w:t>
      </w:r>
      <w:r w:rsidRPr="001D68EC">
        <w:rPr>
          <w:i/>
          <w:szCs w:val="22"/>
          <w:lang w:val="sr-Latn-ME"/>
        </w:rPr>
        <w:t>Child Pugh C</w:t>
      </w:r>
      <w:r w:rsidRPr="001D68EC">
        <w:rPr>
          <w:szCs w:val="22"/>
          <w:lang w:val="sr-Latn-ME"/>
        </w:rPr>
        <w:t>)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doza tigeciklina treba da se smanji za 50%. Nakon prim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udarne doze od 100 mg, doza kod odraslih treba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da se smanji na 25 mg na svakih 12 sati. Pacijente sa teškim oštećenjem funkcije jetre (</w:t>
      </w:r>
      <w:r w:rsidRPr="001D68EC">
        <w:rPr>
          <w:i/>
          <w:szCs w:val="22"/>
          <w:lang w:val="sr-Latn-ME"/>
        </w:rPr>
        <w:t>Child Pugh C</w:t>
      </w:r>
      <w:r w:rsidRPr="001D68EC">
        <w:rPr>
          <w:szCs w:val="22"/>
          <w:lang w:val="sr-Latn-ME"/>
        </w:rPr>
        <w:t>) treba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l</w:t>
      </w:r>
      <w:r w:rsidR="0024109D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ečiti sa </w:t>
      </w:r>
      <w:r w:rsidR="00484B49" w:rsidRPr="001D68EC">
        <w:rPr>
          <w:szCs w:val="22"/>
          <w:lang w:val="sr-Latn-ME"/>
        </w:rPr>
        <w:t>oprez</w:t>
      </w:r>
      <w:r w:rsidRPr="001D68EC">
        <w:rPr>
          <w:szCs w:val="22"/>
          <w:lang w:val="sr-Latn-ME"/>
        </w:rPr>
        <w:t>om i pratiti njihov odgovor na terapiju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A14810" w:rsidRPr="001D68EC">
        <w:rPr>
          <w:szCs w:val="22"/>
          <w:lang w:val="sr-Latn-ME"/>
        </w:rPr>
        <w:t>djelove</w:t>
      </w:r>
      <w:r w:rsidRPr="001D68EC">
        <w:rPr>
          <w:szCs w:val="22"/>
          <w:lang w:val="sr-Latn-ME"/>
        </w:rPr>
        <w:t xml:space="preserve"> 4.4 i 5.2).</w:t>
      </w:r>
    </w:p>
    <w:p w14:paraId="11D2BBC3" w14:textId="77777777" w:rsidR="00147326" w:rsidRPr="001D68EC" w:rsidRDefault="00147326">
      <w:pPr>
        <w:rPr>
          <w:szCs w:val="22"/>
          <w:lang w:val="sr-Latn-ME"/>
        </w:rPr>
      </w:pPr>
    </w:p>
    <w:p w14:paraId="5C79F218" w14:textId="77777777" w:rsidR="00147326" w:rsidRPr="001D68EC" w:rsidRDefault="0014732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Oštećenje funkcije bubrega</w:t>
      </w:r>
    </w:p>
    <w:p w14:paraId="12794B3C" w14:textId="48B03A03" w:rsidR="00147326" w:rsidRPr="001D68EC" w:rsidRDefault="0014732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Nije potrebno prilagođavati dozu kod pacijenata sa oštećenjem funkcije bubrega, kao ni kod pacijenata koji</w:t>
      </w:r>
      <w:r w:rsidR="004C4B4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su na hemodijalizi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5.2).</w:t>
      </w:r>
    </w:p>
    <w:p w14:paraId="524809D3" w14:textId="77777777" w:rsidR="00147326" w:rsidRPr="001D68EC" w:rsidRDefault="00147326">
      <w:pPr>
        <w:rPr>
          <w:szCs w:val="22"/>
          <w:lang w:val="sr-Latn-ME"/>
        </w:rPr>
      </w:pPr>
    </w:p>
    <w:p w14:paraId="30ADB301" w14:textId="77777777" w:rsidR="00147326" w:rsidRPr="001D68EC" w:rsidRDefault="0014732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Pedijatrijska populacija</w:t>
      </w:r>
    </w:p>
    <w:p w14:paraId="12B8EE8E" w14:textId="4EDB927E" w:rsidR="00E965EF" w:rsidRPr="001D68EC" w:rsidRDefault="00E965E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Bezb</w:t>
      </w:r>
      <w:r w:rsidR="00A14810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ednost i efikasnost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a </w:t>
      </w:r>
      <w:r w:rsidR="007C2189" w:rsidRPr="001D68EC">
        <w:rPr>
          <w:szCs w:val="22"/>
          <w:lang w:val="sr-Latn-ME"/>
        </w:rPr>
        <w:t>Tigeciclina Normon</w:t>
      </w:r>
      <w:r w:rsidRPr="001D68EC">
        <w:rPr>
          <w:szCs w:val="22"/>
          <w:lang w:val="sr-Latn-ME"/>
        </w:rPr>
        <w:t xml:space="preserve"> kod </w:t>
      </w:r>
      <w:r w:rsidR="00A14810" w:rsidRPr="001D68EC">
        <w:rPr>
          <w:szCs w:val="22"/>
          <w:lang w:val="sr-Latn-ME"/>
        </w:rPr>
        <w:t>djece</w:t>
      </w:r>
      <w:r w:rsidRPr="001D68EC">
        <w:rPr>
          <w:szCs w:val="22"/>
          <w:lang w:val="sr-Latn-ME"/>
        </w:rPr>
        <w:t xml:space="preserve"> mlađe od 8 godina nije utvrđena. Nema dostupnih podataka.</w:t>
      </w:r>
    </w:p>
    <w:p w14:paraId="5BA4721C" w14:textId="506761DA" w:rsidR="00E965EF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Lijek</w:t>
      </w:r>
      <w:r w:rsidR="00E965EF" w:rsidRPr="001D68EC">
        <w:rPr>
          <w:szCs w:val="22"/>
          <w:lang w:val="sr-Latn-ME"/>
        </w:rPr>
        <w:t xml:space="preserve"> </w:t>
      </w:r>
      <w:r w:rsidR="007C2189" w:rsidRPr="001D68EC">
        <w:rPr>
          <w:szCs w:val="22"/>
          <w:lang w:val="sr-Latn-ME"/>
        </w:rPr>
        <w:t>Tigeciclina Normon</w:t>
      </w:r>
      <w:r w:rsidR="00E965EF" w:rsidRPr="001D68EC">
        <w:rPr>
          <w:szCs w:val="22"/>
          <w:lang w:val="sr-Latn-ME"/>
        </w:rPr>
        <w:t xml:space="preserve"> </w:t>
      </w:r>
      <w:r w:rsidR="00BE454B" w:rsidRPr="001D68EC">
        <w:rPr>
          <w:szCs w:val="22"/>
          <w:lang w:val="sr-Latn-ME"/>
        </w:rPr>
        <w:t>se ne smije</w:t>
      </w:r>
      <w:r w:rsidR="00E965EF" w:rsidRPr="001D68EC">
        <w:rPr>
          <w:szCs w:val="22"/>
          <w:lang w:val="sr-Latn-ME"/>
        </w:rPr>
        <w:t xml:space="preserve"> koristiti kod </w:t>
      </w:r>
      <w:r w:rsidR="00A14810" w:rsidRPr="001D68EC">
        <w:rPr>
          <w:szCs w:val="22"/>
          <w:lang w:val="sr-Latn-ME"/>
        </w:rPr>
        <w:t>djece</w:t>
      </w:r>
      <w:r w:rsidR="00E965EF" w:rsidRPr="001D68EC">
        <w:rPr>
          <w:szCs w:val="22"/>
          <w:lang w:val="sr-Latn-ME"/>
        </w:rPr>
        <w:t xml:space="preserve"> mlađe od 8 godina zbog prom</w:t>
      </w:r>
      <w:r w:rsidR="00A14810" w:rsidRPr="001D68EC">
        <w:rPr>
          <w:szCs w:val="22"/>
          <w:lang w:val="sr-Latn-ME"/>
        </w:rPr>
        <w:t>j</w:t>
      </w:r>
      <w:r w:rsidR="00E965EF" w:rsidRPr="001D68EC">
        <w:rPr>
          <w:szCs w:val="22"/>
          <w:lang w:val="sr-Latn-ME"/>
        </w:rPr>
        <w:t>ene boje zuba (</w:t>
      </w:r>
      <w:r w:rsidR="005B2A36" w:rsidRPr="001D68EC">
        <w:rPr>
          <w:szCs w:val="22"/>
          <w:lang w:val="sr-Latn-ME"/>
        </w:rPr>
        <w:t>pogledati</w:t>
      </w:r>
      <w:r w:rsidR="00E965EF" w:rsidRPr="001D68EC">
        <w:rPr>
          <w:szCs w:val="22"/>
          <w:lang w:val="sr-Latn-ME"/>
        </w:rPr>
        <w:t xml:space="preserve"> </w:t>
      </w:r>
      <w:r w:rsidR="00A14810" w:rsidRPr="001D68EC">
        <w:rPr>
          <w:szCs w:val="22"/>
          <w:lang w:val="sr-Latn-ME"/>
        </w:rPr>
        <w:t>djelove</w:t>
      </w:r>
      <w:r w:rsidR="00E965EF" w:rsidRPr="001D68EC">
        <w:rPr>
          <w:szCs w:val="22"/>
          <w:lang w:val="sr-Latn-ME"/>
        </w:rPr>
        <w:t xml:space="preserve"> 4.4 i 5.1).</w:t>
      </w:r>
    </w:p>
    <w:p w14:paraId="4EBA82AC" w14:textId="77777777" w:rsidR="0026781D" w:rsidRPr="001D68EC" w:rsidRDefault="0026781D">
      <w:pPr>
        <w:rPr>
          <w:szCs w:val="22"/>
          <w:lang w:val="sr-Latn-ME"/>
        </w:rPr>
      </w:pPr>
    </w:p>
    <w:p w14:paraId="6433ECE7" w14:textId="626301E2" w:rsidR="00E965EF" w:rsidRPr="001D68EC" w:rsidRDefault="00E965EF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Način prim</w:t>
      </w:r>
      <w:r w:rsidR="0031263D" w:rsidRPr="001D68EC">
        <w:rPr>
          <w:szCs w:val="22"/>
          <w:u w:val="single"/>
          <w:lang w:val="sr-Latn-ME"/>
        </w:rPr>
        <w:t>j</w:t>
      </w:r>
      <w:r w:rsidRPr="001D68EC">
        <w:rPr>
          <w:szCs w:val="22"/>
          <w:u w:val="single"/>
          <w:lang w:val="sr-Latn-ME"/>
        </w:rPr>
        <w:t>ene</w:t>
      </w:r>
    </w:p>
    <w:p w14:paraId="733194F8" w14:textId="65799E4C" w:rsidR="00E965EF" w:rsidRPr="001D68EC" w:rsidRDefault="00E965E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Tigeciklin se prim</w:t>
      </w:r>
      <w:r w:rsidR="0031263D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enjuje isključivo u obliku intravenske infuzije u trajanju od 30 do 60 minuta (</w:t>
      </w:r>
      <w:r w:rsidR="0031263D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 xml:space="preserve">djelove </w:t>
      </w:r>
      <w:r w:rsidRPr="001D68EC">
        <w:rPr>
          <w:szCs w:val="22"/>
          <w:lang w:val="sr-Latn-ME"/>
        </w:rPr>
        <w:t>4.4 i 6.6). Kod pedijatrijskih pacijenata poželjno je prim</w:t>
      </w:r>
      <w:r w:rsidR="0031263D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enjivati infuziju tigeciklina u trajanju od 60 minuta</w:t>
      </w:r>
      <w:r w:rsidR="0031263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(</w:t>
      </w:r>
      <w:r w:rsidR="0031263D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4.4).</w:t>
      </w:r>
    </w:p>
    <w:p w14:paraId="502CD8A4" w14:textId="77777777" w:rsidR="0026781D" w:rsidRPr="001D68EC" w:rsidRDefault="0026781D">
      <w:pPr>
        <w:rPr>
          <w:szCs w:val="22"/>
          <w:lang w:val="sr-Latn-ME"/>
        </w:rPr>
      </w:pPr>
    </w:p>
    <w:p w14:paraId="637FF0CE" w14:textId="7BAE1214" w:rsidR="00E965EF" w:rsidRPr="001D68EC" w:rsidRDefault="00E965E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Za uputstvo o rekonstituciji i razblaživanju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a 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 xml:space="preserve"> prim</w:t>
      </w:r>
      <w:r w:rsidR="00A14810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ene 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6.6.</w:t>
      </w:r>
    </w:p>
    <w:p w14:paraId="3E45F7E3" w14:textId="77777777" w:rsidR="0026781D" w:rsidRPr="001D68EC" w:rsidRDefault="0026781D">
      <w:pPr>
        <w:rPr>
          <w:szCs w:val="22"/>
          <w:lang w:val="sr-Latn-ME"/>
        </w:rPr>
      </w:pPr>
    </w:p>
    <w:p w14:paraId="1D438C45" w14:textId="77777777" w:rsidR="00E965EF" w:rsidRPr="001D68EC" w:rsidRDefault="00E965EF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4.3. Kontraindikacije</w:t>
      </w:r>
    </w:p>
    <w:p w14:paraId="4368ED83" w14:textId="77777777" w:rsidR="0026781D" w:rsidRPr="001D68EC" w:rsidRDefault="0026781D">
      <w:pPr>
        <w:rPr>
          <w:b/>
          <w:szCs w:val="22"/>
          <w:lang w:val="sr-Latn-ME"/>
        </w:rPr>
      </w:pPr>
    </w:p>
    <w:p w14:paraId="2B6C8824" w14:textId="7791FFA3" w:rsidR="00E965EF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</w:t>
      </w:r>
      <w:r w:rsidR="00855F21" w:rsidRPr="001D68EC">
        <w:rPr>
          <w:szCs w:val="22"/>
          <w:lang w:val="sr-Latn-ME"/>
        </w:rPr>
        <w:t>eo</w:t>
      </w:r>
      <w:r w:rsidR="00E965EF" w:rsidRPr="001D68EC">
        <w:rPr>
          <w:szCs w:val="22"/>
          <w:lang w:val="sr-Latn-ME"/>
        </w:rPr>
        <w:t>s</w:t>
      </w:r>
      <w:r w:rsidR="00855F21" w:rsidRPr="001D68EC">
        <w:rPr>
          <w:szCs w:val="22"/>
          <w:lang w:val="sr-Latn-ME"/>
        </w:rPr>
        <w:t>j</w:t>
      </w:r>
      <w:r w:rsidR="00E965EF" w:rsidRPr="001D68EC">
        <w:rPr>
          <w:szCs w:val="22"/>
          <w:lang w:val="sr-Latn-ME"/>
        </w:rPr>
        <w:t xml:space="preserve">etljivost na aktivnu supstancu ili na bilo koju od pomoćnih supstanci navedenih u </w:t>
      </w:r>
      <w:r w:rsidR="00C401F4" w:rsidRPr="001D68EC">
        <w:rPr>
          <w:szCs w:val="22"/>
          <w:lang w:val="sr-Latn-ME"/>
        </w:rPr>
        <w:t>dijelu</w:t>
      </w:r>
      <w:r w:rsidR="00E965EF" w:rsidRPr="001D68EC">
        <w:rPr>
          <w:szCs w:val="22"/>
          <w:lang w:val="sr-Latn-ME"/>
        </w:rPr>
        <w:t xml:space="preserve"> 6.1.</w:t>
      </w:r>
    </w:p>
    <w:p w14:paraId="11738A0B" w14:textId="77777777" w:rsidR="00BE454B" w:rsidRPr="001D68EC" w:rsidRDefault="00BE454B">
      <w:pPr>
        <w:rPr>
          <w:szCs w:val="22"/>
          <w:lang w:val="sr-Latn-ME"/>
        </w:rPr>
      </w:pPr>
    </w:p>
    <w:p w14:paraId="7DAFA6D7" w14:textId="2921D19F" w:rsidR="00E965EF" w:rsidRPr="001D68EC" w:rsidRDefault="00E965E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Pacijenti koji su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os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etljivi na tetracikline mogu biti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os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etljivi na tigeciklin.</w:t>
      </w:r>
    </w:p>
    <w:p w14:paraId="56A0772C" w14:textId="77777777" w:rsidR="00CE09F3" w:rsidRPr="001D68EC" w:rsidRDefault="00CE09F3">
      <w:pPr>
        <w:rPr>
          <w:szCs w:val="22"/>
          <w:lang w:val="sr-Latn-ME"/>
        </w:rPr>
      </w:pPr>
    </w:p>
    <w:p w14:paraId="6508B091" w14:textId="40448C9B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>4.4. Posebna upozorenja i m</w:t>
      </w:r>
      <w:r w:rsidR="00A14810" w:rsidRPr="001D68EC">
        <w:rPr>
          <w:b/>
          <w:bCs/>
          <w:szCs w:val="22"/>
          <w:lang w:val="sr-Latn-ME"/>
        </w:rPr>
        <w:t>j</w:t>
      </w:r>
      <w:r w:rsidRPr="001D68EC">
        <w:rPr>
          <w:b/>
          <w:bCs/>
          <w:szCs w:val="22"/>
          <w:lang w:val="sr-Latn-ME"/>
        </w:rPr>
        <w:t>ere o</w:t>
      </w:r>
      <w:r w:rsidR="0031263D" w:rsidRPr="001D68EC">
        <w:rPr>
          <w:b/>
          <w:bCs/>
          <w:szCs w:val="22"/>
          <w:lang w:val="sr-Latn-ME"/>
        </w:rPr>
        <w:t>pr</w:t>
      </w:r>
      <w:r w:rsidR="00A14810" w:rsidRPr="001D68EC">
        <w:rPr>
          <w:b/>
          <w:bCs/>
          <w:szCs w:val="22"/>
          <w:lang w:val="sr-Latn-ME"/>
        </w:rPr>
        <w:t>e</w:t>
      </w:r>
      <w:r w:rsidRPr="001D68EC">
        <w:rPr>
          <w:b/>
          <w:bCs/>
          <w:szCs w:val="22"/>
          <w:lang w:val="sr-Latn-ME"/>
        </w:rPr>
        <w:t xml:space="preserve">za pri upotrebi </w:t>
      </w:r>
      <w:r w:rsidR="0031263D" w:rsidRPr="001D68EC">
        <w:rPr>
          <w:b/>
          <w:bCs/>
          <w:szCs w:val="22"/>
          <w:lang w:val="sr-Latn-ME"/>
        </w:rPr>
        <w:t>lijek</w:t>
      </w:r>
      <w:r w:rsidRPr="001D68EC">
        <w:rPr>
          <w:b/>
          <w:bCs/>
          <w:szCs w:val="22"/>
          <w:lang w:val="sr-Latn-ME"/>
        </w:rPr>
        <w:t>a</w:t>
      </w:r>
    </w:p>
    <w:p w14:paraId="196AA5DC" w14:textId="77777777" w:rsidR="00CE09F3" w:rsidRPr="001D68EC" w:rsidRDefault="00CE09F3">
      <w:pPr>
        <w:rPr>
          <w:szCs w:val="22"/>
          <w:lang w:val="sr-Latn-ME"/>
        </w:rPr>
      </w:pPr>
    </w:p>
    <w:p w14:paraId="0DC3E094" w14:textId="2BAE71D0" w:rsidR="0026781D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U kliničkim studijama kod komplikovanih infekcija kože i mekih tkiva (cSSTI), komplikovanih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intraabdominalnih infekcija (cIAI), infekcija dijabetesnog stopala, nozokomijalne pneumonije i studijama sa</w:t>
      </w:r>
      <w:r w:rsidR="004B056E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rezistentnim patogenima, uočena je procentualno veća stopa smrtnosti kod pacijenata koji su primali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tigeciklin u odnosu na pacijente koji su primali poredbene </w:t>
      </w:r>
      <w:r w:rsidR="0031263D" w:rsidRPr="001D68EC">
        <w:rPr>
          <w:bCs/>
          <w:szCs w:val="22"/>
          <w:lang w:val="sr-Latn-ME"/>
        </w:rPr>
        <w:t>ljek</w:t>
      </w:r>
      <w:r w:rsidRPr="001D68EC">
        <w:rPr>
          <w:bCs/>
          <w:szCs w:val="22"/>
          <w:lang w:val="sr-Latn-ME"/>
        </w:rPr>
        <w:t>ove. Uzroci ovih nalaza su nepoznati, ali se ne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može isključiti slabija efikasnost i bezb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ednost prim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ene tigeciklina u odnosu na poredbene </w:t>
      </w:r>
      <w:r w:rsidR="0031263D" w:rsidRPr="001D68EC">
        <w:rPr>
          <w:bCs/>
          <w:szCs w:val="22"/>
          <w:lang w:val="sr-Latn-ME"/>
        </w:rPr>
        <w:t>ljek</w:t>
      </w:r>
      <w:r w:rsidRPr="001D68EC">
        <w:rPr>
          <w:bCs/>
          <w:szCs w:val="22"/>
          <w:lang w:val="sr-Latn-ME"/>
        </w:rPr>
        <w:t>ove.</w:t>
      </w:r>
    </w:p>
    <w:p w14:paraId="2E8B3DF2" w14:textId="77777777" w:rsidR="0026781D" w:rsidRPr="001D68EC" w:rsidRDefault="0026781D">
      <w:pPr>
        <w:rPr>
          <w:bCs/>
          <w:szCs w:val="22"/>
          <w:lang w:val="sr-Latn-ME"/>
        </w:rPr>
      </w:pPr>
    </w:p>
    <w:p w14:paraId="2ED43EE3" w14:textId="77777777" w:rsidR="0026781D" w:rsidRPr="001D68EC" w:rsidRDefault="0026781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Superinfekcija</w:t>
      </w:r>
    </w:p>
    <w:p w14:paraId="1F7D595E" w14:textId="77777777" w:rsidR="0026781D" w:rsidRPr="001D68EC" w:rsidRDefault="0026781D">
      <w:pPr>
        <w:rPr>
          <w:bCs/>
          <w:szCs w:val="22"/>
          <w:u w:val="single"/>
          <w:lang w:val="sr-Latn-ME"/>
        </w:rPr>
      </w:pPr>
    </w:p>
    <w:p w14:paraId="5CC16385" w14:textId="5677386B" w:rsidR="0026781D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U kliničkim studijama kod pacijenata sa cIAI, sporije zarastanje hirurških rana je bilo povezano sa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superinfekcijom. Pacijente kod kojih rane sporije zarastaju treba pažljivo pratiti zbog dijagnostikovanja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sup</w:t>
      </w:r>
      <w:r w:rsidR="00CE6F97" w:rsidRPr="001D68EC">
        <w:rPr>
          <w:bCs/>
          <w:szCs w:val="22"/>
          <w:lang w:val="sr-Latn-ME"/>
        </w:rPr>
        <w:t>e</w:t>
      </w:r>
      <w:r w:rsidRPr="001D68EC">
        <w:rPr>
          <w:bCs/>
          <w:szCs w:val="22"/>
          <w:lang w:val="sr-Latn-ME"/>
        </w:rPr>
        <w:t>rinfekcije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4.8).</w:t>
      </w:r>
    </w:p>
    <w:p w14:paraId="0213C082" w14:textId="77777777" w:rsidR="0026781D" w:rsidRPr="001D68EC" w:rsidRDefault="0026781D">
      <w:pPr>
        <w:rPr>
          <w:bCs/>
          <w:szCs w:val="22"/>
          <w:lang w:val="sr-Latn-ME"/>
        </w:rPr>
      </w:pPr>
    </w:p>
    <w:p w14:paraId="34D6FDC9" w14:textId="5E51018B" w:rsidR="0026781D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 xml:space="preserve">Izgleda da je </w:t>
      </w:r>
      <w:r w:rsidR="00A14810" w:rsidRPr="001D68EC">
        <w:rPr>
          <w:bCs/>
          <w:szCs w:val="22"/>
          <w:lang w:val="sr-Latn-ME"/>
        </w:rPr>
        <w:t>liječenje</w:t>
      </w:r>
      <w:r w:rsidRPr="001D68EC">
        <w:rPr>
          <w:bCs/>
          <w:szCs w:val="22"/>
          <w:lang w:val="sr-Latn-ME"/>
        </w:rPr>
        <w:t xml:space="preserve"> pacijenata kod kojih se razvila superinfekcija, naročito nozokomijalna pneumonija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povezano sa slabijim ishodom </w:t>
      </w:r>
      <w:r w:rsidR="0020651B" w:rsidRPr="001D68EC">
        <w:rPr>
          <w:bCs/>
          <w:szCs w:val="22"/>
          <w:lang w:val="sr-Latn-ME"/>
        </w:rPr>
        <w:t>liječenja</w:t>
      </w:r>
      <w:r w:rsidRPr="001D68EC">
        <w:rPr>
          <w:bCs/>
          <w:szCs w:val="22"/>
          <w:lang w:val="sr-Latn-ME"/>
        </w:rPr>
        <w:t>. Pacijenti se moraju pažljivo pratiti zbog razvoja superinfekcije.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Ukoliko se pored cSSTI ili cIAI razvije i druga vrsta infekcije nakon uvođenja terapije tigeciklinom, treba 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razmotriti uvođenje alternativne antibiotske terapije koja je pokazala efikasnost u terapiji prisutne specifične</w:t>
      </w:r>
      <w:r w:rsidR="002024B5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infekcije (ili više njih).</w:t>
      </w:r>
    </w:p>
    <w:p w14:paraId="36D2E442" w14:textId="77777777" w:rsidR="0026781D" w:rsidRPr="001D68EC" w:rsidRDefault="0026781D">
      <w:pPr>
        <w:rPr>
          <w:bCs/>
          <w:szCs w:val="22"/>
          <w:lang w:val="sr-Latn-ME"/>
        </w:rPr>
      </w:pPr>
    </w:p>
    <w:p w14:paraId="039763FC" w14:textId="77777777" w:rsidR="002E204C" w:rsidRDefault="002E204C">
      <w:pPr>
        <w:rPr>
          <w:bCs/>
          <w:szCs w:val="22"/>
          <w:u w:val="single"/>
          <w:lang w:val="sr-Latn-ME"/>
        </w:rPr>
      </w:pPr>
    </w:p>
    <w:p w14:paraId="175B2A4A" w14:textId="77777777" w:rsidR="002E204C" w:rsidRDefault="002E204C">
      <w:pPr>
        <w:rPr>
          <w:bCs/>
          <w:szCs w:val="22"/>
          <w:u w:val="single"/>
          <w:lang w:val="sr-Latn-ME"/>
        </w:rPr>
      </w:pPr>
    </w:p>
    <w:p w14:paraId="538B8274" w14:textId="545D38DC" w:rsidR="0026781D" w:rsidRPr="001D68EC" w:rsidRDefault="0026781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lastRenderedPageBreak/>
        <w:t>Anafilaksa</w:t>
      </w:r>
    </w:p>
    <w:p w14:paraId="58F9231D" w14:textId="46AFA554" w:rsidR="0026781D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Prilikom upotrebe tigeciklina prijavljene su anafilaktičke/anafilaktoidne reakcije koje mogu ugroziti život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A14810" w:rsidRPr="001D68EC">
        <w:rPr>
          <w:bCs/>
          <w:szCs w:val="22"/>
          <w:lang w:val="sr-Latn-ME"/>
        </w:rPr>
        <w:t>djelove</w:t>
      </w:r>
      <w:r w:rsidRPr="001D68EC">
        <w:rPr>
          <w:bCs/>
          <w:szCs w:val="22"/>
          <w:lang w:val="sr-Latn-ME"/>
        </w:rPr>
        <w:t xml:space="preserve"> 4.3 i 4.8).</w:t>
      </w:r>
    </w:p>
    <w:p w14:paraId="68C4FAAE" w14:textId="77777777" w:rsidR="0026781D" w:rsidRPr="001D68EC" w:rsidRDefault="0026781D">
      <w:pPr>
        <w:rPr>
          <w:bCs/>
          <w:szCs w:val="22"/>
          <w:lang w:val="sr-Latn-ME"/>
        </w:rPr>
      </w:pPr>
    </w:p>
    <w:p w14:paraId="67D1DBAC" w14:textId="77777777" w:rsidR="0026781D" w:rsidRPr="001D68EC" w:rsidRDefault="0026781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Insuficijencija jetre</w:t>
      </w:r>
    </w:p>
    <w:p w14:paraId="218BA031" w14:textId="0AD937F4" w:rsidR="0026781D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 xml:space="preserve">Slučajevi oštećenja funkcije jetre, </w:t>
      </w:r>
      <w:r w:rsidR="0031263D" w:rsidRPr="001D68EC">
        <w:rPr>
          <w:bCs/>
          <w:szCs w:val="22"/>
          <w:lang w:val="sr-Latn-ME"/>
        </w:rPr>
        <w:t>pre</w:t>
      </w:r>
      <w:r w:rsidRPr="001D68EC">
        <w:rPr>
          <w:bCs/>
          <w:szCs w:val="22"/>
          <w:lang w:val="sr-Latn-ME"/>
        </w:rPr>
        <w:t>težno holestatskog tipa, prijavljeni su kod pacijenata koji su primali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tigeciklin, uključujući i neke slučajeve insuficijencije jetre sa fatalnim ishodom. Iako se insuficijencija jetre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može javiti kod pacijenata koji primaju tigeciklin zbog osnovnih oboljenja ili isto</w:t>
      </w:r>
      <w:r w:rsidR="00484B49" w:rsidRPr="001D68EC">
        <w:rPr>
          <w:bCs/>
          <w:szCs w:val="22"/>
          <w:lang w:val="sr-Latn-ME"/>
        </w:rPr>
        <w:t>vr</w:t>
      </w:r>
      <w:r w:rsidR="00855F21" w:rsidRPr="001D68EC">
        <w:rPr>
          <w:bCs/>
          <w:szCs w:val="22"/>
          <w:lang w:val="sr-Latn-ME"/>
        </w:rPr>
        <w:t>e</w:t>
      </w:r>
      <w:r w:rsidR="00484B49" w:rsidRPr="001D68EC">
        <w:rPr>
          <w:bCs/>
          <w:szCs w:val="22"/>
          <w:lang w:val="sr-Latn-ME"/>
        </w:rPr>
        <w:t>me</w:t>
      </w:r>
      <w:r w:rsidRPr="001D68EC">
        <w:rPr>
          <w:bCs/>
          <w:szCs w:val="22"/>
          <w:lang w:val="sr-Latn-ME"/>
        </w:rPr>
        <w:t>no prim</w:t>
      </w:r>
      <w:r w:rsidR="00C401F4" w:rsidRPr="001D68EC">
        <w:rPr>
          <w:bCs/>
          <w:szCs w:val="22"/>
          <w:lang w:val="sr-Latn-ME"/>
        </w:rPr>
        <w:t>ij</w:t>
      </w:r>
      <w:r w:rsidRPr="001D68EC">
        <w:rPr>
          <w:bCs/>
          <w:szCs w:val="22"/>
          <w:lang w:val="sr-Latn-ME"/>
        </w:rPr>
        <w:t>enjenih</w:t>
      </w:r>
      <w:r w:rsidR="00C401F4"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l</w:t>
      </w:r>
      <w:r w:rsidR="00C401F4" w:rsidRPr="001D68EC">
        <w:rPr>
          <w:bCs/>
          <w:szCs w:val="22"/>
          <w:lang w:val="sr-Latn-ME"/>
        </w:rPr>
        <w:t>j</w:t>
      </w:r>
      <w:r w:rsidR="0031263D" w:rsidRPr="001D68EC">
        <w:rPr>
          <w:bCs/>
          <w:szCs w:val="22"/>
          <w:lang w:val="sr-Latn-ME"/>
        </w:rPr>
        <w:t>ek</w:t>
      </w:r>
      <w:r w:rsidRPr="001D68EC">
        <w:rPr>
          <w:bCs/>
          <w:szCs w:val="22"/>
          <w:lang w:val="sr-Latn-ME"/>
        </w:rPr>
        <w:t>ova, mogući doprinos tigeciklina treba uzeti u obzir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4.8).</w:t>
      </w:r>
    </w:p>
    <w:p w14:paraId="048D4BB9" w14:textId="77777777" w:rsidR="00B014DD" w:rsidRPr="001D68EC" w:rsidRDefault="00B014DD">
      <w:pPr>
        <w:rPr>
          <w:bCs/>
          <w:szCs w:val="22"/>
          <w:lang w:val="sr-Latn-ME"/>
        </w:rPr>
      </w:pPr>
    </w:p>
    <w:p w14:paraId="3B9EBC78" w14:textId="77777777" w:rsidR="0026781D" w:rsidRPr="001D68EC" w:rsidRDefault="0026781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Tetraciklinski antibiotici</w:t>
      </w:r>
    </w:p>
    <w:p w14:paraId="41E31EEF" w14:textId="24F30286" w:rsidR="0026781D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Glicilciklinska grupa antibiotika je strukturno slična klasi tetraciklinskih antibiotika. Tigeciklin može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izazvati slične neželjene reakcije kao tetraciklinska grupa antibiotika. U ove reakcije spadaju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fotosenzitivnost, pseudotumor cerebri, pankreatitis i antianaboličko dejstvo koje dovodi do povećanja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vr</w:t>
      </w:r>
      <w:r w:rsidR="00C401F4" w:rsidRPr="001D68EC">
        <w:rPr>
          <w:bCs/>
          <w:szCs w:val="22"/>
          <w:lang w:val="sr-Latn-ME"/>
        </w:rPr>
        <w:t>ije</w:t>
      </w:r>
      <w:r w:rsidRPr="001D68EC">
        <w:rPr>
          <w:bCs/>
          <w:szCs w:val="22"/>
          <w:lang w:val="sr-Latn-ME"/>
        </w:rPr>
        <w:t>dnosti azota u krvi, koji potiče iz uree (engl. Blood Urea Nitrogen, BUN), azotemije, acidoze i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hiperfosfatemije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4.8).</w:t>
      </w:r>
    </w:p>
    <w:p w14:paraId="41269289" w14:textId="77777777" w:rsidR="00B014DD" w:rsidRPr="001D68EC" w:rsidRDefault="00B014DD">
      <w:pPr>
        <w:rPr>
          <w:bCs/>
          <w:szCs w:val="22"/>
          <w:lang w:val="sr-Latn-ME"/>
        </w:rPr>
      </w:pPr>
    </w:p>
    <w:p w14:paraId="7FD07831" w14:textId="77777777" w:rsidR="0026781D" w:rsidRPr="001D68EC" w:rsidRDefault="0026781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Pankreatitis</w:t>
      </w:r>
    </w:p>
    <w:p w14:paraId="08579B4A" w14:textId="1007F959" w:rsidR="00BE454B" w:rsidRPr="001D68EC" w:rsidRDefault="0026781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Akutni</w:t>
      </w:r>
      <w:r w:rsidR="00B014DD" w:rsidRPr="001D68EC">
        <w:rPr>
          <w:bCs/>
          <w:szCs w:val="22"/>
          <w:lang w:val="sr-Latn-ME"/>
        </w:rPr>
        <w:t xml:space="preserve"> pankreatitis, koji može biti teškog intenziteta, se javljao (učestalost nastanka: po</w:t>
      </w:r>
      <w:r w:rsidR="00484B49" w:rsidRPr="001D68EC">
        <w:rPr>
          <w:bCs/>
          <w:szCs w:val="22"/>
          <w:lang w:val="sr-Latn-ME"/>
        </w:rPr>
        <w:t>vreme</w:t>
      </w:r>
      <w:r w:rsidR="00B014DD" w:rsidRPr="001D68EC">
        <w:rPr>
          <w:bCs/>
          <w:szCs w:val="22"/>
          <w:lang w:val="sr-Latn-ME"/>
        </w:rPr>
        <w:t>no) u toku</w:t>
      </w:r>
      <w:r w:rsidR="00C401F4" w:rsidRPr="001D68EC">
        <w:rPr>
          <w:bCs/>
          <w:szCs w:val="22"/>
          <w:lang w:val="sr-Latn-ME"/>
        </w:rPr>
        <w:t xml:space="preserve"> </w:t>
      </w:r>
      <w:r w:rsidR="00B014DD" w:rsidRPr="001D68EC">
        <w:rPr>
          <w:bCs/>
          <w:szCs w:val="22"/>
          <w:lang w:val="sr-Latn-ME"/>
        </w:rPr>
        <w:t>terapije tigeciklinom (</w:t>
      </w:r>
      <w:r w:rsidR="005B2A36" w:rsidRPr="001D68EC">
        <w:rPr>
          <w:bCs/>
          <w:szCs w:val="22"/>
          <w:lang w:val="sr-Latn-ME"/>
        </w:rPr>
        <w:t>pogledati</w:t>
      </w:r>
      <w:r w:rsidR="00B014DD"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="00B014DD" w:rsidRPr="001D68EC">
        <w:rPr>
          <w:bCs/>
          <w:szCs w:val="22"/>
          <w:lang w:val="sr-Latn-ME"/>
        </w:rPr>
        <w:t xml:space="preserve"> 4.8). Treba uzeti u obzir dijagnozu akutnog pankreatitisa kod pacijenata</w:t>
      </w:r>
      <w:r w:rsidR="00484B49" w:rsidRPr="001D68EC">
        <w:rPr>
          <w:bCs/>
          <w:szCs w:val="22"/>
          <w:lang w:val="sr-Latn-ME"/>
        </w:rPr>
        <w:t xml:space="preserve"> </w:t>
      </w:r>
      <w:r w:rsidR="00B014DD" w:rsidRPr="001D68EC">
        <w:rPr>
          <w:bCs/>
          <w:szCs w:val="22"/>
          <w:lang w:val="sr-Latn-ME"/>
        </w:rPr>
        <w:t>koji primaju tigeciklin, a koji su razvili kliničke simptome i znake ili njihovi laboratorijski nalazi ukazuju na</w:t>
      </w:r>
      <w:r w:rsidR="004B548A" w:rsidRPr="001D68EC">
        <w:rPr>
          <w:bCs/>
          <w:szCs w:val="22"/>
          <w:lang w:val="sr-Latn-ME"/>
        </w:rPr>
        <w:t xml:space="preserve"> </w:t>
      </w:r>
      <w:r w:rsidR="00B014DD" w:rsidRPr="001D68EC">
        <w:rPr>
          <w:bCs/>
          <w:szCs w:val="22"/>
          <w:lang w:val="sr-Latn-ME"/>
        </w:rPr>
        <w:t>akutni pankreatitis. Većina prijavljenih slučajeva se razvila posle najmanje jedne nedelje terapije. Slučajevi</w:t>
      </w:r>
      <w:r w:rsidR="00484B49" w:rsidRPr="001D68EC">
        <w:rPr>
          <w:bCs/>
          <w:szCs w:val="22"/>
          <w:lang w:val="sr-Latn-ME"/>
        </w:rPr>
        <w:t xml:space="preserve"> </w:t>
      </w:r>
      <w:r w:rsidR="00B014DD" w:rsidRPr="001D68EC">
        <w:rPr>
          <w:bCs/>
          <w:szCs w:val="22"/>
          <w:lang w:val="sr-Latn-ME"/>
        </w:rPr>
        <w:t>pankreatitisa su prijavljeni kod pacijenata koji ni</w:t>
      </w:r>
      <w:r w:rsidR="001B3AA6" w:rsidRPr="001D68EC">
        <w:rPr>
          <w:bCs/>
          <w:szCs w:val="22"/>
          <w:lang w:val="sr-Latn-ME"/>
        </w:rPr>
        <w:t>je</w:t>
      </w:r>
      <w:r w:rsidR="00B014DD" w:rsidRPr="001D68EC">
        <w:rPr>
          <w:bCs/>
          <w:szCs w:val="22"/>
          <w:lang w:val="sr-Latn-ME"/>
        </w:rPr>
        <w:t>su imali poznate faktore rizika za nastanak pankreatitisa.</w:t>
      </w:r>
      <w:r w:rsidR="00C401F4" w:rsidRPr="001D68EC">
        <w:rPr>
          <w:bCs/>
          <w:szCs w:val="22"/>
          <w:lang w:val="sr-Latn-ME"/>
        </w:rPr>
        <w:t xml:space="preserve"> </w:t>
      </w:r>
      <w:r w:rsidR="00B014DD" w:rsidRPr="001D68EC">
        <w:rPr>
          <w:bCs/>
          <w:szCs w:val="22"/>
          <w:lang w:val="sr-Latn-ME"/>
        </w:rPr>
        <w:t xml:space="preserve">Stanje pacijenata se obično poboljšava nakon </w:t>
      </w:r>
      <w:r w:rsidR="0031263D" w:rsidRPr="001D68EC">
        <w:rPr>
          <w:bCs/>
          <w:szCs w:val="22"/>
          <w:lang w:val="sr-Latn-ME"/>
        </w:rPr>
        <w:t>prije</w:t>
      </w:r>
      <w:r w:rsidR="00B014DD" w:rsidRPr="001D68EC">
        <w:rPr>
          <w:bCs/>
          <w:szCs w:val="22"/>
          <w:lang w:val="sr-Latn-ME"/>
        </w:rPr>
        <w:t xml:space="preserve">kida terapije tigeciklinom. Treba razmotriti </w:t>
      </w:r>
      <w:r w:rsidR="0031263D" w:rsidRPr="001D68EC">
        <w:rPr>
          <w:bCs/>
          <w:szCs w:val="22"/>
          <w:lang w:val="sr-Latn-ME"/>
        </w:rPr>
        <w:t>pre</w:t>
      </w:r>
      <w:r w:rsidR="00B014DD" w:rsidRPr="001D68EC">
        <w:rPr>
          <w:bCs/>
          <w:szCs w:val="22"/>
          <w:lang w:val="sr-Latn-ME"/>
        </w:rPr>
        <w:t>kid terapije</w:t>
      </w:r>
      <w:r w:rsidR="004B548A" w:rsidRPr="001D68EC">
        <w:rPr>
          <w:bCs/>
          <w:szCs w:val="22"/>
          <w:lang w:val="sr-Latn-ME"/>
        </w:rPr>
        <w:t xml:space="preserve"> </w:t>
      </w:r>
      <w:r w:rsidR="00B014DD" w:rsidRPr="001D68EC">
        <w:rPr>
          <w:bCs/>
          <w:szCs w:val="22"/>
          <w:lang w:val="sr-Latn-ME"/>
        </w:rPr>
        <w:t>tigeciklinom kod pacijenata kod kojih se sumnja na nastanak pankreatitisa.</w:t>
      </w:r>
    </w:p>
    <w:p w14:paraId="59829523" w14:textId="77777777" w:rsidR="00BE454B" w:rsidRPr="001D68EC" w:rsidRDefault="00BE454B">
      <w:pPr>
        <w:rPr>
          <w:bCs/>
          <w:szCs w:val="22"/>
          <w:lang w:val="sr-Latn-ME"/>
        </w:rPr>
      </w:pPr>
    </w:p>
    <w:p w14:paraId="06FD7105" w14:textId="77777777" w:rsidR="005631CF" w:rsidRPr="001D68EC" w:rsidRDefault="005631CF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Koagulopatija</w:t>
      </w:r>
    </w:p>
    <w:p w14:paraId="16D25F27" w14:textId="2C16EFE2" w:rsidR="00BE454B" w:rsidRPr="001D68EC" w:rsidRDefault="00BE454B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Tigeciklin može produžiti i protrombinsko vrijeme (PV) i aktivirano parcijalno tromboplastinsko vrijeme (APTV). Pored toga, kod primjene tigeciklina prijavljena je hipofibrinogenemija.Zbog toga je neophodno prije početka liječenja i redovno tokom liječenja tigeciklinom pratiti parametre koagulacije krvi kao što je protrombinsko vrijeme ili drugi odgovarajući test koagulacije, uključujući m</w:t>
      </w:r>
      <w:r w:rsidR="005631CF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erenje nivoa fibrinogena u krvi. Poseban oprez se preporučuje </w:t>
      </w:r>
      <w:r w:rsidR="005631CF" w:rsidRPr="001D68EC">
        <w:rPr>
          <w:bCs/>
          <w:szCs w:val="22"/>
          <w:lang w:val="sr-Latn-ME"/>
        </w:rPr>
        <w:t xml:space="preserve">kod </w:t>
      </w:r>
      <w:r w:rsidRPr="001D68EC">
        <w:rPr>
          <w:bCs/>
          <w:szCs w:val="22"/>
          <w:lang w:val="sr-Latn-ME"/>
        </w:rPr>
        <w:t>teško bolesnih pacijenata i pacijenata koji uzimaju antikoagulanse (</w:t>
      </w:r>
      <w:r w:rsidR="005631CF" w:rsidRPr="001D68EC">
        <w:rPr>
          <w:bCs/>
          <w:szCs w:val="22"/>
          <w:lang w:val="sr-Latn-ME"/>
        </w:rPr>
        <w:t>pogledati dio</w:t>
      </w:r>
      <w:r w:rsidRPr="001D68EC">
        <w:rPr>
          <w:bCs/>
          <w:szCs w:val="22"/>
          <w:lang w:val="sr-Latn-ME"/>
        </w:rPr>
        <w:t xml:space="preserve"> 4.5).</w:t>
      </w:r>
    </w:p>
    <w:p w14:paraId="728083CF" w14:textId="77777777" w:rsidR="00B014DD" w:rsidRPr="001D68EC" w:rsidRDefault="00B014DD">
      <w:pPr>
        <w:rPr>
          <w:bCs/>
          <w:szCs w:val="22"/>
          <w:lang w:val="sr-Latn-ME"/>
        </w:rPr>
      </w:pPr>
    </w:p>
    <w:p w14:paraId="474D8AF1" w14:textId="77777777" w:rsidR="00B014DD" w:rsidRPr="001D68EC" w:rsidRDefault="00B014D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Osnovna oboljenja</w:t>
      </w:r>
    </w:p>
    <w:p w14:paraId="75DE9625" w14:textId="2C5FB0A6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Iskustvo o prim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eni tigeciklina u terapiji infekcija kod pacijenata sa teškim osnovnim oboljenjima je</w:t>
      </w:r>
      <w:r w:rsidR="00C401F4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ograničeno.</w:t>
      </w:r>
    </w:p>
    <w:p w14:paraId="77330B4A" w14:textId="77777777" w:rsidR="00B014DD" w:rsidRPr="001D68EC" w:rsidRDefault="00B014DD">
      <w:pPr>
        <w:rPr>
          <w:bCs/>
          <w:szCs w:val="22"/>
          <w:lang w:val="sr-Latn-ME"/>
        </w:rPr>
      </w:pPr>
    </w:p>
    <w:p w14:paraId="18B6E941" w14:textId="1CF591FE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U kliničkim ispitivanjima cSSTI, najčešći tip infekcije kod pacijenata na terapiji tigeciklinom bio je celulitis</w:t>
      </w:r>
      <w:r w:rsidR="004B548A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(58,6%), praćen velikim apscesima (24,9%). Ni</w:t>
      </w:r>
      <w:r w:rsidR="001B3AA6" w:rsidRPr="001D68EC">
        <w:rPr>
          <w:bCs/>
          <w:szCs w:val="22"/>
          <w:lang w:val="sr-Latn-ME"/>
        </w:rPr>
        <w:t>je</w:t>
      </w:r>
      <w:r w:rsidRPr="001D68EC">
        <w:rPr>
          <w:bCs/>
          <w:szCs w:val="22"/>
          <w:lang w:val="sr-Latn-ME"/>
        </w:rPr>
        <w:t>su bili uključeni pacijenti sa teškim osnovnim oboljenjima,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kao što su imunokompromitovani pacijenti, pacijenti sa ulceroznim dekubitusnim infekcijama ili pacijenti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kod kojih je </w:t>
      </w:r>
      <w:r w:rsidR="00A14810" w:rsidRPr="001D68EC">
        <w:rPr>
          <w:bCs/>
          <w:szCs w:val="22"/>
          <w:lang w:val="sr-Latn-ME"/>
        </w:rPr>
        <w:t>liječenje</w:t>
      </w:r>
      <w:r w:rsidRPr="001D68EC">
        <w:rPr>
          <w:bCs/>
          <w:szCs w:val="22"/>
          <w:lang w:val="sr-Latn-ME"/>
        </w:rPr>
        <w:t xml:space="preserve"> infekcije zaht</w:t>
      </w:r>
      <w:r w:rsidR="00484B49" w:rsidRPr="001D68EC">
        <w:rPr>
          <w:bCs/>
          <w:szCs w:val="22"/>
          <w:lang w:val="sr-Latn-ME"/>
        </w:rPr>
        <w:t>ij</w:t>
      </w:r>
      <w:r w:rsidRPr="001D68EC">
        <w:rPr>
          <w:bCs/>
          <w:szCs w:val="22"/>
          <w:lang w:val="sr-Latn-ME"/>
        </w:rPr>
        <w:t>evalo period duži od 14 dana (na prim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er, nekrotizirajući fasciitis).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Ograničen broj pacijenata sa komorbiditetima, kao što su dijabetes (25,8%), periferno vaskularno oboljenje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(10,4%), intravenska zavisnost (4,0%) i HIV infekcije (1,2%) je bio uključen u ispitivanje. Takođe, postoji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ograničeno iskustvo kod </w:t>
      </w:r>
      <w:r w:rsidR="0020651B" w:rsidRPr="001D68EC">
        <w:rPr>
          <w:bCs/>
          <w:szCs w:val="22"/>
          <w:lang w:val="sr-Latn-ME"/>
        </w:rPr>
        <w:t>liječenja</w:t>
      </w:r>
      <w:r w:rsidRPr="001D68EC">
        <w:rPr>
          <w:bCs/>
          <w:szCs w:val="22"/>
          <w:lang w:val="sr-Latn-ME"/>
        </w:rPr>
        <w:t xml:space="preserve"> pacijenata sa isto</w:t>
      </w:r>
      <w:r w:rsidR="00484B49" w:rsidRPr="001D68EC">
        <w:rPr>
          <w:bCs/>
          <w:szCs w:val="22"/>
          <w:lang w:val="sr-Latn-ME"/>
        </w:rPr>
        <w:t>vrijeme</w:t>
      </w:r>
      <w:r w:rsidRPr="001D68EC">
        <w:rPr>
          <w:bCs/>
          <w:szCs w:val="22"/>
          <w:lang w:val="sr-Latn-ME"/>
        </w:rPr>
        <w:t>nom bakterijemijom (3,4%). Stoga se sav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etuje </w:t>
      </w:r>
      <w:r w:rsidR="00484B49" w:rsidRPr="001D68EC">
        <w:rPr>
          <w:bCs/>
          <w:szCs w:val="22"/>
          <w:lang w:val="sr-Latn-ME"/>
        </w:rPr>
        <w:t>oprez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kod l</w:t>
      </w:r>
      <w:r w:rsidR="0020651B" w:rsidRPr="001D68EC">
        <w:rPr>
          <w:bCs/>
          <w:szCs w:val="22"/>
          <w:lang w:val="sr-Latn-ME"/>
        </w:rPr>
        <w:t>ij</w:t>
      </w:r>
      <w:r w:rsidRPr="001D68EC">
        <w:rPr>
          <w:bCs/>
          <w:szCs w:val="22"/>
          <w:lang w:val="sr-Latn-ME"/>
        </w:rPr>
        <w:t>ečenja ovakvih pacijenata. Rezultati u velikoj studiji na pacijentima sa infekcijom dijabetesnog stopala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su pokazali da je tigeciklin manje efikasan nego </w:t>
      </w:r>
      <w:r w:rsidR="0031263D" w:rsidRPr="001D68EC">
        <w:rPr>
          <w:bCs/>
          <w:szCs w:val="22"/>
          <w:lang w:val="sr-Latn-ME"/>
        </w:rPr>
        <w:t>lijek</w:t>
      </w:r>
      <w:r w:rsidRPr="001D68EC">
        <w:rPr>
          <w:bCs/>
          <w:szCs w:val="22"/>
          <w:lang w:val="sr-Latn-ME"/>
        </w:rPr>
        <w:t xml:space="preserve"> sa kojim je bio upoređivan i zbog toga se tigeciklin ne</w:t>
      </w:r>
      <w:r w:rsidR="0020651B"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pr</w:t>
      </w:r>
      <w:r w:rsidR="0020651B" w:rsidRPr="001D68EC">
        <w:rPr>
          <w:bCs/>
          <w:szCs w:val="22"/>
          <w:lang w:val="sr-Latn-ME"/>
        </w:rPr>
        <w:t>e</w:t>
      </w:r>
      <w:r w:rsidRPr="001D68EC">
        <w:rPr>
          <w:bCs/>
          <w:szCs w:val="22"/>
          <w:lang w:val="sr-Latn-ME"/>
        </w:rPr>
        <w:t>poručuje za upotrebu kod ovih pacijenata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4.1).</w:t>
      </w:r>
    </w:p>
    <w:p w14:paraId="3C1F1006" w14:textId="77777777" w:rsidR="00B014DD" w:rsidRPr="001D68EC" w:rsidRDefault="00B014DD">
      <w:pPr>
        <w:rPr>
          <w:bCs/>
          <w:szCs w:val="22"/>
          <w:lang w:val="sr-Latn-ME"/>
        </w:rPr>
      </w:pPr>
    </w:p>
    <w:p w14:paraId="00886727" w14:textId="3F0ED469" w:rsidR="0026781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U kliničkim ispitivanjima cIAI, najčešći oblik infekcije kod pacijenata na terapiji tigeciklinom je bio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komplikovani apendicitis (50,3%), praćen drugim dijagnozama koje su ređe prijavljivane, kao što su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komplikovani holecistitis (9,6%), perforacija creva (9,6%), intraabdominalni apsces (8,7%), perforacija čira</w:t>
      </w:r>
      <w:r w:rsidR="00484B49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na želucu ili duodenumu (8,3%), peritonitis (6,2%) i komplikovani divertikulitis (6,0%). Od ove grupe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pacijenata, 77,8% je imalo hirurški-vidljiv peritonitis. Postojao je ograničen broj pacijenata sa teškim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osnovnim oboljenjima, kao što su imunokompromitovani pacijenti, pacijenti sa APACHE II rezultatima &gt; 15</w:t>
      </w:r>
      <w:r w:rsidR="004B548A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(3,3%) ili sa hirurški vidljivim višestrukim intraabdominalnim apscesima (11,4%). Takođe, postoji ograničeno</w:t>
      </w:r>
      <w:r w:rsidR="004B548A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lastRenderedPageBreak/>
        <w:t xml:space="preserve">iskustvo kod </w:t>
      </w:r>
      <w:r w:rsidR="0020651B" w:rsidRPr="001D68EC">
        <w:rPr>
          <w:bCs/>
          <w:szCs w:val="22"/>
          <w:lang w:val="sr-Latn-ME"/>
        </w:rPr>
        <w:t>liječenja</w:t>
      </w:r>
      <w:r w:rsidRPr="001D68EC">
        <w:rPr>
          <w:bCs/>
          <w:szCs w:val="22"/>
          <w:lang w:val="sr-Latn-ME"/>
        </w:rPr>
        <w:t xml:space="preserve"> pacijenata sa isto</w:t>
      </w:r>
      <w:r w:rsidR="00484B49" w:rsidRPr="001D68EC">
        <w:rPr>
          <w:bCs/>
          <w:szCs w:val="22"/>
          <w:lang w:val="sr-Latn-ME"/>
        </w:rPr>
        <w:t>vrijeme</w:t>
      </w:r>
      <w:r w:rsidRPr="001D68EC">
        <w:rPr>
          <w:bCs/>
          <w:szCs w:val="22"/>
          <w:lang w:val="sr-Latn-ME"/>
        </w:rPr>
        <w:t>nom bakterijemijom (5,6%). Stoga se sav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etuje </w:t>
      </w:r>
      <w:r w:rsidR="00484B49" w:rsidRPr="001D68EC">
        <w:rPr>
          <w:bCs/>
          <w:szCs w:val="22"/>
          <w:lang w:val="sr-Latn-ME"/>
        </w:rPr>
        <w:t>oprez</w:t>
      </w:r>
      <w:r w:rsidRPr="001D68EC">
        <w:rPr>
          <w:bCs/>
          <w:szCs w:val="22"/>
          <w:lang w:val="sr-Latn-ME"/>
        </w:rPr>
        <w:t xml:space="preserve"> kod </w:t>
      </w:r>
      <w:r w:rsidR="0020651B" w:rsidRPr="001D68EC">
        <w:rPr>
          <w:bCs/>
          <w:szCs w:val="22"/>
          <w:lang w:val="sr-Latn-ME"/>
        </w:rPr>
        <w:t xml:space="preserve">liječenja </w:t>
      </w:r>
      <w:r w:rsidRPr="001D68EC">
        <w:rPr>
          <w:bCs/>
          <w:szCs w:val="22"/>
          <w:lang w:val="sr-Latn-ME"/>
        </w:rPr>
        <w:t>ovakvih pacijenata.</w:t>
      </w:r>
    </w:p>
    <w:p w14:paraId="0BE9EF61" w14:textId="77777777" w:rsidR="00B014DD" w:rsidRPr="001D68EC" w:rsidRDefault="00B014DD">
      <w:pPr>
        <w:rPr>
          <w:bCs/>
          <w:szCs w:val="22"/>
          <w:lang w:val="sr-Latn-ME"/>
        </w:rPr>
      </w:pPr>
    </w:p>
    <w:p w14:paraId="223DCD4E" w14:textId="7E3DBAEE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Treba obratiti pažnju na kombinovanu antibiotsku terapiju, kada se prim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enjuje tigeciklin kod teško bolesnih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pacijenata sa cIAI, nastalim iz klinički vidljive intestinalne perforacije ili kod pacijenata sa početnim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stadijumom sepse ili septičkog šoka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4.8).</w:t>
      </w:r>
    </w:p>
    <w:p w14:paraId="37F9F1DE" w14:textId="77777777" w:rsidR="00B014DD" w:rsidRPr="001D68EC" w:rsidRDefault="00B014DD">
      <w:pPr>
        <w:rPr>
          <w:bCs/>
          <w:szCs w:val="22"/>
          <w:lang w:val="sr-Latn-ME"/>
        </w:rPr>
      </w:pPr>
    </w:p>
    <w:p w14:paraId="00C514A5" w14:textId="2C5791D1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 xml:space="preserve">Efekat holestaze u farmakokinetici tigeciklina nije u potpunosti utvrđen. Ekskrecija putem žuči </w:t>
      </w:r>
      <w:r w:rsidR="0031263D" w:rsidRPr="001D68EC">
        <w:rPr>
          <w:bCs/>
          <w:szCs w:val="22"/>
          <w:lang w:val="sr-Latn-ME"/>
        </w:rPr>
        <w:t>pre</w:t>
      </w:r>
      <w:r w:rsidRPr="001D68EC">
        <w:rPr>
          <w:bCs/>
          <w:szCs w:val="22"/>
          <w:lang w:val="sr-Latn-ME"/>
        </w:rPr>
        <w:t>dstavlja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približno 50% ukupne ekskrecije tigeciklina. Stoga, treba pažljivo pratiti pacijente kod kojih je prisutna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holestaza.</w:t>
      </w:r>
    </w:p>
    <w:p w14:paraId="2A818603" w14:textId="77777777" w:rsidR="00B014DD" w:rsidRPr="001D68EC" w:rsidRDefault="00B014DD">
      <w:pPr>
        <w:rPr>
          <w:bCs/>
          <w:szCs w:val="22"/>
          <w:lang w:val="sr-Latn-ME"/>
        </w:rPr>
      </w:pPr>
    </w:p>
    <w:p w14:paraId="022956F7" w14:textId="36F7A18D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Pseudomembranozni kolitis je zab</w:t>
      </w:r>
      <w:r w:rsidR="00484B49" w:rsidRPr="001D68EC">
        <w:rPr>
          <w:bCs/>
          <w:szCs w:val="22"/>
          <w:lang w:val="sr-Latn-ME"/>
        </w:rPr>
        <w:t>i</w:t>
      </w:r>
      <w:r w:rsidRPr="001D68EC">
        <w:rPr>
          <w:bCs/>
          <w:szCs w:val="22"/>
          <w:lang w:val="sr-Latn-ME"/>
        </w:rPr>
        <w:t>l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ežen kod skoro svih antibiotskih </w:t>
      </w:r>
      <w:r w:rsidR="00484B49" w:rsidRPr="001D68EC">
        <w:rPr>
          <w:bCs/>
          <w:szCs w:val="22"/>
          <w:lang w:val="sr-Latn-ME"/>
        </w:rPr>
        <w:t>ljekova</w:t>
      </w:r>
      <w:r w:rsidRPr="001D68EC">
        <w:rPr>
          <w:bCs/>
          <w:szCs w:val="22"/>
          <w:lang w:val="sr-Latn-ME"/>
        </w:rPr>
        <w:t xml:space="preserve"> i može biti različitog intenziteta,</w:t>
      </w:r>
      <w:r w:rsidR="004B548A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od blagog do opasnog po život. Zbog toga je važno ovu dijagnozu uzeti u obzir kod pacijenata kod kojih je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prisutna dijareja za </w:t>
      </w:r>
      <w:r w:rsidR="00484B49" w:rsidRPr="001D68EC">
        <w:rPr>
          <w:bCs/>
          <w:szCs w:val="22"/>
          <w:lang w:val="sr-Latn-ME"/>
        </w:rPr>
        <w:t>vrijeme</w:t>
      </w:r>
      <w:r w:rsidRPr="001D68EC">
        <w:rPr>
          <w:bCs/>
          <w:szCs w:val="22"/>
          <w:lang w:val="sr-Latn-ME"/>
        </w:rPr>
        <w:t xml:space="preserve"> ili nakon prim</w:t>
      </w:r>
      <w:r w:rsidR="00855F21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ene bilo kog antibiotika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4.8).</w:t>
      </w:r>
    </w:p>
    <w:p w14:paraId="06F9F5CF" w14:textId="77777777" w:rsidR="00B014DD" w:rsidRPr="001D68EC" w:rsidRDefault="00B014DD">
      <w:pPr>
        <w:rPr>
          <w:bCs/>
          <w:szCs w:val="22"/>
          <w:lang w:val="sr-Latn-ME"/>
        </w:rPr>
      </w:pPr>
    </w:p>
    <w:p w14:paraId="3E57C2E5" w14:textId="142513D0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Upotreba tigeciklina može dovesti do povećanog rasta neos</w:t>
      </w:r>
      <w:r w:rsidR="00855F21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etljivih organizama, uključujući i gljivice.</w:t>
      </w:r>
    </w:p>
    <w:p w14:paraId="47DC9A9B" w14:textId="44ACFAB9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 xml:space="preserve">Pacijente treba pažljivo pratiti za </w:t>
      </w:r>
      <w:r w:rsidR="00484B49" w:rsidRPr="001D68EC">
        <w:rPr>
          <w:bCs/>
          <w:szCs w:val="22"/>
          <w:lang w:val="sr-Latn-ME"/>
        </w:rPr>
        <w:t>vrijeme</w:t>
      </w:r>
      <w:r w:rsidRPr="001D68EC">
        <w:rPr>
          <w:bCs/>
          <w:szCs w:val="22"/>
          <w:lang w:val="sr-Latn-ME"/>
        </w:rPr>
        <w:t xml:space="preserve"> terapije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4.8).</w:t>
      </w:r>
    </w:p>
    <w:p w14:paraId="75240B8A" w14:textId="77777777" w:rsidR="00B014DD" w:rsidRPr="001D68EC" w:rsidRDefault="00B014DD">
      <w:pPr>
        <w:rPr>
          <w:bCs/>
          <w:szCs w:val="22"/>
          <w:lang w:val="sr-Latn-ME"/>
        </w:rPr>
      </w:pPr>
    </w:p>
    <w:p w14:paraId="0B7D58B0" w14:textId="3704C770" w:rsidR="00B014DD" w:rsidRPr="001D68EC" w:rsidRDefault="00B014DD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Rezultati ispitivanja tigeciklina na pacovima su pokazali pojavu prom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ene boje kostiju. Tigeciklin može biti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povezan sa trajnom prom</w:t>
      </w:r>
      <w:r w:rsidR="00484B49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enom boje zuba kod ljudi, ukoliko se koristi za </w:t>
      </w:r>
      <w:r w:rsidR="00484B49" w:rsidRPr="001D68EC">
        <w:rPr>
          <w:bCs/>
          <w:szCs w:val="22"/>
          <w:lang w:val="sr-Latn-ME"/>
        </w:rPr>
        <w:t>vrijeme</w:t>
      </w:r>
      <w:r w:rsidRPr="001D68EC">
        <w:rPr>
          <w:bCs/>
          <w:szCs w:val="22"/>
          <w:lang w:val="sr-Latn-ME"/>
        </w:rPr>
        <w:t xml:space="preserve"> razvoja zuba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4.8).</w:t>
      </w:r>
    </w:p>
    <w:p w14:paraId="62C01B12" w14:textId="77777777" w:rsidR="00B014DD" w:rsidRPr="001D68EC" w:rsidRDefault="00B014DD">
      <w:pPr>
        <w:rPr>
          <w:bCs/>
          <w:szCs w:val="22"/>
          <w:lang w:val="sr-Latn-ME"/>
        </w:rPr>
      </w:pPr>
    </w:p>
    <w:p w14:paraId="7EDB7826" w14:textId="77777777" w:rsidR="00B014DD" w:rsidRPr="001D68EC" w:rsidRDefault="00B014DD">
      <w:pPr>
        <w:rPr>
          <w:bCs/>
          <w:szCs w:val="22"/>
          <w:u w:val="single"/>
          <w:lang w:val="sr-Latn-ME"/>
        </w:rPr>
      </w:pPr>
      <w:r w:rsidRPr="001D68EC">
        <w:rPr>
          <w:bCs/>
          <w:szCs w:val="22"/>
          <w:u w:val="single"/>
          <w:lang w:val="sr-Latn-ME"/>
        </w:rPr>
        <w:t>Pedijatrijska populacija</w:t>
      </w:r>
    </w:p>
    <w:p w14:paraId="449D3840" w14:textId="77777777" w:rsidR="00F40995" w:rsidRPr="001D68EC" w:rsidRDefault="00F40995">
      <w:pPr>
        <w:rPr>
          <w:bCs/>
          <w:szCs w:val="22"/>
          <w:u w:val="single"/>
          <w:lang w:val="sr-Latn-ME"/>
        </w:rPr>
      </w:pPr>
    </w:p>
    <w:p w14:paraId="759DD15D" w14:textId="301F52E9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 xml:space="preserve">Kliničko iskustvo kod </w:t>
      </w:r>
      <w:r w:rsidR="0020651B" w:rsidRPr="001D68EC">
        <w:rPr>
          <w:bCs/>
          <w:szCs w:val="22"/>
          <w:lang w:val="sr-Latn-ME"/>
        </w:rPr>
        <w:t>liječenja</w:t>
      </w:r>
      <w:r w:rsidRPr="001D68EC">
        <w:rPr>
          <w:bCs/>
          <w:szCs w:val="22"/>
          <w:lang w:val="sr-Latn-ME"/>
        </w:rPr>
        <w:t xml:space="preserve"> infekcija tigeciklinom u populaciji pedijatrijskih pacijenata uzrasta od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8 godina i starijih je veoma ograničeno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A14810" w:rsidRPr="001D68EC">
        <w:rPr>
          <w:bCs/>
          <w:szCs w:val="22"/>
          <w:lang w:val="sr-Latn-ME"/>
        </w:rPr>
        <w:t>djelove</w:t>
      </w:r>
      <w:r w:rsidRPr="001D68EC">
        <w:rPr>
          <w:bCs/>
          <w:szCs w:val="22"/>
          <w:lang w:val="sr-Latn-ME"/>
        </w:rPr>
        <w:t xml:space="preserve"> 4.8 i 5.1). Posledično, prim</w:t>
      </w:r>
      <w:r w:rsidR="000B039C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enu kod </w:t>
      </w:r>
      <w:r w:rsidR="00A14810" w:rsidRPr="001D68EC">
        <w:rPr>
          <w:bCs/>
          <w:szCs w:val="22"/>
          <w:lang w:val="sr-Latn-ME"/>
        </w:rPr>
        <w:t>djece</w:t>
      </w:r>
      <w:r w:rsidRPr="001D68EC">
        <w:rPr>
          <w:bCs/>
          <w:szCs w:val="22"/>
          <w:lang w:val="sr-Latn-ME"/>
        </w:rPr>
        <w:t xml:space="preserve"> treba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ograničiti na kliničke situacije u kojima alternativna antibakterijska terapija nije dostupna.</w:t>
      </w:r>
    </w:p>
    <w:p w14:paraId="4275C65C" w14:textId="77777777" w:rsidR="00F40995" w:rsidRPr="001D68EC" w:rsidRDefault="00F40995">
      <w:pPr>
        <w:rPr>
          <w:bCs/>
          <w:szCs w:val="22"/>
          <w:lang w:val="sr-Latn-ME"/>
        </w:rPr>
      </w:pPr>
    </w:p>
    <w:p w14:paraId="41E70132" w14:textId="3CBC7695" w:rsidR="00F40995" w:rsidRPr="001D68EC" w:rsidRDefault="00F40995">
      <w:pPr>
        <w:rPr>
          <w:lang w:val="sr-Latn-ME"/>
        </w:rPr>
      </w:pPr>
      <w:r w:rsidRPr="001D68EC">
        <w:rPr>
          <w:lang w:val="sr-Latn-ME"/>
        </w:rPr>
        <w:t xml:space="preserve">Mučnina i povraćanje su veoma česte neželjene reakcije kod </w:t>
      </w:r>
      <w:r w:rsidR="00A14810" w:rsidRPr="001D68EC">
        <w:rPr>
          <w:lang w:val="sr-Latn-ME"/>
        </w:rPr>
        <w:t>djece</w:t>
      </w:r>
      <w:r w:rsidRPr="001D68EC">
        <w:rPr>
          <w:lang w:val="sr-Latn-ME"/>
        </w:rPr>
        <w:t xml:space="preserve"> i adolescenata (</w:t>
      </w:r>
      <w:r w:rsidR="005B2A36" w:rsidRPr="001D68EC">
        <w:rPr>
          <w:lang w:val="sr-Latn-ME"/>
        </w:rPr>
        <w:t>pogledati</w:t>
      </w:r>
      <w:r w:rsidRPr="001D68EC">
        <w:rPr>
          <w:lang w:val="sr-Latn-ME"/>
        </w:rPr>
        <w:t xml:space="preserve"> </w:t>
      </w:r>
      <w:r w:rsidR="0031263D" w:rsidRPr="001D68EC">
        <w:rPr>
          <w:lang w:val="sr-Latn-ME"/>
        </w:rPr>
        <w:t>dio</w:t>
      </w:r>
      <w:r w:rsidRPr="001D68EC">
        <w:rPr>
          <w:lang w:val="sr-Latn-ME"/>
        </w:rPr>
        <w:t xml:space="preserve"> 4.8). Treba</w:t>
      </w:r>
      <w:r w:rsidR="0020651B" w:rsidRPr="001D68EC">
        <w:rPr>
          <w:lang w:val="sr-Latn-ME"/>
        </w:rPr>
        <w:t xml:space="preserve"> </w:t>
      </w:r>
      <w:r w:rsidRPr="001D68EC">
        <w:rPr>
          <w:lang w:val="sr-Latn-ME"/>
        </w:rPr>
        <w:t>obratiti pažnju na moguću dehidrataciju. Kod pedijatrijskih pacijenata poželjno je prim</w:t>
      </w:r>
      <w:r w:rsidR="000B039C" w:rsidRPr="001D68EC">
        <w:rPr>
          <w:lang w:val="sr-Latn-ME"/>
        </w:rPr>
        <w:t>j</w:t>
      </w:r>
      <w:r w:rsidRPr="001D68EC">
        <w:rPr>
          <w:lang w:val="sr-Latn-ME"/>
        </w:rPr>
        <w:t>enjivati infuziju</w:t>
      </w:r>
      <w:r w:rsidR="0020651B" w:rsidRPr="001D68EC">
        <w:rPr>
          <w:lang w:val="sr-Latn-ME"/>
        </w:rPr>
        <w:t xml:space="preserve"> </w:t>
      </w:r>
      <w:r w:rsidRPr="001D68EC">
        <w:rPr>
          <w:lang w:val="sr-Latn-ME"/>
        </w:rPr>
        <w:t>tigeciklina u trajanju od 60 minuta.</w:t>
      </w:r>
    </w:p>
    <w:p w14:paraId="5625C303" w14:textId="77777777" w:rsidR="00F40995" w:rsidRPr="001D68EC" w:rsidRDefault="00F40995">
      <w:pPr>
        <w:rPr>
          <w:lang w:val="sr-Latn-ME"/>
        </w:rPr>
      </w:pPr>
    </w:p>
    <w:p w14:paraId="01B740DB" w14:textId="6D996574" w:rsidR="00F40995" w:rsidRPr="001D68EC" w:rsidRDefault="00F40995">
      <w:pPr>
        <w:rPr>
          <w:lang w:val="sr-Latn-ME"/>
        </w:rPr>
      </w:pPr>
      <w:r w:rsidRPr="001D68EC">
        <w:rPr>
          <w:lang w:val="sr-Latn-ME"/>
        </w:rPr>
        <w:t xml:space="preserve">Bol u abdomenu je često prijavljivan kod </w:t>
      </w:r>
      <w:r w:rsidR="00A14810" w:rsidRPr="001D68EC">
        <w:rPr>
          <w:lang w:val="sr-Latn-ME"/>
        </w:rPr>
        <w:t>djece</w:t>
      </w:r>
      <w:r w:rsidRPr="001D68EC">
        <w:rPr>
          <w:lang w:val="sr-Latn-ME"/>
        </w:rPr>
        <w:t xml:space="preserve"> i kod odraslih. Bol u abdomenu može ukazati na pankreatitits.</w:t>
      </w:r>
    </w:p>
    <w:p w14:paraId="6E3FC136" w14:textId="0BD8051D" w:rsidR="00F40995" w:rsidRPr="001D68EC" w:rsidRDefault="00F40995">
      <w:pPr>
        <w:rPr>
          <w:lang w:val="sr-Latn-ME"/>
        </w:rPr>
      </w:pPr>
      <w:r w:rsidRPr="001D68EC">
        <w:rPr>
          <w:lang w:val="sr-Latn-ME"/>
        </w:rPr>
        <w:t xml:space="preserve">Ukoliko se pankreatitis razvije, terapija tigeciklinom se mora </w:t>
      </w:r>
      <w:r w:rsidR="0031263D" w:rsidRPr="001D68EC">
        <w:rPr>
          <w:lang w:val="sr-Latn-ME"/>
        </w:rPr>
        <w:t>pre</w:t>
      </w:r>
      <w:r w:rsidRPr="001D68EC">
        <w:rPr>
          <w:lang w:val="sr-Latn-ME"/>
        </w:rPr>
        <w:t>kinuti.</w:t>
      </w:r>
    </w:p>
    <w:p w14:paraId="1EE4228B" w14:textId="77777777" w:rsidR="00F40995" w:rsidRPr="001D68EC" w:rsidRDefault="00F40995">
      <w:pPr>
        <w:rPr>
          <w:lang w:val="sr-Latn-ME"/>
        </w:rPr>
      </w:pPr>
    </w:p>
    <w:p w14:paraId="7D049ABA" w14:textId="6D09638E" w:rsidR="00F40995" w:rsidRPr="001D68EC" w:rsidRDefault="0031263D">
      <w:pPr>
        <w:rPr>
          <w:lang w:val="sr-Latn-ME"/>
        </w:rPr>
      </w:pPr>
      <w:r w:rsidRPr="001D68EC">
        <w:rPr>
          <w:lang w:val="sr-Latn-ME"/>
        </w:rPr>
        <w:t>Prije</w:t>
      </w:r>
      <w:r w:rsidR="00F40995" w:rsidRPr="001D68EC">
        <w:rPr>
          <w:lang w:val="sr-Latn-ME"/>
        </w:rPr>
        <w:t xml:space="preserve"> početka terapije tigeciklinom i tokom trajanja terapije treba redovno pratiti testove funkcije jetre,</w:t>
      </w:r>
      <w:r w:rsidR="0020651B" w:rsidRPr="001D68EC">
        <w:rPr>
          <w:lang w:val="sr-Latn-ME"/>
        </w:rPr>
        <w:t xml:space="preserve"> </w:t>
      </w:r>
      <w:r w:rsidR="00F40995" w:rsidRPr="001D68EC">
        <w:rPr>
          <w:lang w:val="sr-Latn-ME"/>
        </w:rPr>
        <w:t>parametre koagulacije, hematološke parametre, amilazu i lipazu.</w:t>
      </w:r>
    </w:p>
    <w:p w14:paraId="005AD470" w14:textId="1B38FFA7" w:rsidR="00F40995" w:rsidRPr="001D68EC" w:rsidRDefault="0031263D">
      <w:pPr>
        <w:rPr>
          <w:lang w:val="sr-Latn-ME"/>
        </w:rPr>
      </w:pPr>
      <w:r w:rsidRPr="001D68EC">
        <w:rPr>
          <w:lang w:val="sr-Latn-ME"/>
        </w:rPr>
        <w:t>Lijek</w:t>
      </w:r>
      <w:r w:rsidR="00F40995" w:rsidRPr="001D68EC">
        <w:rPr>
          <w:lang w:val="sr-Latn-ME"/>
        </w:rPr>
        <w:t xml:space="preserve"> </w:t>
      </w:r>
      <w:r w:rsidR="007C2189" w:rsidRPr="001D68EC">
        <w:rPr>
          <w:lang w:val="sr-Latn-ME"/>
        </w:rPr>
        <w:t>Tigeciclina Normon</w:t>
      </w:r>
      <w:r w:rsidR="00F40995" w:rsidRPr="001D68EC">
        <w:rPr>
          <w:lang w:val="sr-Latn-ME"/>
        </w:rPr>
        <w:t xml:space="preserve"> ne treba prim</w:t>
      </w:r>
      <w:r w:rsidR="000B039C" w:rsidRPr="001D68EC">
        <w:rPr>
          <w:lang w:val="sr-Latn-ME"/>
        </w:rPr>
        <w:t>j</w:t>
      </w:r>
      <w:r w:rsidR="00F40995" w:rsidRPr="001D68EC">
        <w:rPr>
          <w:lang w:val="sr-Latn-ME"/>
        </w:rPr>
        <w:t xml:space="preserve">enjivati kod </w:t>
      </w:r>
      <w:r w:rsidR="00A14810" w:rsidRPr="001D68EC">
        <w:rPr>
          <w:lang w:val="sr-Latn-ME"/>
        </w:rPr>
        <w:t>djece</w:t>
      </w:r>
      <w:r w:rsidR="00F40995" w:rsidRPr="001D68EC">
        <w:rPr>
          <w:lang w:val="sr-Latn-ME"/>
        </w:rPr>
        <w:t xml:space="preserve"> mlađe od 8 godina zbog nedostatka podataka o bezb</w:t>
      </w:r>
      <w:r w:rsidR="000B039C" w:rsidRPr="001D68EC">
        <w:rPr>
          <w:lang w:val="sr-Latn-ME"/>
        </w:rPr>
        <w:t>j</w:t>
      </w:r>
      <w:r w:rsidR="00F40995" w:rsidRPr="001D68EC">
        <w:rPr>
          <w:lang w:val="sr-Latn-ME"/>
        </w:rPr>
        <w:t xml:space="preserve">ednosti i efikasnosti </w:t>
      </w:r>
      <w:r w:rsidRPr="001D68EC">
        <w:rPr>
          <w:lang w:val="sr-Latn-ME"/>
        </w:rPr>
        <w:t>lijek</w:t>
      </w:r>
      <w:r w:rsidR="00F40995" w:rsidRPr="001D68EC">
        <w:rPr>
          <w:lang w:val="sr-Latn-ME"/>
        </w:rPr>
        <w:t>a kod ove grupe pacijenata kao i zbog moguće povezanosti tigeciklina sa trajnom prom</w:t>
      </w:r>
      <w:r w:rsidR="000B039C" w:rsidRPr="001D68EC">
        <w:rPr>
          <w:lang w:val="sr-Latn-ME"/>
        </w:rPr>
        <w:t>j</w:t>
      </w:r>
      <w:r w:rsidR="00F40995" w:rsidRPr="001D68EC">
        <w:rPr>
          <w:lang w:val="sr-Latn-ME"/>
        </w:rPr>
        <w:t>enom boje zuba (</w:t>
      </w:r>
      <w:r w:rsidR="005B2A36" w:rsidRPr="001D68EC">
        <w:rPr>
          <w:lang w:val="sr-Latn-ME"/>
        </w:rPr>
        <w:t>pogledati</w:t>
      </w:r>
      <w:r w:rsidR="00F40995" w:rsidRPr="001D68EC">
        <w:rPr>
          <w:lang w:val="sr-Latn-ME"/>
        </w:rPr>
        <w:t xml:space="preserve"> </w:t>
      </w:r>
      <w:r w:rsidR="00A14810" w:rsidRPr="001D68EC">
        <w:rPr>
          <w:lang w:val="sr-Latn-ME"/>
        </w:rPr>
        <w:t>djelove</w:t>
      </w:r>
      <w:r w:rsidR="00F40995" w:rsidRPr="001D68EC">
        <w:rPr>
          <w:lang w:val="sr-Latn-ME"/>
        </w:rPr>
        <w:t xml:space="preserve"> 4.2 i 4.8).</w:t>
      </w:r>
    </w:p>
    <w:p w14:paraId="5542513C" w14:textId="77777777" w:rsidR="00F40995" w:rsidRPr="001D68EC" w:rsidRDefault="00F40995">
      <w:pPr>
        <w:rPr>
          <w:bCs/>
          <w:szCs w:val="22"/>
          <w:lang w:val="sr-Latn-ME"/>
        </w:rPr>
      </w:pPr>
    </w:p>
    <w:p w14:paraId="6C334D66" w14:textId="565C9068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 xml:space="preserve">4.5. Interakcije sa drugim </w:t>
      </w:r>
      <w:r w:rsidR="0031263D" w:rsidRPr="001D68EC">
        <w:rPr>
          <w:b/>
          <w:bCs/>
          <w:szCs w:val="22"/>
          <w:lang w:val="sr-Latn-ME"/>
        </w:rPr>
        <w:t>ljek</w:t>
      </w:r>
      <w:r w:rsidRPr="001D68EC">
        <w:rPr>
          <w:b/>
          <w:bCs/>
          <w:szCs w:val="22"/>
          <w:lang w:val="sr-Latn-ME"/>
        </w:rPr>
        <w:t>ovima i druge vrste interakcija</w:t>
      </w:r>
    </w:p>
    <w:p w14:paraId="072D43C2" w14:textId="77777777" w:rsidR="00CE09F3" w:rsidRPr="001D68EC" w:rsidRDefault="00CE09F3">
      <w:pPr>
        <w:rPr>
          <w:szCs w:val="22"/>
          <w:lang w:val="sr-Latn-ME"/>
        </w:rPr>
      </w:pPr>
    </w:p>
    <w:p w14:paraId="6E8D2D22" w14:textId="77777777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Ispitivanja interakcija vršena su samo kod odraslih.</w:t>
      </w:r>
    </w:p>
    <w:p w14:paraId="39097261" w14:textId="77777777" w:rsidR="00F40995" w:rsidRPr="001D68EC" w:rsidRDefault="00F40995">
      <w:pPr>
        <w:rPr>
          <w:bCs/>
          <w:szCs w:val="22"/>
          <w:lang w:val="sr-Latn-ME"/>
        </w:rPr>
      </w:pPr>
    </w:p>
    <w:p w14:paraId="26973E85" w14:textId="1CE57476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Isto</w:t>
      </w:r>
      <w:r w:rsidR="00484B49" w:rsidRPr="001D68EC">
        <w:rPr>
          <w:bCs/>
          <w:szCs w:val="22"/>
          <w:lang w:val="sr-Latn-ME"/>
        </w:rPr>
        <w:t>vreme</w:t>
      </w:r>
      <w:r w:rsidRPr="001D68EC">
        <w:rPr>
          <w:bCs/>
          <w:szCs w:val="22"/>
          <w:lang w:val="sr-Latn-ME"/>
        </w:rPr>
        <w:t xml:space="preserve">na </w:t>
      </w:r>
      <w:r w:rsidR="0031263D" w:rsidRPr="001D68EC">
        <w:rPr>
          <w:bCs/>
          <w:szCs w:val="22"/>
          <w:lang w:val="sr-Latn-ME"/>
        </w:rPr>
        <w:t>primjena</w:t>
      </w:r>
      <w:r w:rsidRPr="001D68EC">
        <w:rPr>
          <w:bCs/>
          <w:szCs w:val="22"/>
          <w:lang w:val="sr-Latn-ME"/>
        </w:rPr>
        <w:t xml:space="preserve"> tigeciklina i varfarina (pojedinačna doza od 25 mg) je kod zdravih ispitanika dovela do</w:t>
      </w:r>
      <w:r w:rsidR="000B039C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smanjenja klirensa R-varfarina i S-varfarina za 40%, odnosno 23% i povećanja </w:t>
      </w:r>
      <w:r w:rsidR="00087654" w:rsidRPr="001D68EC">
        <w:rPr>
          <w:bCs/>
          <w:szCs w:val="22"/>
          <w:lang w:val="sr-Latn-ME"/>
        </w:rPr>
        <w:t>vrijednosti</w:t>
      </w:r>
      <w:r w:rsidRPr="001D68EC">
        <w:rPr>
          <w:bCs/>
          <w:szCs w:val="22"/>
          <w:lang w:val="sr-Latn-ME"/>
        </w:rPr>
        <w:t xml:space="preserve"> PIK-a za 68%,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odnosno 29%. Mehanizam ove interakcije još uvek nije razjašnjen. Dostupni podaci ne ukazuju da bi ova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interakcija mogla dovesti do značajnih prom</w:t>
      </w:r>
      <w:r w:rsidR="000B039C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ena </w:t>
      </w:r>
      <w:r w:rsidR="00087654" w:rsidRPr="001D68EC">
        <w:rPr>
          <w:bCs/>
          <w:szCs w:val="22"/>
          <w:lang w:val="sr-Latn-ME"/>
        </w:rPr>
        <w:t>vrijednosti</w:t>
      </w:r>
      <w:r w:rsidRPr="001D68EC">
        <w:rPr>
          <w:bCs/>
          <w:szCs w:val="22"/>
          <w:lang w:val="sr-Latn-ME"/>
        </w:rPr>
        <w:t xml:space="preserve"> INR-a. U svakom slučaju, imajući u vidu da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tigeciklin može produžiti i protrombinsko </w:t>
      </w:r>
      <w:r w:rsidR="00484B49" w:rsidRPr="001D68EC">
        <w:rPr>
          <w:bCs/>
          <w:szCs w:val="22"/>
          <w:lang w:val="sr-Latn-ME"/>
        </w:rPr>
        <w:t>vrijeme</w:t>
      </w:r>
      <w:r w:rsidRPr="001D68EC">
        <w:rPr>
          <w:bCs/>
          <w:szCs w:val="22"/>
          <w:lang w:val="sr-Latn-ME"/>
        </w:rPr>
        <w:t xml:space="preserve"> (PT) i aktivirano parcijalno tromboplastinsko </w:t>
      </w:r>
      <w:r w:rsidR="00484B49" w:rsidRPr="001D68EC">
        <w:rPr>
          <w:bCs/>
          <w:szCs w:val="22"/>
          <w:lang w:val="sr-Latn-ME"/>
        </w:rPr>
        <w:t>vrijeme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(aPTT), odgovarajuće testove koagulacije treba pažljivo pratiti kada se tigeciklin prim</w:t>
      </w:r>
      <w:r w:rsidR="000B039C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enjuje zajedno sa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antikoagulansima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4.4). Varfarin nije uticao na farmakokinetički profil tigeciklina.</w:t>
      </w:r>
    </w:p>
    <w:p w14:paraId="134643F8" w14:textId="77777777" w:rsidR="00F40995" w:rsidRPr="001D68EC" w:rsidRDefault="00F40995">
      <w:pPr>
        <w:rPr>
          <w:b/>
          <w:bCs/>
          <w:szCs w:val="22"/>
          <w:lang w:val="sr-Latn-ME"/>
        </w:rPr>
      </w:pPr>
    </w:p>
    <w:p w14:paraId="2E0966CE" w14:textId="54FD7D28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Tigeciklin se ne metaboliše obilno. Usled toga se ne očekuje da na klirens tigeciklina utiču aktivne supstance</w:t>
      </w:r>
      <w:r w:rsidR="00CE6F97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 xml:space="preserve">koje inhibiraju ili indukuju aktivnost CYP450 izoenzima. </w:t>
      </w:r>
      <w:r w:rsidRPr="001D68EC">
        <w:rPr>
          <w:bCs/>
          <w:i/>
          <w:szCs w:val="22"/>
          <w:lang w:val="sr-Latn-ME"/>
        </w:rPr>
        <w:t>In vitro</w:t>
      </w:r>
      <w:r w:rsidRPr="001D68EC">
        <w:rPr>
          <w:bCs/>
          <w:szCs w:val="22"/>
          <w:lang w:val="sr-Latn-ME"/>
        </w:rPr>
        <w:t>, tigeciklin nije ni kompetitivni ni</w:t>
      </w:r>
      <w:r w:rsidR="0031263D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ireverzibilni inhibitor enzima CYP450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odeljk 5.2).</w:t>
      </w:r>
    </w:p>
    <w:p w14:paraId="39B9CB2C" w14:textId="77777777" w:rsidR="00F40995" w:rsidRPr="001D68EC" w:rsidRDefault="00F40995">
      <w:pPr>
        <w:rPr>
          <w:bCs/>
          <w:szCs w:val="22"/>
          <w:lang w:val="sr-Latn-ME"/>
        </w:rPr>
      </w:pPr>
    </w:p>
    <w:p w14:paraId="71C19713" w14:textId="6D2417DF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lastRenderedPageBreak/>
        <w:t>Kada je prim</w:t>
      </w:r>
      <w:r w:rsidR="000B039C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 xml:space="preserve">enjivan na zdravim odraslim ispitanicima, tigeciklin u </w:t>
      </w:r>
      <w:r w:rsidR="0031263D" w:rsidRPr="001D68EC">
        <w:rPr>
          <w:bCs/>
          <w:szCs w:val="22"/>
          <w:lang w:val="sr-Latn-ME"/>
        </w:rPr>
        <w:t>pre</w:t>
      </w:r>
      <w:r w:rsidRPr="001D68EC">
        <w:rPr>
          <w:bCs/>
          <w:szCs w:val="22"/>
          <w:lang w:val="sr-Latn-ME"/>
        </w:rPr>
        <w:t>poručenim dozama nije uticao na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obim i stepen resorpcije, kao ni na klirens digoksina (0,5 mg, svaka sledeća doza 0,25 mg dnevno). Digoksin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nije uticao na farmakokinetički profil tigeciklina. Usled toga nije potrebno prilagođavanje terapije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tigeciklinom pri isto</w:t>
      </w:r>
      <w:r w:rsidR="00484B49" w:rsidRPr="001D68EC">
        <w:rPr>
          <w:bCs/>
          <w:szCs w:val="22"/>
          <w:lang w:val="sr-Latn-ME"/>
        </w:rPr>
        <w:t>vreme</w:t>
      </w:r>
      <w:r w:rsidRPr="001D68EC">
        <w:rPr>
          <w:bCs/>
          <w:szCs w:val="22"/>
          <w:lang w:val="sr-Latn-ME"/>
        </w:rPr>
        <w:t>noj prim</w:t>
      </w:r>
      <w:r w:rsidR="00855F21" w:rsidRPr="001D68EC">
        <w:rPr>
          <w:bCs/>
          <w:szCs w:val="22"/>
          <w:lang w:val="sr-Latn-ME"/>
        </w:rPr>
        <w:t>j</w:t>
      </w:r>
      <w:r w:rsidRPr="001D68EC">
        <w:rPr>
          <w:bCs/>
          <w:szCs w:val="22"/>
          <w:lang w:val="sr-Latn-ME"/>
        </w:rPr>
        <w:t>eni sa digoksinom.</w:t>
      </w:r>
    </w:p>
    <w:p w14:paraId="12FA5EE1" w14:textId="77777777" w:rsidR="00F40995" w:rsidRPr="001D68EC" w:rsidRDefault="00F40995">
      <w:pPr>
        <w:rPr>
          <w:bCs/>
          <w:szCs w:val="22"/>
          <w:lang w:val="sr-Latn-ME"/>
        </w:rPr>
      </w:pPr>
    </w:p>
    <w:p w14:paraId="406E89E6" w14:textId="3093BFEF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Isto</w:t>
      </w:r>
      <w:r w:rsidR="00484B49" w:rsidRPr="001D68EC">
        <w:rPr>
          <w:bCs/>
          <w:szCs w:val="22"/>
          <w:lang w:val="sr-Latn-ME"/>
        </w:rPr>
        <w:t>vreme</w:t>
      </w:r>
      <w:r w:rsidRPr="001D68EC">
        <w:rPr>
          <w:bCs/>
          <w:szCs w:val="22"/>
          <w:lang w:val="sr-Latn-ME"/>
        </w:rPr>
        <w:t xml:space="preserve">na </w:t>
      </w:r>
      <w:r w:rsidR="0031263D" w:rsidRPr="001D68EC">
        <w:rPr>
          <w:bCs/>
          <w:szCs w:val="22"/>
          <w:lang w:val="sr-Latn-ME"/>
        </w:rPr>
        <w:t>primjena</w:t>
      </w:r>
      <w:r w:rsidRPr="001D68EC">
        <w:rPr>
          <w:bCs/>
          <w:szCs w:val="22"/>
          <w:lang w:val="sr-Latn-ME"/>
        </w:rPr>
        <w:t xml:space="preserve"> antibiotika i oralnih kontraceptiva može dovesti do smanjenja efikasnosti oralnih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kontraceptiva.</w:t>
      </w:r>
    </w:p>
    <w:p w14:paraId="51769EC7" w14:textId="77777777" w:rsidR="005631CF" w:rsidRPr="001D68EC" w:rsidRDefault="005631CF">
      <w:pPr>
        <w:rPr>
          <w:bCs/>
          <w:szCs w:val="22"/>
          <w:lang w:val="sr-Latn-ME"/>
        </w:rPr>
      </w:pPr>
    </w:p>
    <w:p w14:paraId="3CA2B457" w14:textId="1FBAF808" w:rsidR="005631CF" w:rsidRPr="001D68EC" w:rsidRDefault="005631CF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>Istovremena primjena tigeciklina i inhibitora kalcineurina, kao što su takrolimus ili ciklosporin, može dovesti do povećanja najnižih koncentracija inhibitora kalcineurina u serumu. Stoga je potrebno pratiti koncentracije inhibitora kalcineurina u serumu tokom liječenja tigeciklinom kako bi se izbjegla toksičnost lijeka</w:t>
      </w:r>
    </w:p>
    <w:p w14:paraId="6BAD2634" w14:textId="77777777" w:rsidR="00F40995" w:rsidRPr="001D68EC" w:rsidRDefault="00F40995">
      <w:pPr>
        <w:rPr>
          <w:bCs/>
          <w:szCs w:val="22"/>
          <w:lang w:val="sr-Latn-ME"/>
        </w:rPr>
      </w:pPr>
    </w:p>
    <w:p w14:paraId="08A106C7" w14:textId="1BB746B1" w:rsidR="00F40995" w:rsidRPr="001D68EC" w:rsidRDefault="00F40995">
      <w:pPr>
        <w:rPr>
          <w:bCs/>
          <w:szCs w:val="22"/>
          <w:lang w:val="sr-Latn-ME"/>
        </w:rPr>
      </w:pPr>
      <w:r w:rsidRPr="001D68EC">
        <w:rPr>
          <w:bCs/>
          <w:szCs w:val="22"/>
          <w:lang w:val="sr-Latn-ME"/>
        </w:rPr>
        <w:t xml:space="preserve">Podaci </w:t>
      </w:r>
      <w:r w:rsidRPr="001D68EC">
        <w:rPr>
          <w:bCs/>
          <w:i/>
          <w:szCs w:val="22"/>
          <w:lang w:val="sr-Latn-ME"/>
        </w:rPr>
        <w:t>in vitro</w:t>
      </w:r>
      <w:r w:rsidRPr="001D68EC">
        <w:rPr>
          <w:bCs/>
          <w:szCs w:val="22"/>
          <w:lang w:val="sr-Latn-ME"/>
        </w:rPr>
        <w:t xml:space="preserve"> studije ukazuju da je tigeciklin supstrat P-glikoproteina. Isto</w:t>
      </w:r>
      <w:r w:rsidR="00484B49" w:rsidRPr="001D68EC">
        <w:rPr>
          <w:bCs/>
          <w:szCs w:val="22"/>
          <w:lang w:val="sr-Latn-ME"/>
        </w:rPr>
        <w:t>vreme</w:t>
      </w:r>
      <w:r w:rsidRPr="001D68EC">
        <w:rPr>
          <w:bCs/>
          <w:szCs w:val="22"/>
          <w:lang w:val="sr-Latn-ME"/>
        </w:rPr>
        <w:t xml:space="preserve">na </w:t>
      </w:r>
      <w:r w:rsidR="0031263D" w:rsidRPr="001D68EC">
        <w:rPr>
          <w:bCs/>
          <w:szCs w:val="22"/>
          <w:lang w:val="sr-Latn-ME"/>
        </w:rPr>
        <w:t>primjena</w:t>
      </w:r>
      <w:r w:rsidRPr="001D68EC">
        <w:rPr>
          <w:bCs/>
          <w:szCs w:val="22"/>
          <w:lang w:val="sr-Latn-ME"/>
        </w:rPr>
        <w:t xml:space="preserve"> sa inhibitorima</w:t>
      </w:r>
      <w:r w:rsidR="00CE6F97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P-glikoproteina (npr. ketokonazol ili ciklosporin) ili induktorima P-glikoproteina (npr. rifampicin) može</w:t>
      </w:r>
      <w:r w:rsidR="0020651B" w:rsidRPr="001D68EC">
        <w:rPr>
          <w:bCs/>
          <w:szCs w:val="22"/>
          <w:lang w:val="sr-Latn-ME"/>
        </w:rPr>
        <w:t xml:space="preserve"> </w:t>
      </w:r>
      <w:r w:rsidRPr="001D68EC">
        <w:rPr>
          <w:bCs/>
          <w:szCs w:val="22"/>
          <w:lang w:val="sr-Latn-ME"/>
        </w:rPr>
        <w:t>uticati na farmakokinetiku tigeciklina (</w:t>
      </w:r>
      <w:r w:rsidR="005B2A36" w:rsidRPr="001D68EC">
        <w:rPr>
          <w:bCs/>
          <w:szCs w:val="22"/>
          <w:lang w:val="sr-Latn-ME"/>
        </w:rPr>
        <w:t>pogledati</w:t>
      </w:r>
      <w:r w:rsidRPr="001D68EC">
        <w:rPr>
          <w:bCs/>
          <w:szCs w:val="22"/>
          <w:lang w:val="sr-Latn-ME"/>
        </w:rPr>
        <w:t xml:space="preserve"> </w:t>
      </w:r>
      <w:r w:rsidR="0031263D" w:rsidRPr="001D68EC">
        <w:rPr>
          <w:bCs/>
          <w:szCs w:val="22"/>
          <w:lang w:val="sr-Latn-ME"/>
        </w:rPr>
        <w:t>dio</w:t>
      </w:r>
      <w:r w:rsidRPr="001D68EC">
        <w:rPr>
          <w:bCs/>
          <w:szCs w:val="22"/>
          <w:lang w:val="sr-Latn-ME"/>
        </w:rPr>
        <w:t xml:space="preserve"> 5.2).</w:t>
      </w:r>
    </w:p>
    <w:p w14:paraId="248DBBDD" w14:textId="77777777" w:rsidR="0088037F" w:rsidRPr="001D68EC" w:rsidRDefault="0088037F">
      <w:pPr>
        <w:rPr>
          <w:b/>
          <w:bCs/>
          <w:szCs w:val="22"/>
          <w:lang w:val="sr-Latn-ME"/>
        </w:rPr>
      </w:pPr>
    </w:p>
    <w:p w14:paraId="6C6CD045" w14:textId="77777777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>4.6. Plodnost, trudnoća i dojenje</w:t>
      </w:r>
    </w:p>
    <w:p w14:paraId="257ECFBE" w14:textId="77777777" w:rsidR="00CE09F3" w:rsidRPr="001D68EC" w:rsidRDefault="00CE09F3">
      <w:pPr>
        <w:rPr>
          <w:szCs w:val="22"/>
          <w:lang w:val="sr-Latn-ME"/>
        </w:rPr>
      </w:pPr>
    </w:p>
    <w:p w14:paraId="0867471C" w14:textId="50C049D7" w:rsidR="0031263D" w:rsidRPr="001D68EC" w:rsidRDefault="0031263D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Plodnost</w:t>
      </w:r>
    </w:p>
    <w:p w14:paraId="7AE5F620" w14:textId="0F28945A" w:rsidR="005631CF" w:rsidRPr="001D68EC" w:rsidRDefault="005631C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 ispitani efekti tigeciklina na plodnost ljudi. Neklinička ispitivanja sprovedena sa tigeciklinom kod pacova  ne ukazuju na štetne efekte s obzirom na plodnost ili sposobnost reprodukcije. Kod ženki pacova nije bilo sa aktivnom supstancom povezanih efekata na jajnike i hormonski status pri izloženosti dozama do 4,7 puta većima od dnevne doze za ljude na osnovu  vijednosti</w:t>
      </w:r>
      <w:r w:rsidR="004D690D" w:rsidRPr="001D68EC">
        <w:rPr>
          <w:szCs w:val="22"/>
          <w:lang w:val="sr-Latn-ME"/>
        </w:rPr>
        <w:t xml:space="preserve"> PIC</w:t>
      </w:r>
      <w:r w:rsidRPr="001D68EC">
        <w:rPr>
          <w:szCs w:val="22"/>
          <w:lang w:val="sr-Latn-ME"/>
        </w:rPr>
        <w:t>-a (pogledati dio 5.3).</w:t>
      </w:r>
    </w:p>
    <w:p w14:paraId="77D9AF15" w14:textId="77777777" w:rsidR="0031263D" w:rsidRPr="001D68EC" w:rsidRDefault="0031263D">
      <w:pPr>
        <w:rPr>
          <w:szCs w:val="22"/>
          <w:lang w:val="sr-Latn-ME"/>
        </w:rPr>
      </w:pPr>
    </w:p>
    <w:p w14:paraId="1A561141" w14:textId="7BDD9238" w:rsidR="00CE09F3" w:rsidRPr="001D68EC" w:rsidRDefault="00DA0FF0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Trudnoća</w:t>
      </w:r>
    </w:p>
    <w:p w14:paraId="412300A0" w14:textId="1A6261B4" w:rsidR="009F1AAB" w:rsidRPr="001D68EC" w:rsidRDefault="009F1AAB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O prim</w:t>
      </w:r>
      <w:r w:rsidR="000B039C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eni tigeciklina kod trudnica nema podataka ili je njihov broj ograničen. Ispitivanja na životinjama su</w:t>
      </w:r>
      <w:r w:rsidR="002024B5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pokazala reproduktivnu toksičnost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5.3). Potencijalni rizik za ljude nije poznat. Kao i</w:t>
      </w:r>
      <w:r w:rsidR="0031263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tetraciklinska grupa antibiotika, tigeciklin takođe može indukovati trajna oštećenja zuba (prom</w:t>
      </w:r>
      <w:r w:rsidR="000B039C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boje i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oštećenje gleđi) i odložiti procese okoštavanja kod fetusa, izloženih in utero u drugoj polovini perioda</w:t>
      </w:r>
      <w:r w:rsidR="0031263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gestacije, kao i kod </w:t>
      </w:r>
      <w:r w:rsidR="00A14810" w:rsidRPr="001D68EC">
        <w:rPr>
          <w:szCs w:val="22"/>
          <w:lang w:val="sr-Latn-ME"/>
        </w:rPr>
        <w:t>djece</w:t>
      </w:r>
      <w:r w:rsidRPr="001D68EC">
        <w:rPr>
          <w:szCs w:val="22"/>
          <w:lang w:val="sr-Latn-ME"/>
        </w:rPr>
        <w:t xml:space="preserve"> mlađe od 8 godina, zbog nakupljanja u tkivima sa visokom razmenom kalcijuma i</w:t>
      </w:r>
      <w:r w:rsidR="002024B5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formiranja kalcijumskih helatnih komp</w:t>
      </w:r>
      <w:r w:rsidR="0031263D" w:rsidRPr="001D68EC">
        <w:rPr>
          <w:szCs w:val="22"/>
          <w:lang w:val="sr-Latn-ME"/>
        </w:rPr>
        <w:t>lek</w:t>
      </w:r>
      <w:r w:rsidRPr="001D68EC">
        <w:rPr>
          <w:szCs w:val="22"/>
          <w:lang w:val="sr-Latn-ME"/>
        </w:rPr>
        <w:t>sa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4.4). Tigeciklin </w:t>
      </w:r>
      <w:r w:rsidR="005631CF" w:rsidRPr="001D68EC">
        <w:rPr>
          <w:szCs w:val="22"/>
          <w:lang w:val="sr-Latn-ME"/>
        </w:rPr>
        <w:t>se ne smije</w:t>
      </w:r>
      <w:r w:rsidRPr="001D68EC">
        <w:rPr>
          <w:szCs w:val="22"/>
          <w:lang w:val="sr-Latn-ME"/>
        </w:rPr>
        <w:t xml:space="preserve"> prim</w:t>
      </w:r>
      <w:r w:rsidR="000B039C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enjivati tokom</w:t>
      </w:r>
      <w:r w:rsidR="0031263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trudnoće osim ako kliničko stanje žene zaht</w:t>
      </w:r>
      <w:r w:rsidR="000B039C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eva terapiju tigeciklinom.</w:t>
      </w:r>
    </w:p>
    <w:p w14:paraId="76DBCB7E" w14:textId="77777777" w:rsidR="009F1AAB" w:rsidRPr="001D68EC" w:rsidRDefault="009F1AAB">
      <w:pPr>
        <w:rPr>
          <w:szCs w:val="22"/>
          <w:lang w:val="sr-Latn-ME"/>
        </w:rPr>
      </w:pPr>
    </w:p>
    <w:p w14:paraId="3F1F973D" w14:textId="75DDC960" w:rsidR="009F1AAB" w:rsidRPr="001D68EC" w:rsidRDefault="009F1AAB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Dojenje</w:t>
      </w:r>
    </w:p>
    <w:p w14:paraId="215CB844" w14:textId="1639A175" w:rsidR="009F1AAB" w:rsidRPr="001D68EC" w:rsidRDefault="009F1AAB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Nije poznato da li se tigeciklin i njegovi metaboliti izlučuju u majčino m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o. Raspoloživi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farmakodinamski/toksikološki podaci dobijeni ispitivanjima na životinjama pokazuju da se tigeciklin/njegovi</w:t>
      </w:r>
      <w:r w:rsidR="002024B5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metaboliti izlučuju u m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o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5.3). Ne može se isključiti rizik po novorođenče/odojče. Odluka o</w:t>
      </w:r>
      <w:r w:rsidR="002024B5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tome da li da se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 xml:space="preserve">kine dojenje ili da se </w:t>
      </w:r>
      <w:r w:rsidR="0031263D" w:rsidRPr="001D68EC">
        <w:rPr>
          <w:szCs w:val="22"/>
          <w:lang w:val="sr-Latn-ME"/>
        </w:rPr>
        <w:t>p</w:t>
      </w:r>
      <w:r w:rsidR="000B039C" w:rsidRPr="001D68EC">
        <w:rPr>
          <w:szCs w:val="22"/>
          <w:lang w:val="sr-Latn-ME"/>
        </w:rPr>
        <w:t>r</w:t>
      </w:r>
      <w:r w:rsidR="0031263D" w:rsidRPr="001D68EC">
        <w:rPr>
          <w:szCs w:val="22"/>
          <w:lang w:val="sr-Latn-ME"/>
        </w:rPr>
        <w:t>e</w:t>
      </w:r>
      <w:r w:rsidRPr="001D68EC">
        <w:rPr>
          <w:szCs w:val="22"/>
          <w:lang w:val="sr-Latn-ME"/>
        </w:rPr>
        <w:t>kine/odloži terapija tigeciklinom mora se don</w:t>
      </w:r>
      <w:r w:rsidR="000B039C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eti uzimajući u obzir</w:t>
      </w:r>
      <w:r w:rsidR="0031263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korist od dojenja za d</w:t>
      </w:r>
      <w:r w:rsidR="000B039C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ete i korist od terapije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om </w:t>
      </w:r>
      <w:r w:rsidR="007C2189" w:rsidRPr="001D68EC">
        <w:rPr>
          <w:szCs w:val="22"/>
          <w:lang w:val="sr-Latn-ME"/>
        </w:rPr>
        <w:t>Tigeciclina Normon</w:t>
      </w:r>
      <w:r w:rsidRPr="001D68EC">
        <w:rPr>
          <w:szCs w:val="22"/>
          <w:lang w:val="sr-Latn-ME"/>
        </w:rPr>
        <w:t xml:space="preserve"> za ženu.</w:t>
      </w:r>
    </w:p>
    <w:p w14:paraId="7D15CBC3" w14:textId="77777777" w:rsidR="009F1AAB" w:rsidRPr="001D68EC" w:rsidRDefault="009F1AAB">
      <w:pPr>
        <w:rPr>
          <w:szCs w:val="22"/>
          <w:lang w:val="sr-Latn-ME"/>
        </w:rPr>
      </w:pPr>
    </w:p>
    <w:p w14:paraId="3C60D25A" w14:textId="4FE2555D" w:rsidR="009F1AAB" w:rsidRPr="001D68EC" w:rsidRDefault="009F1AAB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4.7. Uticaj na sposobnost upravljanja vozilima i rukovanj</w:t>
      </w:r>
      <w:r w:rsidR="005B2A36" w:rsidRPr="001D68EC">
        <w:rPr>
          <w:b/>
          <w:szCs w:val="22"/>
          <w:lang w:val="sr-Latn-ME"/>
        </w:rPr>
        <w:t>e</w:t>
      </w:r>
      <w:r w:rsidRPr="001D68EC">
        <w:rPr>
          <w:b/>
          <w:szCs w:val="22"/>
          <w:lang w:val="sr-Latn-ME"/>
        </w:rPr>
        <w:t xml:space="preserve"> mašinama</w:t>
      </w:r>
    </w:p>
    <w:p w14:paraId="697289AE" w14:textId="77777777" w:rsidR="009F1AAB" w:rsidRPr="001D68EC" w:rsidRDefault="009F1AAB">
      <w:pPr>
        <w:rPr>
          <w:b/>
          <w:szCs w:val="22"/>
          <w:lang w:val="sr-Latn-ME"/>
        </w:rPr>
      </w:pPr>
    </w:p>
    <w:p w14:paraId="41D4D86F" w14:textId="4F15F87F" w:rsidR="009F1AAB" w:rsidRPr="001D68EC" w:rsidRDefault="009F1AAB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Može se javiti vrtoglavica koja može uticati na upravljanje vozilima ili rukovanje mašinama (</w:t>
      </w:r>
      <w:r w:rsidR="0031263D" w:rsidRPr="001D68EC">
        <w:rPr>
          <w:szCs w:val="22"/>
          <w:lang w:val="sr-Latn-ME"/>
        </w:rPr>
        <w:t>po</w:t>
      </w:r>
      <w:r w:rsidR="005B2A36" w:rsidRPr="001D68EC">
        <w:rPr>
          <w:szCs w:val="22"/>
          <w:lang w:val="sr-Latn-ME"/>
        </w:rPr>
        <w:t>g</w:t>
      </w:r>
      <w:r w:rsidR="0031263D" w:rsidRPr="001D68EC">
        <w:rPr>
          <w:szCs w:val="22"/>
          <w:lang w:val="sr-Latn-ME"/>
        </w:rPr>
        <w:t>ledati</w:t>
      </w:r>
      <w:r w:rsidRPr="001D68EC">
        <w:rPr>
          <w:szCs w:val="22"/>
          <w:lang w:val="sr-Latn-ME"/>
        </w:rPr>
        <w:t xml:space="preserve"> </w:t>
      </w:r>
      <w:r w:rsidR="005B2A36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4.8).</w:t>
      </w:r>
    </w:p>
    <w:p w14:paraId="1D7FE601" w14:textId="77777777" w:rsidR="009F1AAB" w:rsidRPr="001D68EC" w:rsidRDefault="009F1AAB">
      <w:pPr>
        <w:rPr>
          <w:szCs w:val="22"/>
          <w:lang w:val="sr-Latn-ME"/>
        </w:rPr>
      </w:pPr>
    </w:p>
    <w:p w14:paraId="4EA7795F" w14:textId="77777777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>4.8. Neželjena dejstva</w:t>
      </w:r>
    </w:p>
    <w:p w14:paraId="09E81685" w14:textId="77777777" w:rsidR="00CE09F3" w:rsidRPr="001D68EC" w:rsidRDefault="00CE09F3">
      <w:pPr>
        <w:rPr>
          <w:noProof/>
          <w:szCs w:val="22"/>
          <w:u w:val="single"/>
          <w:lang w:val="sr-Latn-ME"/>
        </w:rPr>
      </w:pPr>
    </w:p>
    <w:p w14:paraId="27B49A19" w14:textId="28AC7F8D" w:rsidR="00291E55" w:rsidRPr="001D68EC" w:rsidRDefault="009F1AAB">
      <w:pPr>
        <w:rPr>
          <w:noProof/>
          <w:szCs w:val="22"/>
          <w:u w:val="single"/>
          <w:lang w:val="sr-Latn-ME"/>
        </w:rPr>
      </w:pPr>
      <w:r w:rsidRPr="001D68EC">
        <w:rPr>
          <w:noProof/>
          <w:szCs w:val="22"/>
          <w:u w:val="single"/>
          <w:lang w:val="sr-Latn-ME"/>
        </w:rPr>
        <w:t>Sažetak bezb</w:t>
      </w:r>
      <w:r w:rsidR="005B2A36" w:rsidRPr="001D68EC">
        <w:rPr>
          <w:noProof/>
          <w:szCs w:val="22"/>
          <w:u w:val="single"/>
          <w:lang w:val="sr-Latn-ME"/>
        </w:rPr>
        <w:t>j</w:t>
      </w:r>
      <w:r w:rsidRPr="001D68EC">
        <w:rPr>
          <w:noProof/>
          <w:szCs w:val="22"/>
          <w:u w:val="single"/>
          <w:lang w:val="sr-Latn-ME"/>
        </w:rPr>
        <w:t>ednosnog profila</w:t>
      </w:r>
    </w:p>
    <w:p w14:paraId="56888A3F" w14:textId="77777777" w:rsidR="009F1AAB" w:rsidRPr="001D68EC" w:rsidRDefault="009F1AAB">
      <w:pPr>
        <w:rPr>
          <w:noProof/>
          <w:szCs w:val="22"/>
          <w:u w:val="single"/>
          <w:lang w:val="sr-Latn-ME"/>
        </w:rPr>
      </w:pPr>
    </w:p>
    <w:p w14:paraId="77342327" w14:textId="0AACD02D" w:rsidR="009F1AAB" w:rsidRPr="001D68EC" w:rsidRDefault="009F1AA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Ukupan broj pacijenata sa cSSTI i cIAI koji su primali tigeciklin u trećoj i četvrtoj fazi kliničkih studija bio</w:t>
      </w:r>
      <w:r w:rsidR="000B039C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je 2393.</w:t>
      </w:r>
    </w:p>
    <w:p w14:paraId="26358063" w14:textId="77777777" w:rsidR="009F1AAB" w:rsidRPr="001D68EC" w:rsidRDefault="009F1AAB">
      <w:pPr>
        <w:rPr>
          <w:noProof/>
          <w:szCs w:val="22"/>
          <w:lang w:val="sr-Latn-ME"/>
        </w:rPr>
      </w:pPr>
    </w:p>
    <w:p w14:paraId="673001F1" w14:textId="3BF3CC50" w:rsidR="009F1AAB" w:rsidRPr="001D68EC" w:rsidRDefault="009F1AA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 xml:space="preserve">U kliničkim ispitivanjima, najčešće neželjene reakcije na </w:t>
      </w:r>
      <w:r w:rsidR="0031263D" w:rsidRPr="001D68EC">
        <w:rPr>
          <w:noProof/>
          <w:szCs w:val="22"/>
          <w:lang w:val="sr-Latn-ME"/>
        </w:rPr>
        <w:t>lijek</w:t>
      </w:r>
      <w:r w:rsidRPr="001D68EC">
        <w:rPr>
          <w:noProof/>
          <w:szCs w:val="22"/>
          <w:lang w:val="sr-Latn-ME"/>
        </w:rPr>
        <w:t xml:space="preserve"> povezane sa terapijom bile su prolazna mučnina</w:t>
      </w:r>
      <w:r w:rsidR="00CE6F97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(21%) i povraćanje (13%), koje su se najčešće pojavljivale rano (prvog ili drugog dana terapije) i bile su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uglavnom slabog do umerenog intenziteta.</w:t>
      </w:r>
    </w:p>
    <w:p w14:paraId="37C76267" w14:textId="77777777" w:rsidR="009F1AAB" w:rsidRPr="001D68EC" w:rsidRDefault="009F1AAB">
      <w:pPr>
        <w:rPr>
          <w:noProof/>
          <w:szCs w:val="22"/>
          <w:lang w:val="sr-Latn-ME"/>
        </w:rPr>
      </w:pPr>
    </w:p>
    <w:p w14:paraId="42AEFCF2" w14:textId="5EEDF68D" w:rsidR="009F1AAB" w:rsidRPr="001D68EC" w:rsidRDefault="009F1AA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lastRenderedPageBreak/>
        <w:t>Neželjene reakcije prijavljene prilikom upotrebe tigeciklina, uključujući klinička ispitivanja i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postmarketinški period, prikazane su tabelarno.</w:t>
      </w:r>
    </w:p>
    <w:p w14:paraId="4E2A9778" w14:textId="77777777" w:rsidR="009F1AAB" w:rsidRPr="001D68EC" w:rsidRDefault="009F1AAB">
      <w:pPr>
        <w:rPr>
          <w:noProof/>
          <w:szCs w:val="22"/>
          <w:lang w:val="sr-Latn-ME"/>
        </w:rPr>
      </w:pPr>
    </w:p>
    <w:p w14:paraId="5301C257" w14:textId="77777777" w:rsidR="009F1AAB" w:rsidRPr="001D68EC" w:rsidRDefault="009F1AAB">
      <w:pPr>
        <w:rPr>
          <w:noProof/>
          <w:szCs w:val="22"/>
          <w:u w:val="single"/>
          <w:lang w:val="sr-Latn-ME"/>
        </w:rPr>
      </w:pPr>
      <w:r w:rsidRPr="001D68EC">
        <w:rPr>
          <w:noProof/>
          <w:szCs w:val="22"/>
          <w:u w:val="single"/>
          <w:lang w:val="sr-Latn-ME"/>
        </w:rPr>
        <w:t>Tabelarni prikaz</w:t>
      </w:r>
      <w:r w:rsidRPr="001D68EC">
        <w:rPr>
          <w:u w:val="single"/>
          <w:lang w:val="sr-Latn-ME"/>
        </w:rPr>
        <w:t xml:space="preserve"> </w:t>
      </w:r>
      <w:r w:rsidRPr="001D68EC">
        <w:rPr>
          <w:noProof/>
          <w:szCs w:val="22"/>
          <w:u w:val="single"/>
          <w:lang w:val="sr-Latn-ME"/>
        </w:rPr>
        <w:t>neželjenih reakcija</w:t>
      </w:r>
    </w:p>
    <w:p w14:paraId="05896517" w14:textId="77777777" w:rsidR="009F1AAB" w:rsidRPr="001D68EC" w:rsidRDefault="009F1AAB">
      <w:pPr>
        <w:rPr>
          <w:noProof/>
          <w:szCs w:val="22"/>
          <w:lang w:val="sr-Latn-ME"/>
        </w:rPr>
      </w:pPr>
    </w:p>
    <w:tbl>
      <w:tblPr>
        <w:tblStyle w:val="TableGrid"/>
        <w:tblW w:w="972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2694"/>
        <w:gridCol w:w="1984"/>
        <w:gridCol w:w="2207"/>
      </w:tblGrid>
      <w:tr w:rsidR="00073DB4" w:rsidRPr="001D68EC" w14:paraId="294BF116" w14:textId="77777777" w:rsidTr="00217F35">
        <w:trPr>
          <w:trHeight w:val="900"/>
        </w:trPr>
        <w:tc>
          <w:tcPr>
            <w:tcW w:w="1418" w:type="dxa"/>
          </w:tcPr>
          <w:p w14:paraId="02F7E2E6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Klasa sistema</w:t>
            </w:r>
          </w:p>
          <w:p w14:paraId="7AC8463A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organa</w:t>
            </w:r>
          </w:p>
          <w:p w14:paraId="703B1382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</w:p>
        </w:tc>
        <w:tc>
          <w:tcPr>
            <w:tcW w:w="1417" w:type="dxa"/>
          </w:tcPr>
          <w:p w14:paraId="25685D7C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Veoma često</w:t>
            </w:r>
          </w:p>
          <w:p w14:paraId="2FD7303F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≥ 1/10</w:t>
            </w:r>
          </w:p>
          <w:p w14:paraId="6D629E53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7B60D441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Često</w:t>
            </w:r>
          </w:p>
          <w:p w14:paraId="4CBBB66D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≥ 1/100 do &lt; 1/10</w:t>
            </w:r>
          </w:p>
          <w:p w14:paraId="58525454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697A0776" w14:textId="456C2965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Po</w:t>
            </w:r>
            <w:r w:rsidR="00484B49" w:rsidRPr="001D68EC">
              <w:rPr>
                <w:b/>
                <w:noProof/>
                <w:szCs w:val="22"/>
                <w:lang w:val="sr-Latn-ME"/>
              </w:rPr>
              <w:t>vreme</w:t>
            </w:r>
            <w:r w:rsidRPr="001D68EC">
              <w:rPr>
                <w:b/>
                <w:noProof/>
                <w:szCs w:val="22"/>
                <w:lang w:val="sr-Latn-ME"/>
              </w:rPr>
              <w:t>no</w:t>
            </w:r>
          </w:p>
          <w:p w14:paraId="097D17C2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≥ 1/1000 do &lt; 1/100</w:t>
            </w:r>
          </w:p>
          <w:p w14:paraId="1F051172" w14:textId="77777777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</w:p>
        </w:tc>
        <w:tc>
          <w:tcPr>
            <w:tcW w:w="2207" w:type="dxa"/>
          </w:tcPr>
          <w:p w14:paraId="207AFD16" w14:textId="41B4822C" w:rsidR="00073DB4" w:rsidRPr="001D68EC" w:rsidRDefault="00073DB4">
            <w:pPr>
              <w:rPr>
                <w:b/>
                <w:noProof/>
                <w:szCs w:val="22"/>
                <w:lang w:val="sr-Latn-ME"/>
              </w:rPr>
            </w:pPr>
            <w:r w:rsidRPr="001D68EC">
              <w:rPr>
                <w:b/>
                <w:noProof/>
                <w:szCs w:val="22"/>
                <w:lang w:val="sr-Latn-ME"/>
              </w:rPr>
              <w:t>Nepoznato (ne može se proc</w:t>
            </w:r>
            <w:r w:rsidR="00BE454B" w:rsidRPr="001D68EC">
              <w:rPr>
                <w:b/>
                <w:noProof/>
                <w:szCs w:val="22"/>
                <w:lang w:val="sr-Latn-ME"/>
              </w:rPr>
              <w:t>ij</w:t>
            </w:r>
            <w:r w:rsidRPr="001D68EC">
              <w:rPr>
                <w:b/>
                <w:noProof/>
                <w:szCs w:val="22"/>
                <w:lang w:val="sr-Latn-ME"/>
              </w:rPr>
              <w:t>eniti na osnovu dostupnih podataka)</w:t>
            </w:r>
          </w:p>
        </w:tc>
      </w:tr>
      <w:tr w:rsidR="004C02F6" w:rsidRPr="001D68EC" w14:paraId="3E6072A5" w14:textId="77777777" w:rsidTr="00217F35">
        <w:trPr>
          <w:trHeight w:val="732"/>
        </w:trPr>
        <w:tc>
          <w:tcPr>
            <w:tcW w:w="1418" w:type="dxa"/>
          </w:tcPr>
          <w:p w14:paraId="616CA664" w14:textId="77777777" w:rsidR="004C02F6" w:rsidRPr="001D68EC" w:rsidRDefault="004C02F6" w:rsidP="00390241">
            <w:pPr>
              <w:jc w:val="left"/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Infekcije i infestacije</w:t>
            </w:r>
          </w:p>
        </w:tc>
        <w:tc>
          <w:tcPr>
            <w:tcW w:w="1417" w:type="dxa"/>
          </w:tcPr>
          <w:p w14:paraId="20383C85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28768D44" w14:textId="77777777" w:rsidR="00073DB4" w:rsidRPr="001D68EC" w:rsidRDefault="00073DB4" w:rsidP="00804889">
            <w:pPr>
              <w:pStyle w:val="NoSpacing"/>
              <w:rPr>
                <w:noProof/>
                <w:sz w:val="22"/>
                <w:szCs w:val="22"/>
                <w:lang w:val="sr-Latn-ME"/>
              </w:rPr>
            </w:pPr>
            <w:r w:rsidRPr="001D68EC">
              <w:rPr>
                <w:noProof/>
                <w:sz w:val="22"/>
                <w:szCs w:val="22"/>
                <w:lang w:val="sr-Latn-ME"/>
              </w:rPr>
              <w:t>sepsa/septički šok,</w:t>
            </w:r>
          </w:p>
          <w:p w14:paraId="56DA5A57" w14:textId="0C90AD35" w:rsidR="004C02F6" w:rsidRPr="001D68EC" w:rsidRDefault="00073DB4">
            <w:pPr>
              <w:pStyle w:val="NoSpacing"/>
              <w:rPr>
                <w:noProof/>
                <w:lang w:val="sr-Latn-ME"/>
              </w:rPr>
            </w:pPr>
            <w:r w:rsidRPr="001D68EC">
              <w:rPr>
                <w:noProof/>
                <w:sz w:val="22"/>
                <w:szCs w:val="22"/>
                <w:lang w:val="sr-Latn-ME"/>
              </w:rPr>
              <w:t>pneumonija,</w:t>
            </w:r>
            <w:r w:rsidR="00217F35" w:rsidRPr="001D68EC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1D68EC">
              <w:rPr>
                <w:noProof/>
                <w:sz w:val="22"/>
                <w:szCs w:val="22"/>
                <w:lang w:val="sr-Latn-ME"/>
              </w:rPr>
              <w:t>apsces,</w:t>
            </w:r>
            <w:r w:rsidR="00217F35" w:rsidRPr="001D68EC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1D68EC">
              <w:rPr>
                <w:noProof/>
                <w:sz w:val="22"/>
                <w:szCs w:val="22"/>
                <w:lang w:val="sr-Latn-ME"/>
              </w:rPr>
              <w:t>infekcije</w:t>
            </w:r>
          </w:p>
        </w:tc>
        <w:tc>
          <w:tcPr>
            <w:tcW w:w="1984" w:type="dxa"/>
          </w:tcPr>
          <w:p w14:paraId="11C88DBB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07" w:type="dxa"/>
          </w:tcPr>
          <w:p w14:paraId="55F1F568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</w:tr>
      <w:tr w:rsidR="004C02F6" w:rsidRPr="001D68EC" w14:paraId="3A666947" w14:textId="77777777" w:rsidTr="00217F35">
        <w:trPr>
          <w:trHeight w:val="900"/>
        </w:trPr>
        <w:tc>
          <w:tcPr>
            <w:tcW w:w="1418" w:type="dxa"/>
            <w:hideMark/>
          </w:tcPr>
          <w:p w14:paraId="151AF1F2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Poremećaji krvi i limfnog sistema</w:t>
            </w:r>
          </w:p>
        </w:tc>
        <w:tc>
          <w:tcPr>
            <w:tcW w:w="1417" w:type="dxa"/>
            <w:hideMark/>
          </w:tcPr>
          <w:p w14:paraId="45C087C3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 </w:t>
            </w:r>
          </w:p>
        </w:tc>
        <w:tc>
          <w:tcPr>
            <w:tcW w:w="2694" w:type="dxa"/>
            <w:hideMark/>
          </w:tcPr>
          <w:p w14:paraId="06251C2F" w14:textId="77777777" w:rsidR="00073DB4" w:rsidRPr="001D68EC" w:rsidRDefault="00073DB4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produženo aktivirano</w:t>
            </w:r>
          </w:p>
          <w:p w14:paraId="7D340AAD" w14:textId="41030C2E" w:rsidR="00073DB4" w:rsidRPr="001D68EC" w:rsidRDefault="00073DB4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parcijalno</w:t>
            </w:r>
            <w:r w:rsidR="00217F35" w:rsidRPr="001D68EC">
              <w:rPr>
                <w:noProof/>
                <w:szCs w:val="22"/>
                <w:lang w:val="sr-Latn-ME"/>
              </w:rPr>
              <w:t xml:space="preserve"> </w:t>
            </w:r>
            <w:r w:rsidRPr="001D68EC">
              <w:rPr>
                <w:noProof/>
                <w:szCs w:val="22"/>
                <w:lang w:val="sr-Latn-ME"/>
              </w:rPr>
              <w:t>tromboplastinsko</w:t>
            </w:r>
          </w:p>
          <w:p w14:paraId="6BC1B85F" w14:textId="79FB651E" w:rsidR="00073DB4" w:rsidRPr="001D68EC" w:rsidRDefault="00484B4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vrijeme</w:t>
            </w:r>
            <w:r w:rsidR="00073DB4" w:rsidRPr="001D68EC">
              <w:rPr>
                <w:noProof/>
                <w:szCs w:val="22"/>
                <w:lang w:val="sr-Latn-ME"/>
              </w:rPr>
              <w:t xml:space="preserve"> (aPTT),</w:t>
            </w:r>
            <w:r w:rsidR="00217F35" w:rsidRPr="001D68EC">
              <w:rPr>
                <w:noProof/>
                <w:szCs w:val="22"/>
                <w:lang w:val="sr-Latn-ME"/>
              </w:rPr>
              <w:t xml:space="preserve"> </w:t>
            </w:r>
            <w:r w:rsidR="00073DB4" w:rsidRPr="001D68EC">
              <w:rPr>
                <w:noProof/>
                <w:szCs w:val="22"/>
                <w:lang w:val="sr-Latn-ME"/>
              </w:rPr>
              <w:t>produženo</w:t>
            </w:r>
          </w:p>
          <w:p w14:paraId="01CAFCF7" w14:textId="18619000" w:rsidR="004C02F6" w:rsidRPr="001D68EC" w:rsidRDefault="00073DB4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 xml:space="preserve">protrombinsko </w:t>
            </w:r>
            <w:r w:rsidR="00484B49" w:rsidRPr="001D68EC">
              <w:rPr>
                <w:noProof/>
                <w:szCs w:val="22"/>
                <w:lang w:val="sr-Latn-ME"/>
              </w:rPr>
              <w:t>vrijeme</w:t>
            </w:r>
            <w:r w:rsidRPr="001D68EC">
              <w:rPr>
                <w:noProof/>
                <w:szCs w:val="22"/>
                <w:lang w:val="sr-Latn-ME"/>
              </w:rPr>
              <w:t xml:space="preserve"> (PT)</w:t>
            </w:r>
          </w:p>
        </w:tc>
        <w:tc>
          <w:tcPr>
            <w:tcW w:w="1984" w:type="dxa"/>
          </w:tcPr>
          <w:p w14:paraId="63574B4C" w14:textId="77777777" w:rsidR="00AB7756" w:rsidRPr="001D68EC" w:rsidRDefault="00AB775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trombocitopenija,</w:t>
            </w:r>
          </w:p>
          <w:p w14:paraId="26F08BF6" w14:textId="77777777" w:rsidR="00AB7756" w:rsidRPr="001D68EC" w:rsidRDefault="00AB775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povećanje</w:t>
            </w:r>
          </w:p>
          <w:p w14:paraId="753635AE" w14:textId="77777777" w:rsidR="00AB7756" w:rsidRPr="001D68EC" w:rsidRDefault="00AB775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internacionalnog</w:t>
            </w:r>
          </w:p>
          <w:p w14:paraId="3BB641D5" w14:textId="77777777" w:rsidR="00AB7756" w:rsidRPr="001D68EC" w:rsidRDefault="00AB775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normalizovanog</w:t>
            </w:r>
          </w:p>
          <w:p w14:paraId="5A085853" w14:textId="77777777" w:rsidR="004C02F6" w:rsidRPr="001D68EC" w:rsidRDefault="00AB775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odnosa (INR)</w:t>
            </w:r>
          </w:p>
        </w:tc>
        <w:tc>
          <w:tcPr>
            <w:tcW w:w="2207" w:type="dxa"/>
          </w:tcPr>
          <w:p w14:paraId="0D316117" w14:textId="77777777" w:rsidR="004C02F6" w:rsidRPr="001D68EC" w:rsidRDefault="00AB775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hipofibrinogenija</w:t>
            </w:r>
          </w:p>
        </w:tc>
      </w:tr>
      <w:tr w:rsidR="004C02F6" w:rsidRPr="001D68EC" w14:paraId="6214D725" w14:textId="77777777" w:rsidTr="00217F35">
        <w:trPr>
          <w:trHeight w:val="791"/>
        </w:trPr>
        <w:tc>
          <w:tcPr>
            <w:tcW w:w="1418" w:type="dxa"/>
            <w:hideMark/>
          </w:tcPr>
          <w:p w14:paraId="05E18BEF" w14:textId="24CF6B5B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Poremećaji imun</w:t>
            </w:r>
            <w:r w:rsidR="00217F35" w:rsidRPr="001D68EC">
              <w:rPr>
                <w:noProof/>
                <w:szCs w:val="22"/>
                <w:lang w:val="sr-Latn-ME"/>
              </w:rPr>
              <w:t>og</w:t>
            </w:r>
            <w:r w:rsidRPr="001D68EC">
              <w:rPr>
                <w:noProof/>
                <w:szCs w:val="22"/>
                <w:lang w:val="sr-Latn-ME"/>
              </w:rPr>
              <w:t xml:space="preserve"> sistema</w:t>
            </w:r>
          </w:p>
        </w:tc>
        <w:tc>
          <w:tcPr>
            <w:tcW w:w="1417" w:type="dxa"/>
            <w:hideMark/>
          </w:tcPr>
          <w:p w14:paraId="38C1F9B6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 </w:t>
            </w:r>
          </w:p>
        </w:tc>
        <w:tc>
          <w:tcPr>
            <w:tcW w:w="2694" w:type="dxa"/>
            <w:hideMark/>
          </w:tcPr>
          <w:p w14:paraId="04958334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 </w:t>
            </w:r>
          </w:p>
        </w:tc>
        <w:tc>
          <w:tcPr>
            <w:tcW w:w="1984" w:type="dxa"/>
          </w:tcPr>
          <w:p w14:paraId="76D70B53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07" w:type="dxa"/>
          </w:tcPr>
          <w:p w14:paraId="7B9A1B43" w14:textId="7F1CBA6B" w:rsidR="004C02F6" w:rsidRPr="001D68EC" w:rsidRDefault="007B698C" w:rsidP="00390241">
            <w:pPr>
              <w:pStyle w:val="NoSpacing"/>
              <w:jc w:val="both"/>
              <w:rPr>
                <w:noProof/>
                <w:sz w:val="22"/>
                <w:szCs w:val="22"/>
                <w:lang w:val="sr-Latn-ME"/>
              </w:rPr>
            </w:pPr>
            <w:r w:rsidRPr="001D68EC">
              <w:rPr>
                <w:noProof/>
                <w:sz w:val="22"/>
                <w:szCs w:val="22"/>
                <w:lang w:val="sr-Latn-ME"/>
              </w:rPr>
              <w:t>anafilaksa/anafilaktoidne</w:t>
            </w:r>
            <w:r w:rsidR="00217F35" w:rsidRPr="001D68EC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Pr="001D68EC">
              <w:rPr>
                <w:noProof/>
                <w:sz w:val="22"/>
                <w:szCs w:val="22"/>
                <w:lang w:val="sr-Latn-ME"/>
              </w:rPr>
              <w:t>reakcije* (</w:t>
            </w:r>
            <w:r w:rsidR="005B2A36" w:rsidRPr="001D68EC">
              <w:rPr>
                <w:noProof/>
                <w:sz w:val="22"/>
                <w:szCs w:val="22"/>
                <w:lang w:val="sr-Latn-ME"/>
              </w:rPr>
              <w:t>pogledati</w:t>
            </w:r>
            <w:r w:rsidRPr="001D68EC">
              <w:rPr>
                <w:noProof/>
                <w:sz w:val="22"/>
                <w:szCs w:val="22"/>
                <w:lang w:val="sr-Latn-ME"/>
              </w:rPr>
              <w:t xml:space="preserve"> </w:t>
            </w:r>
            <w:r w:rsidR="00A14810" w:rsidRPr="001D68EC">
              <w:rPr>
                <w:noProof/>
                <w:sz w:val="22"/>
                <w:szCs w:val="22"/>
                <w:lang w:val="sr-Latn-ME"/>
              </w:rPr>
              <w:t>djelove</w:t>
            </w:r>
            <w:r w:rsidRPr="001D68EC">
              <w:rPr>
                <w:noProof/>
                <w:sz w:val="22"/>
                <w:szCs w:val="22"/>
                <w:lang w:val="sr-Latn-ME"/>
              </w:rPr>
              <w:t xml:space="preserve"> 4.3 </w:t>
            </w:r>
            <w:r w:rsidR="00217F35" w:rsidRPr="001D68EC">
              <w:rPr>
                <w:noProof/>
                <w:sz w:val="22"/>
                <w:szCs w:val="22"/>
                <w:lang w:val="sr-Latn-ME"/>
              </w:rPr>
              <w:t xml:space="preserve">i </w:t>
            </w:r>
            <w:r w:rsidRPr="001D68EC">
              <w:rPr>
                <w:noProof/>
                <w:sz w:val="22"/>
                <w:szCs w:val="22"/>
                <w:lang w:val="sr-Latn-ME"/>
              </w:rPr>
              <w:t>4.4)</w:t>
            </w:r>
          </w:p>
        </w:tc>
      </w:tr>
      <w:tr w:rsidR="004C02F6" w:rsidRPr="001D68EC" w14:paraId="79B35D9F" w14:textId="77777777" w:rsidTr="00217F35">
        <w:trPr>
          <w:trHeight w:val="846"/>
        </w:trPr>
        <w:tc>
          <w:tcPr>
            <w:tcW w:w="1418" w:type="dxa"/>
            <w:hideMark/>
          </w:tcPr>
          <w:p w14:paraId="548E7F61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Poremećaji metabolizma i ishrane</w:t>
            </w:r>
          </w:p>
        </w:tc>
        <w:tc>
          <w:tcPr>
            <w:tcW w:w="1417" w:type="dxa"/>
            <w:hideMark/>
          </w:tcPr>
          <w:p w14:paraId="79B99D60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 </w:t>
            </w:r>
          </w:p>
        </w:tc>
        <w:tc>
          <w:tcPr>
            <w:tcW w:w="2694" w:type="dxa"/>
            <w:hideMark/>
          </w:tcPr>
          <w:p w14:paraId="60D776B7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hipoglikemija,</w:t>
            </w:r>
          </w:p>
          <w:p w14:paraId="44F23AA6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hipoproteinemija</w:t>
            </w:r>
          </w:p>
        </w:tc>
        <w:tc>
          <w:tcPr>
            <w:tcW w:w="1984" w:type="dxa"/>
          </w:tcPr>
          <w:p w14:paraId="1BC0C8ED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07" w:type="dxa"/>
          </w:tcPr>
          <w:p w14:paraId="4DE8DEAC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</w:tr>
      <w:tr w:rsidR="004C02F6" w:rsidRPr="001D68EC" w14:paraId="74B9EDF5" w14:textId="77777777" w:rsidTr="00217F35">
        <w:trPr>
          <w:trHeight w:val="300"/>
        </w:trPr>
        <w:tc>
          <w:tcPr>
            <w:tcW w:w="1418" w:type="dxa"/>
            <w:hideMark/>
          </w:tcPr>
          <w:p w14:paraId="711BA79A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Poremećaji nervnog sistema</w:t>
            </w:r>
          </w:p>
        </w:tc>
        <w:tc>
          <w:tcPr>
            <w:tcW w:w="1417" w:type="dxa"/>
          </w:tcPr>
          <w:p w14:paraId="4CF9AF1D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21BFC23B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vrtoglavica</w:t>
            </w:r>
          </w:p>
        </w:tc>
        <w:tc>
          <w:tcPr>
            <w:tcW w:w="1984" w:type="dxa"/>
          </w:tcPr>
          <w:p w14:paraId="548B0AFA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07" w:type="dxa"/>
          </w:tcPr>
          <w:p w14:paraId="753105D7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</w:tr>
      <w:tr w:rsidR="004C02F6" w:rsidRPr="001D68EC" w14:paraId="1E7365A4" w14:textId="77777777" w:rsidTr="00217F35">
        <w:trPr>
          <w:trHeight w:val="600"/>
        </w:trPr>
        <w:tc>
          <w:tcPr>
            <w:tcW w:w="1418" w:type="dxa"/>
            <w:hideMark/>
          </w:tcPr>
          <w:p w14:paraId="1BEABCBA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 xml:space="preserve">Vaskularni poremećaji </w:t>
            </w:r>
          </w:p>
        </w:tc>
        <w:tc>
          <w:tcPr>
            <w:tcW w:w="1417" w:type="dxa"/>
          </w:tcPr>
          <w:p w14:paraId="1756F4A1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7DF37BC8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 xml:space="preserve">flebitis </w:t>
            </w:r>
          </w:p>
        </w:tc>
        <w:tc>
          <w:tcPr>
            <w:tcW w:w="1984" w:type="dxa"/>
          </w:tcPr>
          <w:p w14:paraId="00E0A9D0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tromboflebitis</w:t>
            </w:r>
          </w:p>
        </w:tc>
        <w:tc>
          <w:tcPr>
            <w:tcW w:w="2207" w:type="dxa"/>
          </w:tcPr>
          <w:p w14:paraId="45DF314E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</w:tr>
      <w:tr w:rsidR="004C02F6" w:rsidRPr="001D68EC" w14:paraId="27394C9F" w14:textId="77777777" w:rsidTr="00217F35">
        <w:trPr>
          <w:trHeight w:val="764"/>
        </w:trPr>
        <w:tc>
          <w:tcPr>
            <w:tcW w:w="1418" w:type="dxa"/>
            <w:hideMark/>
          </w:tcPr>
          <w:p w14:paraId="4C0EFD86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Gastrointesti-nalni poremećaji</w:t>
            </w:r>
          </w:p>
        </w:tc>
        <w:tc>
          <w:tcPr>
            <w:tcW w:w="1417" w:type="dxa"/>
          </w:tcPr>
          <w:p w14:paraId="7620D950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mučnina,</w:t>
            </w:r>
          </w:p>
          <w:p w14:paraId="653DD7E2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povraćanje,</w:t>
            </w:r>
          </w:p>
          <w:p w14:paraId="108FE2D4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dijareja</w:t>
            </w:r>
          </w:p>
        </w:tc>
        <w:tc>
          <w:tcPr>
            <w:tcW w:w="2694" w:type="dxa"/>
          </w:tcPr>
          <w:p w14:paraId="7AFD9DCD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abdominalni bol,</w:t>
            </w:r>
          </w:p>
          <w:p w14:paraId="6E9BC9EA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dispepsija, anoreksija</w:t>
            </w:r>
          </w:p>
        </w:tc>
        <w:tc>
          <w:tcPr>
            <w:tcW w:w="1984" w:type="dxa"/>
          </w:tcPr>
          <w:p w14:paraId="699E0D5E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akutni pankreatitis</w:t>
            </w:r>
          </w:p>
          <w:p w14:paraId="6F73B69F" w14:textId="32813FE8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(</w:t>
            </w:r>
            <w:r w:rsidR="005B2A36" w:rsidRPr="001D68EC">
              <w:rPr>
                <w:noProof/>
                <w:szCs w:val="22"/>
                <w:lang w:val="sr-Latn-ME"/>
              </w:rPr>
              <w:t>pogledati</w:t>
            </w:r>
            <w:r w:rsidRPr="001D68EC">
              <w:rPr>
                <w:noProof/>
                <w:szCs w:val="22"/>
                <w:lang w:val="sr-Latn-ME"/>
              </w:rPr>
              <w:t xml:space="preserve"> </w:t>
            </w:r>
            <w:r w:rsidR="0031263D" w:rsidRPr="001D68EC">
              <w:rPr>
                <w:noProof/>
                <w:szCs w:val="22"/>
                <w:lang w:val="sr-Latn-ME"/>
              </w:rPr>
              <w:t>dio</w:t>
            </w:r>
            <w:r w:rsidRPr="001D68EC">
              <w:rPr>
                <w:noProof/>
                <w:szCs w:val="22"/>
                <w:lang w:val="sr-Latn-ME"/>
              </w:rPr>
              <w:t xml:space="preserve"> 4.4)</w:t>
            </w:r>
          </w:p>
        </w:tc>
        <w:tc>
          <w:tcPr>
            <w:tcW w:w="2207" w:type="dxa"/>
          </w:tcPr>
          <w:p w14:paraId="4531EC0B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</w:tr>
      <w:tr w:rsidR="004C02F6" w:rsidRPr="001D68EC" w14:paraId="60A35E7B" w14:textId="77777777" w:rsidTr="00217F35">
        <w:trPr>
          <w:trHeight w:val="1200"/>
        </w:trPr>
        <w:tc>
          <w:tcPr>
            <w:tcW w:w="1418" w:type="dxa"/>
            <w:hideMark/>
          </w:tcPr>
          <w:p w14:paraId="5C3D3572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Hepatobilijarni poremećaji</w:t>
            </w:r>
          </w:p>
        </w:tc>
        <w:tc>
          <w:tcPr>
            <w:tcW w:w="1417" w:type="dxa"/>
          </w:tcPr>
          <w:p w14:paraId="33382D68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0D32C434" w14:textId="6F5FE6B1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 xml:space="preserve">povišene </w:t>
            </w:r>
            <w:r w:rsidR="00087654" w:rsidRPr="001D68EC">
              <w:rPr>
                <w:noProof/>
                <w:szCs w:val="22"/>
                <w:lang w:val="sr-Latn-ME"/>
              </w:rPr>
              <w:t>vrijednosti</w:t>
            </w:r>
          </w:p>
          <w:p w14:paraId="10380D2B" w14:textId="3D9514CF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aspartat</w:t>
            </w:r>
            <w:r w:rsidR="00217F35" w:rsidRPr="001D68EC">
              <w:rPr>
                <w:noProof/>
                <w:szCs w:val="22"/>
                <w:lang w:val="sr-Latn-ME"/>
              </w:rPr>
              <w:t xml:space="preserve"> </w:t>
            </w:r>
            <w:r w:rsidRPr="001D68EC">
              <w:rPr>
                <w:noProof/>
                <w:szCs w:val="22"/>
                <w:lang w:val="sr-Latn-ME"/>
              </w:rPr>
              <w:t>aminotransferaze</w:t>
            </w:r>
          </w:p>
          <w:p w14:paraId="515DE2E4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(AST) i alanin</w:t>
            </w:r>
          </w:p>
          <w:p w14:paraId="19D62E7B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aminotransferaze</w:t>
            </w:r>
          </w:p>
          <w:p w14:paraId="48C1DC81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(ALT) u serumu,</w:t>
            </w:r>
          </w:p>
          <w:p w14:paraId="50352711" w14:textId="77777777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hiperbilirubinemija</w:t>
            </w:r>
          </w:p>
        </w:tc>
        <w:tc>
          <w:tcPr>
            <w:tcW w:w="1984" w:type="dxa"/>
          </w:tcPr>
          <w:p w14:paraId="222887BA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žutica, oštećenje</w:t>
            </w:r>
          </w:p>
          <w:p w14:paraId="07EBA82A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jetre, najčešće sa</w:t>
            </w:r>
          </w:p>
          <w:p w14:paraId="4F985789" w14:textId="07274F56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holestazom</w:t>
            </w:r>
          </w:p>
        </w:tc>
        <w:tc>
          <w:tcPr>
            <w:tcW w:w="2207" w:type="dxa"/>
          </w:tcPr>
          <w:p w14:paraId="2262FD36" w14:textId="77777777" w:rsidR="007B698C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insuficijencija jetre*</w:t>
            </w:r>
          </w:p>
          <w:p w14:paraId="4A98BD4F" w14:textId="1F7F0311" w:rsidR="004C02F6" w:rsidRPr="001D68EC" w:rsidRDefault="007B698C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(</w:t>
            </w:r>
            <w:r w:rsidR="005B2A36" w:rsidRPr="001D68EC">
              <w:rPr>
                <w:noProof/>
                <w:szCs w:val="22"/>
                <w:lang w:val="sr-Latn-ME"/>
              </w:rPr>
              <w:t>pogledati</w:t>
            </w:r>
            <w:r w:rsidRPr="001D68EC">
              <w:rPr>
                <w:noProof/>
                <w:szCs w:val="22"/>
                <w:lang w:val="sr-Latn-ME"/>
              </w:rPr>
              <w:t xml:space="preserve"> </w:t>
            </w:r>
            <w:r w:rsidR="0031263D" w:rsidRPr="001D68EC">
              <w:rPr>
                <w:noProof/>
                <w:szCs w:val="22"/>
                <w:lang w:val="sr-Latn-ME"/>
              </w:rPr>
              <w:t>dio</w:t>
            </w:r>
            <w:r w:rsidRPr="001D68EC">
              <w:rPr>
                <w:noProof/>
                <w:szCs w:val="22"/>
                <w:lang w:val="sr-Latn-ME"/>
              </w:rPr>
              <w:t xml:space="preserve"> 4.4)</w:t>
            </w:r>
          </w:p>
        </w:tc>
      </w:tr>
      <w:tr w:rsidR="004C02F6" w:rsidRPr="001D68EC" w14:paraId="5C7A2354" w14:textId="77777777" w:rsidTr="00217F35">
        <w:trPr>
          <w:trHeight w:val="841"/>
        </w:trPr>
        <w:tc>
          <w:tcPr>
            <w:tcW w:w="1418" w:type="dxa"/>
            <w:hideMark/>
          </w:tcPr>
          <w:p w14:paraId="766C8C44" w14:textId="77777777" w:rsidR="004C02F6" w:rsidRPr="001D68EC" w:rsidRDefault="004C02F6" w:rsidP="00390241">
            <w:pPr>
              <w:jc w:val="left"/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Poremećaji kože i potkožnog tkiva</w:t>
            </w:r>
          </w:p>
        </w:tc>
        <w:tc>
          <w:tcPr>
            <w:tcW w:w="1417" w:type="dxa"/>
          </w:tcPr>
          <w:p w14:paraId="3D4E0902" w14:textId="77777777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75BC78C0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 xml:space="preserve">pruritus, osip </w:t>
            </w:r>
          </w:p>
          <w:p w14:paraId="5A715496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48C6DBA1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07" w:type="dxa"/>
            <w:hideMark/>
          </w:tcPr>
          <w:p w14:paraId="0FE480DD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teške reakcije kože,</w:t>
            </w:r>
          </w:p>
          <w:p w14:paraId="4C305BCD" w14:textId="77777777" w:rsidR="007F2663" w:rsidRPr="001D68EC" w:rsidRDefault="007F2663">
            <w:pPr>
              <w:rPr>
                <w:i/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 xml:space="preserve">uključujući </w:t>
            </w:r>
            <w:r w:rsidRPr="001D68EC">
              <w:rPr>
                <w:i/>
                <w:noProof/>
                <w:szCs w:val="22"/>
                <w:lang w:val="sr-Latn-ME"/>
              </w:rPr>
              <w:t>Stevens-</w:t>
            </w:r>
          </w:p>
          <w:p w14:paraId="763EA62E" w14:textId="77777777" w:rsidR="004C02F6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i/>
                <w:noProof/>
                <w:szCs w:val="22"/>
                <w:lang w:val="sr-Latn-ME"/>
              </w:rPr>
              <w:t>Johnson-ov sindrom*</w:t>
            </w:r>
          </w:p>
        </w:tc>
      </w:tr>
      <w:tr w:rsidR="004C02F6" w:rsidRPr="001D68EC" w14:paraId="7FA75EB5" w14:textId="77777777" w:rsidTr="00217F35">
        <w:trPr>
          <w:trHeight w:val="900"/>
        </w:trPr>
        <w:tc>
          <w:tcPr>
            <w:tcW w:w="1418" w:type="dxa"/>
            <w:hideMark/>
          </w:tcPr>
          <w:p w14:paraId="54AA27A7" w14:textId="1676E0EB" w:rsidR="004C02F6" w:rsidRPr="001D68EC" w:rsidRDefault="004C02F6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Opšti poremećaji i reakcije na 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estu</w:t>
            </w:r>
            <w:r w:rsidR="00217F35" w:rsidRPr="001D68EC">
              <w:rPr>
                <w:noProof/>
                <w:szCs w:val="22"/>
                <w:lang w:val="sr-Latn-ME"/>
              </w:rPr>
              <w:t xml:space="preserve"> </w:t>
            </w:r>
            <w:r w:rsidRPr="001D68EC">
              <w:rPr>
                <w:noProof/>
                <w:szCs w:val="22"/>
                <w:lang w:val="sr-Latn-ME"/>
              </w:rPr>
              <w:t>prim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ene</w:t>
            </w:r>
          </w:p>
        </w:tc>
        <w:tc>
          <w:tcPr>
            <w:tcW w:w="1417" w:type="dxa"/>
          </w:tcPr>
          <w:p w14:paraId="1EC01F37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4B7A49E3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usporeno zarastanje</w:t>
            </w:r>
          </w:p>
          <w:p w14:paraId="2D715931" w14:textId="699F41DB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rana, reakcija na 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estu</w:t>
            </w:r>
          </w:p>
          <w:p w14:paraId="70776A77" w14:textId="1DAE5F0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prim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ene, glavobolja</w:t>
            </w:r>
          </w:p>
          <w:p w14:paraId="303C43E1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1984" w:type="dxa"/>
          </w:tcPr>
          <w:p w14:paraId="1304D0E7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inflamacija na</w:t>
            </w:r>
          </w:p>
          <w:p w14:paraId="3ACEF04E" w14:textId="68499DF0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estu prim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ene</w:t>
            </w:r>
          </w:p>
          <w:p w14:paraId="2FE5B7A1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injekcije, bol na</w:t>
            </w:r>
          </w:p>
          <w:p w14:paraId="1AC2666B" w14:textId="1C3C8569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estu prim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ene</w:t>
            </w:r>
          </w:p>
          <w:p w14:paraId="2EDFE2ED" w14:textId="442688B9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injekcije, edem na 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estu prim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ene</w:t>
            </w:r>
          </w:p>
          <w:p w14:paraId="5E115F95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injekcije, flebitis</w:t>
            </w:r>
          </w:p>
          <w:p w14:paraId="5B8CCDE4" w14:textId="6C15C3B8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na 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estu prim</w:t>
            </w:r>
            <w:r w:rsidR="00217F35" w:rsidRPr="001D68EC">
              <w:rPr>
                <w:noProof/>
                <w:szCs w:val="22"/>
                <w:lang w:val="sr-Latn-ME"/>
              </w:rPr>
              <w:t>j</w:t>
            </w:r>
            <w:r w:rsidRPr="001D68EC">
              <w:rPr>
                <w:noProof/>
                <w:szCs w:val="22"/>
                <w:lang w:val="sr-Latn-ME"/>
              </w:rPr>
              <w:t>ene</w:t>
            </w:r>
          </w:p>
          <w:p w14:paraId="43C379D9" w14:textId="77777777" w:rsidR="004C02F6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injekcije</w:t>
            </w:r>
          </w:p>
        </w:tc>
        <w:tc>
          <w:tcPr>
            <w:tcW w:w="2207" w:type="dxa"/>
            <w:hideMark/>
          </w:tcPr>
          <w:p w14:paraId="3D264164" w14:textId="77777777" w:rsidR="004C02F6" w:rsidRPr="001D68EC" w:rsidRDefault="004C02F6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 </w:t>
            </w:r>
          </w:p>
        </w:tc>
      </w:tr>
      <w:tr w:rsidR="007F2663" w:rsidRPr="001D68EC" w14:paraId="6306B7CE" w14:textId="77777777" w:rsidTr="00217F35">
        <w:trPr>
          <w:trHeight w:val="900"/>
        </w:trPr>
        <w:tc>
          <w:tcPr>
            <w:tcW w:w="1418" w:type="dxa"/>
          </w:tcPr>
          <w:p w14:paraId="52E94D99" w14:textId="77777777" w:rsidR="007F2663" w:rsidRPr="001D68EC" w:rsidRDefault="007F2663" w:rsidP="00804889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Ispitivanja</w:t>
            </w:r>
          </w:p>
        </w:tc>
        <w:tc>
          <w:tcPr>
            <w:tcW w:w="1417" w:type="dxa"/>
          </w:tcPr>
          <w:p w14:paraId="5B52CC8F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694" w:type="dxa"/>
          </w:tcPr>
          <w:p w14:paraId="127E6BF5" w14:textId="65611182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povišene vr</w:t>
            </w:r>
            <w:r w:rsidR="00217F35" w:rsidRPr="001D68EC">
              <w:rPr>
                <w:noProof/>
                <w:szCs w:val="22"/>
                <w:lang w:val="sr-Latn-ME"/>
              </w:rPr>
              <w:t>ij</w:t>
            </w:r>
            <w:r w:rsidRPr="001D68EC">
              <w:rPr>
                <w:noProof/>
                <w:szCs w:val="22"/>
                <w:lang w:val="sr-Latn-ME"/>
              </w:rPr>
              <w:t>ednosti</w:t>
            </w:r>
          </w:p>
          <w:p w14:paraId="17005FF6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amilaze u serumu,</w:t>
            </w:r>
          </w:p>
          <w:p w14:paraId="046E1E90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povećana koncentracija</w:t>
            </w:r>
          </w:p>
          <w:p w14:paraId="0F9724A6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  <w:r w:rsidRPr="001D68EC">
              <w:rPr>
                <w:noProof/>
                <w:szCs w:val="22"/>
                <w:lang w:val="sr-Latn-ME"/>
              </w:rPr>
              <w:t>azota iz uree u krvi (BUN)</w:t>
            </w:r>
          </w:p>
        </w:tc>
        <w:tc>
          <w:tcPr>
            <w:tcW w:w="1984" w:type="dxa"/>
          </w:tcPr>
          <w:p w14:paraId="3465BFD5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</w:p>
        </w:tc>
        <w:tc>
          <w:tcPr>
            <w:tcW w:w="2207" w:type="dxa"/>
          </w:tcPr>
          <w:p w14:paraId="3E7D2BD1" w14:textId="77777777" w:rsidR="007F2663" w:rsidRPr="001D68EC" w:rsidRDefault="007F2663">
            <w:pPr>
              <w:rPr>
                <w:noProof/>
                <w:szCs w:val="22"/>
                <w:lang w:val="sr-Latn-ME"/>
              </w:rPr>
            </w:pPr>
          </w:p>
        </w:tc>
      </w:tr>
    </w:tbl>
    <w:p w14:paraId="13C65399" w14:textId="77777777" w:rsidR="004B7A01" w:rsidRPr="001D68EC" w:rsidRDefault="005823EB" w:rsidP="00804889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* neželjena rekacija identifikovana postmarketinški</w:t>
      </w:r>
    </w:p>
    <w:p w14:paraId="20D90E21" w14:textId="77777777" w:rsidR="005823EB" w:rsidRPr="001D68EC" w:rsidRDefault="005823EB">
      <w:pPr>
        <w:rPr>
          <w:noProof/>
          <w:szCs w:val="22"/>
          <w:u w:val="single"/>
          <w:lang w:val="sr-Latn-ME"/>
        </w:rPr>
      </w:pPr>
      <w:r w:rsidRPr="001D68EC">
        <w:rPr>
          <w:noProof/>
          <w:szCs w:val="22"/>
          <w:u w:val="single"/>
          <w:lang w:val="sr-Latn-ME"/>
        </w:rPr>
        <w:lastRenderedPageBreak/>
        <w:t>Opis odabranih neželjenih reakcija</w:t>
      </w:r>
    </w:p>
    <w:p w14:paraId="41FFDC5C" w14:textId="77777777" w:rsidR="005823EB" w:rsidRPr="001D68EC" w:rsidRDefault="005823EB">
      <w:pPr>
        <w:rPr>
          <w:noProof/>
          <w:szCs w:val="22"/>
          <w:u w:val="single"/>
          <w:lang w:val="sr-Latn-ME"/>
        </w:rPr>
      </w:pPr>
    </w:p>
    <w:p w14:paraId="0FB57D22" w14:textId="77777777" w:rsidR="005823EB" w:rsidRPr="001D68EC" w:rsidRDefault="005823EB">
      <w:pPr>
        <w:rPr>
          <w:i/>
          <w:noProof/>
          <w:szCs w:val="22"/>
          <w:lang w:val="sr-Latn-ME"/>
        </w:rPr>
      </w:pPr>
      <w:r w:rsidRPr="001D68EC">
        <w:rPr>
          <w:i/>
          <w:noProof/>
          <w:szCs w:val="22"/>
          <w:lang w:val="sr-Latn-ME"/>
        </w:rPr>
        <w:t>Neželjene reakcije karakteristične za antibiotike</w:t>
      </w:r>
    </w:p>
    <w:p w14:paraId="299365F1" w14:textId="46C6A253" w:rsidR="005823EB" w:rsidRPr="001D68EC" w:rsidRDefault="005823E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Pseudomembranozni kolitis koji može biti različitog intenziteta, od blagog do opasnog po život (</w:t>
      </w:r>
      <w:r w:rsidR="005B2A36" w:rsidRPr="001D68EC">
        <w:rPr>
          <w:noProof/>
          <w:szCs w:val="22"/>
          <w:lang w:val="sr-Latn-ME"/>
        </w:rPr>
        <w:t>pogledati</w:t>
      </w:r>
      <w:r w:rsidR="0020651B" w:rsidRPr="001D68EC">
        <w:rPr>
          <w:noProof/>
          <w:szCs w:val="22"/>
          <w:lang w:val="sr-Latn-ME"/>
        </w:rPr>
        <w:t xml:space="preserve"> </w:t>
      </w:r>
      <w:r w:rsidR="0031263D" w:rsidRPr="001D68EC">
        <w:rPr>
          <w:noProof/>
          <w:szCs w:val="22"/>
          <w:lang w:val="sr-Latn-ME"/>
        </w:rPr>
        <w:t>dio</w:t>
      </w:r>
      <w:r w:rsidRPr="001D68EC">
        <w:rPr>
          <w:noProof/>
          <w:szCs w:val="22"/>
          <w:lang w:val="sr-Latn-ME"/>
        </w:rPr>
        <w:t xml:space="preserve"> 4.4).</w:t>
      </w:r>
    </w:p>
    <w:p w14:paraId="16BA8ED8" w14:textId="77777777" w:rsidR="005823EB" w:rsidRPr="001D68EC" w:rsidRDefault="005823EB">
      <w:pPr>
        <w:rPr>
          <w:noProof/>
          <w:szCs w:val="22"/>
          <w:lang w:val="sr-Latn-ME"/>
        </w:rPr>
      </w:pPr>
    </w:p>
    <w:p w14:paraId="0E06A21A" w14:textId="57E989EF" w:rsidR="005823EB" w:rsidRPr="001D68EC" w:rsidRDefault="005823E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Razvoj povećanog broja neos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>etljivih mikroorganizama, uključujući gljivice (</w:t>
      </w:r>
      <w:r w:rsidR="005B2A36" w:rsidRPr="001D68EC">
        <w:rPr>
          <w:noProof/>
          <w:szCs w:val="22"/>
          <w:lang w:val="sr-Latn-ME"/>
        </w:rPr>
        <w:t>pogledati</w:t>
      </w:r>
      <w:r w:rsidRPr="001D68EC">
        <w:rPr>
          <w:noProof/>
          <w:szCs w:val="22"/>
          <w:lang w:val="sr-Latn-ME"/>
        </w:rPr>
        <w:t xml:space="preserve"> </w:t>
      </w:r>
      <w:r w:rsidR="0031263D" w:rsidRPr="001D68EC">
        <w:rPr>
          <w:noProof/>
          <w:szCs w:val="22"/>
          <w:lang w:val="sr-Latn-ME"/>
        </w:rPr>
        <w:t>dio</w:t>
      </w:r>
      <w:r w:rsidRPr="001D68EC">
        <w:rPr>
          <w:noProof/>
          <w:szCs w:val="22"/>
          <w:lang w:val="sr-Latn-ME"/>
        </w:rPr>
        <w:t xml:space="preserve"> 4.4).</w:t>
      </w:r>
    </w:p>
    <w:p w14:paraId="2F858AAD" w14:textId="77777777" w:rsidR="005823EB" w:rsidRPr="001D68EC" w:rsidRDefault="005823EB">
      <w:pPr>
        <w:rPr>
          <w:noProof/>
          <w:szCs w:val="22"/>
          <w:lang w:val="sr-Latn-ME"/>
        </w:rPr>
      </w:pPr>
    </w:p>
    <w:p w14:paraId="3125D069" w14:textId="77777777" w:rsidR="005823EB" w:rsidRPr="001D68EC" w:rsidRDefault="005823EB">
      <w:pPr>
        <w:rPr>
          <w:i/>
          <w:noProof/>
          <w:szCs w:val="22"/>
          <w:lang w:val="sr-Latn-ME"/>
        </w:rPr>
      </w:pPr>
      <w:r w:rsidRPr="001D68EC">
        <w:rPr>
          <w:i/>
          <w:noProof/>
          <w:szCs w:val="22"/>
          <w:lang w:val="sr-Latn-ME"/>
        </w:rPr>
        <w:t>Neželjene reakcije karakteristične za tetracikline</w:t>
      </w:r>
    </w:p>
    <w:p w14:paraId="0B5582D6" w14:textId="26739B49" w:rsidR="005823EB" w:rsidRPr="001D68EC" w:rsidRDefault="005823E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Glicilciklinska grupa antibiotika je strukturno slična tetraciklinskoj klasi antibotika. Neželjene reakcije</w:t>
      </w:r>
      <w:r w:rsidR="0024109D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tetraciklinske klase antibiotika uključuju fotosenzitivnost, pseudotumor cerebri, pankreatitis, antianabolički</w:t>
      </w:r>
      <w:r w:rsidR="0024109D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efekat koji može dovesti do povećanja koncentracija azota iz uree u krvi (BUN), azotemije, acidoze i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hiperfosfatemije (</w:t>
      </w:r>
      <w:r w:rsidR="005B2A36" w:rsidRPr="001D68EC">
        <w:rPr>
          <w:noProof/>
          <w:szCs w:val="22"/>
          <w:lang w:val="sr-Latn-ME"/>
        </w:rPr>
        <w:t>pogledati</w:t>
      </w:r>
      <w:r w:rsidRPr="001D68EC">
        <w:rPr>
          <w:noProof/>
          <w:szCs w:val="22"/>
          <w:lang w:val="sr-Latn-ME"/>
        </w:rPr>
        <w:t xml:space="preserve"> </w:t>
      </w:r>
      <w:r w:rsidR="0031263D" w:rsidRPr="001D68EC">
        <w:rPr>
          <w:noProof/>
          <w:szCs w:val="22"/>
          <w:lang w:val="sr-Latn-ME"/>
        </w:rPr>
        <w:t>dio</w:t>
      </w:r>
      <w:r w:rsidRPr="001D68EC">
        <w:rPr>
          <w:noProof/>
          <w:szCs w:val="22"/>
          <w:lang w:val="sr-Latn-ME"/>
        </w:rPr>
        <w:t xml:space="preserve"> 4.4).</w:t>
      </w:r>
    </w:p>
    <w:p w14:paraId="6A88F241" w14:textId="77777777" w:rsidR="005823EB" w:rsidRPr="001D68EC" w:rsidRDefault="005823EB">
      <w:pPr>
        <w:rPr>
          <w:noProof/>
          <w:szCs w:val="22"/>
          <w:lang w:val="sr-Latn-ME"/>
        </w:rPr>
      </w:pPr>
    </w:p>
    <w:p w14:paraId="1D03B8C3" w14:textId="12F1E57E" w:rsidR="005823EB" w:rsidRPr="001D68EC" w:rsidRDefault="005823E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Tigeciklin može biti povezan sa trajnom prom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 xml:space="preserve">enom boje zuba, ukoliko se koristi za </w:t>
      </w:r>
      <w:r w:rsidR="00484B49" w:rsidRPr="001D68EC">
        <w:rPr>
          <w:noProof/>
          <w:szCs w:val="22"/>
          <w:lang w:val="sr-Latn-ME"/>
        </w:rPr>
        <w:t>vrijeme</w:t>
      </w:r>
      <w:r w:rsidRPr="001D68EC">
        <w:rPr>
          <w:noProof/>
          <w:szCs w:val="22"/>
          <w:lang w:val="sr-Latn-ME"/>
        </w:rPr>
        <w:t xml:space="preserve"> njihovog razvoja</w:t>
      </w:r>
      <w:r w:rsidR="002024B5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(</w:t>
      </w:r>
      <w:r w:rsidR="005B2A36" w:rsidRPr="001D68EC">
        <w:rPr>
          <w:noProof/>
          <w:szCs w:val="22"/>
          <w:lang w:val="sr-Latn-ME"/>
        </w:rPr>
        <w:t>pogledati</w:t>
      </w:r>
      <w:r w:rsidRPr="001D68EC">
        <w:rPr>
          <w:noProof/>
          <w:szCs w:val="22"/>
          <w:lang w:val="sr-Latn-ME"/>
        </w:rPr>
        <w:t xml:space="preserve"> </w:t>
      </w:r>
      <w:r w:rsidR="0031263D" w:rsidRPr="001D68EC">
        <w:rPr>
          <w:noProof/>
          <w:szCs w:val="22"/>
          <w:lang w:val="sr-Latn-ME"/>
        </w:rPr>
        <w:t>dio</w:t>
      </w:r>
      <w:r w:rsidRPr="001D68EC">
        <w:rPr>
          <w:noProof/>
          <w:szCs w:val="22"/>
          <w:lang w:val="sr-Latn-ME"/>
        </w:rPr>
        <w:t xml:space="preserve"> 4.4).</w:t>
      </w:r>
    </w:p>
    <w:p w14:paraId="32D3C49E" w14:textId="77777777" w:rsidR="005823EB" w:rsidRPr="001D68EC" w:rsidRDefault="005823EB">
      <w:pPr>
        <w:rPr>
          <w:noProof/>
          <w:szCs w:val="22"/>
          <w:lang w:val="sr-Latn-ME"/>
        </w:rPr>
      </w:pPr>
    </w:p>
    <w:p w14:paraId="385794C4" w14:textId="20AF15E9" w:rsidR="005823EB" w:rsidRPr="001D68EC" w:rsidRDefault="005823E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U kliničkim ispitivanjima cSSTI i cIAI faze 3 i 4, ozbiljne neželjene reakcije povezane sa infekcijama češće</w:t>
      </w:r>
      <w:r w:rsidR="0024109D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su se javljale kod ispitanika na terapiji tigeciklinom (7,1%) u odnosu na pacijente na terapiji komparativnim</w:t>
      </w:r>
      <w:r w:rsidR="0024109D" w:rsidRPr="001D68EC">
        <w:rPr>
          <w:noProof/>
          <w:szCs w:val="22"/>
          <w:lang w:val="sr-Latn-ME"/>
        </w:rPr>
        <w:t xml:space="preserve"> </w:t>
      </w:r>
      <w:r w:rsidR="0031263D" w:rsidRPr="001D68EC">
        <w:rPr>
          <w:noProof/>
          <w:szCs w:val="22"/>
          <w:lang w:val="sr-Latn-ME"/>
        </w:rPr>
        <w:t>ljekovima</w:t>
      </w:r>
      <w:r w:rsidRPr="001D68EC">
        <w:rPr>
          <w:noProof/>
          <w:szCs w:val="22"/>
          <w:lang w:val="sr-Latn-ME"/>
        </w:rPr>
        <w:t xml:space="preserve"> (5,3%). Prim</w:t>
      </w:r>
      <w:r w:rsidR="00217F35" w:rsidRPr="001D68EC">
        <w:rPr>
          <w:noProof/>
          <w:szCs w:val="22"/>
          <w:lang w:val="sr-Latn-ME"/>
        </w:rPr>
        <w:t>ij</w:t>
      </w:r>
      <w:r w:rsidRPr="001D68EC">
        <w:rPr>
          <w:noProof/>
          <w:szCs w:val="22"/>
          <w:lang w:val="sr-Latn-ME"/>
        </w:rPr>
        <w:t>ećene su značajne razlike u pojavljivanju sepse/septičkog šoka kod pacijenata na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 xml:space="preserve">terapiji tigeciklinom (2,2%) u odnosu na pacijente na terapiji komparativnim </w:t>
      </w:r>
      <w:r w:rsidR="0031263D" w:rsidRPr="001D68EC">
        <w:rPr>
          <w:noProof/>
          <w:szCs w:val="22"/>
          <w:lang w:val="sr-Latn-ME"/>
        </w:rPr>
        <w:t>ljekovima</w:t>
      </w:r>
      <w:r w:rsidRPr="001D68EC">
        <w:rPr>
          <w:noProof/>
          <w:szCs w:val="22"/>
          <w:lang w:val="sr-Latn-ME"/>
        </w:rPr>
        <w:t xml:space="preserve"> (1,1%).</w:t>
      </w:r>
    </w:p>
    <w:p w14:paraId="12F307D6" w14:textId="77777777" w:rsidR="005823EB" w:rsidRPr="001D68EC" w:rsidRDefault="005823EB">
      <w:pPr>
        <w:rPr>
          <w:noProof/>
          <w:szCs w:val="22"/>
          <w:lang w:val="sr-Latn-ME"/>
        </w:rPr>
      </w:pPr>
    </w:p>
    <w:p w14:paraId="799AE203" w14:textId="783DC4D0" w:rsidR="00167B82" w:rsidRPr="001D68EC" w:rsidRDefault="005823EB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Izm</w:t>
      </w:r>
      <w:r w:rsidR="00217F35" w:rsidRPr="001D68EC">
        <w:rPr>
          <w:noProof/>
          <w:szCs w:val="22"/>
          <w:lang w:val="sr-Latn-ME"/>
        </w:rPr>
        <w:t>ij</w:t>
      </w:r>
      <w:r w:rsidRPr="001D68EC">
        <w:rPr>
          <w:noProof/>
          <w:szCs w:val="22"/>
          <w:lang w:val="sr-Latn-ME"/>
        </w:rPr>
        <w:t>enjene vr</w:t>
      </w:r>
      <w:r w:rsidR="00217F35" w:rsidRPr="001D68EC">
        <w:rPr>
          <w:noProof/>
          <w:szCs w:val="22"/>
          <w:lang w:val="sr-Latn-ME"/>
        </w:rPr>
        <w:t>ij</w:t>
      </w:r>
      <w:r w:rsidRPr="001D68EC">
        <w:rPr>
          <w:noProof/>
          <w:szCs w:val="22"/>
          <w:lang w:val="sr-Latn-ME"/>
        </w:rPr>
        <w:t>ednosti</w:t>
      </w:r>
      <w:r w:rsidR="00167B82" w:rsidRPr="001D68EC">
        <w:rPr>
          <w:noProof/>
          <w:szCs w:val="22"/>
          <w:lang w:val="sr-Latn-ME"/>
        </w:rPr>
        <w:t xml:space="preserve"> AST i ALT kod pacijenata koji primaju tigeciklin su se javljale mnogo češće u periodu</w:t>
      </w:r>
      <w:r w:rsidR="00CE6F97" w:rsidRPr="001D68EC">
        <w:rPr>
          <w:noProof/>
          <w:szCs w:val="22"/>
          <w:lang w:val="sr-Latn-ME"/>
        </w:rPr>
        <w:t xml:space="preserve"> </w:t>
      </w:r>
      <w:r w:rsidR="00167B82" w:rsidRPr="001D68EC">
        <w:rPr>
          <w:noProof/>
          <w:szCs w:val="22"/>
          <w:lang w:val="sr-Latn-ME"/>
        </w:rPr>
        <w:t xml:space="preserve">posle terapije, nego kod pacijenata na terapiji komparativnim </w:t>
      </w:r>
      <w:r w:rsidR="0031263D" w:rsidRPr="001D68EC">
        <w:rPr>
          <w:noProof/>
          <w:szCs w:val="22"/>
          <w:lang w:val="sr-Latn-ME"/>
        </w:rPr>
        <w:t>ljekovima</w:t>
      </w:r>
      <w:r w:rsidR="00167B82" w:rsidRPr="001D68EC">
        <w:rPr>
          <w:noProof/>
          <w:szCs w:val="22"/>
          <w:lang w:val="sr-Latn-ME"/>
        </w:rPr>
        <w:t>, kod kojih su se češće javljale u toku</w:t>
      </w:r>
      <w:r w:rsidR="002024B5" w:rsidRPr="001D68EC">
        <w:rPr>
          <w:noProof/>
          <w:szCs w:val="22"/>
          <w:lang w:val="sr-Latn-ME"/>
        </w:rPr>
        <w:t xml:space="preserve"> </w:t>
      </w:r>
      <w:r w:rsidR="00167B82" w:rsidRPr="001D68EC">
        <w:rPr>
          <w:noProof/>
          <w:szCs w:val="22"/>
          <w:lang w:val="sr-Latn-ME"/>
        </w:rPr>
        <w:t>terapije.</w:t>
      </w:r>
    </w:p>
    <w:p w14:paraId="45DD76D0" w14:textId="77777777" w:rsidR="00167B82" w:rsidRPr="001D68EC" w:rsidRDefault="00167B82">
      <w:pPr>
        <w:rPr>
          <w:noProof/>
          <w:szCs w:val="22"/>
          <w:lang w:val="sr-Latn-ME"/>
        </w:rPr>
      </w:pPr>
    </w:p>
    <w:p w14:paraId="698CA46E" w14:textId="74B45DD0" w:rsidR="00167B82" w:rsidRPr="001D68EC" w:rsidRDefault="00167B82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U svim cSSTI i cIAI studijama faze 3 i 4, bilo je 2,4% smrtnih slučajeva (54/2216) kod pacijenata na terapiji</w:t>
      </w:r>
      <w:r w:rsidR="002024B5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 xml:space="preserve">tigeciklinom i 1,7% smrtnih slučajeva (37/2206) kod pacijenata na terapiji komparativnim </w:t>
      </w:r>
      <w:r w:rsidR="0031263D" w:rsidRPr="001D68EC">
        <w:rPr>
          <w:noProof/>
          <w:szCs w:val="22"/>
          <w:lang w:val="sr-Latn-ME"/>
        </w:rPr>
        <w:t>ljekovima</w:t>
      </w:r>
      <w:r w:rsidRPr="001D68EC">
        <w:rPr>
          <w:noProof/>
          <w:szCs w:val="22"/>
          <w:lang w:val="sr-Latn-ME"/>
        </w:rPr>
        <w:t>.</w:t>
      </w:r>
    </w:p>
    <w:p w14:paraId="538D0320" w14:textId="77777777" w:rsidR="00167B82" w:rsidRPr="001D68EC" w:rsidRDefault="00167B82">
      <w:pPr>
        <w:rPr>
          <w:noProof/>
          <w:szCs w:val="22"/>
          <w:lang w:val="sr-Latn-ME"/>
        </w:rPr>
      </w:pPr>
    </w:p>
    <w:p w14:paraId="63BDC36E" w14:textId="77777777" w:rsidR="00167B82" w:rsidRPr="001D68EC" w:rsidRDefault="00167B82">
      <w:pPr>
        <w:rPr>
          <w:noProof/>
          <w:szCs w:val="22"/>
          <w:u w:val="single"/>
          <w:lang w:val="sr-Latn-ME"/>
        </w:rPr>
      </w:pPr>
      <w:r w:rsidRPr="001D68EC">
        <w:rPr>
          <w:noProof/>
          <w:szCs w:val="22"/>
          <w:u w:val="single"/>
          <w:lang w:val="sr-Latn-ME"/>
        </w:rPr>
        <w:t>Pedijatrijska populacija</w:t>
      </w:r>
    </w:p>
    <w:p w14:paraId="01FF46E1" w14:textId="77777777" w:rsidR="00167B82" w:rsidRPr="001D68EC" w:rsidRDefault="00167B82">
      <w:pPr>
        <w:rPr>
          <w:noProof/>
          <w:szCs w:val="22"/>
          <w:u w:val="single"/>
          <w:lang w:val="sr-Latn-ME"/>
        </w:rPr>
      </w:pPr>
    </w:p>
    <w:p w14:paraId="20ED04C9" w14:textId="70F8505F" w:rsidR="00167B82" w:rsidRPr="001D68EC" w:rsidRDefault="00167B82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Dostupni su veoma ograničeni podaci o bezb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>ednosti iz dv</w:t>
      </w:r>
      <w:r w:rsidR="00217F35" w:rsidRPr="001D68EC">
        <w:rPr>
          <w:noProof/>
          <w:szCs w:val="22"/>
          <w:lang w:val="sr-Latn-ME"/>
        </w:rPr>
        <w:t>ij</w:t>
      </w:r>
      <w:r w:rsidRPr="001D68EC">
        <w:rPr>
          <w:noProof/>
          <w:szCs w:val="22"/>
          <w:lang w:val="sr-Latn-ME"/>
        </w:rPr>
        <w:t>e farmakokinetičke studije (</w:t>
      </w:r>
      <w:r w:rsidR="005B2A36" w:rsidRPr="001D68EC">
        <w:rPr>
          <w:noProof/>
          <w:szCs w:val="22"/>
          <w:lang w:val="sr-Latn-ME"/>
        </w:rPr>
        <w:t>pogledati</w:t>
      </w:r>
      <w:r w:rsidRPr="001D68EC">
        <w:rPr>
          <w:noProof/>
          <w:szCs w:val="22"/>
          <w:lang w:val="sr-Latn-ME"/>
        </w:rPr>
        <w:t xml:space="preserve"> </w:t>
      </w:r>
      <w:r w:rsidR="0031263D" w:rsidRPr="001D68EC">
        <w:rPr>
          <w:noProof/>
          <w:szCs w:val="22"/>
          <w:lang w:val="sr-Latn-ME"/>
        </w:rPr>
        <w:t>dio</w:t>
      </w:r>
      <w:r w:rsidRPr="001D68EC">
        <w:rPr>
          <w:noProof/>
          <w:szCs w:val="22"/>
          <w:lang w:val="sr-Latn-ME"/>
        </w:rPr>
        <w:t xml:space="preserve"> 5.2).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Ni</w:t>
      </w:r>
      <w:r w:rsidR="00804889" w:rsidRPr="001D68EC">
        <w:rPr>
          <w:noProof/>
          <w:szCs w:val="22"/>
          <w:lang w:val="sr-Latn-ME"/>
        </w:rPr>
        <w:t>je</w:t>
      </w:r>
      <w:r w:rsidRPr="001D68EC">
        <w:rPr>
          <w:noProof/>
          <w:szCs w:val="22"/>
          <w:lang w:val="sr-Latn-ME"/>
        </w:rPr>
        <w:t>su zapažena nova ili neočekivana bezb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>ednosna pitanja prilikom prim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>ene tigeciklina u ovim studijama.</w:t>
      </w:r>
    </w:p>
    <w:p w14:paraId="3FDD612C" w14:textId="77777777" w:rsidR="00167B82" w:rsidRPr="001D68EC" w:rsidRDefault="00167B82">
      <w:pPr>
        <w:rPr>
          <w:noProof/>
          <w:szCs w:val="22"/>
          <w:lang w:val="sr-Latn-ME"/>
        </w:rPr>
      </w:pPr>
    </w:p>
    <w:p w14:paraId="7A6374BE" w14:textId="363F908E" w:rsidR="00167B82" w:rsidRPr="001D68EC" w:rsidRDefault="00167B82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U otvorenoj, farmakokinetičkoj studiji sa postupnim povećanjem pojedinačne doze, bezb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>ednost tigeciklina je</w:t>
      </w:r>
      <w:r w:rsidR="002024B5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 xml:space="preserve">ispitivana kod 25 </w:t>
      </w:r>
      <w:r w:rsidR="00A14810" w:rsidRPr="001D68EC">
        <w:rPr>
          <w:noProof/>
          <w:szCs w:val="22"/>
          <w:lang w:val="sr-Latn-ME"/>
        </w:rPr>
        <w:t>djece</w:t>
      </w:r>
      <w:r w:rsidRPr="001D68EC">
        <w:rPr>
          <w:noProof/>
          <w:szCs w:val="22"/>
          <w:lang w:val="sr-Latn-ME"/>
        </w:rPr>
        <w:t xml:space="preserve"> uzrasta od 8 do 16 godina koja su se nedavno oporavila od infekcija. Profil neželjenih</w:t>
      </w:r>
      <w:r w:rsidR="002024B5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reakcija tigeciklina kod ovih 25 ispitanika uglavnom je bio u skladu sa profilom neželjenih reakcija kod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odraslih.</w:t>
      </w:r>
    </w:p>
    <w:p w14:paraId="54828745" w14:textId="77777777" w:rsidR="00167B82" w:rsidRPr="001D68EC" w:rsidRDefault="00167B82">
      <w:pPr>
        <w:rPr>
          <w:noProof/>
          <w:szCs w:val="22"/>
          <w:lang w:val="sr-Latn-ME"/>
        </w:rPr>
      </w:pPr>
    </w:p>
    <w:p w14:paraId="4D6136DA" w14:textId="3F995EEB" w:rsidR="00167B82" w:rsidRPr="001D68EC" w:rsidRDefault="00167B82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>Bezb</w:t>
      </w:r>
      <w:r w:rsidR="00217F35" w:rsidRPr="001D68EC">
        <w:rPr>
          <w:noProof/>
          <w:szCs w:val="22"/>
          <w:lang w:val="sr-Latn-ME"/>
        </w:rPr>
        <w:t>j</w:t>
      </w:r>
      <w:r w:rsidRPr="001D68EC">
        <w:rPr>
          <w:noProof/>
          <w:szCs w:val="22"/>
          <w:lang w:val="sr-Latn-ME"/>
        </w:rPr>
        <w:t>ednost tigeciklina je takođe ispitivana u otvorenoj, farmakokinetičkoj studiji sa postepenim povećanjem</w:t>
      </w:r>
      <w:r w:rsidR="002024B5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 xml:space="preserve">višestrukih doza, kod 58 </w:t>
      </w:r>
      <w:r w:rsidR="00A14810" w:rsidRPr="001D68EC">
        <w:rPr>
          <w:noProof/>
          <w:szCs w:val="22"/>
          <w:lang w:val="sr-Latn-ME"/>
        </w:rPr>
        <w:t>djece</w:t>
      </w:r>
      <w:r w:rsidRPr="001D68EC">
        <w:rPr>
          <w:noProof/>
          <w:szCs w:val="22"/>
          <w:lang w:val="sr-Latn-ME"/>
        </w:rPr>
        <w:t xml:space="preserve"> uzrasta od 8 do 11 godina, sa cSSTI (n=15), cIAI (n=24) ili vanbolničkom</w:t>
      </w:r>
      <w:r w:rsidR="0020651B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pneumonijom (n=19). Profil neželjenih reakcija tigeciklina kod ovih 58 ispitanika uglavnom je bio u skladu</w:t>
      </w:r>
      <w:r w:rsidR="0024109D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sa profilom neželjenih reakcija kod odraslih, sa izuzetkom mučnine (48,3%), povraćanja (46,6%) i povećanja</w:t>
      </w:r>
      <w:r w:rsidR="0024109D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 xml:space="preserve">lipaze u serumu (6,9%) koji su imali veću učestalost kod </w:t>
      </w:r>
      <w:r w:rsidR="00A14810" w:rsidRPr="001D68EC">
        <w:rPr>
          <w:noProof/>
          <w:szCs w:val="22"/>
          <w:lang w:val="sr-Latn-ME"/>
        </w:rPr>
        <w:t>djece</w:t>
      </w:r>
      <w:r w:rsidRPr="001D68EC">
        <w:rPr>
          <w:noProof/>
          <w:szCs w:val="22"/>
          <w:lang w:val="sr-Latn-ME"/>
        </w:rPr>
        <w:t xml:space="preserve"> nego kod odraslih.</w:t>
      </w:r>
    </w:p>
    <w:p w14:paraId="25821B78" w14:textId="77777777" w:rsidR="00167B82" w:rsidRPr="001D68EC" w:rsidRDefault="00167B82">
      <w:pPr>
        <w:rPr>
          <w:noProof/>
          <w:szCs w:val="22"/>
          <w:lang w:val="sr-Latn-ME"/>
        </w:rPr>
      </w:pPr>
    </w:p>
    <w:p w14:paraId="16715A6A" w14:textId="77777777" w:rsidR="005B2A36" w:rsidRPr="001D68EC" w:rsidRDefault="005B2A36">
      <w:pPr>
        <w:spacing w:after="200" w:line="276" w:lineRule="auto"/>
        <w:rPr>
          <w:rFonts w:eastAsia="Calibri"/>
          <w:szCs w:val="22"/>
          <w:u w:val="single"/>
          <w:lang w:val="sr-Latn-ME"/>
        </w:rPr>
      </w:pPr>
      <w:r w:rsidRPr="001D68EC">
        <w:rPr>
          <w:rFonts w:eastAsia="Calibri"/>
          <w:szCs w:val="22"/>
          <w:u w:val="single"/>
          <w:lang w:val="sr-Latn-ME"/>
        </w:rPr>
        <w:t>Prijavljivanje sumnji na neželjena dejstva</w:t>
      </w:r>
    </w:p>
    <w:p w14:paraId="15A659AB" w14:textId="77777777" w:rsidR="005B2A36" w:rsidRPr="001D68EC" w:rsidRDefault="005B2A36">
      <w:pPr>
        <w:spacing w:after="200"/>
        <w:rPr>
          <w:rFonts w:eastAsia="Calibri"/>
          <w:szCs w:val="22"/>
          <w:lang w:val="sr-Latn-ME"/>
        </w:rPr>
      </w:pPr>
      <w:r w:rsidRPr="001D68EC">
        <w:rPr>
          <w:rFonts w:eastAsia="Calibri"/>
          <w:szCs w:val="22"/>
          <w:lang w:val="sr-Latn-ME"/>
        </w:rPr>
        <w:t>Prijavljivanje neželjenih dejstava nakon dobijanja dozvole je od velikog značaja jer obezbjeđuje kontinuirano praćenje odnosa korist/rizik primjene lijeka. Zdravstveni radnici treba da prijave svaku sumnju na neželjeno dejstvo ovog lijeka Institutu za ljekove i medicinska sredstva (CInMED):</w:t>
      </w:r>
    </w:p>
    <w:p w14:paraId="29CAC1B3" w14:textId="77777777" w:rsidR="005B2A36" w:rsidRPr="001D68EC" w:rsidRDefault="005B2A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68EC">
        <w:rPr>
          <w:rFonts w:eastAsia="Calibri"/>
          <w:sz w:val="22"/>
          <w:szCs w:val="22"/>
          <w:lang w:val="sr-Latn-ME"/>
        </w:rPr>
        <w:t xml:space="preserve">Institut za ljekove i medicinska sredstva </w:t>
      </w:r>
    </w:p>
    <w:p w14:paraId="6275BBEE" w14:textId="77777777" w:rsidR="005B2A36" w:rsidRPr="001D68EC" w:rsidRDefault="005B2A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68EC">
        <w:rPr>
          <w:rFonts w:eastAsia="Calibri"/>
          <w:sz w:val="22"/>
          <w:szCs w:val="22"/>
          <w:lang w:val="sr-Latn-ME"/>
        </w:rPr>
        <w:t>Odjeljenje za farmakovigilancu</w:t>
      </w:r>
    </w:p>
    <w:p w14:paraId="59B77360" w14:textId="77777777" w:rsidR="005B2A36" w:rsidRPr="001D68EC" w:rsidRDefault="005B2A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68EC">
        <w:rPr>
          <w:rFonts w:eastAsia="Calibri"/>
          <w:sz w:val="22"/>
          <w:szCs w:val="22"/>
          <w:lang w:val="sr-Latn-ME"/>
        </w:rPr>
        <w:t>Bulevar Ivana Crnojevića 64a, 81000 Podgorica</w:t>
      </w:r>
    </w:p>
    <w:p w14:paraId="6DD20283" w14:textId="77777777" w:rsidR="005B2A36" w:rsidRPr="001D68EC" w:rsidRDefault="005B2A36" w:rsidP="00390241">
      <w:pPr>
        <w:pStyle w:val="NoSpacing"/>
        <w:jc w:val="both"/>
        <w:rPr>
          <w:rFonts w:eastAsia="Calibri"/>
          <w:sz w:val="22"/>
          <w:szCs w:val="22"/>
          <w:lang w:val="sr-Latn-ME"/>
        </w:rPr>
      </w:pPr>
    </w:p>
    <w:p w14:paraId="2CB75739" w14:textId="77777777" w:rsidR="005B2A36" w:rsidRPr="001D68EC" w:rsidRDefault="005B2A36" w:rsidP="00804889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68EC">
        <w:rPr>
          <w:rFonts w:eastAsia="Calibri"/>
          <w:sz w:val="22"/>
          <w:szCs w:val="22"/>
          <w:lang w:val="sr-Latn-ME"/>
        </w:rPr>
        <w:t>tel: +382 (0) 20 310 280</w:t>
      </w:r>
    </w:p>
    <w:p w14:paraId="1099F476" w14:textId="77777777" w:rsidR="005B2A36" w:rsidRPr="001D68EC" w:rsidRDefault="005B2A36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r w:rsidRPr="001D68EC">
        <w:rPr>
          <w:rFonts w:eastAsia="Calibri"/>
          <w:sz w:val="22"/>
          <w:szCs w:val="22"/>
          <w:lang w:val="sr-Latn-ME"/>
        </w:rPr>
        <w:t>fax: +382 (0) 20 310 581</w:t>
      </w:r>
    </w:p>
    <w:p w14:paraId="7D4402AB" w14:textId="77777777" w:rsidR="005B2A36" w:rsidRPr="001D68EC" w:rsidRDefault="00D7523F">
      <w:pPr>
        <w:pStyle w:val="NoSpacing"/>
        <w:jc w:val="both"/>
        <w:rPr>
          <w:rFonts w:eastAsia="Calibri"/>
          <w:sz w:val="22"/>
          <w:szCs w:val="22"/>
          <w:lang w:val="sr-Latn-ME"/>
        </w:rPr>
      </w:pPr>
      <w:hyperlink r:id="rId7" w:history="1">
        <w:r w:rsidR="005B2A36" w:rsidRPr="001D68EC">
          <w:rPr>
            <w:rStyle w:val="Hyperlink"/>
            <w:rFonts w:eastAsia="Calibri"/>
            <w:sz w:val="22"/>
            <w:szCs w:val="22"/>
            <w:lang w:val="sr-Latn-ME"/>
          </w:rPr>
          <w:t>www.cinmed.me</w:t>
        </w:r>
      </w:hyperlink>
    </w:p>
    <w:p w14:paraId="352755FB" w14:textId="77777777" w:rsidR="005B2A36" w:rsidRPr="001D68EC" w:rsidRDefault="00D7523F">
      <w:pPr>
        <w:pStyle w:val="NoSpacing"/>
        <w:jc w:val="both"/>
        <w:rPr>
          <w:rFonts w:eastAsia="Calibri"/>
          <w:color w:val="0000FF"/>
          <w:sz w:val="22"/>
          <w:szCs w:val="22"/>
          <w:u w:val="single"/>
          <w:lang w:val="sr-Latn-ME"/>
        </w:rPr>
      </w:pPr>
      <w:hyperlink r:id="rId8" w:history="1">
        <w:r w:rsidR="005B2A36" w:rsidRPr="001D68EC">
          <w:rPr>
            <w:rStyle w:val="Hyperlink"/>
            <w:rFonts w:eastAsia="Calibri"/>
            <w:sz w:val="22"/>
            <w:szCs w:val="22"/>
            <w:lang w:val="sr-Latn-ME"/>
          </w:rPr>
          <w:t>nezeljenadejstva@cinmed.me</w:t>
        </w:r>
      </w:hyperlink>
    </w:p>
    <w:p w14:paraId="6D7D41E2" w14:textId="411A3B66" w:rsidR="00167B82" w:rsidRPr="001D68EC" w:rsidRDefault="005B2A36">
      <w:pPr>
        <w:rPr>
          <w:rFonts w:eastAsia="Calibri"/>
          <w:szCs w:val="22"/>
          <w:lang w:val="sr-Latn-ME"/>
        </w:rPr>
      </w:pPr>
      <w:r w:rsidRPr="001D68EC">
        <w:rPr>
          <w:rFonts w:eastAsia="Calibri"/>
          <w:szCs w:val="22"/>
          <w:lang w:val="sr-Latn-ME"/>
        </w:rPr>
        <w:t>putem IS zdravstvene zaštite</w:t>
      </w:r>
    </w:p>
    <w:p w14:paraId="3A3779DD" w14:textId="77777777" w:rsidR="00C0763F" w:rsidRPr="001D68EC" w:rsidRDefault="00C0763F" w:rsidP="00390241">
      <w:pPr>
        <w:widowControl w:val="0"/>
        <w:tabs>
          <w:tab w:val="clear" w:pos="284"/>
        </w:tabs>
        <w:autoSpaceDE w:val="0"/>
        <w:autoSpaceDN w:val="0"/>
        <w:spacing w:before="1"/>
        <w:ind w:right="-131"/>
        <w:rPr>
          <w:rFonts w:eastAsia="Calibri"/>
          <w:szCs w:val="22"/>
          <w:lang w:val="sr-Latn-ME"/>
        </w:rPr>
      </w:pPr>
      <w:r w:rsidRPr="001D68EC">
        <w:rPr>
          <w:rFonts w:eastAsia="Calibri"/>
          <w:szCs w:val="22"/>
          <w:lang w:val="sr-Latn-ME"/>
        </w:rPr>
        <w:t>QR kod za online prijavu sumnje na neželjeno dejstvo lijeka:</w:t>
      </w:r>
    </w:p>
    <w:p w14:paraId="7D4AE5B4" w14:textId="77777777" w:rsidR="00C0763F" w:rsidRPr="001D68EC" w:rsidRDefault="00C0763F" w:rsidP="00390241">
      <w:pPr>
        <w:widowControl w:val="0"/>
        <w:tabs>
          <w:tab w:val="clear" w:pos="284"/>
        </w:tabs>
        <w:autoSpaceDE w:val="0"/>
        <w:autoSpaceDN w:val="0"/>
        <w:spacing w:before="1"/>
        <w:ind w:left="292"/>
        <w:rPr>
          <w:rFonts w:eastAsia="Calibri"/>
          <w:szCs w:val="22"/>
          <w:lang w:val="sr-Latn-ME"/>
        </w:rPr>
      </w:pPr>
    </w:p>
    <w:p w14:paraId="3D5B231A" w14:textId="79DB3436" w:rsidR="00C0763F" w:rsidRPr="001D68EC" w:rsidRDefault="002024B5" w:rsidP="00390241">
      <w:pPr>
        <w:widowControl w:val="0"/>
        <w:tabs>
          <w:tab w:val="clear" w:pos="284"/>
        </w:tabs>
        <w:autoSpaceDE w:val="0"/>
        <w:autoSpaceDN w:val="0"/>
        <w:spacing w:before="1"/>
        <w:rPr>
          <w:rFonts w:eastAsia="Calibri"/>
          <w:szCs w:val="22"/>
          <w:lang w:val="sr-Latn-ME"/>
        </w:rPr>
      </w:pPr>
      <w:r w:rsidRPr="001D68EC">
        <w:rPr>
          <w:b/>
          <w:bCs/>
          <w:noProof/>
          <w:szCs w:val="22"/>
        </w:rPr>
        <w:drawing>
          <wp:inline distT="0" distB="0" distL="0" distR="0" wp14:anchorId="7FA04A8C" wp14:editId="66B966F4">
            <wp:extent cx="980796" cy="972000"/>
            <wp:effectExtent l="0" t="0" r="0" b="0"/>
            <wp:docPr id="10" name="Picture 9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>
                      <a:hlinkClick r:id="rId9"/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118" t="9757" r="9299" b="10383"/>
                    <a:stretch/>
                  </pic:blipFill>
                  <pic:spPr bwMode="auto">
                    <a:xfrm>
                      <a:off x="0" y="0"/>
                      <a:ext cx="980796" cy="97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9556EA3" w14:textId="77777777" w:rsidR="00167B82" w:rsidRPr="001D68EC" w:rsidRDefault="00167B82" w:rsidP="00804889">
      <w:pPr>
        <w:rPr>
          <w:noProof/>
          <w:szCs w:val="22"/>
          <w:lang w:val="sr-Latn-ME"/>
        </w:rPr>
      </w:pPr>
    </w:p>
    <w:p w14:paraId="5D826703" w14:textId="1AC619B4" w:rsidR="005823EB" w:rsidRPr="001D68EC" w:rsidRDefault="00167B82">
      <w:pPr>
        <w:rPr>
          <w:b/>
          <w:noProof/>
          <w:szCs w:val="22"/>
          <w:lang w:val="sr-Latn-ME"/>
        </w:rPr>
      </w:pPr>
      <w:r w:rsidRPr="001D68EC">
        <w:rPr>
          <w:b/>
          <w:noProof/>
          <w:szCs w:val="22"/>
          <w:lang w:val="sr-Latn-ME"/>
        </w:rPr>
        <w:t xml:space="preserve">4.9. </w:t>
      </w:r>
      <w:r w:rsidR="0031263D" w:rsidRPr="001D68EC">
        <w:rPr>
          <w:b/>
          <w:noProof/>
          <w:szCs w:val="22"/>
          <w:lang w:val="sr-Latn-ME"/>
        </w:rPr>
        <w:t>Pre</w:t>
      </w:r>
      <w:r w:rsidRPr="001D68EC">
        <w:rPr>
          <w:b/>
          <w:noProof/>
          <w:szCs w:val="22"/>
          <w:lang w:val="sr-Latn-ME"/>
        </w:rPr>
        <w:t>doziranje</w:t>
      </w:r>
    </w:p>
    <w:p w14:paraId="6EB6CB68" w14:textId="77777777" w:rsidR="00167B82" w:rsidRPr="001D68EC" w:rsidRDefault="00167B82">
      <w:pPr>
        <w:rPr>
          <w:b/>
          <w:noProof/>
          <w:szCs w:val="22"/>
          <w:lang w:val="sr-Latn-ME"/>
        </w:rPr>
      </w:pPr>
    </w:p>
    <w:p w14:paraId="5A21F7C8" w14:textId="562513F7" w:rsidR="00167B82" w:rsidRPr="001D68EC" w:rsidRDefault="00167B82">
      <w:pPr>
        <w:rPr>
          <w:noProof/>
          <w:szCs w:val="22"/>
          <w:lang w:val="sr-Latn-ME"/>
        </w:rPr>
      </w:pPr>
      <w:r w:rsidRPr="001D68EC">
        <w:rPr>
          <w:noProof/>
          <w:szCs w:val="22"/>
          <w:lang w:val="sr-Latn-ME"/>
        </w:rPr>
        <w:t xml:space="preserve">Ne postoje posebne informacije o </w:t>
      </w:r>
      <w:r w:rsidR="0031263D" w:rsidRPr="001D68EC">
        <w:rPr>
          <w:noProof/>
          <w:szCs w:val="22"/>
          <w:lang w:val="sr-Latn-ME"/>
        </w:rPr>
        <w:t>pre</w:t>
      </w:r>
      <w:r w:rsidRPr="001D68EC">
        <w:rPr>
          <w:noProof/>
          <w:szCs w:val="22"/>
          <w:lang w:val="sr-Latn-ME"/>
        </w:rPr>
        <w:t xml:space="preserve">doziranju tokom terapije. Intravenska </w:t>
      </w:r>
      <w:r w:rsidR="0031263D" w:rsidRPr="001D68EC">
        <w:rPr>
          <w:noProof/>
          <w:szCs w:val="22"/>
          <w:lang w:val="sr-Latn-ME"/>
        </w:rPr>
        <w:t>primjena</w:t>
      </w:r>
      <w:r w:rsidRPr="001D68EC">
        <w:rPr>
          <w:noProof/>
          <w:szCs w:val="22"/>
          <w:lang w:val="sr-Latn-ME"/>
        </w:rPr>
        <w:t xml:space="preserve"> tigeciklina kao</w:t>
      </w:r>
      <w:r w:rsidR="005B2A36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pojedinačne doze od 300 mg tokom 60 minuta je, kod zdravih ispitanika, rezultovala povećanom</w:t>
      </w:r>
      <w:r w:rsidR="005B2A36" w:rsidRPr="001D68EC">
        <w:rPr>
          <w:noProof/>
          <w:szCs w:val="22"/>
          <w:lang w:val="sr-Latn-ME"/>
        </w:rPr>
        <w:t xml:space="preserve"> </w:t>
      </w:r>
      <w:r w:rsidRPr="001D68EC">
        <w:rPr>
          <w:noProof/>
          <w:szCs w:val="22"/>
          <w:lang w:val="sr-Latn-ME"/>
        </w:rPr>
        <w:t>incidencijom mučnine i povraćanja. Tigeciklin se ne uklanja u značajnoj količini hemodijalizom.</w:t>
      </w:r>
    </w:p>
    <w:p w14:paraId="642BA997" w14:textId="77777777" w:rsidR="005823EB" w:rsidRPr="001D68EC" w:rsidRDefault="005823EB">
      <w:pPr>
        <w:rPr>
          <w:noProof/>
          <w:szCs w:val="22"/>
          <w:lang w:val="sr-Latn-ME"/>
        </w:rPr>
      </w:pPr>
    </w:p>
    <w:p w14:paraId="7A16024F" w14:textId="77777777" w:rsidR="00CE09F3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t>5. FARMAKOLOŠKI PODACI</w:t>
      </w:r>
    </w:p>
    <w:p w14:paraId="39638597" w14:textId="77777777" w:rsidR="00CE09F3" w:rsidRPr="001D68EC" w:rsidRDefault="00CE09F3">
      <w:pPr>
        <w:rPr>
          <w:b/>
          <w:bCs/>
          <w:szCs w:val="22"/>
          <w:lang w:val="sr-Latn-ME"/>
        </w:rPr>
      </w:pPr>
      <w:r w:rsidRPr="001D68EC">
        <w:rPr>
          <w:b/>
          <w:bCs/>
          <w:szCs w:val="22"/>
          <w:lang w:val="sr-Latn-ME"/>
        </w:rPr>
        <w:t>5.1. Farmakodinamski podaci</w:t>
      </w:r>
    </w:p>
    <w:p w14:paraId="3A08B31E" w14:textId="77777777" w:rsidR="00167B82" w:rsidRPr="001D68EC" w:rsidRDefault="00167B82">
      <w:pPr>
        <w:rPr>
          <w:b/>
          <w:bCs/>
          <w:szCs w:val="22"/>
          <w:lang w:val="sr-Latn-ME"/>
        </w:rPr>
      </w:pPr>
    </w:p>
    <w:p w14:paraId="7ACC67C0" w14:textId="5B5F74BE" w:rsidR="00CE09F3" w:rsidRPr="001D68EC" w:rsidRDefault="00CE09F3">
      <w:pPr>
        <w:rPr>
          <w:bCs/>
          <w:szCs w:val="22"/>
          <w:lang w:val="sr-Latn-ME"/>
        </w:rPr>
      </w:pPr>
      <w:r w:rsidRPr="001D68EC">
        <w:rPr>
          <w:szCs w:val="22"/>
          <w:lang w:val="sr-Latn-ME"/>
        </w:rPr>
        <w:t>Farmakoterapijska grupa:</w:t>
      </w:r>
      <w:r w:rsidR="004F5F11" w:rsidRPr="001D68EC">
        <w:rPr>
          <w:b/>
          <w:bCs/>
          <w:szCs w:val="22"/>
          <w:lang w:val="sr-Latn-ME"/>
        </w:rPr>
        <w:t xml:space="preserve"> </w:t>
      </w:r>
      <w:r w:rsidR="009100F1" w:rsidRPr="001D68EC">
        <w:rPr>
          <w:bCs/>
          <w:szCs w:val="22"/>
          <w:lang w:val="sr-Latn-ME"/>
        </w:rPr>
        <w:t>a</w:t>
      </w:r>
      <w:r w:rsidR="00167B82" w:rsidRPr="001D68EC">
        <w:rPr>
          <w:bCs/>
          <w:szCs w:val="22"/>
          <w:lang w:val="sr-Latn-ME"/>
        </w:rPr>
        <w:t xml:space="preserve">ntibakterijski </w:t>
      </w:r>
      <w:r w:rsidR="0031263D" w:rsidRPr="001D68EC">
        <w:rPr>
          <w:bCs/>
          <w:szCs w:val="22"/>
          <w:lang w:val="sr-Latn-ME"/>
        </w:rPr>
        <w:t>ljek</w:t>
      </w:r>
      <w:r w:rsidR="00167B82" w:rsidRPr="001D68EC">
        <w:rPr>
          <w:bCs/>
          <w:szCs w:val="22"/>
          <w:lang w:val="sr-Latn-ME"/>
        </w:rPr>
        <w:t>ov</w:t>
      </w:r>
      <w:r w:rsidR="009100F1" w:rsidRPr="001D68EC">
        <w:rPr>
          <w:bCs/>
          <w:szCs w:val="22"/>
          <w:lang w:val="sr-Latn-ME"/>
        </w:rPr>
        <w:t>i za sistem</w:t>
      </w:r>
      <w:r w:rsidR="004D690D" w:rsidRPr="001D68EC">
        <w:rPr>
          <w:bCs/>
          <w:szCs w:val="22"/>
          <w:lang w:val="sr-Latn-ME"/>
        </w:rPr>
        <w:t>sku</w:t>
      </w:r>
      <w:r w:rsidR="009100F1" w:rsidRPr="001D68EC">
        <w:rPr>
          <w:bCs/>
          <w:szCs w:val="22"/>
          <w:lang w:val="sr-Latn-ME"/>
        </w:rPr>
        <w:t xml:space="preserve"> upotrebu; t</w:t>
      </w:r>
      <w:r w:rsidR="00167B82" w:rsidRPr="001D68EC">
        <w:rPr>
          <w:bCs/>
          <w:szCs w:val="22"/>
          <w:lang w:val="sr-Latn-ME"/>
        </w:rPr>
        <w:t>etraciklini</w:t>
      </w:r>
    </w:p>
    <w:p w14:paraId="0EB5397F" w14:textId="77777777" w:rsidR="00CE09F3" w:rsidRPr="001D68EC" w:rsidRDefault="00386B1D">
      <w:pPr>
        <w:tabs>
          <w:tab w:val="clear" w:pos="284"/>
          <w:tab w:val="left" w:pos="2097"/>
        </w:tabs>
        <w:rPr>
          <w:szCs w:val="22"/>
          <w:lang w:val="sr-Latn-ME"/>
        </w:rPr>
      </w:pPr>
      <w:r w:rsidRPr="001D68EC">
        <w:rPr>
          <w:szCs w:val="22"/>
          <w:lang w:val="sr-Latn-ME"/>
        </w:rPr>
        <w:tab/>
      </w:r>
    </w:p>
    <w:p w14:paraId="596B83A5" w14:textId="785BBAD1" w:rsidR="00CE09F3" w:rsidRPr="001D68EC" w:rsidRDefault="00CE09F3">
      <w:pPr>
        <w:rPr>
          <w:bCs/>
          <w:szCs w:val="22"/>
          <w:lang w:val="sr-Latn-ME"/>
        </w:rPr>
      </w:pPr>
      <w:r w:rsidRPr="001D68EC">
        <w:rPr>
          <w:szCs w:val="22"/>
          <w:lang w:val="sr-Latn-ME"/>
        </w:rPr>
        <w:t xml:space="preserve">ATC </w:t>
      </w:r>
      <w:r w:rsidR="005B2A36" w:rsidRPr="001D68EC">
        <w:rPr>
          <w:szCs w:val="22"/>
          <w:lang w:val="sr-Latn-ME"/>
        </w:rPr>
        <w:t>kod</w:t>
      </w:r>
      <w:r w:rsidRPr="001D68EC">
        <w:rPr>
          <w:b/>
          <w:bCs/>
          <w:szCs w:val="22"/>
          <w:lang w:val="sr-Latn-ME"/>
        </w:rPr>
        <w:t>:</w:t>
      </w:r>
      <w:r w:rsidR="003A65B7" w:rsidRPr="001D68EC">
        <w:rPr>
          <w:b/>
          <w:bCs/>
          <w:szCs w:val="22"/>
          <w:lang w:val="sr-Latn-ME"/>
        </w:rPr>
        <w:t xml:space="preserve"> </w:t>
      </w:r>
      <w:r w:rsidR="00167B82" w:rsidRPr="001D68EC">
        <w:rPr>
          <w:bCs/>
          <w:szCs w:val="22"/>
          <w:lang w:val="sr-Latn-ME"/>
        </w:rPr>
        <w:t>J01AA12</w:t>
      </w:r>
    </w:p>
    <w:p w14:paraId="0CA627DD" w14:textId="77777777" w:rsidR="00167B82" w:rsidRPr="001D68EC" w:rsidRDefault="00167B82">
      <w:pPr>
        <w:rPr>
          <w:szCs w:val="22"/>
          <w:lang w:val="sr-Latn-ME"/>
        </w:rPr>
      </w:pPr>
    </w:p>
    <w:p w14:paraId="5D53F15F" w14:textId="77777777" w:rsidR="004A10A2" w:rsidRPr="001D68EC" w:rsidRDefault="004A10A2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Mehanizam dejstva</w:t>
      </w:r>
    </w:p>
    <w:p w14:paraId="785FAA2B" w14:textId="77777777" w:rsidR="004A10A2" w:rsidRPr="001D68EC" w:rsidRDefault="004A10A2">
      <w:pPr>
        <w:rPr>
          <w:szCs w:val="22"/>
          <w:u w:val="single"/>
          <w:lang w:val="sr-Latn-ME"/>
        </w:rPr>
      </w:pPr>
    </w:p>
    <w:p w14:paraId="6EFB1EAE" w14:textId="36A2771D" w:rsidR="004A10A2" w:rsidRPr="001D68EC" w:rsidRDefault="004A10A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Tigeciklin, glicilciklinski antibiotik, inhibira translaciju proteina kod bakterija, vezujući se za 30S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subjedinicu ribozoma i blokirajući ulaz amino-acil tRNK mo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ula u A mestu ribozoma. Time s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čava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inkorporaciju ostataka aminokiselina u elongacione peptidne lance.</w:t>
      </w:r>
    </w:p>
    <w:p w14:paraId="32D4D9A5" w14:textId="77777777" w:rsidR="004A10A2" w:rsidRPr="001D68EC" w:rsidRDefault="004A10A2">
      <w:pPr>
        <w:rPr>
          <w:szCs w:val="22"/>
          <w:lang w:val="sr-Latn-ME"/>
        </w:rPr>
      </w:pPr>
    </w:p>
    <w:p w14:paraId="39707E97" w14:textId="497C085E" w:rsidR="004A10A2" w:rsidRPr="001D68EC" w:rsidRDefault="004A10A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Uopšteno, tigeciklin se smatra bakteriostatikom. U četiri puta većoj koncentraciji od minimalne inhibitorne</w:t>
      </w:r>
      <w:r w:rsidR="0008765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koncentracije (MIK), prim</w:t>
      </w:r>
      <w:r w:rsidR="00087654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ećena je 2-log redukcija broja kolonija kod prim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tigeciklina protiv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i/>
          <w:szCs w:val="22"/>
          <w:lang w:val="sr-Latn-ME"/>
        </w:rPr>
        <w:t xml:space="preserve">Enterococcus spp., Staphylococcus aureus </w:t>
      </w:r>
      <w:r w:rsidRPr="001D68EC">
        <w:rPr>
          <w:szCs w:val="22"/>
          <w:lang w:val="sr-Latn-ME"/>
        </w:rPr>
        <w:t>i</w:t>
      </w:r>
      <w:r w:rsidRPr="001D68EC">
        <w:rPr>
          <w:i/>
          <w:szCs w:val="22"/>
          <w:lang w:val="sr-Latn-ME"/>
        </w:rPr>
        <w:t xml:space="preserve"> Escherichia coli.</w:t>
      </w:r>
    </w:p>
    <w:p w14:paraId="2BB53010" w14:textId="77777777" w:rsidR="004A10A2" w:rsidRPr="001D68EC" w:rsidRDefault="004A10A2">
      <w:pPr>
        <w:rPr>
          <w:szCs w:val="22"/>
          <w:lang w:val="sr-Latn-ME"/>
        </w:rPr>
      </w:pPr>
    </w:p>
    <w:p w14:paraId="61019B0B" w14:textId="77777777" w:rsidR="004A10A2" w:rsidRPr="001D68EC" w:rsidRDefault="004A10A2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Mehanizam rezistencije</w:t>
      </w:r>
    </w:p>
    <w:p w14:paraId="15A5EEE8" w14:textId="77777777" w:rsidR="004A10A2" w:rsidRPr="001D68EC" w:rsidRDefault="004A10A2">
      <w:pPr>
        <w:rPr>
          <w:szCs w:val="22"/>
          <w:u w:val="single"/>
          <w:lang w:val="sr-Latn-ME"/>
        </w:rPr>
      </w:pPr>
    </w:p>
    <w:p w14:paraId="51F98C90" w14:textId="2ED9E0EE" w:rsidR="004A10A2" w:rsidRPr="001D68EC" w:rsidRDefault="004A10A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Tigeciklin može da savlada dva glavna mehanizma za stvaranje rezistencije kod tetraciklina, ribozomalnu</w:t>
      </w:r>
      <w:r w:rsidR="0008765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zaštitu i efluks. Pokazano je da postoji ukrštena rezistencija između tigeciklina i minociklin-rezistentnih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izolata familije Enterobacteriaceae zbog efluks pumpi prisutnih kod rezistencije na više </w:t>
      </w:r>
      <w:r w:rsidR="00484B49" w:rsidRPr="001D68EC">
        <w:rPr>
          <w:szCs w:val="22"/>
          <w:lang w:val="sr-Latn-ME"/>
        </w:rPr>
        <w:t>ljekova</w:t>
      </w:r>
      <w:r w:rsidRPr="001D68EC">
        <w:rPr>
          <w:szCs w:val="22"/>
          <w:lang w:val="sr-Latn-ME"/>
        </w:rPr>
        <w:t xml:space="preserve"> (</w:t>
      </w:r>
      <w:r w:rsidRPr="001D68EC">
        <w:rPr>
          <w:i/>
          <w:szCs w:val="22"/>
          <w:lang w:val="sr-Latn-ME"/>
        </w:rPr>
        <w:t>engl. multidrug resistance</w:t>
      </w:r>
      <w:r w:rsidRPr="001D68EC">
        <w:rPr>
          <w:szCs w:val="22"/>
          <w:lang w:val="sr-Latn-ME"/>
        </w:rPr>
        <w:t>, MDR). Ne postoji ciljno utemeljena ukrštena rezistencija između tigeciklina i većine grupa</w:t>
      </w:r>
      <w:r w:rsidRPr="001D68EC">
        <w:rPr>
          <w:i/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antibiotika.</w:t>
      </w:r>
    </w:p>
    <w:p w14:paraId="6D925756" w14:textId="77777777" w:rsidR="004A10A2" w:rsidRPr="001D68EC" w:rsidRDefault="004A10A2">
      <w:pPr>
        <w:rPr>
          <w:i/>
          <w:szCs w:val="22"/>
          <w:lang w:val="sr-Latn-ME"/>
        </w:rPr>
      </w:pPr>
    </w:p>
    <w:p w14:paraId="01279FDA" w14:textId="1876C6E5" w:rsidR="00CE09F3" w:rsidRPr="001D68EC" w:rsidRDefault="004A10A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Tigeciklin je os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etljiv na hromozomski kodirane efluks pumpe za više </w:t>
      </w:r>
      <w:r w:rsidR="00484B49" w:rsidRPr="001D68EC">
        <w:rPr>
          <w:szCs w:val="22"/>
          <w:lang w:val="sr-Latn-ME"/>
        </w:rPr>
        <w:t>ljekova</w:t>
      </w:r>
      <w:r w:rsidRPr="001D68EC">
        <w:rPr>
          <w:szCs w:val="22"/>
          <w:lang w:val="sr-Latn-ME"/>
        </w:rPr>
        <w:t xml:space="preserve"> koju pos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eduju bakterije familije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Proteeae i Pseudomonas aeruginosa. Patogeni iz familije Proteeae (</w:t>
      </w:r>
      <w:r w:rsidRPr="001D68EC">
        <w:rPr>
          <w:i/>
          <w:szCs w:val="22"/>
          <w:lang w:val="sr-Latn-ME"/>
        </w:rPr>
        <w:t xml:space="preserve">Proteus spp., Providencia spp. </w:t>
      </w:r>
      <w:r w:rsidR="0020651B" w:rsidRPr="001D68EC">
        <w:rPr>
          <w:szCs w:val="22"/>
          <w:lang w:val="sr-Latn-ME"/>
        </w:rPr>
        <w:t xml:space="preserve">I </w:t>
      </w:r>
      <w:r w:rsidRPr="001D68EC">
        <w:rPr>
          <w:i/>
          <w:szCs w:val="22"/>
          <w:lang w:val="sr-Latn-ME"/>
        </w:rPr>
        <w:t>Morganella spp</w:t>
      </w:r>
      <w:r w:rsidRPr="001D68EC">
        <w:rPr>
          <w:szCs w:val="22"/>
          <w:lang w:val="sr-Latn-ME"/>
        </w:rPr>
        <w:t>.) su manje os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etljivi na terapiju tigeciklinom u odnosu na druge članove familije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i/>
          <w:szCs w:val="22"/>
          <w:lang w:val="sr-Latn-ME"/>
        </w:rPr>
        <w:t>Enterobacteriaceae.</w:t>
      </w:r>
      <w:r w:rsidRPr="001D68EC">
        <w:rPr>
          <w:szCs w:val="22"/>
          <w:lang w:val="sr-Latn-ME"/>
        </w:rPr>
        <w:t xml:space="preserve"> Smanjena os</w:t>
      </w:r>
      <w:r w:rsidR="00BE454B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etljivost kod ob</w:t>
      </w:r>
      <w:r w:rsidR="00087654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 grupe se pripisuje pojačanoj eks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>siji nespecifične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AcrAB efluks pumpe za više </w:t>
      </w:r>
      <w:r w:rsidR="00484B49" w:rsidRPr="001D68EC">
        <w:rPr>
          <w:szCs w:val="22"/>
          <w:lang w:val="sr-Latn-ME"/>
        </w:rPr>
        <w:t>ljekova</w:t>
      </w:r>
      <w:r w:rsidRPr="001D68EC">
        <w:rPr>
          <w:szCs w:val="22"/>
          <w:lang w:val="sr-Latn-ME"/>
        </w:rPr>
        <w:t>. Smanjena os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etljivost kod </w:t>
      </w:r>
      <w:r w:rsidRPr="001D68EC">
        <w:rPr>
          <w:i/>
          <w:szCs w:val="22"/>
          <w:lang w:val="sr-Latn-ME"/>
        </w:rPr>
        <w:t>Acinetobacter baumannii</w:t>
      </w:r>
      <w:r w:rsidRPr="001D68EC">
        <w:rPr>
          <w:szCs w:val="22"/>
          <w:lang w:val="sr-Latn-ME"/>
        </w:rPr>
        <w:t xml:space="preserve"> se pripisuje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pojačanoj eks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>siji AdeABC efluks pumpe.</w:t>
      </w:r>
    </w:p>
    <w:p w14:paraId="5DC7AFE5" w14:textId="77777777" w:rsidR="004D690D" w:rsidRPr="001D68EC" w:rsidRDefault="004D690D">
      <w:pPr>
        <w:rPr>
          <w:szCs w:val="22"/>
          <w:lang w:val="sr-Latn-ME"/>
        </w:rPr>
      </w:pPr>
    </w:p>
    <w:p w14:paraId="2F9038B6" w14:textId="08BD5516" w:rsidR="004D690D" w:rsidRPr="001D68EC" w:rsidRDefault="004D690D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Antibakterijska aktivnost u kombinaciji sa drugim antibakterijskim lijekovima</w:t>
      </w:r>
    </w:p>
    <w:p w14:paraId="5F95C8BD" w14:textId="77777777" w:rsidR="004D690D" w:rsidRPr="001D68EC" w:rsidRDefault="004D690D">
      <w:pPr>
        <w:rPr>
          <w:szCs w:val="22"/>
          <w:u w:val="single"/>
          <w:lang w:val="sr-Latn-ME"/>
        </w:rPr>
      </w:pPr>
    </w:p>
    <w:p w14:paraId="1E0362C0" w14:textId="1FB910CA" w:rsidR="004D690D" w:rsidRPr="001D68EC" w:rsidRDefault="004D690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 in vitro ispitivanjima rijetko je primijećen antagonizam između tigeciklina i ostalih često primjenjivanih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grupa antibiotika.</w:t>
      </w:r>
    </w:p>
    <w:p w14:paraId="682C1DC6" w14:textId="77777777" w:rsidR="00F11FB9" w:rsidRPr="001D68EC" w:rsidRDefault="00F11FB9">
      <w:pPr>
        <w:rPr>
          <w:szCs w:val="22"/>
          <w:lang w:val="sr-Latn-ME"/>
        </w:rPr>
      </w:pPr>
    </w:p>
    <w:p w14:paraId="7F7F1BE1" w14:textId="7CCAF48B" w:rsidR="00F11FB9" w:rsidRPr="001D68EC" w:rsidRDefault="00F11FB9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lastRenderedPageBreak/>
        <w:t xml:space="preserve">Granične </w:t>
      </w:r>
      <w:r w:rsidR="00087654" w:rsidRPr="001D68EC">
        <w:rPr>
          <w:szCs w:val="22"/>
          <w:u w:val="single"/>
          <w:lang w:val="sr-Latn-ME"/>
        </w:rPr>
        <w:t>vrijednosti</w:t>
      </w:r>
    </w:p>
    <w:p w14:paraId="4A5D8212" w14:textId="77777777" w:rsidR="00F11FB9" w:rsidRPr="001D68EC" w:rsidRDefault="00F11FB9">
      <w:pPr>
        <w:rPr>
          <w:szCs w:val="22"/>
          <w:u w:val="single"/>
          <w:lang w:val="sr-Latn-ME"/>
        </w:rPr>
      </w:pPr>
    </w:p>
    <w:p w14:paraId="28D749F2" w14:textId="59C058D7" w:rsidR="00F11FB9" w:rsidRPr="001D68EC" w:rsidRDefault="00F11FB9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Granične </w:t>
      </w:r>
      <w:r w:rsidR="00087654" w:rsidRPr="001D68EC">
        <w:rPr>
          <w:szCs w:val="22"/>
          <w:lang w:val="sr-Latn-ME"/>
        </w:rPr>
        <w:t>vrijednosti</w:t>
      </w:r>
      <w:r w:rsidRPr="001D68EC">
        <w:rPr>
          <w:szCs w:val="22"/>
          <w:lang w:val="sr-Latn-ME"/>
        </w:rPr>
        <w:t xml:space="preserve"> minimalne inhibitorne koncentracije (MIK) ustanovljene od “</w:t>
      </w:r>
      <w:r w:rsidRPr="001D68EC">
        <w:rPr>
          <w:i/>
          <w:szCs w:val="22"/>
          <w:lang w:val="sr-Latn-ME"/>
        </w:rPr>
        <w:t>European Committee on</w:t>
      </w:r>
      <w:r w:rsidR="0020651B" w:rsidRPr="001D68EC">
        <w:rPr>
          <w:i/>
          <w:szCs w:val="22"/>
          <w:lang w:val="sr-Latn-ME"/>
        </w:rPr>
        <w:t xml:space="preserve"> </w:t>
      </w:r>
      <w:r w:rsidRPr="001D68EC">
        <w:rPr>
          <w:i/>
          <w:szCs w:val="22"/>
          <w:lang w:val="sr-Latn-ME"/>
        </w:rPr>
        <w:t>Antimicrobial Susceptibility Testing</w:t>
      </w:r>
      <w:r w:rsidRPr="001D68EC">
        <w:rPr>
          <w:szCs w:val="22"/>
          <w:lang w:val="sr-Latn-ME"/>
        </w:rPr>
        <w:t>” (EUCAST) su sledeće:</w:t>
      </w:r>
    </w:p>
    <w:p w14:paraId="426BCD53" w14:textId="77777777" w:rsidR="004D690D" w:rsidRPr="001D68EC" w:rsidRDefault="004D690D">
      <w:pPr>
        <w:rPr>
          <w:szCs w:val="22"/>
          <w:lang w:val="sr-Latn-ME"/>
        </w:rPr>
      </w:pPr>
    </w:p>
    <w:p w14:paraId="2ECC0A64" w14:textId="77777777" w:rsidR="004D690D" w:rsidRPr="001D68EC" w:rsidRDefault="004D690D" w:rsidP="00390241">
      <w:pPr>
        <w:tabs>
          <w:tab w:val="clear" w:pos="284"/>
        </w:tabs>
        <w:kinsoku w:val="0"/>
        <w:overflowPunct w:val="0"/>
        <w:autoSpaceDE w:val="0"/>
        <w:autoSpaceDN w:val="0"/>
        <w:adjustRightInd w:val="0"/>
        <w:spacing w:before="11"/>
        <w:rPr>
          <w:sz w:val="6"/>
          <w:szCs w:val="6"/>
          <w:lang w:val="sr-Latn-ME"/>
        </w:rPr>
      </w:pPr>
    </w:p>
    <w:tbl>
      <w:tblPr>
        <w:tblW w:w="9072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35"/>
        <w:gridCol w:w="3415"/>
        <w:gridCol w:w="2922"/>
      </w:tblGrid>
      <w:tr w:rsidR="004D690D" w:rsidRPr="001D68EC" w14:paraId="6CAC8540" w14:textId="77777777" w:rsidTr="00390241">
        <w:trPr>
          <w:trHeight w:hRule="exact" w:val="264"/>
        </w:trPr>
        <w:tc>
          <w:tcPr>
            <w:tcW w:w="907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4B77265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2643"/>
              <w:rPr>
                <w:sz w:val="24"/>
                <w:lang w:val="sr-Latn-ME"/>
              </w:rPr>
            </w:pPr>
            <w:r w:rsidRPr="001D68EC">
              <w:rPr>
                <w:b/>
                <w:bCs/>
                <w:szCs w:val="22"/>
                <w:lang w:val="sr-Latn-ME"/>
              </w:rPr>
              <w:t>Granične</w:t>
            </w:r>
            <w:r w:rsidRPr="001D68EC">
              <w:rPr>
                <w:b/>
                <w:bCs/>
                <w:spacing w:val="-3"/>
                <w:szCs w:val="22"/>
                <w:lang w:val="sr-Latn-ME"/>
              </w:rPr>
              <w:t xml:space="preserve"> 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vrijednosti</w:t>
            </w:r>
            <w:r w:rsidRPr="001D68EC">
              <w:rPr>
                <w:b/>
                <w:bCs/>
                <w:spacing w:val="1"/>
                <w:szCs w:val="22"/>
                <w:lang w:val="sr-Latn-ME"/>
              </w:rPr>
              <w:t xml:space="preserve"> 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prema EUCAST-u</w:t>
            </w:r>
          </w:p>
        </w:tc>
      </w:tr>
      <w:tr w:rsidR="004D690D" w:rsidRPr="001D68EC" w14:paraId="4FF5EF64" w14:textId="77777777" w:rsidTr="00390241">
        <w:trPr>
          <w:trHeight w:hRule="exact" w:val="516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80CC0E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rPr>
                <w:sz w:val="24"/>
                <w:lang w:val="sr-Latn-ME"/>
              </w:rPr>
            </w:pPr>
            <w:r w:rsidRPr="001D68EC">
              <w:rPr>
                <w:spacing w:val="-1"/>
                <w:szCs w:val="22"/>
                <w:lang w:val="sr-Latn-ME"/>
              </w:rPr>
              <w:t>Patogen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5210CD4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rPr>
                <w:sz w:val="24"/>
                <w:lang w:val="sr-Latn-ME"/>
              </w:rPr>
            </w:pPr>
            <w:r w:rsidRPr="001D68EC">
              <w:rPr>
                <w:spacing w:val="-1"/>
                <w:szCs w:val="22"/>
                <w:lang w:val="sr-Latn-ME"/>
              </w:rPr>
              <w:t>Granična</w:t>
            </w:r>
            <w:r w:rsidRPr="001D68EC">
              <w:rPr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vrijednost</w:t>
            </w:r>
            <w:r w:rsidRPr="001D68EC">
              <w:rPr>
                <w:spacing w:val="-2"/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minimalne</w:t>
            </w:r>
            <w:r w:rsidRPr="001D68EC">
              <w:rPr>
                <w:spacing w:val="-2"/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inhibitorne</w:t>
            </w:r>
            <w:r w:rsidRPr="001D68EC">
              <w:rPr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koncentracije</w:t>
            </w:r>
            <w:r w:rsidRPr="001D68EC">
              <w:rPr>
                <w:spacing w:val="-2"/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(mg/l)</w:t>
            </w:r>
          </w:p>
        </w:tc>
      </w:tr>
      <w:tr w:rsidR="004D690D" w:rsidRPr="001D68EC" w14:paraId="3AD38109" w14:textId="77777777" w:rsidTr="00390241">
        <w:trPr>
          <w:trHeight w:hRule="exact" w:val="26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A905" w14:textId="77777777" w:rsidR="004D690D" w:rsidRPr="001D68EC" w:rsidRDefault="004D690D" w:rsidP="00390241">
            <w:pPr>
              <w:tabs>
                <w:tab w:val="clear" w:pos="284"/>
              </w:tabs>
              <w:autoSpaceDE w:val="0"/>
              <w:autoSpaceDN w:val="0"/>
              <w:adjustRightInd w:val="0"/>
              <w:rPr>
                <w:sz w:val="24"/>
                <w:lang w:val="sr-Latn-ME"/>
              </w:rPr>
            </w:pP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9E88D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260"/>
              <w:rPr>
                <w:sz w:val="24"/>
                <w:lang w:val="sr-Latn-ME"/>
              </w:rPr>
            </w:pPr>
            <w:r w:rsidRPr="001D68EC">
              <w:rPr>
                <w:b/>
                <w:bCs/>
                <w:szCs w:val="22"/>
                <w:lang w:val="sr-Latn-ME"/>
              </w:rPr>
              <w:t xml:space="preserve">≤S 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(osjetljiv (engl.</w:t>
            </w:r>
            <w:r w:rsidRPr="001D68EC">
              <w:rPr>
                <w:b/>
                <w:bCs/>
                <w:spacing w:val="-3"/>
                <w:szCs w:val="22"/>
                <w:lang w:val="sr-Latn-ME"/>
              </w:rPr>
              <w:t xml:space="preserve"> </w:t>
            </w:r>
            <w:r w:rsidRPr="001D68EC">
              <w:rPr>
                <w:b/>
                <w:bCs/>
                <w:i/>
                <w:iCs/>
                <w:spacing w:val="-1"/>
                <w:szCs w:val="22"/>
                <w:lang w:val="sr-Latn-ME"/>
              </w:rPr>
              <w:t>susceptible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))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FDB4ADB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0" w:lineRule="exact"/>
              <w:ind w:left="147"/>
              <w:rPr>
                <w:sz w:val="24"/>
                <w:lang w:val="sr-Latn-ME"/>
              </w:rPr>
            </w:pPr>
            <w:r w:rsidRPr="001D68EC">
              <w:rPr>
                <w:b/>
                <w:bCs/>
                <w:spacing w:val="-1"/>
                <w:szCs w:val="22"/>
                <w:lang w:val="sr-Latn-ME"/>
              </w:rPr>
              <w:t>&gt;R</w:t>
            </w:r>
            <w:r w:rsidRPr="001D68EC">
              <w:rPr>
                <w:b/>
                <w:bCs/>
                <w:spacing w:val="-2"/>
                <w:szCs w:val="22"/>
                <w:lang w:val="sr-Latn-ME"/>
              </w:rPr>
              <w:t xml:space="preserve"> 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(otporan</w:t>
            </w:r>
            <w:r w:rsidRPr="001D68EC">
              <w:rPr>
                <w:b/>
                <w:bCs/>
                <w:spacing w:val="-3"/>
                <w:szCs w:val="22"/>
                <w:lang w:val="sr-Latn-ME"/>
              </w:rPr>
              <w:t xml:space="preserve"> 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(engl.</w:t>
            </w:r>
            <w:r w:rsidRPr="001D68EC">
              <w:rPr>
                <w:b/>
                <w:bCs/>
                <w:szCs w:val="22"/>
                <w:lang w:val="sr-Latn-ME"/>
              </w:rPr>
              <w:t xml:space="preserve"> </w:t>
            </w:r>
            <w:r w:rsidRPr="001D68EC">
              <w:rPr>
                <w:b/>
                <w:bCs/>
                <w:i/>
                <w:iCs/>
                <w:spacing w:val="-1"/>
                <w:szCs w:val="22"/>
                <w:lang w:val="sr-Latn-ME"/>
              </w:rPr>
              <w:t>resistant</w:t>
            </w:r>
            <w:r w:rsidRPr="001D68EC">
              <w:rPr>
                <w:b/>
                <w:bCs/>
                <w:spacing w:val="-1"/>
                <w:szCs w:val="22"/>
                <w:lang w:val="sr-Latn-ME"/>
              </w:rPr>
              <w:t>))</w:t>
            </w:r>
          </w:p>
        </w:tc>
      </w:tr>
      <w:tr w:rsidR="004D690D" w:rsidRPr="001D68EC" w14:paraId="6F03F916" w14:textId="77777777" w:rsidTr="00390241">
        <w:trPr>
          <w:trHeight w:hRule="exact" w:val="1022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A0910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37" w:lineRule="auto"/>
              <w:ind w:left="104" w:right="641"/>
              <w:rPr>
                <w:sz w:val="24"/>
                <w:lang w:val="sr-Latn-ME"/>
              </w:rPr>
            </w:pPr>
            <w:r w:rsidRPr="001D68EC">
              <w:rPr>
                <w:i/>
                <w:iCs/>
                <w:spacing w:val="-1"/>
                <w:szCs w:val="22"/>
                <w:lang w:val="sr-Latn-ME"/>
              </w:rPr>
              <w:t>Enterobacterales</w:t>
            </w:r>
            <w:r w:rsidRPr="001D68EC">
              <w:rPr>
                <w:spacing w:val="-1"/>
                <w:szCs w:val="22"/>
                <w:lang w:val="sr-Latn-ME"/>
              </w:rPr>
              <w:t>:</w:t>
            </w:r>
            <w:r w:rsidRPr="001D68EC">
              <w:rPr>
                <w:spacing w:val="23"/>
                <w:szCs w:val="22"/>
                <w:lang w:val="sr-Latn-ME"/>
              </w:rPr>
              <w:t xml:space="preserve"> </w:t>
            </w:r>
            <w:r w:rsidRPr="001D68EC">
              <w:rPr>
                <w:i/>
                <w:iCs/>
                <w:spacing w:val="-1"/>
                <w:szCs w:val="22"/>
                <w:lang w:val="sr-Latn-ME"/>
              </w:rPr>
              <w:t xml:space="preserve">Escherichia coli </w:t>
            </w:r>
            <w:r w:rsidRPr="001D68EC">
              <w:rPr>
                <w:szCs w:val="22"/>
                <w:lang w:val="sr-Latn-ME"/>
              </w:rPr>
              <w:t>i</w:t>
            </w:r>
            <w:r w:rsidRPr="001D68EC">
              <w:rPr>
                <w:spacing w:val="23"/>
                <w:szCs w:val="22"/>
                <w:lang w:val="sr-Latn-ME"/>
              </w:rPr>
              <w:t xml:space="preserve"> </w:t>
            </w:r>
            <w:r w:rsidRPr="001D68EC">
              <w:rPr>
                <w:i/>
                <w:iCs/>
                <w:spacing w:val="-1"/>
                <w:szCs w:val="22"/>
                <w:lang w:val="sr-Latn-ME"/>
              </w:rPr>
              <w:t>Citrobacter</w:t>
            </w:r>
            <w:r w:rsidRPr="001D68EC">
              <w:rPr>
                <w:i/>
                <w:iCs/>
                <w:spacing w:val="-2"/>
                <w:szCs w:val="22"/>
                <w:lang w:val="sr-Latn-ME"/>
              </w:rPr>
              <w:t xml:space="preserve"> </w:t>
            </w:r>
            <w:r w:rsidRPr="001D68EC">
              <w:rPr>
                <w:i/>
                <w:iCs/>
                <w:spacing w:val="-1"/>
                <w:szCs w:val="22"/>
                <w:lang w:val="sr-Latn-ME"/>
              </w:rPr>
              <w:t>koseri</w:t>
            </w:r>
            <w:r w:rsidRPr="001D68EC">
              <w:rPr>
                <w:spacing w:val="-1"/>
                <w:szCs w:val="22"/>
                <w:lang w:val="sr-Latn-ME"/>
              </w:rPr>
              <w:t>:</w:t>
            </w:r>
            <w:r w:rsidRPr="001D68EC">
              <w:rPr>
                <w:spacing w:val="-19"/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position w:val="8"/>
                <w:sz w:val="14"/>
                <w:szCs w:val="14"/>
                <w:lang w:val="sr-Latn-ME"/>
              </w:rPr>
              <w:t>(†)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AA001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right="47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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zCs w:val="22"/>
                <w:lang w:val="sr-Latn-ME"/>
              </w:rPr>
              <w:t>0,5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5A8FD22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right="38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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zCs w:val="22"/>
                <w:lang w:val="sr-Latn-ME"/>
              </w:rPr>
              <w:t>0,5</w:t>
            </w:r>
          </w:p>
        </w:tc>
      </w:tr>
      <w:tr w:rsidR="004D690D" w:rsidRPr="001D68EC" w14:paraId="2FD9AF3A" w14:textId="77777777" w:rsidTr="00390241">
        <w:trPr>
          <w:trHeight w:hRule="exact" w:val="281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A506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rPr>
                <w:sz w:val="24"/>
                <w:lang w:val="sr-Latn-ME"/>
              </w:rPr>
            </w:pPr>
            <w:r w:rsidRPr="001D68EC">
              <w:rPr>
                <w:i/>
                <w:iCs/>
                <w:spacing w:val="-1"/>
                <w:szCs w:val="22"/>
                <w:lang w:val="sr-Latn-ME"/>
              </w:rPr>
              <w:t>Staphylococcus</w:t>
            </w:r>
            <w:r w:rsidRPr="001D68EC">
              <w:rPr>
                <w:i/>
                <w:iCs/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spp.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29D8A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4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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zCs w:val="22"/>
                <w:lang w:val="sr-Latn-ME"/>
              </w:rPr>
              <w:t>0,5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A62801C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right="38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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zCs w:val="22"/>
                <w:lang w:val="sr-Latn-ME"/>
              </w:rPr>
              <w:t>0,5</w:t>
            </w:r>
          </w:p>
        </w:tc>
      </w:tr>
      <w:tr w:rsidR="004D690D" w:rsidRPr="001D68EC" w14:paraId="30BC89DB" w14:textId="77777777" w:rsidTr="00390241">
        <w:trPr>
          <w:trHeight w:hRule="exact" w:val="278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4240E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rPr>
                <w:sz w:val="24"/>
                <w:lang w:val="sr-Latn-ME"/>
              </w:rPr>
            </w:pPr>
            <w:r w:rsidRPr="001D68EC">
              <w:rPr>
                <w:i/>
                <w:iCs/>
                <w:spacing w:val="-1"/>
                <w:szCs w:val="22"/>
                <w:lang w:val="sr-Latn-ME"/>
              </w:rPr>
              <w:t>Enterococcus</w:t>
            </w:r>
            <w:r w:rsidRPr="001D68EC">
              <w:rPr>
                <w:i/>
                <w:iCs/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>spp.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7FAB5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left="4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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zCs w:val="22"/>
                <w:lang w:val="sr-Latn-ME"/>
              </w:rPr>
              <w:t>0,25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1A9F8DA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7" w:lineRule="exact"/>
              <w:ind w:right="38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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zCs w:val="22"/>
                <w:lang w:val="sr-Latn-ME"/>
              </w:rPr>
              <w:t>0,25</w:t>
            </w:r>
          </w:p>
        </w:tc>
      </w:tr>
      <w:tr w:rsidR="004D690D" w:rsidRPr="001D68EC" w14:paraId="1E270A4A" w14:textId="77777777" w:rsidTr="00390241">
        <w:trPr>
          <w:trHeight w:hRule="exact" w:val="516"/>
        </w:trPr>
        <w:tc>
          <w:tcPr>
            <w:tcW w:w="2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1550C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51" w:lineRule="exact"/>
              <w:ind w:left="104"/>
              <w:rPr>
                <w:szCs w:val="22"/>
                <w:lang w:val="sr-Latn-ME"/>
              </w:rPr>
            </w:pPr>
            <w:r w:rsidRPr="001D68EC">
              <w:rPr>
                <w:spacing w:val="-1"/>
                <w:szCs w:val="22"/>
                <w:lang w:val="sr-Latn-ME"/>
              </w:rPr>
              <w:t>Skupine</w:t>
            </w:r>
            <w:r w:rsidRPr="001D68EC">
              <w:rPr>
                <w:szCs w:val="22"/>
                <w:lang w:val="sr-Latn-ME"/>
              </w:rPr>
              <w:t xml:space="preserve"> </w:t>
            </w:r>
            <w:r w:rsidRPr="001D68EC">
              <w:rPr>
                <w:spacing w:val="-1"/>
                <w:szCs w:val="22"/>
                <w:lang w:val="sr-Latn-ME"/>
              </w:rPr>
              <w:t xml:space="preserve">A, B, </w:t>
            </w:r>
            <w:r w:rsidRPr="001D68EC">
              <w:rPr>
                <w:szCs w:val="22"/>
                <w:lang w:val="sr-Latn-ME"/>
              </w:rPr>
              <w:t>C</w:t>
            </w:r>
            <w:r w:rsidRPr="001D68EC">
              <w:rPr>
                <w:spacing w:val="-1"/>
                <w:szCs w:val="22"/>
                <w:lang w:val="sr-Latn-ME"/>
              </w:rPr>
              <w:t xml:space="preserve"> </w:t>
            </w:r>
            <w:r w:rsidRPr="001D68EC">
              <w:rPr>
                <w:szCs w:val="22"/>
                <w:lang w:val="sr-Latn-ME"/>
              </w:rPr>
              <w:t>i</w:t>
            </w:r>
            <w:r w:rsidRPr="001D68EC">
              <w:rPr>
                <w:spacing w:val="-1"/>
                <w:szCs w:val="22"/>
                <w:lang w:val="sr-Latn-ME"/>
              </w:rPr>
              <w:t xml:space="preserve"> </w:t>
            </w:r>
            <w:r w:rsidRPr="001D68EC">
              <w:rPr>
                <w:szCs w:val="22"/>
                <w:lang w:val="sr-Latn-ME"/>
              </w:rPr>
              <w:t>G</w:t>
            </w:r>
            <w:r w:rsidRPr="001D68EC">
              <w:rPr>
                <w:spacing w:val="-1"/>
                <w:szCs w:val="22"/>
                <w:lang w:val="sr-Latn-ME"/>
              </w:rPr>
              <w:t xml:space="preserve"> roda</w:t>
            </w:r>
          </w:p>
          <w:p w14:paraId="6A2899EE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before="1" w:line="252" w:lineRule="exact"/>
              <w:ind w:left="104"/>
              <w:rPr>
                <w:sz w:val="24"/>
                <w:lang w:val="sr-Latn-ME"/>
              </w:rPr>
            </w:pPr>
            <w:r w:rsidRPr="001D68EC">
              <w:rPr>
                <w:i/>
                <w:iCs/>
                <w:spacing w:val="-1"/>
                <w:szCs w:val="22"/>
                <w:lang w:val="sr-Latn-ME"/>
              </w:rPr>
              <w:t>Streptococcus</w:t>
            </w:r>
          </w:p>
        </w:tc>
        <w:tc>
          <w:tcPr>
            <w:tcW w:w="3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620DE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left="6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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pacing w:val="-2"/>
                <w:szCs w:val="22"/>
                <w:lang w:val="sr-Latn-ME"/>
              </w:rPr>
              <w:t>0,125</w:t>
            </w:r>
          </w:p>
        </w:tc>
        <w:tc>
          <w:tcPr>
            <w:tcW w:w="2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A47C396" w14:textId="77777777" w:rsidR="004D690D" w:rsidRPr="001D68EC" w:rsidRDefault="004D690D" w:rsidP="00390241">
            <w:pPr>
              <w:tabs>
                <w:tab w:val="clear" w:pos="284"/>
              </w:tabs>
              <w:kinsoku w:val="0"/>
              <w:overflowPunct w:val="0"/>
              <w:autoSpaceDE w:val="0"/>
              <w:autoSpaceDN w:val="0"/>
              <w:adjustRightInd w:val="0"/>
              <w:spacing w:line="268" w:lineRule="exact"/>
              <w:ind w:right="42"/>
              <w:rPr>
                <w:sz w:val="24"/>
                <w:lang w:val="sr-Latn-ME"/>
              </w:rPr>
            </w:pPr>
            <w:r w:rsidRPr="001D68EC">
              <w:rPr>
                <w:rFonts w:ascii="Symbol" w:hAnsi="Symbol" w:cs="Symbol"/>
                <w:szCs w:val="22"/>
                <w:lang w:val="sr-Latn-ME"/>
              </w:rPr>
              <w:t></w:t>
            </w:r>
            <w:r w:rsidRPr="001D68EC">
              <w:rPr>
                <w:rFonts w:ascii="Symbol" w:hAnsi="Symbol" w:cs="Symbol"/>
                <w:spacing w:val="1"/>
                <w:szCs w:val="22"/>
                <w:lang w:val="sr-Latn-ME"/>
              </w:rPr>
              <w:t></w:t>
            </w:r>
            <w:r w:rsidRPr="001D68EC">
              <w:rPr>
                <w:spacing w:val="-2"/>
                <w:szCs w:val="22"/>
                <w:lang w:val="sr-Latn-ME"/>
              </w:rPr>
              <w:t>0,125</w:t>
            </w:r>
          </w:p>
        </w:tc>
      </w:tr>
    </w:tbl>
    <w:p w14:paraId="422B5D90" w14:textId="77777777" w:rsidR="00845996" w:rsidRPr="001D68EC" w:rsidRDefault="00845996" w:rsidP="00804889">
      <w:pPr>
        <w:rPr>
          <w:szCs w:val="22"/>
          <w:lang w:val="sr-Latn-ME"/>
        </w:rPr>
      </w:pPr>
    </w:p>
    <w:p w14:paraId="7C4BAA57" w14:textId="58F7E36F" w:rsidR="004D690D" w:rsidRPr="001D68EC" w:rsidRDefault="004D690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(†)Kod drugih članova grupe Enterobacterales aktivnost tigeciklina varira od nedovoljne za sojeve </w:t>
      </w:r>
      <w:r w:rsidRPr="001D68EC">
        <w:rPr>
          <w:i/>
          <w:iCs/>
          <w:szCs w:val="22"/>
          <w:lang w:val="sr-Latn-ME"/>
        </w:rPr>
        <w:t>Proteus spp., Morganella morganii i Providencia spp</w:t>
      </w:r>
      <w:r w:rsidRPr="001D68EC">
        <w:rPr>
          <w:szCs w:val="22"/>
          <w:lang w:val="sr-Latn-ME"/>
        </w:rPr>
        <w:t>. do varijabilne za ostale vrste.</w:t>
      </w:r>
    </w:p>
    <w:p w14:paraId="6F2D32DC" w14:textId="77777777" w:rsidR="007E7966" w:rsidRPr="001D68EC" w:rsidRDefault="007E7966">
      <w:pPr>
        <w:rPr>
          <w:szCs w:val="22"/>
          <w:lang w:val="sr-Latn-ME"/>
        </w:rPr>
      </w:pPr>
    </w:p>
    <w:p w14:paraId="5CF4FC1B" w14:textId="19C5E7CE" w:rsidR="00F11FB9" w:rsidRPr="001D68EC" w:rsidRDefault="00F11FB9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Za anaerobne bakterije postoji klinički dokaz o efikasnosti u polimikrobnim intraabdominalnim infekcijama,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ali ne postoji korelacija između MIK </w:t>
      </w:r>
      <w:r w:rsidR="00087654" w:rsidRPr="001D68EC">
        <w:rPr>
          <w:szCs w:val="22"/>
          <w:lang w:val="sr-Latn-ME"/>
        </w:rPr>
        <w:t>vrijednosti</w:t>
      </w:r>
      <w:r w:rsidRPr="001D68EC">
        <w:rPr>
          <w:szCs w:val="22"/>
          <w:lang w:val="sr-Latn-ME"/>
        </w:rPr>
        <w:t>, FK/FD podataka i kliničkog ishoda. Iz tog razloga 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poznate granične </w:t>
      </w:r>
      <w:r w:rsidR="00087654" w:rsidRPr="001D68EC">
        <w:rPr>
          <w:szCs w:val="22"/>
          <w:lang w:val="sr-Latn-ME"/>
        </w:rPr>
        <w:t>vrijednosti</w:t>
      </w:r>
      <w:r w:rsidRPr="001D68EC">
        <w:rPr>
          <w:szCs w:val="22"/>
          <w:lang w:val="sr-Latn-ME"/>
        </w:rPr>
        <w:t xml:space="preserve"> os</w:t>
      </w:r>
      <w:r w:rsidR="00BE454B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etljivosti. Treba napomenuti da su MIK raspodele za organizme iz rodova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i/>
          <w:szCs w:val="22"/>
          <w:lang w:val="sr-Latn-ME"/>
        </w:rPr>
        <w:t xml:space="preserve">Bacteroides </w:t>
      </w:r>
      <w:r w:rsidRPr="001D68EC">
        <w:rPr>
          <w:szCs w:val="22"/>
          <w:lang w:val="sr-Latn-ME"/>
        </w:rPr>
        <w:t xml:space="preserve">i </w:t>
      </w:r>
      <w:r w:rsidRPr="001D68EC">
        <w:rPr>
          <w:i/>
          <w:szCs w:val="22"/>
          <w:lang w:val="sr-Latn-ME"/>
        </w:rPr>
        <w:t>Clostridium</w:t>
      </w:r>
      <w:r w:rsidRPr="001D68EC">
        <w:rPr>
          <w:szCs w:val="22"/>
          <w:lang w:val="sr-Latn-ME"/>
        </w:rPr>
        <w:t xml:space="preserve"> široke i mogu uključivati </w:t>
      </w:r>
      <w:r w:rsidR="00087654" w:rsidRPr="001D68EC">
        <w:rPr>
          <w:szCs w:val="22"/>
          <w:lang w:val="sr-Latn-ME"/>
        </w:rPr>
        <w:t>vrijednosti</w:t>
      </w:r>
      <w:r w:rsidRPr="001D68EC">
        <w:rPr>
          <w:szCs w:val="22"/>
          <w:lang w:val="sr-Latn-ME"/>
        </w:rPr>
        <w:t xml:space="preserve"> od 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>ko 2 mg/L tigeciklina.</w:t>
      </w:r>
    </w:p>
    <w:p w14:paraId="3D787086" w14:textId="77777777" w:rsidR="007E7966" w:rsidRPr="001D68EC" w:rsidRDefault="007E7966">
      <w:pPr>
        <w:rPr>
          <w:szCs w:val="22"/>
          <w:lang w:val="sr-Latn-ME"/>
        </w:rPr>
      </w:pPr>
    </w:p>
    <w:p w14:paraId="180721DA" w14:textId="174AB934" w:rsidR="00F11FB9" w:rsidRPr="001D68EC" w:rsidRDefault="00F11FB9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Postoje ograničeni podaci o kliničkoj efikasnosti tigeciklina protiv enterokoka. Ipak, u kliničkim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ispitivanjima se pokazalo da polimikrobne intraabdominalne infekcije reaguju na terapiju tigeciklinom.</w:t>
      </w:r>
    </w:p>
    <w:p w14:paraId="64AA70CD" w14:textId="77777777" w:rsidR="00167B82" w:rsidRPr="001D68EC" w:rsidRDefault="00167B82">
      <w:pPr>
        <w:rPr>
          <w:szCs w:val="22"/>
          <w:lang w:val="sr-Latn-ME"/>
        </w:rPr>
      </w:pPr>
    </w:p>
    <w:p w14:paraId="79B642AF" w14:textId="0116ADC7" w:rsidR="007E7966" w:rsidRPr="001D68EC" w:rsidRDefault="007E7966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Os</w:t>
      </w:r>
      <w:r w:rsidR="005B2A36" w:rsidRPr="001D68EC">
        <w:rPr>
          <w:szCs w:val="22"/>
          <w:u w:val="single"/>
          <w:lang w:val="sr-Latn-ME"/>
        </w:rPr>
        <w:t>j</w:t>
      </w:r>
      <w:r w:rsidRPr="001D68EC">
        <w:rPr>
          <w:szCs w:val="22"/>
          <w:u w:val="single"/>
          <w:lang w:val="sr-Latn-ME"/>
        </w:rPr>
        <w:t>etljivost</w:t>
      </w:r>
    </w:p>
    <w:p w14:paraId="60292816" w14:textId="77777777" w:rsidR="007E7966" w:rsidRPr="001D68EC" w:rsidRDefault="007E7966">
      <w:pPr>
        <w:rPr>
          <w:szCs w:val="22"/>
          <w:lang w:val="sr-Latn-ME"/>
        </w:rPr>
      </w:pPr>
    </w:p>
    <w:p w14:paraId="3375B7CE" w14:textId="02E76837" w:rsidR="007E7966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Pre</w:t>
      </w:r>
      <w:r w:rsidR="007E7966" w:rsidRPr="001D68EC">
        <w:rPr>
          <w:szCs w:val="22"/>
          <w:lang w:val="sr-Latn-ME"/>
        </w:rPr>
        <w:t xml:space="preserve">valenca stečene rezistencije može geografski i </w:t>
      </w:r>
      <w:r w:rsidR="00484B49" w:rsidRPr="001D68EC">
        <w:rPr>
          <w:szCs w:val="22"/>
          <w:lang w:val="sr-Latn-ME"/>
        </w:rPr>
        <w:t>vreme</w:t>
      </w:r>
      <w:r w:rsidR="007E7966" w:rsidRPr="001D68EC">
        <w:rPr>
          <w:szCs w:val="22"/>
          <w:lang w:val="sr-Latn-ME"/>
        </w:rPr>
        <w:t>nom varirati kod određenih vrsta, pa je poželjna</w:t>
      </w:r>
      <w:r w:rsidR="00087654" w:rsidRPr="001D68EC">
        <w:rPr>
          <w:szCs w:val="22"/>
          <w:lang w:val="sr-Latn-ME"/>
        </w:rPr>
        <w:t xml:space="preserve"> </w:t>
      </w:r>
      <w:r w:rsidR="007E7966" w:rsidRPr="001D68EC">
        <w:rPr>
          <w:szCs w:val="22"/>
          <w:lang w:val="sr-Latn-ME"/>
        </w:rPr>
        <w:t xml:space="preserve">lokalna informacija o rezistenciji, naročito prilikom </w:t>
      </w:r>
      <w:r w:rsidR="0020651B" w:rsidRPr="001D68EC">
        <w:rPr>
          <w:szCs w:val="22"/>
          <w:lang w:val="sr-Latn-ME"/>
        </w:rPr>
        <w:t>liječenja</w:t>
      </w:r>
      <w:r w:rsidR="007E7966" w:rsidRPr="001D68EC">
        <w:rPr>
          <w:szCs w:val="22"/>
          <w:lang w:val="sr-Latn-ME"/>
        </w:rPr>
        <w:t xml:space="preserve"> teških infekcija. Po potrebi treba potražiti</w:t>
      </w:r>
      <w:r w:rsidR="0020651B" w:rsidRPr="001D68EC">
        <w:rPr>
          <w:szCs w:val="22"/>
          <w:lang w:val="sr-Latn-ME"/>
        </w:rPr>
        <w:t xml:space="preserve"> </w:t>
      </w:r>
      <w:r w:rsidR="007E7966" w:rsidRPr="001D68EC">
        <w:rPr>
          <w:szCs w:val="22"/>
          <w:lang w:val="sr-Latn-ME"/>
        </w:rPr>
        <w:t xml:space="preserve">mišljenje eksperta, kada je lokalna </w:t>
      </w:r>
      <w:r w:rsidRPr="001D68EC">
        <w:rPr>
          <w:szCs w:val="22"/>
          <w:lang w:val="sr-Latn-ME"/>
        </w:rPr>
        <w:t>pre</w:t>
      </w:r>
      <w:r w:rsidR="007E7966" w:rsidRPr="001D68EC">
        <w:rPr>
          <w:szCs w:val="22"/>
          <w:lang w:val="sr-Latn-ME"/>
        </w:rPr>
        <w:t xml:space="preserve">valenca rezistencije takva da je korist </w:t>
      </w:r>
      <w:r w:rsidRPr="001D68EC">
        <w:rPr>
          <w:szCs w:val="22"/>
          <w:lang w:val="sr-Latn-ME"/>
        </w:rPr>
        <w:t>lijek</w:t>
      </w:r>
      <w:r w:rsidR="007E7966" w:rsidRPr="001D68EC">
        <w:rPr>
          <w:szCs w:val="22"/>
          <w:lang w:val="sr-Latn-ME"/>
        </w:rPr>
        <w:t>a pod znakom pitanja u</w:t>
      </w:r>
      <w:r w:rsidR="0020651B" w:rsidRPr="001D68EC">
        <w:rPr>
          <w:szCs w:val="22"/>
          <w:lang w:val="sr-Latn-ME"/>
        </w:rPr>
        <w:t xml:space="preserve"> </w:t>
      </w:r>
      <w:r w:rsidR="007E7966" w:rsidRPr="001D68EC">
        <w:rPr>
          <w:szCs w:val="22"/>
          <w:lang w:val="sr-Latn-ME"/>
        </w:rPr>
        <w:t>najmanje nekoliko tipova infekcija.</w:t>
      </w:r>
    </w:p>
    <w:p w14:paraId="46191A33" w14:textId="77777777" w:rsidR="007E7966" w:rsidRPr="001D68EC" w:rsidRDefault="007E7966">
      <w:pPr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7966" w:rsidRPr="001D68EC" w14:paraId="745335E1" w14:textId="77777777" w:rsidTr="007E7966">
        <w:tc>
          <w:tcPr>
            <w:tcW w:w="9629" w:type="dxa"/>
          </w:tcPr>
          <w:p w14:paraId="4C0EF17D" w14:textId="77777777" w:rsidR="007E7966" w:rsidRPr="001D68EC" w:rsidRDefault="007E7966">
            <w:pPr>
              <w:rPr>
                <w:b/>
                <w:szCs w:val="22"/>
                <w:lang w:val="sr-Latn-ME"/>
              </w:rPr>
            </w:pPr>
            <w:r w:rsidRPr="001D68EC">
              <w:rPr>
                <w:b/>
                <w:szCs w:val="22"/>
                <w:lang w:val="sr-Latn-ME"/>
              </w:rPr>
              <w:t>Patogen</w:t>
            </w:r>
          </w:p>
        </w:tc>
      </w:tr>
      <w:tr w:rsidR="007E7966" w:rsidRPr="001D68EC" w14:paraId="3534107B" w14:textId="77777777" w:rsidTr="007E7966">
        <w:tc>
          <w:tcPr>
            <w:tcW w:w="9629" w:type="dxa"/>
          </w:tcPr>
          <w:p w14:paraId="3746E10A" w14:textId="0295AC0C" w:rsidR="007E7966" w:rsidRPr="001D68EC" w:rsidRDefault="007E7966" w:rsidP="00804889">
            <w:pPr>
              <w:rPr>
                <w:b/>
                <w:szCs w:val="22"/>
                <w:lang w:val="sr-Latn-ME"/>
              </w:rPr>
            </w:pPr>
            <w:r w:rsidRPr="001D68EC">
              <w:rPr>
                <w:b/>
                <w:szCs w:val="22"/>
                <w:lang w:val="sr-Latn-ME"/>
              </w:rPr>
              <w:t>Česte os</w:t>
            </w:r>
            <w:r w:rsidR="00087654" w:rsidRPr="001D68EC">
              <w:rPr>
                <w:b/>
                <w:szCs w:val="22"/>
                <w:lang w:val="sr-Latn-ME"/>
              </w:rPr>
              <w:t>j</w:t>
            </w:r>
            <w:r w:rsidRPr="001D68EC">
              <w:rPr>
                <w:b/>
                <w:szCs w:val="22"/>
                <w:lang w:val="sr-Latn-ME"/>
              </w:rPr>
              <w:t>etljive vrste</w:t>
            </w:r>
          </w:p>
        </w:tc>
      </w:tr>
    </w:tbl>
    <w:p w14:paraId="2968FBFA" w14:textId="77777777" w:rsidR="007E7966" w:rsidRPr="001D68EC" w:rsidRDefault="007E7966" w:rsidP="00804889">
      <w:pPr>
        <w:rPr>
          <w:szCs w:val="22"/>
          <w:lang w:val="sr-Latn-ME"/>
        </w:rPr>
      </w:pPr>
    </w:p>
    <w:p w14:paraId="3B976FA0" w14:textId="77777777" w:rsidR="007E7966" w:rsidRPr="001D68EC" w:rsidRDefault="007E7966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Gram-pozitivni aerobi</w:t>
      </w:r>
    </w:p>
    <w:p w14:paraId="3BA223BE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Enterococcus spp.†</w:t>
      </w:r>
    </w:p>
    <w:p w14:paraId="564208F6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Staphylococcus aureus*</w:t>
      </w:r>
    </w:p>
    <w:p w14:paraId="3E5EB682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Staphylococcus epidermidis</w:t>
      </w:r>
    </w:p>
    <w:p w14:paraId="528C7DB4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Staphylococcus haemolyticus</w:t>
      </w:r>
    </w:p>
    <w:p w14:paraId="72BF527B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Streptococcus agalactiae*</w:t>
      </w:r>
    </w:p>
    <w:p w14:paraId="30CC2EB2" w14:textId="77777777" w:rsidR="007E7966" w:rsidRPr="001D68EC" w:rsidRDefault="007E796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Streptococcus anginosus group* (uključujući </w:t>
      </w:r>
      <w:r w:rsidRPr="001D68EC">
        <w:rPr>
          <w:i/>
          <w:szCs w:val="22"/>
          <w:lang w:val="sr-Latn-ME"/>
        </w:rPr>
        <w:t xml:space="preserve">S. anginosus, S. intermedius </w:t>
      </w:r>
      <w:r w:rsidRPr="001D68EC">
        <w:rPr>
          <w:szCs w:val="22"/>
          <w:lang w:val="sr-Latn-ME"/>
        </w:rPr>
        <w:t>i</w:t>
      </w:r>
      <w:r w:rsidRPr="001D68EC">
        <w:rPr>
          <w:i/>
          <w:szCs w:val="22"/>
          <w:lang w:val="sr-Latn-ME"/>
        </w:rPr>
        <w:t xml:space="preserve"> S. constellatus</w:t>
      </w:r>
      <w:r w:rsidRPr="001D68EC">
        <w:rPr>
          <w:szCs w:val="22"/>
          <w:lang w:val="sr-Latn-ME"/>
        </w:rPr>
        <w:t>)</w:t>
      </w:r>
    </w:p>
    <w:p w14:paraId="24283FCD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Streptococcus pyogenes*</w:t>
      </w:r>
    </w:p>
    <w:p w14:paraId="37246CD8" w14:textId="77777777" w:rsidR="007E7966" w:rsidRPr="001D68EC" w:rsidRDefault="007E7966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Grupa </w:t>
      </w:r>
      <w:r w:rsidRPr="001D68EC">
        <w:rPr>
          <w:i/>
          <w:szCs w:val="22"/>
          <w:lang w:val="sr-Latn-ME"/>
        </w:rPr>
        <w:t>Viridans streptococci</w:t>
      </w:r>
    </w:p>
    <w:p w14:paraId="0B707E5A" w14:textId="77777777" w:rsidR="007E7966" w:rsidRPr="001D68EC" w:rsidRDefault="007E7966">
      <w:pPr>
        <w:rPr>
          <w:szCs w:val="22"/>
          <w:lang w:val="sr-Latn-ME"/>
        </w:rPr>
      </w:pPr>
    </w:p>
    <w:p w14:paraId="75ABFB0A" w14:textId="77777777" w:rsidR="00167B82" w:rsidRPr="001D68EC" w:rsidRDefault="007E7966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Gram-negativni aerobi</w:t>
      </w:r>
    </w:p>
    <w:p w14:paraId="61CA9F40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Citrobacter freundii*</w:t>
      </w:r>
    </w:p>
    <w:p w14:paraId="354C3464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Citrobacter koseri</w:t>
      </w:r>
    </w:p>
    <w:p w14:paraId="4782A783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Escherichia coli*</w:t>
      </w:r>
    </w:p>
    <w:p w14:paraId="7A61157E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Klebsiella oxytoca*</w:t>
      </w:r>
    </w:p>
    <w:p w14:paraId="798278DB" w14:textId="77777777" w:rsidR="007E7966" w:rsidRPr="001D68EC" w:rsidRDefault="007E7966">
      <w:pPr>
        <w:rPr>
          <w:szCs w:val="22"/>
          <w:u w:val="single"/>
          <w:lang w:val="sr-Latn-ME"/>
        </w:rPr>
      </w:pPr>
    </w:p>
    <w:p w14:paraId="05B583CB" w14:textId="77777777" w:rsidR="002E204C" w:rsidRDefault="002E204C">
      <w:pPr>
        <w:rPr>
          <w:szCs w:val="22"/>
          <w:u w:val="single"/>
          <w:lang w:val="sr-Latn-ME"/>
        </w:rPr>
      </w:pPr>
    </w:p>
    <w:p w14:paraId="1D6373F4" w14:textId="5726C738" w:rsidR="007E7966" w:rsidRPr="001D68EC" w:rsidRDefault="007E7966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lastRenderedPageBreak/>
        <w:t>Anaerobi</w:t>
      </w:r>
    </w:p>
    <w:p w14:paraId="0B641E00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Clostridium perfringens†</w:t>
      </w:r>
    </w:p>
    <w:p w14:paraId="1ADFAEFC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Peptostreptococcus spp.†</w:t>
      </w:r>
    </w:p>
    <w:p w14:paraId="1248A9E1" w14:textId="6863BC06" w:rsidR="007E7966" w:rsidRPr="001D68EC" w:rsidRDefault="0031263D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Prije</w:t>
      </w:r>
      <w:r w:rsidR="007E7966" w:rsidRPr="001D68EC">
        <w:rPr>
          <w:i/>
          <w:szCs w:val="22"/>
          <w:lang w:val="sr-Latn-ME"/>
        </w:rPr>
        <w:t>votella spp.</w:t>
      </w:r>
    </w:p>
    <w:p w14:paraId="08A9D649" w14:textId="77777777" w:rsidR="007E7966" w:rsidRPr="001D68EC" w:rsidRDefault="007E7966">
      <w:pPr>
        <w:rPr>
          <w:szCs w:val="22"/>
          <w:u w:val="single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7E7966" w:rsidRPr="001D68EC" w14:paraId="52322433" w14:textId="77777777" w:rsidTr="007E7966">
        <w:tc>
          <w:tcPr>
            <w:tcW w:w="9629" w:type="dxa"/>
          </w:tcPr>
          <w:p w14:paraId="768E752D" w14:textId="77777777" w:rsidR="007E7966" w:rsidRPr="001D68EC" w:rsidRDefault="007E7966">
            <w:pPr>
              <w:rPr>
                <w:b/>
                <w:szCs w:val="22"/>
                <w:lang w:val="sr-Latn-ME"/>
              </w:rPr>
            </w:pPr>
            <w:r w:rsidRPr="001D68EC">
              <w:rPr>
                <w:b/>
                <w:szCs w:val="22"/>
                <w:lang w:val="sr-Latn-ME"/>
              </w:rPr>
              <w:t>Vrste kod kojih stečena rezistencija može biti problem</w:t>
            </w:r>
          </w:p>
        </w:tc>
      </w:tr>
    </w:tbl>
    <w:p w14:paraId="68A3A53F" w14:textId="77777777" w:rsidR="007E7966" w:rsidRPr="001D68EC" w:rsidRDefault="007E7966" w:rsidP="00804889">
      <w:pPr>
        <w:rPr>
          <w:szCs w:val="22"/>
          <w:u w:val="single"/>
          <w:lang w:val="sr-Latn-ME"/>
        </w:rPr>
      </w:pPr>
    </w:p>
    <w:p w14:paraId="6907513A" w14:textId="77777777" w:rsidR="007E7966" w:rsidRPr="001D68EC" w:rsidRDefault="007E7966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Gram-negativni aerobi</w:t>
      </w:r>
    </w:p>
    <w:p w14:paraId="58C41B20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Acinetobacter baumannii</w:t>
      </w:r>
    </w:p>
    <w:p w14:paraId="76517A88" w14:textId="77777777" w:rsidR="007E7966" w:rsidRPr="001D68EC" w:rsidRDefault="007E7966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Burkholderia cepacia</w:t>
      </w:r>
    </w:p>
    <w:p w14:paraId="2ED6A06E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Enterobacter aerogenes</w:t>
      </w:r>
    </w:p>
    <w:p w14:paraId="7AD55A86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Enterobacter cloacae *</w:t>
      </w:r>
    </w:p>
    <w:p w14:paraId="65FEBA38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Klebsiella pneumoniae*</w:t>
      </w:r>
    </w:p>
    <w:p w14:paraId="783AD3C7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Morganella morganii</w:t>
      </w:r>
    </w:p>
    <w:p w14:paraId="03DB668B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Proteus spp.</w:t>
      </w:r>
    </w:p>
    <w:p w14:paraId="12F98FAE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Providencia spp.</w:t>
      </w:r>
    </w:p>
    <w:p w14:paraId="0B09CDFF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Serratia marcescens</w:t>
      </w:r>
    </w:p>
    <w:p w14:paraId="12306391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Stenotrophomonas maltophilia</w:t>
      </w:r>
    </w:p>
    <w:p w14:paraId="6568606E" w14:textId="77777777" w:rsidR="00830627" w:rsidRPr="001D68EC" w:rsidRDefault="00830627">
      <w:pPr>
        <w:rPr>
          <w:i/>
          <w:szCs w:val="22"/>
          <w:lang w:val="sr-Latn-ME"/>
        </w:rPr>
      </w:pPr>
    </w:p>
    <w:p w14:paraId="704842FC" w14:textId="77777777" w:rsidR="00830627" w:rsidRPr="001D68EC" w:rsidRDefault="00830627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Anaerobi</w:t>
      </w:r>
    </w:p>
    <w:p w14:paraId="1F3EB463" w14:textId="77777777" w:rsidR="00830627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Bacteroides fragilis group†</w:t>
      </w:r>
    </w:p>
    <w:p w14:paraId="439AF0BD" w14:textId="77777777" w:rsidR="00830627" w:rsidRPr="001D68EC" w:rsidRDefault="00830627">
      <w:pPr>
        <w:rPr>
          <w:i/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0627" w:rsidRPr="001D68EC" w14:paraId="1C2E9ACA" w14:textId="77777777" w:rsidTr="00830627">
        <w:tc>
          <w:tcPr>
            <w:tcW w:w="9629" w:type="dxa"/>
          </w:tcPr>
          <w:p w14:paraId="2A125409" w14:textId="77777777" w:rsidR="00830627" w:rsidRPr="001D68EC" w:rsidRDefault="00830627">
            <w:pPr>
              <w:rPr>
                <w:b/>
                <w:szCs w:val="22"/>
                <w:lang w:val="sr-Latn-ME"/>
              </w:rPr>
            </w:pPr>
            <w:r w:rsidRPr="001D68EC">
              <w:rPr>
                <w:b/>
                <w:szCs w:val="22"/>
                <w:lang w:val="sr-Latn-ME"/>
              </w:rPr>
              <w:t>Prirodno rezistentni ogranizmi</w:t>
            </w:r>
          </w:p>
        </w:tc>
      </w:tr>
    </w:tbl>
    <w:p w14:paraId="42F4EFBB" w14:textId="77777777" w:rsidR="00830627" w:rsidRPr="001D68EC" w:rsidRDefault="00830627" w:rsidP="00804889">
      <w:pPr>
        <w:rPr>
          <w:szCs w:val="22"/>
          <w:lang w:val="sr-Latn-ME"/>
        </w:rPr>
      </w:pPr>
    </w:p>
    <w:p w14:paraId="499DA330" w14:textId="77777777" w:rsidR="00830627" w:rsidRPr="001D68EC" w:rsidRDefault="00830627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Gram-negativni aerobi</w:t>
      </w:r>
    </w:p>
    <w:p w14:paraId="3F8A4280" w14:textId="77777777" w:rsidR="00167B82" w:rsidRPr="001D68EC" w:rsidRDefault="00830627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Pseudomonas aeruginosa</w:t>
      </w:r>
    </w:p>
    <w:p w14:paraId="36260F14" w14:textId="77777777" w:rsidR="00167B82" w:rsidRPr="001D68EC" w:rsidRDefault="00167B82">
      <w:pPr>
        <w:rPr>
          <w:i/>
          <w:szCs w:val="22"/>
          <w:lang w:val="sr-Latn-ME"/>
        </w:rPr>
      </w:pPr>
    </w:p>
    <w:p w14:paraId="6D1D3F4A" w14:textId="77777777" w:rsidR="006E3658" w:rsidRPr="001D68EC" w:rsidRDefault="006E3658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* označava vrste za koje se smatra da im je aktivnost dovoljno pokazana u kliničkim ispitivanjima</w:t>
      </w:r>
    </w:p>
    <w:p w14:paraId="1611EF99" w14:textId="46101A69" w:rsidR="006E3658" w:rsidRPr="001D68EC" w:rsidRDefault="006E3658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† 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5.1, Granične </w:t>
      </w:r>
      <w:r w:rsidR="00087654" w:rsidRPr="001D68EC">
        <w:rPr>
          <w:szCs w:val="22"/>
          <w:lang w:val="sr-Latn-ME"/>
        </w:rPr>
        <w:t>vrijednosti</w:t>
      </w:r>
    </w:p>
    <w:p w14:paraId="492181D8" w14:textId="77777777" w:rsidR="006E3658" w:rsidRPr="001D68EC" w:rsidRDefault="006E3658">
      <w:pPr>
        <w:rPr>
          <w:szCs w:val="22"/>
          <w:lang w:val="sr-Latn-ME"/>
        </w:rPr>
      </w:pPr>
    </w:p>
    <w:p w14:paraId="257F1D54" w14:textId="735D974E" w:rsidR="006E3658" w:rsidRPr="001D68EC" w:rsidRDefault="006E3658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E</w:t>
      </w:r>
      <w:r w:rsidR="0031263D" w:rsidRPr="001D68EC">
        <w:rPr>
          <w:szCs w:val="22"/>
          <w:u w:val="single"/>
          <w:lang w:val="sr-Latn-ME"/>
        </w:rPr>
        <w:t>lek</w:t>
      </w:r>
      <w:r w:rsidRPr="001D68EC">
        <w:rPr>
          <w:szCs w:val="22"/>
          <w:u w:val="single"/>
          <w:lang w:val="sr-Latn-ME"/>
        </w:rPr>
        <w:t>trofiziologija srca</w:t>
      </w:r>
    </w:p>
    <w:p w14:paraId="1894DB89" w14:textId="77777777" w:rsidR="006E3658" w:rsidRPr="001D68EC" w:rsidRDefault="006E3658">
      <w:pPr>
        <w:rPr>
          <w:szCs w:val="22"/>
          <w:u w:val="single"/>
          <w:lang w:val="sr-Latn-ME"/>
        </w:rPr>
      </w:pPr>
    </w:p>
    <w:p w14:paraId="5D4181AD" w14:textId="27E145A2" w:rsidR="006E3658" w:rsidRPr="001D68EC" w:rsidRDefault="0031263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Primjena</w:t>
      </w:r>
      <w:r w:rsidR="006E3658" w:rsidRPr="001D68EC">
        <w:rPr>
          <w:szCs w:val="22"/>
          <w:lang w:val="sr-Latn-ME"/>
        </w:rPr>
        <w:t xml:space="preserve"> pojedinačne doze tigeciklina od 50 mg ili 200 mg intravenski nije imala značajan uticaj na QTc</w:t>
      </w:r>
      <w:r w:rsidR="0020651B" w:rsidRPr="001D68EC">
        <w:rPr>
          <w:szCs w:val="22"/>
          <w:lang w:val="sr-Latn-ME"/>
        </w:rPr>
        <w:t xml:space="preserve"> </w:t>
      </w:r>
      <w:r w:rsidR="006E3658" w:rsidRPr="001D68EC">
        <w:rPr>
          <w:szCs w:val="22"/>
          <w:lang w:val="sr-Latn-ME"/>
        </w:rPr>
        <w:t xml:space="preserve">interval u randomizovanom, placebo i aktivnim </w:t>
      </w:r>
      <w:r w:rsidRPr="001D68EC">
        <w:rPr>
          <w:szCs w:val="22"/>
          <w:lang w:val="sr-Latn-ME"/>
        </w:rPr>
        <w:t>lijek</w:t>
      </w:r>
      <w:r w:rsidR="006E3658" w:rsidRPr="001D68EC">
        <w:rPr>
          <w:szCs w:val="22"/>
          <w:lang w:val="sr-Latn-ME"/>
        </w:rPr>
        <w:t>om kontrolisanom ukrštenom ispitivanju QTc intervala</w:t>
      </w:r>
      <w:r w:rsidR="0024109D" w:rsidRPr="001D68EC">
        <w:rPr>
          <w:szCs w:val="22"/>
          <w:lang w:val="sr-Latn-ME"/>
        </w:rPr>
        <w:t xml:space="preserve"> </w:t>
      </w:r>
      <w:r w:rsidR="006E3658" w:rsidRPr="001D68EC">
        <w:rPr>
          <w:szCs w:val="22"/>
          <w:lang w:val="sr-Latn-ME"/>
        </w:rPr>
        <w:t>koje je sprovedeno na 46 zdravih ispitanika u četiri grupe.</w:t>
      </w:r>
    </w:p>
    <w:p w14:paraId="3518AA48" w14:textId="77777777" w:rsidR="006E3658" w:rsidRPr="001D68EC" w:rsidRDefault="006E3658">
      <w:pPr>
        <w:rPr>
          <w:szCs w:val="22"/>
          <w:lang w:val="sr-Latn-ME"/>
        </w:rPr>
      </w:pPr>
    </w:p>
    <w:p w14:paraId="0E495D3B" w14:textId="77777777" w:rsidR="006E3658" w:rsidRPr="001D68EC" w:rsidRDefault="006E3658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Pedijatrijska populacija</w:t>
      </w:r>
    </w:p>
    <w:p w14:paraId="2F8A6871" w14:textId="77777777" w:rsidR="006E3658" w:rsidRPr="001D68EC" w:rsidRDefault="006E3658">
      <w:pPr>
        <w:rPr>
          <w:szCs w:val="22"/>
          <w:u w:val="single"/>
          <w:lang w:val="sr-Latn-ME"/>
        </w:rPr>
      </w:pPr>
    </w:p>
    <w:p w14:paraId="79CEF1F8" w14:textId="585A9C2E" w:rsidR="006E3658" w:rsidRPr="001D68EC" w:rsidRDefault="006E3658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U otvorenoj studiji, sa postupnim povećanjem višestrukih doza, 39 </w:t>
      </w:r>
      <w:r w:rsidR="00A14810" w:rsidRPr="001D68EC">
        <w:rPr>
          <w:szCs w:val="22"/>
          <w:lang w:val="sr-Latn-ME"/>
        </w:rPr>
        <w:t>djece</w:t>
      </w:r>
      <w:r w:rsidRPr="001D68EC">
        <w:rPr>
          <w:szCs w:val="22"/>
          <w:lang w:val="sr-Latn-ME"/>
        </w:rPr>
        <w:t xml:space="preserve"> uzrasta od 8 do 11 godina sa cIAI ili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cSSTI, primalo je tigeciklin (0,75; 1 ili 1,25 mg/kg). Svi pacijenti su primali tigeciklin intravenski najmanje</w:t>
      </w:r>
      <w:r w:rsidR="0008765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3 uzastopna dana do najviše 14 uzastopnih dana, sa opcijom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laska na oralni antibiotik četvrtog dana ili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posle 4 dana.</w:t>
      </w:r>
    </w:p>
    <w:p w14:paraId="1325A5EA" w14:textId="77777777" w:rsidR="006E3658" w:rsidRPr="001D68EC" w:rsidRDefault="006E3658">
      <w:pPr>
        <w:rPr>
          <w:szCs w:val="22"/>
          <w:lang w:val="sr-Latn-ME"/>
        </w:rPr>
      </w:pPr>
    </w:p>
    <w:p w14:paraId="41DEEAEF" w14:textId="27268274" w:rsidR="00167B82" w:rsidRPr="001D68EC" w:rsidRDefault="006E3658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Klinički ishod je proc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enjivan između 10 i 21 dana nakon prim</w:t>
      </w:r>
      <w:r w:rsidR="0008765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poslednje terapijske doze. Prikaz kliničkih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odgovora u modifikovanim rezultatima populacije svih pacijenata uključenih u kliničko ispitivanje (engl.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modified intent-to-treat - mITT) je dat u sledećoj tabeli.</w:t>
      </w:r>
    </w:p>
    <w:p w14:paraId="1FE7AA58" w14:textId="77777777" w:rsidR="00167B82" w:rsidRPr="001D68EC" w:rsidRDefault="00167B82">
      <w:pPr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6E3658" w:rsidRPr="001D68EC" w14:paraId="3783CDBE" w14:textId="77777777" w:rsidTr="00C71162">
        <w:tc>
          <w:tcPr>
            <w:tcW w:w="9629" w:type="dxa"/>
            <w:gridSpan w:val="4"/>
          </w:tcPr>
          <w:p w14:paraId="157EAB71" w14:textId="77777777" w:rsidR="006E3658" w:rsidRPr="001D68EC" w:rsidRDefault="006E3658">
            <w:pPr>
              <w:rPr>
                <w:b/>
                <w:szCs w:val="22"/>
                <w:lang w:val="sr-Latn-ME"/>
              </w:rPr>
            </w:pPr>
            <w:r w:rsidRPr="001D68EC">
              <w:rPr>
                <w:b/>
                <w:szCs w:val="22"/>
                <w:lang w:val="sr-Latn-ME"/>
              </w:rPr>
              <w:t>Klinički ishod, mITT populacija</w:t>
            </w:r>
          </w:p>
        </w:tc>
      </w:tr>
      <w:tr w:rsidR="006E3658" w:rsidRPr="001D68EC" w14:paraId="6E56BC9A" w14:textId="77777777" w:rsidTr="006E3658">
        <w:tc>
          <w:tcPr>
            <w:tcW w:w="2407" w:type="dxa"/>
          </w:tcPr>
          <w:p w14:paraId="5678B4A2" w14:textId="77777777" w:rsidR="006E3658" w:rsidRPr="001D68EC" w:rsidRDefault="006E3658" w:rsidP="00804889">
            <w:pPr>
              <w:rPr>
                <w:szCs w:val="22"/>
                <w:lang w:val="sr-Latn-ME"/>
              </w:rPr>
            </w:pPr>
          </w:p>
        </w:tc>
        <w:tc>
          <w:tcPr>
            <w:tcW w:w="2407" w:type="dxa"/>
          </w:tcPr>
          <w:p w14:paraId="6FB6970C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0,75 mg/kg </w:t>
            </w:r>
          </w:p>
        </w:tc>
        <w:tc>
          <w:tcPr>
            <w:tcW w:w="2407" w:type="dxa"/>
          </w:tcPr>
          <w:p w14:paraId="4ACD8C4A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1 mg/kg</w:t>
            </w:r>
          </w:p>
        </w:tc>
        <w:tc>
          <w:tcPr>
            <w:tcW w:w="2408" w:type="dxa"/>
          </w:tcPr>
          <w:p w14:paraId="4A8BC022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1,25 mg/kg</w:t>
            </w:r>
          </w:p>
        </w:tc>
      </w:tr>
      <w:tr w:rsidR="006E3658" w:rsidRPr="001D68EC" w14:paraId="0F9B8C92" w14:textId="77777777" w:rsidTr="006E3658">
        <w:tc>
          <w:tcPr>
            <w:tcW w:w="2407" w:type="dxa"/>
          </w:tcPr>
          <w:p w14:paraId="108E6180" w14:textId="77777777" w:rsidR="006E3658" w:rsidRPr="001D68EC" w:rsidRDefault="006E3658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Indikacija </w:t>
            </w:r>
          </w:p>
        </w:tc>
        <w:tc>
          <w:tcPr>
            <w:tcW w:w="2407" w:type="dxa"/>
          </w:tcPr>
          <w:p w14:paraId="413F2139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n/N (%)</w:t>
            </w:r>
          </w:p>
        </w:tc>
        <w:tc>
          <w:tcPr>
            <w:tcW w:w="2407" w:type="dxa"/>
          </w:tcPr>
          <w:p w14:paraId="2DEA6A9D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n/N (%)</w:t>
            </w:r>
          </w:p>
        </w:tc>
        <w:tc>
          <w:tcPr>
            <w:tcW w:w="2408" w:type="dxa"/>
          </w:tcPr>
          <w:p w14:paraId="1508D9E3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n/N (%)</w:t>
            </w:r>
          </w:p>
        </w:tc>
      </w:tr>
      <w:tr w:rsidR="006E3658" w:rsidRPr="001D68EC" w14:paraId="1EAD1D97" w14:textId="77777777" w:rsidTr="006E3658">
        <w:tc>
          <w:tcPr>
            <w:tcW w:w="2407" w:type="dxa"/>
          </w:tcPr>
          <w:p w14:paraId="5D6C6BDE" w14:textId="77777777" w:rsidR="006E3658" w:rsidRPr="001D68EC" w:rsidRDefault="006E3658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cIAI </w:t>
            </w:r>
          </w:p>
        </w:tc>
        <w:tc>
          <w:tcPr>
            <w:tcW w:w="2407" w:type="dxa"/>
          </w:tcPr>
          <w:p w14:paraId="237311A5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6/6 (100,0)</w:t>
            </w:r>
          </w:p>
        </w:tc>
        <w:tc>
          <w:tcPr>
            <w:tcW w:w="2407" w:type="dxa"/>
          </w:tcPr>
          <w:p w14:paraId="1078B34C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3/6 (50,0)</w:t>
            </w:r>
          </w:p>
        </w:tc>
        <w:tc>
          <w:tcPr>
            <w:tcW w:w="2408" w:type="dxa"/>
          </w:tcPr>
          <w:p w14:paraId="0183219C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10/12 (83,3)</w:t>
            </w:r>
          </w:p>
        </w:tc>
      </w:tr>
      <w:tr w:rsidR="006E3658" w:rsidRPr="001D68EC" w14:paraId="7BFBD59C" w14:textId="77777777" w:rsidTr="006E3658">
        <w:tc>
          <w:tcPr>
            <w:tcW w:w="2407" w:type="dxa"/>
          </w:tcPr>
          <w:p w14:paraId="7254DB02" w14:textId="77777777" w:rsidR="006E3658" w:rsidRPr="001D68EC" w:rsidRDefault="006E3658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cSSTI </w:t>
            </w:r>
          </w:p>
        </w:tc>
        <w:tc>
          <w:tcPr>
            <w:tcW w:w="2407" w:type="dxa"/>
          </w:tcPr>
          <w:p w14:paraId="3C62C710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3/4 (75,0)</w:t>
            </w:r>
          </w:p>
        </w:tc>
        <w:tc>
          <w:tcPr>
            <w:tcW w:w="2407" w:type="dxa"/>
          </w:tcPr>
          <w:p w14:paraId="347B7F43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5/7 (71,4)</w:t>
            </w:r>
          </w:p>
        </w:tc>
        <w:tc>
          <w:tcPr>
            <w:tcW w:w="2408" w:type="dxa"/>
          </w:tcPr>
          <w:p w14:paraId="00CE0E00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2/4 (50,0)</w:t>
            </w:r>
          </w:p>
        </w:tc>
      </w:tr>
      <w:tr w:rsidR="006E3658" w:rsidRPr="001D68EC" w14:paraId="44F5A905" w14:textId="77777777" w:rsidTr="006E3658">
        <w:tc>
          <w:tcPr>
            <w:tcW w:w="2407" w:type="dxa"/>
          </w:tcPr>
          <w:p w14:paraId="073ECA0C" w14:textId="77777777" w:rsidR="006E3658" w:rsidRPr="001D68EC" w:rsidRDefault="006E3658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Ukupno </w:t>
            </w:r>
          </w:p>
        </w:tc>
        <w:tc>
          <w:tcPr>
            <w:tcW w:w="2407" w:type="dxa"/>
          </w:tcPr>
          <w:p w14:paraId="0ED9DD7E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9/10 (90,0)</w:t>
            </w:r>
          </w:p>
        </w:tc>
        <w:tc>
          <w:tcPr>
            <w:tcW w:w="2407" w:type="dxa"/>
          </w:tcPr>
          <w:p w14:paraId="5712E7EA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8/13 (62,0)</w:t>
            </w:r>
          </w:p>
        </w:tc>
        <w:tc>
          <w:tcPr>
            <w:tcW w:w="2408" w:type="dxa"/>
          </w:tcPr>
          <w:p w14:paraId="0B57DE3E" w14:textId="77777777" w:rsidR="006E3658" w:rsidRPr="001D68EC" w:rsidRDefault="006E3658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12/16 (75,0)</w:t>
            </w:r>
          </w:p>
        </w:tc>
      </w:tr>
    </w:tbl>
    <w:p w14:paraId="1F61FD02" w14:textId="77777777" w:rsidR="00167B82" w:rsidRPr="001D68EC" w:rsidRDefault="00167B82" w:rsidP="00804889">
      <w:pPr>
        <w:rPr>
          <w:szCs w:val="22"/>
          <w:lang w:val="sr-Latn-ME"/>
        </w:rPr>
      </w:pPr>
    </w:p>
    <w:p w14:paraId="7DF3906B" w14:textId="2ED5E328" w:rsidR="00170CEF" w:rsidRPr="001D68EC" w:rsidRDefault="00170CE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Podatke o efikasnosti koji su navedeni u tabeli gore treba uzeti u razmatranje sa </w:t>
      </w:r>
      <w:r w:rsidR="00484B49" w:rsidRPr="001D68EC">
        <w:rPr>
          <w:szCs w:val="22"/>
          <w:lang w:val="sr-Latn-ME"/>
        </w:rPr>
        <w:t>oprez</w:t>
      </w:r>
      <w:r w:rsidRPr="001D68EC">
        <w:rPr>
          <w:szCs w:val="22"/>
          <w:lang w:val="sr-Latn-ME"/>
        </w:rPr>
        <w:t>om jer je u ovom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ispitivanju bila dopuštena isto</w:t>
      </w:r>
      <w:r w:rsidR="00484B49" w:rsidRPr="001D68EC">
        <w:rPr>
          <w:szCs w:val="22"/>
          <w:lang w:val="sr-Latn-ME"/>
        </w:rPr>
        <w:t>vrijeme</w:t>
      </w:r>
      <w:r w:rsidRPr="001D68EC">
        <w:rPr>
          <w:szCs w:val="22"/>
          <w:lang w:val="sr-Latn-ME"/>
        </w:rPr>
        <w:t>na upotreba više antibiotika. Uz to, mali broj pacijenata takođe treba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uzeti u obzir.</w:t>
      </w:r>
    </w:p>
    <w:p w14:paraId="677E56AB" w14:textId="77777777" w:rsidR="00170CEF" w:rsidRPr="001D68EC" w:rsidRDefault="00170CEF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lastRenderedPageBreak/>
        <w:t>5.2. Farmakokinetički podaci</w:t>
      </w:r>
    </w:p>
    <w:p w14:paraId="74CFC31F" w14:textId="77777777" w:rsidR="00B6651A" w:rsidRPr="001D68EC" w:rsidRDefault="00B6651A">
      <w:pPr>
        <w:rPr>
          <w:szCs w:val="22"/>
          <w:u w:val="single"/>
          <w:lang w:val="sr-Latn-ME"/>
        </w:rPr>
      </w:pPr>
    </w:p>
    <w:p w14:paraId="617D76C5" w14:textId="77777777" w:rsidR="00170CEF" w:rsidRPr="001D68EC" w:rsidRDefault="00170CEF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Resorpcija</w:t>
      </w:r>
    </w:p>
    <w:p w14:paraId="25423CCF" w14:textId="77777777" w:rsidR="00B6651A" w:rsidRPr="001D68EC" w:rsidRDefault="00B6651A">
      <w:pPr>
        <w:rPr>
          <w:szCs w:val="22"/>
          <w:u w:val="single"/>
          <w:lang w:val="sr-Latn-ME"/>
        </w:rPr>
      </w:pPr>
    </w:p>
    <w:p w14:paraId="7923917C" w14:textId="25E95828" w:rsidR="00167B82" w:rsidRPr="001D68EC" w:rsidRDefault="00170CEF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Tigeciklin se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enjuje intravenski, pa mu je bioraspoloživost 100%.</w:t>
      </w:r>
    </w:p>
    <w:p w14:paraId="71A5A27C" w14:textId="77777777" w:rsidR="005B2A36" w:rsidRPr="001D68EC" w:rsidRDefault="005B2A36">
      <w:pPr>
        <w:rPr>
          <w:szCs w:val="22"/>
          <w:u w:val="single"/>
          <w:lang w:val="sr-Latn-ME"/>
        </w:rPr>
      </w:pPr>
    </w:p>
    <w:p w14:paraId="64913C67" w14:textId="5E154930" w:rsidR="00C71162" w:rsidRPr="001D68EC" w:rsidRDefault="00C71162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Distribucija</w:t>
      </w:r>
    </w:p>
    <w:p w14:paraId="32C72D16" w14:textId="77777777" w:rsidR="00C71162" w:rsidRPr="001D68EC" w:rsidRDefault="00C71162">
      <w:pPr>
        <w:rPr>
          <w:szCs w:val="22"/>
          <w:u w:val="single"/>
          <w:lang w:val="sr-Latn-ME"/>
        </w:rPr>
      </w:pPr>
    </w:p>
    <w:p w14:paraId="12DDD65F" w14:textId="10803763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 in vitro uslovima, tigeciklin se vezuje za proteine plazme od oko 71% do 89%, u koncentracijama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posmatranim u kliničkim ispitivanjima (0,1 do 1,0 mikrogram/m</w:t>
      </w:r>
      <w:r w:rsidR="004D690D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>). Farmakokinetička ispitivanja na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životinjama i ljudima su pokazala da se tigeciklin brzo distribuira u tkiva.</w:t>
      </w:r>
    </w:p>
    <w:p w14:paraId="6375BEEB" w14:textId="77777777" w:rsidR="00C71162" w:rsidRPr="001D68EC" w:rsidRDefault="00C71162">
      <w:pPr>
        <w:rPr>
          <w:szCs w:val="22"/>
          <w:lang w:val="sr-Latn-ME"/>
        </w:rPr>
      </w:pPr>
    </w:p>
    <w:p w14:paraId="4650E515" w14:textId="730A9B64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Prim</w:t>
      </w:r>
      <w:r w:rsidR="005B2A3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enom pojedinačne doze ili ponovljenim doziranjem </w:t>
      </w:r>
      <w:r w:rsidRPr="001D68EC">
        <w:rPr>
          <w:szCs w:val="22"/>
          <w:vertAlign w:val="superscript"/>
          <w:lang w:val="sr-Latn-ME"/>
        </w:rPr>
        <w:t>14</w:t>
      </w:r>
      <w:r w:rsidRPr="001D68EC">
        <w:rPr>
          <w:szCs w:val="22"/>
          <w:lang w:val="sr-Latn-ME"/>
        </w:rPr>
        <w:t>C-tigeciklina kod pacova, radioaktivnost je bila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dobro distribuirana u većinu tkiva, pri čemu je najveća ukupna izloženost prim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ećena u koštanoj srži,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pljuvačnim žlezdama, tiroidnoj žlezdi, slezini i bubrezima. Kod ljudi, u stanju ravnoteže, volumen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distribucije tigeciklina se kretao od 500 do 700 </w:t>
      </w:r>
      <w:r w:rsidR="004D690D" w:rsidRPr="001D68EC">
        <w:rPr>
          <w:szCs w:val="22"/>
          <w:lang w:val="sr-Latn-ME"/>
        </w:rPr>
        <w:t xml:space="preserve">l </w:t>
      </w:r>
      <w:r w:rsidRPr="001D68EC">
        <w:rPr>
          <w:szCs w:val="22"/>
          <w:lang w:val="sr-Latn-ME"/>
        </w:rPr>
        <w:t xml:space="preserve">(7 do 9 </w:t>
      </w:r>
      <w:r w:rsidR="004D690D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>/kg), što pokazuje da se tigeciklin obimno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distribuira izvan volumena plazme i koncentriše u tkivima.</w:t>
      </w:r>
    </w:p>
    <w:p w14:paraId="287138DD" w14:textId="77777777" w:rsidR="00C71162" w:rsidRPr="001D68EC" w:rsidRDefault="00C71162">
      <w:pPr>
        <w:rPr>
          <w:szCs w:val="22"/>
          <w:lang w:val="sr-Latn-ME"/>
        </w:rPr>
      </w:pPr>
    </w:p>
    <w:p w14:paraId="1A9F2EC9" w14:textId="77777777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Ne postoje podaci o tome da li tigeciklin prolazi hematoencefalnu barijeru kod ljudi.</w:t>
      </w:r>
    </w:p>
    <w:p w14:paraId="040B39A0" w14:textId="199941B4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 kliničkim farmakološkim ispitivanjima koja su koristila režim doziranja terapije od 100 mg, a zatim 50 mg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na 12 sati, vr</w:t>
      </w:r>
      <w:r w:rsidR="00855F21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 Cmax tigeciklina u serumu u stanju ravnoteže je bila 866 ± 233 nanogram/mL kod infuzije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od 30 minuta i 634 ± 97 nanogram/mL kod infuzije od 60 minuta. Vr</w:t>
      </w:r>
      <w:r w:rsidR="00855F21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 PIK</w:t>
      </w:r>
      <w:r w:rsidRPr="001D68EC">
        <w:rPr>
          <w:szCs w:val="22"/>
          <w:vertAlign w:val="subscript"/>
          <w:lang w:val="sr-Latn-ME"/>
        </w:rPr>
        <w:t xml:space="preserve">0-12h </w:t>
      </w:r>
      <w:r w:rsidRPr="001D68EC">
        <w:rPr>
          <w:szCs w:val="22"/>
          <w:lang w:val="sr-Latn-ME"/>
        </w:rPr>
        <w:t>u stanju ravnoteže je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bila 2349 ± 850 nanogram x h/m</w:t>
      </w:r>
      <w:r w:rsidR="004D690D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>.</w:t>
      </w:r>
    </w:p>
    <w:p w14:paraId="3DAE5544" w14:textId="77777777" w:rsidR="00C71162" w:rsidRPr="001D68EC" w:rsidRDefault="00C71162">
      <w:pPr>
        <w:rPr>
          <w:szCs w:val="22"/>
          <w:lang w:val="sr-Latn-ME"/>
        </w:rPr>
      </w:pPr>
    </w:p>
    <w:p w14:paraId="6409D6A3" w14:textId="77777777" w:rsidR="00C71162" w:rsidRPr="001D68EC" w:rsidRDefault="00C71162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Biotransformacija</w:t>
      </w:r>
    </w:p>
    <w:p w14:paraId="687C093F" w14:textId="77777777" w:rsidR="00C71162" w:rsidRPr="001D68EC" w:rsidRDefault="00C71162">
      <w:pPr>
        <w:rPr>
          <w:szCs w:val="22"/>
          <w:u w:val="single"/>
          <w:lang w:val="sr-Latn-ME"/>
        </w:rPr>
      </w:pPr>
    </w:p>
    <w:p w14:paraId="3F8F0DAA" w14:textId="2FDBA117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 pros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eku, proc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enjeno je da se manje od 20% tigeciklina metaboliše 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 xml:space="preserve"> ekskrecije. Kod zdravih muških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dobrovoljaca, prateći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enu </w:t>
      </w:r>
      <w:r w:rsidRPr="001D68EC">
        <w:rPr>
          <w:szCs w:val="22"/>
          <w:vertAlign w:val="superscript"/>
          <w:lang w:val="sr-Latn-ME"/>
        </w:rPr>
        <w:t>14</w:t>
      </w:r>
      <w:r w:rsidRPr="001D68EC">
        <w:rPr>
          <w:szCs w:val="22"/>
          <w:lang w:val="sr-Latn-ME"/>
        </w:rPr>
        <w:t xml:space="preserve">C-tigeciklina, u urinu i fecesu je od </w:t>
      </w:r>
      <w:r w:rsidRPr="001D68EC">
        <w:rPr>
          <w:szCs w:val="22"/>
          <w:vertAlign w:val="superscript"/>
          <w:lang w:val="sr-Latn-ME"/>
        </w:rPr>
        <w:t>14</w:t>
      </w:r>
      <w:r w:rsidRPr="001D68EC">
        <w:rPr>
          <w:szCs w:val="22"/>
          <w:lang w:val="sr-Latn-ME"/>
        </w:rPr>
        <w:t>C-označenog materijala nađen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primarno tigeciklin u nepromenjenom obliku, ali su bili prisutni i glukuronid, N-acetil metabolit i epimer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tigeciklina.</w:t>
      </w:r>
    </w:p>
    <w:p w14:paraId="6E0BF79D" w14:textId="77777777" w:rsidR="00C71162" w:rsidRPr="001D68EC" w:rsidRDefault="00C71162">
      <w:pPr>
        <w:rPr>
          <w:szCs w:val="22"/>
          <w:lang w:val="sr-Latn-ME"/>
        </w:rPr>
      </w:pPr>
    </w:p>
    <w:p w14:paraId="257D6B13" w14:textId="626C23D8" w:rsidR="00C71162" w:rsidRPr="001D68EC" w:rsidRDefault="00C71162">
      <w:pPr>
        <w:rPr>
          <w:szCs w:val="22"/>
          <w:lang w:val="sr-Latn-ME"/>
        </w:rPr>
      </w:pPr>
      <w:r w:rsidRPr="001D68EC">
        <w:rPr>
          <w:i/>
          <w:szCs w:val="22"/>
          <w:lang w:val="sr-Latn-ME"/>
        </w:rPr>
        <w:t>In vitro</w:t>
      </w:r>
      <w:r w:rsidRPr="001D68EC">
        <w:rPr>
          <w:lang w:val="sr-Latn-ME"/>
        </w:rPr>
        <w:t xml:space="preserve"> </w:t>
      </w:r>
      <w:r w:rsidRPr="001D68EC">
        <w:rPr>
          <w:szCs w:val="22"/>
          <w:lang w:val="sr-Latn-ME"/>
        </w:rPr>
        <w:t>ispitivanja na humanim mikrozomima jetre pokazuju da tigeciklin kompetitivnom inhibicijom ne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inhibira metabolizam posredovan bilo kojim od sledećih 6 izoformi citohroma P450 (CYP): 1A2, 2C8, 2C9,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2C19, 2D6 i 3A4. Pored toga, tigeciklin nije pokazao NADPH-zavisnu inhibiciju CYP2C9, CYP2C19,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CYP2D6 i CYP3A, što ukazuje na odsustvo mehanizma inhibicije ovih CYP enzima.</w:t>
      </w:r>
    </w:p>
    <w:p w14:paraId="57816D40" w14:textId="77777777" w:rsidR="00C71162" w:rsidRPr="001D68EC" w:rsidRDefault="00C71162">
      <w:pPr>
        <w:rPr>
          <w:szCs w:val="22"/>
          <w:lang w:val="sr-Latn-ME"/>
        </w:rPr>
      </w:pPr>
    </w:p>
    <w:p w14:paraId="1B4916AE" w14:textId="77777777" w:rsidR="00C71162" w:rsidRPr="001D68EC" w:rsidRDefault="00C71162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t>Eliminacija</w:t>
      </w:r>
    </w:p>
    <w:p w14:paraId="5DF7D04D" w14:textId="77777777" w:rsidR="00C71162" w:rsidRPr="001D68EC" w:rsidRDefault="00C71162">
      <w:pPr>
        <w:rPr>
          <w:szCs w:val="22"/>
          <w:u w:val="single"/>
          <w:lang w:val="sr-Latn-ME"/>
        </w:rPr>
      </w:pPr>
    </w:p>
    <w:p w14:paraId="792118A7" w14:textId="1E1C6586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Nakon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ene </w:t>
      </w:r>
      <w:r w:rsidRPr="001D68EC">
        <w:rPr>
          <w:szCs w:val="22"/>
          <w:vertAlign w:val="superscript"/>
          <w:lang w:val="sr-Latn-ME"/>
        </w:rPr>
        <w:t>14</w:t>
      </w:r>
      <w:r w:rsidRPr="001D68EC">
        <w:rPr>
          <w:szCs w:val="22"/>
          <w:lang w:val="sr-Latn-ME"/>
        </w:rPr>
        <w:t>C-tigeciklina, ud</w:t>
      </w:r>
      <w:r w:rsidR="001B3AA6" w:rsidRPr="001D68EC">
        <w:rPr>
          <w:szCs w:val="22"/>
          <w:lang w:val="sr-Latn-ME"/>
        </w:rPr>
        <w:t>i</w:t>
      </w:r>
      <w:r w:rsidRPr="001D68EC">
        <w:rPr>
          <w:szCs w:val="22"/>
          <w:lang w:val="sr-Latn-ME"/>
        </w:rPr>
        <w:t xml:space="preserve">o od ukupne radioaktivne </w:t>
      </w:r>
      <w:r w:rsidR="00087654" w:rsidRPr="001D68EC">
        <w:rPr>
          <w:szCs w:val="22"/>
          <w:lang w:val="sr-Latn-ME"/>
        </w:rPr>
        <w:t>vrijednosti</w:t>
      </w:r>
      <w:r w:rsidRPr="001D68EC">
        <w:rPr>
          <w:szCs w:val="22"/>
          <w:lang w:val="sr-Latn-ME"/>
        </w:rPr>
        <w:t xml:space="preserve"> u urinu i fecesu pokazuje da se 59%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doze eliminiše putem žuči/fecesa, a 33% ekskretuje urinom. Dakle, primarni put eliminacije tigeciklina je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putem žuči u nepromenjenom obliku. Glukuronidacija i renalna ekskrecija tigeciklina u neprom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enjenom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obliku </w:t>
      </w:r>
      <w:r w:rsidR="0031263D" w:rsidRPr="001D68EC">
        <w:rPr>
          <w:szCs w:val="22"/>
          <w:lang w:val="sr-Latn-ME"/>
        </w:rPr>
        <w:t>pr</w:t>
      </w:r>
      <w:r w:rsidR="004345B6" w:rsidRPr="001D68EC">
        <w:rPr>
          <w:szCs w:val="22"/>
          <w:lang w:val="sr-Latn-ME"/>
        </w:rPr>
        <w:t>e</w:t>
      </w:r>
      <w:r w:rsidRPr="001D68EC">
        <w:rPr>
          <w:szCs w:val="22"/>
          <w:lang w:val="sr-Latn-ME"/>
        </w:rPr>
        <w:t>dstavljaju sekundarni put eliminacije tigeciklina.</w:t>
      </w:r>
    </w:p>
    <w:p w14:paraId="05BBAE51" w14:textId="77777777" w:rsidR="00EE79DF" w:rsidRPr="001D68EC" w:rsidRDefault="00EE79DF">
      <w:pPr>
        <w:rPr>
          <w:szCs w:val="22"/>
          <w:lang w:val="sr-Latn-ME"/>
        </w:rPr>
      </w:pPr>
    </w:p>
    <w:p w14:paraId="59858F9D" w14:textId="66B00682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Ukupan klirens tigeciklina je 24 </w:t>
      </w:r>
      <w:r w:rsidR="004D690D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/h, nakon intravenske infuzije. Renalni klirens 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>dstavlja otprilike 13% od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ukupnog klirensa. Tigeciklin pokazuje polieksponencijalnu eliminaciju iz seruma sa vr</w:t>
      </w:r>
      <w:r w:rsidR="004345B6" w:rsidRPr="001D68EC">
        <w:rPr>
          <w:szCs w:val="22"/>
          <w:lang w:val="sr-Latn-ME"/>
        </w:rPr>
        <w:t>ije</w:t>
      </w:r>
      <w:r w:rsidRPr="001D68EC">
        <w:rPr>
          <w:szCs w:val="22"/>
          <w:lang w:val="sr-Latn-ME"/>
        </w:rPr>
        <w:t>dnošću terminalnog</w:t>
      </w:r>
      <w:r w:rsidR="004345B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polu</w:t>
      </w:r>
      <w:r w:rsidR="00484B49" w:rsidRPr="001D68EC">
        <w:rPr>
          <w:szCs w:val="22"/>
          <w:lang w:val="sr-Latn-ME"/>
        </w:rPr>
        <w:t>vrijeme</w:t>
      </w:r>
      <w:r w:rsidRPr="001D68EC">
        <w:rPr>
          <w:szCs w:val="22"/>
          <w:lang w:val="sr-Latn-ME"/>
        </w:rPr>
        <w:t>na eliminacije nakon ponovljenog doziranja od 42 sata, mada postoji velika interindividualna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varijabilnost.</w:t>
      </w:r>
    </w:p>
    <w:p w14:paraId="73E370DE" w14:textId="77777777" w:rsidR="00EE79DF" w:rsidRPr="001D68EC" w:rsidRDefault="00EE79DF">
      <w:pPr>
        <w:rPr>
          <w:szCs w:val="22"/>
          <w:lang w:val="sr-Latn-ME"/>
        </w:rPr>
      </w:pPr>
    </w:p>
    <w:p w14:paraId="1319C623" w14:textId="6E5B0100" w:rsidR="00C71162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U </w:t>
      </w:r>
      <w:r w:rsidRPr="001D68EC">
        <w:rPr>
          <w:i/>
          <w:szCs w:val="22"/>
          <w:lang w:val="sr-Latn-ME"/>
        </w:rPr>
        <w:t>in vitro</w:t>
      </w:r>
      <w:r w:rsidRPr="001D68EC">
        <w:rPr>
          <w:szCs w:val="22"/>
          <w:lang w:val="sr-Latn-ME"/>
        </w:rPr>
        <w:t xml:space="preserve"> studijama na Caco-2 ćelijama pokazano je da tigeciklin ne inhibira ulazak digoksina u ćeliju,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ukazujući da tigeciklin nije inhibitor P-glikoproteina (P-gp). Ovaj podatak iz </w:t>
      </w:r>
      <w:r w:rsidRPr="001D68EC">
        <w:rPr>
          <w:i/>
          <w:szCs w:val="22"/>
          <w:lang w:val="sr-Latn-ME"/>
        </w:rPr>
        <w:t>in vitro</w:t>
      </w:r>
      <w:r w:rsidRPr="001D68EC">
        <w:rPr>
          <w:szCs w:val="22"/>
          <w:lang w:val="sr-Latn-ME"/>
        </w:rPr>
        <w:t xml:space="preserve"> studija u skladu je sa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nedostatkom dejstva tigeciklina na klirens digoksina što je opisano u </w:t>
      </w:r>
      <w:r w:rsidRPr="001D68EC">
        <w:rPr>
          <w:i/>
          <w:szCs w:val="22"/>
          <w:lang w:val="sr-Latn-ME"/>
        </w:rPr>
        <w:t>in vivo</w:t>
      </w:r>
      <w:r w:rsidRPr="001D68EC">
        <w:rPr>
          <w:szCs w:val="22"/>
          <w:lang w:val="sr-Latn-ME"/>
        </w:rPr>
        <w:t xml:space="preserve"> studijama interakcije </w:t>
      </w:r>
      <w:r w:rsidR="00484B49" w:rsidRPr="001D68EC">
        <w:rPr>
          <w:szCs w:val="22"/>
          <w:lang w:val="sr-Latn-ME"/>
        </w:rPr>
        <w:t>ljekova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4.5).</w:t>
      </w:r>
    </w:p>
    <w:p w14:paraId="5ED2FA44" w14:textId="77777777" w:rsidR="00F94D71" w:rsidRPr="001D68EC" w:rsidRDefault="00F94D71">
      <w:pPr>
        <w:rPr>
          <w:szCs w:val="22"/>
          <w:lang w:val="sr-Latn-ME"/>
        </w:rPr>
      </w:pPr>
    </w:p>
    <w:p w14:paraId="1BF5D21D" w14:textId="426F84B2" w:rsidR="00F94D71" w:rsidRPr="001D68EC" w:rsidRDefault="00C71162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Podaci </w:t>
      </w:r>
      <w:r w:rsidRPr="001D68EC">
        <w:rPr>
          <w:i/>
          <w:szCs w:val="22"/>
          <w:lang w:val="sr-Latn-ME"/>
        </w:rPr>
        <w:t>in vitro</w:t>
      </w:r>
      <w:r w:rsidRPr="001D68EC">
        <w:rPr>
          <w:szCs w:val="22"/>
          <w:lang w:val="sr-Latn-ME"/>
        </w:rPr>
        <w:t xml:space="preserve"> studije na ćelijskoj liniji sa povećanom eks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>sijom P-glikoproteina ukazuju da je tigeciklin</w:t>
      </w:r>
      <w:r w:rsidR="005C15DF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 xml:space="preserve">supstrat P-glikoproteina. Mogući uticaj P-gp posredovanog transporta na dispoziciju tigeciklina </w:t>
      </w:r>
      <w:r w:rsidR="00F94D71" w:rsidRPr="001D68EC">
        <w:rPr>
          <w:i/>
          <w:szCs w:val="22"/>
          <w:lang w:val="sr-Latn-ME"/>
        </w:rPr>
        <w:t>in vivo</w:t>
      </w:r>
      <w:r w:rsidR="00F94D71" w:rsidRPr="001D68EC">
        <w:rPr>
          <w:szCs w:val="22"/>
          <w:lang w:val="sr-Latn-ME"/>
        </w:rPr>
        <w:t xml:space="preserve"> nije</w:t>
      </w:r>
      <w:r w:rsidR="0020651B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poznat. Isto</w:t>
      </w:r>
      <w:r w:rsidR="00484B49" w:rsidRPr="001D68EC">
        <w:rPr>
          <w:szCs w:val="22"/>
          <w:lang w:val="sr-Latn-ME"/>
        </w:rPr>
        <w:t>vreme</w:t>
      </w:r>
      <w:r w:rsidR="00F94D71" w:rsidRPr="001D68EC">
        <w:rPr>
          <w:szCs w:val="22"/>
          <w:lang w:val="sr-Latn-ME"/>
        </w:rPr>
        <w:t xml:space="preserve">na </w:t>
      </w:r>
      <w:r w:rsidR="0031263D" w:rsidRPr="001D68EC">
        <w:rPr>
          <w:szCs w:val="22"/>
          <w:lang w:val="sr-Latn-ME"/>
        </w:rPr>
        <w:t>primjena</w:t>
      </w:r>
      <w:r w:rsidR="00F94D71" w:rsidRPr="001D68EC">
        <w:rPr>
          <w:szCs w:val="22"/>
          <w:lang w:val="sr-Latn-ME"/>
        </w:rPr>
        <w:t xml:space="preserve"> sa inhibitorima P-glikoproteina (npr. ketokonazol ili ciklosporin) ili</w:t>
      </w:r>
      <w:r w:rsidR="005B2A36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induktorima</w:t>
      </w:r>
      <w:r w:rsidR="005B2A36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P-glikoproteina (npr. rifampicin) može uticati na farmakokinetiku tigeciklina.</w:t>
      </w:r>
    </w:p>
    <w:p w14:paraId="408A71E2" w14:textId="77777777" w:rsidR="00F94D71" w:rsidRPr="001D68EC" w:rsidRDefault="00F94D71">
      <w:pPr>
        <w:rPr>
          <w:szCs w:val="22"/>
          <w:lang w:val="sr-Latn-ME"/>
        </w:rPr>
      </w:pPr>
    </w:p>
    <w:p w14:paraId="1A3FD2A8" w14:textId="77777777" w:rsidR="00F94D71" w:rsidRPr="001D68EC" w:rsidRDefault="00F94D71">
      <w:pPr>
        <w:rPr>
          <w:szCs w:val="22"/>
          <w:u w:val="single"/>
          <w:lang w:val="sr-Latn-ME"/>
        </w:rPr>
      </w:pPr>
      <w:r w:rsidRPr="001D68EC">
        <w:rPr>
          <w:szCs w:val="22"/>
          <w:u w:val="single"/>
          <w:lang w:val="sr-Latn-ME"/>
        </w:rPr>
        <w:lastRenderedPageBreak/>
        <w:t>Posebne populacije</w:t>
      </w:r>
    </w:p>
    <w:p w14:paraId="1D812B8F" w14:textId="77777777" w:rsidR="00F94D71" w:rsidRPr="001D68EC" w:rsidRDefault="00F94D71">
      <w:pPr>
        <w:rPr>
          <w:szCs w:val="22"/>
          <w:u w:val="single"/>
          <w:lang w:val="sr-Latn-ME"/>
        </w:rPr>
      </w:pPr>
    </w:p>
    <w:p w14:paraId="7F70CD16" w14:textId="77777777" w:rsidR="00F94D71" w:rsidRPr="001D68EC" w:rsidRDefault="00F94D71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Oštećenje funkcije jetre</w:t>
      </w:r>
    </w:p>
    <w:p w14:paraId="5361D9F0" w14:textId="6B8098CF" w:rsidR="00F94D71" w:rsidRPr="001D68EC" w:rsidRDefault="004D690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Farmakokinetička raspoloživost</w:t>
      </w:r>
      <w:r w:rsidR="00F94D71" w:rsidRPr="001D68EC">
        <w:rPr>
          <w:szCs w:val="22"/>
          <w:lang w:val="sr-Latn-ME"/>
        </w:rPr>
        <w:t xml:space="preserve"> tigeciklina nakon pojedinačne doze nije promenjena kod pacijenata sa blagim oštećenjem</w:t>
      </w:r>
      <w:r w:rsidR="005B2A36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funkcije jetre. Ipak, sistemski klirens tigeciklina je smanjen za 25 % odnosno 55 %, a polu</w:t>
      </w:r>
      <w:r w:rsidR="00484B49" w:rsidRPr="001D68EC">
        <w:rPr>
          <w:szCs w:val="22"/>
          <w:lang w:val="sr-Latn-ME"/>
        </w:rPr>
        <w:t>vrijeme</w:t>
      </w:r>
      <w:r w:rsidR="00F94D71" w:rsidRPr="001D68EC">
        <w:rPr>
          <w:szCs w:val="22"/>
          <w:lang w:val="sr-Latn-ME"/>
        </w:rPr>
        <w:t xml:space="preserve"> eliminacije</w:t>
      </w:r>
      <w:r w:rsidR="005B2A36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tigeciklina je produženo za 23% odnosno 43% kod pacijenata sa umerenim ili teškim oštećenjem funkcije</w:t>
      </w:r>
      <w:r w:rsidR="005B2A36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jetre (Child Pugh B i C), respektivno (</w:t>
      </w:r>
      <w:r w:rsidR="005B2A36" w:rsidRPr="001D68EC">
        <w:rPr>
          <w:szCs w:val="22"/>
          <w:lang w:val="sr-Latn-ME"/>
        </w:rPr>
        <w:t>pogledati</w:t>
      </w:r>
      <w:r w:rsidR="00F94D71"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="00F94D71" w:rsidRPr="001D68EC">
        <w:rPr>
          <w:szCs w:val="22"/>
          <w:lang w:val="sr-Latn-ME"/>
        </w:rPr>
        <w:t xml:space="preserve"> 4.2).</w:t>
      </w:r>
    </w:p>
    <w:p w14:paraId="6BF2A14E" w14:textId="77777777" w:rsidR="00F94D71" w:rsidRPr="001D68EC" w:rsidRDefault="00F94D71">
      <w:pPr>
        <w:rPr>
          <w:szCs w:val="22"/>
          <w:lang w:val="sr-Latn-ME"/>
        </w:rPr>
      </w:pPr>
    </w:p>
    <w:p w14:paraId="5623145C" w14:textId="77777777" w:rsidR="00F94D71" w:rsidRPr="001D68EC" w:rsidRDefault="00F94D71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Oštećenje funkcije bubrega</w:t>
      </w:r>
    </w:p>
    <w:p w14:paraId="1B4C150F" w14:textId="798956CB" w:rsidR="00F94D71" w:rsidRPr="001D68EC" w:rsidRDefault="004D690D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Farmakokinetička raspoloživost</w:t>
      </w:r>
      <w:r w:rsidR="00F94D71" w:rsidRPr="001D68EC">
        <w:rPr>
          <w:szCs w:val="22"/>
          <w:lang w:val="sr-Latn-ME"/>
        </w:rPr>
        <w:t xml:space="preserve"> pojedinačne doze tigeciklina nije prom</w:t>
      </w:r>
      <w:r w:rsidR="004345B6" w:rsidRPr="001D68EC">
        <w:rPr>
          <w:szCs w:val="22"/>
          <w:lang w:val="sr-Latn-ME"/>
        </w:rPr>
        <w:t>ij</w:t>
      </w:r>
      <w:r w:rsidR="00F94D71" w:rsidRPr="001D68EC">
        <w:rPr>
          <w:szCs w:val="22"/>
          <w:lang w:val="sr-Latn-ME"/>
        </w:rPr>
        <w:t>enjena kod pacijenata sa insuficijencijom bubrega (klirens</w:t>
      </w:r>
      <w:r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kreatinina &lt; 30 m</w:t>
      </w:r>
      <w:r w:rsidRPr="001D68EC">
        <w:rPr>
          <w:szCs w:val="22"/>
          <w:lang w:val="sr-Latn-ME"/>
        </w:rPr>
        <w:t>l</w:t>
      </w:r>
      <w:r w:rsidR="00F94D71" w:rsidRPr="001D68EC">
        <w:rPr>
          <w:szCs w:val="22"/>
          <w:lang w:val="sr-Latn-ME"/>
        </w:rPr>
        <w:t>/min, n = 6). Kod ozbiljnih oštećenja funkcije bubrega, vr</w:t>
      </w:r>
      <w:r w:rsidR="00855F21" w:rsidRPr="001D68EC">
        <w:rPr>
          <w:szCs w:val="22"/>
          <w:lang w:val="sr-Latn-ME"/>
        </w:rPr>
        <w:t>ij</w:t>
      </w:r>
      <w:r w:rsidR="00F94D71" w:rsidRPr="001D68EC">
        <w:rPr>
          <w:szCs w:val="22"/>
          <w:lang w:val="sr-Latn-ME"/>
        </w:rPr>
        <w:t>ednost PIK je bila 30% veća u</w:t>
      </w:r>
      <w:r w:rsidR="0024109D" w:rsidRPr="001D68EC">
        <w:rPr>
          <w:szCs w:val="22"/>
          <w:lang w:val="sr-Latn-ME"/>
        </w:rPr>
        <w:t xml:space="preserve"> </w:t>
      </w:r>
      <w:r w:rsidR="00F94D71" w:rsidRPr="001D68EC">
        <w:rPr>
          <w:szCs w:val="22"/>
          <w:lang w:val="sr-Latn-ME"/>
        </w:rPr>
        <w:t>odnosu na ispitanike sa normalnom renalnom funkcijom (</w:t>
      </w:r>
      <w:r w:rsidR="005B2A36" w:rsidRPr="001D68EC">
        <w:rPr>
          <w:szCs w:val="22"/>
          <w:lang w:val="sr-Latn-ME"/>
        </w:rPr>
        <w:t>pogledati</w:t>
      </w:r>
      <w:r w:rsidR="00F94D71"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="00F94D71" w:rsidRPr="001D68EC">
        <w:rPr>
          <w:szCs w:val="22"/>
          <w:lang w:val="sr-Latn-ME"/>
        </w:rPr>
        <w:t xml:space="preserve"> 4.2).</w:t>
      </w:r>
    </w:p>
    <w:p w14:paraId="50D0A695" w14:textId="77777777" w:rsidR="00F94D71" w:rsidRPr="001D68EC" w:rsidRDefault="00F94D71">
      <w:pPr>
        <w:rPr>
          <w:szCs w:val="22"/>
          <w:lang w:val="sr-Latn-ME"/>
        </w:rPr>
      </w:pPr>
    </w:p>
    <w:p w14:paraId="6F937C91" w14:textId="77777777" w:rsidR="00F94D71" w:rsidRPr="001D68EC" w:rsidRDefault="00F94D71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Stariji pacijenti</w:t>
      </w:r>
    </w:p>
    <w:p w14:paraId="1B6249DF" w14:textId="4E680363" w:rsidR="00F94D71" w:rsidRPr="001D68EC" w:rsidRDefault="00F94D7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 prim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ećene razlike u farmakokinetici između zdravih starijih ispitanika i mlađih ispitanika (</w:t>
      </w:r>
      <w:r w:rsidR="005B2A36" w:rsidRPr="001D68EC">
        <w:rPr>
          <w:szCs w:val="22"/>
          <w:lang w:val="sr-Latn-ME"/>
        </w:rPr>
        <w:t xml:space="preserve">pogledati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4.2).</w:t>
      </w:r>
    </w:p>
    <w:p w14:paraId="24B8A8CF" w14:textId="77777777" w:rsidR="00F94D71" w:rsidRPr="001D68EC" w:rsidRDefault="00F94D71">
      <w:pPr>
        <w:rPr>
          <w:szCs w:val="22"/>
          <w:lang w:val="sr-Latn-ME"/>
        </w:rPr>
      </w:pPr>
    </w:p>
    <w:p w14:paraId="5B30DAE6" w14:textId="77777777" w:rsidR="00F94D71" w:rsidRPr="001D68EC" w:rsidRDefault="00F94D71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Pedijatrijska populacija</w:t>
      </w:r>
    </w:p>
    <w:p w14:paraId="6FAE6F66" w14:textId="0A8CFB24" w:rsidR="00F94D71" w:rsidRPr="001D68EC" w:rsidRDefault="00F94D7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Farmakokinetika tigeciklina je ispitivana u dve studije. Prva studija je uključivala d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ecu uzrasta 8 - 16 godina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(n = 24) koja su primila jednu dozu tigeciklina (0,5; 1 ili 2 mg/kg do maksimalne doze od 50 mg, 100 mg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odnosno 150 mg) intravenski tokom 30 minuta. Druga studija je uključivala d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ecu uzrasta 8 do 11 godina koja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su primala višestruke doze tigeciklina (0,75; 1 ili 1,25 mg/kg do maksimalne doze od 50 mg) na svakih 12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časova intravenski tokom 30 minuta. Udarna doza nije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enjivana u ovoj studiji. Farmakokinetički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parametri su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dstavljeni u tabeli ispod.</w:t>
      </w:r>
    </w:p>
    <w:p w14:paraId="11F4A10E" w14:textId="77777777" w:rsidR="00167B82" w:rsidRPr="001D68EC" w:rsidRDefault="00167B82">
      <w:pPr>
        <w:rPr>
          <w:szCs w:val="22"/>
          <w:lang w:val="sr-Latn-M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F94D71" w:rsidRPr="001D68EC" w14:paraId="771B4F90" w14:textId="77777777" w:rsidTr="00477DA1">
        <w:tc>
          <w:tcPr>
            <w:tcW w:w="9629" w:type="dxa"/>
            <w:gridSpan w:val="4"/>
          </w:tcPr>
          <w:p w14:paraId="70D35972" w14:textId="057F2505" w:rsidR="00F94D71" w:rsidRPr="001D68EC" w:rsidRDefault="00F94D71">
            <w:pPr>
              <w:rPr>
                <w:b/>
                <w:szCs w:val="22"/>
                <w:lang w:val="sr-Latn-ME"/>
              </w:rPr>
            </w:pPr>
            <w:r w:rsidRPr="001D68EC">
              <w:rPr>
                <w:b/>
                <w:szCs w:val="22"/>
                <w:lang w:val="sr-Latn-ME"/>
              </w:rPr>
              <w:t>Standardizovane doze</w:t>
            </w:r>
            <w:r w:rsidRPr="001D68EC">
              <w:rPr>
                <w:b/>
                <w:lang w:val="sr-Latn-ME"/>
              </w:rPr>
              <w:t xml:space="preserve"> </w:t>
            </w:r>
            <w:r w:rsidRPr="001D68EC">
              <w:rPr>
                <w:b/>
                <w:szCs w:val="22"/>
                <w:lang w:val="sr-Latn-ME"/>
              </w:rPr>
              <w:t>tigeciklina na srednju vr</w:t>
            </w:r>
            <w:r w:rsidR="00855F21" w:rsidRPr="001D68EC">
              <w:rPr>
                <w:b/>
                <w:szCs w:val="22"/>
                <w:lang w:val="sr-Latn-ME"/>
              </w:rPr>
              <w:t>ij</w:t>
            </w:r>
            <w:r w:rsidRPr="001D68EC">
              <w:rPr>
                <w:b/>
                <w:szCs w:val="22"/>
                <w:lang w:val="sr-Latn-ME"/>
              </w:rPr>
              <w:t xml:space="preserve">ednost 1 mg/kg ± SD, Cmax i PIK kod </w:t>
            </w:r>
            <w:r w:rsidR="00A14810" w:rsidRPr="001D68EC">
              <w:rPr>
                <w:b/>
                <w:szCs w:val="22"/>
                <w:lang w:val="sr-Latn-ME"/>
              </w:rPr>
              <w:t>djece</w:t>
            </w:r>
          </w:p>
        </w:tc>
      </w:tr>
      <w:tr w:rsidR="00F94D71" w:rsidRPr="001D68EC" w14:paraId="400DC0E2" w14:textId="77777777" w:rsidTr="00F94D71">
        <w:tc>
          <w:tcPr>
            <w:tcW w:w="2407" w:type="dxa"/>
          </w:tcPr>
          <w:p w14:paraId="6DC84FE8" w14:textId="77777777" w:rsidR="00F94D71" w:rsidRPr="001D68EC" w:rsidRDefault="00F94D71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Uzrast (godine) </w:t>
            </w:r>
          </w:p>
        </w:tc>
        <w:tc>
          <w:tcPr>
            <w:tcW w:w="2407" w:type="dxa"/>
          </w:tcPr>
          <w:p w14:paraId="38AE5637" w14:textId="77777777" w:rsidR="00F94D71" w:rsidRPr="001D68EC" w:rsidRDefault="00F94D71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N</w:t>
            </w:r>
          </w:p>
        </w:tc>
        <w:tc>
          <w:tcPr>
            <w:tcW w:w="2407" w:type="dxa"/>
          </w:tcPr>
          <w:p w14:paraId="132E5B38" w14:textId="77777777" w:rsidR="00F94D71" w:rsidRPr="001D68EC" w:rsidRDefault="00F94D71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Cmax (nanogram/mL)</w:t>
            </w:r>
          </w:p>
        </w:tc>
        <w:tc>
          <w:tcPr>
            <w:tcW w:w="2408" w:type="dxa"/>
          </w:tcPr>
          <w:p w14:paraId="746E21A6" w14:textId="77777777" w:rsidR="00F94D71" w:rsidRPr="001D68EC" w:rsidRDefault="00F94D71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PIK (nanogram x h/mL)*</w:t>
            </w:r>
          </w:p>
        </w:tc>
      </w:tr>
      <w:tr w:rsidR="00F94D71" w:rsidRPr="001D68EC" w14:paraId="67427F76" w14:textId="77777777" w:rsidTr="00F94D71">
        <w:tc>
          <w:tcPr>
            <w:tcW w:w="2407" w:type="dxa"/>
          </w:tcPr>
          <w:p w14:paraId="6AAD8760" w14:textId="77777777" w:rsidR="00F94D71" w:rsidRPr="001D68EC" w:rsidRDefault="00F94D71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Pojedinačna doza</w:t>
            </w:r>
          </w:p>
        </w:tc>
        <w:tc>
          <w:tcPr>
            <w:tcW w:w="2407" w:type="dxa"/>
          </w:tcPr>
          <w:p w14:paraId="1E2F4F95" w14:textId="77777777" w:rsidR="00F94D71" w:rsidRPr="001D68EC" w:rsidRDefault="00F94D71">
            <w:pPr>
              <w:rPr>
                <w:szCs w:val="22"/>
                <w:lang w:val="sr-Latn-ME"/>
              </w:rPr>
            </w:pPr>
          </w:p>
        </w:tc>
        <w:tc>
          <w:tcPr>
            <w:tcW w:w="2407" w:type="dxa"/>
          </w:tcPr>
          <w:p w14:paraId="180CDB93" w14:textId="77777777" w:rsidR="00F94D71" w:rsidRPr="001D68EC" w:rsidRDefault="00F94D71">
            <w:pPr>
              <w:rPr>
                <w:szCs w:val="22"/>
                <w:lang w:val="sr-Latn-ME"/>
              </w:rPr>
            </w:pPr>
          </w:p>
        </w:tc>
        <w:tc>
          <w:tcPr>
            <w:tcW w:w="2408" w:type="dxa"/>
          </w:tcPr>
          <w:p w14:paraId="40506514" w14:textId="77777777" w:rsidR="00F94D71" w:rsidRPr="001D68EC" w:rsidRDefault="00F94D71">
            <w:pPr>
              <w:rPr>
                <w:szCs w:val="22"/>
                <w:lang w:val="sr-Latn-ME"/>
              </w:rPr>
            </w:pPr>
          </w:p>
        </w:tc>
      </w:tr>
      <w:tr w:rsidR="00F94D71" w:rsidRPr="001D68EC" w14:paraId="524BD10C" w14:textId="77777777" w:rsidTr="00DD22CF">
        <w:trPr>
          <w:trHeight w:val="155"/>
        </w:trPr>
        <w:tc>
          <w:tcPr>
            <w:tcW w:w="2407" w:type="dxa"/>
          </w:tcPr>
          <w:p w14:paraId="7D20D1D7" w14:textId="77777777" w:rsidR="00F94D71" w:rsidRPr="001D68EC" w:rsidRDefault="00F94D71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8 – 11 </w:t>
            </w:r>
          </w:p>
        </w:tc>
        <w:tc>
          <w:tcPr>
            <w:tcW w:w="2407" w:type="dxa"/>
          </w:tcPr>
          <w:p w14:paraId="6F1F2E99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8</w:t>
            </w:r>
          </w:p>
        </w:tc>
        <w:tc>
          <w:tcPr>
            <w:tcW w:w="2407" w:type="dxa"/>
          </w:tcPr>
          <w:p w14:paraId="1A4B896A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3881 ± 6637</w:t>
            </w:r>
          </w:p>
        </w:tc>
        <w:tc>
          <w:tcPr>
            <w:tcW w:w="2408" w:type="dxa"/>
          </w:tcPr>
          <w:p w14:paraId="5EE3554A" w14:textId="77777777" w:rsidR="00F94D71" w:rsidRPr="001D68EC" w:rsidRDefault="00F94D71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4034 ± 2874</w:t>
            </w:r>
          </w:p>
        </w:tc>
      </w:tr>
      <w:tr w:rsidR="00F94D71" w:rsidRPr="001D68EC" w14:paraId="34B69F1E" w14:textId="77777777" w:rsidTr="00F94D71">
        <w:tc>
          <w:tcPr>
            <w:tcW w:w="2407" w:type="dxa"/>
          </w:tcPr>
          <w:p w14:paraId="419F990B" w14:textId="77777777" w:rsidR="00F94D71" w:rsidRPr="001D68EC" w:rsidRDefault="00DD22CF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12 – 16 </w:t>
            </w:r>
          </w:p>
        </w:tc>
        <w:tc>
          <w:tcPr>
            <w:tcW w:w="2407" w:type="dxa"/>
          </w:tcPr>
          <w:p w14:paraId="22BF131D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16</w:t>
            </w:r>
          </w:p>
        </w:tc>
        <w:tc>
          <w:tcPr>
            <w:tcW w:w="2407" w:type="dxa"/>
          </w:tcPr>
          <w:p w14:paraId="174D0A64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8508 ± 11433</w:t>
            </w:r>
          </w:p>
        </w:tc>
        <w:tc>
          <w:tcPr>
            <w:tcW w:w="2408" w:type="dxa"/>
          </w:tcPr>
          <w:p w14:paraId="0194636B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7026 ± 4088</w:t>
            </w:r>
          </w:p>
        </w:tc>
      </w:tr>
      <w:tr w:rsidR="00DD22CF" w:rsidRPr="001D68EC" w14:paraId="59D36FC6" w14:textId="77777777" w:rsidTr="00477DA1">
        <w:tc>
          <w:tcPr>
            <w:tcW w:w="9629" w:type="dxa"/>
            <w:gridSpan w:val="4"/>
          </w:tcPr>
          <w:p w14:paraId="5D0311EC" w14:textId="77777777" w:rsidR="00DD22CF" w:rsidRPr="001D68EC" w:rsidRDefault="00DD22CF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Višestruka doza</w:t>
            </w:r>
          </w:p>
        </w:tc>
      </w:tr>
      <w:tr w:rsidR="00F94D71" w:rsidRPr="001D68EC" w14:paraId="3DDE835E" w14:textId="77777777" w:rsidTr="00F94D71">
        <w:tc>
          <w:tcPr>
            <w:tcW w:w="2407" w:type="dxa"/>
          </w:tcPr>
          <w:p w14:paraId="1F73E9C8" w14:textId="77777777" w:rsidR="00F94D71" w:rsidRPr="001D68EC" w:rsidRDefault="00DD22CF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 xml:space="preserve">8 – 11 </w:t>
            </w:r>
          </w:p>
        </w:tc>
        <w:tc>
          <w:tcPr>
            <w:tcW w:w="2407" w:type="dxa"/>
          </w:tcPr>
          <w:p w14:paraId="3CDC51E2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42</w:t>
            </w:r>
          </w:p>
        </w:tc>
        <w:tc>
          <w:tcPr>
            <w:tcW w:w="2407" w:type="dxa"/>
          </w:tcPr>
          <w:p w14:paraId="6B3E15BA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1911 ± 3032</w:t>
            </w:r>
          </w:p>
        </w:tc>
        <w:tc>
          <w:tcPr>
            <w:tcW w:w="2408" w:type="dxa"/>
          </w:tcPr>
          <w:p w14:paraId="47D47D7A" w14:textId="77777777" w:rsidR="00F94D71" w:rsidRPr="001D68EC" w:rsidRDefault="00DD22CF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2404 ± 1000</w:t>
            </w:r>
          </w:p>
        </w:tc>
      </w:tr>
      <w:tr w:rsidR="00DD22CF" w:rsidRPr="001D68EC" w14:paraId="0A491071" w14:textId="77777777" w:rsidTr="00477DA1">
        <w:tc>
          <w:tcPr>
            <w:tcW w:w="9629" w:type="dxa"/>
            <w:gridSpan w:val="4"/>
          </w:tcPr>
          <w:p w14:paraId="1C628305" w14:textId="77777777" w:rsidR="00DD22CF" w:rsidRPr="001D68EC" w:rsidRDefault="00DD22CF" w:rsidP="00804889">
            <w:pPr>
              <w:rPr>
                <w:szCs w:val="22"/>
                <w:lang w:val="sr-Latn-ME"/>
              </w:rPr>
            </w:pPr>
            <w:r w:rsidRPr="001D68EC">
              <w:rPr>
                <w:szCs w:val="22"/>
                <w:lang w:val="sr-Latn-ME"/>
              </w:rPr>
              <w:t>* PIK</w:t>
            </w:r>
            <w:r w:rsidRPr="001D68EC">
              <w:rPr>
                <w:szCs w:val="22"/>
                <w:vertAlign w:val="subscript"/>
                <w:lang w:val="sr-Latn-ME"/>
              </w:rPr>
              <w:t>0-∞</w:t>
            </w:r>
            <w:r w:rsidRPr="001D68EC">
              <w:rPr>
                <w:szCs w:val="22"/>
                <w:lang w:val="sr-Latn-ME"/>
              </w:rPr>
              <w:t xml:space="preserve"> za pojedinačnu dozu, PIK</w:t>
            </w:r>
            <w:r w:rsidRPr="001D68EC">
              <w:rPr>
                <w:szCs w:val="22"/>
                <w:vertAlign w:val="subscript"/>
                <w:lang w:val="sr-Latn-ME"/>
              </w:rPr>
              <w:t xml:space="preserve">0-12h </w:t>
            </w:r>
            <w:r w:rsidRPr="001D68EC">
              <w:rPr>
                <w:szCs w:val="22"/>
                <w:lang w:val="sr-Latn-ME"/>
              </w:rPr>
              <w:t>za višestruke doze</w:t>
            </w:r>
          </w:p>
        </w:tc>
      </w:tr>
    </w:tbl>
    <w:p w14:paraId="30086651" w14:textId="77777777" w:rsidR="00167B82" w:rsidRPr="001D68EC" w:rsidRDefault="00167B82" w:rsidP="00804889">
      <w:pPr>
        <w:rPr>
          <w:szCs w:val="22"/>
          <w:lang w:val="sr-Latn-ME"/>
        </w:rPr>
      </w:pPr>
    </w:p>
    <w:p w14:paraId="27E7B7B2" w14:textId="79589C5D" w:rsidR="00416D94" w:rsidRPr="001D68EC" w:rsidRDefault="00416D94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Ciljna vr</w:t>
      </w:r>
      <w:r w:rsidR="00855F21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 PIK</w:t>
      </w:r>
      <w:r w:rsidRPr="001D68EC">
        <w:rPr>
          <w:szCs w:val="22"/>
          <w:vertAlign w:val="subscript"/>
          <w:lang w:val="sr-Latn-ME"/>
        </w:rPr>
        <w:t>0-12h</w:t>
      </w:r>
      <w:r w:rsidRPr="001D68EC">
        <w:rPr>
          <w:szCs w:val="22"/>
          <w:lang w:val="sr-Latn-ME"/>
        </w:rPr>
        <w:t xml:space="preserve"> kod odraslih nakon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poručene udarne doze od 100 mg, a zatim 50 mg na svakih 12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sati je iznosila približno 2500 nanogram x h/mL.</w:t>
      </w:r>
    </w:p>
    <w:p w14:paraId="7F7EDF2F" w14:textId="77777777" w:rsidR="00416D94" w:rsidRPr="001D68EC" w:rsidRDefault="00416D94">
      <w:pPr>
        <w:rPr>
          <w:szCs w:val="22"/>
          <w:lang w:val="sr-Latn-ME"/>
        </w:rPr>
      </w:pPr>
    </w:p>
    <w:p w14:paraId="6AC5625A" w14:textId="44DFF1C4" w:rsidR="00416D94" w:rsidRPr="001D68EC" w:rsidRDefault="00416D94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Populaciona farmakokinetička analiza u oba ispitivanja utvrdila je da je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elesna masa kovarijanta klirensa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tigeciklina kod </w:t>
      </w:r>
      <w:r w:rsidR="00A14810" w:rsidRPr="001D68EC">
        <w:rPr>
          <w:szCs w:val="22"/>
          <w:lang w:val="sr-Latn-ME"/>
        </w:rPr>
        <w:t>djece</w:t>
      </w:r>
      <w:r w:rsidRPr="001D68EC">
        <w:rPr>
          <w:szCs w:val="22"/>
          <w:lang w:val="sr-Latn-ME"/>
        </w:rPr>
        <w:t xml:space="preserve"> uzrasta 8 godina i starijih. Režim doziranja od 1,2 mg/kg tigeciklina svakih 12 sati (do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maksimalne doze od 50 mg svakih 12 sati) za d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ecu uzrasta od 8 do &lt;12 godina i od 50 mg svakih 12 sati za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adolescente uzrasta od 12 do &lt;18 godina najv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erovatnije će dovesti do izloženosti koja je uporediva sa onom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koja je uočena kod odraslih koji su l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ečeni u skladu sa odobrenim doznim režimom.</w:t>
      </w:r>
    </w:p>
    <w:p w14:paraId="315B170C" w14:textId="77777777" w:rsidR="00416D94" w:rsidRPr="001D68EC" w:rsidRDefault="00416D94">
      <w:pPr>
        <w:rPr>
          <w:szCs w:val="22"/>
          <w:lang w:val="sr-Latn-ME"/>
        </w:rPr>
      </w:pPr>
    </w:p>
    <w:p w14:paraId="466B091D" w14:textId="34F63F72" w:rsidR="00416D94" w:rsidRPr="001D68EC" w:rsidRDefault="00416D94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U ovim ispitivanjima kod nekoliko </w:t>
      </w:r>
      <w:r w:rsidR="00A14810" w:rsidRPr="001D68EC">
        <w:rPr>
          <w:szCs w:val="22"/>
          <w:lang w:val="sr-Latn-ME"/>
        </w:rPr>
        <w:t>djece</w:t>
      </w:r>
      <w:r w:rsidRPr="001D68EC">
        <w:rPr>
          <w:szCs w:val="22"/>
          <w:lang w:val="sr-Latn-ME"/>
        </w:rPr>
        <w:t xml:space="preserve"> prim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ećena je veća vr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 Cmax nego kod odraslih pacijenata.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Posledično, zbog toga je potrebno obratiti pažnju na brzinu infuzije tigeciklina kod </w:t>
      </w:r>
      <w:r w:rsidR="00A14810" w:rsidRPr="001D68EC">
        <w:rPr>
          <w:szCs w:val="22"/>
          <w:lang w:val="sr-Latn-ME"/>
        </w:rPr>
        <w:t>djece</w:t>
      </w:r>
      <w:r w:rsidRPr="001D68EC">
        <w:rPr>
          <w:szCs w:val="22"/>
          <w:lang w:val="sr-Latn-ME"/>
        </w:rPr>
        <w:t xml:space="preserve"> i odraslih.</w:t>
      </w:r>
    </w:p>
    <w:p w14:paraId="13496864" w14:textId="77777777" w:rsidR="00416D94" w:rsidRPr="001D68EC" w:rsidRDefault="00416D94">
      <w:pPr>
        <w:rPr>
          <w:szCs w:val="22"/>
          <w:lang w:val="sr-Latn-ME"/>
        </w:rPr>
      </w:pPr>
    </w:p>
    <w:p w14:paraId="0236896B" w14:textId="77777777" w:rsidR="00416D94" w:rsidRPr="001D68EC" w:rsidRDefault="00416D94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Pol</w:t>
      </w:r>
    </w:p>
    <w:p w14:paraId="6C60E7EC" w14:textId="4A7E8273" w:rsidR="00416D94" w:rsidRPr="001D68EC" w:rsidRDefault="00416D94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Ne postoje klinički značajne razlike u klirensu tigeciklina između muškaraca i žena. Proc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enjeno je da je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vr</w:t>
      </w:r>
      <w:r w:rsidR="005B2A3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 PIK 20% veća kod žena nego kod muškaraca.</w:t>
      </w:r>
    </w:p>
    <w:p w14:paraId="5CAE3945" w14:textId="77777777" w:rsidR="00416D94" w:rsidRPr="001D68EC" w:rsidRDefault="00416D94">
      <w:pPr>
        <w:rPr>
          <w:szCs w:val="22"/>
          <w:lang w:val="sr-Latn-ME"/>
        </w:rPr>
      </w:pPr>
    </w:p>
    <w:p w14:paraId="22D7F27F" w14:textId="77777777" w:rsidR="00416D94" w:rsidRPr="001D68EC" w:rsidRDefault="00416D94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Rasa</w:t>
      </w:r>
    </w:p>
    <w:p w14:paraId="517EB13A" w14:textId="77777777" w:rsidR="00416D94" w:rsidRPr="001D68EC" w:rsidRDefault="00416D94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Nije bilo razlika u klirensu tigeciklina kod različitih rasa ljudi.</w:t>
      </w:r>
    </w:p>
    <w:p w14:paraId="0461D5AA" w14:textId="77777777" w:rsidR="00416D94" w:rsidRPr="001D68EC" w:rsidRDefault="00416D94">
      <w:pPr>
        <w:rPr>
          <w:szCs w:val="22"/>
          <w:lang w:val="sr-Latn-ME"/>
        </w:rPr>
      </w:pPr>
    </w:p>
    <w:p w14:paraId="384E9B32" w14:textId="790A4381" w:rsidR="00167B82" w:rsidRPr="001D68EC" w:rsidRDefault="00416D94">
      <w:pPr>
        <w:rPr>
          <w:i/>
          <w:szCs w:val="22"/>
          <w:lang w:val="sr-Latn-ME"/>
        </w:rPr>
      </w:pPr>
      <w:r w:rsidRPr="001D68EC">
        <w:rPr>
          <w:i/>
          <w:szCs w:val="22"/>
          <w:lang w:val="sr-Latn-ME"/>
        </w:rPr>
        <w:t>T</w:t>
      </w:r>
      <w:r w:rsidR="004345B6" w:rsidRPr="001D68EC">
        <w:rPr>
          <w:i/>
          <w:szCs w:val="22"/>
          <w:lang w:val="sr-Latn-ME"/>
        </w:rPr>
        <w:t>j</w:t>
      </w:r>
      <w:r w:rsidRPr="001D68EC">
        <w:rPr>
          <w:i/>
          <w:szCs w:val="22"/>
          <w:lang w:val="sr-Latn-ME"/>
        </w:rPr>
        <w:t xml:space="preserve">elesna </w:t>
      </w:r>
      <w:r w:rsidR="004D690D" w:rsidRPr="001D68EC">
        <w:rPr>
          <w:i/>
          <w:szCs w:val="22"/>
          <w:lang w:val="sr-Latn-ME"/>
        </w:rPr>
        <w:t>težina</w:t>
      </w:r>
    </w:p>
    <w:p w14:paraId="33E21C85" w14:textId="4B427149" w:rsidR="00167B82" w:rsidRPr="001D68EC" w:rsidRDefault="000C675E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Klirens, klirens normalizovan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ma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elesnoj </w:t>
      </w:r>
      <w:r w:rsidR="003C3842" w:rsidRPr="001D68EC">
        <w:rPr>
          <w:szCs w:val="22"/>
          <w:lang w:val="sr-Latn-ME"/>
        </w:rPr>
        <w:t>težini</w:t>
      </w:r>
      <w:r w:rsidRPr="001D68EC">
        <w:rPr>
          <w:szCs w:val="22"/>
          <w:lang w:val="sr-Latn-ME"/>
        </w:rPr>
        <w:t xml:space="preserve"> i vr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 PIK 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 se znatno razlikovali kod pacijenata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sa različitom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elesnom </w:t>
      </w:r>
      <w:r w:rsidR="003C3842" w:rsidRPr="001D68EC">
        <w:rPr>
          <w:szCs w:val="22"/>
          <w:lang w:val="sr-Latn-ME"/>
        </w:rPr>
        <w:t>težinom</w:t>
      </w:r>
      <w:r w:rsidRPr="001D68EC">
        <w:rPr>
          <w:szCs w:val="22"/>
          <w:lang w:val="sr-Latn-ME"/>
        </w:rPr>
        <w:t>, uključujući i one čija je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elesna </w:t>
      </w:r>
      <w:r w:rsidR="003C3842" w:rsidRPr="001D68EC">
        <w:rPr>
          <w:szCs w:val="22"/>
          <w:lang w:val="sr-Latn-ME"/>
        </w:rPr>
        <w:t>težina</w:t>
      </w:r>
      <w:r w:rsidRPr="001D68EC">
        <w:rPr>
          <w:szCs w:val="22"/>
          <w:lang w:val="sr-Latn-ME"/>
        </w:rPr>
        <w:t xml:space="preserve"> bila ≥ 125 kg. Vr</w:t>
      </w:r>
      <w:r w:rsidR="00BE454B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ednost PIK je bila </w:t>
      </w:r>
      <w:r w:rsidRPr="001D68EC">
        <w:rPr>
          <w:szCs w:val="22"/>
          <w:lang w:val="sr-Latn-ME"/>
        </w:rPr>
        <w:lastRenderedPageBreak/>
        <w:t>24%</w:t>
      </w:r>
      <w:r w:rsidR="004D690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manja kod pacijenata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elesne </w:t>
      </w:r>
      <w:r w:rsidR="003C3842" w:rsidRPr="001D68EC">
        <w:rPr>
          <w:szCs w:val="22"/>
          <w:lang w:val="sr-Latn-ME"/>
        </w:rPr>
        <w:t>težine</w:t>
      </w:r>
      <w:r w:rsidRPr="001D68EC">
        <w:rPr>
          <w:szCs w:val="22"/>
          <w:lang w:val="sr-Latn-ME"/>
        </w:rPr>
        <w:t xml:space="preserve"> ≥ 125 kg. Ne postoje podaci za pacijente čija je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elesna </w:t>
      </w:r>
      <w:r w:rsidR="003C3842" w:rsidRPr="001D68EC">
        <w:rPr>
          <w:szCs w:val="22"/>
          <w:lang w:val="sr-Latn-ME"/>
        </w:rPr>
        <w:t>težina</w:t>
      </w:r>
      <w:r w:rsidRPr="001D68EC">
        <w:rPr>
          <w:szCs w:val="22"/>
          <w:lang w:val="sr-Latn-ME"/>
        </w:rPr>
        <w:t xml:space="preserve"> 140 kg i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više.</w:t>
      </w:r>
    </w:p>
    <w:p w14:paraId="57555881" w14:textId="77777777" w:rsidR="005918C8" w:rsidRPr="001D68EC" w:rsidRDefault="005918C8">
      <w:pPr>
        <w:rPr>
          <w:b/>
          <w:szCs w:val="22"/>
          <w:lang w:val="sr-Latn-ME"/>
        </w:rPr>
      </w:pPr>
    </w:p>
    <w:p w14:paraId="046CE95F" w14:textId="1F02B606" w:rsidR="00C63401" w:rsidRPr="001D68EC" w:rsidRDefault="00C63401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 xml:space="preserve">5.3. </w:t>
      </w:r>
      <w:r w:rsidR="0031263D" w:rsidRPr="001D68EC">
        <w:rPr>
          <w:b/>
          <w:szCs w:val="22"/>
          <w:lang w:val="sr-Latn-ME"/>
        </w:rPr>
        <w:t>Pre</w:t>
      </w:r>
      <w:r w:rsidRPr="001D68EC">
        <w:rPr>
          <w:b/>
          <w:szCs w:val="22"/>
          <w:lang w:val="sr-Latn-ME"/>
        </w:rPr>
        <w:t>tklinički podaci o bezb</w:t>
      </w:r>
      <w:r w:rsidR="005B2A36" w:rsidRPr="001D68EC">
        <w:rPr>
          <w:b/>
          <w:szCs w:val="22"/>
          <w:lang w:val="sr-Latn-ME"/>
        </w:rPr>
        <w:t>j</w:t>
      </w:r>
      <w:r w:rsidRPr="001D68EC">
        <w:rPr>
          <w:b/>
          <w:szCs w:val="22"/>
          <w:lang w:val="sr-Latn-ME"/>
        </w:rPr>
        <w:t>ednosti</w:t>
      </w:r>
    </w:p>
    <w:p w14:paraId="614186D3" w14:textId="77777777" w:rsidR="00C63401" w:rsidRPr="001D68EC" w:rsidRDefault="00C63401">
      <w:pPr>
        <w:rPr>
          <w:b/>
          <w:szCs w:val="22"/>
          <w:lang w:val="sr-Latn-ME"/>
        </w:rPr>
      </w:pPr>
    </w:p>
    <w:p w14:paraId="2A38CEB2" w14:textId="47A79265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 ispitivanjima toksičnosti ponovljenog doziranja na pacovima i psima, prim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ećene su limfoidna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deplecija/atrofija limfnih čvorova, slezine i timusa, smanjenje broja eritrocita, retikulocita, leukocita i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trombocita, u kombinaciji sa smanjenjem broja ćelija koštane srži i nepovoljnim renalnim i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gastrointestinalnim efektima kod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tigeciklina u dozama 8 i 10 puta većim od dnevne doze koja se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prim</w:t>
      </w:r>
      <w:r w:rsidR="00855F21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enjuje kod ljudi, bazirane na </w:t>
      </w:r>
      <w:r w:rsidR="00087654" w:rsidRPr="001D68EC">
        <w:rPr>
          <w:szCs w:val="22"/>
          <w:lang w:val="sr-Latn-ME"/>
        </w:rPr>
        <w:t>vr</w:t>
      </w:r>
      <w:r w:rsidR="004345B6" w:rsidRPr="001D68EC">
        <w:rPr>
          <w:szCs w:val="22"/>
          <w:lang w:val="sr-Latn-ME"/>
        </w:rPr>
        <w:t>ij</w:t>
      </w:r>
      <w:r w:rsidR="00087654" w:rsidRPr="001D68EC">
        <w:rPr>
          <w:szCs w:val="22"/>
          <w:lang w:val="sr-Latn-ME"/>
        </w:rPr>
        <w:t>ednosti</w:t>
      </w:r>
      <w:r w:rsidRPr="001D68EC">
        <w:rPr>
          <w:szCs w:val="22"/>
          <w:lang w:val="sr-Latn-ME"/>
        </w:rPr>
        <w:t>ma PIK kod pacova, odnosno pasa. Ove promene su se pokazale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kao reverzibilne nakon dv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 nedelje doziranja.</w:t>
      </w:r>
    </w:p>
    <w:p w14:paraId="06F129D6" w14:textId="77777777" w:rsidR="003C3842" w:rsidRPr="001D68EC" w:rsidRDefault="003C3842">
      <w:pPr>
        <w:rPr>
          <w:szCs w:val="22"/>
          <w:lang w:val="sr-Latn-ME"/>
        </w:rPr>
      </w:pPr>
    </w:p>
    <w:p w14:paraId="605E47BF" w14:textId="3821E23E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Prom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ena boje kostiju, prim</w:t>
      </w:r>
      <w:r w:rsidR="00855F21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ećena kod pacova, nije bila reverzibilna nakon dve nedelje doziranja.</w:t>
      </w:r>
    </w:p>
    <w:p w14:paraId="1BF3565C" w14:textId="77777777" w:rsidR="00C63401" w:rsidRPr="001D68EC" w:rsidRDefault="00C63401">
      <w:pPr>
        <w:rPr>
          <w:szCs w:val="22"/>
          <w:lang w:val="sr-Latn-ME"/>
        </w:rPr>
      </w:pPr>
    </w:p>
    <w:p w14:paraId="6144D772" w14:textId="77777777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Rezultati testiranja na životinjama pokazuju da tigeciklin prolazi placentu i da je nađen u tkivu fetusa.</w:t>
      </w:r>
    </w:p>
    <w:p w14:paraId="147D5FD2" w14:textId="70E2189B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U ispitivanjima reproduktivne toksičnosti tigeciklina prim</w:t>
      </w:r>
      <w:r w:rsidR="004345B6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ećeni su smanjena t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elesna masa fetusa kod pacova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 kunića (zajedno sa kašnjenjem u okoštavanju) i gubitak fetusa kod kunića. Tigeciklin nije bio teratogen kod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pacova i kunića. Tigeciklin nije uticao na parenje i plodnost pacova koji su bili izloženi do 4,7 puta većoj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dnevnoj dozi od onih koje se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enuju kod ljudi na osnovu </w:t>
      </w:r>
      <w:r w:rsidR="00087654" w:rsidRPr="001D68EC">
        <w:rPr>
          <w:szCs w:val="22"/>
          <w:lang w:val="sr-Latn-ME"/>
        </w:rPr>
        <w:t>vrijednosti</w:t>
      </w:r>
      <w:r w:rsidRPr="001D68EC">
        <w:rPr>
          <w:szCs w:val="22"/>
          <w:lang w:val="sr-Latn-ME"/>
        </w:rPr>
        <w:t xml:space="preserve"> PIK. Kod ženki pacova 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zab</w:t>
      </w:r>
      <w:r w:rsidR="005B2A36" w:rsidRPr="001D68EC">
        <w:rPr>
          <w:szCs w:val="22"/>
          <w:lang w:val="sr-Latn-ME"/>
        </w:rPr>
        <w:t>i</w:t>
      </w:r>
      <w:r w:rsidRPr="001D68EC">
        <w:rPr>
          <w:szCs w:val="22"/>
          <w:lang w:val="sr-Latn-ME"/>
        </w:rPr>
        <w:t>l</w:t>
      </w:r>
      <w:r w:rsidR="005B2A3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eženi efekti na jajnike i estrusni ciklus ispitivanih životinja, povezani sa aktivnom supstancom, pri</w:t>
      </w:r>
      <w:r w:rsidR="005B2A36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izloženosti do 4,7 puta većim dnevnim dozama od onih koje se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enuju kod ljudi na osnovu PIK.</w:t>
      </w:r>
    </w:p>
    <w:p w14:paraId="28D1A600" w14:textId="77777777" w:rsidR="00C63401" w:rsidRPr="001D68EC" w:rsidRDefault="00C63401">
      <w:pPr>
        <w:rPr>
          <w:szCs w:val="22"/>
          <w:lang w:val="sr-Latn-ME"/>
        </w:rPr>
      </w:pPr>
    </w:p>
    <w:p w14:paraId="63D26A8B" w14:textId="176CD4D0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Rezultati ispitivanja na životinjama u kojima je korišćen 14C-obeleženi tigeciklin pokazuju da se tigeciklin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lako izlučuje u m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o kod pacova u periodu laktacije. U skladu sa ograničenom oralnom bioraspoloživošću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tigeciklina, postoji malo ili uopšte nema sistemskog delovanja tigeciklina kod štenadi, kao rezultat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ekspozicije kroz majčino m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o.</w:t>
      </w:r>
    </w:p>
    <w:p w14:paraId="1A4E3369" w14:textId="77777777" w:rsidR="00C63401" w:rsidRPr="001D68EC" w:rsidRDefault="00C63401">
      <w:pPr>
        <w:rPr>
          <w:szCs w:val="22"/>
          <w:lang w:val="sr-Latn-ME"/>
        </w:rPr>
      </w:pPr>
    </w:p>
    <w:p w14:paraId="1E58F3EB" w14:textId="217FC94F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Doživotna ispitivanja</w:t>
      </w:r>
      <w:r w:rsidRPr="001D68EC">
        <w:rPr>
          <w:lang w:val="sr-Latn-ME"/>
        </w:rPr>
        <w:t xml:space="preserve"> </w:t>
      </w:r>
      <w:r w:rsidRPr="001D68EC">
        <w:rPr>
          <w:szCs w:val="22"/>
          <w:lang w:val="sr-Latn-ME"/>
        </w:rPr>
        <w:t>na životinjama, sa ciljem proc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karcinogenog potencijala tigeciklina, 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 izvedena,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ali su kratkotrajna ispitivanja genotoksičnosti tigeciklina bila negativna.</w:t>
      </w:r>
    </w:p>
    <w:p w14:paraId="55923598" w14:textId="77777777" w:rsidR="00C63401" w:rsidRPr="001D68EC" w:rsidRDefault="00C63401">
      <w:pPr>
        <w:rPr>
          <w:szCs w:val="22"/>
          <w:lang w:val="sr-Latn-ME"/>
        </w:rPr>
      </w:pPr>
    </w:p>
    <w:p w14:paraId="1FBC66FB" w14:textId="45E3991A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Kod bolus intravenske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tigeciklina javljao se histaminski odgovor u ispitivanjima na životinjama.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Ovi efekti su ispitivani u dozama 14 i 3 puta većim od dnevne doze koja se prim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enjuje kod ljudi, bazirane na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vr</w:t>
      </w:r>
      <w:r w:rsidR="00C401F4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ednostima PIK-ova kod pacova, odnosno pasa.</w:t>
      </w:r>
    </w:p>
    <w:p w14:paraId="19C76076" w14:textId="77777777" w:rsidR="00C63401" w:rsidRPr="001D68EC" w:rsidRDefault="00C63401">
      <w:pPr>
        <w:rPr>
          <w:szCs w:val="22"/>
          <w:lang w:val="sr-Latn-ME"/>
        </w:rPr>
      </w:pPr>
    </w:p>
    <w:p w14:paraId="10CC47F7" w14:textId="270DF75A" w:rsidR="00C63401" w:rsidRPr="001D68EC" w:rsidRDefault="00C6340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Ni</w:t>
      </w:r>
      <w:r w:rsidR="001B3AA6" w:rsidRPr="001D68EC">
        <w:rPr>
          <w:szCs w:val="22"/>
          <w:lang w:val="sr-Latn-ME"/>
        </w:rPr>
        <w:t>je</w:t>
      </w:r>
      <w:r w:rsidRPr="001D68EC">
        <w:rPr>
          <w:szCs w:val="22"/>
          <w:lang w:val="sr-Latn-ME"/>
        </w:rPr>
        <w:t>su zab</w:t>
      </w:r>
      <w:r w:rsidR="00C401F4" w:rsidRPr="001D68EC">
        <w:rPr>
          <w:szCs w:val="22"/>
          <w:lang w:val="sr-Latn-ME"/>
        </w:rPr>
        <w:t>i</w:t>
      </w:r>
      <w:r w:rsidRPr="001D68EC">
        <w:rPr>
          <w:szCs w:val="22"/>
          <w:lang w:val="sr-Latn-ME"/>
        </w:rPr>
        <w:t>l</w:t>
      </w:r>
      <w:r w:rsidR="004345B6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eženi dokazi o fotosenzitivnosti kod pacova koji su primali tigeciklin.</w:t>
      </w:r>
    </w:p>
    <w:p w14:paraId="07F191F2" w14:textId="22D5925F" w:rsidR="00C63401" w:rsidRPr="001D68EC" w:rsidRDefault="00C63401">
      <w:pPr>
        <w:rPr>
          <w:szCs w:val="22"/>
          <w:lang w:val="sr-Latn-ME"/>
        </w:rPr>
      </w:pPr>
    </w:p>
    <w:p w14:paraId="765CFE7B" w14:textId="77777777" w:rsidR="005C15DF" w:rsidRPr="001D68EC" w:rsidRDefault="005C15DF">
      <w:pPr>
        <w:rPr>
          <w:szCs w:val="22"/>
          <w:lang w:val="sr-Latn-ME"/>
        </w:rPr>
      </w:pPr>
    </w:p>
    <w:p w14:paraId="5978A1C4" w14:textId="77777777" w:rsidR="00C63401" w:rsidRPr="001D68EC" w:rsidRDefault="00C63401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6. FARMACEUTSKI PODACI</w:t>
      </w:r>
    </w:p>
    <w:p w14:paraId="03E2C688" w14:textId="77777777" w:rsidR="00C63401" w:rsidRPr="001D68EC" w:rsidRDefault="00C63401">
      <w:pPr>
        <w:rPr>
          <w:b/>
          <w:szCs w:val="22"/>
          <w:lang w:val="sr-Latn-ME"/>
        </w:rPr>
      </w:pPr>
    </w:p>
    <w:p w14:paraId="2DE6F938" w14:textId="13612242" w:rsidR="00C63401" w:rsidRPr="001D68EC" w:rsidRDefault="00C63401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6.1. Lista pomoćnih supstanci</w:t>
      </w:r>
      <w:r w:rsidR="00C401F4" w:rsidRPr="001D68EC">
        <w:rPr>
          <w:b/>
          <w:szCs w:val="22"/>
          <w:lang w:val="sr-Latn-ME"/>
        </w:rPr>
        <w:t xml:space="preserve"> (ekscipijenasa)</w:t>
      </w:r>
    </w:p>
    <w:p w14:paraId="10F39A76" w14:textId="77777777" w:rsidR="00C63401" w:rsidRPr="001D68EC" w:rsidRDefault="00C63401">
      <w:pPr>
        <w:rPr>
          <w:b/>
          <w:szCs w:val="22"/>
          <w:lang w:val="sr-Latn-ME"/>
        </w:rPr>
      </w:pPr>
    </w:p>
    <w:p w14:paraId="6C794E6C" w14:textId="77777777" w:rsidR="00C63401" w:rsidRPr="001D68EC" w:rsidRDefault="00C63401">
      <w:pPr>
        <w:rPr>
          <w:szCs w:val="22"/>
          <w:lang w:val="sr-Latn-ME"/>
        </w:rPr>
      </w:pPr>
      <w:bookmarkStart w:id="2" w:name="_Hlk113616278"/>
      <w:r w:rsidRPr="001D68EC">
        <w:rPr>
          <w:szCs w:val="22"/>
          <w:lang w:val="sr-Latn-ME"/>
        </w:rPr>
        <w:t>Arginin;</w:t>
      </w:r>
    </w:p>
    <w:p w14:paraId="04C26FDC" w14:textId="0DC9D6AF" w:rsidR="00C63401" w:rsidRPr="001D68EC" w:rsidRDefault="00C401F4">
      <w:pPr>
        <w:rPr>
          <w:lang w:val="sr-Latn-ME"/>
        </w:rPr>
      </w:pPr>
      <w:r w:rsidRPr="001D68EC">
        <w:rPr>
          <w:szCs w:val="22"/>
          <w:lang w:val="sr-Latn-ME"/>
        </w:rPr>
        <w:t>H</w:t>
      </w:r>
      <w:r w:rsidR="00C63401" w:rsidRPr="001D68EC">
        <w:rPr>
          <w:szCs w:val="22"/>
          <w:lang w:val="sr-Latn-ME"/>
        </w:rPr>
        <w:t>lorovodonična kiselina</w:t>
      </w:r>
      <w:r w:rsidR="00796C21" w:rsidRPr="001D68EC">
        <w:rPr>
          <w:szCs w:val="22"/>
          <w:lang w:val="sr-Latn-ME"/>
        </w:rPr>
        <w:t xml:space="preserve"> (za podešavanje pH)</w:t>
      </w:r>
      <w:r w:rsidR="00C63401" w:rsidRPr="001D68EC">
        <w:rPr>
          <w:szCs w:val="22"/>
          <w:lang w:val="sr-Latn-ME"/>
        </w:rPr>
        <w:t>;</w:t>
      </w:r>
      <w:r w:rsidR="00C63401" w:rsidRPr="001D68EC">
        <w:rPr>
          <w:lang w:val="sr-Latn-ME"/>
        </w:rPr>
        <w:t xml:space="preserve"> </w:t>
      </w:r>
    </w:p>
    <w:p w14:paraId="324A10AE" w14:textId="4E4E7A2E" w:rsidR="00C63401" w:rsidRPr="001D68EC" w:rsidRDefault="00C401F4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A</w:t>
      </w:r>
      <w:r w:rsidR="00D21FB2" w:rsidRPr="001D68EC">
        <w:rPr>
          <w:szCs w:val="22"/>
          <w:lang w:val="sr-Latn-ME"/>
        </w:rPr>
        <w:t>zot</w:t>
      </w:r>
      <w:bookmarkEnd w:id="2"/>
      <w:r w:rsidR="004A5A3C" w:rsidRPr="001D68EC">
        <w:rPr>
          <w:szCs w:val="22"/>
          <w:lang w:val="sr-Latn-ME"/>
        </w:rPr>
        <w:t>.</w:t>
      </w:r>
    </w:p>
    <w:p w14:paraId="5E6EC12B" w14:textId="77777777" w:rsidR="00C63401" w:rsidRPr="001D68EC" w:rsidRDefault="00C63401">
      <w:pPr>
        <w:rPr>
          <w:szCs w:val="22"/>
          <w:lang w:val="sr-Latn-ME"/>
        </w:rPr>
      </w:pPr>
    </w:p>
    <w:p w14:paraId="59F58648" w14:textId="63ED8BD2" w:rsidR="00167B82" w:rsidRPr="001D68EC" w:rsidRDefault="00C63401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6.2. Inkompatibilnost</w:t>
      </w:r>
      <w:r w:rsidR="00C401F4" w:rsidRPr="001D68EC">
        <w:rPr>
          <w:b/>
          <w:szCs w:val="22"/>
          <w:lang w:val="sr-Latn-ME"/>
        </w:rPr>
        <w:t>i</w:t>
      </w:r>
    </w:p>
    <w:p w14:paraId="3B2D5511" w14:textId="77777777" w:rsidR="00C63401" w:rsidRPr="001D68EC" w:rsidRDefault="00C63401">
      <w:pPr>
        <w:rPr>
          <w:szCs w:val="22"/>
          <w:lang w:val="sr-Latn-ME"/>
        </w:rPr>
      </w:pPr>
    </w:p>
    <w:p w14:paraId="7684E5E4" w14:textId="452CE5BC" w:rsidR="00505731" w:rsidRPr="001D68EC" w:rsidRDefault="0050573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Sledeće aktivne supstance ne treba prim</w:t>
      </w:r>
      <w:r w:rsidR="00C401F4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enjivati isto</w:t>
      </w:r>
      <w:r w:rsidR="00484B49" w:rsidRPr="001D68EC">
        <w:rPr>
          <w:szCs w:val="22"/>
          <w:lang w:val="sr-Latn-ME"/>
        </w:rPr>
        <w:t>vreme</w:t>
      </w:r>
      <w:r w:rsidRPr="001D68EC">
        <w:rPr>
          <w:szCs w:val="22"/>
          <w:lang w:val="sr-Latn-ME"/>
        </w:rPr>
        <w:t>no pomoću istog Y-infuzionog seta sa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tigeciklinom: amfotericin B, amfotericin B lipidni komp</w:t>
      </w:r>
      <w:r w:rsidR="0031263D" w:rsidRPr="001D68EC">
        <w:rPr>
          <w:szCs w:val="22"/>
          <w:lang w:val="sr-Latn-ME"/>
        </w:rPr>
        <w:t>lek</w:t>
      </w:r>
      <w:r w:rsidRPr="001D68EC">
        <w:rPr>
          <w:szCs w:val="22"/>
          <w:lang w:val="sr-Latn-ME"/>
        </w:rPr>
        <w:t>s, diazepam, esomeprazol, omeprazol i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intravenske rastvore koji mogu da povećaju pH iznad 7.</w:t>
      </w:r>
    </w:p>
    <w:p w14:paraId="63745702" w14:textId="77777777" w:rsidR="002848B7" w:rsidRPr="001D68EC" w:rsidRDefault="002848B7">
      <w:pPr>
        <w:rPr>
          <w:szCs w:val="22"/>
          <w:lang w:val="sr-Latn-ME"/>
        </w:rPr>
      </w:pPr>
    </w:p>
    <w:p w14:paraId="013AD93F" w14:textId="45276E65" w:rsidR="00505731" w:rsidRPr="001D68EC" w:rsidRDefault="0050573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Ovaj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 se ne sm</w:t>
      </w:r>
      <w:r w:rsidR="00C401F4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 m</w:t>
      </w:r>
      <w:r w:rsidR="00C401F4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ešati sa drugim </w:t>
      </w:r>
      <w:r w:rsidR="0031263D" w:rsidRPr="001D68EC">
        <w:rPr>
          <w:szCs w:val="22"/>
          <w:lang w:val="sr-Latn-ME"/>
        </w:rPr>
        <w:t>ljekovima</w:t>
      </w:r>
      <w:r w:rsidRPr="001D68EC">
        <w:rPr>
          <w:szCs w:val="22"/>
          <w:lang w:val="sr-Latn-ME"/>
        </w:rPr>
        <w:t xml:space="preserve">, osim sa onima koji su navedeni u </w:t>
      </w:r>
      <w:r w:rsidR="00C401F4" w:rsidRPr="001D68EC">
        <w:rPr>
          <w:szCs w:val="22"/>
          <w:lang w:val="sr-Latn-ME"/>
        </w:rPr>
        <w:t>dijelu</w:t>
      </w:r>
      <w:r w:rsidRPr="001D68EC">
        <w:rPr>
          <w:szCs w:val="22"/>
          <w:lang w:val="sr-Latn-ME"/>
        </w:rPr>
        <w:t xml:space="preserve"> 6.6.</w:t>
      </w:r>
    </w:p>
    <w:p w14:paraId="49AD007B" w14:textId="77777777" w:rsidR="002848B7" w:rsidRPr="001D68EC" w:rsidRDefault="002848B7">
      <w:pPr>
        <w:rPr>
          <w:szCs w:val="22"/>
          <w:lang w:val="sr-Latn-ME"/>
        </w:rPr>
      </w:pPr>
    </w:p>
    <w:p w14:paraId="0CF84A2D" w14:textId="77777777" w:rsidR="00505731" w:rsidRPr="001D68EC" w:rsidRDefault="00505731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6.3. Rok upotrebe</w:t>
      </w:r>
    </w:p>
    <w:p w14:paraId="2C4256F9" w14:textId="77777777" w:rsidR="002848B7" w:rsidRPr="001D68EC" w:rsidRDefault="002848B7">
      <w:pPr>
        <w:rPr>
          <w:b/>
          <w:szCs w:val="22"/>
          <w:lang w:val="sr-Latn-ME"/>
        </w:rPr>
      </w:pPr>
    </w:p>
    <w:p w14:paraId="080F51E5" w14:textId="130D5973" w:rsidR="00505731" w:rsidRPr="001D68EC" w:rsidRDefault="00505731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Dv</w:t>
      </w:r>
      <w:r w:rsidR="00C401F4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godine.</w:t>
      </w:r>
    </w:p>
    <w:p w14:paraId="4EC583F3" w14:textId="77777777" w:rsidR="002848B7" w:rsidRPr="001D68EC" w:rsidRDefault="002848B7">
      <w:pPr>
        <w:rPr>
          <w:szCs w:val="22"/>
          <w:lang w:val="sr-Latn-ME"/>
        </w:rPr>
      </w:pPr>
    </w:p>
    <w:p w14:paraId="3477F875" w14:textId="667643A6" w:rsidR="00C63401" w:rsidRPr="001D68EC" w:rsidRDefault="00C0763F">
      <w:pPr>
        <w:rPr>
          <w:szCs w:val="22"/>
          <w:lang w:val="sr-Latn-ME"/>
        </w:rPr>
      </w:pPr>
      <w:bookmarkStart w:id="3" w:name="_Hlk113616402"/>
      <w:r w:rsidRPr="001D68EC">
        <w:rPr>
          <w:szCs w:val="22"/>
          <w:lang w:val="sr-Latn-ME"/>
        </w:rPr>
        <w:lastRenderedPageBreak/>
        <w:t xml:space="preserve">Hemijska i fizička stabilnost rekonstituisanog rastvora u bočici tokom upotrebe je dokazana tokom 1 sata na 25°C. </w:t>
      </w:r>
      <w:r w:rsidR="00505731" w:rsidRPr="001D68EC">
        <w:rPr>
          <w:szCs w:val="22"/>
          <w:lang w:val="sr-Latn-ME"/>
        </w:rPr>
        <w:t>Rekonstituisan i razblažen rastvor tigeciklina u kesi za infuziju ili drugom odgovarajućem kontejneru za</w:t>
      </w:r>
      <w:r w:rsidR="00C401F4" w:rsidRPr="001D68EC">
        <w:rPr>
          <w:szCs w:val="22"/>
          <w:lang w:val="sr-Latn-ME"/>
        </w:rPr>
        <w:t xml:space="preserve"> </w:t>
      </w:r>
      <w:r w:rsidR="00505731" w:rsidRPr="001D68EC">
        <w:rPr>
          <w:szCs w:val="22"/>
          <w:lang w:val="sr-Latn-ME"/>
        </w:rPr>
        <w:t>infuziju (npr. staklena boca) treba odmah upotr</w:t>
      </w:r>
      <w:r w:rsidR="00CC03C8" w:rsidRPr="001D68EC">
        <w:rPr>
          <w:szCs w:val="22"/>
          <w:lang w:val="sr-Latn-ME"/>
        </w:rPr>
        <w:t>ij</w:t>
      </w:r>
      <w:r w:rsidR="00505731" w:rsidRPr="001D68EC">
        <w:rPr>
          <w:szCs w:val="22"/>
          <w:lang w:val="sr-Latn-ME"/>
        </w:rPr>
        <w:t>ebiti</w:t>
      </w:r>
      <w:bookmarkEnd w:id="3"/>
      <w:r w:rsidR="00505731" w:rsidRPr="001D68EC">
        <w:rPr>
          <w:szCs w:val="22"/>
          <w:lang w:val="sr-Latn-ME"/>
        </w:rPr>
        <w:t>.</w:t>
      </w:r>
    </w:p>
    <w:p w14:paraId="04901764" w14:textId="77777777" w:rsidR="00C0763F" w:rsidRPr="001D68EC" w:rsidRDefault="00C0763F">
      <w:pPr>
        <w:rPr>
          <w:szCs w:val="22"/>
          <w:lang w:val="sr-Latn-ME"/>
        </w:rPr>
      </w:pPr>
    </w:p>
    <w:p w14:paraId="30FD9F3D" w14:textId="20CA59EF" w:rsidR="00C0763F" w:rsidRPr="001D68EC" w:rsidRDefault="00C0763F">
      <w:pPr>
        <w:rPr>
          <w:szCs w:val="22"/>
          <w:lang w:val="sr-Latn-ME"/>
        </w:rPr>
      </w:pPr>
      <w:r w:rsidRPr="001D68EC">
        <w:rPr>
          <w:lang w:val="sr-Latn-ME"/>
        </w:rPr>
        <w:t>Sa mikrobiološke tačke gledišta, ovaj lijek se mora upotrijebiti odmah nakon razblaživanja. Ukoliko se lijek ne upotrijebi odmah, vrijeme i uslovi čuvanja u toku korišćenja su odgovornost korisnika i obično ne bi smjeli da budu duži od gore</w:t>
      </w:r>
      <w:r w:rsidR="000D401F" w:rsidRPr="001D68EC">
        <w:rPr>
          <w:lang w:val="sr-Latn-ME"/>
        </w:rPr>
        <w:t xml:space="preserve"> </w:t>
      </w:r>
      <w:r w:rsidRPr="001D68EC">
        <w:rPr>
          <w:lang w:val="sr-Latn-ME"/>
        </w:rPr>
        <w:t>naveden</w:t>
      </w:r>
      <w:r w:rsidR="000D401F" w:rsidRPr="001D68EC">
        <w:rPr>
          <w:lang w:val="sr-Latn-ME"/>
        </w:rPr>
        <w:t>og</w:t>
      </w:r>
      <w:r w:rsidRPr="001D68EC">
        <w:rPr>
          <w:lang w:val="sr-Latn-ME"/>
        </w:rPr>
        <w:t xml:space="preserve"> vremena za hemijsku i fizičku stabilnost.</w:t>
      </w:r>
    </w:p>
    <w:p w14:paraId="446F2E57" w14:textId="77777777" w:rsidR="00C63401" w:rsidRPr="001D68EC" w:rsidRDefault="00C63401">
      <w:pPr>
        <w:rPr>
          <w:szCs w:val="22"/>
          <w:lang w:val="sr-Latn-ME"/>
        </w:rPr>
      </w:pPr>
    </w:p>
    <w:p w14:paraId="7851898E" w14:textId="7A4AA1AA" w:rsidR="002E2EF5" w:rsidRPr="001D68EC" w:rsidRDefault="002E2EF5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6.4. Posebne m</w:t>
      </w:r>
      <w:r w:rsidR="00CC03C8" w:rsidRPr="001D68EC">
        <w:rPr>
          <w:b/>
          <w:szCs w:val="22"/>
          <w:lang w:val="sr-Latn-ME"/>
        </w:rPr>
        <w:t>j</w:t>
      </w:r>
      <w:r w:rsidRPr="001D68EC">
        <w:rPr>
          <w:b/>
          <w:szCs w:val="22"/>
          <w:lang w:val="sr-Latn-ME"/>
        </w:rPr>
        <w:t xml:space="preserve">ere </w:t>
      </w:r>
      <w:r w:rsidR="00C401F4" w:rsidRPr="001D68EC">
        <w:rPr>
          <w:b/>
          <w:szCs w:val="22"/>
          <w:lang w:val="sr-Latn-ME"/>
        </w:rPr>
        <w:t xml:space="preserve">upozorenja </w:t>
      </w:r>
      <w:r w:rsidRPr="001D68EC">
        <w:rPr>
          <w:b/>
          <w:szCs w:val="22"/>
          <w:lang w:val="sr-Latn-ME"/>
        </w:rPr>
        <w:t>pri čuvanju</w:t>
      </w:r>
      <w:r w:rsidR="00C401F4" w:rsidRPr="001D68EC">
        <w:rPr>
          <w:b/>
          <w:szCs w:val="22"/>
          <w:lang w:val="sr-Latn-ME"/>
        </w:rPr>
        <w:t xml:space="preserve"> lijeka</w:t>
      </w:r>
    </w:p>
    <w:p w14:paraId="6B171780" w14:textId="77777777" w:rsidR="002E2EF5" w:rsidRPr="001D68EC" w:rsidRDefault="002E2EF5">
      <w:pPr>
        <w:rPr>
          <w:szCs w:val="22"/>
          <w:lang w:val="sr-Latn-ME"/>
        </w:rPr>
      </w:pPr>
    </w:p>
    <w:p w14:paraId="6FED80B5" w14:textId="48BCF1B4" w:rsidR="002E2EF5" w:rsidRPr="001D68EC" w:rsidRDefault="00CC03C8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Lijek ne zahtijeva posebne uslove čuvanja.</w:t>
      </w:r>
    </w:p>
    <w:p w14:paraId="056F9FA9" w14:textId="3EE91099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Za uslove čuvanja nakon rekonstitucije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a, 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6.3.</w:t>
      </w:r>
    </w:p>
    <w:p w14:paraId="264CCC45" w14:textId="77777777" w:rsidR="002E2EF5" w:rsidRPr="001D68EC" w:rsidRDefault="002E2EF5">
      <w:pPr>
        <w:rPr>
          <w:szCs w:val="22"/>
          <w:lang w:val="sr-Latn-ME"/>
        </w:rPr>
      </w:pPr>
    </w:p>
    <w:p w14:paraId="6B453D8B" w14:textId="40ECE3D8" w:rsidR="002E2EF5" w:rsidRPr="001D68EC" w:rsidRDefault="002E2EF5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 xml:space="preserve">6.5. </w:t>
      </w:r>
      <w:r w:rsidR="00C401F4" w:rsidRPr="001D68EC">
        <w:rPr>
          <w:b/>
          <w:szCs w:val="22"/>
          <w:lang w:val="sr-Latn-ME"/>
        </w:rPr>
        <w:t>Vrsta</w:t>
      </w:r>
      <w:r w:rsidRPr="001D68EC">
        <w:rPr>
          <w:b/>
          <w:szCs w:val="22"/>
          <w:lang w:val="sr-Latn-ME"/>
        </w:rPr>
        <w:t xml:space="preserve"> i sadržaj pakovanja</w:t>
      </w:r>
    </w:p>
    <w:p w14:paraId="5A56EC77" w14:textId="77777777" w:rsidR="002E2EF5" w:rsidRPr="001D68EC" w:rsidRDefault="002E2EF5">
      <w:pPr>
        <w:rPr>
          <w:b/>
          <w:szCs w:val="22"/>
          <w:lang w:val="sr-Latn-ME"/>
        </w:rPr>
      </w:pPr>
    </w:p>
    <w:p w14:paraId="31BBA270" w14:textId="5BF91AE5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Unutrašnje pakovanje je bočica od bezbojnog stakla hidrolitičke otpornosti tip I, </w:t>
      </w:r>
      <w:r w:rsidR="00855F21" w:rsidRPr="001D68EC">
        <w:rPr>
          <w:szCs w:val="22"/>
          <w:lang w:val="sr-Latn-ME"/>
        </w:rPr>
        <w:t xml:space="preserve">zapremine </w:t>
      </w:r>
      <w:r w:rsidR="005C15DF" w:rsidRPr="001D68EC">
        <w:rPr>
          <w:szCs w:val="22"/>
          <w:lang w:val="sr-Latn-ME"/>
        </w:rPr>
        <w:t>10</w:t>
      </w:r>
      <w:r w:rsidR="00855F21" w:rsidRPr="001D68EC">
        <w:rPr>
          <w:szCs w:val="22"/>
          <w:lang w:val="sr-Latn-ME"/>
        </w:rPr>
        <w:t xml:space="preserve"> ml, sa sivim hlorbutil gumenim čepom i aluminijumskim prstenom sa </w:t>
      </w:r>
      <w:r w:rsidR="00D0217F" w:rsidRPr="001D68EC">
        <w:rPr>
          <w:i/>
          <w:szCs w:val="22"/>
          <w:lang w:val="sr-Latn-ME"/>
        </w:rPr>
        <w:t>flip</w:t>
      </w:r>
      <w:r w:rsidR="00855F21" w:rsidRPr="001D68EC">
        <w:rPr>
          <w:i/>
          <w:szCs w:val="22"/>
          <w:lang w:val="sr-Latn-ME"/>
        </w:rPr>
        <w:t xml:space="preserve"> – off</w:t>
      </w:r>
      <w:r w:rsidR="00855F21" w:rsidRPr="001D68EC">
        <w:rPr>
          <w:szCs w:val="22"/>
          <w:lang w:val="sr-Latn-ME"/>
        </w:rPr>
        <w:t xml:space="preserve"> zatvaračem.</w:t>
      </w:r>
    </w:p>
    <w:p w14:paraId="4817442B" w14:textId="1D0002B4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Spoljašnje pakovanje je složiva kartonska kutija koja sadrži 10 bočica sa praškom za rastvor za infuziju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(ukupno 10 bočica, 10 x 50 mg) i Uputstvo za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.</w:t>
      </w:r>
    </w:p>
    <w:p w14:paraId="3F9F029C" w14:textId="77777777" w:rsidR="002E2EF5" w:rsidRPr="001D68EC" w:rsidRDefault="002E2EF5">
      <w:pPr>
        <w:rPr>
          <w:szCs w:val="22"/>
          <w:lang w:val="sr-Latn-ME"/>
        </w:rPr>
      </w:pPr>
    </w:p>
    <w:p w14:paraId="2ADC9DEF" w14:textId="7E89B71A" w:rsidR="002E2EF5" w:rsidRPr="001D68EC" w:rsidRDefault="002E2EF5">
      <w:pPr>
        <w:rPr>
          <w:b/>
          <w:szCs w:val="22"/>
          <w:lang w:val="sr-Latn-ME"/>
        </w:rPr>
      </w:pPr>
      <w:r w:rsidRPr="001D68EC">
        <w:rPr>
          <w:b/>
          <w:szCs w:val="22"/>
          <w:lang w:val="sr-Latn-ME"/>
        </w:rPr>
        <w:t>6.6. Posebne m</w:t>
      </w:r>
      <w:r w:rsidR="00CC03C8" w:rsidRPr="001D68EC">
        <w:rPr>
          <w:b/>
          <w:szCs w:val="22"/>
          <w:lang w:val="sr-Latn-ME"/>
        </w:rPr>
        <w:t>j</w:t>
      </w:r>
      <w:r w:rsidRPr="001D68EC">
        <w:rPr>
          <w:b/>
          <w:szCs w:val="22"/>
          <w:lang w:val="sr-Latn-ME"/>
        </w:rPr>
        <w:t>ere o</w:t>
      </w:r>
      <w:r w:rsidR="0031263D" w:rsidRPr="001D68EC">
        <w:rPr>
          <w:b/>
          <w:szCs w:val="22"/>
          <w:lang w:val="sr-Latn-ME"/>
        </w:rPr>
        <w:t>pre</w:t>
      </w:r>
      <w:r w:rsidRPr="001D68EC">
        <w:rPr>
          <w:b/>
          <w:szCs w:val="22"/>
          <w:lang w:val="sr-Latn-ME"/>
        </w:rPr>
        <w:t>za pri odlaganju materijala koji treba odbaciti nakon prim</w:t>
      </w:r>
      <w:r w:rsidR="00C401F4" w:rsidRPr="001D68EC">
        <w:rPr>
          <w:b/>
          <w:szCs w:val="22"/>
          <w:lang w:val="sr-Latn-ME"/>
        </w:rPr>
        <w:t>j</w:t>
      </w:r>
      <w:r w:rsidRPr="001D68EC">
        <w:rPr>
          <w:b/>
          <w:szCs w:val="22"/>
          <w:lang w:val="sr-Latn-ME"/>
        </w:rPr>
        <w:t xml:space="preserve">ene </w:t>
      </w:r>
      <w:r w:rsidR="0031263D" w:rsidRPr="001D68EC">
        <w:rPr>
          <w:b/>
          <w:szCs w:val="22"/>
          <w:lang w:val="sr-Latn-ME"/>
        </w:rPr>
        <w:t>lijek</w:t>
      </w:r>
      <w:r w:rsidRPr="001D68EC">
        <w:rPr>
          <w:b/>
          <w:szCs w:val="22"/>
          <w:lang w:val="sr-Latn-ME"/>
        </w:rPr>
        <w:t>a (i druga</w:t>
      </w:r>
      <w:r w:rsidR="005C15DF" w:rsidRPr="001D68EC">
        <w:rPr>
          <w:b/>
          <w:szCs w:val="22"/>
          <w:lang w:val="sr-Latn-ME"/>
        </w:rPr>
        <w:t xml:space="preserve"> </w:t>
      </w:r>
      <w:r w:rsidRPr="001D68EC">
        <w:rPr>
          <w:b/>
          <w:szCs w:val="22"/>
          <w:lang w:val="sr-Latn-ME"/>
        </w:rPr>
        <w:t xml:space="preserve">uputstva za rukovanje </w:t>
      </w:r>
      <w:r w:rsidR="0031263D" w:rsidRPr="001D68EC">
        <w:rPr>
          <w:b/>
          <w:szCs w:val="22"/>
          <w:lang w:val="sr-Latn-ME"/>
        </w:rPr>
        <w:t>lijek</w:t>
      </w:r>
      <w:r w:rsidRPr="001D68EC">
        <w:rPr>
          <w:b/>
          <w:szCs w:val="22"/>
          <w:lang w:val="sr-Latn-ME"/>
        </w:rPr>
        <w:t>om)</w:t>
      </w:r>
    </w:p>
    <w:p w14:paraId="6CA3916B" w14:textId="77777777" w:rsidR="002E2EF5" w:rsidRPr="001D68EC" w:rsidRDefault="002E2EF5">
      <w:pPr>
        <w:rPr>
          <w:b/>
          <w:szCs w:val="22"/>
          <w:lang w:val="sr-Latn-ME"/>
        </w:rPr>
      </w:pPr>
    </w:p>
    <w:p w14:paraId="35250FB8" w14:textId="017FB243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Prašak treba rekonstituisati sa 5,3 m</w:t>
      </w:r>
      <w:r w:rsidR="00855F21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rastvora za infuziju natrijum</w:t>
      </w:r>
      <w:r w:rsidR="00961CBE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hlorida 9 mg/m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(0,9%),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50 mg/m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(5%) rastvora za infuziju glukoze ili laktatnim Ringerovim rastvorom za infuziju da bi se postigla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koncentracija od 10 mg/m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tigeciklina. Bočicu treba pažljivo okretati u krug dok se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 ne rastvori. Zatim,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5 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rekonstituisanog rastvora treba odmah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baciti u kesu za intravensku infuziju od 100 m</w:t>
      </w:r>
      <w:r w:rsidR="00855F21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ili u drugi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odgovarajući kontejner za infuziju (npr. staklenu bocu).</w:t>
      </w:r>
    </w:p>
    <w:p w14:paraId="69D8E1D3" w14:textId="77777777" w:rsidR="002E2EF5" w:rsidRPr="001D68EC" w:rsidRDefault="002E2EF5">
      <w:pPr>
        <w:rPr>
          <w:szCs w:val="22"/>
          <w:lang w:val="sr-Latn-ME"/>
        </w:rPr>
      </w:pPr>
    </w:p>
    <w:p w14:paraId="2F837A8D" w14:textId="110D526D" w:rsidR="005C15DF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Za dozu</w:t>
      </w:r>
      <w:r w:rsidRPr="001D68EC">
        <w:rPr>
          <w:lang w:val="sr-Latn-ME"/>
        </w:rPr>
        <w:t xml:space="preserve"> </w:t>
      </w:r>
      <w:r w:rsidRPr="001D68EC">
        <w:rPr>
          <w:szCs w:val="22"/>
          <w:lang w:val="sr-Latn-ME"/>
        </w:rPr>
        <w:t>od 100 mg, rastvore dobijene rastvaranjem praška iz dv</w:t>
      </w:r>
      <w:r w:rsidR="00CC03C8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 bočice odmah </w:t>
      </w:r>
      <w:r w:rsidR="0031263D" w:rsidRPr="001D68EC">
        <w:rPr>
          <w:szCs w:val="22"/>
          <w:lang w:val="sr-Latn-ME"/>
        </w:rPr>
        <w:t>pr</w:t>
      </w:r>
      <w:r w:rsidR="00CC03C8" w:rsidRPr="001D68EC">
        <w:rPr>
          <w:szCs w:val="22"/>
          <w:lang w:val="sr-Latn-ME"/>
        </w:rPr>
        <w:t>e</w:t>
      </w:r>
      <w:r w:rsidRPr="001D68EC">
        <w:rPr>
          <w:szCs w:val="22"/>
          <w:lang w:val="sr-Latn-ME"/>
        </w:rPr>
        <w:t>baciti iz bočica u kesu za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intravensku infuziju od 100 m</w:t>
      </w:r>
      <w:r w:rsidR="00DD0411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ili drugi odgovarajući kontejner za infuziju (npr. staklenu bocu).</w:t>
      </w:r>
    </w:p>
    <w:p w14:paraId="692D081D" w14:textId="7F6268F4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Napomena:</w:t>
      </w:r>
      <w:r w:rsidR="005C15DF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bočica sadrži 6% rastvora više. </w:t>
      </w:r>
      <w:r w:rsidR="0031263D" w:rsidRPr="001D68EC">
        <w:rPr>
          <w:szCs w:val="22"/>
          <w:lang w:val="sr-Latn-ME"/>
        </w:rPr>
        <w:t>Pr</w:t>
      </w:r>
      <w:r w:rsidR="00CC03C8" w:rsidRPr="001D68EC">
        <w:rPr>
          <w:szCs w:val="22"/>
          <w:lang w:val="sr-Latn-ME"/>
        </w:rPr>
        <w:t>e</w:t>
      </w:r>
      <w:r w:rsidRPr="001D68EC">
        <w:rPr>
          <w:szCs w:val="22"/>
          <w:lang w:val="sr-Latn-ME"/>
        </w:rPr>
        <w:t>ma tome, 5 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rekonstituisanog rastvora ekvivalentno je sa 50mg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aktivne supstance. Rekonstituisan rastvor treba da bude narandžaste boje, ukoliko nije,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rastvor treba</w:t>
      </w:r>
      <w:r w:rsidR="00C401F4" w:rsidRPr="001D68EC">
        <w:rPr>
          <w:szCs w:val="22"/>
          <w:lang w:val="sr-Latn-ME"/>
        </w:rPr>
        <w:t xml:space="preserve"> </w:t>
      </w:r>
      <w:r w:rsidR="00AC6BB7" w:rsidRPr="001D68EC">
        <w:rPr>
          <w:szCs w:val="22"/>
          <w:lang w:val="sr-Latn-ME"/>
        </w:rPr>
        <w:t>od</w:t>
      </w:r>
      <w:r w:rsidRPr="001D68EC">
        <w:rPr>
          <w:szCs w:val="22"/>
          <w:lang w:val="sr-Latn-ME"/>
        </w:rPr>
        <w:t xml:space="preserve">baciti. 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 xml:space="preserve"> prim</w:t>
      </w:r>
      <w:r w:rsidR="00CC03C8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 xml:space="preserve">ene, parenteralne 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parate treba ispitati vizuelno, zbog mehaničkih nečistoća i prom</w:t>
      </w:r>
      <w:r w:rsidR="00CC03C8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ene boje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(npr. zelena ili crna).</w:t>
      </w:r>
    </w:p>
    <w:p w14:paraId="7F9D363E" w14:textId="77777777" w:rsidR="002E2EF5" w:rsidRPr="001D68EC" w:rsidRDefault="002E2EF5">
      <w:pPr>
        <w:rPr>
          <w:szCs w:val="22"/>
          <w:lang w:val="sr-Latn-ME"/>
        </w:rPr>
      </w:pPr>
    </w:p>
    <w:p w14:paraId="699DB97B" w14:textId="08580813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Tigeciklin </w:t>
      </w:r>
      <w:r w:rsidR="003C3842" w:rsidRPr="001D68EC">
        <w:rPr>
          <w:szCs w:val="22"/>
          <w:lang w:val="sr-Latn-ME"/>
        </w:rPr>
        <w:t>se mora</w:t>
      </w:r>
      <w:r w:rsidRPr="001D68EC">
        <w:rPr>
          <w:szCs w:val="22"/>
          <w:lang w:val="sr-Latn-ME"/>
        </w:rPr>
        <w:t xml:space="preserve"> prim</w:t>
      </w:r>
      <w:r w:rsidR="00CC03C8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>eniti intravenski pomoću zasebnog infuzionog seta ili pomoću Y-infuzionog seta.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Ukoliko se ista intravenska linija koristi za uzastopnu infuziju više aktivnih supstanci, treba je isprati </w:t>
      </w:r>
      <w:r w:rsidR="0031263D" w:rsidRPr="001D68EC">
        <w:rPr>
          <w:szCs w:val="22"/>
          <w:lang w:val="sr-Latn-ME"/>
        </w:rPr>
        <w:t>prije</w:t>
      </w:r>
      <w:r w:rsidRPr="001D68EC">
        <w:rPr>
          <w:szCs w:val="22"/>
          <w:lang w:val="sr-Latn-ME"/>
        </w:rPr>
        <w:t xml:space="preserve"> i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nakon infuzije tigeciklina ili sa 9 mg/m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(0,9%) rastvora za infuziju natrijum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hlorida ili sa 50 mg/m</w:t>
      </w:r>
      <w:r w:rsidR="00DD0411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(5%)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rastvora za infuziju glukoze. Infuzioni rastvor treba pri</w:t>
      </w:r>
      <w:r w:rsidR="0031263D" w:rsidRPr="001D68EC">
        <w:rPr>
          <w:szCs w:val="22"/>
          <w:lang w:val="sr-Latn-ME"/>
        </w:rPr>
        <w:t>pre</w:t>
      </w:r>
      <w:r w:rsidRPr="001D68EC">
        <w:rPr>
          <w:szCs w:val="22"/>
          <w:lang w:val="sr-Latn-ME"/>
        </w:rPr>
        <w:t>miti sa infuzionim rastvorom koji je kompatibilan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sa tigeciklinom i drugim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om (</w:t>
      </w:r>
      <w:r w:rsidR="0031263D" w:rsidRPr="001D68EC">
        <w:rPr>
          <w:szCs w:val="22"/>
          <w:lang w:val="sr-Latn-ME"/>
        </w:rPr>
        <w:t>ljekovima</w:t>
      </w:r>
      <w:r w:rsidRPr="001D68EC">
        <w:rPr>
          <w:szCs w:val="22"/>
          <w:lang w:val="sr-Latn-ME"/>
        </w:rPr>
        <w:t>) koji se prim</w:t>
      </w:r>
      <w:r w:rsidR="00CC03C8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enjuju kroz zajedničku i.v. liniju (</w:t>
      </w:r>
      <w:r w:rsidR="005B2A36" w:rsidRPr="001D68EC">
        <w:rPr>
          <w:szCs w:val="22"/>
          <w:lang w:val="sr-Latn-ME"/>
        </w:rPr>
        <w:t>pogledati</w:t>
      </w:r>
      <w:r w:rsidRPr="001D68EC">
        <w:rPr>
          <w:szCs w:val="22"/>
          <w:lang w:val="sr-Latn-ME"/>
        </w:rPr>
        <w:t xml:space="preserve"> </w:t>
      </w:r>
      <w:r w:rsidR="0031263D" w:rsidRPr="001D68EC">
        <w:rPr>
          <w:szCs w:val="22"/>
          <w:lang w:val="sr-Latn-ME"/>
        </w:rPr>
        <w:t>dio</w:t>
      </w:r>
      <w:r w:rsidRPr="001D68EC">
        <w:rPr>
          <w:szCs w:val="22"/>
          <w:lang w:val="sr-Latn-ME"/>
        </w:rPr>
        <w:t xml:space="preserve"> 6.2).</w:t>
      </w:r>
    </w:p>
    <w:p w14:paraId="62E183D1" w14:textId="77777777" w:rsidR="002E2EF5" w:rsidRPr="001D68EC" w:rsidRDefault="002E2EF5">
      <w:pPr>
        <w:rPr>
          <w:szCs w:val="22"/>
          <w:lang w:val="sr-Latn-ME"/>
        </w:rPr>
      </w:pPr>
    </w:p>
    <w:p w14:paraId="66A0C7E6" w14:textId="462CA89A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 xml:space="preserve">Ovaj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 xml:space="preserve"> je nam</w:t>
      </w:r>
      <w:r w:rsidR="00CC03C8" w:rsidRPr="001D68EC">
        <w:rPr>
          <w:szCs w:val="22"/>
          <w:lang w:val="sr-Latn-ME"/>
        </w:rPr>
        <w:t>ij</w:t>
      </w:r>
      <w:r w:rsidRPr="001D68EC">
        <w:rPr>
          <w:szCs w:val="22"/>
          <w:lang w:val="sr-Latn-ME"/>
        </w:rPr>
        <w:t xml:space="preserve">enjen za jednokratnu upotrebu. Svu neiskorišćenu količinu </w:t>
      </w:r>
      <w:r w:rsidR="0031263D" w:rsidRPr="001D68EC">
        <w:rPr>
          <w:szCs w:val="22"/>
          <w:lang w:val="sr-Latn-ME"/>
        </w:rPr>
        <w:t>lijek</w:t>
      </w:r>
      <w:r w:rsidRPr="001D68EC">
        <w:rPr>
          <w:szCs w:val="22"/>
          <w:lang w:val="sr-Latn-ME"/>
        </w:rPr>
        <w:t>a ili otpadnog materijala nakon</w:t>
      </w:r>
      <w:r w:rsidR="00C401F4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njegove upotrebe treba ukloniti, u skladu sa važećim propisima.</w:t>
      </w:r>
    </w:p>
    <w:p w14:paraId="4121B040" w14:textId="77777777" w:rsidR="002E2EF5" w:rsidRPr="001D68EC" w:rsidRDefault="002E2EF5">
      <w:pPr>
        <w:rPr>
          <w:szCs w:val="22"/>
          <w:lang w:val="sr-Latn-ME"/>
        </w:rPr>
      </w:pPr>
    </w:p>
    <w:p w14:paraId="1AA5526B" w14:textId="3F45194B" w:rsidR="002E2EF5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Kompatibilni intravenski rastvori su: natrijum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hlorid 9 mg/m</w:t>
      </w:r>
      <w:r w:rsidR="00C0763F" w:rsidRPr="001D68EC">
        <w:rPr>
          <w:szCs w:val="22"/>
          <w:lang w:val="sr-Latn-ME"/>
        </w:rPr>
        <w:t>l</w:t>
      </w:r>
      <w:r w:rsidRPr="001D68EC">
        <w:rPr>
          <w:szCs w:val="22"/>
          <w:lang w:val="sr-Latn-ME"/>
        </w:rPr>
        <w:t xml:space="preserve"> (0,9%) rastvor za infuziju, glukoza 50 mg/m</w:t>
      </w:r>
      <w:r w:rsidR="00C0763F" w:rsidRPr="001D68EC">
        <w:rPr>
          <w:szCs w:val="22"/>
          <w:lang w:val="sr-Latn-ME"/>
        </w:rPr>
        <w:t>l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(5%) rastvor za infuziju i laktatni Ringerov rastvor za infuziju.</w:t>
      </w:r>
    </w:p>
    <w:p w14:paraId="53578094" w14:textId="77777777" w:rsidR="002E2EF5" w:rsidRPr="001D68EC" w:rsidRDefault="002E2EF5">
      <w:pPr>
        <w:rPr>
          <w:szCs w:val="22"/>
          <w:lang w:val="sr-Latn-ME"/>
        </w:rPr>
      </w:pPr>
    </w:p>
    <w:p w14:paraId="6EC8919A" w14:textId="15A7DC0D" w:rsidR="00C63401" w:rsidRPr="001D68EC" w:rsidRDefault="002E2EF5">
      <w:pPr>
        <w:rPr>
          <w:szCs w:val="22"/>
          <w:lang w:val="sr-Latn-ME"/>
        </w:rPr>
      </w:pPr>
      <w:r w:rsidRPr="001D68EC">
        <w:rPr>
          <w:szCs w:val="22"/>
          <w:lang w:val="sr-Latn-ME"/>
        </w:rPr>
        <w:t>Kada se</w:t>
      </w:r>
      <w:r w:rsidRPr="001D68EC">
        <w:rPr>
          <w:lang w:val="sr-Latn-ME"/>
        </w:rPr>
        <w:t xml:space="preserve"> </w:t>
      </w:r>
      <w:r w:rsidRPr="001D68EC">
        <w:rPr>
          <w:szCs w:val="22"/>
          <w:lang w:val="sr-Latn-ME"/>
        </w:rPr>
        <w:t>prim</w:t>
      </w:r>
      <w:r w:rsidR="00CC03C8" w:rsidRPr="001D68EC">
        <w:rPr>
          <w:szCs w:val="22"/>
          <w:lang w:val="sr-Latn-ME"/>
        </w:rPr>
        <w:t>j</w:t>
      </w:r>
      <w:r w:rsidRPr="001D68EC">
        <w:rPr>
          <w:szCs w:val="22"/>
          <w:lang w:val="sr-Latn-ME"/>
        </w:rPr>
        <w:t>enjuje Y-infuzioni set, kompatibilnost tigecilkina razblaženog sa 0,9% rastvorom za infuziju</w:t>
      </w:r>
      <w:r w:rsidR="0024109D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natrijum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 xml:space="preserve">hlorida dokazana je sa sledećim </w:t>
      </w:r>
      <w:r w:rsidR="0031263D" w:rsidRPr="001D68EC">
        <w:rPr>
          <w:szCs w:val="22"/>
          <w:lang w:val="sr-Latn-ME"/>
        </w:rPr>
        <w:t>ljekovima</w:t>
      </w:r>
      <w:r w:rsidRPr="001D68EC">
        <w:rPr>
          <w:szCs w:val="22"/>
          <w:lang w:val="sr-Latn-ME"/>
        </w:rPr>
        <w:t xml:space="preserve"> ili rastvorima za razblaživanje: amikacin, dobutamin,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dopamin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hidrohlorid, gentamicin, haloperidol, laktatni Ringerov rastvor, lidokain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hidrohlorid,</w:t>
      </w:r>
      <w:r w:rsidR="0020651B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metoklopramid, morfin, norepinefrin, piperacilin/tazobaktam (EDTA formulacija), kalijum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hlorid, propofol,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ranitidin</w:t>
      </w:r>
      <w:r w:rsidR="00DD0411" w:rsidRPr="001D68EC">
        <w:rPr>
          <w:szCs w:val="22"/>
          <w:lang w:val="sr-Latn-ME"/>
        </w:rPr>
        <w:t xml:space="preserve"> </w:t>
      </w:r>
      <w:r w:rsidRPr="001D68EC">
        <w:rPr>
          <w:szCs w:val="22"/>
          <w:lang w:val="sr-Latn-ME"/>
        </w:rPr>
        <w:t>hidrohlorid, teofilin i tobramicin.</w:t>
      </w:r>
    </w:p>
    <w:p w14:paraId="1F86AB0C" w14:textId="44CFF5B6" w:rsidR="00C63401" w:rsidRDefault="00C63401">
      <w:pPr>
        <w:rPr>
          <w:szCs w:val="22"/>
          <w:lang w:val="sr-Latn-ME"/>
        </w:rPr>
      </w:pPr>
    </w:p>
    <w:p w14:paraId="791223A7" w14:textId="04248000" w:rsidR="002E204C" w:rsidRDefault="002E204C">
      <w:pPr>
        <w:rPr>
          <w:szCs w:val="22"/>
          <w:lang w:val="sr-Latn-ME"/>
        </w:rPr>
      </w:pPr>
    </w:p>
    <w:p w14:paraId="074F33EE" w14:textId="77777777" w:rsidR="002E204C" w:rsidRPr="001D68EC" w:rsidRDefault="002E204C">
      <w:pPr>
        <w:rPr>
          <w:szCs w:val="22"/>
          <w:lang w:val="sr-Latn-ME"/>
        </w:rPr>
      </w:pPr>
    </w:p>
    <w:p w14:paraId="0C5CA6A2" w14:textId="77777777" w:rsidR="00CE09F3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lastRenderedPageBreak/>
        <w:t xml:space="preserve">7. NOSILAC DOZVOLE </w:t>
      </w:r>
    </w:p>
    <w:p w14:paraId="4B118977" w14:textId="77777777" w:rsidR="00C401F4" w:rsidRPr="001D68EC" w:rsidRDefault="00C401F4">
      <w:pPr>
        <w:tabs>
          <w:tab w:val="clear" w:pos="284"/>
        </w:tabs>
        <w:rPr>
          <w:szCs w:val="22"/>
          <w:lang w:val="sr-Latn-ME"/>
        </w:rPr>
      </w:pPr>
      <w:r w:rsidRPr="001D68EC">
        <w:rPr>
          <w:szCs w:val="22"/>
          <w:lang w:val="sr-Latn-ME"/>
        </w:rPr>
        <w:t>Društvo za trgovinu, promet i usluge “Pontera Pharma Solutions” doo Podgorica</w:t>
      </w:r>
    </w:p>
    <w:p w14:paraId="27708AB8" w14:textId="68E1C771" w:rsidR="00C401F4" w:rsidRPr="001D68EC" w:rsidRDefault="00C401F4">
      <w:pPr>
        <w:tabs>
          <w:tab w:val="clear" w:pos="284"/>
        </w:tabs>
        <w:rPr>
          <w:szCs w:val="22"/>
          <w:lang w:val="sr-Latn-ME"/>
        </w:rPr>
      </w:pPr>
      <w:r w:rsidRPr="001D68EC">
        <w:rPr>
          <w:szCs w:val="22"/>
          <w:lang w:val="sr-Latn-ME"/>
        </w:rPr>
        <w:t>Cijevna bb, Podgorica, Crna Gora</w:t>
      </w:r>
    </w:p>
    <w:p w14:paraId="38AD1A42" w14:textId="77777777" w:rsidR="00CC03C8" w:rsidRPr="001D68EC" w:rsidRDefault="00CC03C8" w:rsidP="00390241">
      <w:pPr>
        <w:pStyle w:val="NoSpacing"/>
        <w:jc w:val="both"/>
        <w:rPr>
          <w:sz w:val="22"/>
          <w:szCs w:val="22"/>
          <w:lang w:val="sr-Latn-ME"/>
        </w:rPr>
      </w:pPr>
    </w:p>
    <w:p w14:paraId="14BD1766" w14:textId="4C2CFBA6" w:rsidR="00C401F4" w:rsidRPr="001D68EC" w:rsidRDefault="00CE09F3" w:rsidP="00390241">
      <w:pPr>
        <w:pStyle w:val="NASLOV123"/>
        <w:jc w:val="both"/>
        <w:rPr>
          <w:bCs/>
          <w:lang w:val="sr-Latn-ME"/>
        </w:rPr>
      </w:pPr>
      <w:r w:rsidRPr="001D68EC">
        <w:rPr>
          <w:lang w:val="sr-Latn-ME"/>
        </w:rPr>
        <w:t xml:space="preserve">8. </w:t>
      </w:r>
      <w:r w:rsidR="00111C43" w:rsidRPr="001D68EC">
        <w:rPr>
          <w:lang w:val="sr-Latn-ME"/>
        </w:rPr>
        <w:t>BROJ DOZVOLE</w:t>
      </w:r>
      <w:r w:rsidRPr="001D68EC">
        <w:rPr>
          <w:lang w:val="sr-Latn-ME"/>
        </w:rPr>
        <w:t xml:space="preserve"> ZA STAVLJANJE </w:t>
      </w:r>
      <w:r w:rsidR="0031263D" w:rsidRPr="001D68EC">
        <w:rPr>
          <w:lang w:val="sr-Latn-ME"/>
        </w:rPr>
        <w:t>LIJEK</w:t>
      </w:r>
      <w:r w:rsidRPr="001D68EC">
        <w:rPr>
          <w:lang w:val="sr-Latn-ME"/>
        </w:rPr>
        <w:t>A U PROMET</w:t>
      </w:r>
    </w:p>
    <w:p w14:paraId="66996736" w14:textId="77777777" w:rsidR="00CE05FE" w:rsidRPr="00CE05FE" w:rsidRDefault="00CE05FE" w:rsidP="00CE05FE">
      <w:pPr>
        <w:pStyle w:val="NASLOV123"/>
        <w:spacing w:before="0" w:after="0"/>
        <w:jc w:val="both"/>
        <w:rPr>
          <w:b w:val="0"/>
          <w:lang w:val="sr-Latn-ME"/>
        </w:rPr>
      </w:pPr>
      <w:r w:rsidRPr="00CE05FE">
        <w:rPr>
          <w:b w:val="0"/>
          <w:lang w:val="sr-Latn-ME"/>
        </w:rPr>
        <w:t>2030/24/5206 – 6359</w:t>
      </w:r>
    </w:p>
    <w:p w14:paraId="7B7FE9C2" w14:textId="27F04C89" w:rsidR="00CE05FE" w:rsidRDefault="00CE05FE" w:rsidP="00CE05FE">
      <w:pPr>
        <w:pStyle w:val="NASLOV123"/>
        <w:spacing w:before="0" w:after="0"/>
        <w:jc w:val="both"/>
        <w:rPr>
          <w:lang w:val="sr-Latn-ME"/>
        </w:rPr>
      </w:pPr>
    </w:p>
    <w:p w14:paraId="48B4DFCA" w14:textId="77777777" w:rsidR="00CE05FE" w:rsidRDefault="00CE05FE" w:rsidP="00CE05FE">
      <w:pPr>
        <w:pStyle w:val="NASLOV123"/>
        <w:spacing w:before="0" w:after="0"/>
        <w:jc w:val="both"/>
        <w:rPr>
          <w:lang w:val="sr-Latn-ME"/>
        </w:rPr>
      </w:pPr>
    </w:p>
    <w:p w14:paraId="02F193CA" w14:textId="4165DA99" w:rsidR="00CE09F3" w:rsidRPr="001D68EC" w:rsidRDefault="00CE09F3" w:rsidP="00CE05FE">
      <w:pPr>
        <w:pStyle w:val="NASLOV123"/>
        <w:spacing w:before="0" w:after="0"/>
        <w:jc w:val="both"/>
        <w:rPr>
          <w:lang w:val="sr-Latn-ME"/>
        </w:rPr>
      </w:pPr>
      <w:r w:rsidRPr="001D68EC">
        <w:rPr>
          <w:lang w:val="sr-Latn-ME"/>
        </w:rPr>
        <w:t>9.</w:t>
      </w:r>
      <w:r w:rsidR="008236D4" w:rsidRPr="001D68EC">
        <w:rPr>
          <w:lang w:val="sr-Latn-ME"/>
        </w:rPr>
        <w:t xml:space="preserve"> </w:t>
      </w:r>
      <w:r w:rsidRPr="001D68EC">
        <w:rPr>
          <w:lang w:val="sr-Latn-ME"/>
        </w:rPr>
        <w:t>DATUM PRVE DOZVOLE</w:t>
      </w:r>
      <w:r w:rsidR="00C401F4" w:rsidRPr="001D68EC">
        <w:rPr>
          <w:lang w:val="sr-Latn-ME"/>
        </w:rPr>
        <w:t>/</w:t>
      </w:r>
      <w:r w:rsidRPr="001D68EC">
        <w:rPr>
          <w:lang w:val="sr-Latn-ME"/>
        </w:rPr>
        <w:t xml:space="preserve">DATUM OBNOVE DOZVOLE ZA STAVLJANJE </w:t>
      </w:r>
      <w:r w:rsidR="0031263D" w:rsidRPr="001D68EC">
        <w:rPr>
          <w:lang w:val="sr-Latn-ME"/>
        </w:rPr>
        <w:t>LIJEK</w:t>
      </w:r>
      <w:r w:rsidRPr="001D68EC">
        <w:rPr>
          <w:lang w:val="sr-Latn-ME"/>
        </w:rPr>
        <w:t>A U PROMET</w:t>
      </w:r>
    </w:p>
    <w:p w14:paraId="633F16AA" w14:textId="3424E7A7" w:rsidR="008236D4" w:rsidRDefault="008236D4">
      <w:pPr>
        <w:rPr>
          <w:b/>
          <w:sz w:val="20"/>
          <w:szCs w:val="20"/>
          <w:lang w:val="sr-Latn-ME"/>
        </w:rPr>
      </w:pPr>
    </w:p>
    <w:p w14:paraId="06D7C119" w14:textId="565B9C8D" w:rsidR="00CE05FE" w:rsidRDefault="00CE05FE">
      <w:pPr>
        <w:rPr>
          <w:sz w:val="20"/>
          <w:szCs w:val="20"/>
          <w:lang w:val="sr-Latn-ME"/>
        </w:rPr>
      </w:pPr>
      <w:r w:rsidRPr="003C0FF1">
        <w:rPr>
          <w:szCs w:val="20"/>
          <w:lang w:val="sr-Latn-ME"/>
        </w:rPr>
        <w:t>10.10.2024. godine</w:t>
      </w:r>
    </w:p>
    <w:p w14:paraId="1391C137" w14:textId="77777777" w:rsidR="00CE05FE" w:rsidRPr="00CE05FE" w:rsidRDefault="00CE05FE">
      <w:pPr>
        <w:rPr>
          <w:sz w:val="20"/>
          <w:szCs w:val="20"/>
          <w:lang w:val="sr-Latn-ME"/>
        </w:rPr>
      </w:pPr>
    </w:p>
    <w:p w14:paraId="65E4B04E" w14:textId="6D300634" w:rsidR="00923865" w:rsidRPr="001D68EC" w:rsidRDefault="00CE09F3">
      <w:pPr>
        <w:pStyle w:val="NASLOV123"/>
        <w:jc w:val="both"/>
        <w:rPr>
          <w:lang w:val="sr-Latn-ME"/>
        </w:rPr>
      </w:pPr>
      <w:r w:rsidRPr="001D68EC">
        <w:rPr>
          <w:lang w:val="sr-Latn-ME"/>
        </w:rPr>
        <w:t>10. DATUM REVIZIJE TEKSTA</w:t>
      </w:r>
    </w:p>
    <w:p w14:paraId="666AE95B" w14:textId="52EAA7C6" w:rsidR="008236D4" w:rsidRPr="001D68EC" w:rsidRDefault="00CE05FE">
      <w:pPr>
        <w:pStyle w:val="NASLOV123"/>
        <w:jc w:val="both"/>
        <w:rPr>
          <w:b w:val="0"/>
          <w:bCs/>
          <w:lang w:val="sr-Latn-ME"/>
        </w:rPr>
      </w:pPr>
      <w:r>
        <w:rPr>
          <w:b w:val="0"/>
          <w:bCs/>
          <w:lang w:val="sr-Latn-ME"/>
        </w:rPr>
        <w:t>Oktobar, 2024. godine</w:t>
      </w:r>
    </w:p>
    <w:sectPr w:rsidR="008236D4" w:rsidRPr="001D68EC" w:rsidSect="001D68EC">
      <w:footerReference w:type="even" r:id="rId11"/>
      <w:footerReference w:type="default" r:id="rId12"/>
      <w:pgSz w:w="11907" w:h="16840" w:code="9"/>
      <w:pgMar w:top="1135" w:right="1134" w:bottom="1135" w:left="1134" w:header="357" w:footer="284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7AC71C4" w14:textId="77777777" w:rsidR="00D7523F" w:rsidRDefault="00D7523F">
      <w:r>
        <w:separator/>
      </w:r>
    </w:p>
  </w:endnote>
  <w:endnote w:type="continuationSeparator" w:id="0">
    <w:p w14:paraId="6D3AC463" w14:textId="77777777" w:rsidR="00D7523F" w:rsidRDefault="00D75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(W1)">
    <w:altName w:val="Arial"/>
    <w:charset w:val="00"/>
    <w:family w:val="swiss"/>
    <w:pitch w:val="variable"/>
    <w:sig w:usb0="00000000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umanist777">
    <w:altName w:val="MS Gothic"/>
    <w:charset w:val="00"/>
    <w:family w:val="swiss"/>
    <w:pitch w:val="variable"/>
    <w:sig w:usb0="00000001" w:usb1="00000000" w:usb2="00000000" w:usb3="00000000" w:csb0="0000001B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540524" w14:textId="77777777" w:rsidR="00AE55CE" w:rsidRDefault="00AE55CE" w:rsidP="009B793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3560847" w14:textId="77777777" w:rsidR="00AE55CE" w:rsidRDefault="00AE55C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6E5A8A" w14:textId="371BAF4D" w:rsidR="00AE55CE" w:rsidRPr="001D68EC" w:rsidRDefault="00D7523F" w:rsidP="00CE09F3">
    <w:pPr>
      <w:pStyle w:val="Footer"/>
      <w:tabs>
        <w:tab w:val="left" w:pos="5448"/>
      </w:tabs>
      <w:spacing w:before="360"/>
      <w:jc w:val="center"/>
      <w:rPr>
        <w:sz w:val="28"/>
      </w:rPr>
    </w:pPr>
    <w:sdt>
      <w:sdtPr>
        <w:id w:val="25862803"/>
        <w:docPartObj>
          <w:docPartGallery w:val="Page Numbers (Bottom of Page)"/>
          <w:docPartUnique/>
        </w:docPartObj>
      </w:sdtPr>
      <w:sdtEndPr>
        <w:rPr>
          <w:sz w:val="28"/>
        </w:rPr>
      </w:sdtEndPr>
      <w:sdtContent>
        <w:sdt>
          <w:sdtPr>
            <w:id w:val="565050477"/>
            <w:docPartObj>
              <w:docPartGallery w:val="Page Numbers (Top of Page)"/>
              <w:docPartUnique/>
            </w:docPartObj>
          </w:sdtPr>
          <w:sdtEndPr>
            <w:rPr>
              <w:sz w:val="28"/>
            </w:rPr>
          </w:sdtEndPr>
          <w:sdtContent>
            <w:r w:rsidR="00AE55CE" w:rsidRPr="001D68EC">
              <w:rPr>
                <w:szCs w:val="18"/>
              </w:rPr>
              <w:fldChar w:fldCharType="begin"/>
            </w:r>
            <w:r w:rsidR="00AE55CE" w:rsidRPr="001D68EC">
              <w:rPr>
                <w:szCs w:val="18"/>
              </w:rPr>
              <w:instrText xml:space="preserve"> PAGE </w:instrText>
            </w:r>
            <w:r w:rsidR="00AE55CE" w:rsidRPr="001D68EC">
              <w:rPr>
                <w:szCs w:val="18"/>
              </w:rPr>
              <w:fldChar w:fldCharType="separate"/>
            </w:r>
            <w:r w:rsidR="003C0FF1">
              <w:rPr>
                <w:noProof/>
                <w:szCs w:val="18"/>
              </w:rPr>
              <w:t>15</w:t>
            </w:r>
            <w:r w:rsidR="00AE55CE" w:rsidRPr="001D68EC">
              <w:rPr>
                <w:szCs w:val="18"/>
              </w:rPr>
              <w:fldChar w:fldCharType="end"/>
            </w:r>
            <w:r w:rsidR="00AE55CE" w:rsidRPr="001D68EC">
              <w:rPr>
                <w:szCs w:val="18"/>
              </w:rPr>
              <w:t xml:space="preserve"> / </w:t>
            </w:r>
            <w:r w:rsidR="00AE55CE" w:rsidRPr="001D68EC">
              <w:rPr>
                <w:szCs w:val="18"/>
              </w:rPr>
              <w:fldChar w:fldCharType="begin"/>
            </w:r>
            <w:r w:rsidR="00AE55CE" w:rsidRPr="001D68EC">
              <w:rPr>
                <w:szCs w:val="18"/>
              </w:rPr>
              <w:instrText xml:space="preserve"> NUMPAGES  </w:instrText>
            </w:r>
            <w:r w:rsidR="00AE55CE" w:rsidRPr="001D68EC">
              <w:rPr>
                <w:szCs w:val="18"/>
              </w:rPr>
              <w:fldChar w:fldCharType="separate"/>
            </w:r>
            <w:r w:rsidR="003C0FF1">
              <w:rPr>
                <w:noProof/>
                <w:szCs w:val="18"/>
              </w:rPr>
              <w:t>15</w:t>
            </w:r>
            <w:r w:rsidR="00AE55CE" w:rsidRPr="001D68EC">
              <w:rPr>
                <w:szCs w:val="18"/>
              </w:rPr>
              <w:fldChar w:fldCharType="end"/>
            </w:r>
          </w:sdtContent>
        </w:sdt>
      </w:sdtContent>
    </w:sdt>
  </w:p>
  <w:p w14:paraId="45942E82" w14:textId="77777777" w:rsidR="00AE55CE" w:rsidRPr="00C536C2" w:rsidRDefault="00AE55CE" w:rsidP="00C536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9225AF" w14:textId="77777777" w:rsidR="00D7523F" w:rsidRDefault="00D7523F">
      <w:r>
        <w:separator/>
      </w:r>
    </w:p>
  </w:footnote>
  <w:footnote w:type="continuationSeparator" w:id="0">
    <w:p w14:paraId="30E1055A" w14:textId="77777777" w:rsidR="00D7523F" w:rsidRDefault="00D752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EAF93"/>
    <w:multiLevelType w:val="singleLevel"/>
    <w:tmpl w:val="5AD292E4"/>
    <w:lvl w:ilvl="0">
      <w:start w:val="7"/>
      <w:numFmt w:val="decimal"/>
      <w:lvlText w:val="%1."/>
      <w:lvlJc w:val="left"/>
      <w:pPr>
        <w:tabs>
          <w:tab w:val="num" w:pos="576"/>
        </w:tabs>
        <w:ind w:left="0" w:firstLine="0"/>
      </w:pPr>
      <w:rPr>
        <w:b/>
        <w:bCs/>
        <w:i w:val="0"/>
        <w:color w:val="auto"/>
        <w:sz w:val="22"/>
        <w:szCs w:val="22"/>
      </w:rPr>
    </w:lvl>
  </w:abstractNum>
  <w:abstractNum w:abstractNumId="1" w15:restartNumberingAfterBreak="0">
    <w:nsid w:val="1CC0183C"/>
    <w:multiLevelType w:val="multilevel"/>
    <w:tmpl w:val="BD06391A"/>
    <w:lvl w:ilvl="0">
      <w:start w:val="6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433A472A"/>
    <w:multiLevelType w:val="hybridMultilevel"/>
    <w:tmpl w:val="B6DA48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E32F3"/>
    <w:multiLevelType w:val="multilevel"/>
    <w:tmpl w:val="BDE0B4C6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7"/>
    </w:lvlOverride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6DA"/>
    <w:rsid w:val="00000BCE"/>
    <w:rsid w:val="00001600"/>
    <w:rsid w:val="00001F1F"/>
    <w:rsid w:val="00005EA5"/>
    <w:rsid w:val="0001121D"/>
    <w:rsid w:val="00017801"/>
    <w:rsid w:val="00021FBA"/>
    <w:rsid w:val="000222EC"/>
    <w:rsid w:val="00023708"/>
    <w:rsid w:val="00026B1D"/>
    <w:rsid w:val="000278E1"/>
    <w:rsid w:val="00032CF8"/>
    <w:rsid w:val="00033571"/>
    <w:rsid w:val="00040636"/>
    <w:rsid w:val="00041BF6"/>
    <w:rsid w:val="000470E1"/>
    <w:rsid w:val="00047C74"/>
    <w:rsid w:val="000510E9"/>
    <w:rsid w:val="00052EB9"/>
    <w:rsid w:val="00053384"/>
    <w:rsid w:val="0005404F"/>
    <w:rsid w:val="00056E83"/>
    <w:rsid w:val="0005798D"/>
    <w:rsid w:val="00063E28"/>
    <w:rsid w:val="00063E6C"/>
    <w:rsid w:val="00064273"/>
    <w:rsid w:val="00065D2F"/>
    <w:rsid w:val="0006672F"/>
    <w:rsid w:val="00066B64"/>
    <w:rsid w:val="00066DC3"/>
    <w:rsid w:val="000713A7"/>
    <w:rsid w:val="00073DB4"/>
    <w:rsid w:val="000755F3"/>
    <w:rsid w:val="000774D4"/>
    <w:rsid w:val="000777B9"/>
    <w:rsid w:val="00081D9E"/>
    <w:rsid w:val="00083BE0"/>
    <w:rsid w:val="00083D7C"/>
    <w:rsid w:val="000853E3"/>
    <w:rsid w:val="00087654"/>
    <w:rsid w:val="00092D73"/>
    <w:rsid w:val="00095FB6"/>
    <w:rsid w:val="0009758B"/>
    <w:rsid w:val="000979DC"/>
    <w:rsid w:val="000A0F4A"/>
    <w:rsid w:val="000A152D"/>
    <w:rsid w:val="000A51F6"/>
    <w:rsid w:val="000A5FAC"/>
    <w:rsid w:val="000A609A"/>
    <w:rsid w:val="000A6432"/>
    <w:rsid w:val="000B039C"/>
    <w:rsid w:val="000B2337"/>
    <w:rsid w:val="000B5178"/>
    <w:rsid w:val="000B7B6E"/>
    <w:rsid w:val="000C14BE"/>
    <w:rsid w:val="000C1FDB"/>
    <w:rsid w:val="000C376D"/>
    <w:rsid w:val="000C5AFE"/>
    <w:rsid w:val="000C6002"/>
    <w:rsid w:val="000C675E"/>
    <w:rsid w:val="000C738F"/>
    <w:rsid w:val="000D05E0"/>
    <w:rsid w:val="000D0E77"/>
    <w:rsid w:val="000D3CE9"/>
    <w:rsid w:val="000D401F"/>
    <w:rsid w:val="000D44A7"/>
    <w:rsid w:val="000D4E74"/>
    <w:rsid w:val="000D5631"/>
    <w:rsid w:val="000E1A3C"/>
    <w:rsid w:val="000E6645"/>
    <w:rsid w:val="000E75C0"/>
    <w:rsid w:val="000F2064"/>
    <w:rsid w:val="000F21AE"/>
    <w:rsid w:val="000F473F"/>
    <w:rsid w:val="000F4765"/>
    <w:rsid w:val="000F6677"/>
    <w:rsid w:val="000F6A3F"/>
    <w:rsid w:val="00101282"/>
    <w:rsid w:val="00101585"/>
    <w:rsid w:val="001037A4"/>
    <w:rsid w:val="00107B25"/>
    <w:rsid w:val="00107DC9"/>
    <w:rsid w:val="00111C43"/>
    <w:rsid w:val="0011343C"/>
    <w:rsid w:val="0011362B"/>
    <w:rsid w:val="00116614"/>
    <w:rsid w:val="00116FD1"/>
    <w:rsid w:val="00121240"/>
    <w:rsid w:val="001234D7"/>
    <w:rsid w:val="0012397B"/>
    <w:rsid w:val="00130715"/>
    <w:rsid w:val="001327B5"/>
    <w:rsid w:val="00133B39"/>
    <w:rsid w:val="001344D0"/>
    <w:rsid w:val="00140069"/>
    <w:rsid w:val="00141639"/>
    <w:rsid w:val="0014180A"/>
    <w:rsid w:val="001423EB"/>
    <w:rsid w:val="00142AE1"/>
    <w:rsid w:val="0014328D"/>
    <w:rsid w:val="001469F0"/>
    <w:rsid w:val="00147326"/>
    <w:rsid w:val="00150E78"/>
    <w:rsid w:val="00152510"/>
    <w:rsid w:val="001526B7"/>
    <w:rsid w:val="00153929"/>
    <w:rsid w:val="00157FD0"/>
    <w:rsid w:val="00164205"/>
    <w:rsid w:val="00166084"/>
    <w:rsid w:val="0016692D"/>
    <w:rsid w:val="0016726B"/>
    <w:rsid w:val="00167B82"/>
    <w:rsid w:val="00170CEF"/>
    <w:rsid w:val="00170E6E"/>
    <w:rsid w:val="0017208A"/>
    <w:rsid w:val="00173D18"/>
    <w:rsid w:val="00175153"/>
    <w:rsid w:val="00175362"/>
    <w:rsid w:val="00175772"/>
    <w:rsid w:val="00175A7E"/>
    <w:rsid w:val="001762A2"/>
    <w:rsid w:val="001776FB"/>
    <w:rsid w:val="0018101B"/>
    <w:rsid w:val="00182A2C"/>
    <w:rsid w:val="00183DBC"/>
    <w:rsid w:val="0018601D"/>
    <w:rsid w:val="00186041"/>
    <w:rsid w:val="00186866"/>
    <w:rsid w:val="001878C1"/>
    <w:rsid w:val="001938E5"/>
    <w:rsid w:val="00194CB9"/>
    <w:rsid w:val="001965F7"/>
    <w:rsid w:val="001972A9"/>
    <w:rsid w:val="00197373"/>
    <w:rsid w:val="001A0DC7"/>
    <w:rsid w:val="001A1778"/>
    <w:rsid w:val="001A2ABA"/>
    <w:rsid w:val="001A6B6C"/>
    <w:rsid w:val="001B009C"/>
    <w:rsid w:val="001B11B5"/>
    <w:rsid w:val="001B35B7"/>
    <w:rsid w:val="001B3AA6"/>
    <w:rsid w:val="001B706A"/>
    <w:rsid w:val="001C00EF"/>
    <w:rsid w:val="001C1950"/>
    <w:rsid w:val="001C4705"/>
    <w:rsid w:val="001C6811"/>
    <w:rsid w:val="001C76C1"/>
    <w:rsid w:val="001D10C9"/>
    <w:rsid w:val="001D44F6"/>
    <w:rsid w:val="001D5133"/>
    <w:rsid w:val="001D68EC"/>
    <w:rsid w:val="001E0A07"/>
    <w:rsid w:val="001E28ED"/>
    <w:rsid w:val="001E6145"/>
    <w:rsid w:val="001E7C27"/>
    <w:rsid w:val="001F0637"/>
    <w:rsid w:val="001F1A24"/>
    <w:rsid w:val="001F2D4E"/>
    <w:rsid w:val="001F39B6"/>
    <w:rsid w:val="001F4615"/>
    <w:rsid w:val="001F6937"/>
    <w:rsid w:val="002019F7"/>
    <w:rsid w:val="002024B5"/>
    <w:rsid w:val="00203169"/>
    <w:rsid w:val="002055EE"/>
    <w:rsid w:val="0020651B"/>
    <w:rsid w:val="00211464"/>
    <w:rsid w:val="0021258F"/>
    <w:rsid w:val="002151C6"/>
    <w:rsid w:val="00217F35"/>
    <w:rsid w:val="0022218E"/>
    <w:rsid w:val="0022223A"/>
    <w:rsid w:val="002235E7"/>
    <w:rsid w:val="00224D83"/>
    <w:rsid w:val="00225B2F"/>
    <w:rsid w:val="00225CF2"/>
    <w:rsid w:val="002268D2"/>
    <w:rsid w:val="0022760C"/>
    <w:rsid w:val="00227CBD"/>
    <w:rsid w:val="00230C35"/>
    <w:rsid w:val="00231D6E"/>
    <w:rsid w:val="00234852"/>
    <w:rsid w:val="002354FE"/>
    <w:rsid w:val="00240E2C"/>
    <w:rsid w:val="0024109D"/>
    <w:rsid w:val="0024132F"/>
    <w:rsid w:val="00242DCD"/>
    <w:rsid w:val="002438B1"/>
    <w:rsid w:val="00243DB2"/>
    <w:rsid w:val="00244609"/>
    <w:rsid w:val="002452EE"/>
    <w:rsid w:val="002464CC"/>
    <w:rsid w:val="0024662F"/>
    <w:rsid w:val="002479B1"/>
    <w:rsid w:val="00247B48"/>
    <w:rsid w:val="00247C5C"/>
    <w:rsid w:val="002527B3"/>
    <w:rsid w:val="00253E7B"/>
    <w:rsid w:val="00254EB9"/>
    <w:rsid w:val="00255554"/>
    <w:rsid w:val="002602AA"/>
    <w:rsid w:val="002616DE"/>
    <w:rsid w:val="00262784"/>
    <w:rsid w:val="00265D28"/>
    <w:rsid w:val="00265FAF"/>
    <w:rsid w:val="002665F3"/>
    <w:rsid w:val="00266DFE"/>
    <w:rsid w:val="00267454"/>
    <w:rsid w:val="0026771E"/>
    <w:rsid w:val="0026781D"/>
    <w:rsid w:val="00267EDF"/>
    <w:rsid w:val="00272A22"/>
    <w:rsid w:val="00273BE0"/>
    <w:rsid w:val="00274125"/>
    <w:rsid w:val="00276A07"/>
    <w:rsid w:val="00277601"/>
    <w:rsid w:val="0028234B"/>
    <w:rsid w:val="002845EC"/>
    <w:rsid w:val="00284867"/>
    <w:rsid w:val="002848B7"/>
    <w:rsid w:val="00284947"/>
    <w:rsid w:val="00284C07"/>
    <w:rsid w:val="0029004B"/>
    <w:rsid w:val="00291163"/>
    <w:rsid w:val="00291C32"/>
    <w:rsid w:val="00291CC1"/>
    <w:rsid w:val="00291E55"/>
    <w:rsid w:val="0029390A"/>
    <w:rsid w:val="00295B3C"/>
    <w:rsid w:val="00296A3B"/>
    <w:rsid w:val="00296EFC"/>
    <w:rsid w:val="002A3410"/>
    <w:rsid w:val="002A3825"/>
    <w:rsid w:val="002A43DF"/>
    <w:rsid w:val="002A68A5"/>
    <w:rsid w:val="002B0565"/>
    <w:rsid w:val="002B1DDB"/>
    <w:rsid w:val="002B21BE"/>
    <w:rsid w:val="002B27E9"/>
    <w:rsid w:val="002B3107"/>
    <w:rsid w:val="002B376A"/>
    <w:rsid w:val="002B487F"/>
    <w:rsid w:val="002B6F6A"/>
    <w:rsid w:val="002C0FBF"/>
    <w:rsid w:val="002C10B9"/>
    <w:rsid w:val="002C1CEA"/>
    <w:rsid w:val="002D16F9"/>
    <w:rsid w:val="002D1C7B"/>
    <w:rsid w:val="002D2DC8"/>
    <w:rsid w:val="002D5355"/>
    <w:rsid w:val="002D74FA"/>
    <w:rsid w:val="002E0755"/>
    <w:rsid w:val="002E204C"/>
    <w:rsid w:val="002E2EF5"/>
    <w:rsid w:val="002E7AD0"/>
    <w:rsid w:val="002F17F4"/>
    <w:rsid w:val="002F2588"/>
    <w:rsid w:val="002F43A1"/>
    <w:rsid w:val="002F477E"/>
    <w:rsid w:val="002F5064"/>
    <w:rsid w:val="002F5E2F"/>
    <w:rsid w:val="002F6010"/>
    <w:rsid w:val="002F7DBD"/>
    <w:rsid w:val="00300A92"/>
    <w:rsid w:val="00305146"/>
    <w:rsid w:val="0031073E"/>
    <w:rsid w:val="00311551"/>
    <w:rsid w:val="00311F48"/>
    <w:rsid w:val="0031263D"/>
    <w:rsid w:val="00313BA6"/>
    <w:rsid w:val="00314F0F"/>
    <w:rsid w:val="00314F58"/>
    <w:rsid w:val="00316FC0"/>
    <w:rsid w:val="00320F85"/>
    <w:rsid w:val="0032163E"/>
    <w:rsid w:val="003220BD"/>
    <w:rsid w:val="00323B42"/>
    <w:rsid w:val="0032520C"/>
    <w:rsid w:val="00325A88"/>
    <w:rsid w:val="003300CE"/>
    <w:rsid w:val="00330C24"/>
    <w:rsid w:val="00334E3B"/>
    <w:rsid w:val="00335B72"/>
    <w:rsid w:val="003420A3"/>
    <w:rsid w:val="003424C3"/>
    <w:rsid w:val="00343746"/>
    <w:rsid w:val="00344940"/>
    <w:rsid w:val="003452C0"/>
    <w:rsid w:val="00345DC7"/>
    <w:rsid w:val="00351E08"/>
    <w:rsid w:val="00352746"/>
    <w:rsid w:val="0035400C"/>
    <w:rsid w:val="00360BF8"/>
    <w:rsid w:val="00362D14"/>
    <w:rsid w:val="003648AD"/>
    <w:rsid w:val="0036578A"/>
    <w:rsid w:val="00365852"/>
    <w:rsid w:val="003662EF"/>
    <w:rsid w:val="003704C6"/>
    <w:rsid w:val="00371476"/>
    <w:rsid w:val="00374F6D"/>
    <w:rsid w:val="003757E6"/>
    <w:rsid w:val="00380604"/>
    <w:rsid w:val="0038116C"/>
    <w:rsid w:val="00381DB3"/>
    <w:rsid w:val="00383195"/>
    <w:rsid w:val="00384B07"/>
    <w:rsid w:val="00386787"/>
    <w:rsid w:val="00386B1D"/>
    <w:rsid w:val="00386EB1"/>
    <w:rsid w:val="00390241"/>
    <w:rsid w:val="00391183"/>
    <w:rsid w:val="0039204B"/>
    <w:rsid w:val="0039232A"/>
    <w:rsid w:val="0039232E"/>
    <w:rsid w:val="003A2DF8"/>
    <w:rsid w:val="003A65B7"/>
    <w:rsid w:val="003A71C3"/>
    <w:rsid w:val="003A773A"/>
    <w:rsid w:val="003B2082"/>
    <w:rsid w:val="003B2D69"/>
    <w:rsid w:val="003B3016"/>
    <w:rsid w:val="003B4A17"/>
    <w:rsid w:val="003B5117"/>
    <w:rsid w:val="003C0FF1"/>
    <w:rsid w:val="003C1843"/>
    <w:rsid w:val="003C18A4"/>
    <w:rsid w:val="003C3842"/>
    <w:rsid w:val="003C39B6"/>
    <w:rsid w:val="003C496A"/>
    <w:rsid w:val="003D0460"/>
    <w:rsid w:val="003D322A"/>
    <w:rsid w:val="003E0AA9"/>
    <w:rsid w:val="003E34E2"/>
    <w:rsid w:val="003E3874"/>
    <w:rsid w:val="003E3EC7"/>
    <w:rsid w:val="003E469C"/>
    <w:rsid w:val="003E4B4C"/>
    <w:rsid w:val="003E5F85"/>
    <w:rsid w:val="003E6135"/>
    <w:rsid w:val="003F14E3"/>
    <w:rsid w:val="003F17B6"/>
    <w:rsid w:val="003F2073"/>
    <w:rsid w:val="003F2AEC"/>
    <w:rsid w:val="003F4EE6"/>
    <w:rsid w:val="003F5292"/>
    <w:rsid w:val="00401BB9"/>
    <w:rsid w:val="00404A28"/>
    <w:rsid w:val="00405CBD"/>
    <w:rsid w:val="0040624B"/>
    <w:rsid w:val="00406F37"/>
    <w:rsid w:val="0040715E"/>
    <w:rsid w:val="004116DE"/>
    <w:rsid w:val="004123CD"/>
    <w:rsid w:val="00412529"/>
    <w:rsid w:val="004160AA"/>
    <w:rsid w:val="004162E1"/>
    <w:rsid w:val="004164A5"/>
    <w:rsid w:val="0041651D"/>
    <w:rsid w:val="00416D94"/>
    <w:rsid w:val="00417640"/>
    <w:rsid w:val="00420E50"/>
    <w:rsid w:val="00421F07"/>
    <w:rsid w:val="004234ED"/>
    <w:rsid w:val="0042637D"/>
    <w:rsid w:val="00427D41"/>
    <w:rsid w:val="00434463"/>
    <w:rsid w:val="004345B6"/>
    <w:rsid w:val="00435ED2"/>
    <w:rsid w:val="00437435"/>
    <w:rsid w:val="00440A66"/>
    <w:rsid w:val="00442F5A"/>
    <w:rsid w:val="00451307"/>
    <w:rsid w:val="004516BD"/>
    <w:rsid w:val="004626AC"/>
    <w:rsid w:val="00462C33"/>
    <w:rsid w:val="00466E4A"/>
    <w:rsid w:val="00474AEF"/>
    <w:rsid w:val="00477257"/>
    <w:rsid w:val="00477491"/>
    <w:rsid w:val="00477DA1"/>
    <w:rsid w:val="0048156B"/>
    <w:rsid w:val="00484B49"/>
    <w:rsid w:val="00484EE3"/>
    <w:rsid w:val="004876D5"/>
    <w:rsid w:val="00491368"/>
    <w:rsid w:val="00491BBE"/>
    <w:rsid w:val="00492248"/>
    <w:rsid w:val="00493F58"/>
    <w:rsid w:val="00497648"/>
    <w:rsid w:val="004A1016"/>
    <w:rsid w:val="004A10A2"/>
    <w:rsid w:val="004A14EB"/>
    <w:rsid w:val="004A3A77"/>
    <w:rsid w:val="004A5A3C"/>
    <w:rsid w:val="004B04E7"/>
    <w:rsid w:val="004B056E"/>
    <w:rsid w:val="004B13EF"/>
    <w:rsid w:val="004B23C4"/>
    <w:rsid w:val="004B2AE6"/>
    <w:rsid w:val="004B548A"/>
    <w:rsid w:val="004B55D4"/>
    <w:rsid w:val="004B5A11"/>
    <w:rsid w:val="004B7A01"/>
    <w:rsid w:val="004B7A50"/>
    <w:rsid w:val="004C02F6"/>
    <w:rsid w:val="004C07E6"/>
    <w:rsid w:val="004C08A4"/>
    <w:rsid w:val="004C1483"/>
    <w:rsid w:val="004C1E90"/>
    <w:rsid w:val="004C2C5B"/>
    <w:rsid w:val="004C47B8"/>
    <w:rsid w:val="004C4B44"/>
    <w:rsid w:val="004C5325"/>
    <w:rsid w:val="004C62EB"/>
    <w:rsid w:val="004D0236"/>
    <w:rsid w:val="004D0E21"/>
    <w:rsid w:val="004D230F"/>
    <w:rsid w:val="004D437D"/>
    <w:rsid w:val="004D45D3"/>
    <w:rsid w:val="004D4E2C"/>
    <w:rsid w:val="004D55CC"/>
    <w:rsid w:val="004D690D"/>
    <w:rsid w:val="004D7B6F"/>
    <w:rsid w:val="004E19BB"/>
    <w:rsid w:val="004E1AEE"/>
    <w:rsid w:val="004E3E25"/>
    <w:rsid w:val="004E408B"/>
    <w:rsid w:val="004E5490"/>
    <w:rsid w:val="004E6E3E"/>
    <w:rsid w:val="004E6FFE"/>
    <w:rsid w:val="004F0539"/>
    <w:rsid w:val="004F0541"/>
    <w:rsid w:val="004F125E"/>
    <w:rsid w:val="004F1560"/>
    <w:rsid w:val="004F394F"/>
    <w:rsid w:val="004F5F11"/>
    <w:rsid w:val="004F645C"/>
    <w:rsid w:val="004F77A2"/>
    <w:rsid w:val="0050004B"/>
    <w:rsid w:val="00503974"/>
    <w:rsid w:val="00505731"/>
    <w:rsid w:val="005105DC"/>
    <w:rsid w:val="005144D0"/>
    <w:rsid w:val="0051775D"/>
    <w:rsid w:val="00517F85"/>
    <w:rsid w:val="00520A9A"/>
    <w:rsid w:val="00522134"/>
    <w:rsid w:val="0052230B"/>
    <w:rsid w:val="005242E2"/>
    <w:rsid w:val="0052599F"/>
    <w:rsid w:val="00525A8A"/>
    <w:rsid w:val="00525DAE"/>
    <w:rsid w:val="005276F0"/>
    <w:rsid w:val="00530909"/>
    <w:rsid w:val="00530BD3"/>
    <w:rsid w:val="00532E05"/>
    <w:rsid w:val="005401EC"/>
    <w:rsid w:val="00540B09"/>
    <w:rsid w:val="00544266"/>
    <w:rsid w:val="005450AB"/>
    <w:rsid w:val="00545F77"/>
    <w:rsid w:val="00551607"/>
    <w:rsid w:val="00551755"/>
    <w:rsid w:val="0055263E"/>
    <w:rsid w:val="00552709"/>
    <w:rsid w:val="00552947"/>
    <w:rsid w:val="00561277"/>
    <w:rsid w:val="005631CF"/>
    <w:rsid w:val="00564A75"/>
    <w:rsid w:val="00566665"/>
    <w:rsid w:val="005712DA"/>
    <w:rsid w:val="0057312B"/>
    <w:rsid w:val="00573179"/>
    <w:rsid w:val="00573C15"/>
    <w:rsid w:val="00574198"/>
    <w:rsid w:val="005749FA"/>
    <w:rsid w:val="0057535A"/>
    <w:rsid w:val="00575587"/>
    <w:rsid w:val="00580751"/>
    <w:rsid w:val="00581583"/>
    <w:rsid w:val="005823EB"/>
    <w:rsid w:val="00582C3B"/>
    <w:rsid w:val="00590D36"/>
    <w:rsid w:val="005918C8"/>
    <w:rsid w:val="00592C0C"/>
    <w:rsid w:val="00593916"/>
    <w:rsid w:val="00593C65"/>
    <w:rsid w:val="005941F6"/>
    <w:rsid w:val="005A03AC"/>
    <w:rsid w:val="005A60D0"/>
    <w:rsid w:val="005A7110"/>
    <w:rsid w:val="005B14E4"/>
    <w:rsid w:val="005B2A36"/>
    <w:rsid w:val="005B3388"/>
    <w:rsid w:val="005C130F"/>
    <w:rsid w:val="005C15DF"/>
    <w:rsid w:val="005C3F73"/>
    <w:rsid w:val="005C62D7"/>
    <w:rsid w:val="005C7891"/>
    <w:rsid w:val="005D0D4A"/>
    <w:rsid w:val="005D23AC"/>
    <w:rsid w:val="005D44A8"/>
    <w:rsid w:val="005D473E"/>
    <w:rsid w:val="005D625E"/>
    <w:rsid w:val="005D7B5F"/>
    <w:rsid w:val="005D7E82"/>
    <w:rsid w:val="005E1A91"/>
    <w:rsid w:val="005E25D7"/>
    <w:rsid w:val="005E4637"/>
    <w:rsid w:val="005E4766"/>
    <w:rsid w:val="005E5AEB"/>
    <w:rsid w:val="005E6C33"/>
    <w:rsid w:val="005E78AA"/>
    <w:rsid w:val="005E7C3A"/>
    <w:rsid w:val="005F2078"/>
    <w:rsid w:val="005F4D19"/>
    <w:rsid w:val="005F632F"/>
    <w:rsid w:val="00602D3C"/>
    <w:rsid w:val="00603302"/>
    <w:rsid w:val="006039A1"/>
    <w:rsid w:val="00603CEF"/>
    <w:rsid w:val="00604552"/>
    <w:rsid w:val="006047D8"/>
    <w:rsid w:val="00604E4F"/>
    <w:rsid w:val="006054EE"/>
    <w:rsid w:val="00605C8F"/>
    <w:rsid w:val="00606896"/>
    <w:rsid w:val="00607105"/>
    <w:rsid w:val="006118B6"/>
    <w:rsid w:val="00611903"/>
    <w:rsid w:val="00613BB1"/>
    <w:rsid w:val="006200F1"/>
    <w:rsid w:val="00620585"/>
    <w:rsid w:val="006270C0"/>
    <w:rsid w:val="00630168"/>
    <w:rsid w:val="00630195"/>
    <w:rsid w:val="006302D9"/>
    <w:rsid w:val="0063042F"/>
    <w:rsid w:val="006314FC"/>
    <w:rsid w:val="006332F3"/>
    <w:rsid w:val="006363C6"/>
    <w:rsid w:val="0064007F"/>
    <w:rsid w:val="006426B1"/>
    <w:rsid w:val="00651E6F"/>
    <w:rsid w:val="006524C7"/>
    <w:rsid w:val="006559AF"/>
    <w:rsid w:val="00660ED5"/>
    <w:rsid w:val="00662644"/>
    <w:rsid w:val="00662A5F"/>
    <w:rsid w:val="0066666E"/>
    <w:rsid w:val="00667A0D"/>
    <w:rsid w:val="00667F6C"/>
    <w:rsid w:val="00671F7A"/>
    <w:rsid w:val="00673717"/>
    <w:rsid w:val="00684D79"/>
    <w:rsid w:val="00685DCD"/>
    <w:rsid w:val="00691AF9"/>
    <w:rsid w:val="00693874"/>
    <w:rsid w:val="006938FF"/>
    <w:rsid w:val="00693F46"/>
    <w:rsid w:val="006966DD"/>
    <w:rsid w:val="006973DD"/>
    <w:rsid w:val="00697F93"/>
    <w:rsid w:val="006A046C"/>
    <w:rsid w:val="006A1F79"/>
    <w:rsid w:val="006A1FF2"/>
    <w:rsid w:val="006A4B18"/>
    <w:rsid w:val="006A517C"/>
    <w:rsid w:val="006B204C"/>
    <w:rsid w:val="006B74B8"/>
    <w:rsid w:val="006B7B30"/>
    <w:rsid w:val="006C1BCF"/>
    <w:rsid w:val="006D2158"/>
    <w:rsid w:val="006D27C1"/>
    <w:rsid w:val="006D3F59"/>
    <w:rsid w:val="006D4D8A"/>
    <w:rsid w:val="006E0370"/>
    <w:rsid w:val="006E10D1"/>
    <w:rsid w:val="006E18C3"/>
    <w:rsid w:val="006E2BAD"/>
    <w:rsid w:val="006E3658"/>
    <w:rsid w:val="006E4967"/>
    <w:rsid w:val="006E4F49"/>
    <w:rsid w:val="006E6AA1"/>
    <w:rsid w:val="006F044F"/>
    <w:rsid w:val="006F158F"/>
    <w:rsid w:val="006F179F"/>
    <w:rsid w:val="006F1C94"/>
    <w:rsid w:val="006F246B"/>
    <w:rsid w:val="006F28F5"/>
    <w:rsid w:val="006F2E33"/>
    <w:rsid w:val="006F3868"/>
    <w:rsid w:val="006F3CEA"/>
    <w:rsid w:val="006F5AA1"/>
    <w:rsid w:val="006F6DA0"/>
    <w:rsid w:val="006F7ED1"/>
    <w:rsid w:val="0070134B"/>
    <w:rsid w:val="0070324A"/>
    <w:rsid w:val="00711F13"/>
    <w:rsid w:val="00714260"/>
    <w:rsid w:val="007145B4"/>
    <w:rsid w:val="00716EA3"/>
    <w:rsid w:val="00720790"/>
    <w:rsid w:val="0072146E"/>
    <w:rsid w:val="00722560"/>
    <w:rsid w:val="00727F9C"/>
    <w:rsid w:val="00730A24"/>
    <w:rsid w:val="00733502"/>
    <w:rsid w:val="00740FF1"/>
    <w:rsid w:val="00743F9D"/>
    <w:rsid w:val="00744C2D"/>
    <w:rsid w:val="00752F84"/>
    <w:rsid w:val="00753371"/>
    <w:rsid w:val="007537DA"/>
    <w:rsid w:val="00754D53"/>
    <w:rsid w:val="00757980"/>
    <w:rsid w:val="007608A7"/>
    <w:rsid w:val="007608CE"/>
    <w:rsid w:val="00764648"/>
    <w:rsid w:val="00766830"/>
    <w:rsid w:val="0076713C"/>
    <w:rsid w:val="007672F3"/>
    <w:rsid w:val="007732A7"/>
    <w:rsid w:val="00774C81"/>
    <w:rsid w:val="00774D0B"/>
    <w:rsid w:val="00775F2B"/>
    <w:rsid w:val="00777386"/>
    <w:rsid w:val="00780266"/>
    <w:rsid w:val="00780ADC"/>
    <w:rsid w:val="00782E35"/>
    <w:rsid w:val="00785E48"/>
    <w:rsid w:val="00785EF5"/>
    <w:rsid w:val="0078680A"/>
    <w:rsid w:val="00786ECE"/>
    <w:rsid w:val="007874FA"/>
    <w:rsid w:val="00793B49"/>
    <w:rsid w:val="0079401C"/>
    <w:rsid w:val="007951A2"/>
    <w:rsid w:val="00795681"/>
    <w:rsid w:val="00796041"/>
    <w:rsid w:val="00796C21"/>
    <w:rsid w:val="007A5C2F"/>
    <w:rsid w:val="007A61C5"/>
    <w:rsid w:val="007B0839"/>
    <w:rsid w:val="007B0864"/>
    <w:rsid w:val="007B16C4"/>
    <w:rsid w:val="007B25EC"/>
    <w:rsid w:val="007B261D"/>
    <w:rsid w:val="007B4B3B"/>
    <w:rsid w:val="007B627C"/>
    <w:rsid w:val="007B698C"/>
    <w:rsid w:val="007C14CF"/>
    <w:rsid w:val="007C15A4"/>
    <w:rsid w:val="007C1AD9"/>
    <w:rsid w:val="007C2189"/>
    <w:rsid w:val="007C2D7E"/>
    <w:rsid w:val="007C352C"/>
    <w:rsid w:val="007C35E3"/>
    <w:rsid w:val="007D17FD"/>
    <w:rsid w:val="007D36A6"/>
    <w:rsid w:val="007D48C5"/>
    <w:rsid w:val="007D605E"/>
    <w:rsid w:val="007D7090"/>
    <w:rsid w:val="007D7384"/>
    <w:rsid w:val="007E06F0"/>
    <w:rsid w:val="007E1157"/>
    <w:rsid w:val="007E1FF1"/>
    <w:rsid w:val="007E32AB"/>
    <w:rsid w:val="007E5674"/>
    <w:rsid w:val="007E57F7"/>
    <w:rsid w:val="007E5BAF"/>
    <w:rsid w:val="007E7966"/>
    <w:rsid w:val="007F2663"/>
    <w:rsid w:val="007F449C"/>
    <w:rsid w:val="00801C21"/>
    <w:rsid w:val="00801F41"/>
    <w:rsid w:val="00802DFC"/>
    <w:rsid w:val="00803404"/>
    <w:rsid w:val="00804889"/>
    <w:rsid w:val="00811DFC"/>
    <w:rsid w:val="00812BE0"/>
    <w:rsid w:val="00813954"/>
    <w:rsid w:val="00814781"/>
    <w:rsid w:val="008154FC"/>
    <w:rsid w:val="00815530"/>
    <w:rsid w:val="0081646A"/>
    <w:rsid w:val="008168C3"/>
    <w:rsid w:val="0082278B"/>
    <w:rsid w:val="008236D4"/>
    <w:rsid w:val="008244E6"/>
    <w:rsid w:val="00826E0A"/>
    <w:rsid w:val="008304D4"/>
    <w:rsid w:val="00830627"/>
    <w:rsid w:val="00832DEF"/>
    <w:rsid w:val="00834DBB"/>
    <w:rsid w:val="00835F4B"/>
    <w:rsid w:val="00836185"/>
    <w:rsid w:val="008377F8"/>
    <w:rsid w:val="0084108D"/>
    <w:rsid w:val="00842FFB"/>
    <w:rsid w:val="00844032"/>
    <w:rsid w:val="00845996"/>
    <w:rsid w:val="008465E4"/>
    <w:rsid w:val="00851F58"/>
    <w:rsid w:val="00853AF8"/>
    <w:rsid w:val="00855F21"/>
    <w:rsid w:val="008560B9"/>
    <w:rsid w:val="00856F00"/>
    <w:rsid w:val="00860D4C"/>
    <w:rsid w:val="00860F65"/>
    <w:rsid w:val="0086351A"/>
    <w:rsid w:val="00865021"/>
    <w:rsid w:val="00867812"/>
    <w:rsid w:val="00870F15"/>
    <w:rsid w:val="00873AEC"/>
    <w:rsid w:val="00874B61"/>
    <w:rsid w:val="00876456"/>
    <w:rsid w:val="008772F9"/>
    <w:rsid w:val="008801C2"/>
    <w:rsid w:val="0088037F"/>
    <w:rsid w:val="00880824"/>
    <w:rsid w:val="00883379"/>
    <w:rsid w:val="00884C15"/>
    <w:rsid w:val="00885147"/>
    <w:rsid w:val="008854C9"/>
    <w:rsid w:val="00886C2F"/>
    <w:rsid w:val="00892886"/>
    <w:rsid w:val="008947A6"/>
    <w:rsid w:val="00896E82"/>
    <w:rsid w:val="008A03A6"/>
    <w:rsid w:val="008A0B51"/>
    <w:rsid w:val="008A48B7"/>
    <w:rsid w:val="008A5F77"/>
    <w:rsid w:val="008B0743"/>
    <w:rsid w:val="008B3ADA"/>
    <w:rsid w:val="008B3EB5"/>
    <w:rsid w:val="008B3F40"/>
    <w:rsid w:val="008B4920"/>
    <w:rsid w:val="008B5BC7"/>
    <w:rsid w:val="008B5F32"/>
    <w:rsid w:val="008B75AC"/>
    <w:rsid w:val="008C0747"/>
    <w:rsid w:val="008C0941"/>
    <w:rsid w:val="008C25A2"/>
    <w:rsid w:val="008C51C9"/>
    <w:rsid w:val="008C5809"/>
    <w:rsid w:val="008D1D9A"/>
    <w:rsid w:val="008D33E1"/>
    <w:rsid w:val="008D4263"/>
    <w:rsid w:val="008D4BEF"/>
    <w:rsid w:val="008D4C8D"/>
    <w:rsid w:val="008D55CD"/>
    <w:rsid w:val="008D78C9"/>
    <w:rsid w:val="008E0FC9"/>
    <w:rsid w:val="008F082F"/>
    <w:rsid w:val="008F0E1B"/>
    <w:rsid w:val="008F11D1"/>
    <w:rsid w:val="008F4D9F"/>
    <w:rsid w:val="0090326C"/>
    <w:rsid w:val="00904EFE"/>
    <w:rsid w:val="009100F1"/>
    <w:rsid w:val="00911DC5"/>
    <w:rsid w:val="00912959"/>
    <w:rsid w:val="00913684"/>
    <w:rsid w:val="00915A2F"/>
    <w:rsid w:val="0092295D"/>
    <w:rsid w:val="00923865"/>
    <w:rsid w:val="00924131"/>
    <w:rsid w:val="0093016E"/>
    <w:rsid w:val="00930304"/>
    <w:rsid w:val="00930755"/>
    <w:rsid w:val="00931A3F"/>
    <w:rsid w:val="00931C0B"/>
    <w:rsid w:val="009324C5"/>
    <w:rsid w:val="0093253C"/>
    <w:rsid w:val="00933E22"/>
    <w:rsid w:val="00934B4D"/>
    <w:rsid w:val="00940FCF"/>
    <w:rsid w:val="00941599"/>
    <w:rsid w:val="00941A77"/>
    <w:rsid w:val="00942D64"/>
    <w:rsid w:val="00943799"/>
    <w:rsid w:val="00944AC1"/>
    <w:rsid w:val="00946F2E"/>
    <w:rsid w:val="00947F30"/>
    <w:rsid w:val="009511A1"/>
    <w:rsid w:val="00951A2D"/>
    <w:rsid w:val="00952BCD"/>
    <w:rsid w:val="00954338"/>
    <w:rsid w:val="00955C75"/>
    <w:rsid w:val="00957373"/>
    <w:rsid w:val="009604AF"/>
    <w:rsid w:val="0096157E"/>
    <w:rsid w:val="00961CBE"/>
    <w:rsid w:val="00964068"/>
    <w:rsid w:val="00967692"/>
    <w:rsid w:val="009677DF"/>
    <w:rsid w:val="009708A9"/>
    <w:rsid w:val="009745E7"/>
    <w:rsid w:val="00980476"/>
    <w:rsid w:val="009846B3"/>
    <w:rsid w:val="00990F4F"/>
    <w:rsid w:val="00992C05"/>
    <w:rsid w:val="009946F8"/>
    <w:rsid w:val="00994CE4"/>
    <w:rsid w:val="00996E6B"/>
    <w:rsid w:val="009A0C29"/>
    <w:rsid w:val="009A1D64"/>
    <w:rsid w:val="009A1F13"/>
    <w:rsid w:val="009A2854"/>
    <w:rsid w:val="009A62FD"/>
    <w:rsid w:val="009A648D"/>
    <w:rsid w:val="009A7C81"/>
    <w:rsid w:val="009B1292"/>
    <w:rsid w:val="009B2430"/>
    <w:rsid w:val="009B338B"/>
    <w:rsid w:val="009B3EBE"/>
    <w:rsid w:val="009B46A2"/>
    <w:rsid w:val="009B58AD"/>
    <w:rsid w:val="009B7935"/>
    <w:rsid w:val="009C2416"/>
    <w:rsid w:val="009C351D"/>
    <w:rsid w:val="009C7337"/>
    <w:rsid w:val="009C7BA2"/>
    <w:rsid w:val="009D1161"/>
    <w:rsid w:val="009D2D53"/>
    <w:rsid w:val="009D667B"/>
    <w:rsid w:val="009E0C57"/>
    <w:rsid w:val="009E0D4D"/>
    <w:rsid w:val="009E4AF0"/>
    <w:rsid w:val="009F0515"/>
    <w:rsid w:val="009F0692"/>
    <w:rsid w:val="009F0C67"/>
    <w:rsid w:val="009F1AAB"/>
    <w:rsid w:val="009F219B"/>
    <w:rsid w:val="009F4449"/>
    <w:rsid w:val="009F44D7"/>
    <w:rsid w:val="009F5E47"/>
    <w:rsid w:val="009F68D9"/>
    <w:rsid w:val="009F777B"/>
    <w:rsid w:val="00A01D64"/>
    <w:rsid w:val="00A02252"/>
    <w:rsid w:val="00A05566"/>
    <w:rsid w:val="00A07B14"/>
    <w:rsid w:val="00A11BFC"/>
    <w:rsid w:val="00A127F1"/>
    <w:rsid w:val="00A14810"/>
    <w:rsid w:val="00A176AE"/>
    <w:rsid w:val="00A213F6"/>
    <w:rsid w:val="00A233FE"/>
    <w:rsid w:val="00A23B5F"/>
    <w:rsid w:val="00A2632D"/>
    <w:rsid w:val="00A266E0"/>
    <w:rsid w:val="00A27130"/>
    <w:rsid w:val="00A3141A"/>
    <w:rsid w:val="00A33A08"/>
    <w:rsid w:val="00A33C9F"/>
    <w:rsid w:val="00A33DD8"/>
    <w:rsid w:val="00A341FE"/>
    <w:rsid w:val="00A3793E"/>
    <w:rsid w:val="00A43348"/>
    <w:rsid w:val="00A44807"/>
    <w:rsid w:val="00A45167"/>
    <w:rsid w:val="00A46D5F"/>
    <w:rsid w:val="00A47AEE"/>
    <w:rsid w:val="00A5115D"/>
    <w:rsid w:val="00A52253"/>
    <w:rsid w:val="00A548BD"/>
    <w:rsid w:val="00A57F0A"/>
    <w:rsid w:val="00A610B8"/>
    <w:rsid w:val="00A613A3"/>
    <w:rsid w:val="00A61F8D"/>
    <w:rsid w:val="00A632E2"/>
    <w:rsid w:val="00A64F30"/>
    <w:rsid w:val="00A65ED6"/>
    <w:rsid w:val="00A66B0F"/>
    <w:rsid w:val="00A7102E"/>
    <w:rsid w:val="00A7147C"/>
    <w:rsid w:val="00A7170B"/>
    <w:rsid w:val="00A719AC"/>
    <w:rsid w:val="00A72881"/>
    <w:rsid w:val="00A74548"/>
    <w:rsid w:val="00A7660B"/>
    <w:rsid w:val="00A8072A"/>
    <w:rsid w:val="00A81DDE"/>
    <w:rsid w:val="00A82253"/>
    <w:rsid w:val="00A82A4E"/>
    <w:rsid w:val="00A85A14"/>
    <w:rsid w:val="00A86897"/>
    <w:rsid w:val="00A87DEF"/>
    <w:rsid w:val="00A95733"/>
    <w:rsid w:val="00A967E0"/>
    <w:rsid w:val="00AA230B"/>
    <w:rsid w:val="00AA4CCB"/>
    <w:rsid w:val="00AA622A"/>
    <w:rsid w:val="00AB18CF"/>
    <w:rsid w:val="00AB48FB"/>
    <w:rsid w:val="00AB4B35"/>
    <w:rsid w:val="00AB4EED"/>
    <w:rsid w:val="00AB5227"/>
    <w:rsid w:val="00AB538E"/>
    <w:rsid w:val="00AB5465"/>
    <w:rsid w:val="00AB6037"/>
    <w:rsid w:val="00AB7756"/>
    <w:rsid w:val="00AC03B7"/>
    <w:rsid w:val="00AC10E9"/>
    <w:rsid w:val="00AC2E94"/>
    <w:rsid w:val="00AC6026"/>
    <w:rsid w:val="00AC6BB7"/>
    <w:rsid w:val="00AC72EE"/>
    <w:rsid w:val="00AD26BB"/>
    <w:rsid w:val="00AD3B54"/>
    <w:rsid w:val="00AD4075"/>
    <w:rsid w:val="00AD4A05"/>
    <w:rsid w:val="00AD4CE5"/>
    <w:rsid w:val="00AD6502"/>
    <w:rsid w:val="00AE3B5C"/>
    <w:rsid w:val="00AE55CE"/>
    <w:rsid w:val="00AE5F1F"/>
    <w:rsid w:val="00AE6BE5"/>
    <w:rsid w:val="00AE7EE5"/>
    <w:rsid w:val="00AF007C"/>
    <w:rsid w:val="00AF2FA2"/>
    <w:rsid w:val="00AF34A3"/>
    <w:rsid w:val="00AF55EF"/>
    <w:rsid w:val="00AF6CCD"/>
    <w:rsid w:val="00AF7A38"/>
    <w:rsid w:val="00B014DD"/>
    <w:rsid w:val="00B01AC6"/>
    <w:rsid w:val="00B04C03"/>
    <w:rsid w:val="00B16B1A"/>
    <w:rsid w:val="00B17369"/>
    <w:rsid w:val="00B2064D"/>
    <w:rsid w:val="00B26FAC"/>
    <w:rsid w:val="00B31AA2"/>
    <w:rsid w:val="00B31CB5"/>
    <w:rsid w:val="00B329A3"/>
    <w:rsid w:val="00B35A68"/>
    <w:rsid w:val="00B36A33"/>
    <w:rsid w:val="00B4166B"/>
    <w:rsid w:val="00B419C7"/>
    <w:rsid w:val="00B42077"/>
    <w:rsid w:val="00B43AAB"/>
    <w:rsid w:val="00B45C17"/>
    <w:rsid w:val="00B4633C"/>
    <w:rsid w:val="00B52A69"/>
    <w:rsid w:val="00B57D49"/>
    <w:rsid w:val="00B612AF"/>
    <w:rsid w:val="00B623A5"/>
    <w:rsid w:val="00B648D2"/>
    <w:rsid w:val="00B6651A"/>
    <w:rsid w:val="00B70009"/>
    <w:rsid w:val="00B7169D"/>
    <w:rsid w:val="00B7420D"/>
    <w:rsid w:val="00B74C0B"/>
    <w:rsid w:val="00B75AB5"/>
    <w:rsid w:val="00B8400D"/>
    <w:rsid w:val="00B8470F"/>
    <w:rsid w:val="00B86A92"/>
    <w:rsid w:val="00B87170"/>
    <w:rsid w:val="00B9064F"/>
    <w:rsid w:val="00B93A37"/>
    <w:rsid w:val="00B95D50"/>
    <w:rsid w:val="00BA1819"/>
    <w:rsid w:val="00BA3B0C"/>
    <w:rsid w:val="00BA5A22"/>
    <w:rsid w:val="00BA5B99"/>
    <w:rsid w:val="00BA7807"/>
    <w:rsid w:val="00BB2C97"/>
    <w:rsid w:val="00BB44DA"/>
    <w:rsid w:val="00BB55E5"/>
    <w:rsid w:val="00BB74A3"/>
    <w:rsid w:val="00BC276C"/>
    <w:rsid w:val="00BD0E39"/>
    <w:rsid w:val="00BD2E04"/>
    <w:rsid w:val="00BD725A"/>
    <w:rsid w:val="00BD763F"/>
    <w:rsid w:val="00BD7F46"/>
    <w:rsid w:val="00BE038A"/>
    <w:rsid w:val="00BE454B"/>
    <w:rsid w:val="00BE4D44"/>
    <w:rsid w:val="00BF276D"/>
    <w:rsid w:val="00BF3750"/>
    <w:rsid w:val="00BF78DA"/>
    <w:rsid w:val="00C00F8B"/>
    <w:rsid w:val="00C01B3E"/>
    <w:rsid w:val="00C03BB3"/>
    <w:rsid w:val="00C06244"/>
    <w:rsid w:val="00C0763F"/>
    <w:rsid w:val="00C07FDB"/>
    <w:rsid w:val="00C16D93"/>
    <w:rsid w:val="00C16FB4"/>
    <w:rsid w:val="00C207E6"/>
    <w:rsid w:val="00C21058"/>
    <w:rsid w:val="00C2177E"/>
    <w:rsid w:val="00C2478D"/>
    <w:rsid w:val="00C2532D"/>
    <w:rsid w:val="00C30EDF"/>
    <w:rsid w:val="00C333B6"/>
    <w:rsid w:val="00C33BB9"/>
    <w:rsid w:val="00C34352"/>
    <w:rsid w:val="00C37A00"/>
    <w:rsid w:val="00C401F4"/>
    <w:rsid w:val="00C408A3"/>
    <w:rsid w:val="00C41671"/>
    <w:rsid w:val="00C474F8"/>
    <w:rsid w:val="00C5005B"/>
    <w:rsid w:val="00C5045E"/>
    <w:rsid w:val="00C5141E"/>
    <w:rsid w:val="00C536C2"/>
    <w:rsid w:val="00C55659"/>
    <w:rsid w:val="00C5587A"/>
    <w:rsid w:val="00C55F47"/>
    <w:rsid w:val="00C56CA7"/>
    <w:rsid w:val="00C56E2E"/>
    <w:rsid w:val="00C570A6"/>
    <w:rsid w:val="00C5727F"/>
    <w:rsid w:val="00C60377"/>
    <w:rsid w:val="00C618B7"/>
    <w:rsid w:val="00C63401"/>
    <w:rsid w:val="00C64A31"/>
    <w:rsid w:val="00C66A56"/>
    <w:rsid w:val="00C7055E"/>
    <w:rsid w:val="00C70823"/>
    <w:rsid w:val="00C71162"/>
    <w:rsid w:val="00C7216B"/>
    <w:rsid w:val="00C82E8B"/>
    <w:rsid w:val="00C83FD4"/>
    <w:rsid w:val="00C860AF"/>
    <w:rsid w:val="00C8684F"/>
    <w:rsid w:val="00C9107F"/>
    <w:rsid w:val="00C959B6"/>
    <w:rsid w:val="00CA22D4"/>
    <w:rsid w:val="00CA34BA"/>
    <w:rsid w:val="00CA6F80"/>
    <w:rsid w:val="00CB1927"/>
    <w:rsid w:val="00CB76BE"/>
    <w:rsid w:val="00CB7F12"/>
    <w:rsid w:val="00CC03C8"/>
    <w:rsid w:val="00CC12A2"/>
    <w:rsid w:val="00CC1D4B"/>
    <w:rsid w:val="00CC2F2F"/>
    <w:rsid w:val="00CC3EF4"/>
    <w:rsid w:val="00CC476D"/>
    <w:rsid w:val="00CC49A5"/>
    <w:rsid w:val="00CC4A12"/>
    <w:rsid w:val="00CC4C88"/>
    <w:rsid w:val="00CC56EC"/>
    <w:rsid w:val="00CD0B1F"/>
    <w:rsid w:val="00CD2DA8"/>
    <w:rsid w:val="00CD3F96"/>
    <w:rsid w:val="00CE05FE"/>
    <w:rsid w:val="00CE09F3"/>
    <w:rsid w:val="00CE4E43"/>
    <w:rsid w:val="00CE6F97"/>
    <w:rsid w:val="00CE71EA"/>
    <w:rsid w:val="00CE76DA"/>
    <w:rsid w:val="00CE7F7F"/>
    <w:rsid w:val="00CF3C2F"/>
    <w:rsid w:val="00CF722F"/>
    <w:rsid w:val="00CF77B5"/>
    <w:rsid w:val="00CF7971"/>
    <w:rsid w:val="00D0217F"/>
    <w:rsid w:val="00D028BB"/>
    <w:rsid w:val="00D11E94"/>
    <w:rsid w:val="00D1239A"/>
    <w:rsid w:val="00D208E0"/>
    <w:rsid w:val="00D20BE6"/>
    <w:rsid w:val="00D21FB2"/>
    <w:rsid w:val="00D23CF1"/>
    <w:rsid w:val="00D30389"/>
    <w:rsid w:val="00D305E9"/>
    <w:rsid w:val="00D321BF"/>
    <w:rsid w:val="00D32246"/>
    <w:rsid w:val="00D337F6"/>
    <w:rsid w:val="00D3555E"/>
    <w:rsid w:val="00D3583A"/>
    <w:rsid w:val="00D360B9"/>
    <w:rsid w:val="00D405A5"/>
    <w:rsid w:val="00D41178"/>
    <w:rsid w:val="00D43526"/>
    <w:rsid w:val="00D46B73"/>
    <w:rsid w:val="00D50F9A"/>
    <w:rsid w:val="00D51FBF"/>
    <w:rsid w:val="00D52999"/>
    <w:rsid w:val="00D52CDB"/>
    <w:rsid w:val="00D532CB"/>
    <w:rsid w:val="00D534C2"/>
    <w:rsid w:val="00D5429F"/>
    <w:rsid w:val="00D56366"/>
    <w:rsid w:val="00D563E8"/>
    <w:rsid w:val="00D61710"/>
    <w:rsid w:val="00D61C14"/>
    <w:rsid w:val="00D62FB9"/>
    <w:rsid w:val="00D64C35"/>
    <w:rsid w:val="00D6611E"/>
    <w:rsid w:val="00D72FBD"/>
    <w:rsid w:val="00D732D2"/>
    <w:rsid w:val="00D74353"/>
    <w:rsid w:val="00D7523F"/>
    <w:rsid w:val="00D75C1C"/>
    <w:rsid w:val="00D8340F"/>
    <w:rsid w:val="00D843EC"/>
    <w:rsid w:val="00D85A65"/>
    <w:rsid w:val="00D85F37"/>
    <w:rsid w:val="00D87EB9"/>
    <w:rsid w:val="00D90A09"/>
    <w:rsid w:val="00D914DF"/>
    <w:rsid w:val="00DA0FF0"/>
    <w:rsid w:val="00DA12D9"/>
    <w:rsid w:val="00DA1B56"/>
    <w:rsid w:val="00DA7D2D"/>
    <w:rsid w:val="00DB12DC"/>
    <w:rsid w:val="00DB327D"/>
    <w:rsid w:val="00DB4534"/>
    <w:rsid w:val="00DC15AD"/>
    <w:rsid w:val="00DC5A2E"/>
    <w:rsid w:val="00DD0411"/>
    <w:rsid w:val="00DD04C2"/>
    <w:rsid w:val="00DD22CF"/>
    <w:rsid w:val="00DD22D0"/>
    <w:rsid w:val="00DD2A82"/>
    <w:rsid w:val="00DD431C"/>
    <w:rsid w:val="00DD457E"/>
    <w:rsid w:val="00DD6645"/>
    <w:rsid w:val="00DD7389"/>
    <w:rsid w:val="00DE1FC7"/>
    <w:rsid w:val="00DE2513"/>
    <w:rsid w:val="00DE3F77"/>
    <w:rsid w:val="00DE63C6"/>
    <w:rsid w:val="00DE6DDD"/>
    <w:rsid w:val="00DE79F8"/>
    <w:rsid w:val="00DF46E4"/>
    <w:rsid w:val="00DF4B00"/>
    <w:rsid w:val="00E02F6A"/>
    <w:rsid w:val="00E04856"/>
    <w:rsid w:val="00E16DBD"/>
    <w:rsid w:val="00E1707B"/>
    <w:rsid w:val="00E1717A"/>
    <w:rsid w:val="00E24359"/>
    <w:rsid w:val="00E2536B"/>
    <w:rsid w:val="00E27402"/>
    <w:rsid w:val="00E277E6"/>
    <w:rsid w:val="00E30C52"/>
    <w:rsid w:val="00E30C79"/>
    <w:rsid w:val="00E3493F"/>
    <w:rsid w:val="00E35036"/>
    <w:rsid w:val="00E35B7B"/>
    <w:rsid w:val="00E36B1D"/>
    <w:rsid w:val="00E37F41"/>
    <w:rsid w:val="00E42A1B"/>
    <w:rsid w:val="00E43128"/>
    <w:rsid w:val="00E45EE4"/>
    <w:rsid w:val="00E460A9"/>
    <w:rsid w:val="00E4729B"/>
    <w:rsid w:val="00E50CD3"/>
    <w:rsid w:val="00E51044"/>
    <w:rsid w:val="00E52CC5"/>
    <w:rsid w:val="00E5432A"/>
    <w:rsid w:val="00E56089"/>
    <w:rsid w:val="00E561D4"/>
    <w:rsid w:val="00E56243"/>
    <w:rsid w:val="00E632AA"/>
    <w:rsid w:val="00E63DF8"/>
    <w:rsid w:val="00E64B3E"/>
    <w:rsid w:val="00E66266"/>
    <w:rsid w:val="00E67783"/>
    <w:rsid w:val="00E74D73"/>
    <w:rsid w:val="00E7760C"/>
    <w:rsid w:val="00E77BEB"/>
    <w:rsid w:val="00E82C07"/>
    <w:rsid w:val="00E8478E"/>
    <w:rsid w:val="00E8594D"/>
    <w:rsid w:val="00E86BB6"/>
    <w:rsid w:val="00E87BE1"/>
    <w:rsid w:val="00E9005A"/>
    <w:rsid w:val="00E909B1"/>
    <w:rsid w:val="00E90FCC"/>
    <w:rsid w:val="00E94FA5"/>
    <w:rsid w:val="00E95431"/>
    <w:rsid w:val="00E965EF"/>
    <w:rsid w:val="00EA020F"/>
    <w:rsid w:val="00EA0CB7"/>
    <w:rsid w:val="00EA1F85"/>
    <w:rsid w:val="00EA4248"/>
    <w:rsid w:val="00EB12E3"/>
    <w:rsid w:val="00EB1638"/>
    <w:rsid w:val="00EB35D7"/>
    <w:rsid w:val="00EB363F"/>
    <w:rsid w:val="00EC02E0"/>
    <w:rsid w:val="00EC2529"/>
    <w:rsid w:val="00EC2BFE"/>
    <w:rsid w:val="00EC466F"/>
    <w:rsid w:val="00EC54E6"/>
    <w:rsid w:val="00EC5C1B"/>
    <w:rsid w:val="00EC5D00"/>
    <w:rsid w:val="00EC6727"/>
    <w:rsid w:val="00EC7B92"/>
    <w:rsid w:val="00ED3C5B"/>
    <w:rsid w:val="00ED4585"/>
    <w:rsid w:val="00ED735F"/>
    <w:rsid w:val="00ED7640"/>
    <w:rsid w:val="00EE174C"/>
    <w:rsid w:val="00EE2280"/>
    <w:rsid w:val="00EE2E4B"/>
    <w:rsid w:val="00EE3186"/>
    <w:rsid w:val="00EE3561"/>
    <w:rsid w:val="00EE35CE"/>
    <w:rsid w:val="00EE77F6"/>
    <w:rsid w:val="00EE79DF"/>
    <w:rsid w:val="00EE7BEC"/>
    <w:rsid w:val="00EF1E85"/>
    <w:rsid w:val="00EF422C"/>
    <w:rsid w:val="00EF63AA"/>
    <w:rsid w:val="00F034DB"/>
    <w:rsid w:val="00F03DC7"/>
    <w:rsid w:val="00F05820"/>
    <w:rsid w:val="00F066FF"/>
    <w:rsid w:val="00F073A7"/>
    <w:rsid w:val="00F11FB9"/>
    <w:rsid w:val="00F13EA2"/>
    <w:rsid w:val="00F15108"/>
    <w:rsid w:val="00F157D4"/>
    <w:rsid w:val="00F207FC"/>
    <w:rsid w:val="00F22BB9"/>
    <w:rsid w:val="00F2469D"/>
    <w:rsid w:val="00F2655A"/>
    <w:rsid w:val="00F26D2C"/>
    <w:rsid w:val="00F27BFC"/>
    <w:rsid w:val="00F30688"/>
    <w:rsid w:val="00F31698"/>
    <w:rsid w:val="00F37D2F"/>
    <w:rsid w:val="00F40995"/>
    <w:rsid w:val="00F40BAD"/>
    <w:rsid w:val="00F42610"/>
    <w:rsid w:val="00F44B75"/>
    <w:rsid w:val="00F46C57"/>
    <w:rsid w:val="00F51993"/>
    <w:rsid w:val="00F51B09"/>
    <w:rsid w:val="00F5475F"/>
    <w:rsid w:val="00F551A4"/>
    <w:rsid w:val="00F55F51"/>
    <w:rsid w:val="00F56CF1"/>
    <w:rsid w:val="00F5775F"/>
    <w:rsid w:val="00F6039B"/>
    <w:rsid w:val="00F61853"/>
    <w:rsid w:val="00F63D0A"/>
    <w:rsid w:val="00F63F24"/>
    <w:rsid w:val="00F6507B"/>
    <w:rsid w:val="00F712F1"/>
    <w:rsid w:val="00F72D4D"/>
    <w:rsid w:val="00F732DF"/>
    <w:rsid w:val="00F73EE0"/>
    <w:rsid w:val="00F73FC1"/>
    <w:rsid w:val="00F7641D"/>
    <w:rsid w:val="00F77F86"/>
    <w:rsid w:val="00F80EB7"/>
    <w:rsid w:val="00F818B9"/>
    <w:rsid w:val="00F824D3"/>
    <w:rsid w:val="00F84638"/>
    <w:rsid w:val="00F902EC"/>
    <w:rsid w:val="00F934B5"/>
    <w:rsid w:val="00F94D71"/>
    <w:rsid w:val="00F951AD"/>
    <w:rsid w:val="00F9582F"/>
    <w:rsid w:val="00F95B39"/>
    <w:rsid w:val="00F96A92"/>
    <w:rsid w:val="00F97591"/>
    <w:rsid w:val="00FA0ABD"/>
    <w:rsid w:val="00FA3EA6"/>
    <w:rsid w:val="00FA73DC"/>
    <w:rsid w:val="00FB1C24"/>
    <w:rsid w:val="00FB3887"/>
    <w:rsid w:val="00FB3B1A"/>
    <w:rsid w:val="00FB3F98"/>
    <w:rsid w:val="00FB44B8"/>
    <w:rsid w:val="00FB5B4A"/>
    <w:rsid w:val="00FB6390"/>
    <w:rsid w:val="00FB6AC2"/>
    <w:rsid w:val="00FB792A"/>
    <w:rsid w:val="00FB7AA8"/>
    <w:rsid w:val="00FB7CE3"/>
    <w:rsid w:val="00FC094D"/>
    <w:rsid w:val="00FD01C0"/>
    <w:rsid w:val="00FD0D37"/>
    <w:rsid w:val="00FD1833"/>
    <w:rsid w:val="00FD29EC"/>
    <w:rsid w:val="00FD5280"/>
    <w:rsid w:val="00FE0867"/>
    <w:rsid w:val="00FE08C1"/>
    <w:rsid w:val="00FE1F8F"/>
    <w:rsid w:val="00FE5A04"/>
    <w:rsid w:val="00FF0D13"/>
    <w:rsid w:val="00FF3C97"/>
    <w:rsid w:val="00FF4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F2A1A87"/>
  <w15:docId w15:val="{8BCF217A-20B9-4629-8BF2-605B94EAB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865"/>
    <w:pPr>
      <w:tabs>
        <w:tab w:val="left" w:pos="284"/>
      </w:tabs>
      <w:jc w:val="both"/>
    </w:pPr>
    <w:rPr>
      <w:sz w:val="22"/>
      <w:szCs w:val="24"/>
    </w:rPr>
  </w:style>
  <w:style w:type="paragraph" w:styleId="Heading1">
    <w:name w:val="heading 1"/>
    <w:basedOn w:val="Normal"/>
    <w:next w:val="Normal"/>
    <w:qFormat/>
    <w:rsid w:val="00175A7E"/>
    <w:pPr>
      <w:keepNext/>
      <w:jc w:val="center"/>
      <w:outlineLvl w:val="0"/>
    </w:pPr>
    <w:rPr>
      <w:rFonts w:ascii="Arial (W1)" w:hAnsi="Arial (W1)" w:cs="Arial"/>
      <w:b/>
      <w:bCs/>
      <w:i/>
      <w:iCs/>
      <w:sz w:val="32"/>
      <w:u w:val="single"/>
      <w:lang w:val="sr-Latn-CS"/>
    </w:rPr>
  </w:style>
  <w:style w:type="paragraph" w:styleId="Heading2">
    <w:name w:val="heading 2"/>
    <w:basedOn w:val="Normal"/>
    <w:next w:val="Normal"/>
    <w:qFormat/>
    <w:rsid w:val="00175A7E"/>
    <w:pPr>
      <w:keepNext/>
      <w:jc w:val="center"/>
      <w:outlineLvl w:val="1"/>
    </w:pPr>
    <w:rPr>
      <w:rFonts w:ascii="Arial" w:hAnsi="Arial" w:cs="Arial"/>
      <w:i/>
      <w:iCs/>
      <w:color w:val="999999"/>
      <w:sz w:val="18"/>
    </w:rPr>
  </w:style>
  <w:style w:type="paragraph" w:styleId="Heading3">
    <w:name w:val="heading 3"/>
    <w:basedOn w:val="Normal"/>
    <w:next w:val="Normal"/>
    <w:qFormat/>
    <w:rsid w:val="00175A7E"/>
    <w:pPr>
      <w:keepNext/>
      <w:tabs>
        <w:tab w:val="clear" w:pos="284"/>
      </w:tabs>
      <w:ind w:left="72" w:hanging="72"/>
      <w:jc w:val="left"/>
      <w:outlineLvl w:val="2"/>
    </w:pPr>
    <w:rPr>
      <w:rFonts w:ascii="Arial" w:hAnsi="Arial" w:cs="Arial"/>
      <w:i/>
      <w:iCs/>
      <w:color w:val="999999"/>
      <w:sz w:val="18"/>
    </w:rPr>
  </w:style>
  <w:style w:type="paragraph" w:styleId="Heading4">
    <w:name w:val="heading 4"/>
    <w:basedOn w:val="Normal"/>
    <w:next w:val="Normal"/>
    <w:qFormat/>
    <w:rsid w:val="00175A7E"/>
    <w:pPr>
      <w:keepNext/>
      <w:ind w:right="265"/>
      <w:jc w:val="right"/>
      <w:outlineLvl w:val="3"/>
    </w:pPr>
    <w:rPr>
      <w:rFonts w:ascii="Arial" w:hAnsi="Arial" w:cs="Arial"/>
      <w:i/>
      <w:iCs/>
      <w:color w:val="999999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A7E"/>
    <w:pPr>
      <w:tabs>
        <w:tab w:val="clear" w:pos="284"/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rsid w:val="00175A7E"/>
    <w:pPr>
      <w:tabs>
        <w:tab w:val="clear" w:pos="284"/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175A7E"/>
  </w:style>
  <w:style w:type="character" w:styleId="CommentReference">
    <w:name w:val="annotation reference"/>
    <w:rsid w:val="003B2082"/>
    <w:rPr>
      <w:sz w:val="16"/>
      <w:szCs w:val="16"/>
    </w:rPr>
  </w:style>
  <w:style w:type="paragraph" w:styleId="CommentText">
    <w:name w:val="annotation text"/>
    <w:basedOn w:val="Normal"/>
    <w:semiHidden/>
    <w:rsid w:val="003B2082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3B2082"/>
    <w:rPr>
      <w:b/>
      <w:bCs/>
    </w:rPr>
  </w:style>
  <w:style w:type="paragraph" w:styleId="BalloonText">
    <w:name w:val="Balloon Text"/>
    <w:basedOn w:val="Normal"/>
    <w:semiHidden/>
    <w:rsid w:val="003B2082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C536C2"/>
    <w:rPr>
      <w:rFonts w:ascii="Humanist777" w:hAnsi="Humanist777"/>
      <w:sz w:val="24"/>
      <w:szCs w:val="24"/>
    </w:rPr>
  </w:style>
  <w:style w:type="paragraph" w:customStyle="1" w:styleId="NASLOV123">
    <w:name w:val="NASLOV 123"/>
    <w:basedOn w:val="Normal"/>
    <w:qFormat/>
    <w:rsid w:val="00923865"/>
    <w:pPr>
      <w:spacing w:before="200" w:after="200"/>
      <w:jc w:val="left"/>
    </w:pPr>
    <w:rPr>
      <w:b/>
      <w:szCs w:val="22"/>
    </w:rPr>
  </w:style>
  <w:style w:type="paragraph" w:styleId="ListParagraph">
    <w:name w:val="List Paragraph"/>
    <w:basedOn w:val="Normal"/>
    <w:uiPriority w:val="34"/>
    <w:qFormat/>
    <w:rsid w:val="000470E1"/>
    <w:pPr>
      <w:ind w:left="720"/>
      <w:contextualSpacing/>
    </w:pPr>
  </w:style>
  <w:style w:type="table" w:styleId="TableGrid">
    <w:name w:val="Table Grid"/>
    <w:basedOn w:val="TableNormal"/>
    <w:rsid w:val="00291E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B2A36"/>
    <w:rPr>
      <w:sz w:val="24"/>
      <w:szCs w:val="24"/>
    </w:rPr>
  </w:style>
  <w:style w:type="character" w:styleId="Hyperlink">
    <w:name w:val="Hyperlink"/>
    <w:basedOn w:val="DefaultParagraphFont"/>
    <w:rsid w:val="005B2A36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390241"/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7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zeljenadejstva@cinmed.m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inmed.me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s://vigiflow-eforms.who-umc.org/me/mead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6204</Words>
  <Characters>35369</Characters>
  <Application>Microsoft Office Word</Application>
  <DocSecurity>0</DocSecurity>
  <Lines>294</Lines>
  <Paragraphs>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SAŽETAK KARAKTERISTIKA LEKA</vt:lpstr>
    </vt:vector>
  </TitlesOfParts>
  <Company/>
  <LinksUpToDate>false</LinksUpToDate>
  <CharactersWithSpaces>41491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SAŽETAK KARAKTERISTIKA LEKA</dc:title>
  <dc:creator>TANJANE</dc:creator>
  <cp:lastModifiedBy>Aleksandra Jonić-Popović</cp:lastModifiedBy>
  <cp:revision>2</cp:revision>
  <cp:lastPrinted>2016-07-25T08:52:00Z</cp:lastPrinted>
  <dcterms:created xsi:type="dcterms:W3CDTF">2024-10-10T11:58:00Z</dcterms:created>
  <dcterms:modified xsi:type="dcterms:W3CDTF">2024-10-10T11:58:00Z</dcterms:modified>
</cp:coreProperties>
</file>