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A31ED" w14:textId="77777777" w:rsidR="002510A5" w:rsidRPr="007D7545" w:rsidRDefault="002510A5" w:rsidP="005D101E">
      <w:pPr>
        <w:jc w:val="center"/>
        <w:rPr>
          <w:b/>
          <w:bCs/>
          <w:iCs/>
          <w:sz w:val="22"/>
          <w:szCs w:val="22"/>
          <w:u w:val="single"/>
          <w:lang w:val="sr-Latn-ME"/>
        </w:rPr>
      </w:pPr>
      <w:r w:rsidRPr="007D7545">
        <w:rPr>
          <w:b/>
          <w:bCs/>
          <w:iCs/>
          <w:sz w:val="22"/>
          <w:szCs w:val="22"/>
          <w:u w:val="single"/>
          <w:lang w:val="sr-Latn-ME"/>
        </w:rPr>
        <w:t>SAŽETAK KARAKTERISTIKA LIJEKA</w:t>
      </w:r>
    </w:p>
    <w:p w14:paraId="74503C59" w14:textId="77777777" w:rsidR="003C17AB" w:rsidRPr="007D7545" w:rsidRDefault="003C17AB" w:rsidP="005D101E">
      <w:pPr>
        <w:tabs>
          <w:tab w:val="left" w:pos="540"/>
          <w:tab w:val="left" w:pos="569"/>
        </w:tabs>
        <w:rPr>
          <w:noProof/>
          <w:sz w:val="22"/>
          <w:szCs w:val="22"/>
          <w:lang w:val="sr-Latn-ME"/>
        </w:rPr>
      </w:pPr>
    </w:p>
    <w:p w14:paraId="4528247C" w14:textId="77777777" w:rsidR="00C37FD7" w:rsidRPr="007D7545" w:rsidRDefault="00C37FD7" w:rsidP="005D101E">
      <w:pPr>
        <w:tabs>
          <w:tab w:val="left" w:pos="540"/>
          <w:tab w:val="left" w:pos="569"/>
        </w:tabs>
        <w:rPr>
          <w:bCs/>
          <w:sz w:val="22"/>
          <w:szCs w:val="22"/>
          <w:lang w:val="sr-Latn-ME"/>
        </w:rPr>
      </w:pPr>
    </w:p>
    <w:p w14:paraId="300C7028" w14:textId="77777777" w:rsidR="00411B4B" w:rsidRPr="007D7545" w:rsidRDefault="00411B4B" w:rsidP="005D101E">
      <w:pPr>
        <w:tabs>
          <w:tab w:val="left" w:pos="540"/>
          <w:tab w:val="left" w:pos="569"/>
        </w:tabs>
        <w:rPr>
          <w:b/>
          <w:bCs/>
          <w:sz w:val="22"/>
          <w:szCs w:val="22"/>
          <w:lang w:val="sr-Latn-ME"/>
        </w:rPr>
      </w:pPr>
      <w:r w:rsidRPr="007D7545">
        <w:rPr>
          <w:b/>
          <w:bCs/>
          <w:sz w:val="22"/>
          <w:szCs w:val="22"/>
          <w:lang w:val="sr-Latn-ME"/>
        </w:rPr>
        <w:t>1.</w:t>
      </w:r>
      <w:r w:rsidR="00F5167F" w:rsidRPr="007D7545">
        <w:rPr>
          <w:b/>
          <w:bCs/>
          <w:sz w:val="22"/>
          <w:szCs w:val="22"/>
          <w:lang w:val="sr-Latn-ME"/>
        </w:rPr>
        <w:tab/>
      </w:r>
      <w:r w:rsidR="002846DB" w:rsidRPr="007D7545">
        <w:rPr>
          <w:b/>
          <w:bCs/>
          <w:sz w:val="22"/>
          <w:szCs w:val="22"/>
          <w:lang w:val="sr-Latn-ME"/>
        </w:rPr>
        <w:t xml:space="preserve">NAZIV </w:t>
      </w:r>
      <w:r w:rsidRPr="007D7545">
        <w:rPr>
          <w:b/>
          <w:bCs/>
          <w:sz w:val="22"/>
          <w:szCs w:val="22"/>
          <w:lang w:val="sr-Latn-ME"/>
        </w:rPr>
        <w:t>LIJEKA</w:t>
      </w:r>
    </w:p>
    <w:p w14:paraId="68377077" w14:textId="77777777" w:rsidR="00EC2532" w:rsidRPr="007D7545" w:rsidRDefault="00EC2532" w:rsidP="005D101E">
      <w:pPr>
        <w:rPr>
          <w:sz w:val="22"/>
          <w:szCs w:val="22"/>
          <w:lang w:val="sr-Latn-ME"/>
        </w:rPr>
      </w:pPr>
    </w:p>
    <w:p w14:paraId="2FCEBFBE" w14:textId="51AA01E7" w:rsidR="001E010E" w:rsidRPr="007D7545" w:rsidRDefault="00007C5F" w:rsidP="005D101E">
      <w:pPr>
        <w:ind w:hanging="14"/>
        <w:rPr>
          <w:sz w:val="22"/>
          <w:szCs w:val="22"/>
          <w:lang w:val="sr-Latn-ME"/>
        </w:rPr>
      </w:pPr>
      <w:r w:rsidRPr="007D7545">
        <w:rPr>
          <w:sz w:val="22"/>
          <w:szCs w:val="22"/>
          <w:lang w:val="sr-Latn-ME"/>
        </w:rPr>
        <w:t>Trombocen</w:t>
      </w:r>
      <w:r w:rsidR="001E010E" w:rsidRPr="007D7545">
        <w:rPr>
          <w:sz w:val="22"/>
          <w:szCs w:val="22"/>
          <w:lang w:val="sr-Latn-ME"/>
        </w:rPr>
        <w:t>, 10 mg, film tablet</w:t>
      </w:r>
      <w:r w:rsidR="00837F3C" w:rsidRPr="007D7545">
        <w:rPr>
          <w:sz w:val="22"/>
          <w:szCs w:val="22"/>
          <w:lang w:val="sr-Latn-ME"/>
        </w:rPr>
        <w:t>a</w:t>
      </w:r>
    </w:p>
    <w:p w14:paraId="593FCF57" w14:textId="77777777" w:rsidR="000D425A" w:rsidRPr="007D7545" w:rsidRDefault="000D425A" w:rsidP="005D101E">
      <w:pPr>
        <w:rPr>
          <w:bCs/>
          <w:sz w:val="22"/>
          <w:szCs w:val="22"/>
          <w:lang w:val="sr-Latn-ME"/>
        </w:rPr>
      </w:pPr>
    </w:p>
    <w:p w14:paraId="00022CC7" w14:textId="529E3C6F" w:rsidR="006D20A5" w:rsidRPr="007D7545" w:rsidRDefault="006D20A5" w:rsidP="005D101E">
      <w:pPr>
        <w:rPr>
          <w:sz w:val="22"/>
          <w:szCs w:val="22"/>
          <w:lang w:val="sr-Latn-ME"/>
        </w:rPr>
      </w:pPr>
      <w:r w:rsidRPr="007D7545">
        <w:rPr>
          <w:sz w:val="22"/>
          <w:szCs w:val="22"/>
          <w:lang w:val="sr-Latn-ME"/>
        </w:rPr>
        <w:t>INN:</w:t>
      </w:r>
      <w:r w:rsidR="001E010E" w:rsidRPr="007D7545">
        <w:rPr>
          <w:color w:val="000000"/>
          <w:sz w:val="22"/>
          <w:szCs w:val="22"/>
          <w:lang w:val="sr-Latn-ME"/>
        </w:rPr>
        <w:t xml:space="preserve"> rivaroksaban</w:t>
      </w:r>
    </w:p>
    <w:p w14:paraId="6E7C7E8B" w14:textId="77777777" w:rsidR="006D20A5" w:rsidRPr="007D7545" w:rsidRDefault="006D20A5" w:rsidP="005D101E">
      <w:pPr>
        <w:rPr>
          <w:bCs/>
          <w:sz w:val="22"/>
          <w:szCs w:val="22"/>
          <w:lang w:val="sr-Latn-ME"/>
        </w:rPr>
      </w:pPr>
    </w:p>
    <w:p w14:paraId="390F99CD" w14:textId="77777777" w:rsidR="00530BD7" w:rsidRPr="007D7545" w:rsidRDefault="00530BD7" w:rsidP="005D101E">
      <w:pPr>
        <w:rPr>
          <w:bCs/>
          <w:sz w:val="22"/>
          <w:szCs w:val="22"/>
          <w:lang w:val="sr-Latn-ME"/>
        </w:rPr>
      </w:pPr>
    </w:p>
    <w:p w14:paraId="1CF6F083" w14:textId="7ABF5193" w:rsidR="001E010E" w:rsidRPr="007D7545" w:rsidRDefault="00411B4B" w:rsidP="005D101E">
      <w:pPr>
        <w:tabs>
          <w:tab w:val="left" w:pos="540"/>
          <w:tab w:val="left" w:pos="569"/>
        </w:tabs>
        <w:rPr>
          <w:b/>
          <w:bCs/>
          <w:sz w:val="22"/>
          <w:szCs w:val="22"/>
          <w:lang w:val="sr-Latn-ME"/>
        </w:rPr>
      </w:pPr>
      <w:r w:rsidRPr="007D7545">
        <w:rPr>
          <w:b/>
          <w:bCs/>
          <w:sz w:val="22"/>
          <w:szCs w:val="22"/>
          <w:lang w:val="sr-Latn-ME"/>
        </w:rPr>
        <w:t xml:space="preserve">2. </w:t>
      </w:r>
      <w:r w:rsidR="00F5167F" w:rsidRPr="007D7545">
        <w:rPr>
          <w:b/>
          <w:bCs/>
          <w:sz w:val="22"/>
          <w:szCs w:val="22"/>
          <w:lang w:val="sr-Latn-ME"/>
        </w:rPr>
        <w:tab/>
      </w:r>
      <w:r w:rsidRPr="007D7545">
        <w:rPr>
          <w:b/>
          <w:bCs/>
          <w:sz w:val="22"/>
          <w:szCs w:val="22"/>
          <w:lang w:val="sr-Latn-ME"/>
        </w:rPr>
        <w:t>KVALITATIVNI I KVANTITATIVNI SASTAV</w:t>
      </w:r>
    </w:p>
    <w:p w14:paraId="759F5042" w14:textId="77777777" w:rsidR="001E010E" w:rsidRPr="007D7545" w:rsidRDefault="001E010E" w:rsidP="005D101E">
      <w:pPr>
        <w:tabs>
          <w:tab w:val="left" w:pos="540"/>
          <w:tab w:val="left" w:pos="569"/>
        </w:tabs>
        <w:rPr>
          <w:b/>
          <w:bCs/>
          <w:sz w:val="22"/>
          <w:szCs w:val="22"/>
          <w:lang w:val="sr-Latn-ME"/>
        </w:rPr>
      </w:pPr>
    </w:p>
    <w:p w14:paraId="541F9B68" w14:textId="760F9915" w:rsidR="001E010E" w:rsidRPr="007D7545" w:rsidRDefault="001E010E" w:rsidP="005D101E">
      <w:pPr>
        <w:ind w:hanging="10"/>
        <w:jc w:val="both"/>
        <w:rPr>
          <w:color w:val="000000"/>
          <w:sz w:val="22"/>
          <w:szCs w:val="22"/>
          <w:lang w:val="sr-Latn-ME"/>
        </w:rPr>
      </w:pPr>
      <w:r w:rsidRPr="007D7545">
        <w:rPr>
          <w:color w:val="000000"/>
          <w:sz w:val="22"/>
          <w:szCs w:val="22"/>
          <w:lang w:val="sr-Latn-ME"/>
        </w:rPr>
        <w:t>Jedna film tableta sadrži 10 mg rivaroksabana.</w:t>
      </w:r>
    </w:p>
    <w:p w14:paraId="4F70B237" w14:textId="77777777" w:rsidR="00837F3C" w:rsidRPr="007D7545" w:rsidRDefault="00837F3C" w:rsidP="005D101E">
      <w:pPr>
        <w:ind w:hanging="10"/>
        <w:jc w:val="both"/>
        <w:rPr>
          <w:color w:val="000000"/>
          <w:sz w:val="22"/>
          <w:szCs w:val="22"/>
          <w:lang w:val="sr-Latn-ME"/>
        </w:rPr>
      </w:pPr>
    </w:p>
    <w:p w14:paraId="5B99CCB5" w14:textId="77777777" w:rsidR="001E010E" w:rsidRPr="007D7545" w:rsidRDefault="001E010E" w:rsidP="005D101E">
      <w:pPr>
        <w:ind w:hanging="10"/>
        <w:rPr>
          <w:color w:val="000000"/>
          <w:sz w:val="22"/>
          <w:szCs w:val="22"/>
          <w:lang w:val="sr-Latn-ME"/>
        </w:rPr>
      </w:pPr>
      <w:r w:rsidRPr="007D7545">
        <w:rPr>
          <w:color w:val="000000"/>
          <w:sz w:val="22"/>
          <w:szCs w:val="22"/>
          <w:u w:val="single" w:color="000000"/>
          <w:lang w:val="sr-Latn-ME"/>
        </w:rPr>
        <w:t>Pomoćna supstanca sa potvrđenim dejstvom:</w:t>
      </w:r>
    </w:p>
    <w:p w14:paraId="699EFBCD" w14:textId="1BD3F4C5" w:rsidR="005A0B2E" w:rsidRPr="007D7545" w:rsidRDefault="001E010E" w:rsidP="005D101E">
      <w:pPr>
        <w:ind w:hanging="10"/>
        <w:jc w:val="both"/>
        <w:rPr>
          <w:color w:val="000000"/>
          <w:sz w:val="22"/>
          <w:szCs w:val="22"/>
          <w:lang w:val="sr-Latn-ME"/>
        </w:rPr>
      </w:pPr>
      <w:r w:rsidRPr="007D7545">
        <w:rPr>
          <w:color w:val="000000"/>
          <w:sz w:val="22"/>
          <w:szCs w:val="22"/>
          <w:lang w:val="sr-Latn-ME"/>
        </w:rPr>
        <w:t xml:space="preserve">Jedna film tableta sadrži </w:t>
      </w:r>
      <w:r w:rsidRPr="007D7545">
        <w:rPr>
          <w:rFonts w:eastAsia="TimesNewRoman"/>
          <w:sz w:val="22"/>
          <w:szCs w:val="22"/>
          <w:lang w:val="sr-Latn-ME"/>
        </w:rPr>
        <w:t>49,425</w:t>
      </w:r>
      <w:r w:rsidRPr="007D7545">
        <w:rPr>
          <w:color w:val="000000"/>
          <w:sz w:val="22"/>
          <w:szCs w:val="22"/>
          <w:lang w:val="sr-Latn-ME"/>
        </w:rPr>
        <w:t xml:space="preserve"> mg laktoze u obliku monohidrata, </w:t>
      </w:r>
      <w:r w:rsidR="00955E5C" w:rsidRPr="007D7545">
        <w:rPr>
          <w:color w:val="000000"/>
          <w:sz w:val="22"/>
          <w:szCs w:val="22"/>
          <w:lang w:val="sr-Latn-ME"/>
        </w:rPr>
        <w:t>pogledati dio</w:t>
      </w:r>
      <w:r w:rsidRPr="007D7545">
        <w:rPr>
          <w:color w:val="000000"/>
          <w:sz w:val="22"/>
          <w:szCs w:val="22"/>
          <w:lang w:val="sr-Latn-ME"/>
        </w:rPr>
        <w:t xml:space="preserve"> 4.4.</w:t>
      </w:r>
    </w:p>
    <w:p w14:paraId="132EDC70" w14:textId="0F3CCED4" w:rsidR="0003793F" w:rsidRPr="007D7545" w:rsidRDefault="0003793F" w:rsidP="005D101E">
      <w:pPr>
        <w:rPr>
          <w:sz w:val="22"/>
          <w:szCs w:val="22"/>
          <w:lang w:val="sr-Latn-ME"/>
        </w:rPr>
      </w:pPr>
      <w:r w:rsidRPr="007D7545">
        <w:rPr>
          <w:sz w:val="22"/>
          <w:szCs w:val="22"/>
          <w:lang w:val="sr-Latn-ME"/>
        </w:rPr>
        <w:t>Za spisak svih ekscipijenasa, pogledati dio 6.1.</w:t>
      </w:r>
    </w:p>
    <w:p w14:paraId="2AD7467A" w14:textId="77777777" w:rsidR="001A73C4" w:rsidRPr="007D7545" w:rsidRDefault="001A73C4" w:rsidP="005D101E">
      <w:pPr>
        <w:rPr>
          <w:sz w:val="22"/>
          <w:szCs w:val="22"/>
          <w:lang w:val="sr-Latn-ME"/>
        </w:rPr>
      </w:pPr>
    </w:p>
    <w:p w14:paraId="07CB7CEC" w14:textId="77777777" w:rsidR="0003793F" w:rsidRPr="007D7545" w:rsidRDefault="0003793F" w:rsidP="005D101E">
      <w:pPr>
        <w:rPr>
          <w:sz w:val="22"/>
          <w:szCs w:val="22"/>
          <w:lang w:val="sr-Latn-ME"/>
        </w:rPr>
      </w:pPr>
    </w:p>
    <w:p w14:paraId="7BF6EB90" w14:textId="77777777" w:rsidR="00411B4B" w:rsidRPr="007D7545" w:rsidRDefault="00411B4B" w:rsidP="005D101E">
      <w:pPr>
        <w:tabs>
          <w:tab w:val="left" w:pos="540"/>
          <w:tab w:val="left" w:pos="569"/>
        </w:tabs>
        <w:rPr>
          <w:b/>
          <w:bCs/>
          <w:sz w:val="22"/>
          <w:szCs w:val="22"/>
          <w:lang w:val="sr-Latn-ME"/>
        </w:rPr>
      </w:pPr>
      <w:r w:rsidRPr="007D7545">
        <w:rPr>
          <w:b/>
          <w:bCs/>
          <w:sz w:val="22"/>
          <w:szCs w:val="22"/>
          <w:lang w:val="sr-Latn-ME"/>
        </w:rPr>
        <w:t xml:space="preserve">3. </w:t>
      </w:r>
      <w:r w:rsidR="00F5167F" w:rsidRPr="007D7545">
        <w:rPr>
          <w:b/>
          <w:bCs/>
          <w:sz w:val="22"/>
          <w:szCs w:val="22"/>
          <w:lang w:val="sr-Latn-ME"/>
        </w:rPr>
        <w:tab/>
      </w:r>
      <w:r w:rsidRPr="007D7545">
        <w:rPr>
          <w:b/>
          <w:bCs/>
          <w:sz w:val="22"/>
          <w:szCs w:val="22"/>
          <w:lang w:val="sr-Latn-ME"/>
        </w:rPr>
        <w:t>FARMACEUTSKI OBLIK</w:t>
      </w:r>
      <w:r w:rsidR="009F2D23" w:rsidRPr="007D7545">
        <w:rPr>
          <w:b/>
          <w:bCs/>
          <w:sz w:val="22"/>
          <w:szCs w:val="22"/>
          <w:lang w:val="sr-Latn-ME"/>
        </w:rPr>
        <w:t xml:space="preserve"> </w:t>
      </w:r>
    </w:p>
    <w:p w14:paraId="7D7B00CC" w14:textId="77777777" w:rsidR="001E010E" w:rsidRPr="007D7545" w:rsidRDefault="001E010E" w:rsidP="005D101E">
      <w:pPr>
        <w:jc w:val="both"/>
        <w:rPr>
          <w:color w:val="000000"/>
          <w:sz w:val="22"/>
          <w:szCs w:val="22"/>
          <w:lang w:val="sr-Latn-ME"/>
        </w:rPr>
      </w:pPr>
    </w:p>
    <w:p w14:paraId="36A8D2C8" w14:textId="40259968" w:rsidR="001E010E" w:rsidRPr="007D7545" w:rsidRDefault="001E010E" w:rsidP="005D101E">
      <w:pPr>
        <w:ind w:hanging="10"/>
        <w:jc w:val="both"/>
        <w:rPr>
          <w:color w:val="000000"/>
          <w:sz w:val="22"/>
          <w:szCs w:val="22"/>
          <w:lang w:val="sr-Latn-ME"/>
        </w:rPr>
      </w:pPr>
      <w:r w:rsidRPr="007D7545">
        <w:rPr>
          <w:color w:val="000000"/>
          <w:sz w:val="22"/>
          <w:szCs w:val="22"/>
          <w:lang w:val="sr-Latn-ME"/>
        </w:rPr>
        <w:t>Film tablete.</w:t>
      </w:r>
    </w:p>
    <w:p w14:paraId="0A964847" w14:textId="4B67781E" w:rsidR="00EC2532" w:rsidRPr="007D7545" w:rsidRDefault="001E010E" w:rsidP="005D101E">
      <w:pPr>
        <w:keepNext/>
        <w:keepLines/>
        <w:ind w:hanging="10"/>
        <w:outlineLvl w:val="0"/>
        <w:rPr>
          <w:bCs/>
          <w:sz w:val="22"/>
          <w:szCs w:val="22"/>
          <w:lang w:val="sr-Latn-ME"/>
        </w:rPr>
      </w:pPr>
      <w:r w:rsidRPr="007D7545">
        <w:rPr>
          <w:bCs/>
          <w:sz w:val="22"/>
          <w:szCs w:val="22"/>
          <w:lang w:val="sr-Latn-ME"/>
        </w:rPr>
        <w:t>Svetlo ružičaste, okrugle, bikonveksne film tablete sa prečnikom od približno 6 mm.</w:t>
      </w:r>
    </w:p>
    <w:p w14:paraId="5B77EA71" w14:textId="7ED4E951" w:rsidR="001A73C4" w:rsidRPr="007D7545" w:rsidRDefault="001A73C4" w:rsidP="005D101E">
      <w:pPr>
        <w:keepNext/>
        <w:keepLines/>
        <w:ind w:hanging="10"/>
        <w:outlineLvl w:val="0"/>
        <w:rPr>
          <w:bCs/>
          <w:sz w:val="22"/>
          <w:szCs w:val="22"/>
          <w:lang w:val="sr-Latn-ME"/>
        </w:rPr>
      </w:pPr>
    </w:p>
    <w:p w14:paraId="4907CDDF" w14:textId="77777777" w:rsidR="001A73C4" w:rsidRPr="007D7545" w:rsidRDefault="001A73C4" w:rsidP="005D101E">
      <w:pPr>
        <w:keepNext/>
        <w:keepLines/>
        <w:ind w:hanging="10"/>
        <w:outlineLvl w:val="0"/>
        <w:rPr>
          <w:bCs/>
          <w:sz w:val="22"/>
          <w:szCs w:val="22"/>
          <w:lang w:val="sr-Latn-ME"/>
        </w:rPr>
      </w:pPr>
    </w:p>
    <w:p w14:paraId="425F80D8" w14:textId="77777777" w:rsidR="00411B4B" w:rsidRPr="007D7545" w:rsidRDefault="00411B4B" w:rsidP="005D101E">
      <w:pPr>
        <w:tabs>
          <w:tab w:val="left" w:pos="540"/>
          <w:tab w:val="left" w:pos="569"/>
        </w:tabs>
        <w:rPr>
          <w:b/>
          <w:bCs/>
          <w:sz w:val="22"/>
          <w:szCs w:val="22"/>
          <w:lang w:val="sr-Latn-ME"/>
        </w:rPr>
      </w:pPr>
      <w:r w:rsidRPr="007D7545">
        <w:rPr>
          <w:b/>
          <w:bCs/>
          <w:sz w:val="22"/>
          <w:szCs w:val="22"/>
          <w:lang w:val="sr-Latn-ME"/>
        </w:rPr>
        <w:t xml:space="preserve">4. </w:t>
      </w:r>
      <w:r w:rsidR="00480FB1" w:rsidRPr="007D7545">
        <w:rPr>
          <w:b/>
          <w:bCs/>
          <w:sz w:val="22"/>
          <w:szCs w:val="22"/>
          <w:lang w:val="sr-Latn-ME"/>
        </w:rPr>
        <w:tab/>
      </w:r>
      <w:r w:rsidRPr="007D7545">
        <w:rPr>
          <w:b/>
          <w:bCs/>
          <w:sz w:val="22"/>
          <w:szCs w:val="22"/>
          <w:lang w:val="sr-Latn-ME"/>
        </w:rPr>
        <w:t>KLINIČKI PODACI</w:t>
      </w:r>
    </w:p>
    <w:p w14:paraId="64DEA905" w14:textId="77777777" w:rsidR="00CD6F02" w:rsidRPr="007D7545" w:rsidRDefault="00CD6F02" w:rsidP="005D101E">
      <w:pPr>
        <w:tabs>
          <w:tab w:val="left" w:pos="540"/>
          <w:tab w:val="left" w:pos="569"/>
        </w:tabs>
        <w:rPr>
          <w:bCs/>
          <w:sz w:val="22"/>
          <w:szCs w:val="22"/>
          <w:lang w:val="sr-Latn-ME"/>
        </w:rPr>
      </w:pPr>
    </w:p>
    <w:p w14:paraId="4D071AC1" w14:textId="77777777" w:rsidR="00411B4B" w:rsidRPr="007D7545" w:rsidRDefault="00411B4B" w:rsidP="005D101E">
      <w:pPr>
        <w:tabs>
          <w:tab w:val="left" w:pos="540"/>
          <w:tab w:val="left" w:pos="569"/>
        </w:tabs>
        <w:rPr>
          <w:b/>
          <w:bCs/>
          <w:sz w:val="22"/>
          <w:szCs w:val="22"/>
          <w:lang w:val="sr-Latn-ME"/>
        </w:rPr>
      </w:pPr>
      <w:r w:rsidRPr="007D7545">
        <w:rPr>
          <w:b/>
          <w:bCs/>
          <w:sz w:val="22"/>
          <w:szCs w:val="22"/>
          <w:lang w:val="sr-Latn-ME"/>
        </w:rPr>
        <w:t xml:space="preserve">4.1. </w:t>
      </w:r>
      <w:r w:rsidR="00480FB1" w:rsidRPr="007D7545">
        <w:rPr>
          <w:b/>
          <w:bCs/>
          <w:sz w:val="22"/>
          <w:szCs w:val="22"/>
          <w:lang w:val="sr-Latn-ME"/>
        </w:rPr>
        <w:tab/>
      </w:r>
      <w:r w:rsidRPr="007D7545">
        <w:rPr>
          <w:b/>
          <w:bCs/>
          <w:sz w:val="22"/>
          <w:szCs w:val="22"/>
          <w:lang w:val="sr-Latn-ME"/>
        </w:rPr>
        <w:t>Terapijske indikacije</w:t>
      </w:r>
    </w:p>
    <w:p w14:paraId="249A3435" w14:textId="67E96611" w:rsidR="00411B4B" w:rsidRPr="007D7545" w:rsidRDefault="00411B4B" w:rsidP="005D101E">
      <w:pPr>
        <w:tabs>
          <w:tab w:val="left" w:pos="540"/>
          <w:tab w:val="left" w:pos="569"/>
        </w:tabs>
        <w:rPr>
          <w:bCs/>
          <w:sz w:val="22"/>
          <w:szCs w:val="22"/>
          <w:lang w:val="sr-Latn-ME"/>
        </w:rPr>
      </w:pPr>
    </w:p>
    <w:p w14:paraId="3EEA4EFB" w14:textId="19180E46" w:rsidR="001E010E" w:rsidRPr="007D7545" w:rsidRDefault="001E010E" w:rsidP="005D101E">
      <w:pPr>
        <w:ind w:hanging="10"/>
        <w:jc w:val="both"/>
        <w:rPr>
          <w:color w:val="000000"/>
          <w:sz w:val="22"/>
          <w:szCs w:val="22"/>
          <w:lang w:val="sr-Latn-ME"/>
        </w:rPr>
      </w:pPr>
      <w:r w:rsidRPr="007D7545">
        <w:rPr>
          <w:color w:val="000000"/>
          <w:sz w:val="22"/>
          <w:szCs w:val="22"/>
          <w:lang w:val="sr-Latn-ME"/>
        </w:rPr>
        <w:t>Prevencija venske tromboembolije (VTE) kod odraslih pacijenata koji se podvrgavaju elektivnoj hirurškoj intervenciji ugradnje vještačkog kuka ili koljena.</w:t>
      </w:r>
    </w:p>
    <w:p w14:paraId="4AE85F7B" w14:textId="77777777" w:rsidR="009B50B7" w:rsidRPr="007D7545" w:rsidRDefault="009B50B7" w:rsidP="005D101E">
      <w:pPr>
        <w:ind w:hanging="10"/>
        <w:jc w:val="both"/>
        <w:rPr>
          <w:color w:val="000000"/>
          <w:sz w:val="22"/>
          <w:szCs w:val="22"/>
          <w:lang w:val="sr-Latn-ME"/>
        </w:rPr>
      </w:pPr>
    </w:p>
    <w:p w14:paraId="3DE4C1EF" w14:textId="1E36E223" w:rsidR="001E010E" w:rsidRPr="007D7545" w:rsidRDefault="001E010E" w:rsidP="005D101E">
      <w:pPr>
        <w:ind w:hanging="14"/>
        <w:jc w:val="both"/>
        <w:rPr>
          <w:color w:val="000000"/>
          <w:sz w:val="22"/>
          <w:szCs w:val="22"/>
          <w:lang w:val="sr-Latn-ME"/>
        </w:rPr>
      </w:pPr>
      <w:r w:rsidRPr="007D7545">
        <w:rPr>
          <w:color w:val="000000"/>
          <w:sz w:val="22"/>
          <w:szCs w:val="22"/>
          <w:lang w:val="sr-Latn-ME"/>
        </w:rPr>
        <w:t>Terapija tromboze dubokih vena (TDV) i plućne embolije (PE) i prevencija rekurentne TDV i PE kod odraslih osoba (</w:t>
      </w:r>
      <w:r w:rsidR="00955E5C" w:rsidRPr="007D7545">
        <w:rPr>
          <w:i/>
          <w:color w:val="000000"/>
          <w:sz w:val="22"/>
          <w:szCs w:val="22"/>
          <w:lang w:val="sr-Latn-ME"/>
        </w:rPr>
        <w:t>pogledati dio</w:t>
      </w:r>
      <w:r w:rsidRPr="007D7545">
        <w:rPr>
          <w:i/>
          <w:color w:val="000000"/>
          <w:sz w:val="22"/>
          <w:szCs w:val="22"/>
          <w:lang w:val="sr-Latn-ME"/>
        </w:rPr>
        <w:t xml:space="preserve"> 4.4</w:t>
      </w:r>
      <w:r w:rsidRPr="007D7545">
        <w:rPr>
          <w:color w:val="000000"/>
          <w:sz w:val="22"/>
          <w:szCs w:val="22"/>
          <w:lang w:val="sr-Latn-ME"/>
        </w:rPr>
        <w:t xml:space="preserve"> </w:t>
      </w:r>
      <w:r w:rsidRPr="007D7545">
        <w:rPr>
          <w:i/>
          <w:color w:val="000000"/>
          <w:sz w:val="22"/>
          <w:szCs w:val="22"/>
          <w:lang w:val="sr-Latn-ME"/>
        </w:rPr>
        <w:t>za informacije o primjeni kod hemodinamski nestabilnih pacijenata sa PE</w:t>
      </w:r>
      <w:r w:rsidRPr="007D7545">
        <w:rPr>
          <w:color w:val="000000"/>
          <w:sz w:val="22"/>
          <w:szCs w:val="22"/>
          <w:lang w:val="sr-Latn-ME"/>
        </w:rPr>
        <w:t xml:space="preserve">). </w:t>
      </w:r>
    </w:p>
    <w:p w14:paraId="7FFD992D" w14:textId="77777777" w:rsidR="001E010E" w:rsidRPr="007D7545" w:rsidRDefault="001E010E" w:rsidP="005D101E">
      <w:pPr>
        <w:tabs>
          <w:tab w:val="left" w:pos="540"/>
          <w:tab w:val="left" w:pos="569"/>
        </w:tabs>
        <w:rPr>
          <w:bCs/>
          <w:sz w:val="22"/>
          <w:szCs w:val="22"/>
          <w:lang w:val="sr-Latn-ME"/>
        </w:rPr>
      </w:pPr>
    </w:p>
    <w:p w14:paraId="4AD1A3C7" w14:textId="77777777" w:rsidR="00411B4B" w:rsidRPr="007D7545" w:rsidRDefault="00411B4B" w:rsidP="005D101E">
      <w:pPr>
        <w:tabs>
          <w:tab w:val="left" w:pos="540"/>
          <w:tab w:val="left" w:pos="569"/>
        </w:tabs>
        <w:rPr>
          <w:b/>
          <w:bCs/>
          <w:sz w:val="22"/>
          <w:szCs w:val="22"/>
          <w:lang w:val="sr-Latn-ME"/>
        </w:rPr>
      </w:pPr>
      <w:r w:rsidRPr="007D7545">
        <w:rPr>
          <w:b/>
          <w:bCs/>
          <w:sz w:val="22"/>
          <w:szCs w:val="22"/>
          <w:lang w:val="sr-Latn-ME"/>
        </w:rPr>
        <w:t xml:space="preserve">4.2. </w:t>
      </w:r>
      <w:r w:rsidR="00480FB1" w:rsidRPr="007D7545">
        <w:rPr>
          <w:b/>
          <w:bCs/>
          <w:sz w:val="22"/>
          <w:szCs w:val="22"/>
          <w:lang w:val="sr-Latn-ME"/>
        </w:rPr>
        <w:tab/>
      </w:r>
      <w:r w:rsidRPr="007D7545">
        <w:rPr>
          <w:b/>
          <w:bCs/>
          <w:sz w:val="22"/>
          <w:szCs w:val="22"/>
          <w:lang w:val="sr-Latn-ME"/>
        </w:rPr>
        <w:t>Doziranje i način primjene</w:t>
      </w:r>
    </w:p>
    <w:p w14:paraId="6784F0EB" w14:textId="77777777" w:rsidR="0072020E" w:rsidRPr="007D7545" w:rsidRDefault="0072020E" w:rsidP="005D101E">
      <w:pPr>
        <w:tabs>
          <w:tab w:val="left" w:pos="540"/>
          <w:tab w:val="left" w:pos="569"/>
        </w:tabs>
        <w:rPr>
          <w:bCs/>
          <w:sz w:val="22"/>
          <w:szCs w:val="22"/>
          <w:lang w:val="sr-Latn-ME"/>
        </w:rPr>
      </w:pPr>
    </w:p>
    <w:p w14:paraId="64EFB84B" w14:textId="0D31E4C8" w:rsidR="001E010E" w:rsidRPr="007D7545" w:rsidRDefault="001E010E" w:rsidP="005D101E">
      <w:pPr>
        <w:keepNext/>
        <w:keepLines/>
        <w:ind w:hanging="10"/>
        <w:outlineLvl w:val="1"/>
        <w:rPr>
          <w:color w:val="000000"/>
          <w:sz w:val="22"/>
          <w:szCs w:val="22"/>
          <w:u w:val="single" w:color="000000"/>
          <w:lang w:val="sr-Latn-ME"/>
        </w:rPr>
      </w:pPr>
      <w:r w:rsidRPr="007D7545">
        <w:rPr>
          <w:color w:val="000000"/>
          <w:sz w:val="22"/>
          <w:szCs w:val="22"/>
          <w:u w:val="single" w:color="000000"/>
          <w:lang w:val="sr-Latn-ME"/>
        </w:rPr>
        <w:t>Doziranje</w:t>
      </w:r>
    </w:p>
    <w:p w14:paraId="4E2291E4" w14:textId="77777777" w:rsidR="00906544" w:rsidRPr="007D7545" w:rsidRDefault="00906544" w:rsidP="005D101E">
      <w:pPr>
        <w:keepNext/>
        <w:keepLines/>
        <w:ind w:hanging="10"/>
        <w:outlineLvl w:val="1"/>
        <w:rPr>
          <w:color w:val="000000"/>
          <w:sz w:val="22"/>
          <w:szCs w:val="22"/>
          <w:u w:val="single" w:color="000000"/>
          <w:lang w:val="sr-Latn-ME"/>
        </w:rPr>
      </w:pPr>
    </w:p>
    <w:p w14:paraId="5B7DF155" w14:textId="77777777" w:rsidR="001E010E" w:rsidRPr="007D7545" w:rsidRDefault="001E010E" w:rsidP="005D101E">
      <w:pPr>
        <w:keepNext/>
        <w:keepLines/>
        <w:ind w:hanging="10"/>
        <w:outlineLvl w:val="2"/>
        <w:rPr>
          <w:i/>
          <w:color w:val="000000"/>
          <w:sz w:val="22"/>
          <w:szCs w:val="22"/>
          <w:u w:val="single"/>
          <w:lang w:val="sr-Latn-ME"/>
        </w:rPr>
      </w:pPr>
      <w:r w:rsidRPr="007D7545">
        <w:rPr>
          <w:i/>
          <w:color w:val="000000"/>
          <w:sz w:val="22"/>
          <w:szCs w:val="22"/>
          <w:u w:val="single"/>
          <w:lang w:val="sr-Latn-ME"/>
        </w:rPr>
        <w:t>Prevencija VTE kod odraslih pacijenata koji se podvrgavaju elektivnoj hirurškoj intervenciji ugradnje vještačkog kuka ili koljena</w:t>
      </w:r>
    </w:p>
    <w:p w14:paraId="09A02CCA" w14:textId="1F378FE7" w:rsidR="001E010E" w:rsidRPr="007D7545" w:rsidRDefault="001E010E" w:rsidP="005D101E">
      <w:pPr>
        <w:ind w:hanging="10"/>
        <w:jc w:val="both"/>
        <w:rPr>
          <w:color w:val="000000"/>
          <w:sz w:val="22"/>
          <w:szCs w:val="22"/>
          <w:lang w:val="sr-Latn-ME"/>
        </w:rPr>
      </w:pPr>
      <w:r w:rsidRPr="007D7545">
        <w:rPr>
          <w:color w:val="000000"/>
          <w:sz w:val="22"/>
          <w:szCs w:val="22"/>
          <w:lang w:val="sr-Latn-ME"/>
        </w:rPr>
        <w:t>Preporučena doza rivaroksabana je 10 mg uzeta oralnim putem, jednom dnevno. Početnu dozu treba uzeti 6 do 10 sati nakon hirurške intervencije, pod uslovom da je uspostavljena hemostaza.</w:t>
      </w:r>
    </w:p>
    <w:p w14:paraId="31984D03" w14:textId="77777777" w:rsidR="00906544" w:rsidRPr="007D7545" w:rsidRDefault="00906544" w:rsidP="005D101E">
      <w:pPr>
        <w:ind w:hanging="10"/>
        <w:jc w:val="both"/>
        <w:rPr>
          <w:color w:val="000000"/>
          <w:sz w:val="22"/>
          <w:szCs w:val="22"/>
          <w:lang w:val="sr-Latn-ME"/>
        </w:rPr>
      </w:pPr>
    </w:p>
    <w:p w14:paraId="60E2EBDE" w14:textId="77777777" w:rsidR="001E010E" w:rsidRPr="007D7545" w:rsidRDefault="001E010E" w:rsidP="005D101E">
      <w:pPr>
        <w:ind w:hanging="10"/>
        <w:jc w:val="both"/>
        <w:rPr>
          <w:color w:val="000000"/>
          <w:sz w:val="22"/>
          <w:szCs w:val="22"/>
          <w:lang w:val="sr-Latn-ME"/>
        </w:rPr>
      </w:pPr>
      <w:r w:rsidRPr="007D7545">
        <w:rPr>
          <w:color w:val="000000"/>
          <w:sz w:val="22"/>
          <w:szCs w:val="22"/>
          <w:lang w:val="sr-Latn-ME"/>
        </w:rPr>
        <w:t>Trajanje terapije zavisi od individualnog rizika pacijenta od pojave venske tromboembolije, što je određeno vrstom ortopedske hirurške intervencije.</w:t>
      </w:r>
    </w:p>
    <w:p w14:paraId="7C7F7D1C" w14:textId="7EFD9E77" w:rsidR="001E010E" w:rsidRPr="007D7545" w:rsidRDefault="001E010E" w:rsidP="005D101E">
      <w:pPr>
        <w:numPr>
          <w:ilvl w:val="0"/>
          <w:numId w:val="12"/>
        </w:numPr>
        <w:ind w:left="0" w:hanging="10"/>
        <w:jc w:val="both"/>
        <w:rPr>
          <w:color w:val="000000"/>
          <w:sz w:val="22"/>
          <w:szCs w:val="22"/>
          <w:lang w:val="sr-Latn-ME"/>
        </w:rPr>
      </w:pPr>
      <w:r w:rsidRPr="007D7545">
        <w:rPr>
          <w:color w:val="000000"/>
          <w:sz w:val="22"/>
          <w:szCs w:val="22"/>
          <w:lang w:val="sr-Latn-ME"/>
        </w:rPr>
        <w:t>Kod pacijenata koji se podvrgavaju velikoj operaciji zamjene (ugradnje) kuka, preporučuje se da terapija traje 5 ned</w:t>
      </w:r>
      <w:r w:rsidR="00906544" w:rsidRPr="007D7545">
        <w:rPr>
          <w:color w:val="000000"/>
          <w:sz w:val="22"/>
          <w:szCs w:val="22"/>
          <w:lang w:val="sr-Latn-ME"/>
        </w:rPr>
        <w:t>j</w:t>
      </w:r>
      <w:r w:rsidRPr="007D7545">
        <w:rPr>
          <w:color w:val="000000"/>
          <w:sz w:val="22"/>
          <w:szCs w:val="22"/>
          <w:lang w:val="sr-Latn-ME"/>
        </w:rPr>
        <w:t>elja.</w:t>
      </w:r>
    </w:p>
    <w:p w14:paraId="41EF96BB" w14:textId="69F27636" w:rsidR="001E010E" w:rsidRPr="007D7545" w:rsidRDefault="001E010E" w:rsidP="005D101E">
      <w:pPr>
        <w:numPr>
          <w:ilvl w:val="0"/>
          <w:numId w:val="12"/>
        </w:numPr>
        <w:ind w:left="0" w:hanging="10"/>
        <w:jc w:val="both"/>
        <w:rPr>
          <w:color w:val="000000"/>
          <w:sz w:val="22"/>
          <w:szCs w:val="22"/>
          <w:lang w:val="sr-Latn-ME"/>
        </w:rPr>
      </w:pPr>
      <w:r w:rsidRPr="007D7545">
        <w:rPr>
          <w:color w:val="000000"/>
          <w:sz w:val="22"/>
          <w:szCs w:val="22"/>
          <w:lang w:val="sr-Latn-ME"/>
        </w:rPr>
        <w:t>Kod pacijenata koji se podvrgavaju velikoj operaciji zamjene (ugradnje) koljena, preporučuje se da terapija traje 2 ned</w:t>
      </w:r>
      <w:r w:rsidR="00906544" w:rsidRPr="007D7545">
        <w:rPr>
          <w:color w:val="000000"/>
          <w:sz w:val="22"/>
          <w:szCs w:val="22"/>
          <w:lang w:val="sr-Latn-ME"/>
        </w:rPr>
        <w:t>j</w:t>
      </w:r>
      <w:r w:rsidRPr="007D7545">
        <w:rPr>
          <w:color w:val="000000"/>
          <w:sz w:val="22"/>
          <w:szCs w:val="22"/>
          <w:lang w:val="sr-Latn-ME"/>
        </w:rPr>
        <w:t>elje.</w:t>
      </w:r>
    </w:p>
    <w:p w14:paraId="4FAF0942" w14:textId="77777777" w:rsidR="00906544" w:rsidRPr="007D7545" w:rsidRDefault="00906544" w:rsidP="005D101E">
      <w:pPr>
        <w:jc w:val="both"/>
        <w:rPr>
          <w:color w:val="000000"/>
          <w:sz w:val="22"/>
          <w:szCs w:val="22"/>
          <w:lang w:val="sr-Latn-ME"/>
        </w:rPr>
      </w:pPr>
    </w:p>
    <w:p w14:paraId="1F764BA4" w14:textId="0109AA33"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Ukoliko propusti dozu lijeka </w:t>
      </w:r>
      <w:r w:rsidR="00007C5F" w:rsidRPr="007D7545">
        <w:rPr>
          <w:color w:val="000000"/>
          <w:sz w:val="22"/>
          <w:szCs w:val="22"/>
          <w:lang w:val="sr-Latn-ME"/>
        </w:rPr>
        <w:t>Trombocen</w:t>
      </w:r>
      <w:r w:rsidRPr="007D7545">
        <w:rPr>
          <w:color w:val="000000"/>
          <w:sz w:val="22"/>
          <w:szCs w:val="22"/>
          <w:lang w:val="sr-Latn-ME"/>
        </w:rPr>
        <w:t>, pacijent treba smjesta da uzme lijek, a zatim da od sl</w:t>
      </w:r>
      <w:r w:rsidR="00906544" w:rsidRPr="007D7545">
        <w:rPr>
          <w:color w:val="000000"/>
          <w:sz w:val="22"/>
          <w:szCs w:val="22"/>
          <w:lang w:val="sr-Latn-ME"/>
        </w:rPr>
        <w:t>j</w:t>
      </w:r>
      <w:r w:rsidRPr="007D7545">
        <w:rPr>
          <w:color w:val="000000"/>
          <w:sz w:val="22"/>
          <w:szCs w:val="22"/>
          <w:lang w:val="sr-Latn-ME"/>
        </w:rPr>
        <w:t>edećeg dana nastavi sa uzimanjem lijeka jednom dnevno, kao i prije.</w:t>
      </w:r>
    </w:p>
    <w:p w14:paraId="6AD3156E" w14:textId="77777777" w:rsidR="005D101E" w:rsidRPr="007D7545" w:rsidRDefault="005D101E" w:rsidP="005D101E">
      <w:pPr>
        <w:ind w:hanging="10"/>
        <w:jc w:val="both"/>
        <w:rPr>
          <w:color w:val="000000"/>
          <w:sz w:val="22"/>
          <w:szCs w:val="22"/>
          <w:lang w:val="sr-Latn-ME"/>
        </w:rPr>
      </w:pPr>
    </w:p>
    <w:p w14:paraId="1840A5E7" w14:textId="77777777" w:rsidR="001E010E" w:rsidRPr="007D7545" w:rsidRDefault="001E010E" w:rsidP="002D70E0">
      <w:pPr>
        <w:ind w:hanging="10"/>
        <w:outlineLvl w:val="3"/>
        <w:rPr>
          <w:i/>
          <w:color w:val="000000"/>
          <w:sz w:val="22"/>
          <w:szCs w:val="22"/>
          <w:u w:val="single" w:color="000000"/>
          <w:lang w:val="sr-Latn-ME"/>
        </w:rPr>
      </w:pPr>
      <w:r w:rsidRPr="007D7545">
        <w:rPr>
          <w:i/>
          <w:color w:val="000000"/>
          <w:sz w:val="22"/>
          <w:szCs w:val="22"/>
          <w:u w:val="single" w:color="000000"/>
          <w:lang w:val="sr-Latn-ME"/>
        </w:rPr>
        <w:t>Terapija TDV, terapija PE i prevencija rekurentne TDV i PE</w:t>
      </w:r>
    </w:p>
    <w:p w14:paraId="032941CC" w14:textId="47A94BF6" w:rsidR="001E010E" w:rsidRPr="007D7545" w:rsidRDefault="001E010E" w:rsidP="005D101E">
      <w:pPr>
        <w:ind w:hanging="10"/>
        <w:jc w:val="both"/>
        <w:rPr>
          <w:color w:val="000000"/>
          <w:sz w:val="22"/>
          <w:szCs w:val="22"/>
          <w:lang w:val="sr-Latn-ME"/>
        </w:rPr>
      </w:pPr>
      <w:r w:rsidRPr="007D7545">
        <w:rPr>
          <w:color w:val="000000"/>
          <w:sz w:val="22"/>
          <w:szCs w:val="22"/>
          <w:lang w:val="sr-Latn-ME"/>
        </w:rPr>
        <w:lastRenderedPageBreak/>
        <w:t>Preporučena doza za početnu terapiju akutne TDV ili PE je 15 mg dva puta dnevno tokom prve tri ned</w:t>
      </w:r>
      <w:r w:rsidR="00906544" w:rsidRPr="007D7545">
        <w:rPr>
          <w:color w:val="000000"/>
          <w:sz w:val="22"/>
          <w:szCs w:val="22"/>
          <w:lang w:val="sr-Latn-ME"/>
        </w:rPr>
        <w:t>j</w:t>
      </w:r>
      <w:r w:rsidRPr="007D7545">
        <w:rPr>
          <w:color w:val="000000"/>
          <w:sz w:val="22"/>
          <w:szCs w:val="22"/>
          <w:lang w:val="sr-Latn-ME"/>
        </w:rPr>
        <w:t>elje, nakon čega, za nastavak terapije i prevenciju rekurentne TDV i PE, treba nastaviti sa dozom od 20 mg jednom dnevno.</w:t>
      </w:r>
    </w:p>
    <w:p w14:paraId="44D3E9B1" w14:textId="77777777" w:rsidR="00906544" w:rsidRPr="007D7545" w:rsidRDefault="00906544">
      <w:pPr>
        <w:ind w:hanging="10"/>
        <w:jc w:val="both"/>
        <w:rPr>
          <w:color w:val="000000"/>
          <w:sz w:val="22"/>
          <w:szCs w:val="22"/>
          <w:lang w:val="sr-Latn-ME"/>
        </w:rPr>
      </w:pPr>
    </w:p>
    <w:p w14:paraId="60CDEF65" w14:textId="42F93FB2" w:rsidR="001E010E" w:rsidRPr="007D7545" w:rsidRDefault="001E010E">
      <w:pPr>
        <w:ind w:hanging="10"/>
        <w:jc w:val="both"/>
        <w:rPr>
          <w:color w:val="000000"/>
          <w:sz w:val="22"/>
          <w:szCs w:val="22"/>
          <w:lang w:val="sr-Latn-ME"/>
        </w:rPr>
      </w:pPr>
      <w:r w:rsidRPr="007D7545">
        <w:rPr>
          <w:color w:val="000000"/>
          <w:sz w:val="22"/>
          <w:szCs w:val="22"/>
          <w:lang w:val="sr-Latn-ME"/>
        </w:rPr>
        <w:t>Treba razmotriti kratkotrajnu terapiju (najmanje 3 mjeseca), kod pacijenata sa TDV ili PE koje su posl</w:t>
      </w:r>
      <w:r w:rsidR="00906544" w:rsidRPr="007D7545">
        <w:rPr>
          <w:color w:val="000000"/>
          <w:sz w:val="22"/>
          <w:szCs w:val="22"/>
          <w:lang w:val="sr-Latn-ME"/>
        </w:rPr>
        <w:t>j</w:t>
      </w:r>
      <w:r w:rsidRPr="007D7545">
        <w:rPr>
          <w:color w:val="000000"/>
          <w:sz w:val="22"/>
          <w:szCs w:val="22"/>
          <w:lang w:val="sr-Latn-ME"/>
        </w:rPr>
        <w:t>edica većeg prolaznog faktora rizika (tj. nedavna velika hirurška intervencija ili trauma). Dugotrajnu terapiju treba razmotriti kod:</w:t>
      </w:r>
    </w:p>
    <w:p w14:paraId="5765F00D" w14:textId="25F3234D" w:rsidR="001E010E" w:rsidRPr="007D7545" w:rsidRDefault="001E010E" w:rsidP="002D70E0">
      <w:pPr>
        <w:numPr>
          <w:ilvl w:val="0"/>
          <w:numId w:val="13"/>
        </w:numPr>
        <w:ind w:left="0" w:hanging="10"/>
        <w:jc w:val="both"/>
        <w:rPr>
          <w:color w:val="000000"/>
          <w:sz w:val="22"/>
          <w:szCs w:val="22"/>
          <w:lang w:val="sr-Latn-ME"/>
        </w:rPr>
      </w:pPr>
      <w:r w:rsidRPr="007D7545">
        <w:rPr>
          <w:color w:val="000000"/>
          <w:sz w:val="22"/>
          <w:szCs w:val="22"/>
          <w:lang w:val="sr-Latn-ME"/>
        </w:rPr>
        <w:t>provocirane TDV ili PE, koje ni</w:t>
      </w:r>
      <w:r w:rsidR="00906544" w:rsidRPr="007D7545">
        <w:rPr>
          <w:color w:val="000000"/>
          <w:sz w:val="22"/>
          <w:szCs w:val="22"/>
          <w:lang w:val="sr-Latn-ME"/>
        </w:rPr>
        <w:t>je</w:t>
      </w:r>
      <w:r w:rsidRPr="007D7545">
        <w:rPr>
          <w:color w:val="000000"/>
          <w:sz w:val="22"/>
          <w:szCs w:val="22"/>
          <w:lang w:val="sr-Latn-ME"/>
        </w:rPr>
        <w:t>su posl</w:t>
      </w:r>
      <w:r w:rsidR="00906544" w:rsidRPr="007D7545">
        <w:rPr>
          <w:color w:val="000000"/>
          <w:sz w:val="22"/>
          <w:szCs w:val="22"/>
          <w:lang w:val="sr-Latn-ME"/>
        </w:rPr>
        <w:t>j</w:t>
      </w:r>
      <w:r w:rsidRPr="007D7545">
        <w:rPr>
          <w:color w:val="000000"/>
          <w:sz w:val="22"/>
          <w:szCs w:val="22"/>
          <w:lang w:val="sr-Latn-ME"/>
        </w:rPr>
        <w:t xml:space="preserve">edica većeg prolaznog faktora rizika, </w:t>
      </w:r>
    </w:p>
    <w:p w14:paraId="7CB704F3" w14:textId="77777777" w:rsidR="001E010E" w:rsidRPr="007D7545" w:rsidRDefault="001E010E" w:rsidP="002D70E0">
      <w:pPr>
        <w:numPr>
          <w:ilvl w:val="0"/>
          <w:numId w:val="13"/>
        </w:numPr>
        <w:ind w:left="0" w:hanging="10"/>
        <w:jc w:val="both"/>
        <w:rPr>
          <w:color w:val="000000"/>
          <w:sz w:val="22"/>
          <w:szCs w:val="22"/>
          <w:lang w:val="sr-Latn-ME"/>
        </w:rPr>
      </w:pPr>
      <w:r w:rsidRPr="007D7545">
        <w:rPr>
          <w:color w:val="000000"/>
          <w:sz w:val="22"/>
          <w:szCs w:val="22"/>
          <w:lang w:val="sr-Latn-ME"/>
        </w:rPr>
        <w:t xml:space="preserve">neprovocirane TDV ili PE ili </w:t>
      </w:r>
    </w:p>
    <w:p w14:paraId="1445E381" w14:textId="77777777" w:rsidR="001E010E" w:rsidRPr="007D7545" w:rsidRDefault="001E010E" w:rsidP="002D70E0">
      <w:pPr>
        <w:numPr>
          <w:ilvl w:val="0"/>
          <w:numId w:val="13"/>
        </w:numPr>
        <w:ind w:left="0" w:hanging="10"/>
        <w:jc w:val="both"/>
        <w:rPr>
          <w:color w:val="000000"/>
          <w:sz w:val="22"/>
          <w:szCs w:val="22"/>
          <w:lang w:val="sr-Latn-ME"/>
        </w:rPr>
      </w:pPr>
      <w:r w:rsidRPr="007D7545">
        <w:rPr>
          <w:color w:val="000000"/>
          <w:sz w:val="22"/>
          <w:szCs w:val="22"/>
          <w:lang w:val="sr-Latn-ME"/>
        </w:rPr>
        <w:t>pacijenata sa rekurentnom TDV ili PE u anamnezi.</w:t>
      </w:r>
    </w:p>
    <w:p w14:paraId="58357DD7" w14:textId="77777777" w:rsidR="001E010E" w:rsidRPr="007D7545" w:rsidRDefault="001E010E">
      <w:pPr>
        <w:jc w:val="both"/>
        <w:rPr>
          <w:color w:val="000000"/>
          <w:sz w:val="22"/>
          <w:szCs w:val="22"/>
          <w:lang w:val="sr-Latn-ME"/>
        </w:rPr>
      </w:pPr>
    </w:p>
    <w:p w14:paraId="172980DE" w14:textId="77777777" w:rsidR="001E010E" w:rsidRPr="007D7545" w:rsidRDefault="001E010E">
      <w:pPr>
        <w:ind w:hanging="10"/>
        <w:jc w:val="both"/>
        <w:rPr>
          <w:color w:val="000000"/>
          <w:sz w:val="22"/>
          <w:szCs w:val="22"/>
          <w:lang w:val="sr-Latn-ME"/>
        </w:rPr>
      </w:pPr>
      <w:r w:rsidRPr="007D7545">
        <w:rPr>
          <w:color w:val="000000"/>
          <w:sz w:val="22"/>
          <w:szCs w:val="22"/>
          <w:lang w:val="sr-Latn-ME"/>
        </w:rPr>
        <w:t xml:space="preserve">Kada je indikovana produžena prevencija rekurentne TDV ili PE (nakon završetka terapije TDV ili PE koja je trajala najmanje 6 mjeseci), preporučena je doza od 10 mg jednom dnevno. </w:t>
      </w:r>
    </w:p>
    <w:p w14:paraId="2E417D5F" w14:textId="5017BE0D" w:rsidR="001E010E" w:rsidRPr="007D7545" w:rsidRDefault="001E010E">
      <w:pPr>
        <w:ind w:hanging="10"/>
        <w:jc w:val="both"/>
        <w:rPr>
          <w:color w:val="000000"/>
          <w:sz w:val="22"/>
          <w:szCs w:val="22"/>
          <w:lang w:val="sr-Latn-ME"/>
        </w:rPr>
      </w:pPr>
      <w:r w:rsidRPr="007D7545">
        <w:rPr>
          <w:color w:val="000000"/>
          <w:sz w:val="22"/>
          <w:szCs w:val="22"/>
          <w:lang w:val="sr-Latn-ME"/>
        </w:rPr>
        <w:t>Kod pacijenata kod kojih se smatra da je rizik od rekurentne TDV ili PE veliki, kao što su pacijenti sa komplikovanim komorbiditetima ili pacijenti kod kojih su se, uprkos produženoj prevenciji dozom od 10 mg jednom dnevno, razvili rekurentna TDV ili PE, potrebno je prim</w:t>
      </w:r>
      <w:r w:rsidR="00906544" w:rsidRPr="007D7545">
        <w:rPr>
          <w:color w:val="000000"/>
          <w:sz w:val="22"/>
          <w:szCs w:val="22"/>
          <w:lang w:val="sr-Latn-ME"/>
        </w:rPr>
        <w:t>i</w:t>
      </w:r>
      <w:r w:rsidRPr="007D7545">
        <w:rPr>
          <w:color w:val="000000"/>
          <w:sz w:val="22"/>
          <w:szCs w:val="22"/>
          <w:lang w:val="sr-Latn-ME"/>
        </w:rPr>
        <w:t xml:space="preserve">jeniti dozu od 20 mg jednom dnevno. </w:t>
      </w:r>
    </w:p>
    <w:p w14:paraId="21736C3F" w14:textId="77777777" w:rsidR="001E010E" w:rsidRPr="007D7545" w:rsidRDefault="001E010E" w:rsidP="005D101E">
      <w:pPr>
        <w:ind w:hanging="10"/>
        <w:jc w:val="both"/>
        <w:rPr>
          <w:color w:val="000000"/>
          <w:sz w:val="22"/>
          <w:szCs w:val="22"/>
          <w:lang w:val="sr-Latn-ME"/>
        </w:rPr>
      </w:pPr>
    </w:p>
    <w:p w14:paraId="640C7258" w14:textId="00FE5396" w:rsidR="001E010E" w:rsidRPr="007D7545" w:rsidRDefault="001E010E" w:rsidP="005D101E">
      <w:pPr>
        <w:ind w:hanging="10"/>
        <w:jc w:val="both"/>
        <w:rPr>
          <w:color w:val="000000"/>
          <w:sz w:val="22"/>
          <w:szCs w:val="22"/>
          <w:lang w:val="sr-Latn-ME"/>
        </w:rPr>
      </w:pPr>
      <w:r w:rsidRPr="007D7545">
        <w:rPr>
          <w:color w:val="000000"/>
          <w:sz w:val="22"/>
          <w:szCs w:val="22"/>
          <w:lang w:val="sr-Latn-ME"/>
        </w:rPr>
        <w:t>Trajanje terapije i izbor doze treba da budu individualni, posl</w:t>
      </w:r>
      <w:r w:rsidR="00906544" w:rsidRPr="007D7545">
        <w:rPr>
          <w:color w:val="000000"/>
          <w:sz w:val="22"/>
          <w:szCs w:val="22"/>
          <w:lang w:val="sr-Latn-ME"/>
        </w:rPr>
        <w:t>ij</w:t>
      </w:r>
      <w:r w:rsidRPr="007D7545">
        <w:rPr>
          <w:color w:val="000000"/>
          <w:sz w:val="22"/>
          <w:szCs w:val="22"/>
          <w:lang w:val="sr-Latn-ME"/>
        </w:rPr>
        <w:t>e pažljive procjene koristi terapije u odnosu na rizik od krvarenja (</w:t>
      </w:r>
      <w:r w:rsidR="00955E5C" w:rsidRPr="007D7545">
        <w:rPr>
          <w:i/>
          <w:color w:val="000000"/>
          <w:sz w:val="22"/>
          <w:szCs w:val="22"/>
          <w:lang w:val="sr-Latn-ME"/>
        </w:rPr>
        <w:t>pogledati dio</w:t>
      </w:r>
      <w:r w:rsidRPr="007D7545">
        <w:rPr>
          <w:i/>
          <w:color w:val="000000"/>
          <w:sz w:val="22"/>
          <w:szCs w:val="22"/>
          <w:lang w:val="sr-Latn-ME"/>
        </w:rPr>
        <w:t xml:space="preserve"> 4.4</w:t>
      </w:r>
      <w:r w:rsidRPr="007D7545">
        <w:rPr>
          <w:color w:val="000000"/>
          <w:sz w:val="22"/>
          <w:szCs w:val="22"/>
          <w:lang w:val="sr-Latn-ME"/>
        </w:rPr>
        <w:t>).</w:t>
      </w:r>
    </w:p>
    <w:tbl>
      <w:tblPr>
        <w:tblStyle w:val="TableGrid"/>
        <w:tblpPr w:vertAnchor="page" w:horzAnchor="margin" w:tblpY="7391"/>
        <w:tblOverlap w:val="never"/>
        <w:tblW w:w="5000" w:type="pct"/>
        <w:tblInd w:w="0" w:type="dxa"/>
        <w:tblCellMar>
          <w:top w:w="136" w:type="dxa"/>
          <w:bottom w:w="15" w:type="dxa"/>
          <w:right w:w="14" w:type="dxa"/>
        </w:tblCellMar>
        <w:tblLook w:val="04A0" w:firstRow="1" w:lastRow="0" w:firstColumn="1" w:lastColumn="0" w:noHBand="0" w:noVBand="1"/>
      </w:tblPr>
      <w:tblGrid>
        <w:gridCol w:w="2407"/>
        <w:gridCol w:w="3703"/>
        <w:gridCol w:w="1590"/>
        <w:gridCol w:w="1363"/>
      </w:tblGrid>
      <w:tr w:rsidR="001E010E" w:rsidRPr="007D7545" w14:paraId="0FAA30A7" w14:textId="77777777" w:rsidTr="002D70E0">
        <w:tc>
          <w:tcPr>
            <w:tcW w:w="0" w:type="auto"/>
            <w:tcBorders>
              <w:top w:val="single" w:sz="4" w:space="0" w:color="000000"/>
              <w:left w:val="single" w:sz="4" w:space="0" w:color="000000"/>
              <w:bottom w:val="single" w:sz="4" w:space="0" w:color="000000"/>
              <w:right w:val="single" w:sz="4" w:space="0" w:color="000000"/>
            </w:tcBorders>
          </w:tcPr>
          <w:p w14:paraId="4C8B826B"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vAlign w:val="bottom"/>
          </w:tcPr>
          <w:p w14:paraId="1F1724A8" w14:textId="77777777" w:rsidR="001E010E" w:rsidRPr="007D7545" w:rsidRDefault="001E010E" w:rsidP="005D101E">
            <w:pPr>
              <w:jc w:val="center"/>
              <w:rPr>
                <w:rFonts w:ascii="Times New Roman" w:hAnsi="Times New Roman"/>
                <w:b/>
                <w:color w:val="000000"/>
                <w:sz w:val="22"/>
                <w:szCs w:val="22"/>
                <w:lang w:val="sr-Latn-ME"/>
              </w:rPr>
            </w:pPr>
            <w:r w:rsidRPr="007D7545">
              <w:rPr>
                <w:b/>
                <w:color w:val="000000"/>
                <w:sz w:val="22"/>
                <w:szCs w:val="22"/>
                <w:lang w:val="sr-Latn-ME"/>
              </w:rPr>
              <w:t>Vremenski period</w:t>
            </w:r>
          </w:p>
        </w:tc>
        <w:tc>
          <w:tcPr>
            <w:tcW w:w="0" w:type="auto"/>
            <w:tcBorders>
              <w:top w:val="single" w:sz="4" w:space="0" w:color="000000"/>
              <w:left w:val="single" w:sz="4" w:space="0" w:color="000000"/>
              <w:bottom w:val="single" w:sz="4" w:space="0" w:color="000000"/>
              <w:right w:val="single" w:sz="4" w:space="0" w:color="000000"/>
            </w:tcBorders>
            <w:vAlign w:val="bottom"/>
          </w:tcPr>
          <w:p w14:paraId="55E5F614" w14:textId="77777777" w:rsidR="001E010E" w:rsidRPr="007D7545" w:rsidRDefault="001E010E" w:rsidP="005D101E">
            <w:pPr>
              <w:jc w:val="center"/>
              <w:rPr>
                <w:rFonts w:ascii="Times New Roman" w:hAnsi="Times New Roman"/>
                <w:b/>
                <w:color w:val="000000"/>
                <w:sz w:val="22"/>
                <w:szCs w:val="22"/>
                <w:lang w:val="sr-Latn-ME"/>
              </w:rPr>
            </w:pPr>
            <w:r w:rsidRPr="007D7545">
              <w:rPr>
                <w:b/>
                <w:color w:val="000000"/>
                <w:sz w:val="22"/>
                <w:szCs w:val="22"/>
                <w:lang w:val="sr-Latn-ME"/>
              </w:rPr>
              <w:t>Doziranje</w:t>
            </w:r>
          </w:p>
        </w:tc>
        <w:tc>
          <w:tcPr>
            <w:tcW w:w="0" w:type="auto"/>
            <w:tcBorders>
              <w:top w:val="single" w:sz="4" w:space="0" w:color="000000"/>
              <w:left w:val="single" w:sz="4" w:space="0" w:color="000000"/>
              <w:bottom w:val="single" w:sz="4" w:space="0" w:color="000000"/>
              <w:right w:val="single" w:sz="4" w:space="0" w:color="000000"/>
            </w:tcBorders>
            <w:vAlign w:val="bottom"/>
          </w:tcPr>
          <w:p w14:paraId="721E4E2E" w14:textId="77777777" w:rsidR="001E010E" w:rsidRPr="007D7545" w:rsidRDefault="001E010E" w:rsidP="005D101E">
            <w:pPr>
              <w:jc w:val="center"/>
              <w:rPr>
                <w:rFonts w:ascii="Times New Roman" w:hAnsi="Times New Roman"/>
                <w:b/>
                <w:color w:val="000000"/>
                <w:sz w:val="22"/>
                <w:szCs w:val="22"/>
                <w:lang w:val="sr-Latn-ME"/>
              </w:rPr>
            </w:pPr>
            <w:r w:rsidRPr="007D7545">
              <w:rPr>
                <w:b/>
                <w:color w:val="000000"/>
                <w:sz w:val="22"/>
                <w:szCs w:val="22"/>
                <w:lang w:val="sr-Latn-ME"/>
              </w:rPr>
              <w:t>Ukupna dnevna doza</w:t>
            </w:r>
          </w:p>
        </w:tc>
      </w:tr>
      <w:tr w:rsidR="001E010E" w:rsidRPr="007D7545" w14:paraId="24CC3832" w14:textId="77777777" w:rsidTr="002D70E0">
        <w:tc>
          <w:tcPr>
            <w:tcW w:w="0" w:type="auto"/>
            <w:vMerge w:val="restart"/>
            <w:tcBorders>
              <w:top w:val="single" w:sz="4" w:space="0" w:color="000000"/>
              <w:left w:val="single" w:sz="4" w:space="0" w:color="000000"/>
              <w:bottom w:val="single" w:sz="4" w:space="0" w:color="000000"/>
              <w:right w:val="single" w:sz="4" w:space="0" w:color="000000"/>
            </w:tcBorders>
          </w:tcPr>
          <w:p w14:paraId="0F19268D"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Terapija i prevencija rekurentne TDV i PE</w:t>
            </w:r>
          </w:p>
        </w:tc>
        <w:tc>
          <w:tcPr>
            <w:tcW w:w="0" w:type="auto"/>
            <w:tcBorders>
              <w:top w:val="single" w:sz="4" w:space="0" w:color="000000"/>
              <w:left w:val="single" w:sz="4" w:space="0" w:color="000000"/>
              <w:bottom w:val="single" w:sz="6" w:space="0" w:color="000000"/>
              <w:right w:val="single" w:sz="4" w:space="0" w:color="000000"/>
            </w:tcBorders>
            <w:vAlign w:val="bottom"/>
          </w:tcPr>
          <w:p w14:paraId="52E8A552" w14:textId="11D9AB3E" w:rsidR="001E010E" w:rsidRPr="007D7545" w:rsidRDefault="001E010E" w:rsidP="00F5172B">
            <w:pPr>
              <w:rPr>
                <w:rFonts w:ascii="Times New Roman" w:hAnsi="Times New Roman"/>
                <w:color w:val="000000"/>
                <w:sz w:val="22"/>
                <w:szCs w:val="22"/>
                <w:lang w:val="sr-Latn-ME"/>
              </w:rPr>
            </w:pPr>
            <w:r w:rsidRPr="007D7545">
              <w:rPr>
                <w:color w:val="000000"/>
                <w:sz w:val="22"/>
                <w:szCs w:val="22"/>
                <w:lang w:val="sr-Latn-ME"/>
              </w:rPr>
              <w:t xml:space="preserve">1-21. dan </w:t>
            </w:r>
          </w:p>
        </w:tc>
        <w:tc>
          <w:tcPr>
            <w:tcW w:w="0" w:type="auto"/>
            <w:tcBorders>
              <w:top w:val="single" w:sz="4" w:space="0" w:color="000000"/>
              <w:left w:val="single" w:sz="4" w:space="0" w:color="000000"/>
              <w:bottom w:val="single" w:sz="6" w:space="0" w:color="000000"/>
              <w:right w:val="single" w:sz="4" w:space="0" w:color="000000"/>
            </w:tcBorders>
            <w:vAlign w:val="bottom"/>
          </w:tcPr>
          <w:p w14:paraId="421B1A2C" w14:textId="767E4369"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15 mg dva puta dnevno</w:t>
            </w:r>
          </w:p>
        </w:tc>
        <w:tc>
          <w:tcPr>
            <w:tcW w:w="0" w:type="auto"/>
            <w:tcBorders>
              <w:top w:val="single" w:sz="4" w:space="0" w:color="000000"/>
              <w:left w:val="single" w:sz="4" w:space="0" w:color="000000"/>
              <w:bottom w:val="single" w:sz="6" w:space="0" w:color="000000"/>
              <w:right w:val="single" w:sz="4" w:space="0" w:color="000000"/>
            </w:tcBorders>
            <w:vAlign w:val="bottom"/>
          </w:tcPr>
          <w:p w14:paraId="24C7EC98"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30 mg</w:t>
            </w:r>
          </w:p>
        </w:tc>
      </w:tr>
      <w:tr w:rsidR="001E010E" w:rsidRPr="007D7545" w14:paraId="6D8E89EC" w14:textId="77777777" w:rsidTr="002D70E0">
        <w:tc>
          <w:tcPr>
            <w:tcW w:w="0" w:type="auto"/>
            <w:vMerge/>
            <w:tcBorders>
              <w:top w:val="nil"/>
              <w:left w:val="single" w:sz="4" w:space="0" w:color="000000"/>
              <w:bottom w:val="single" w:sz="4" w:space="0" w:color="000000"/>
              <w:right w:val="single" w:sz="4" w:space="0" w:color="000000"/>
            </w:tcBorders>
          </w:tcPr>
          <w:p w14:paraId="499499C0"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6" w:space="0" w:color="000000"/>
              <w:left w:val="single" w:sz="4" w:space="0" w:color="000000"/>
              <w:bottom w:val="single" w:sz="4" w:space="0" w:color="000000"/>
              <w:right w:val="single" w:sz="4" w:space="0" w:color="000000"/>
            </w:tcBorders>
          </w:tcPr>
          <w:p w14:paraId="64DB2E71"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od 22. dana nadalje</w:t>
            </w:r>
          </w:p>
        </w:tc>
        <w:tc>
          <w:tcPr>
            <w:tcW w:w="0" w:type="auto"/>
            <w:tcBorders>
              <w:top w:val="single" w:sz="6" w:space="0" w:color="000000"/>
              <w:left w:val="single" w:sz="4" w:space="0" w:color="000000"/>
              <w:bottom w:val="single" w:sz="4" w:space="0" w:color="000000"/>
              <w:right w:val="single" w:sz="4" w:space="0" w:color="000000"/>
            </w:tcBorders>
          </w:tcPr>
          <w:p w14:paraId="4791A122"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20 mg jednom dnevno</w:t>
            </w:r>
          </w:p>
        </w:tc>
        <w:tc>
          <w:tcPr>
            <w:tcW w:w="0" w:type="auto"/>
            <w:tcBorders>
              <w:top w:val="single" w:sz="6" w:space="0" w:color="000000"/>
              <w:left w:val="single" w:sz="4" w:space="0" w:color="000000"/>
              <w:bottom w:val="single" w:sz="4" w:space="0" w:color="000000"/>
              <w:right w:val="single" w:sz="4" w:space="0" w:color="000000"/>
            </w:tcBorders>
          </w:tcPr>
          <w:p w14:paraId="38DF6766"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20 mg</w:t>
            </w:r>
          </w:p>
        </w:tc>
      </w:tr>
      <w:tr w:rsidR="001E010E" w:rsidRPr="007D7545" w14:paraId="3212F22D" w14:textId="77777777" w:rsidTr="002D70E0">
        <w:tc>
          <w:tcPr>
            <w:tcW w:w="0" w:type="auto"/>
            <w:tcBorders>
              <w:top w:val="single" w:sz="4" w:space="0" w:color="000000"/>
              <w:left w:val="single" w:sz="4" w:space="0" w:color="000000"/>
              <w:bottom w:val="single" w:sz="4" w:space="0" w:color="000000"/>
              <w:right w:val="single" w:sz="4" w:space="0" w:color="000000"/>
            </w:tcBorders>
          </w:tcPr>
          <w:p w14:paraId="104E02B9"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Prevencija rekurentne TDV i PE</w:t>
            </w:r>
          </w:p>
        </w:tc>
        <w:tc>
          <w:tcPr>
            <w:tcW w:w="0" w:type="auto"/>
            <w:tcBorders>
              <w:top w:val="single" w:sz="4" w:space="0" w:color="000000"/>
              <w:left w:val="single" w:sz="4" w:space="0" w:color="000000"/>
              <w:bottom w:val="single" w:sz="4" w:space="0" w:color="000000"/>
              <w:right w:val="single" w:sz="4" w:space="0" w:color="000000"/>
            </w:tcBorders>
            <w:vAlign w:val="center"/>
          </w:tcPr>
          <w:p w14:paraId="1BCB1A8C"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Nakon završetka terapije TDV ili PE koja je trajala najmanje 6 mjeseci</w:t>
            </w:r>
          </w:p>
        </w:tc>
        <w:tc>
          <w:tcPr>
            <w:tcW w:w="0" w:type="auto"/>
            <w:tcBorders>
              <w:top w:val="single" w:sz="4" w:space="0" w:color="000000"/>
              <w:left w:val="single" w:sz="4" w:space="0" w:color="000000"/>
              <w:bottom w:val="single" w:sz="4" w:space="0" w:color="000000"/>
              <w:right w:val="single" w:sz="4" w:space="0" w:color="000000"/>
            </w:tcBorders>
          </w:tcPr>
          <w:p w14:paraId="59C62E32"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10 mg jednom dnevno ili</w:t>
            </w:r>
          </w:p>
          <w:p w14:paraId="22E71CFE"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20 mg jednom dnevno</w:t>
            </w:r>
          </w:p>
        </w:tc>
        <w:tc>
          <w:tcPr>
            <w:tcW w:w="0" w:type="auto"/>
            <w:tcBorders>
              <w:top w:val="single" w:sz="4" w:space="0" w:color="000000"/>
              <w:left w:val="single" w:sz="4" w:space="0" w:color="000000"/>
              <w:bottom w:val="single" w:sz="4" w:space="0" w:color="000000"/>
              <w:right w:val="single" w:sz="4" w:space="0" w:color="000000"/>
            </w:tcBorders>
          </w:tcPr>
          <w:p w14:paraId="174FF42C"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10 mg ili</w:t>
            </w:r>
          </w:p>
          <w:p w14:paraId="715702C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20 mg</w:t>
            </w:r>
          </w:p>
        </w:tc>
      </w:tr>
    </w:tbl>
    <w:p w14:paraId="7B28C948" w14:textId="77777777" w:rsidR="00FC1AAC" w:rsidRPr="007D7545" w:rsidRDefault="00FC1AAC" w:rsidP="005D101E">
      <w:pPr>
        <w:jc w:val="both"/>
        <w:rPr>
          <w:color w:val="000000"/>
          <w:sz w:val="22"/>
          <w:szCs w:val="22"/>
          <w:lang w:val="sr-Latn-ME"/>
        </w:rPr>
      </w:pPr>
    </w:p>
    <w:p w14:paraId="311EED38" w14:textId="5A1E81D1" w:rsidR="001E010E" w:rsidRPr="007D7545" w:rsidRDefault="00FC1AAC" w:rsidP="005D101E">
      <w:pPr>
        <w:ind w:hanging="10"/>
        <w:jc w:val="both"/>
        <w:rPr>
          <w:color w:val="000000"/>
          <w:sz w:val="22"/>
          <w:szCs w:val="22"/>
          <w:lang w:val="sr-Latn-ME"/>
        </w:rPr>
      </w:pPr>
      <w:r w:rsidRPr="007D7545">
        <w:rPr>
          <w:color w:val="000000"/>
          <w:sz w:val="22"/>
          <w:szCs w:val="22"/>
          <w:lang w:val="sr-Latn-ME"/>
        </w:rPr>
        <w:t xml:space="preserve">Ako se propusti doza tokom faze terapije sa 15 mg dva puta dnevno (1 – 21. dan), pacijent treba odmah da uzme lijek </w:t>
      </w:r>
      <w:r w:rsidR="00007C5F" w:rsidRPr="007D7545">
        <w:rPr>
          <w:color w:val="000000"/>
          <w:sz w:val="22"/>
          <w:szCs w:val="22"/>
          <w:lang w:val="sr-Latn-ME"/>
        </w:rPr>
        <w:t>Trombocen</w:t>
      </w:r>
      <w:r w:rsidRPr="007D7545">
        <w:rPr>
          <w:color w:val="000000"/>
          <w:sz w:val="22"/>
          <w:szCs w:val="22"/>
          <w:lang w:val="sr-Latn-ME"/>
        </w:rPr>
        <w:t xml:space="preserve"> da bi obezbijedio količinu od 30 mg lijeka dnevno. U ovom slučaju se </w:t>
      </w:r>
      <w:r w:rsidR="001E010E" w:rsidRPr="007D7545">
        <w:rPr>
          <w:color w:val="000000"/>
          <w:sz w:val="22"/>
          <w:szCs w:val="22"/>
          <w:lang w:val="sr-Latn-ME"/>
        </w:rPr>
        <w:t>dv</w:t>
      </w:r>
      <w:r w:rsidR="001F5A75" w:rsidRPr="007D7545">
        <w:rPr>
          <w:color w:val="000000"/>
          <w:sz w:val="22"/>
          <w:szCs w:val="22"/>
          <w:lang w:val="sr-Latn-ME"/>
        </w:rPr>
        <w:t>ij</w:t>
      </w:r>
      <w:r w:rsidR="001E010E" w:rsidRPr="007D7545">
        <w:rPr>
          <w:color w:val="000000"/>
          <w:sz w:val="22"/>
          <w:szCs w:val="22"/>
          <w:lang w:val="sr-Latn-ME"/>
        </w:rPr>
        <w:t xml:space="preserve">e tablete od 15 mg mogu uzeti odjednom. Pacijent treba da nastavi sa redovnim uzimanjem 15 mg dva puta dnevno narednog dana, kako je preporučeno. </w:t>
      </w:r>
    </w:p>
    <w:p w14:paraId="436C2C97" w14:textId="77777777" w:rsidR="00D966CA" w:rsidRPr="007D7545" w:rsidRDefault="00D966CA" w:rsidP="005D101E">
      <w:pPr>
        <w:ind w:hanging="10"/>
        <w:jc w:val="both"/>
        <w:rPr>
          <w:color w:val="000000"/>
          <w:sz w:val="22"/>
          <w:szCs w:val="22"/>
          <w:lang w:val="sr-Latn-ME"/>
        </w:rPr>
      </w:pPr>
    </w:p>
    <w:p w14:paraId="0A7F553D" w14:textId="5A5F0B49"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Ako se propusti doza tokom faze terapije – kada se lijek uzima jednom dnevno, pacijent treba odmah da uzme lijek </w:t>
      </w:r>
      <w:r w:rsidR="00007C5F" w:rsidRPr="007D7545">
        <w:rPr>
          <w:color w:val="000000"/>
          <w:sz w:val="22"/>
          <w:szCs w:val="22"/>
          <w:lang w:val="sr-Latn-ME"/>
        </w:rPr>
        <w:t>Trombocen</w:t>
      </w:r>
      <w:r w:rsidRPr="007D7545">
        <w:rPr>
          <w:color w:val="000000"/>
          <w:sz w:val="22"/>
          <w:szCs w:val="22"/>
          <w:lang w:val="sr-Latn-ME"/>
        </w:rPr>
        <w:t xml:space="preserve"> i da nastavi narednog dana sa uzimanjem jednom dnevno kako je preporučeno. Ne treba uzimati duplu dozu tokom istog dana da bi se nadoknadila propuštena doza. </w:t>
      </w:r>
    </w:p>
    <w:p w14:paraId="6BD27CC8" w14:textId="77777777" w:rsidR="00D966CA" w:rsidRPr="007D7545" w:rsidRDefault="00D966CA" w:rsidP="005D101E">
      <w:pPr>
        <w:ind w:hanging="10"/>
        <w:jc w:val="both"/>
        <w:rPr>
          <w:color w:val="000000"/>
          <w:sz w:val="22"/>
          <w:szCs w:val="22"/>
          <w:lang w:val="sr-Latn-ME"/>
        </w:rPr>
      </w:pPr>
    </w:p>
    <w:p w14:paraId="51F5BB1C" w14:textId="0B40C52B" w:rsidR="001E010E" w:rsidRPr="007D7545" w:rsidRDefault="001E010E" w:rsidP="005D101E">
      <w:pPr>
        <w:keepNext/>
        <w:keepLines/>
        <w:ind w:left="-5" w:hanging="10"/>
        <w:jc w:val="both"/>
        <w:outlineLvl w:val="3"/>
        <w:rPr>
          <w:i/>
          <w:color w:val="000000"/>
          <w:sz w:val="22"/>
          <w:szCs w:val="22"/>
          <w:u w:val="single" w:color="000000"/>
          <w:lang w:val="sr-Latn-ME"/>
        </w:rPr>
      </w:pPr>
      <w:r w:rsidRPr="007D7545">
        <w:rPr>
          <w:i/>
          <w:color w:val="000000"/>
          <w:sz w:val="22"/>
          <w:szCs w:val="22"/>
          <w:u w:val="single" w:color="000000"/>
          <w:lang w:val="sr-Latn-ME"/>
        </w:rPr>
        <w:t xml:space="preserve">Prevođenje sa terapije antagonistima vitamina K (engl. Vitamin K Antagonists, VKA) na terapiju lijekom </w:t>
      </w:r>
      <w:r w:rsidR="00007C5F" w:rsidRPr="007D7545">
        <w:rPr>
          <w:i/>
          <w:color w:val="000000"/>
          <w:sz w:val="22"/>
          <w:szCs w:val="22"/>
          <w:u w:val="single" w:color="000000"/>
          <w:lang w:val="sr-Latn-ME"/>
        </w:rPr>
        <w:t>Trombocen</w:t>
      </w:r>
    </w:p>
    <w:p w14:paraId="5B17F29E" w14:textId="4ED8A756"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 xml:space="preserve">Pacijenti koji su na terapiji TDV, PE i u prevenciji rekurentnih stanja, terapiju sa VKA treba da prekinu, a terapiju lijekom </w:t>
      </w:r>
      <w:r w:rsidR="00007C5F" w:rsidRPr="007D7545">
        <w:rPr>
          <w:color w:val="000000"/>
          <w:sz w:val="22"/>
          <w:szCs w:val="22"/>
          <w:lang w:val="sr-Latn-ME"/>
        </w:rPr>
        <w:t>Trombocen</w:t>
      </w:r>
      <w:r w:rsidRPr="007D7545">
        <w:rPr>
          <w:color w:val="000000"/>
          <w:sz w:val="22"/>
          <w:szCs w:val="22"/>
          <w:lang w:val="sr-Latn-ME"/>
        </w:rPr>
        <w:t xml:space="preserve"> treba da započnu kada je INR ≤ 2,5. </w:t>
      </w:r>
    </w:p>
    <w:p w14:paraId="56D7842F" w14:textId="77777777" w:rsidR="008E138A" w:rsidRPr="007D7545" w:rsidRDefault="008E138A" w:rsidP="005D101E">
      <w:pPr>
        <w:ind w:left="10" w:hanging="10"/>
        <w:jc w:val="both"/>
        <w:rPr>
          <w:color w:val="000000"/>
          <w:sz w:val="22"/>
          <w:szCs w:val="22"/>
          <w:lang w:val="sr-Latn-ME"/>
        </w:rPr>
      </w:pPr>
    </w:p>
    <w:p w14:paraId="40C3823F" w14:textId="678D9A24"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 xml:space="preserve">Prilikom prevođenja pacijenta sa VKA na </w:t>
      </w:r>
      <w:r w:rsidR="00007C5F" w:rsidRPr="007D7545">
        <w:rPr>
          <w:color w:val="000000"/>
          <w:sz w:val="22"/>
          <w:szCs w:val="22"/>
          <w:lang w:val="sr-Latn-ME"/>
        </w:rPr>
        <w:t>Trombocen</w:t>
      </w:r>
      <w:r w:rsidRPr="007D7545">
        <w:rPr>
          <w:color w:val="000000"/>
          <w:sz w:val="22"/>
          <w:szCs w:val="22"/>
          <w:lang w:val="sr-Latn-ME"/>
        </w:rPr>
        <w:t xml:space="preserve">, vrijednosti INR (engl. </w:t>
      </w:r>
      <w:r w:rsidRPr="007D7545">
        <w:rPr>
          <w:i/>
          <w:color w:val="000000"/>
          <w:sz w:val="22"/>
          <w:szCs w:val="22"/>
          <w:lang w:val="sr-Latn-ME"/>
        </w:rPr>
        <w:t>International normalized ratio</w:t>
      </w:r>
      <w:r w:rsidRPr="007D7545">
        <w:rPr>
          <w:color w:val="000000"/>
          <w:sz w:val="22"/>
          <w:szCs w:val="22"/>
          <w:lang w:val="sr-Latn-ME"/>
        </w:rPr>
        <w:t xml:space="preserve">) će nakon unosa lijeka </w:t>
      </w:r>
      <w:r w:rsidR="00007C5F" w:rsidRPr="007D7545">
        <w:rPr>
          <w:color w:val="000000"/>
          <w:sz w:val="22"/>
          <w:szCs w:val="22"/>
          <w:lang w:val="sr-Latn-ME"/>
        </w:rPr>
        <w:t>Trombocen</w:t>
      </w:r>
      <w:r w:rsidRPr="007D7545">
        <w:rPr>
          <w:color w:val="000000"/>
          <w:sz w:val="22"/>
          <w:szCs w:val="22"/>
          <w:lang w:val="sr-Latn-ME"/>
        </w:rPr>
        <w:t xml:space="preserve"> biti lažno povećane. Vrijednost INR nije validna za m</w:t>
      </w:r>
      <w:r w:rsidR="008E138A" w:rsidRPr="007D7545">
        <w:rPr>
          <w:color w:val="000000"/>
          <w:sz w:val="22"/>
          <w:szCs w:val="22"/>
          <w:lang w:val="sr-Latn-ME"/>
        </w:rPr>
        <w:t>j</w:t>
      </w:r>
      <w:r w:rsidRPr="007D7545">
        <w:rPr>
          <w:color w:val="000000"/>
          <w:sz w:val="22"/>
          <w:szCs w:val="22"/>
          <w:lang w:val="sr-Latn-ME"/>
        </w:rPr>
        <w:t xml:space="preserve">erenje antikoagulantne aktivnosti lijeka </w:t>
      </w:r>
      <w:r w:rsidR="00007C5F" w:rsidRPr="007D7545">
        <w:rPr>
          <w:color w:val="000000"/>
          <w:sz w:val="22"/>
          <w:szCs w:val="22"/>
          <w:lang w:val="sr-Latn-ME"/>
        </w:rPr>
        <w:t>Trombocen</w:t>
      </w:r>
      <w:r w:rsidRPr="007D7545">
        <w:rPr>
          <w:color w:val="000000"/>
          <w:sz w:val="22"/>
          <w:szCs w:val="22"/>
          <w:lang w:val="sr-Latn-ME"/>
        </w:rPr>
        <w:t xml:space="preserve"> i stoga je ne treba koristiti (</w:t>
      </w:r>
      <w:r w:rsidR="00955E5C" w:rsidRPr="007D7545">
        <w:rPr>
          <w:i/>
          <w:color w:val="000000"/>
          <w:sz w:val="22"/>
          <w:szCs w:val="22"/>
          <w:lang w:val="sr-Latn-ME"/>
        </w:rPr>
        <w:t>pogledati dio</w:t>
      </w:r>
      <w:r w:rsidRPr="007D7545">
        <w:rPr>
          <w:i/>
          <w:color w:val="000000"/>
          <w:sz w:val="22"/>
          <w:szCs w:val="22"/>
          <w:lang w:val="sr-Latn-ME"/>
        </w:rPr>
        <w:t xml:space="preserve"> 4.5</w:t>
      </w:r>
      <w:r w:rsidRPr="007D7545">
        <w:rPr>
          <w:color w:val="000000"/>
          <w:sz w:val="22"/>
          <w:szCs w:val="22"/>
          <w:lang w:val="sr-Latn-ME"/>
        </w:rPr>
        <w:t>).</w:t>
      </w:r>
    </w:p>
    <w:p w14:paraId="7871C4E7" w14:textId="77777777" w:rsidR="008E138A" w:rsidRPr="007D7545" w:rsidRDefault="008E138A" w:rsidP="005D101E">
      <w:pPr>
        <w:ind w:left="10" w:hanging="10"/>
        <w:jc w:val="both"/>
        <w:rPr>
          <w:color w:val="000000"/>
          <w:sz w:val="22"/>
          <w:szCs w:val="22"/>
          <w:lang w:val="sr-Latn-ME"/>
        </w:rPr>
      </w:pPr>
    </w:p>
    <w:p w14:paraId="2768857A" w14:textId="3E5F4C6B" w:rsidR="001E010E" w:rsidRPr="007D7545" w:rsidRDefault="001E010E" w:rsidP="005D101E">
      <w:pPr>
        <w:keepNext/>
        <w:keepLines/>
        <w:ind w:left="10" w:hanging="10"/>
        <w:outlineLvl w:val="3"/>
        <w:rPr>
          <w:i/>
          <w:color w:val="000000"/>
          <w:sz w:val="22"/>
          <w:szCs w:val="22"/>
          <w:u w:val="single" w:color="000000"/>
          <w:lang w:val="sr-Latn-ME"/>
        </w:rPr>
      </w:pPr>
      <w:r w:rsidRPr="007D7545">
        <w:rPr>
          <w:i/>
          <w:color w:val="000000"/>
          <w:sz w:val="22"/>
          <w:szCs w:val="22"/>
          <w:u w:val="single" w:color="000000"/>
          <w:lang w:val="sr-Latn-ME"/>
        </w:rPr>
        <w:t xml:space="preserve">Prevođenje sa terapije lijekom </w:t>
      </w:r>
      <w:r w:rsidR="00007C5F" w:rsidRPr="007D7545">
        <w:rPr>
          <w:i/>
          <w:color w:val="000000"/>
          <w:sz w:val="22"/>
          <w:szCs w:val="22"/>
          <w:u w:val="single" w:color="000000"/>
          <w:lang w:val="sr-Latn-ME"/>
        </w:rPr>
        <w:t>Trombocen</w:t>
      </w:r>
      <w:r w:rsidRPr="007D7545">
        <w:rPr>
          <w:i/>
          <w:color w:val="000000"/>
          <w:sz w:val="22"/>
          <w:szCs w:val="22"/>
          <w:u w:val="single" w:color="000000"/>
          <w:lang w:val="sr-Latn-ME"/>
        </w:rPr>
        <w:t xml:space="preserve"> na terapiju antagonistima vitamina K (VKA)</w:t>
      </w:r>
    </w:p>
    <w:p w14:paraId="6FD563F2" w14:textId="42F64242"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 xml:space="preserve">Postoji mogućnost za neadekvatnu antikoagulaciju tokom prevođenja pacijenta sa lijeka </w:t>
      </w:r>
      <w:r w:rsidR="00007C5F" w:rsidRPr="007D7545">
        <w:rPr>
          <w:color w:val="000000"/>
          <w:sz w:val="22"/>
          <w:szCs w:val="22"/>
          <w:lang w:val="sr-Latn-ME"/>
        </w:rPr>
        <w:t>Trombocen</w:t>
      </w:r>
      <w:r w:rsidRPr="007D7545">
        <w:rPr>
          <w:color w:val="000000"/>
          <w:sz w:val="22"/>
          <w:szCs w:val="22"/>
          <w:lang w:val="sr-Latn-ME"/>
        </w:rPr>
        <w:t xml:space="preserve"> na VKA. Tokom svakog prevođenja na drugu antikoagulacionu terapiju treba osigurati kontinuiranu </w:t>
      </w:r>
      <w:r w:rsidRPr="007D7545">
        <w:rPr>
          <w:color w:val="000000"/>
          <w:sz w:val="22"/>
          <w:szCs w:val="22"/>
          <w:lang w:val="sr-Latn-ME"/>
        </w:rPr>
        <w:lastRenderedPageBreak/>
        <w:t xml:space="preserve">adekvatnu antikoagulaciju. Treba imati na umu da lijek </w:t>
      </w:r>
      <w:r w:rsidR="00007C5F" w:rsidRPr="007D7545">
        <w:rPr>
          <w:color w:val="000000"/>
          <w:sz w:val="22"/>
          <w:szCs w:val="22"/>
          <w:lang w:val="sr-Latn-ME"/>
        </w:rPr>
        <w:t>Trombocen</w:t>
      </w:r>
      <w:r w:rsidRPr="007D7545">
        <w:rPr>
          <w:color w:val="000000"/>
          <w:sz w:val="22"/>
          <w:szCs w:val="22"/>
          <w:lang w:val="sr-Latn-ME"/>
        </w:rPr>
        <w:t xml:space="preserve"> može doprinjeti povećanju vrijednosti INR. </w:t>
      </w:r>
    </w:p>
    <w:p w14:paraId="686837D1" w14:textId="3BB9F7B3"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Kod pacijenata koji se prevode sa lijeka </w:t>
      </w:r>
      <w:r w:rsidR="00007C5F" w:rsidRPr="007D7545">
        <w:rPr>
          <w:color w:val="000000"/>
          <w:sz w:val="22"/>
          <w:szCs w:val="22"/>
          <w:lang w:val="sr-Latn-ME"/>
        </w:rPr>
        <w:t>Trombocen</w:t>
      </w:r>
      <w:r w:rsidRPr="007D7545">
        <w:rPr>
          <w:color w:val="000000"/>
          <w:sz w:val="22"/>
          <w:szCs w:val="22"/>
          <w:lang w:val="sr-Latn-ME"/>
        </w:rPr>
        <w:t xml:space="preserve"> na VKA, oba lijeka treba davati istovremeno dok INR ne dostigne vrijednost ≥ 2,0. Tokom prva dva dana perioda prevođenja, treba </w:t>
      </w:r>
      <w:r w:rsidR="00683FA1" w:rsidRPr="007D7545">
        <w:rPr>
          <w:color w:val="000000"/>
          <w:sz w:val="22"/>
          <w:szCs w:val="22"/>
          <w:lang w:val="sr-Latn-ME"/>
        </w:rPr>
        <w:t>prim</w:t>
      </w:r>
      <w:r w:rsidR="008E138A" w:rsidRPr="007D7545">
        <w:rPr>
          <w:color w:val="000000"/>
          <w:sz w:val="22"/>
          <w:szCs w:val="22"/>
          <w:lang w:val="sr-Latn-ME"/>
        </w:rPr>
        <w:t>i</w:t>
      </w:r>
      <w:r w:rsidR="00683FA1" w:rsidRPr="007D7545">
        <w:rPr>
          <w:color w:val="000000"/>
          <w:sz w:val="22"/>
          <w:szCs w:val="22"/>
          <w:lang w:val="sr-Latn-ME"/>
        </w:rPr>
        <w:t>jeni</w:t>
      </w:r>
      <w:r w:rsidRPr="007D7545">
        <w:rPr>
          <w:color w:val="000000"/>
          <w:sz w:val="22"/>
          <w:szCs w:val="22"/>
          <w:lang w:val="sr-Latn-ME"/>
        </w:rPr>
        <w:t>ti standardno početno doziranje VKA, nakon čega sl</w:t>
      </w:r>
      <w:r w:rsidR="008E138A" w:rsidRPr="007D7545">
        <w:rPr>
          <w:color w:val="000000"/>
          <w:sz w:val="22"/>
          <w:szCs w:val="22"/>
          <w:lang w:val="sr-Latn-ME"/>
        </w:rPr>
        <w:t>j</w:t>
      </w:r>
      <w:r w:rsidRPr="007D7545">
        <w:rPr>
          <w:color w:val="000000"/>
          <w:sz w:val="22"/>
          <w:szCs w:val="22"/>
          <w:lang w:val="sr-Latn-ME"/>
        </w:rPr>
        <w:t xml:space="preserve">edi doziranje VKA u zavisnosti od određene vrijednosti INR. Dok pacijenti istovremeno primaju i lijek </w:t>
      </w:r>
      <w:r w:rsidR="00007C5F" w:rsidRPr="007D7545">
        <w:rPr>
          <w:color w:val="000000"/>
          <w:sz w:val="22"/>
          <w:szCs w:val="22"/>
          <w:lang w:val="sr-Latn-ME"/>
        </w:rPr>
        <w:t>Trombocen</w:t>
      </w:r>
      <w:r w:rsidRPr="007D7545">
        <w:rPr>
          <w:color w:val="000000"/>
          <w:sz w:val="22"/>
          <w:szCs w:val="22"/>
          <w:lang w:val="sr-Latn-ME"/>
        </w:rPr>
        <w:t xml:space="preserve"> i VKA, INR ne treba m</w:t>
      </w:r>
      <w:r w:rsidR="008E138A" w:rsidRPr="007D7545">
        <w:rPr>
          <w:color w:val="000000"/>
          <w:sz w:val="22"/>
          <w:szCs w:val="22"/>
          <w:lang w:val="sr-Latn-ME"/>
        </w:rPr>
        <w:t>j</w:t>
      </w:r>
      <w:r w:rsidRPr="007D7545">
        <w:rPr>
          <w:color w:val="000000"/>
          <w:sz w:val="22"/>
          <w:szCs w:val="22"/>
          <w:lang w:val="sr-Latn-ME"/>
        </w:rPr>
        <w:t>eriti ranije od 24 sata nakon prethodne doze, ali treba prije sl</w:t>
      </w:r>
      <w:r w:rsidR="008E138A" w:rsidRPr="007D7545">
        <w:rPr>
          <w:color w:val="000000"/>
          <w:sz w:val="22"/>
          <w:szCs w:val="22"/>
          <w:lang w:val="sr-Latn-ME"/>
        </w:rPr>
        <w:t>j</w:t>
      </w:r>
      <w:r w:rsidRPr="007D7545">
        <w:rPr>
          <w:color w:val="000000"/>
          <w:sz w:val="22"/>
          <w:szCs w:val="22"/>
          <w:lang w:val="sr-Latn-ME"/>
        </w:rPr>
        <w:t xml:space="preserve">edeće doze lijeka </w:t>
      </w:r>
      <w:r w:rsidR="00007C5F" w:rsidRPr="007D7545">
        <w:rPr>
          <w:color w:val="000000"/>
          <w:sz w:val="22"/>
          <w:szCs w:val="22"/>
          <w:lang w:val="sr-Latn-ME"/>
        </w:rPr>
        <w:t>Trombocen</w:t>
      </w:r>
      <w:r w:rsidRPr="007D7545">
        <w:rPr>
          <w:color w:val="000000"/>
          <w:sz w:val="22"/>
          <w:szCs w:val="22"/>
          <w:lang w:val="sr-Latn-ME"/>
        </w:rPr>
        <w:t xml:space="preserve">. Nakon što se primjena lijeka </w:t>
      </w:r>
      <w:r w:rsidR="00007C5F" w:rsidRPr="007D7545">
        <w:rPr>
          <w:color w:val="000000"/>
          <w:sz w:val="22"/>
          <w:szCs w:val="22"/>
          <w:lang w:val="sr-Latn-ME"/>
        </w:rPr>
        <w:t>Trombocen</w:t>
      </w:r>
      <w:r w:rsidRPr="007D7545">
        <w:rPr>
          <w:color w:val="000000"/>
          <w:sz w:val="22"/>
          <w:szCs w:val="22"/>
          <w:lang w:val="sr-Latn-ME"/>
        </w:rPr>
        <w:t xml:space="preserve"> prekine, vrijednost INR se može pouzdano izm</w:t>
      </w:r>
      <w:r w:rsidR="008E138A" w:rsidRPr="007D7545">
        <w:rPr>
          <w:color w:val="000000"/>
          <w:sz w:val="22"/>
          <w:szCs w:val="22"/>
          <w:lang w:val="sr-Latn-ME"/>
        </w:rPr>
        <w:t>j</w:t>
      </w:r>
      <w:r w:rsidRPr="007D7545">
        <w:rPr>
          <w:color w:val="000000"/>
          <w:sz w:val="22"/>
          <w:szCs w:val="22"/>
          <w:lang w:val="sr-Latn-ME"/>
        </w:rPr>
        <w:t>eriti najmanje 24 sata nakon posl</w:t>
      </w:r>
      <w:r w:rsidR="008E138A" w:rsidRPr="007D7545">
        <w:rPr>
          <w:color w:val="000000"/>
          <w:sz w:val="22"/>
          <w:szCs w:val="22"/>
          <w:lang w:val="sr-Latn-ME"/>
        </w:rPr>
        <w:t>j</w:t>
      </w:r>
      <w:r w:rsidRPr="007D7545">
        <w:rPr>
          <w:color w:val="000000"/>
          <w:sz w:val="22"/>
          <w:szCs w:val="22"/>
          <w:lang w:val="sr-Latn-ME"/>
        </w:rPr>
        <w:t>ednje doze (</w:t>
      </w:r>
      <w:r w:rsidR="00955E5C" w:rsidRPr="007D7545">
        <w:rPr>
          <w:color w:val="000000"/>
          <w:sz w:val="22"/>
          <w:szCs w:val="22"/>
          <w:lang w:val="sr-Latn-ME"/>
        </w:rPr>
        <w:t>pogledati djelove</w:t>
      </w:r>
      <w:r w:rsidRPr="007D7545">
        <w:rPr>
          <w:color w:val="000000"/>
          <w:sz w:val="22"/>
          <w:szCs w:val="22"/>
          <w:lang w:val="sr-Latn-ME"/>
        </w:rPr>
        <w:t xml:space="preserve"> 4.5 i 5.2).</w:t>
      </w:r>
    </w:p>
    <w:p w14:paraId="53FA4ED2" w14:textId="77777777" w:rsidR="008E138A" w:rsidRPr="007D7545" w:rsidRDefault="008E138A" w:rsidP="005D101E">
      <w:pPr>
        <w:ind w:hanging="10"/>
        <w:jc w:val="both"/>
        <w:rPr>
          <w:color w:val="000000"/>
          <w:sz w:val="22"/>
          <w:szCs w:val="22"/>
          <w:lang w:val="sr-Latn-ME"/>
        </w:rPr>
      </w:pPr>
    </w:p>
    <w:p w14:paraId="01324557" w14:textId="51EE4A51" w:rsidR="001E010E" w:rsidRPr="007D7545" w:rsidRDefault="001E010E" w:rsidP="005D101E">
      <w:pPr>
        <w:keepNext/>
        <w:keepLines/>
        <w:ind w:hanging="10"/>
        <w:outlineLvl w:val="3"/>
        <w:rPr>
          <w:i/>
          <w:color w:val="000000"/>
          <w:sz w:val="22"/>
          <w:szCs w:val="22"/>
          <w:u w:val="single" w:color="000000"/>
          <w:lang w:val="sr-Latn-ME"/>
        </w:rPr>
      </w:pPr>
      <w:r w:rsidRPr="007D7545">
        <w:rPr>
          <w:i/>
          <w:color w:val="000000"/>
          <w:sz w:val="22"/>
          <w:szCs w:val="22"/>
          <w:u w:val="single" w:color="000000"/>
          <w:lang w:val="sr-Latn-ME"/>
        </w:rPr>
        <w:t xml:space="preserve">Prevođenje sa terapije parenteralnim antikoagulansima na terapiju lijekom </w:t>
      </w:r>
      <w:r w:rsidR="00007C5F" w:rsidRPr="007D7545">
        <w:rPr>
          <w:i/>
          <w:color w:val="000000"/>
          <w:sz w:val="22"/>
          <w:szCs w:val="22"/>
          <w:u w:val="single" w:color="000000"/>
          <w:lang w:val="sr-Latn-ME"/>
        </w:rPr>
        <w:t>Trombocen</w:t>
      </w:r>
    </w:p>
    <w:p w14:paraId="009ACA1D" w14:textId="3DA5E0D7"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Za pacijente koji trenutno primaju parenteralni antikoagulans, treba prekinuti sa primjenom parenteralnih antikoagulanasa i započeti primjenu lijeka </w:t>
      </w:r>
      <w:r w:rsidR="00007C5F" w:rsidRPr="007D7545">
        <w:rPr>
          <w:color w:val="000000"/>
          <w:sz w:val="22"/>
          <w:szCs w:val="22"/>
          <w:lang w:val="sr-Latn-ME"/>
        </w:rPr>
        <w:t>Trombocen</w:t>
      </w:r>
      <w:r w:rsidRPr="007D7545">
        <w:rPr>
          <w:color w:val="000000"/>
          <w:sz w:val="22"/>
          <w:szCs w:val="22"/>
          <w:lang w:val="sr-Latn-ME"/>
        </w:rPr>
        <w:t xml:space="preserve"> 0 do 2 sata prije predviđenog termina za sl</w:t>
      </w:r>
      <w:r w:rsidR="00BD0968" w:rsidRPr="007D7545">
        <w:rPr>
          <w:color w:val="000000"/>
          <w:sz w:val="22"/>
          <w:szCs w:val="22"/>
          <w:lang w:val="sr-Latn-ME"/>
        </w:rPr>
        <w:t>j</w:t>
      </w:r>
      <w:r w:rsidRPr="007D7545">
        <w:rPr>
          <w:color w:val="000000"/>
          <w:sz w:val="22"/>
          <w:szCs w:val="22"/>
          <w:lang w:val="sr-Latn-ME"/>
        </w:rPr>
        <w:t>edeću primjenu parenteralnog lijeka (npr. niskomolekularnog heparina) ili u vr</w:t>
      </w:r>
      <w:r w:rsidR="00BD0968" w:rsidRPr="007D7545">
        <w:rPr>
          <w:color w:val="000000"/>
          <w:sz w:val="22"/>
          <w:szCs w:val="22"/>
          <w:lang w:val="sr-Latn-ME"/>
        </w:rPr>
        <w:t>ij</w:t>
      </w:r>
      <w:r w:rsidRPr="007D7545">
        <w:rPr>
          <w:color w:val="000000"/>
          <w:sz w:val="22"/>
          <w:szCs w:val="22"/>
          <w:lang w:val="sr-Latn-ME"/>
        </w:rPr>
        <w:t>eme prekida kontinuirano prim</w:t>
      </w:r>
      <w:r w:rsidR="00BD0968" w:rsidRPr="007D7545">
        <w:rPr>
          <w:color w:val="000000"/>
          <w:sz w:val="22"/>
          <w:szCs w:val="22"/>
          <w:lang w:val="sr-Latn-ME"/>
        </w:rPr>
        <w:t>j</w:t>
      </w:r>
      <w:r w:rsidRPr="007D7545">
        <w:rPr>
          <w:color w:val="000000"/>
          <w:sz w:val="22"/>
          <w:szCs w:val="22"/>
          <w:lang w:val="sr-Latn-ME"/>
        </w:rPr>
        <w:t>enjivanog parenteralnog lijeka (npr. intravenskog nefrakcionisanog heparina).</w:t>
      </w:r>
    </w:p>
    <w:p w14:paraId="2DD8B110" w14:textId="77777777" w:rsidR="00BD0968" w:rsidRPr="007D7545" w:rsidRDefault="00BD0968" w:rsidP="005D101E">
      <w:pPr>
        <w:ind w:hanging="10"/>
        <w:jc w:val="both"/>
        <w:rPr>
          <w:color w:val="000000"/>
          <w:sz w:val="22"/>
          <w:szCs w:val="22"/>
          <w:lang w:val="sr-Latn-ME"/>
        </w:rPr>
      </w:pPr>
    </w:p>
    <w:p w14:paraId="4D487428" w14:textId="1FAF62A9" w:rsidR="001E010E" w:rsidRPr="007D7545" w:rsidRDefault="001E010E" w:rsidP="005D101E">
      <w:pPr>
        <w:keepNext/>
        <w:keepLines/>
        <w:ind w:hanging="10"/>
        <w:outlineLvl w:val="3"/>
        <w:rPr>
          <w:i/>
          <w:color w:val="000000"/>
          <w:sz w:val="22"/>
          <w:szCs w:val="22"/>
          <w:u w:val="single" w:color="000000"/>
          <w:lang w:val="sr-Latn-ME"/>
        </w:rPr>
      </w:pPr>
      <w:r w:rsidRPr="007D7545">
        <w:rPr>
          <w:i/>
          <w:color w:val="000000"/>
          <w:sz w:val="22"/>
          <w:szCs w:val="22"/>
          <w:u w:val="single" w:color="000000"/>
          <w:lang w:val="sr-Latn-ME"/>
        </w:rPr>
        <w:t xml:space="preserve">Prevođenje sa terapije lijekom </w:t>
      </w:r>
      <w:r w:rsidR="00007C5F" w:rsidRPr="007D7545">
        <w:rPr>
          <w:i/>
          <w:color w:val="000000"/>
          <w:sz w:val="22"/>
          <w:szCs w:val="22"/>
          <w:u w:val="single" w:color="000000"/>
          <w:lang w:val="sr-Latn-ME"/>
        </w:rPr>
        <w:t>Trombocen</w:t>
      </w:r>
      <w:r w:rsidRPr="007D7545">
        <w:rPr>
          <w:i/>
          <w:color w:val="000000"/>
          <w:sz w:val="22"/>
          <w:szCs w:val="22"/>
          <w:u w:val="single" w:color="000000"/>
          <w:lang w:val="sr-Latn-ME"/>
        </w:rPr>
        <w:t xml:space="preserve"> na terapiju parenteralnim antikoagulansima</w:t>
      </w:r>
    </w:p>
    <w:p w14:paraId="6F9CFBA7" w14:textId="2668BCF8" w:rsidR="001E010E" w:rsidRPr="007D7545" w:rsidRDefault="001E010E" w:rsidP="005D101E">
      <w:pPr>
        <w:ind w:hanging="10"/>
        <w:jc w:val="both"/>
        <w:rPr>
          <w:color w:val="000000"/>
          <w:sz w:val="22"/>
          <w:szCs w:val="22"/>
          <w:lang w:val="sr-Latn-ME"/>
        </w:rPr>
      </w:pPr>
      <w:r w:rsidRPr="007D7545">
        <w:rPr>
          <w:color w:val="000000"/>
          <w:sz w:val="22"/>
          <w:szCs w:val="22"/>
          <w:lang w:val="sr-Latn-ME"/>
        </w:rPr>
        <w:t>Prvu dozu parenteralnog antikoagulansa treba prim</w:t>
      </w:r>
      <w:r w:rsidR="00BD0968" w:rsidRPr="007D7545">
        <w:rPr>
          <w:color w:val="000000"/>
          <w:sz w:val="22"/>
          <w:szCs w:val="22"/>
          <w:lang w:val="sr-Latn-ME"/>
        </w:rPr>
        <w:t>i</w:t>
      </w:r>
      <w:r w:rsidRPr="007D7545">
        <w:rPr>
          <w:color w:val="000000"/>
          <w:sz w:val="22"/>
          <w:szCs w:val="22"/>
          <w:lang w:val="sr-Latn-ME"/>
        </w:rPr>
        <w:t>jeniti u vrijeme kada bi bilo potrebno uzeti sl</w:t>
      </w:r>
      <w:r w:rsidR="00BD0968" w:rsidRPr="007D7545">
        <w:rPr>
          <w:color w:val="000000"/>
          <w:sz w:val="22"/>
          <w:szCs w:val="22"/>
          <w:lang w:val="sr-Latn-ME"/>
        </w:rPr>
        <w:t>j</w:t>
      </w:r>
      <w:r w:rsidRPr="007D7545">
        <w:rPr>
          <w:color w:val="000000"/>
          <w:sz w:val="22"/>
          <w:szCs w:val="22"/>
          <w:lang w:val="sr-Latn-ME"/>
        </w:rPr>
        <w:t xml:space="preserve">edeću dozu lijeka </w:t>
      </w:r>
      <w:r w:rsidR="00007C5F" w:rsidRPr="007D7545">
        <w:rPr>
          <w:color w:val="000000"/>
          <w:sz w:val="22"/>
          <w:szCs w:val="22"/>
          <w:lang w:val="sr-Latn-ME"/>
        </w:rPr>
        <w:t>Trombocen</w:t>
      </w:r>
      <w:r w:rsidRPr="007D7545">
        <w:rPr>
          <w:color w:val="000000"/>
          <w:sz w:val="22"/>
          <w:szCs w:val="22"/>
          <w:lang w:val="sr-Latn-ME"/>
        </w:rPr>
        <w:t xml:space="preserve">. </w:t>
      </w:r>
    </w:p>
    <w:p w14:paraId="5A1FE34C" w14:textId="77777777" w:rsidR="00BD0968" w:rsidRPr="007D7545" w:rsidRDefault="00BD0968" w:rsidP="005D101E">
      <w:pPr>
        <w:ind w:hanging="10"/>
        <w:jc w:val="both"/>
        <w:rPr>
          <w:color w:val="000000"/>
          <w:sz w:val="22"/>
          <w:szCs w:val="22"/>
          <w:lang w:val="sr-Latn-ME"/>
        </w:rPr>
      </w:pPr>
    </w:p>
    <w:p w14:paraId="746F3472" w14:textId="6801E4E6" w:rsidR="001E010E" w:rsidRPr="007D7545" w:rsidRDefault="001E010E" w:rsidP="005D101E">
      <w:pPr>
        <w:ind w:hanging="10"/>
        <w:rPr>
          <w:i/>
          <w:color w:val="000000"/>
          <w:sz w:val="22"/>
          <w:szCs w:val="22"/>
          <w:u w:val="single" w:color="000000"/>
          <w:lang w:val="sr-Latn-ME"/>
        </w:rPr>
      </w:pPr>
      <w:r w:rsidRPr="007D7545">
        <w:rPr>
          <w:i/>
          <w:color w:val="000000"/>
          <w:sz w:val="22"/>
          <w:szCs w:val="22"/>
          <w:u w:val="single" w:color="000000"/>
          <w:lang w:val="sr-Latn-ME"/>
        </w:rPr>
        <w:t>Posebne grupe pacijenata</w:t>
      </w:r>
    </w:p>
    <w:p w14:paraId="2BB7382A" w14:textId="77777777" w:rsidR="00BD0968" w:rsidRPr="007D7545" w:rsidRDefault="00BD0968" w:rsidP="005D101E">
      <w:pPr>
        <w:ind w:hanging="10"/>
        <w:rPr>
          <w:color w:val="000000"/>
          <w:sz w:val="22"/>
          <w:szCs w:val="22"/>
          <w:lang w:val="sr-Latn-ME"/>
        </w:rPr>
      </w:pPr>
    </w:p>
    <w:p w14:paraId="693BE023" w14:textId="77777777" w:rsidR="001E010E" w:rsidRPr="007D7545" w:rsidRDefault="001E010E" w:rsidP="005D101E">
      <w:pPr>
        <w:keepNext/>
        <w:keepLines/>
        <w:ind w:hanging="10"/>
        <w:outlineLvl w:val="2"/>
        <w:rPr>
          <w:color w:val="000000"/>
          <w:sz w:val="22"/>
          <w:szCs w:val="22"/>
          <w:u w:val="single"/>
          <w:lang w:val="sr-Latn-ME"/>
        </w:rPr>
      </w:pPr>
      <w:r w:rsidRPr="007D7545">
        <w:rPr>
          <w:color w:val="000000"/>
          <w:sz w:val="22"/>
          <w:szCs w:val="22"/>
          <w:u w:val="single"/>
          <w:lang w:val="sr-Latn-ME"/>
        </w:rPr>
        <w:t>Oštećena funkcija bubrega</w:t>
      </w:r>
    </w:p>
    <w:p w14:paraId="066366C8" w14:textId="55C44219" w:rsidR="00B70968" w:rsidRPr="007D7545" w:rsidRDefault="001E010E" w:rsidP="005D101E">
      <w:pPr>
        <w:jc w:val="both"/>
        <w:rPr>
          <w:color w:val="000000"/>
          <w:sz w:val="22"/>
          <w:szCs w:val="22"/>
          <w:lang w:val="sr-Latn-ME"/>
        </w:rPr>
      </w:pPr>
      <w:r w:rsidRPr="007D7545">
        <w:rPr>
          <w:color w:val="000000"/>
          <w:sz w:val="22"/>
          <w:szCs w:val="22"/>
          <w:lang w:val="sr-Latn-ME"/>
        </w:rPr>
        <w:t xml:space="preserve">Ograničeni klinički podaci za pacijente sa teškim oštećenjem funkcije bubrega (klirens kreatinina 15-29 </w:t>
      </w:r>
      <w:r w:rsidR="00683FA1" w:rsidRPr="007D7545">
        <w:rPr>
          <w:color w:val="000000"/>
          <w:sz w:val="22"/>
          <w:szCs w:val="22"/>
          <w:lang w:val="sr-Latn-ME"/>
        </w:rPr>
        <w:t>ml</w:t>
      </w:r>
      <w:r w:rsidRPr="007D7545">
        <w:rPr>
          <w:color w:val="000000"/>
          <w:sz w:val="22"/>
          <w:szCs w:val="22"/>
          <w:lang w:val="sr-Latn-ME"/>
        </w:rPr>
        <w:t xml:space="preserve">/min) ukazuju da su koncentracije rivaroksabana u krvi značajno povećane, stoga kod ovih pacijenata rivaroksaban treba pažljivo koristiti. Primjena se ne preporučuje kod pacijenata sa klirensom kreatinina &lt; 15 </w:t>
      </w:r>
      <w:r w:rsidR="00683FA1" w:rsidRPr="007D7545">
        <w:rPr>
          <w:color w:val="000000"/>
          <w:sz w:val="22"/>
          <w:szCs w:val="22"/>
          <w:lang w:val="sr-Latn-ME"/>
        </w:rPr>
        <w:t>ml</w:t>
      </w:r>
      <w:r w:rsidRPr="007D7545">
        <w:rPr>
          <w:color w:val="000000"/>
          <w:sz w:val="22"/>
          <w:szCs w:val="22"/>
          <w:lang w:val="sr-Latn-ME"/>
        </w:rPr>
        <w:t>/min (</w:t>
      </w:r>
      <w:r w:rsidR="00955E5C" w:rsidRPr="007D7545">
        <w:rPr>
          <w:color w:val="000000"/>
          <w:sz w:val="22"/>
          <w:szCs w:val="22"/>
          <w:lang w:val="sr-Latn-ME"/>
        </w:rPr>
        <w:t>pogledati djelove</w:t>
      </w:r>
      <w:r w:rsidRPr="007D7545">
        <w:rPr>
          <w:color w:val="000000"/>
          <w:sz w:val="22"/>
          <w:szCs w:val="22"/>
          <w:lang w:val="sr-Latn-ME"/>
        </w:rPr>
        <w:t xml:space="preserve"> 4.4 i 5.2)</w:t>
      </w:r>
      <w:r w:rsidR="00B70968" w:rsidRPr="007D7545">
        <w:rPr>
          <w:color w:val="000000"/>
          <w:sz w:val="22"/>
          <w:szCs w:val="22"/>
          <w:lang w:val="sr-Latn-ME"/>
        </w:rPr>
        <w:t>.</w:t>
      </w:r>
    </w:p>
    <w:p w14:paraId="19A2C00B" w14:textId="77777777" w:rsidR="00B70968" w:rsidRPr="007D7545" w:rsidRDefault="00B70968" w:rsidP="005D101E">
      <w:pPr>
        <w:jc w:val="both"/>
        <w:rPr>
          <w:color w:val="000000"/>
          <w:sz w:val="22"/>
          <w:szCs w:val="22"/>
          <w:lang w:val="sr-Latn-ME"/>
        </w:rPr>
      </w:pPr>
    </w:p>
    <w:p w14:paraId="1A956CFA" w14:textId="4EC376BC" w:rsidR="001E010E" w:rsidRPr="007D7545" w:rsidRDefault="001E010E" w:rsidP="005D101E">
      <w:pPr>
        <w:pStyle w:val="ListParagraph"/>
        <w:numPr>
          <w:ilvl w:val="0"/>
          <w:numId w:val="21"/>
        </w:numPr>
        <w:jc w:val="both"/>
        <w:rPr>
          <w:color w:val="000000"/>
          <w:sz w:val="22"/>
          <w:szCs w:val="22"/>
          <w:lang w:val="sr-Latn-ME"/>
        </w:rPr>
      </w:pPr>
      <w:r w:rsidRPr="007D7545">
        <w:rPr>
          <w:color w:val="000000"/>
          <w:sz w:val="22"/>
          <w:szCs w:val="22"/>
          <w:lang w:val="sr-Latn-ME"/>
        </w:rPr>
        <w:t xml:space="preserve">Za prevenciju VTE kod odraslih pacijenata koji se podvrgavaju elektivnoj hirurškoj intervenciji ugradnje vještačkog kuka ili koljena, kod pacijenata sa blagim (klirens kreatinina 50-80 </w:t>
      </w:r>
      <w:r w:rsidR="00683FA1" w:rsidRPr="007D7545">
        <w:rPr>
          <w:color w:val="000000"/>
          <w:sz w:val="22"/>
          <w:szCs w:val="22"/>
          <w:lang w:val="sr-Latn-ME"/>
        </w:rPr>
        <w:t>ml</w:t>
      </w:r>
      <w:r w:rsidRPr="007D7545">
        <w:rPr>
          <w:color w:val="000000"/>
          <w:sz w:val="22"/>
          <w:szCs w:val="22"/>
          <w:lang w:val="sr-Latn-ME"/>
        </w:rPr>
        <w:t>/min) ili um</w:t>
      </w:r>
      <w:r w:rsidR="00B70968" w:rsidRPr="007D7545">
        <w:rPr>
          <w:color w:val="000000"/>
          <w:sz w:val="22"/>
          <w:szCs w:val="22"/>
          <w:lang w:val="sr-Latn-ME"/>
        </w:rPr>
        <w:t>j</w:t>
      </w:r>
      <w:r w:rsidRPr="007D7545">
        <w:rPr>
          <w:color w:val="000000"/>
          <w:sz w:val="22"/>
          <w:szCs w:val="22"/>
          <w:lang w:val="sr-Latn-ME"/>
        </w:rPr>
        <w:t xml:space="preserve">erenim oštećenjem funkcije bubrega (klirens kreatinina 30-49 </w:t>
      </w:r>
      <w:r w:rsidR="00683FA1" w:rsidRPr="007D7545">
        <w:rPr>
          <w:color w:val="000000"/>
          <w:sz w:val="22"/>
          <w:szCs w:val="22"/>
          <w:lang w:val="sr-Latn-ME"/>
        </w:rPr>
        <w:t>ml</w:t>
      </w:r>
      <w:r w:rsidRPr="007D7545">
        <w:rPr>
          <w:color w:val="000000"/>
          <w:sz w:val="22"/>
          <w:szCs w:val="22"/>
          <w:lang w:val="sr-Latn-ME"/>
        </w:rPr>
        <w:t>/min) nije potrebno prilagođavati dozu lijeka (</w:t>
      </w:r>
      <w:r w:rsidR="00955E5C" w:rsidRPr="007D7545">
        <w:rPr>
          <w:color w:val="000000"/>
          <w:sz w:val="22"/>
          <w:szCs w:val="22"/>
          <w:lang w:val="sr-Latn-ME"/>
        </w:rPr>
        <w:t>pogledati dio</w:t>
      </w:r>
      <w:r w:rsidRPr="007D7545">
        <w:rPr>
          <w:color w:val="000000"/>
          <w:sz w:val="22"/>
          <w:szCs w:val="22"/>
          <w:lang w:val="sr-Latn-ME"/>
        </w:rPr>
        <w:t xml:space="preserve"> 5.2). </w:t>
      </w:r>
    </w:p>
    <w:p w14:paraId="023EDB39" w14:textId="77777777" w:rsidR="00B70968" w:rsidRPr="007D7545" w:rsidRDefault="00B70968" w:rsidP="005D101E">
      <w:pPr>
        <w:pStyle w:val="ListParagraph"/>
        <w:jc w:val="both"/>
        <w:rPr>
          <w:color w:val="000000"/>
          <w:sz w:val="22"/>
          <w:szCs w:val="22"/>
          <w:lang w:val="sr-Latn-ME"/>
        </w:rPr>
      </w:pPr>
    </w:p>
    <w:p w14:paraId="718270A2" w14:textId="49B34113" w:rsidR="001E010E" w:rsidRPr="007D7545" w:rsidRDefault="001E010E" w:rsidP="005D101E">
      <w:pPr>
        <w:pStyle w:val="ListParagraph"/>
        <w:numPr>
          <w:ilvl w:val="0"/>
          <w:numId w:val="21"/>
        </w:numPr>
        <w:jc w:val="both"/>
        <w:rPr>
          <w:color w:val="000000"/>
          <w:sz w:val="22"/>
          <w:szCs w:val="22"/>
          <w:lang w:val="sr-Latn-ME"/>
        </w:rPr>
      </w:pPr>
      <w:r w:rsidRPr="007D7545">
        <w:rPr>
          <w:color w:val="000000"/>
          <w:sz w:val="22"/>
          <w:szCs w:val="22"/>
          <w:lang w:val="sr-Latn-ME"/>
        </w:rPr>
        <w:t xml:space="preserve">Za terapiju TDV, terapiju PE i prevenciju rekurentnih TDV i PE, kod pacijenata sa blagim oštećenjem funkcije bubrega (klirens kreatinina 50-80 </w:t>
      </w:r>
      <w:r w:rsidR="00683FA1" w:rsidRPr="007D7545">
        <w:rPr>
          <w:color w:val="000000"/>
          <w:sz w:val="22"/>
          <w:szCs w:val="22"/>
          <w:lang w:val="sr-Latn-ME"/>
        </w:rPr>
        <w:t>ml</w:t>
      </w:r>
      <w:r w:rsidRPr="007D7545">
        <w:rPr>
          <w:color w:val="000000"/>
          <w:sz w:val="22"/>
          <w:szCs w:val="22"/>
          <w:lang w:val="sr-Latn-ME"/>
        </w:rPr>
        <w:t>/min) nije potrebno m</w:t>
      </w:r>
      <w:r w:rsidR="00B70968" w:rsidRPr="007D7545">
        <w:rPr>
          <w:color w:val="000000"/>
          <w:sz w:val="22"/>
          <w:szCs w:val="22"/>
          <w:lang w:val="sr-Latn-ME"/>
        </w:rPr>
        <w:t>ij</w:t>
      </w:r>
      <w:r w:rsidRPr="007D7545">
        <w:rPr>
          <w:color w:val="000000"/>
          <w:sz w:val="22"/>
          <w:szCs w:val="22"/>
          <w:lang w:val="sr-Latn-ME"/>
        </w:rPr>
        <w:t>enjati preporučenu dozu (</w:t>
      </w:r>
      <w:r w:rsidR="00955E5C" w:rsidRPr="007D7545">
        <w:rPr>
          <w:color w:val="000000"/>
          <w:sz w:val="22"/>
          <w:szCs w:val="22"/>
          <w:lang w:val="sr-Latn-ME"/>
        </w:rPr>
        <w:t>pogledati dio</w:t>
      </w:r>
      <w:r w:rsidRPr="007D7545">
        <w:rPr>
          <w:color w:val="000000"/>
          <w:sz w:val="22"/>
          <w:szCs w:val="22"/>
          <w:lang w:val="sr-Latn-ME"/>
        </w:rPr>
        <w:t xml:space="preserve"> 5.2). </w:t>
      </w:r>
    </w:p>
    <w:p w14:paraId="3427F16F" w14:textId="723C7D86" w:rsidR="001E010E" w:rsidRPr="007D7545" w:rsidRDefault="001E010E" w:rsidP="005D101E">
      <w:pPr>
        <w:pStyle w:val="ListParagraph"/>
        <w:jc w:val="both"/>
        <w:rPr>
          <w:color w:val="000000"/>
          <w:sz w:val="22"/>
          <w:szCs w:val="22"/>
          <w:lang w:val="sr-Latn-ME"/>
        </w:rPr>
      </w:pPr>
      <w:r w:rsidRPr="007D7545">
        <w:rPr>
          <w:color w:val="000000"/>
          <w:sz w:val="22"/>
          <w:szCs w:val="22"/>
          <w:lang w:val="sr-Latn-ME"/>
        </w:rPr>
        <w:t>Kod pacijenata sa um</w:t>
      </w:r>
      <w:r w:rsidR="00B70968" w:rsidRPr="007D7545">
        <w:rPr>
          <w:color w:val="000000"/>
          <w:sz w:val="22"/>
          <w:szCs w:val="22"/>
          <w:lang w:val="sr-Latn-ME"/>
        </w:rPr>
        <w:t>j</w:t>
      </w:r>
      <w:r w:rsidRPr="007D7545">
        <w:rPr>
          <w:color w:val="000000"/>
          <w:sz w:val="22"/>
          <w:szCs w:val="22"/>
          <w:lang w:val="sr-Latn-ME"/>
        </w:rPr>
        <w:t xml:space="preserve">erenim (30-49 </w:t>
      </w:r>
      <w:r w:rsidR="00683FA1" w:rsidRPr="007D7545">
        <w:rPr>
          <w:color w:val="000000"/>
          <w:sz w:val="22"/>
          <w:szCs w:val="22"/>
          <w:lang w:val="sr-Latn-ME"/>
        </w:rPr>
        <w:t>ml</w:t>
      </w:r>
      <w:r w:rsidRPr="007D7545">
        <w:rPr>
          <w:color w:val="000000"/>
          <w:sz w:val="22"/>
          <w:szCs w:val="22"/>
          <w:lang w:val="sr-Latn-ME"/>
        </w:rPr>
        <w:t xml:space="preserve">/min) ili ozbiljnim (15-29 </w:t>
      </w:r>
      <w:r w:rsidR="00683FA1" w:rsidRPr="007D7545">
        <w:rPr>
          <w:color w:val="000000"/>
          <w:sz w:val="22"/>
          <w:szCs w:val="22"/>
          <w:lang w:val="sr-Latn-ME"/>
        </w:rPr>
        <w:t>ml</w:t>
      </w:r>
      <w:r w:rsidRPr="007D7545">
        <w:rPr>
          <w:color w:val="000000"/>
          <w:sz w:val="22"/>
          <w:szCs w:val="22"/>
          <w:lang w:val="sr-Latn-ME"/>
        </w:rPr>
        <w:t>/min) oštećenjem funkcije bubrega: pacijente treba l</w:t>
      </w:r>
      <w:r w:rsidR="00B70968" w:rsidRPr="007D7545">
        <w:rPr>
          <w:color w:val="000000"/>
          <w:sz w:val="22"/>
          <w:szCs w:val="22"/>
          <w:lang w:val="sr-Latn-ME"/>
        </w:rPr>
        <w:t>ij</w:t>
      </w:r>
      <w:r w:rsidRPr="007D7545">
        <w:rPr>
          <w:color w:val="000000"/>
          <w:sz w:val="22"/>
          <w:szCs w:val="22"/>
          <w:lang w:val="sr-Latn-ME"/>
        </w:rPr>
        <w:t>ečiti dozom od 15 mg dva puta dnevno tokom prve 3 ned</w:t>
      </w:r>
      <w:r w:rsidR="00B70968" w:rsidRPr="007D7545">
        <w:rPr>
          <w:color w:val="000000"/>
          <w:sz w:val="22"/>
          <w:szCs w:val="22"/>
          <w:lang w:val="sr-Latn-ME"/>
        </w:rPr>
        <w:t>j</w:t>
      </w:r>
      <w:r w:rsidRPr="007D7545">
        <w:rPr>
          <w:color w:val="000000"/>
          <w:sz w:val="22"/>
          <w:szCs w:val="22"/>
          <w:lang w:val="sr-Latn-ME"/>
        </w:rPr>
        <w:t>elje. Posl</w:t>
      </w:r>
      <w:r w:rsidR="00B70968" w:rsidRPr="007D7545">
        <w:rPr>
          <w:color w:val="000000"/>
          <w:sz w:val="22"/>
          <w:szCs w:val="22"/>
          <w:lang w:val="sr-Latn-ME"/>
        </w:rPr>
        <w:t>ij</w:t>
      </w:r>
      <w:r w:rsidRPr="007D7545">
        <w:rPr>
          <w:color w:val="000000"/>
          <w:sz w:val="22"/>
          <w:szCs w:val="22"/>
          <w:lang w:val="sr-Latn-ME"/>
        </w:rPr>
        <w:t>e toga, kada je preporučena doza 20 mg jednom dnevno, treba razmotriti smanjenje doze sa 20 mg jednom dnevno na 15 mg jednom dnevno, ukoliko se proc</w:t>
      </w:r>
      <w:r w:rsidR="00B70968" w:rsidRPr="007D7545">
        <w:rPr>
          <w:color w:val="000000"/>
          <w:sz w:val="22"/>
          <w:szCs w:val="22"/>
          <w:lang w:val="sr-Latn-ME"/>
        </w:rPr>
        <w:t>ij</w:t>
      </w:r>
      <w:r w:rsidRPr="007D7545">
        <w:rPr>
          <w:color w:val="000000"/>
          <w:sz w:val="22"/>
          <w:szCs w:val="22"/>
          <w:lang w:val="sr-Latn-ME"/>
        </w:rPr>
        <w:t>eni da rizik za pojavu krvarenja prevazilazi rizik od rekurentne TDV i PE. Preporuka za primjenu 15 mg zasnovana je na farmakokinetičkom modelu i nije ispitivana u ovim kliničkim okolnostima (</w:t>
      </w:r>
      <w:r w:rsidR="00955E5C" w:rsidRPr="007D7545">
        <w:rPr>
          <w:color w:val="000000"/>
          <w:sz w:val="22"/>
          <w:szCs w:val="22"/>
          <w:lang w:val="sr-Latn-ME"/>
        </w:rPr>
        <w:t>pogledati djelove</w:t>
      </w:r>
      <w:r w:rsidRPr="007D7545">
        <w:rPr>
          <w:color w:val="000000"/>
          <w:sz w:val="22"/>
          <w:szCs w:val="22"/>
          <w:lang w:val="sr-Latn-ME"/>
        </w:rPr>
        <w:t xml:space="preserve"> 4.4, 5.1 i 5.2).</w:t>
      </w:r>
    </w:p>
    <w:p w14:paraId="7B660F74" w14:textId="77777777" w:rsidR="001E010E" w:rsidRPr="007D7545" w:rsidRDefault="001E010E" w:rsidP="005D101E">
      <w:pPr>
        <w:pStyle w:val="ListParagraph"/>
        <w:jc w:val="both"/>
        <w:rPr>
          <w:color w:val="000000"/>
          <w:sz w:val="22"/>
          <w:szCs w:val="22"/>
          <w:lang w:val="sr-Latn-ME"/>
        </w:rPr>
      </w:pPr>
      <w:r w:rsidRPr="007D7545">
        <w:rPr>
          <w:color w:val="000000"/>
          <w:sz w:val="22"/>
          <w:szCs w:val="22"/>
          <w:lang w:val="sr-Latn-ME"/>
        </w:rPr>
        <w:t>Kada je preporučena doza 10 mg jednom dnevno, nije potrebno dodatno prilagođavanje preporučene doze.</w:t>
      </w:r>
    </w:p>
    <w:p w14:paraId="156BD712" w14:textId="77777777" w:rsidR="001E010E" w:rsidRPr="007D7545" w:rsidRDefault="001E010E" w:rsidP="005D101E">
      <w:pPr>
        <w:jc w:val="both"/>
        <w:rPr>
          <w:color w:val="000000"/>
          <w:sz w:val="22"/>
          <w:szCs w:val="22"/>
          <w:lang w:val="sr-Latn-ME"/>
        </w:rPr>
      </w:pPr>
    </w:p>
    <w:p w14:paraId="65267FD0" w14:textId="77777777" w:rsidR="001E010E" w:rsidRPr="007D7545" w:rsidRDefault="001E010E" w:rsidP="005D101E">
      <w:pPr>
        <w:keepNext/>
        <w:keepLines/>
        <w:ind w:hanging="14"/>
        <w:outlineLvl w:val="2"/>
        <w:rPr>
          <w:color w:val="000000"/>
          <w:sz w:val="22"/>
          <w:szCs w:val="22"/>
          <w:u w:val="single"/>
          <w:lang w:val="sr-Latn-ME"/>
        </w:rPr>
      </w:pPr>
      <w:r w:rsidRPr="007D7545">
        <w:rPr>
          <w:color w:val="000000"/>
          <w:sz w:val="22"/>
          <w:szCs w:val="22"/>
          <w:u w:val="single"/>
          <w:lang w:val="sr-Latn-ME"/>
        </w:rPr>
        <w:t>Oštećena funkcija jetre</w:t>
      </w:r>
    </w:p>
    <w:p w14:paraId="11024A33" w14:textId="1B264C30" w:rsidR="001E010E" w:rsidRPr="007D7545" w:rsidRDefault="001E010E" w:rsidP="005D101E">
      <w:pPr>
        <w:ind w:hanging="14"/>
        <w:jc w:val="both"/>
        <w:rPr>
          <w:color w:val="000000"/>
          <w:sz w:val="22"/>
          <w:szCs w:val="22"/>
          <w:lang w:val="sr-Latn-ME"/>
        </w:rPr>
      </w:pPr>
      <w:r w:rsidRPr="007D7545">
        <w:rPr>
          <w:color w:val="000000"/>
          <w:sz w:val="22"/>
          <w:szCs w:val="22"/>
          <w:lang w:val="sr-Latn-ME"/>
        </w:rPr>
        <w:t xml:space="preserve">Primjena lijeka </w:t>
      </w:r>
      <w:r w:rsidR="00007C5F" w:rsidRPr="007D7545">
        <w:rPr>
          <w:color w:val="000000"/>
          <w:sz w:val="22"/>
          <w:szCs w:val="22"/>
          <w:lang w:val="sr-Latn-ME"/>
        </w:rPr>
        <w:t>Trombocen</w:t>
      </w:r>
      <w:r w:rsidRPr="007D7545">
        <w:rPr>
          <w:color w:val="000000"/>
          <w:sz w:val="22"/>
          <w:szCs w:val="22"/>
          <w:lang w:val="sr-Latn-ME"/>
        </w:rPr>
        <w:t xml:space="preserve"> je kontraindikovana kod pacijenata sa oboljenjem jetre povezanim sa koagulopatijom i klinički relevantnim rizikom od krvarenja, uključujući pacijente sa cirozom sa Child Pugh tip B i C (</w:t>
      </w:r>
      <w:r w:rsidR="00955E5C" w:rsidRPr="007D7545">
        <w:rPr>
          <w:color w:val="000000"/>
          <w:sz w:val="22"/>
          <w:szCs w:val="22"/>
          <w:lang w:val="sr-Latn-ME"/>
        </w:rPr>
        <w:t>pogledati djelove</w:t>
      </w:r>
      <w:r w:rsidRPr="007D7545">
        <w:rPr>
          <w:color w:val="000000"/>
          <w:sz w:val="22"/>
          <w:szCs w:val="22"/>
          <w:lang w:val="sr-Latn-ME"/>
        </w:rPr>
        <w:t xml:space="preserve"> 4.3 i 5.2).</w:t>
      </w:r>
    </w:p>
    <w:p w14:paraId="2D608CAB" w14:textId="77777777" w:rsidR="00BD0968" w:rsidRPr="007D7545" w:rsidRDefault="00BD0968" w:rsidP="005D101E">
      <w:pPr>
        <w:ind w:hanging="14"/>
        <w:jc w:val="both"/>
        <w:rPr>
          <w:color w:val="000000"/>
          <w:sz w:val="22"/>
          <w:szCs w:val="22"/>
          <w:lang w:val="sr-Latn-ME"/>
        </w:rPr>
      </w:pPr>
    </w:p>
    <w:p w14:paraId="1FE52EC4" w14:textId="77777777" w:rsidR="001E010E" w:rsidRPr="007D7545" w:rsidRDefault="001E010E" w:rsidP="005D101E">
      <w:pPr>
        <w:ind w:hanging="14"/>
        <w:rPr>
          <w:color w:val="000000"/>
          <w:sz w:val="22"/>
          <w:szCs w:val="22"/>
          <w:u w:val="single"/>
          <w:lang w:val="sr-Latn-ME"/>
        </w:rPr>
      </w:pPr>
      <w:r w:rsidRPr="007D7545">
        <w:rPr>
          <w:color w:val="000000"/>
          <w:sz w:val="22"/>
          <w:szCs w:val="22"/>
          <w:u w:val="single"/>
          <w:lang w:val="sr-Latn-ME"/>
        </w:rPr>
        <w:t>Stariji pacijenti</w:t>
      </w:r>
    </w:p>
    <w:p w14:paraId="363FDD6F" w14:textId="6A115958" w:rsidR="001E010E" w:rsidRPr="007D7545" w:rsidRDefault="001E010E" w:rsidP="005D101E">
      <w:pPr>
        <w:ind w:hanging="14"/>
        <w:jc w:val="both"/>
        <w:rPr>
          <w:color w:val="000000"/>
          <w:sz w:val="22"/>
          <w:szCs w:val="22"/>
          <w:lang w:val="sr-Latn-ME"/>
        </w:rPr>
      </w:pPr>
      <w:r w:rsidRPr="007D7545">
        <w:rPr>
          <w:color w:val="000000"/>
          <w:sz w:val="22"/>
          <w:szCs w:val="22"/>
          <w:lang w:val="sr-Latn-ME"/>
        </w:rPr>
        <w:t>Nije potrebno prilagođavati dozu (</w:t>
      </w:r>
      <w:r w:rsidR="00955E5C" w:rsidRPr="007D7545">
        <w:rPr>
          <w:color w:val="000000"/>
          <w:sz w:val="22"/>
          <w:szCs w:val="22"/>
          <w:lang w:val="sr-Latn-ME"/>
        </w:rPr>
        <w:t>pogledati dio</w:t>
      </w:r>
      <w:r w:rsidRPr="007D7545">
        <w:rPr>
          <w:color w:val="000000"/>
          <w:sz w:val="22"/>
          <w:szCs w:val="22"/>
          <w:lang w:val="sr-Latn-ME"/>
        </w:rPr>
        <w:t xml:space="preserve"> 5.2). </w:t>
      </w:r>
    </w:p>
    <w:p w14:paraId="369D78EC" w14:textId="77777777" w:rsidR="00BD0968" w:rsidRPr="007D7545" w:rsidRDefault="00BD0968" w:rsidP="005D101E">
      <w:pPr>
        <w:ind w:hanging="14"/>
        <w:jc w:val="both"/>
        <w:rPr>
          <w:color w:val="000000"/>
          <w:sz w:val="22"/>
          <w:szCs w:val="22"/>
          <w:lang w:val="sr-Latn-ME"/>
        </w:rPr>
      </w:pPr>
    </w:p>
    <w:p w14:paraId="4B1EC90F" w14:textId="77777777" w:rsidR="001E010E" w:rsidRPr="007D7545" w:rsidRDefault="001E010E" w:rsidP="005D101E">
      <w:pPr>
        <w:ind w:hanging="14"/>
        <w:jc w:val="both"/>
        <w:rPr>
          <w:color w:val="000000"/>
          <w:sz w:val="22"/>
          <w:szCs w:val="22"/>
          <w:u w:val="single"/>
          <w:lang w:val="sr-Latn-ME"/>
        </w:rPr>
      </w:pPr>
      <w:r w:rsidRPr="007D7545">
        <w:rPr>
          <w:color w:val="000000"/>
          <w:sz w:val="22"/>
          <w:szCs w:val="22"/>
          <w:u w:val="single"/>
          <w:lang w:val="sr-Latn-ME"/>
        </w:rPr>
        <w:t>Telesna masa</w:t>
      </w:r>
    </w:p>
    <w:p w14:paraId="77142734" w14:textId="6A9AE9E9" w:rsidR="001E010E" w:rsidRPr="007D7545" w:rsidRDefault="001E010E" w:rsidP="005D101E">
      <w:pPr>
        <w:ind w:hanging="14"/>
        <w:jc w:val="both"/>
        <w:rPr>
          <w:color w:val="000000"/>
          <w:sz w:val="22"/>
          <w:szCs w:val="22"/>
          <w:lang w:val="sr-Latn-ME"/>
        </w:rPr>
      </w:pPr>
      <w:r w:rsidRPr="007D7545">
        <w:rPr>
          <w:color w:val="000000"/>
          <w:sz w:val="22"/>
          <w:szCs w:val="22"/>
          <w:lang w:val="sr-Latn-ME"/>
        </w:rPr>
        <w:t>Nije potrebno prilagođavati dozu (</w:t>
      </w:r>
      <w:r w:rsidR="00955E5C" w:rsidRPr="007D7545">
        <w:rPr>
          <w:color w:val="000000"/>
          <w:sz w:val="22"/>
          <w:szCs w:val="22"/>
          <w:lang w:val="sr-Latn-ME"/>
        </w:rPr>
        <w:t>pogledati dio</w:t>
      </w:r>
      <w:r w:rsidRPr="007D7545">
        <w:rPr>
          <w:color w:val="000000"/>
          <w:sz w:val="22"/>
          <w:szCs w:val="22"/>
          <w:lang w:val="sr-Latn-ME"/>
        </w:rPr>
        <w:t xml:space="preserve"> 5.2).</w:t>
      </w:r>
    </w:p>
    <w:p w14:paraId="540C8428" w14:textId="77777777" w:rsidR="00BD0968" w:rsidRPr="007D7545" w:rsidRDefault="00BD0968" w:rsidP="005D101E">
      <w:pPr>
        <w:ind w:hanging="14"/>
        <w:jc w:val="both"/>
        <w:rPr>
          <w:color w:val="000000"/>
          <w:sz w:val="22"/>
          <w:szCs w:val="22"/>
          <w:lang w:val="sr-Latn-ME"/>
        </w:rPr>
      </w:pPr>
    </w:p>
    <w:p w14:paraId="5B30DF2A" w14:textId="77777777" w:rsidR="001E010E" w:rsidRPr="007D7545" w:rsidRDefault="001E010E" w:rsidP="005D101E">
      <w:pPr>
        <w:ind w:hanging="14"/>
        <w:rPr>
          <w:color w:val="000000"/>
          <w:sz w:val="22"/>
          <w:szCs w:val="22"/>
          <w:u w:val="single"/>
          <w:lang w:val="sr-Latn-ME"/>
        </w:rPr>
      </w:pPr>
      <w:r w:rsidRPr="007D7545">
        <w:rPr>
          <w:color w:val="000000"/>
          <w:sz w:val="22"/>
          <w:szCs w:val="22"/>
          <w:u w:val="single"/>
          <w:lang w:val="sr-Latn-ME"/>
        </w:rPr>
        <w:t>Pol</w:t>
      </w:r>
    </w:p>
    <w:p w14:paraId="7CEE3009" w14:textId="60E9D8F4" w:rsidR="001E010E" w:rsidRPr="007D7545" w:rsidRDefault="001E010E" w:rsidP="005D101E">
      <w:pPr>
        <w:ind w:hanging="14"/>
        <w:jc w:val="both"/>
        <w:rPr>
          <w:color w:val="000000"/>
          <w:sz w:val="22"/>
          <w:szCs w:val="22"/>
          <w:lang w:val="sr-Latn-ME"/>
        </w:rPr>
      </w:pPr>
      <w:r w:rsidRPr="007D7545">
        <w:rPr>
          <w:color w:val="000000"/>
          <w:sz w:val="22"/>
          <w:szCs w:val="22"/>
          <w:lang w:val="sr-Latn-ME"/>
        </w:rPr>
        <w:t>Nije potrebno prilagođavati dozu (</w:t>
      </w:r>
      <w:r w:rsidR="00955E5C" w:rsidRPr="007D7545">
        <w:rPr>
          <w:color w:val="000000"/>
          <w:sz w:val="22"/>
          <w:szCs w:val="22"/>
          <w:lang w:val="sr-Latn-ME"/>
        </w:rPr>
        <w:t>pogledati dio</w:t>
      </w:r>
      <w:r w:rsidRPr="007D7545">
        <w:rPr>
          <w:color w:val="000000"/>
          <w:sz w:val="22"/>
          <w:szCs w:val="22"/>
          <w:lang w:val="sr-Latn-ME"/>
        </w:rPr>
        <w:t xml:space="preserve"> 5.2).</w:t>
      </w:r>
    </w:p>
    <w:p w14:paraId="0634E5A2" w14:textId="77777777" w:rsidR="00BD0968" w:rsidRPr="007D7545" w:rsidRDefault="00BD0968" w:rsidP="005D101E">
      <w:pPr>
        <w:ind w:hanging="14"/>
        <w:jc w:val="both"/>
        <w:rPr>
          <w:color w:val="000000"/>
          <w:sz w:val="22"/>
          <w:szCs w:val="22"/>
          <w:lang w:val="sr-Latn-ME"/>
        </w:rPr>
      </w:pPr>
    </w:p>
    <w:p w14:paraId="58B5CB0B" w14:textId="77777777" w:rsidR="001E010E" w:rsidRPr="007D7545" w:rsidRDefault="001E010E" w:rsidP="005D101E">
      <w:pPr>
        <w:keepNext/>
        <w:keepLines/>
        <w:ind w:hanging="14"/>
        <w:jc w:val="both"/>
        <w:outlineLvl w:val="2"/>
        <w:rPr>
          <w:color w:val="000000"/>
          <w:sz w:val="22"/>
          <w:szCs w:val="22"/>
          <w:u w:val="single"/>
          <w:lang w:val="sr-Latn-ME"/>
        </w:rPr>
      </w:pPr>
      <w:r w:rsidRPr="007D7545">
        <w:rPr>
          <w:color w:val="000000"/>
          <w:sz w:val="22"/>
          <w:szCs w:val="22"/>
          <w:u w:val="single"/>
          <w:lang w:val="sr-Latn-ME"/>
        </w:rPr>
        <w:t>Pedijatrijska populacija</w:t>
      </w:r>
    </w:p>
    <w:p w14:paraId="1BD51874" w14:textId="27459BF7" w:rsidR="00452E9D" w:rsidRPr="007D7545" w:rsidRDefault="001E010E" w:rsidP="005D101E">
      <w:pPr>
        <w:tabs>
          <w:tab w:val="left" w:pos="540"/>
          <w:tab w:val="left" w:pos="569"/>
        </w:tabs>
        <w:jc w:val="both"/>
        <w:rPr>
          <w:bCs/>
          <w:sz w:val="22"/>
          <w:szCs w:val="22"/>
          <w:u w:val="single"/>
          <w:lang w:val="sr-Latn-ME"/>
        </w:rPr>
      </w:pPr>
      <w:r w:rsidRPr="007D7545">
        <w:rPr>
          <w:color w:val="000000"/>
          <w:sz w:val="22"/>
          <w:szCs w:val="22"/>
          <w:lang w:val="sr-Latn-ME"/>
        </w:rPr>
        <w:t>Bezbjednost i efikasnost rivaroksabana kod djece uzrasta 0 do 18 godina ni</w:t>
      </w:r>
      <w:r w:rsidR="00D50776" w:rsidRPr="007D7545">
        <w:rPr>
          <w:color w:val="000000"/>
          <w:sz w:val="22"/>
          <w:szCs w:val="22"/>
          <w:lang w:val="sr-Latn-ME"/>
        </w:rPr>
        <w:t>je</w:t>
      </w:r>
      <w:r w:rsidRPr="007D7545">
        <w:rPr>
          <w:color w:val="000000"/>
          <w:sz w:val="22"/>
          <w:szCs w:val="22"/>
          <w:lang w:val="sr-Latn-ME"/>
        </w:rPr>
        <w:t xml:space="preserve">su ustanovljene. Nema dostupnih podataka. Stoga se primjena lijeka </w:t>
      </w:r>
      <w:r w:rsidR="00007C5F" w:rsidRPr="007D7545">
        <w:rPr>
          <w:color w:val="000000"/>
          <w:sz w:val="22"/>
          <w:szCs w:val="22"/>
          <w:lang w:val="sr-Latn-ME"/>
        </w:rPr>
        <w:t>Trombocen</w:t>
      </w:r>
      <w:r w:rsidRPr="007D7545">
        <w:rPr>
          <w:color w:val="000000"/>
          <w:sz w:val="22"/>
          <w:szCs w:val="22"/>
          <w:lang w:val="sr-Latn-ME"/>
        </w:rPr>
        <w:t xml:space="preserve"> ne preporučuje kod djece uzrasta ispod 18 godina.</w:t>
      </w:r>
    </w:p>
    <w:p w14:paraId="326DBEFC" w14:textId="77777777" w:rsidR="001E010E" w:rsidRPr="007D7545" w:rsidRDefault="001E010E" w:rsidP="005D101E">
      <w:pPr>
        <w:tabs>
          <w:tab w:val="left" w:pos="540"/>
          <w:tab w:val="left" w:pos="569"/>
        </w:tabs>
        <w:rPr>
          <w:bCs/>
          <w:sz w:val="22"/>
          <w:szCs w:val="22"/>
          <w:u w:val="single"/>
          <w:lang w:val="sr-Latn-ME"/>
        </w:rPr>
      </w:pPr>
    </w:p>
    <w:p w14:paraId="5917E0A6" w14:textId="3FDA3D48" w:rsidR="00452E9D" w:rsidRPr="007D7545" w:rsidRDefault="00452E9D" w:rsidP="005D101E">
      <w:pPr>
        <w:tabs>
          <w:tab w:val="left" w:pos="540"/>
          <w:tab w:val="left" w:pos="569"/>
        </w:tabs>
        <w:rPr>
          <w:bCs/>
          <w:sz w:val="22"/>
          <w:szCs w:val="22"/>
          <w:u w:val="single"/>
          <w:lang w:val="sr-Latn-ME"/>
        </w:rPr>
      </w:pPr>
      <w:r w:rsidRPr="007D7545">
        <w:rPr>
          <w:bCs/>
          <w:sz w:val="22"/>
          <w:szCs w:val="22"/>
          <w:u w:val="single"/>
          <w:lang w:val="sr-Latn-ME"/>
        </w:rPr>
        <w:t>Način primjene</w:t>
      </w:r>
    </w:p>
    <w:p w14:paraId="1B6DE044" w14:textId="347D13FE" w:rsidR="001E010E" w:rsidRPr="007D7545" w:rsidRDefault="001E010E" w:rsidP="005D101E">
      <w:pPr>
        <w:ind w:hanging="14"/>
        <w:jc w:val="both"/>
        <w:rPr>
          <w:color w:val="000000"/>
          <w:sz w:val="22"/>
          <w:szCs w:val="22"/>
          <w:lang w:val="sr-Latn-ME"/>
        </w:rPr>
      </w:pPr>
      <w:r w:rsidRPr="007D7545">
        <w:rPr>
          <w:color w:val="000000"/>
          <w:sz w:val="22"/>
          <w:szCs w:val="22"/>
          <w:lang w:val="sr-Latn-ME"/>
        </w:rPr>
        <w:t xml:space="preserve">Lijek </w:t>
      </w:r>
      <w:r w:rsidR="00007C5F" w:rsidRPr="007D7545">
        <w:rPr>
          <w:color w:val="000000"/>
          <w:sz w:val="22"/>
          <w:szCs w:val="22"/>
          <w:lang w:val="sr-Latn-ME"/>
        </w:rPr>
        <w:t>Trombocen</w:t>
      </w:r>
      <w:r w:rsidRPr="007D7545">
        <w:rPr>
          <w:color w:val="000000"/>
          <w:sz w:val="22"/>
          <w:szCs w:val="22"/>
          <w:lang w:val="sr-Latn-ME"/>
        </w:rPr>
        <w:t xml:space="preserve"> je namenjen za oralnu upotrebu.</w:t>
      </w:r>
    </w:p>
    <w:p w14:paraId="61415EB4" w14:textId="46BAA95E" w:rsidR="001E010E" w:rsidRPr="007D7545" w:rsidRDefault="001E010E" w:rsidP="005D101E">
      <w:pPr>
        <w:ind w:hanging="14"/>
        <w:jc w:val="both"/>
        <w:rPr>
          <w:color w:val="000000"/>
          <w:sz w:val="22"/>
          <w:szCs w:val="22"/>
          <w:lang w:val="sr-Latn-ME"/>
        </w:rPr>
      </w:pPr>
      <w:r w:rsidRPr="007D7545">
        <w:rPr>
          <w:color w:val="000000"/>
          <w:sz w:val="22"/>
          <w:szCs w:val="22"/>
          <w:lang w:val="sr-Latn-ME"/>
        </w:rPr>
        <w:t xml:space="preserve">Tablete lijeka </w:t>
      </w:r>
      <w:r w:rsidR="00007C5F" w:rsidRPr="007D7545">
        <w:rPr>
          <w:color w:val="000000"/>
          <w:sz w:val="22"/>
          <w:szCs w:val="22"/>
          <w:lang w:val="sr-Latn-ME"/>
        </w:rPr>
        <w:t>Trombocen</w:t>
      </w:r>
      <w:r w:rsidRPr="007D7545">
        <w:rPr>
          <w:color w:val="000000"/>
          <w:sz w:val="22"/>
          <w:szCs w:val="22"/>
          <w:lang w:val="sr-Latn-ME"/>
        </w:rPr>
        <w:t xml:space="preserve"> 10 mg se mogu uzimati uz obroke ili nezavisno od obroka (</w:t>
      </w:r>
      <w:r w:rsidR="00955E5C" w:rsidRPr="007D7545">
        <w:rPr>
          <w:color w:val="000000"/>
          <w:sz w:val="22"/>
          <w:szCs w:val="22"/>
          <w:lang w:val="sr-Latn-ME"/>
        </w:rPr>
        <w:t>pogledati djelove</w:t>
      </w:r>
      <w:r w:rsidRPr="007D7545">
        <w:rPr>
          <w:color w:val="000000"/>
          <w:sz w:val="22"/>
          <w:szCs w:val="22"/>
          <w:lang w:val="sr-Latn-ME"/>
        </w:rPr>
        <w:t xml:space="preserve"> 4.5 i 5.2).</w:t>
      </w:r>
    </w:p>
    <w:p w14:paraId="51ED78B6" w14:textId="77777777" w:rsidR="00D50776" w:rsidRPr="007D7545" w:rsidRDefault="00D50776" w:rsidP="005D101E">
      <w:pPr>
        <w:ind w:hanging="14"/>
        <w:jc w:val="both"/>
        <w:rPr>
          <w:color w:val="000000"/>
          <w:sz w:val="22"/>
          <w:szCs w:val="22"/>
          <w:lang w:val="sr-Latn-ME"/>
        </w:rPr>
      </w:pPr>
    </w:p>
    <w:p w14:paraId="23DAFC9A" w14:textId="020067F3" w:rsidR="001E010E" w:rsidRPr="007D7545" w:rsidRDefault="001E010E" w:rsidP="005D101E">
      <w:pPr>
        <w:ind w:hanging="10"/>
        <w:jc w:val="both"/>
        <w:rPr>
          <w:color w:val="000000"/>
          <w:sz w:val="22"/>
          <w:szCs w:val="22"/>
          <w:lang w:val="sr-Latn-ME"/>
        </w:rPr>
      </w:pPr>
      <w:r w:rsidRPr="007D7545">
        <w:rPr>
          <w:color w:val="000000"/>
          <w:sz w:val="22"/>
          <w:szCs w:val="22"/>
          <w:lang w:val="sr-Latn-ME"/>
        </w:rPr>
        <w:t>Kod pacijenata koji ne mogu da progutaju c</w:t>
      </w:r>
      <w:r w:rsidR="00D50776" w:rsidRPr="007D7545">
        <w:rPr>
          <w:color w:val="000000"/>
          <w:sz w:val="22"/>
          <w:szCs w:val="22"/>
          <w:lang w:val="sr-Latn-ME"/>
        </w:rPr>
        <w:t>ij</w:t>
      </w:r>
      <w:r w:rsidRPr="007D7545">
        <w:rPr>
          <w:color w:val="000000"/>
          <w:sz w:val="22"/>
          <w:szCs w:val="22"/>
          <w:lang w:val="sr-Latn-ME"/>
        </w:rPr>
        <w:t xml:space="preserve">elu tabletu, tableta lijeka </w:t>
      </w:r>
      <w:r w:rsidR="00007C5F" w:rsidRPr="007D7545">
        <w:rPr>
          <w:color w:val="000000"/>
          <w:sz w:val="22"/>
          <w:szCs w:val="22"/>
          <w:lang w:val="sr-Latn-ME"/>
        </w:rPr>
        <w:t>Trombocen</w:t>
      </w:r>
      <w:r w:rsidRPr="007D7545">
        <w:rPr>
          <w:color w:val="000000"/>
          <w:sz w:val="22"/>
          <w:szCs w:val="22"/>
          <w:lang w:val="sr-Latn-ME"/>
        </w:rPr>
        <w:t xml:space="preserve"> može da se usitni i pom</w:t>
      </w:r>
      <w:r w:rsidR="00D50776" w:rsidRPr="007D7545">
        <w:rPr>
          <w:color w:val="000000"/>
          <w:sz w:val="22"/>
          <w:szCs w:val="22"/>
          <w:lang w:val="sr-Latn-ME"/>
        </w:rPr>
        <w:t>ij</w:t>
      </w:r>
      <w:r w:rsidRPr="007D7545">
        <w:rPr>
          <w:color w:val="000000"/>
          <w:sz w:val="22"/>
          <w:szCs w:val="22"/>
          <w:lang w:val="sr-Latn-ME"/>
        </w:rPr>
        <w:t>eša sa vodom ili kašom od jabuke, neposredno pr</w:t>
      </w:r>
      <w:r w:rsidR="00D50776" w:rsidRPr="007D7545">
        <w:rPr>
          <w:color w:val="000000"/>
          <w:sz w:val="22"/>
          <w:szCs w:val="22"/>
          <w:lang w:val="sr-Latn-ME"/>
        </w:rPr>
        <w:t>ij</w:t>
      </w:r>
      <w:r w:rsidRPr="007D7545">
        <w:rPr>
          <w:color w:val="000000"/>
          <w:sz w:val="22"/>
          <w:szCs w:val="22"/>
          <w:lang w:val="sr-Latn-ME"/>
        </w:rPr>
        <w:t>e oralne primjene lijeka.</w:t>
      </w:r>
    </w:p>
    <w:p w14:paraId="2319784A" w14:textId="0C5E5FAC" w:rsidR="001E010E" w:rsidRPr="007D7545" w:rsidRDefault="001E010E" w:rsidP="005D101E">
      <w:pPr>
        <w:ind w:hanging="10"/>
        <w:jc w:val="both"/>
        <w:rPr>
          <w:color w:val="000000"/>
          <w:sz w:val="22"/>
          <w:szCs w:val="22"/>
          <w:lang w:val="sr-Latn-ME"/>
        </w:rPr>
      </w:pPr>
      <w:r w:rsidRPr="007D7545">
        <w:rPr>
          <w:color w:val="000000"/>
          <w:sz w:val="22"/>
          <w:szCs w:val="22"/>
          <w:lang w:val="sr-Latn-ME"/>
        </w:rPr>
        <w:t>Usitnjena tableta lijeka, takođe može biti prim</w:t>
      </w:r>
      <w:r w:rsidR="00D50776" w:rsidRPr="007D7545">
        <w:rPr>
          <w:color w:val="000000"/>
          <w:sz w:val="22"/>
          <w:szCs w:val="22"/>
          <w:lang w:val="sr-Latn-ME"/>
        </w:rPr>
        <w:t>i</w:t>
      </w:r>
      <w:r w:rsidRPr="007D7545">
        <w:rPr>
          <w:color w:val="000000"/>
          <w:sz w:val="22"/>
          <w:szCs w:val="22"/>
          <w:lang w:val="sr-Latn-ME"/>
        </w:rPr>
        <w:t>jenjena kroz gastričnu sondu, posl</w:t>
      </w:r>
      <w:r w:rsidR="00D50776" w:rsidRPr="007D7545">
        <w:rPr>
          <w:color w:val="000000"/>
          <w:sz w:val="22"/>
          <w:szCs w:val="22"/>
          <w:lang w:val="sr-Latn-ME"/>
        </w:rPr>
        <w:t>ij</w:t>
      </w:r>
      <w:r w:rsidRPr="007D7545">
        <w:rPr>
          <w:color w:val="000000"/>
          <w:sz w:val="22"/>
          <w:szCs w:val="22"/>
          <w:lang w:val="sr-Latn-ME"/>
        </w:rPr>
        <w:t>e potvrde da je sonda postavljena pravilno u želudac. Usitnjena tableta treba da bude prim</w:t>
      </w:r>
      <w:r w:rsidR="00D50776" w:rsidRPr="007D7545">
        <w:rPr>
          <w:color w:val="000000"/>
          <w:sz w:val="22"/>
          <w:szCs w:val="22"/>
          <w:lang w:val="sr-Latn-ME"/>
        </w:rPr>
        <w:t>i</w:t>
      </w:r>
      <w:r w:rsidRPr="007D7545">
        <w:rPr>
          <w:color w:val="000000"/>
          <w:sz w:val="22"/>
          <w:szCs w:val="22"/>
          <w:lang w:val="sr-Latn-ME"/>
        </w:rPr>
        <w:t xml:space="preserve">jenjena sa malom količinom vode </w:t>
      </w:r>
      <w:r w:rsidR="00E647C0" w:rsidRPr="007D7545">
        <w:rPr>
          <w:color w:val="000000"/>
          <w:sz w:val="22"/>
          <w:szCs w:val="22"/>
          <w:lang w:val="sr-Latn-ME"/>
        </w:rPr>
        <w:t>(</w:t>
      </w:r>
      <w:r w:rsidR="00E647C0" w:rsidRPr="007D7545">
        <w:rPr>
          <w:bCs/>
          <w:sz w:val="22"/>
          <w:szCs w:val="22"/>
          <w:lang w:val="sr-Latn-ME"/>
        </w:rPr>
        <w:t xml:space="preserve">suspendovana u 50 </w:t>
      </w:r>
      <w:r w:rsidR="00683FA1" w:rsidRPr="007D7545">
        <w:rPr>
          <w:bCs/>
          <w:sz w:val="22"/>
          <w:szCs w:val="22"/>
          <w:lang w:val="sr-Latn-ME"/>
        </w:rPr>
        <w:t>ml</w:t>
      </w:r>
      <w:r w:rsidR="00E647C0" w:rsidRPr="007D7545">
        <w:rPr>
          <w:bCs/>
          <w:sz w:val="22"/>
          <w:szCs w:val="22"/>
          <w:lang w:val="sr-Latn-ME"/>
        </w:rPr>
        <w:t xml:space="preserve"> vode) </w:t>
      </w:r>
      <w:r w:rsidRPr="007D7545">
        <w:rPr>
          <w:color w:val="000000"/>
          <w:sz w:val="22"/>
          <w:szCs w:val="22"/>
          <w:lang w:val="sr-Latn-ME"/>
        </w:rPr>
        <w:t>kroz gastričnu sondu, posl</w:t>
      </w:r>
      <w:r w:rsidR="00D50776" w:rsidRPr="007D7545">
        <w:rPr>
          <w:color w:val="000000"/>
          <w:sz w:val="22"/>
          <w:szCs w:val="22"/>
          <w:lang w:val="sr-Latn-ME"/>
        </w:rPr>
        <w:t>ij</w:t>
      </w:r>
      <w:r w:rsidRPr="007D7545">
        <w:rPr>
          <w:color w:val="000000"/>
          <w:sz w:val="22"/>
          <w:szCs w:val="22"/>
          <w:lang w:val="sr-Latn-ME"/>
        </w:rPr>
        <w:t>e čega sondu treba isprati vodom</w:t>
      </w:r>
      <w:r w:rsidR="00E647C0" w:rsidRPr="007D7545">
        <w:rPr>
          <w:color w:val="000000"/>
          <w:sz w:val="22"/>
          <w:szCs w:val="22"/>
          <w:lang w:val="sr-Latn-ME"/>
        </w:rPr>
        <w:t xml:space="preserve">. </w:t>
      </w:r>
      <w:r w:rsidR="00E647C0" w:rsidRPr="007D7545">
        <w:rPr>
          <w:bCs/>
          <w:sz w:val="22"/>
          <w:szCs w:val="22"/>
          <w:lang w:val="sr-Latn-ME"/>
        </w:rPr>
        <w:t>Prim</w:t>
      </w:r>
      <w:r w:rsidR="00955E5C" w:rsidRPr="007D7545">
        <w:rPr>
          <w:bCs/>
          <w:sz w:val="22"/>
          <w:szCs w:val="22"/>
          <w:lang w:val="sr-Latn-ME"/>
        </w:rPr>
        <w:t>j</w:t>
      </w:r>
      <w:r w:rsidR="00E647C0" w:rsidRPr="007D7545">
        <w:rPr>
          <w:bCs/>
          <w:sz w:val="22"/>
          <w:szCs w:val="22"/>
          <w:lang w:val="sr-Latn-ME"/>
        </w:rPr>
        <w:t>enu distalno od želuca treba izb</w:t>
      </w:r>
      <w:r w:rsidR="00955E5C" w:rsidRPr="007D7545">
        <w:rPr>
          <w:bCs/>
          <w:sz w:val="22"/>
          <w:szCs w:val="22"/>
          <w:lang w:val="sr-Latn-ME"/>
        </w:rPr>
        <w:t>j</w:t>
      </w:r>
      <w:r w:rsidR="00E647C0" w:rsidRPr="007D7545">
        <w:rPr>
          <w:bCs/>
          <w:sz w:val="22"/>
          <w:szCs w:val="22"/>
          <w:lang w:val="sr-Latn-ME"/>
        </w:rPr>
        <w:t>egavati jer može da smanji resorpcju i posl</w:t>
      </w:r>
      <w:r w:rsidR="00D50776" w:rsidRPr="007D7545">
        <w:rPr>
          <w:bCs/>
          <w:sz w:val="22"/>
          <w:szCs w:val="22"/>
          <w:lang w:val="sr-Latn-ME"/>
        </w:rPr>
        <w:t>j</w:t>
      </w:r>
      <w:r w:rsidR="00E647C0" w:rsidRPr="007D7545">
        <w:rPr>
          <w:bCs/>
          <w:sz w:val="22"/>
          <w:szCs w:val="22"/>
          <w:lang w:val="sr-Latn-ME"/>
        </w:rPr>
        <w:t>edično dovede do smanjene izloženosti aktivnoj supstanci, jer resorpcija rivaroksabana zavisi od m</w:t>
      </w:r>
      <w:r w:rsidR="00D50776" w:rsidRPr="007D7545">
        <w:rPr>
          <w:bCs/>
          <w:sz w:val="22"/>
          <w:szCs w:val="22"/>
          <w:lang w:val="sr-Latn-ME"/>
        </w:rPr>
        <w:t>j</w:t>
      </w:r>
      <w:r w:rsidR="00E647C0" w:rsidRPr="007D7545">
        <w:rPr>
          <w:bCs/>
          <w:sz w:val="22"/>
          <w:szCs w:val="22"/>
          <w:lang w:val="sr-Latn-ME"/>
        </w:rPr>
        <w:t>esta oslobađanja aktivne supstance. Nije potrebno enteralno hranjenje odmah nakon prim</w:t>
      </w:r>
      <w:r w:rsidR="00D50776" w:rsidRPr="007D7545">
        <w:rPr>
          <w:bCs/>
          <w:sz w:val="22"/>
          <w:szCs w:val="22"/>
          <w:lang w:val="sr-Latn-ME"/>
        </w:rPr>
        <w:t>j</w:t>
      </w:r>
      <w:r w:rsidR="00E647C0" w:rsidRPr="007D7545">
        <w:rPr>
          <w:bCs/>
          <w:sz w:val="22"/>
          <w:szCs w:val="22"/>
          <w:lang w:val="sr-Latn-ME"/>
        </w:rPr>
        <w:t>ene l</w:t>
      </w:r>
      <w:r w:rsidR="00D50776" w:rsidRPr="007D7545">
        <w:rPr>
          <w:bCs/>
          <w:sz w:val="22"/>
          <w:szCs w:val="22"/>
          <w:lang w:val="sr-Latn-ME"/>
        </w:rPr>
        <w:t>ij</w:t>
      </w:r>
      <w:r w:rsidR="00E647C0" w:rsidRPr="007D7545">
        <w:rPr>
          <w:bCs/>
          <w:sz w:val="22"/>
          <w:szCs w:val="22"/>
          <w:lang w:val="sr-Latn-ME"/>
        </w:rPr>
        <w:t>eka</w:t>
      </w:r>
      <w:r w:rsidRPr="007D7545">
        <w:rPr>
          <w:color w:val="000000"/>
          <w:sz w:val="22"/>
          <w:szCs w:val="22"/>
          <w:lang w:val="sr-Latn-ME"/>
        </w:rPr>
        <w:t xml:space="preserve"> (</w:t>
      </w:r>
      <w:r w:rsidR="00955E5C" w:rsidRPr="007D7545">
        <w:rPr>
          <w:color w:val="000000"/>
          <w:sz w:val="22"/>
          <w:szCs w:val="22"/>
          <w:lang w:val="sr-Latn-ME"/>
        </w:rPr>
        <w:t>pogledati dio</w:t>
      </w:r>
      <w:r w:rsidRPr="007D7545">
        <w:rPr>
          <w:color w:val="000000"/>
          <w:sz w:val="22"/>
          <w:szCs w:val="22"/>
          <w:lang w:val="sr-Latn-ME"/>
        </w:rPr>
        <w:t xml:space="preserve"> 5.2).</w:t>
      </w:r>
    </w:p>
    <w:p w14:paraId="0412173A" w14:textId="77777777" w:rsidR="00452E9D" w:rsidRPr="007D7545" w:rsidRDefault="00452E9D" w:rsidP="005D101E">
      <w:pPr>
        <w:tabs>
          <w:tab w:val="left" w:pos="540"/>
          <w:tab w:val="left" w:pos="569"/>
        </w:tabs>
        <w:rPr>
          <w:bCs/>
          <w:sz w:val="22"/>
          <w:szCs w:val="22"/>
          <w:lang w:val="sr-Latn-ME"/>
        </w:rPr>
      </w:pPr>
    </w:p>
    <w:p w14:paraId="4511B428" w14:textId="536E473F" w:rsidR="00411B4B" w:rsidRPr="007D7545" w:rsidRDefault="00411B4B" w:rsidP="005D101E">
      <w:pPr>
        <w:tabs>
          <w:tab w:val="left" w:pos="540"/>
          <w:tab w:val="left" w:pos="569"/>
        </w:tabs>
        <w:rPr>
          <w:b/>
          <w:bCs/>
          <w:sz w:val="22"/>
          <w:szCs w:val="22"/>
          <w:lang w:val="sr-Latn-ME"/>
        </w:rPr>
      </w:pPr>
      <w:r w:rsidRPr="007D7545">
        <w:rPr>
          <w:b/>
          <w:bCs/>
          <w:sz w:val="22"/>
          <w:szCs w:val="22"/>
          <w:lang w:val="sr-Latn-ME"/>
        </w:rPr>
        <w:t xml:space="preserve">4.3. </w:t>
      </w:r>
      <w:r w:rsidR="00480FB1" w:rsidRPr="007D7545">
        <w:rPr>
          <w:b/>
          <w:bCs/>
          <w:sz w:val="22"/>
          <w:szCs w:val="22"/>
          <w:lang w:val="sr-Latn-ME"/>
        </w:rPr>
        <w:tab/>
      </w:r>
      <w:r w:rsidRPr="007D7545">
        <w:rPr>
          <w:b/>
          <w:bCs/>
          <w:sz w:val="22"/>
          <w:szCs w:val="22"/>
          <w:lang w:val="sr-Latn-ME"/>
        </w:rPr>
        <w:t>Kontraindikacije</w:t>
      </w:r>
    </w:p>
    <w:p w14:paraId="48B00C82" w14:textId="77777777" w:rsidR="001A73C4" w:rsidRPr="007D7545" w:rsidRDefault="001A73C4" w:rsidP="005D101E">
      <w:pPr>
        <w:tabs>
          <w:tab w:val="left" w:pos="540"/>
          <w:tab w:val="left" w:pos="569"/>
        </w:tabs>
        <w:rPr>
          <w:b/>
          <w:bCs/>
          <w:sz w:val="22"/>
          <w:szCs w:val="22"/>
          <w:lang w:val="sr-Latn-ME"/>
        </w:rPr>
      </w:pPr>
    </w:p>
    <w:p w14:paraId="153722A1" w14:textId="1B890AE6"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Preosetljivost na aktivnu supstancu ili na bilo koju od pomoćnih supstanci navedenih u </w:t>
      </w:r>
      <w:r w:rsidR="00EB717A" w:rsidRPr="007D7545">
        <w:rPr>
          <w:color w:val="000000"/>
          <w:sz w:val="22"/>
          <w:szCs w:val="22"/>
          <w:lang w:val="sr-Latn-ME"/>
        </w:rPr>
        <w:t xml:space="preserve">dijelu </w:t>
      </w:r>
      <w:r w:rsidRPr="007D7545">
        <w:rPr>
          <w:color w:val="000000"/>
          <w:sz w:val="22"/>
          <w:szCs w:val="22"/>
          <w:lang w:val="sr-Latn-ME"/>
        </w:rPr>
        <w:t>6.1.</w:t>
      </w:r>
    </w:p>
    <w:p w14:paraId="793B9533" w14:textId="77777777" w:rsidR="00EB717A" w:rsidRPr="007D7545" w:rsidRDefault="00EB717A" w:rsidP="005D101E">
      <w:pPr>
        <w:ind w:hanging="10"/>
        <w:jc w:val="both"/>
        <w:rPr>
          <w:color w:val="000000"/>
          <w:sz w:val="22"/>
          <w:szCs w:val="22"/>
          <w:lang w:val="sr-Latn-ME"/>
        </w:rPr>
      </w:pPr>
    </w:p>
    <w:p w14:paraId="7F3834C7" w14:textId="06E8B1D2" w:rsidR="001E010E" w:rsidRPr="007D7545" w:rsidRDefault="001E010E" w:rsidP="005D101E">
      <w:pPr>
        <w:ind w:hanging="10"/>
        <w:jc w:val="both"/>
        <w:rPr>
          <w:color w:val="000000"/>
          <w:sz w:val="22"/>
          <w:szCs w:val="22"/>
          <w:lang w:val="sr-Latn-ME"/>
        </w:rPr>
      </w:pPr>
      <w:r w:rsidRPr="007D7545">
        <w:rPr>
          <w:color w:val="000000"/>
          <w:sz w:val="22"/>
          <w:szCs w:val="22"/>
          <w:lang w:val="sr-Latn-ME"/>
        </w:rPr>
        <w:t>Aktivno klinički značajno krvarenje.</w:t>
      </w:r>
    </w:p>
    <w:p w14:paraId="27FA816C" w14:textId="77777777" w:rsidR="00EB717A" w:rsidRPr="007D7545" w:rsidRDefault="00EB717A" w:rsidP="005D101E">
      <w:pPr>
        <w:ind w:hanging="10"/>
        <w:jc w:val="both"/>
        <w:rPr>
          <w:color w:val="000000"/>
          <w:sz w:val="22"/>
          <w:szCs w:val="22"/>
          <w:lang w:val="sr-Latn-ME"/>
        </w:rPr>
      </w:pPr>
    </w:p>
    <w:p w14:paraId="2A4DC2A3" w14:textId="2885401E" w:rsidR="001E010E" w:rsidRPr="007D7545" w:rsidRDefault="001E010E" w:rsidP="005D101E">
      <w:pPr>
        <w:ind w:hanging="10"/>
        <w:jc w:val="both"/>
        <w:rPr>
          <w:color w:val="000000"/>
          <w:sz w:val="22"/>
          <w:szCs w:val="22"/>
          <w:lang w:val="sr-Latn-ME"/>
        </w:rPr>
      </w:pPr>
      <w:r w:rsidRPr="007D7545">
        <w:rPr>
          <w:color w:val="000000"/>
          <w:sz w:val="22"/>
          <w:szCs w:val="22"/>
          <w:lang w:val="sr-Latn-ME"/>
        </w:rPr>
        <w:t>Lezije ili stanja, za koja se smatra da predstavljaju značajan rizik od obilnog krvarenja. To može uključivati postojeće ili nedavne gastrointestinalne ulceracije, pristustvo malignih neoplazmi sa velikim rizikom od krvarenja, nedavnu povredu mozga ili kičmene moždine, nedavnu hiruršku intervenciju na mozgu, kičmenoj moždini ili oku, nedavno intrakranijalno krvarenje, poznate ili suspektne varikozitete jednjaka, arteriovenske malformacije, aneurizme krvnih sudova ili</w:t>
      </w:r>
      <w:r w:rsidR="004818B3" w:rsidRPr="007D7545">
        <w:rPr>
          <w:color w:val="000000"/>
          <w:sz w:val="22"/>
          <w:szCs w:val="22"/>
          <w:lang w:val="sr-Latn-ME"/>
        </w:rPr>
        <w:t xml:space="preserve"> velike</w:t>
      </w:r>
      <w:r w:rsidRPr="007D7545">
        <w:rPr>
          <w:color w:val="000000"/>
          <w:sz w:val="22"/>
          <w:szCs w:val="22"/>
          <w:lang w:val="sr-Latn-ME"/>
        </w:rPr>
        <w:t xml:space="preserve"> intraspinalne, odnosno intracerebralne vaskularne anomalije.</w:t>
      </w:r>
    </w:p>
    <w:p w14:paraId="1AF97839" w14:textId="77777777" w:rsidR="00EB717A" w:rsidRPr="007D7545" w:rsidRDefault="00EB717A" w:rsidP="005D101E">
      <w:pPr>
        <w:ind w:hanging="10"/>
        <w:jc w:val="both"/>
        <w:rPr>
          <w:color w:val="000000"/>
          <w:sz w:val="22"/>
          <w:szCs w:val="22"/>
          <w:lang w:val="sr-Latn-ME"/>
        </w:rPr>
      </w:pPr>
    </w:p>
    <w:p w14:paraId="0430A2F0" w14:textId="2674A33D" w:rsidR="001E010E" w:rsidRPr="007D7545" w:rsidRDefault="001E010E" w:rsidP="005D101E">
      <w:pPr>
        <w:ind w:hanging="10"/>
        <w:jc w:val="both"/>
        <w:rPr>
          <w:color w:val="000000"/>
          <w:sz w:val="22"/>
          <w:szCs w:val="22"/>
          <w:lang w:val="sr-Latn-ME"/>
        </w:rPr>
      </w:pPr>
      <w:r w:rsidRPr="007D7545">
        <w:rPr>
          <w:color w:val="000000"/>
          <w:sz w:val="22"/>
          <w:szCs w:val="22"/>
          <w:lang w:val="sr-Latn-ME"/>
        </w:rPr>
        <w:t>Istovremena terapija sa nekim od antikoagulantnih ljekova, na prim</w:t>
      </w:r>
      <w:r w:rsidR="00FC4ECD" w:rsidRPr="007D7545">
        <w:rPr>
          <w:color w:val="000000"/>
          <w:sz w:val="22"/>
          <w:szCs w:val="22"/>
          <w:lang w:val="sr-Latn-ME"/>
        </w:rPr>
        <w:t>j</w:t>
      </w:r>
      <w:r w:rsidRPr="007D7545">
        <w:rPr>
          <w:color w:val="000000"/>
          <w:sz w:val="22"/>
          <w:szCs w:val="22"/>
          <w:lang w:val="sr-Latn-ME"/>
        </w:rPr>
        <w:t>er nefrakcionisanim heparinom, niskomolekularnim heparinima (enoksaparin, dalteparin, itd.), derivatima heparina (fondaparinuks, itd.) oralnim antikoagulansima (varfarin, dabigatran, eteksilat, apiksaban itd.) osim u određenim uslovima promjene antikoagulantne terapije (</w:t>
      </w:r>
      <w:r w:rsidR="00955E5C" w:rsidRPr="007D7545">
        <w:rPr>
          <w:color w:val="000000"/>
          <w:sz w:val="22"/>
          <w:szCs w:val="22"/>
          <w:lang w:val="sr-Latn-ME"/>
        </w:rPr>
        <w:t>pogledati dio</w:t>
      </w:r>
      <w:r w:rsidRPr="007D7545">
        <w:rPr>
          <w:color w:val="000000"/>
          <w:sz w:val="22"/>
          <w:szCs w:val="22"/>
          <w:lang w:val="sr-Latn-ME"/>
        </w:rPr>
        <w:t xml:space="preserve"> 4.2) ili kada se nefrakcionisani heparin prim</w:t>
      </w:r>
      <w:r w:rsidR="00FC4ECD" w:rsidRPr="007D7545">
        <w:rPr>
          <w:color w:val="000000"/>
          <w:sz w:val="22"/>
          <w:szCs w:val="22"/>
          <w:lang w:val="sr-Latn-ME"/>
        </w:rPr>
        <w:t>j</w:t>
      </w:r>
      <w:r w:rsidRPr="007D7545">
        <w:rPr>
          <w:color w:val="000000"/>
          <w:sz w:val="22"/>
          <w:szCs w:val="22"/>
          <w:lang w:val="sr-Latn-ME"/>
        </w:rPr>
        <w:t xml:space="preserve">enjuje u dozama neophodnim za održavanje </w:t>
      </w:r>
      <w:r w:rsidR="00E647C0" w:rsidRPr="007D7545">
        <w:rPr>
          <w:color w:val="000000"/>
          <w:sz w:val="22"/>
          <w:szCs w:val="22"/>
          <w:lang w:val="sr-Latn-ME"/>
        </w:rPr>
        <w:t xml:space="preserve">prohodnosti </w:t>
      </w:r>
      <w:r w:rsidRPr="007D7545">
        <w:rPr>
          <w:color w:val="000000"/>
          <w:sz w:val="22"/>
          <w:szCs w:val="22"/>
          <w:lang w:val="sr-Latn-ME"/>
        </w:rPr>
        <w:t>centralnog venskog ili arterijskog katetera (</w:t>
      </w:r>
      <w:r w:rsidR="00955E5C" w:rsidRPr="007D7545">
        <w:rPr>
          <w:color w:val="000000"/>
          <w:sz w:val="22"/>
          <w:szCs w:val="22"/>
          <w:lang w:val="sr-Latn-ME"/>
        </w:rPr>
        <w:t>pogledati dio</w:t>
      </w:r>
      <w:r w:rsidRPr="007D7545">
        <w:rPr>
          <w:color w:val="000000"/>
          <w:sz w:val="22"/>
          <w:szCs w:val="22"/>
          <w:lang w:val="sr-Latn-ME"/>
        </w:rPr>
        <w:t xml:space="preserve"> 4.5).</w:t>
      </w:r>
    </w:p>
    <w:p w14:paraId="5CEC0AD7" w14:textId="77777777" w:rsidR="00EB717A" w:rsidRPr="007D7545" w:rsidRDefault="00EB717A" w:rsidP="005D101E">
      <w:pPr>
        <w:ind w:hanging="10"/>
        <w:jc w:val="both"/>
        <w:rPr>
          <w:color w:val="000000"/>
          <w:sz w:val="22"/>
          <w:szCs w:val="22"/>
          <w:lang w:val="sr-Latn-ME"/>
        </w:rPr>
      </w:pPr>
    </w:p>
    <w:p w14:paraId="58E77BBF" w14:textId="3DA034F1" w:rsidR="001E010E" w:rsidRPr="007D7545" w:rsidRDefault="001E010E" w:rsidP="005D101E">
      <w:pPr>
        <w:ind w:hanging="10"/>
        <w:jc w:val="both"/>
        <w:rPr>
          <w:color w:val="000000"/>
          <w:sz w:val="22"/>
          <w:szCs w:val="22"/>
          <w:lang w:val="sr-Latn-ME"/>
        </w:rPr>
      </w:pPr>
      <w:r w:rsidRPr="007D7545">
        <w:rPr>
          <w:color w:val="000000"/>
          <w:sz w:val="22"/>
          <w:szCs w:val="22"/>
          <w:lang w:val="sr-Latn-ME"/>
        </w:rPr>
        <w:t>Bolest jetre udružena sa koagulopatijom i klinički značajnim rizikom od krvarenja uključujući pacijente sa cirozom sa Child Pugh tip B i C (</w:t>
      </w:r>
      <w:r w:rsidR="00955E5C" w:rsidRPr="007D7545">
        <w:rPr>
          <w:color w:val="000000"/>
          <w:sz w:val="22"/>
          <w:szCs w:val="22"/>
          <w:lang w:val="sr-Latn-ME"/>
        </w:rPr>
        <w:t>pogledati dio</w:t>
      </w:r>
      <w:r w:rsidRPr="007D7545">
        <w:rPr>
          <w:color w:val="000000"/>
          <w:sz w:val="22"/>
          <w:szCs w:val="22"/>
          <w:lang w:val="sr-Latn-ME"/>
        </w:rPr>
        <w:t xml:space="preserve"> 5.2).</w:t>
      </w:r>
    </w:p>
    <w:p w14:paraId="43832ED2" w14:textId="461BCE0D" w:rsidR="001E010E" w:rsidRPr="007D7545" w:rsidRDefault="001E010E" w:rsidP="005D101E">
      <w:pPr>
        <w:keepNext/>
        <w:keepLines/>
        <w:ind w:hanging="14"/>
        <w:jc w:val="both"/>
        <w:outlineLvl w:val="2"/>
        <w:rPr>
          <w:color w:val="000000"/>
          <w:sz w:val="22"/>
          <w:szCs w:val="22"/>
          <w:u w:color="000000"/>
          <w:lang w:val="sr-Latn-ME"/>
        </w:rPr>
      </w:pPr>
      <w:r w:rsidRPr="007D7545">
        <w:rPr>
          <w:color w:val="000000"/>
          <w:sz w:val="22"/>
          <w:szCs w:val="22"/>
          <w:u w:color="000000"/>
          <w:lang w:val="sr-Latn-ME"/>
        </w:rPr>
        <w:t>Trudnoća i dojenje (</w:t>
      </w:r>
      <w:r w:rsidR="00955E5C" w:rsidRPr="007D7545">
        <w:rPr>
          <w:color w:val="000000"/>
          <w:sz w:val="22"/>
          <w:szCs w:val="22"/>
          <w:u w:color="000000"/>
          <w:lang w:val="sr-Latn-ME"/>
        </w:rPr>
        <w:t>pogledati dio</w:t>
      </w:r>
      <w:r w:rsidRPr="007D7545">
        <w:rPr>
          <w:color w:val="000000"/>
          <w:sz w:val="22"/>
          <w:szCs w:val="22"/>
          <w:u w:color="000000"/>
          <w:lang w:val="sr-Latn-ME"/>
        </w:rPr>
        <w:t xml:space="preserve"> 4.6). </w:t>
      </w:r>
    </w:p>
    <w:p w14:paraId="53394330" w14:textId="77777777" w:rsidR="0072020E" w:rsidRPr="007D7545" w:rsidRDefault="0072020E" w:rsidP="005D101E">
      <w:pPr>
        <w:tabs>
          <w:tab w:val="left" w:pos="540"/>
          <w:tab w:val="left" w:pos="569"/>
        </w:tabs>
        <w:rPr>
          <w:bCs/>
          <w:sz w:val="22"/>
          <w:szCs w:val="22"/>
          <w:lang w:val="sr-Latn-ME"/>
        </w:rPr>
      </w:pPr>
    </w:p>
    <w:p w14:paraId="56D36E6A" w14:textId="7519B52D" w:rsidR="00411B4B" w:rsidRPr="007D7545" w:rsidRDefault="00411B4B" w:rsidP="005D101E">
      <w:pPr>
        <w:tabs>
          <w:tab w:val="left" w:pos="540"/>
          <w:tab w:val="left" w:pos="569"/>
        </w:tabs>
        <w:rPr>
          <w:b/>
          <w:bCs/>
          <w:sz w:val="22"/>
          <w:szCs w:val="22"/>
          <w:lang w:val="sr-Latn-ME"/>
        </w:rPr>
      </w:pPr>
      <w:r w:rsidRPr="007D7545">
        <w:rPr>
          <w:b/>
          <w:bCs/>
          <w:sz w:val="22"/>
          <w:szCs w:val="22"/>
          <w:lang w:val="sr-Latn-ME"/>
        </w:rPr>
        <w:t xml:space="preserve">4.4. </w:t>
      </w:r>
      <w:r w:rsidR="00480FB1" w:rsidRPr="007D7545">
        <w:rPr>
          <w:b/>
          <w:bCs/>
          <w:sz w:val="22"/>
          <w:szCs w:val="22"/>
          <w:lang w:val="sr-Latn-ME"/>
        </w:rPr>
        <w:tab/>
      </w:r>
      <w:r w:rsidRPr="007D7545">
        <w:rPr>
          <w:b/>
          <w:bCs/>
          <w:sz w:val="22"/>
          <w:szCs w:val="22"/>
          <w:lang w:val="sr-Latn-ME"/>
        </w:rPr>
        <w:t>Posebna upozorenja i mjere opreza pri upotrebi lijeka</w:t>
      </w:r>
    </w:p>
    <w:p w14:paraId="7648768E" w14:textId="77777777" w:rsidR="001A73C4" w:rsidRPr="007D7545" w:rsidRDefault="001A73C4" w:rsidP="005D101E">
      <w:pPr>
        <w:tabs>
          <w:tab w:val="left" w:pos="540"/>
          <w:tab w:val="left" w:pos="569"/>
        </w:tabs>
        <w:rPr>
          <w:b/>
          <w:bCs/>
          <w:sz w:val="22"/>
          <w:szCs w:val="22"/>
          <w:lang w:val="sr-Latn-ME"/>
        </w:rPr>
      </w:pPr>
    </w:p>
    <w:p w14:paraId="71299FF0" w14:textId="6A2A2A09" w:rsidR="001E010E" w:rsidRPr="007D7545" w:rsidRDefault="001E010E" w:rsidP="005D101E">
      <w:pPr>
        <w:ind w:hanging="14"/>
        <w:jc w:val="both"/>
        <w:rPr>
          <w:color w:val="000000"/>
          <w:sz w:val="22"/>
          <w:szCs w:val="22"/>
          <w:lang w:val="sr-Latn-ME"/>
        </w:rPr>
      </w:pPr>
      <w:r w:rsidRPr="007D7545">
        <w:rPr>
          <w:color w:val="000000"/>
          <w:sz w:val="22"/>
          <w:szCs w:val="22"/>
          <w:lang w:val="sr-Latn-ME"/>
        </w:rPr>
        <w:t>Tokom čitavog perioda terapije se preporučuje klinički nadzor u skladu sa praksom tokom primjene antikoagulanasa.</w:t>
      </w:r>
    </w:p>
    <w:p w14:paraId="6E9B9A92" w14:textId="77777777" w:rsidR="00FC4ECD" w:rsidRPr="007D7545" w:rsidRDefault="00FC4ECD" w:rsidP="005D101E">
      <w:pPr>
        <w:ind w:hanging="14"/>
        <w:jc w:val="both"/>
        <w:rPr>
          <w:color w:val="000000"/>
          <w:sz w:val="22"/>
          <w:szCs w:val="22"/>
          <w:lang w:val="sr-Latn-ME"/>
        </w:rPr>
      </w:pPr>
    </w:p>
    <w:p w14:paraId="64E99C1E" w14:textId="77777777" w:rsidR="001E010E" w:rsidRPr="007D7545" w:rsidRDefault="001E010E" w:rsidP="005D101E">
      <w:pPr>
        <w:keepNext/>
        <w:keepLines/>
        <w:ind w:hanging="10"/>
        <w:outlineLvl w:val="3"/>
        <w:rPr>
          <w:color w:val="000000"/>
          <w:sz w:val="22"/>
          <w:szCs w:val="22"/>
          <w:u w:val="single" w:color="000000"/>
          <w:lang w:val="sr-Latn-ME"/>
        </w:rPr>
      </w:pPr>
      <w:r w:rsidRPr="007D7545">
        <w:rPr>
          <w:color w:val="000000"/>
          <w:sz w:val="22"/>
          <w:szCs w:val="22"/>
          <w:u w:val="single" w:color="000000"/>
          <w:lang w:val="sr-Latn-ME"/>
        </w:rPr>
        <w:t>Rizik od krvarenja</w:t>
      </w:r>
    </w:p>
    <w:p w14:paraId="3BC1C893" w14:textId="77777777" w:rsidR="00FC4ECD" w:rsidRPr="007D7545" w:rsidRDefault="001E010E" w:rsidP="005D101E">
      <w:pPr>
        <w:ind w:hanging="10"/>
        <w:jc w:val="both"/>
        <w:rPr>
          <w:color w:val="000000"/>
          <w:sz w:val="22"/>
          <w:szCs w:val="22"/>
          <w:lang w:val="sr-Latn-ME"/>
        </w:rPr>
      </w:pPr>
      <w:r w:rsidRPr="007D7545">
        <w:rPr>
          <w:color w:val="000000"/>
          <w:sz w:val="22"/>
          <w:szCs w:val="22"/>
          <w:lang w:val="sr-Latn-ME"/>
        </w:rPr>
        <w:t xml:space="preserve">Kao i pri terapiji drugim antikoagulansima, treba pažljivo pratiti znake krvarenja kod pacijenta koji koriste rivaroksaban. </w:t>
      </w:r>
    </w:p>
    <w:p w14:paraId="71171452" w14:textId="37917D12" w:rsidR="001E010E" w:rsidRPr="007D7545" w:rsidRDefault="001E010E" w:rsidP="005D101E">
      <w:pPr>
        <w:ind w:hanging="10"/>
        <w:jc w:val="both"/>
        <w:rPr>
          <w:color w:val="000000"/>
          <w:sz w:val="22"/>
          <w:szCs w:val="22"/>
          <w:lang w:val="sr-Latn-ME"/>
        </w:rPr>
      </w:pPr>
      <w:r w:rsidRPr="007D7545">
        <w:rPr>
          <w:color w:val="000000"/>
          <w:sz w:val="22"/>
          <w:szCs w:val="22"/>
          <w:lang w:val="sr-Latn-ME"/>
        </w:rPr>
        <w:t>Preporučuje se oprez prilikom primjene u stanjima sa povećanim rizikom od krvarenja. Primjenu rivaroksabana treba obustaviti ako se pojavi ozbiljno krvarenje (</w:t>
      </w:r>
      <w:r w:rsidR="00955E5C" w:rsidRPr="007D7545">
        <w:rPr>
          <w:color w:val="000000"/>
          <w:sz w:val="22"/>
          <w:szCs w:val="22"/>
          <w:lang w:val="sr-Latn-ME"/>
        </w:rPr>
        <w:t>pogledati dio</w:t>
      </w:r>
      <w:r w:rsidRPr="007D7545">
        <w:rPr>
          <w:color w:val="000000"/>
          <w:sz w:val="22"/>
          <w:szCs w:val="22"/>
          <w:lang w:val="sr-Latn-ME"/>
        </w:rPr>
        <w:t xml:space="preserve"> 4.9).</w:t>
      </w:r>
    </w:p>
    <w:p w14:paraId="6377E498" w14:textId="77777777" w:rsidR="00FC4ECD" w:rsidRPr="007D7545" w:rsidRDefault="00FC4ECD" w:rsidP="005D101E">
      <w:pPr>
        <w:ind w:hanging="10"/>
        <w:jc w:val="both"/>
        <w:rPr>
          <w:color w:val="000000"/>
          <w:sz w:val="22"/>
          <w:szCs w:val="22"/>
          <w:lang w:val="sr-Latn-ME"/>
        </w:rPr>
      </w:pPr>
    </w:p>
    <w:p w14:paraId="1D737D6F" w14:textId="3FA54648" w:rsidR="001E010E" w:rsidRPr="007D7545" w:rsidRDefault="001E010E" w:rsidP="005D101E">
      <w:pPr>
        <w:ind w:hanging="10"/>
        <w:jc w:val="both"/>
        <w:rPr>
          <w:color w:val="000000"/>
          <w:sz w:val="22"/>
          <w:szCs w:val="22"/>
          <w:lang w:val="sr-Latn-ME"/>
        </w:rPr>
      </w:pPr>
      <w:r w:rsidRPr="007D7545">
        <w:rPr>
          <w:color w:val="000000"/>
          <w:sz w:val="22"/>
          <w:szCs w:val="22"/>
          <w:lang w:val="sr-Latn-ME"/>
        </w:rPr>
        <w:t>U kliničkim ispitivanjima su se krvarenja sluzokože (tj. epistaksa, gingivalna, gastrointestinalna, urogenitalna, uključujući neuobičajeno vaginalno ili pojačano menstrualno krvarenje) i anemija češće javljali tokom dugotrajne terapije rivaroksabanom u poređenju sa terapijom antagonistima vitamina K. Stoga bi pored adekvatnog kliničkog nadzora, laboratorijsko ispitivanje hemoglobina/hematokrita moglo imati značaja za otkrivanje skrivenog krvarenja i proc</w:t>
      </w:r>
      <w:r w:rsidR="00FC4ECD" w:rsidRPr="007D7545">
        <w:rPr>
          <w:color w:val="000000"/>
          <w:sz w:val="22"/>
          <w:szCs w:val="22"/>
          <w:lang w:val="sr-Latn-ME"/>
        </w:rPr>
        <w:t>j</w:t>
      </w:r>
      <w:r w:rsidRPr="007D7545">
        <w:rPr>
          <w:color w:val="000000"/>
          <w:sz w:val="22"/>
          <w:szCs w:val="22"/>
          <w:lang w:val="sr-Latn-ME"/>
        </w:rPr>
        <w:t>enu kliničkog značaja vidljivih krvarenja, kada se to proc</w:t>
      </w:r>
      <w:r w:rsidR="00FC4ECD" w:rsidRPr="007D7545">
        <w:rPr>
          <w:color w:val="000000"/>
          <w:sz w:val="22"/>
          <w:szCs w:val="22"/>
          <w:lang w:val="sr-Latn-ME"/>
        </w:rPr>
        <w:t>ij</w:t>
      </w:r>
      <w:r w:rsidRPr="007D7545">
        <w:rPr>
          <w:color w:val="000000"/>
          <w:sz w:val="22"/>
          <w:szCs w:val="22"/>
          <w:lang w:val="sr-Latn-ME"/>
        </w:rPr>
        <w:t>eni odgovarajućim.</w:t>
      </w:r>
    </w:p>
    <w:p w14:paraId="21C2CB5C" w14:textId="77777777" w:rsidR="00FC4ECD" w:rsidRPr="007D7545" w:rsidRDefault="00FC4ECD" w:rsidP="005D101E">
      <w:pPr>
        <w:ind w:hanging="10"/>
        <w:jc w:val="both"/>
        <w:rPr>
          <w:color w:val="000000"/>
          <w:sz w:val="22"/>
          <w:szCs w:val="22"/>
          <w:lang w:val="sr-Latn-ME"/>
        </w:rPr>
      </w:pPr>
    </w:p>
    <w:p w14:paraId="729FD7AC" w14:textId="19BF4684" w:rsidR="001E010E" w:rsidRPr="007D7545" w:rsidRDefault="001E010E" w:rsidP="005D101E">
      <w:pPr>
        <w:ind w:hanging="10"/>
        <w:jc w:val="both"/>
        <w:rPr>
          <w:color w:val="000000"/>
          <w:sz w:val="22"/>
          <w:szCs w:val="22"/>
          <w:lang w:val="sr-Latn-ME"/>
        </w:rPr>
      </w:pPr>
      <w:r w:rsidRPr="007D7545">
        <w:rPr>
          <w:color w:val="000000"/>
          <w:sz w:val="22"/>
          <w:szCs w:val="22"/>
          <w:lang w:val="sr-Latn-ME"/>
        </w:rPr>
        <w:t>Kako je detaljnije prikazano u nastavku, više podgrupa pacijenata, ima povećan rizik od krvarenja. Kod ovih pacijenata treba pažljivo pratiti pojavu znakova i simptoma komplikacija krvarenja i anemija nakon započinjanja terapije (</w:t>
      </w:r>
      <w:r w:rsidR="00955E5C" w:rsidRPr="007D7545">
        <w:rPr>
          <w:color w:val="000000"/>
          <w:sz w:val="22"/>
          <w:szCs w:val="22"/>
          <w:lang w:val="sr-Latn-ME"/>
        </w:rPr>
        <w:t>pogledati dio</w:t>
      </w:r>
      <w:r w:rsidRPr="007D7545">
        <w:rPr>
          <w:color w:val="000000"/>
          <w:sz w:val="22"/>
          <w:szCs w:val="22"/>
          <w:lang w:val="sr-Latn-ME"/>
        </w:rPr>
        <w:t xml:space="preserve"> 4.8.). Kod pacijenata koji uzimaju rivaroksaban za prevenciju VTE posl</w:t>
      </w:r>
      <w:r w:rsidR="00FC4ECD" w:rsidRPr="007D7545">
        <w:rPr>
          <w:color w:val="000000"/>
          <w:sz w:val="22"/>
          <w:szCs w:val="22"/>
          <w:lang w:val="sr-Latn-ME"/>
        </w:rPr>
        <w:t>ij</w:t>
      </w:r>
      <w:r w:rsidRPr="007D7545">
        <w:rPr>
          <w:color w:val="000000"/>
          <w:sz w:val="22"/>
          <w:szCs w:val="22"/>
          <w:lang w:val="sr-Latn-ME"/>
        </w:rPr>
        <w:t>e elektivne hirurške intervencije ugradnje vještačkog koljena ili kuka, to se može postići redovnim pregledima pacijenata, temeljnom kontrolom drenaže hirurške rane i povremenim m</w:t>
      </w:r>
      <w:r w:rsidR="00FC4ECD" w:rsidRPr="007D7545">
        <w:rPr>
          <w:color w:val="000000"/>
          <w:sz w:val="22"/>
          <w:szCs w:val="22"/>
          <w:lang w:val="sr-Latn-ME"/>
        </w:rPr>
        <w:t>j</w:t>
      </w:r>
      <w:r w:rsidRPr="007D7545">
        <w:rPr>
          <w:color w:val="000000"/>
          <w:sz w:val="22"/>
          <w:szCs w:val="22"/>
          <w:lang w:val="sr-Latn-ME"/>
        </w:rPr>
        <w:t>erenjem koncentracije hemoglobina.</w:t>
      </w:r>
    </w:p>
    <w:p w14:paraId="7921E535" w14:textId="77777777" w:rsidR="001E010E" w:rsidRPr="007D7545" w:rsidRDefault="001E010E" w:rsidP="005D101E">
      <w:pPr>
        <w:ind w:hanging="10"/>
        <w:jc w:val="both"/>
        <w:rPr>
          <w:color w:val="000000"/>
          <w:sz w:val="22"/>
          <w:szCs w:val="22"/>
          <w:lang w:val="sr-Latn-ME"/>
        </w:rPr>
      </w:pPr>
    </w:p>
    <w:p w14:paraId="246308AF" w14:textId="77777777" w:rsidR="001E010E" w:rsidRPr="007D7545" w:rsidRDefault="001E010E" w:rsidP="005D101E">
      <w:pPr>
        <w:ind w:hanging="10"/>
        <w:jc w:val="both"/>
        <w:rPr>
          <w:color w:val="000000"/>
          <w:sz w:val="22"/>
          <w:szCs w:val="22"/>
          <w:lang w:val="sr-Latn-ME"/>
        </w:rPr>
      </w:pPr>
      <w:r w:rsidRPr="007D7545">
        <w:rPr>
          <w:color w:val="000000"/>
          <w:sz w:val="22"/>
          <w:szCs w:val="22"/>
          <w:lang w:val="sr-Latn-ME"/>
        </w:rPr>
        <w:t>Pri svakom neobjašnjivom smanjenju koncentracije hemoglobina ili krvnog pritiska treba potražiti mjesto krvarenja.</w:t>
      </w:r>
    </w:p>
    <w:p w14:paraId="0650E0BE" w14:textId="7373E2FB" w:rsidR="001E010E" w:rsidRPr="007D7545" w:rsidRDefault="001E010E" w:rsidP="005D101E">
      <w:pPr>
        <w:ind w:hanging="10"/>
        <w:jc w:val="both"/>
        <w:rPr>
          <w:color w:val="000000"/>
          <w:sz w:val="22"/>
          <w:szCs w:val="22"/>
          <w:lang w:val="sr-Latn-ME"/>
        </w:rPr>
      </w:pPr>
      <w:r w:rsidRPr="007D7545">
        <w:rPr>
          <w:color w:val="000000"/>
          <w:sz w:val="22"/>
          <w:szCs w:val="22"/>
          <w:lang w:val="sr-Latn-ME"/>
        </w:rPr>
        <w:t>Iako terapija rivaroksabanom ne zahtijeva rutinsko kontrolisanje izloženosti lijeku, određivanje koncentracije rivaroksabana kalibrisanom kvantitativnom metodom za anti-faktor Xa može biti od koristi u izuzetnim situacijama gde poznavanje izloženosti rivaroksabanu može pomoći kao informacija u kliničkom odlučivanju, npr. kod predoziranja ili stanja koja zaht</w:t>
      </w:r>
      <w:r w:rsidR="00FC4ECD" w:rsidRPr="007D7545">
        <w:rPr>
          <w:color w:val="000000"/>
          <w:sz w:val="22"/>
          <w:szCs w:val="22"/>
          <w:lang w:val="sr-Latn-ME"/>
        </w:rPr>
        <w:t>ij</w:t>
      </w:r>
      <w:r w:rsidRPr="007D7545">
        <w:rPr>
          <w:color w:val="000000"/>
          <w:sz w:val="22"/>
          <w:szCs w:val="22"/>
          <w:lang w:val="sr-Latn-ME"/>
        </w:rPr>
        <w:t>evaju hitnu hiruršku intervenciju (</w:t>
      </w:r>
      <w:r w:rsidR="00955E5C" w:rsidRPr="007D7545">
        <w:rPr>
          <w:color w:val="000000"/>
          <w:sz w:val="22"/>
          <w:szCs w:val="22"/>
          <w:lang w:val="sr-Latn-ME"/>
        </w:rPr>
        <w:t>pogledati djelove</w:t>
      </w:r>
      <w:r w:rsidRPr="007D7545">
        <w:rPr>
          <w:color w:val="000000"/>
          <w:sz w:val="22"/>
          <w:szCs w:val="22"/>
          <w:lang w:val="sr-Latn-ME"/>
        </w:rPr>
        <w:t xml:space="preserve"> 5.1 i 5.2).</w:t>
      </w:r>
    </w:p>
    <w:p w14:paraId="41378C68" w14:textId="77777777" w:rsidR="00FC4ECD" w:rsidRPr="007D7545" w:rsidRDefault="00FC4ECD" w:rsidP="005D101E">
      <w:pPr>
        <w:ind w:hanging="10"/>
        <w:jc w:val="both"/>
        <w:rPr>
          <w:color w:val="000000"/>
          <w:sz w:val="22"/>
          <w:szCs w:val="22"/>
          <w:lang w:val="sr-Latn-ME"/>
        </w:rPr>
      </w:pPr>
    </w:p>
    <w:p w14:paraId="67CA9138" w14:textId="77777777" w:rsidR="001E010E" w:rsidRPr="007D7545" w:rsidRDefault="001E010E" w:rsidP="005D101E">
      <w:pPr>
        <w:keepNext/>
        <w:keepLines/>
        <w:ind w:hanging="14"/>
        <w:outlineLvl w:val="3"/>
        <w:rPr>
          <w:color w:val="000000"/>
          <w:sz w:val="22"/>
          <w:szCs w:val="22"/>
          <w:u w:val="single" w:color="000000"/>
          <w:lang w:val="sr-Latn-ME"/>
        </w:rPr>
      </w:pPr>
      <w:r w:rsidRPr="007D7545">
        <w:rPr>
          <w:color w:val="000000"/>
          <w:sz w:val="22"/>
          <w:szCs w:val="22"/>
          <w:u w:val="single" w:color="000000"/>
          <w:lang w:val="sr-Latn-ME"/>
        </w:rPr>
        <w:t>Oštećenje funkcije bubrega</w:t>
      </w:r>
    </w:p>
    <w:p w14:paraId="6131F406" w14:textId="3FD7B7B0" w:rsidR="001E010E" w:rsidRPr="007D7545" w:rsidRDefault="001E010E" w:rsidP="005D101E">
      <w:pPr>
        <w:ind w:hanging="14"/>
        <w:jc w:val="both"/>
        <w:rPr>
          <w:color w:val="000000"/>
          <w:sz w:val="22"/>
          <w:szCs w:val="22"/>
          <w:lang w:val="sr-Latn-ME"/>
        </w:rPr>
      </w:pPr>
      <w:r w:rsidRPr="007D7545">
        <w:rPr>
          <w:color w:val="000000"/>
          <w:sz w:val="22"/>
          <w:szCs w:val="22"/>
          <w:lang w:val="sr-Latn-ME"/>
        </w:rPr>
        <w:t xml:space="preserve">Kod pacijenata sa teško oštećenom funkcijom bubrega (klirens kreatinina &lt; 30 </w:t>
      </w:r>
      <w:r w:rsidR="00683FA1" w:rsidRPr="007D7545">
        <w:rPr>
          <w:color w:val="000000"/>
          <w:sz w:val="22"/>
          <w:szCs w:val="22"/>
          <w:lang w:val="sr-Latn-ME"/>
        </w:rPr>
        <w:t>ml</w:t>
      </w:r>
      <w:r w:rsidRPr="007D7545">
        <w:rPr>
          <w:color w:val="000000"/>
          <w:sz w:val="22"/>
          <w:szCs w:val="22"/>
          <w:lang w:val="sr-Latn-ME"/>
        </w:rPr>
        <w:t>/min) koncentracije rivaroksabana u plazmi mogu se značajno povećati (u pros</w:t>
      </w:r>
      <w:r w:rsidR="00FC4ECD" w:rsidRPr="007D7545">
        <w:rPr>
          <w:color w:val="000000"/>
          <w:sz w:val="22"/>
          <w:szCs w:val="22"/>
          <w:lang w:val="sr-Latn-ME"/>
        </w:rPr>
        <w:t>j</w:t>
      </w:r>
      <w:r w:rsidRPr="007D7545">
        <w:rPr>
          <w:color w:val="000000"/>
          <w:sz w:val="22"/>
          <w:szCs w:val="22"/>
          <w:lang w:val="sr-Latn-ME"/>
        </w:rPr>
        <w:t>eku 1,6 puta) što može dovesti do povećanog rizika od krvarenja. Rivaroksaban treba oprezno prim</w:t>
      </w:r>
      <w:r w:rsidR="00FC4ECD" w:rsidRPr="007D7545">
        <w:rPr>
          <w:color w:val="000000"/>
          <w:sz w:val="22"/>
          <w:szCs w:val="22"/>
          <w:lang w:val="sr-Latn-ME"/>
        </w:rPr>
        <w:t>j</w:t>
      </w:r>
      <w:r w:rsidRPr="007D7545">
        <w:rPr>
          <w:color w:val="000000"/>
          <w:sz w:val="22"/>
          <w:szCs w:val="22"/>
          <w:lang w:val="sr-Latn-ME"/>
        </w:rPr>
        <w:t xml:space="preserve">enjivati kod pacijenata sa klirensom kreatinina 15-29 </w:t>
      </w:r>
      <w:r w:rsidR="00683FA1" w:rsidRPr="007D7545">
        <w:rPr>
          <w:color w:val="000000"/>
          <w:sz w:val="22"/>
          <w:szCs w:val="22"/>
          <w:lang w:val="sr-Latn-ME"/>
        </w:rPr>
        <w:t>ml</w:t>
      </w:r>
      <w:r w:rsidRPr="007D7545">
        <w:rPr>
          <w:color w:val="000000"/>
          <w:sz w:val="22"/>
          <w:szCs w:val="22"/>
          <w:lang w:val="sr-Latn-ME"/>
        </w:rPr>
        <w:t xml:space="preserve">/min. Primjena ovog lijeka se ne preporučuje kod pacijenata sa klirensom kreatinina &lt; 15 </w:t>
      </w:r>
      <w:r w:rsidR="00683FA1" w:rsidRPr="007D7545">
        <w:rPr>
          <w:color w:val="000000"/>
          <w:sz w:val="22"/>
          <w:szCs w:val="22"/>
          <w:lang w:val="sr-Latn-ME"/>
        </w:rPr>
        <w:t>ml</w:t>
      </w:r>
      <w:r w:rsidRPr="007D7545">
        <w:rPr>
          <w:color w:val="000000"/>
          <w:sz w:val="22"/>
          <w:szCs w:val="22"/>
          <w:lang w:val="sr-Latn-ME"/>
        </w:rPr>
        <w:t>/min (</w:t>
      </w:r>
      <w:r w:rsidR="00955E5C" w:rsidRPr="007D7545">
        <w:rPr>
          <w:color w:val="000000"/>
          <w:sz w:val="22"/>
          <w:szCs w:val="22"/>
          <w:lang w:val="sr-Latn-ME"/>
        </w:rPr>
        <w:t>pogledati djelove</w:t>
      </w:r>
      <w:r w:rsidRPr="007D7545">
        <w:rPr>
          <w:color w:val="000000"/>
          <w:sz w:val="22"/>
          <w:szCs w:val="22"/>
          <w:lang w:val="sr-Latn-ME"/>
        </w:rPr>
        <w:t xml:space="preserve"> 4.2 i 5.2).</w:t>
      </w:r>
    </w:p>
    <w:p w14:paraId="625886BF" w14:textId="77777777" w:rsidR="00FC4ECD" w:rsidRPr="007D7545" w:rsidRDefault="00FC4ECD" w:rsidP="005D101E">
      <w:pPr>
        <w:ind w:hanging="14"/>
        <w:jc w:val="both"/>
        <w:rPr>
          <w:color w:val="000000"/>
          <w:sz w:val="22"/>
          <w:szCs w:val="22"/>
          <w:lang w:val="sr-Latn-ME"/>
        </w:rPr>
      </w:pPr>
    </w:p>
    <w:p w14:paraId="546B6C7C" w14:textId="486813D9" w:rsidR="001E010E" w:rsidRPr="007D7545" w:rsidRDefault="001E010E" w:rsidP="005D101E">
      <w:pPr>
        <w:ind w:hanging="10"/>
        <w:jc w:val="both"/>
        <w:rPr>
          <w:color w:val="000000"/>
          <w:sz w:val="22"/>
          <w:szCs w:val="22"/>
          <w:lang w:val="sr-Latn-ME"/>
        </w:rPr>
      </w:pPr>
      <w:r w:rsidRPr="007D7545">
        <w:rPr>
          <w:color w:val="000000"/>
          <w:sz w:val="22"/>
          <w:szCs w:val="22"/>
          <w:lang w:val="sr-Latn-ME"/>
        </w:rPr>
        <w:t>Rivaroksaban treba oprezno prim</w:t>
      </w:r>
      <w:r w:rsidR="00FC4ECD" w:rsidRPr="007D7545">
        <w:rPr>
          <w:color w:val="000000"/>
          <w:sz w:val="22"/>
          <w:szCs w:val="22"/>
          <w:lang w:val="sr-Latn-ME"/>
        </w:rPr>
        <w:t>j</w:t>
      </w:r>
      <w:r w:rsidRPr="007D7545">
        <w:rPr>
          <w:color w:val="000000"/>
          <w:sz w:val="22"/>
          <w:szCs w:val="22"/>
          <w:lang w:val="sr-Latn-ME"/>
        </w:rPr>
        <w:t>enjivati kod pacijenata sa um</w:t>
      </w:r>
      <w:r w:rsidR="00FC4ECD" w:rsidRPr="007D7545">
        <w:rPr>
          <w:color w:val="000000"/>
          <w:sz w:val="22"/>
          <w:szCs w:val="22"/>
          <w:lang w:val="sr-Latn-ME"/>
        </w:rPr>
        <w:t>j</w:t>
      </w:r>
      <w:r w:rsidRPr="007D7545">
        <w:rPr>
          <w:color w:val="000000"/>
          <w:sz w:val="22"/>
          <w:szCs w:val="22"/>
          <w:lang w:val="sr-Latn-ME"/>
        </w:rPr>
        <w:t xml:space="preserve">ereno oštećenom funkcijom bubrega (klirens kreatinina 30-49 </w:t>
      </w:r>
      <w:r w:rsidR="00683FA1" w:rsidRPr="007D7545">
        <w:rPr>
          <w:color w:val="000000"/>
          <w:sz w:val="22"/>
          <w:szCs w:val="22"/>
          <w:lang w:val="sr-Latn-ME"/>
        </w:rPr>
        <w:t>ml</w:t>
      </w:r>
      <w:r w:rsidRPr="007D7545">
        <w:rPr>
          <w:color w:val="000000"/>
          <w:sz w:val="22"/>
          <w:szCs w:val="22"/>
          <w:lang w:val="sr-Latn-ME"/>
        </w:rPr>
        <w:t>/min) ukoliko oni istovremeno primaju druge ljekove koji povećavaju koncentracije rivaroksabana u plazmi (</w:t>
      </w:r>
      <w:r w:rsidR="00955E5C" w:rsidRPr="007D7545">
        <w:rPr>
          <w:i/>
          <w:color w:val="000000"/>
          <w:sz w:val="22"/>
          <w:szCs w:val="22"/>
          <w:lang w:val="sr-Latn-ME"/>
        </w:rPr>
        <w:t>pogledati dio</w:t>
      </w:r>
      <w:r w:rsidRPr="007D7545">
        <w:rPr>
          <w:i/>
          <w:color w:val="000000"/>
          <w:sz w:val="22"/>
          <w:szCs w:val="22"/>
          <w:lang w:val="sr-Latn-ME"/>
        </w:rPr>
        <w:t xml:space="preserve"> 4.5</w:t>
      </w:r>
      <w:r w:rsidRPr="007D7545">
        <w:rPr>
          <w:color w:val="000000"/>
          <w:sz w:val="22"/>
          <w:szCs w:val="22"/>
          <w:lang w:val="sr-Latn-ME"/>
        </w:rPr>
        <w:t>).</w:t>
      </w:r>
    </w:p>
    <w:p w14:paraId="721B7706" w14:textId="77777777" w:rsidR="00FC4ECD" w:rsidRPr="007D7545" w:rsidRDefault="00FC4ECD" w:rsidP="005D101E">
      <w:pPr>
        <w:ind w:hanging="10"/>
        <w:jc w:val="both"/>
        <w:rPr>
          <w:color w:val="000000"/>
          <w:sz w:val="22"/>
          <w:szCs w:val="22"/>
          <w:lang w:val="sr-Latn-ME"/>
        </w:rPr>
      </w:pPr>
    </w:p>
    <w:p w14:paraId="382DB6E0" w14:textId="77777777" w:rsidR="001E010E" w:rsidRPr="007D7545" w:rsidRDefault="001E010E" w:rsidP="005D101E">
      <w:pPr>
        <w:keepNext/>
        <w:keepLines/>
        <w:ind w:hanging="14"/>
        <w:outlineLvl w:val="3"/>
        <w:rPr>
          <w:color w:val="000000"/>
          <w:sz w:val="22"/>
          <w:szCs w:val="22"/>
          <w:u w:val="single"/>
          <w:lang w:val="sr-Latn-ME"/>
        </w:rPr>
      </w:pPr>
      <w:r w:rsidRPr="007D7545">
        <w:rPr>
          <w:color w:val="000000"/>
          <w:sz w:val="22"/>
          <w:szCs w:val="22"/>
          <w:u w:val="single"/>
          <w:lang w:val="sr-Latn-ME"/>
        </w:rPr>
        <w:t>Interakcija sa drugim ljekovima</w:t>
      </w:r>
    </w:p>
    <w:p w14:paraId="4CCD8372" w14:textId="00B07759" w:rsidR="001E010E" w:rsidRPr="007D7545" w:rsidRDefault="001E010E" w:rsidP="005D101E">
      <w:pPr>
        <w:ind w:hanging="14"/>
        <w:jc w:val="both"/>
        <w:rPr>
          <w:color w:val="000000"/>
          <w:sz w:val="22"/>
          <w:szCs w:val="22"/>
          <w:lang w:val="sr-Latn-ME"/>
        </w:rPr>
      </w:pPr>
      <w:r w:rsidRPr="007D7545">
        <w:rPr>
          <w:color w:val="000000"/>
          <w:sz w:val="22"/>
          <w:szCs w:val="22"/>
          <w:lang w:val="sr-Latn-ME"/>
        </w:rPr>
        <w:t>Primjena rivaroksabana se ne preporučuje kod pacijenata koji istovremeno primaju azolne antimikotike za sistemsku primjenu (poput ketokonazola, itrakonazola, vorikonazola i posakonazola) ili inhibitore HIV proteaze (npr. ritonavir). Ove aktivne supstance snažno inhibiraju i CYP3A4 i P-gp, te stoga mogu klinički značajno povećati koncentracije rivaroksabana u plazmi (u pros</w:t>
      </w:r>
      <w:r w:rsidR="00FC4ECD" w:rsidRPr="007D7545">
        <w:rPr>
          <w:color w:val="000000"/>
          <w:sz w:val="22"/>
          <w:szCs w:val="22"/>
          <w:lang w:val="sr-Latn-ME"/>
        </w:rPr>
        <w:t>j</w:t>
      </w:r>
      <w:r w:rsidRPr="007D7545">
        <w:rPr>
          <w:color w:val="000000"/>
          <w:sz w:val="22"/>
          <w:szCs w:val="22"/>
          <w:lang w:val="sr-Latn-ME"/>
        </w:rPr>
        <w:t>eku 2,6 puta) što može dovesti do povećanog rizika od krvarenja (</w:t>
      </w:r>
      <w:r w:rsidR="00955E5C" w:rsidRPr="007D7545">
        <w:rPr>
          <w:color w:val="000000"/>
          <w:sz w:val="22"/>
          <w:szCs w:val="22"/>
          <w:lang w:val="sr-Latn-ME"/>
        </w:rPr>
        <w:t>pogledati dio</w:t>
      </w:r>
      <w:r w:rsidRPr="007D7545">
        <w:rPr>
          <w:color w:val="000000"/>
          <w:sz w:val="22"/>
          <w:szCs w:val="22"/>
          <w:lang w:val="sr-Latn-ME"/>
        </w:rPr>
        <w:t xml:space="preserve"> 4.5).</w:t>
      </w:r>
    </w:p>
    <w:p w14:paraId="0CDF537F" w14:textId="77777777" w:rsidR="00FC4ECD" w:rsidRPr="007D7545" w:rsidRDefault="00FC4ECD" w:rsidP="005D101E">
      <w:pPr>
        <w:ind w:hanging="14"/>
        <w:jc w:val="both"/>
        <w:rPr>
          <w:color w:val="000000"/>
          <w:sz w:val="22"/>
          <w:szCs w:val="22"/>
          <w:lang w:val="sr-Latn-ME"/>
        </w:rPr>
      </w:pPr>
    </w:p>
    <w:p w14:paraId="03387E9D" w14:textId="2CE47819" w:rsidR="001E010E" w:rsidRPr="007D7545" w:rsidRDefault="001E010E" w:rsidP="005D101E">
      <w:pPr>
        <w:ind w:hanging="10"/>
        <w:jc w:val="both"/>
        <w:rPr>
          <w:color w:val="000000"/>
          <w:sz w:val="22"/>
          <w:szCs w:val="22"/>
          <w:lang w:val="sr-Latn-ME"/>
        </w:rPr>
      </w:pPr>
      <w:r w:rsidRPr="007D7545">
        <w:rPr>
          <w:color w:val="000000"/>
          <w:sz w:val="22"/>
          <w:szCs w:val="22"/>
          <w:lang w:val="sr-Latn-ME"/>
        </w:rPr>
        <w:t>Neophodan je oprez ukoliko su pacijenti istovremeno na terapiji ljekovima koji utiču na hemostazu, poput nesteroidnih antiinflamatornih ljekova (NSAIL), acetilsalicilne kiseline (ASK) i inhibitora agregacije trombocita ili selektivnih inhibitora ponovnog preuzimanja serotonina (SSRI) i inhibitora ponovnog preuzimanja serotonina i noradrenalina (SNRI). Kod pacijenata sa rizikom od pojave gastrointestinalnih ulceracija može se razmotriti primjena odgovarajuće profilaktičke terapije (</w:t>
      </w:r>
      <w:r w:rsidR="00955E5C" w:rsidRPr="007D7545">
        <w:rPr>
          <w:i/>
          <w:color w:val="000000"/>
          <w:sz w:val="22"/>
          <w:szCs w:val="22"/>
          <w:lang w:val="sr-Latn-ME"/>
        </w:rPr>
        <w:t>pogledati dio</w:t>
      </w:r>
      <w:r w:rsidRPr="007D7545">
        <w:rPr>
          <w:i/>
          <w:color w:val="000000"/>
          <w:sz w:val="22"/>
          <w:szCs w:val="22"/>
          <w:lang w:val="sr-Latn-ME"/>
        </w:rPr>
        <w:t xml:space="preserve"> 4.5</w:t>
      </w:r>
      <w:r w:rsidRPr="007D7545">
        <w:rPr>
          <w:color w:val="000000"/>
          <w:sz w:val="22"/>
          <w:szCs w:val="22"/>
          <w:lang w:val="sr-Latn-ME"/>
        </w:rPr>
        <w:t xml:space="preserve">). </w:t>
      </w:r>
    </w:p>
    <w:p w14:paraId="53E0278E" w14:textId="77777777" w:rsidR="00FC4ECD" w:rsidRPr="007D7545" w:rsidRDefault="00FC4ECD" w:rsidP="005D101E">
      <w:pPr>
        <w:ind w:hanging="10"/>
        <w:jc w:val="both"/>
        <w:rPr>
          <w:color w:val="000000"/>
          <w:sz w:val="22"/>
          <w:szCs w:val="22"/>
          <w:lang w:val="sr-Latn-ME"/>
        </w:rPr>
      </w:pPr>
    </w:p>
    <w:p w14:paraId="295E0A7A" w14:textId="77777777" w:rsidR="001E010E" w:rsidRPr="007D7545" w:rsidRDefault="001E010E" w:rsidP="005D101E">
      <w:pPr>
        <w:keepNext/>
        <w:keepLines/>
        <w:ind w:hanging="10"/>
        <w:outlineLvl w:val="3"/>
        <w:rPr>
          <w:color w:val="000000"/>
          <w:sz w:val="22"/>
          <w:szCs w:val="22"/>
          <w:u w:val="single" w:color="000000"/>
          <w:lang w:val="sr-Latn-ME"/>
        </w:rPr>
      </w:pPr>
      <w:r w:rsidRPr="007D7545">
        <w:rPr>
          <w:color w:val="000000"/>
          <w:sz w:val="22"/>
          <w:szCs w:val="22"/>
          <w:u w:val="single" w:color="000000"/>
          <w:lang w:val="sr-Latn-ME"/>
        </w:rPr>
        <w:t>Ostali faktori rizika za pojavu hemoragije</w:t>
      </w:r>
    </w:p>
    <w:p w14:paraId="17C4C211" w14:textId="77777777" w:rsidR="001E010E" w:rsidRPr="007D7545" w:rsidRDefault="001E010E" w:rsidP="005D101E">
      <w:pPr>
        <w:ind w:hanging="10"/>
        <w:jc w:val="both"/>
        <w:rPr>
          <w:color w:val="000000"/>
          <w:sz w:val="22"/>
          <w:szCs w:val="22"/>
          <w:lang w:val="sr-Latn-ME"/>
        </w:rPr>
      </w:pPr>
      <w:r w:rsidRPr="007D7545">
        <w:rPr>
          <w:color w:val="000000"/>
          <w:sz w:val="22"/>
          <w:szCs w:val="22"/>
          <w:lang w:val="sr-Latn-ME"/>
        </w:rPr>
        <w:t>Kao i drugi antikoagulansi, rivaroksaban se ne preporučuje pacijentima koji imaju povećan rizik od krvarenja kao što su:</w:t>
      </w:r>
    </w:p>
    <w:p w14:paraId="7255C530" w14:textId="77777777" w:rsidR="001E010E" w:rsidRPr="007D7545" w:rsidRDefault="001E010E" w:rsidP="005D101E">
      <w:pPr>
        <w:numPr>
          <w:ilvl w:val="0"/>
          <w:numId w:val="15"/>
        </w:numPr>
        <w:ind w:hanging="566"/>
        <w:jc w:val="both"/>
        <w:rPr>
          <w:color w:val="000000"/>
          <w:sz w:val="22"/>
          <w:szCs w:val="22"/>
          <w:lang w:val="sr-Latn-ME"/>
        </w:rPr>
      </w:pPr>
      <w:r w:rsidRPr="007D7545">
        <w:rPr>
          <w:color w:val="000000"/>
          <w:sz w:val="22"/>
          <w:szCs w:val="22"/>
          <w:lang w:val="sr-Latn-ME"/>
        </w:rPr>
        <w:t>kongenitalni ili stečeni poremećaji krvarenja;</w:t>
      </w:r>
    </w:p>
    <w:p w14:paraId="5F7AB96C" w14:textId="77777777" w:rsidR="001E010E" w:rsidRPr="007D7545" w:rsidRDefault="001E010E" w:rsidP="005D101E">
      <w:pPr>
        <w:numPr>
          <w:ilvl w:val="0"/>
          <w:numId w:val="15"/>
        </w:numPr>
        <w:ind w:hanging="566"/>
        <w:jc w:val="both"/>
        <w:rPr>
          <w:color w:val="000000"/>
          <w:sz w:val="22"/>
          <w:szCs w:val="22"/>
          <w:lang w:val="sr-Latn-ME"/>
        </w:rPr>
      </w:pPr>
      <w:r w:rsidRPr="007D7545">
        <w:rPr>
          <w:color w:val="000000"/>
          <w:sz w:val="22"/>
          <w:szCs w:val="22"/>
          <w:lang w:val="sr-Latn-ME"/>
        </w:rPr>
        <w:t>teška nekontrolisana arterijska hipertenzija;</w:t>
      </w:r>
    </w:p>
    <w:p w14:paraId="02284F29" w14:textId="77777777" w:rsidR="001E010E" w:rsidRPr="007D7545" w:rsidRDefault="001E010E" w:rsidP="005D101E">
      <w:pPr>
        <w:numPr>
          <w:ilvl w:val="0"/>
          <w:numId w:val="15"/>
        </w:numPr>
        <w:ind w:hanging="566"/>
        <w:jc w:val="both"/>
        <w:rPr>
          <w:color w:val="000000"/>
          <w:sz w:val="22"/>
          <w:szCs w:val="22"/>
          <w:lang w:val="sr-Latn-ME"/>
        </w:rPr>
      </w:pPr>
      <w:r w:rsidRPr="007D7545">
        <w:rPr>
          <w:color w:val="000000"/>
          <w:sz w:val="22"/>
          <w:szCs w:val="22"/>
          <w:lang w:val="sr-Latn-ME"/>
        </w:rPr>
        <w:t>druge gastrointestinalne bolesti bez aktivne ulceracije koje potencijalno mogu da dovedu do komplikacija krvarenja (npr. zapaljenska bolest crijeva, ezofagitis, gastritis i gastroezofagealna refluksna bolest);</w:t>
      </w:r>
    </w:p>
    <w:p w14:paraId="5F719316" w14:textId="77777777" w:rsidR="001E010E" w:rsidRPr="007D7545" w:rsidRDefault="001E010E" w:rsidP="005D101E">
      <w:pPr>
        <w:numPr>
          <w:ilvl w:val="0"/>
          <w:numId w:val="15"/>
        </w:numPr>
        <w:ind w:hanging="566"/>
        <w:jc w:val="both"/>
        <w:rPr>
          <w:color w:val="000000"/>
          <w:sz w:val="22"/>
          <w:szCs w:val="22"/>
          <w:lang w:val="sr-Latn-ME"/>
        </w:rPr>
      </w:pPr>
      <w:r w:rsidRPr="007D7545">
        <w:rPr>
          <w:color w:val="000000"/>
          <w:sz w:val="22"/>
          <w:szCs w:val="22"/>
          <w:lang w:val="sr-Latn-ME"/>
        </w:rPr>
        <w:t>vaskularna retinopatija;</w:t>
      </w:r>
    </w:p>
    <w:p w14:paraId="23249FDE" w14:textId="67EA6196" w:rsidR="001E010E" w:rsidRPr="007D7545" w:rsidRDefault="001E010E" w:rsidP="005D101E">
      <w:pPr>
        <w:numPr>
          <w:ilvl w:val="0"/>
          <w:numId w:val="15"/>
        </w:numPr>
        <w:ind w:hanging="566"/>
        <w:jc w:val="both"/>
        <w:rPr>
          <w:color w:val="000000"/>
          <w:sz w:val="22"/>
          <w:szCs w:val="22"/>
          <w:lang w:val="sr-Latn-ME"/>
        </w:rPr>
      </w:pPr>
      <w:r w:rsidRPr="007D7545">
        <w:rPr>
          <w:color w:val="000000"/>
          <w:sz w:val="22"/>
          <w:szCs w:val="22"/>
          <w:lang w:val="sr-Latn-ME"/>
        </w:rPr>
        <w:lastRenderedPageBreak/>
        <w:t>bronhiektazije ili pulmonalno krvarenje u anamnezi.</w:t>
      </w:r>
    </w:p>
    <w:p w14:paraId="25AEAE2E" w14:textId="77777777" w:rsidR="00FC4ECD" w:rsidRPr="007D7545" w:rsidRDefault="00FC4ECD" w:rsidP="005D101E">
      <w:pPr>
        <w:jc w:val="both"/>
        <w:rPr>
          <w:color w:val="000000"/>
          <w:sz w:val="22"/>
          <w:szCs w:val="22"/>
          <w:lang w:val="sr-Latn-ME"/>
        </w:rPr>
      </w:pPr>
    </w:p>
    <w:p w14:paraId="5150A241" w14:textId="77777777" w:rsidR="00B2013E" w:rsidRPr="007D7545" w:rsidRDefault="00B2013E" w:rsidP="005D101E">
      <w:pPr>
        <w:tabs>
          <w:tab w:val="left" w:pos="540"/>
          <w:tab w:val="left" w:pos="569"/>
        </w:tabs>
        <w:jc w:val="both"/>
        <w:rPr>
          <w:bCs/>
          <w:sz w:val="22"/>
          <w:szCs w:val="22"/>
          <w:u w:val="single"/>
          <w:lang w:val="sr-Latn-ME"/>
        </w:rPr>
      </w:pPr>
      <w:r w:rsidRPr="007D7545">
        <w:rPr>
          <w:bCs/>
          <w:sz w:val="22"/>
          <w:szCs w:val="22"/>
          <w:u w:val="single"/>
          <w:lang w:val="sr-Latn-ME"/>
        </w:rPr>
        <w:t>Pacijenti sa kancerom</w:t>
      </w:r>
    </w:p>
    <w:p w14:paraId="1D6D6B89" w14:textId="5248474F" w:rsidR="00B2013E" w:rsidRPr="007D7545" w:rsidRDefault="00B2013E" w:rsidP="005D101E">
      <w:pPr>
        <w:tabs>
          <w:tab w:val="left" w:pos="540"/>
          <w:tab w:val="left" w:pos="569"/>
        </w:tabs>
        <w:jc w:val="both"/>
        <w:rPr>
          <w:bCs/>
          <w:sz w:val="22"/>
          <w:szCs w:val="22"/>
          <w:lang w:val="sr-Latn-ME"/>
        </w:rPr>
      </w:pPr>
      <w:r w:rsidRPr="007D7545">
        <w:rPr>
          <w:bCs/>
          <w:sz w:val="22"/>
          <w:szCs w:val="22"/>
          <w:lang w:val="sr-Latn-ME"/>
        </w:rPr>
        <w:t>Pacijenti koji boluju od malignih bolesti mogu istovremeno imati povećan rizik od krvarenja i tromboze. Korist antitrombotičke terapije treba individualno proc</w:t>
      </w:r>
      <w:r w:rsidR="003D53ED" w:rsidRPr="007D7545">
        <w:rPr>
          <w:bCs/>
          <w:sz w:val="22"/>
          <w:szCs w:val="22"/>
          <w:lang w:val="sr-Latn-ME"/>
        </w:rPr>
        <w:t>ij</w:t>
      </w:r>
      <w:r w:rsidRPr="007D7545">
        <w:rPr>
          <w:bCs/>
          <w:sz w:val="22"/>
          <w:szCs w:val="22"/>
          <w:lang w:val="sr-Latn-ME"/>
        </w:rPr>
        <w:t>eniti u odnosu na rizik od krvarenja kod pacijenata sa aktivnim kancerom u zavisnosti od lokacije tumora, antineoplastične terapije i stanja bolesti. Tumori koji su lokalizovani u gastrointestinalnom ili urogenitalnom traktu su bili povezani sa povećanim rizikom od krvarenja tokom terapije rivaroksabanom.</w:t>
      </w:r>
    </w:p>
    <w:p w14:paraId="09C32B08" w14:textId="4173A7E2" w:rsidR="00B2013E" w:rsidRPr="007D7545" w:rsidRDefault="00B2013E" w:rsidP="005D101E">
      <w:pPr>
        <w:tabs>
          <w:tab w:val="left" w:pos="540"/>
          <w:tab w:val="left" w:pos="569"/>
        </w:tabs>
        <w:jc w:val="both"/>
        <w:rPr>
          <w:bCs/>
          <w:sz w:val="22"/>
          <w:szCs w:val="22"/>
          <w:lang w:val="sr-Latn-ME"/>
        </w:rPr>
      </w:pPr>
      <w:r w:rsidRPr="007D7545">
        <w:rPr>
          <w:bCs/>
          <w:sz w:val="22"/>
          <w:szCs w:val="22"/>
          <w:lang w:val="sr-Latn-ME"/>
        </w:rPr>
        <w:t>Kod pacijenata sa malignim neoplazmama sa visokim rizikom od krvarenja, upotreba rivaroksabana je kontraindikovana (</w:t>
      </w:r>
      <w:r w:rsidR="00955E5C" w:rsidRPr="007D7545">
        <w:rPr>
          <w:bCs/>
          <w:iCs/>
          <w:sz w:val="22"/>
          <w:szCs w:val="22"/>
          <w:lang w:val="sr-Latn-ME"/>
        </w:rPr>
        <w:t>pogledati dio</w:t>
      </w:r>
      <w:r w:rsidRPr="007D7545">
        <w:rPr>
          <w:bCs/>
          <w:iCs/>
          <w:sz w:val="22"/>
          <w:szCs w:val="22"/>
          <w:lang w:val="sr-Latn-ME"/>
        </w:rPr>
        <w:t xml:space="preserve"> 4.3</w:t>
      </w:r>
      <w:r w:rsidRPr="007D7545">
        <w:rPr>
          <w:bCs/>
          <w:sz w:val="22"/>
          <w:szCs w:val="22"/>
          <w:lang w:val="sr-Latn-ME"/>
        </w:rPr>
        <w:t xml:space="preserve">). </w:t>
      </w:r>
    </w:p>
    <w:p w14:paraId="65103D6D" w14:textId="77777777" w:rsidR="00B2013E" w:rsidRPr="007D7545" w:rsidRDefault="00B2013E" w:rsidP="005D101E">
      <w:pPr>
        <w:jc w:val="both"/>
        <w:rPr>
          <w:color w:val="000000"/>
          <w:sz w:val="22"/>
          <w:szCs w:val="22"/>
          <w:u w:val="single"/>
          <w:lang w:val="sr-Latn-ME"/>
        </w:rPr>
      </w:pPr>
    </w:p>
    <w:p w14:paraId="4F15CF34" w14:textId="1544A178" w:rsidR="001E010E" w:rsidRPr="007D7545" w:rsidRDefault="001E010E" w:rsidP="005D101E">
      <w:pPr>
        <w:jc w:val="both"/>
        <w:rPr>
          <w:color w:val="000000"/>
          <w:sz w:val="22"/>
          <w:szCs w:val="22"/>
          <w:u w:val="single"/>
          <w:lang w:val="sr-Latn-ME"/>
        </w:rPr>
      </w:pPr>
      <w:r w:rsidRPr="007D7545">
        <w:rPr>
          <w:color w:val="000000"/>
          <w:sz w:val="22"/>
          <w:szCs w:val="22"/>
          <w:u w:val="single"/>
          <w:lang w:val="sr-Latn-ME"/>
        </w:rPr>
        <w:t>Pacijenti sa v</w:t>
      </w:r>
      <w:r w:rsidR="00955E5C" w:rsidRPr="007D7545">
        <w:rPr>
          <w:color w:val="000000"/>
          <w:sz w:val="22"/>
          <w:szCs w:val="22"/>
          <w:u w:val="single"/>
          <w:lang w:val="sr-Latn-ME"/>
        </w:rPr>
        <w:t>j</w:t>
      </w:r>
      <w:r w:rsidRPr="007D7545">
        <w:rPr>
          <w:color w:val="000000"/>
          <w:sz w:val="22"/>
          <w:szCs w:val="22"/>
          <w:u w:val="single"/>
          <w:lang w:val="sr-Latn-ME"/>
        </w:rPr>
        <w:t>eštačkim srčanim zaliscima</w:t>
      </w:r>
    </w:p>
    <w:p w14:paraId="12BAE9A4" w14:textId="64A07EDC" w:rsidR="001E010E" w:rsidRPr="007D7545" w:rsidRDefault="001E010E" w:rsidP="005D101E">
      <w:pPr>
        <w:jc w:val="both"/>
        <w:rPr>
          <w:color w:val="000000"/>
          <w:sz w:val="22"/>
          <w:szCs w:val="22"/>
          <w:lang w:val="sr-Latn-ME"/>
        </w:rPr>
      </w:pPr>
      <w:r w:rsidRPr="007D7545">
        <w:rPr>
          <w:color w:val="000000"/>
          <w:sz w:val="22"/>
          <w:szCs w:val="22"/>
          <w:lang w:val="sr-Latn-ME"/>
        </w:rPr>
        <w:t>Rivaroksaban se ne sm</w:t>
      </w:r>
      <w:r w:rsidR="003D53ED" w:rsidRPr="007D7545">
        <w:rPr>
          <w:color w:val="000000"/>
          <w:sz w:val="22"/>
          <w:szCs w:val="22"/>
          <w:lang w:val="sr-Latn-ME"/>
        </w:rPr>
        <w:t>ij</w:t>
      </w:r>
      <w:r w:rsidRPr="007D7545">
        <w:rPr>
          <w:color w:val="000000"/>
          <w:sz w:val="22"/>
          <w:szCs w:val="22"/>
          <w:lang w:val="sr-Latn-ME"/>
        </w:rPr>
        <w:t>e primjenjivati za tromboprofilaksu kod pacijenata koji su nedavno podvrgnuti transkateterskoj zam</w:t>
      </w:r>
      <w:r w:rsidR="003D53ED" w:rsidRPr="007D7545">
        <w:rPr>
          <w:color w:val="000000"/>
          <w:sz w:val="22"/>
          <w:szCs w:val="22"/>
          <w:lang w:val="sr-Latn-ME"/>
        </w:rPr>
        <w:t>j</w:t>
      </w:r>
      <w:r w:rsidRPr="007D7545">
        <w:rPr>
          <w:color w:val="000000"/>
          <w:sz w:val="22"/>
          <w:szCs w:val="22"/>
          <w:lang w:val="sr-Latn-ME"/>
        </w:rPr>
        <w:t xml:space="preserve">eni aortnog zaliska (engl. </w:t>
      </w:r>
      <w:r w:rsidRPr="007D7545">
        <w:rPr>
          <w:i/>
          <w:color w:val="000000"/>
          <w:sz w:val="22"/>
          <w:szCs w:val="22"/>
          <w:lang w:val="sr-Latn-ME"/>
        </w:rPr>
        <w:t>transcatheter aortic valve replacement</w:t>
      </w:r>
      <w:r w:rsidRPr="007D7545">
        <w:rPr>
          <w:color w:val="000000"/>
          <w:sz w:val="22"/>
          <w:szCs w:val="22"/>
          <w:lang w:val="sr-Latn-ME"/>
        </w:rPr>
        <w:t>, TAVR). Bezbjednost i efikasnost rivaroksabana nije ispitivana kod pacijenata sa v</w:t>
      </w:r>
      <w:r w:rsidR="00955E5C" w:rsidRPr="007D7545">
        <w:rPr>
          <w:color w:val="000000"/>
          <w:sz w:val="22"/>
          <w:szCs w:val="22"/>
          <w:lang w:val="sr-Latn-ME"/>
        </w:rPr>
        <w:t>j</w:t>
      </w:r>
      <w:r w:rsidRPr="007D7545">
        <w:rPr>
          <w:color w:val="000000"/>
          <w:sz w:val="22"/>
          <w:szCs w:val="22"/>
          <w:lang w:val="sr-Latn-ME"/>
        </w:rPr>
        <w:t>eštačkim srčanim zaliscima; stoga nema podataka koji bi potvrdili da rivaroksaban obezb</w:t>
      </w:r>
      <w:r w:rsidR="00955E5C" w:rsidRPr="007D7545">
        <w:rPr>
          <w:color w:val="000000"/>
          <w:sz w:val="22"/>
          <w:szCs w:val="22"/>
          <w:lang w:val="sr-Latn-ME"/>
        </w:rPr>
        <w:t>j</w:t>
      </w:r>
      <w:r w:rsidRPr="007D7545">
        <w:rPr>
          <w:color w:val="000000"/>
          <w:sz w:val="22"/>
          <w:szCs w:val="22"/>
          <w:lang w:val="sr-Latn-ME"/>
        </w:rPr>
        <w:t xml:space="preserve">eđuje adekvatnu antikoagulaciju u ovoj populaciji pacijenata. Terapija lijekom </w:t>
      </w:r>
      <w:r w:rsidR="00007C5F" w:rsidRPr="007D7545">
        <w:rPr>
          <w:color w:val="000000"/>
          <w:sz w:val="22"/>
          <w:szCs w:val="22"/>
          <w:lang w:val="sr-Latn-ME"/>
        </w:rPr>
        <w:t>Trombocen</w:t>
      </w:r>
      <w:r w:rsidRPr="007D7545">
        <w:rPr>
          <w:color w:val="000000"/>
          <w:sz w:val="22"/>
          <w:szCs w:val="22"/>
          <w:lang w:val="sr-Latn-ME"/>
        </w:rPr>
        <w:t xml:space="preserve"> se ne preporučuje kod ovih pacijenata.</w:t>
      </w:r>
    </w:p>
    <w:p w14:paraId="27A1F3B3" w14:textId="77777777" w:rsidR="001E010E" w:rsidRPr="007D7545" w:rsidRDefault="001E010E" w:rsidP="005D101E">
      <w:pPr>
        <w:ind w:hanging="14"/>
        <w:jc w:val="both"/>
        <w:rPr>
          <w:color w:val="000000"/>
          <w:sz w:val="22"/>
          <w:szCs w:val="22"/>
          <w:u w:val="single"/>
          <w:lang w:val="sr-Latn-ME"/>
        </w:rPr>
      </w:pPr>
    </w:p>
    <w:p w14:paraId="0B0ED992" w14:textId="77777777" w:rsidR="001E010E" w:rsidRPr="007D7545" w:rsidRDefault="001E010E" w:rsidP="005D101E">
      <w:pPr>
        <w:ind w:hanging="14"/>
        <w:jc w:val="both"/>
        <w:rPr>
          <w:color w:val="000000"/>
          <w:sz w:val="22"/>
          <w:szCs w:val="22"/>
          <w:u w:val="single"/>
          <w:lang w:val="sr-Latn-ME"/>
        </w:rPr>
      </w:pPr>
      <w:r w:rsidRPr="007D7545">
        <w:rPr>
          <w:color w:val="000000"/>
          <w:sz w:val="22"/>
          <w:szCs w:val="22"/>
          <w:u w:val="single"/>
          <w:lang w:val="sr-Latn-ME"/>
        </w:rPr>
        <w:t>Pacijenti sa antifosfolipidnim sindromom</w:t>
      </w:r>
    </w:p>
    <w:p w14:paraId="53BD6AB6" w14:textId="4FFE1950"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Oralni antikoagulansi sa direktnim dejstvom (eng. </w:t>
      </w:r>
      <w:r w:rsidRPr="007D7545">
        <w:rPr>
          <w:i/>
          <w:color w:val="000000"/>
          <w:sz w:val="22"/>
          <w:szCs w:val="22"/>
          <w:lang w:val="sr-Latn-ME"/>
        </w:rPr>
        <w:t>Direct acting oral anticoagulants</w:t>
      </w:r>
      <w:r w:rsidRPr="007D7545">
        <w:rPr>
          <w:color w:val="000000"/>
          <w:sz w:val="22"/>
          <w:szCs w:val="22"/>
          <w:lang w:val="sr-Latn-ME"/>
        </w:rPr>
        <w:t>, DOAC), uključujući rivaroksaban, ne preporučuju se pacijentima koji imaju u anamnezi trombozu i kojima je dijagnostikovan antifosfolipidni sindrom. Naročito za pacijente koji su trostruko pozitivni (za lupus antikoagulans, antikardiolipinska antit</w:t>
      </w:r>
      <w:r w:rsidR="003D53ED" w:rsidRPr="007D7545">
        <w:rPr>
          <w:color w:val="000000"/>
          <w:sz w:val="22"/>
          <w:szCs w:val="22"/>
          <w:lang w:val="sr-Latn-ME"/>
        </w:rPr>
        <w:t>ij</w:t>
      </w:r>
      <w:r w:rsidRPr="007D7545">
        <w:rPr>
          <w:color w:val="000000"/>
          <w:sz w:val="22"/>
          <w:szCs w:val="22"/>
          <w:lang w:val="sr-Latn-ME"/>
        </w:rPr>
        <w:t>ela i anti-beta 2-glikoprotein I antit</w:t>
      </w:r>
      <w:r w:rsidR="003D53ED" w:rsidRPr="007D7545">
        <w:rPr>
          <w:color w:val="000000"/>
          <w:sz w:val="22"/>
          <w:szCs w:val="22"/>
          <w:lang w:val="sr-Latn-ME"/>
        </w:rPr>
        <w:t>ij</w:t>
      </w:r>
      <w:r w:rsidRPr="007D7545">
        <w:rPr>
          <w:color w:val="000000"/>
          <w:sz w:val="22"/>
          <w:szCs w:val="22"/>
          <w:lang w:val="sr-Latn-ME"/>
        </w:rPr>
        <w:t>ela), l</w:t>
      </w:r>
      <w:r w:rsidR="003D53ED" w:rsidRPr="007D7545">
        <w:rPr>
          <w:color w:val="000000"/>
          <w:sz w:val="22"/>
          <w:szCs w:val="22"/>
          <w:lang w:val="sr-Latn-ME"/>
        </w:rPr>
        <w:t>ij</w:t>
      </w:r>
      <w:r w:rsidRPr="007D7545">
        <w:rPr>
          <w:color w:val="000000"/>
          <w:sz w:val="22"/>
          <w:szCs w:val="22"/>
          <w:lang w:val="sr-Latn-ME"/>
        </w:rPr>
        <w:t>ečenje DOAC-om može biti povezano sa povećanom stopom ponavljajućih trombotskih događaja u poređenju sa terapijom antagonistima vitamina K.</w:t>
      </w:r>
    </w:p>
    <w:p w14:paraId="2EB51032" w14:textId="77777777" w:rsidR="00FC4ECD" w:rsidRPr="007D7545" w:rsidRDefault="00FC4ECD" w:rsidP="005D101E">
      <w:pPr>
        <w:ind w:hanging="10"/>
        <w:jc w:val="both"/>
        <w:rPr>
          <w:color w:val="000000"/>
          <w:sz w:val="22"/>
          <w:szCs w:val="22"/>
          <w:lang w:val="sr-Latn-ME"/>
        </w:rPr>
      </w:pPr>
    </w:p>
    <w:p w14:paraId="24B3BC8F" w14:textId="77777777" w:rsidR="001E010E" w:rsidRPr="007D7545" w:rsidRDefault="001E010E" w:rsidP="005D101E">
      <w:pPr>
        <w:keepNext/>
        <w:keepLines/>
        <w:ind w:hanging="10"/>
        <w:outlineLvl w:val="1"/>
        <w:rPr>
          <w:color w:val="000000"/>
          <w:sz w:val="22"/>
          <w:szCs w:val="22"/>
          <w:u w:val="single" w:color="000000"/>
          <w:lang w:val="sr-Latn-ME"/>
        </w:rPr>
      </w:pPr>
      <w:r w:rsidRPr="007D7545">
        <w:rPr>
          <w:color w:val="000000"/>
          <w:sz w:val="22"/>
          <w:szCs w:val="22"/>
          <w:u w:val="single" w:color="000000"/>
          <w:lang w:val="sr-Latn-ME"/>
        </w:rPr>
        <w:t>Hirurška intervencija kod preloma kuka</w:t>
      </w:r>
    </w:p>
    <w:p w14:paraId="1E5577C4" w14:textId="340EADB8"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Primjena rivaroksabana nije ispitivana u interventnim kliničkim ispitivanjima u kojima bi bila utvrđena efikasnost i bezbjednost lijeka kod pacijenata koji su podvrgnuti operaciji nakon preloma kuka. </w:t>
      </w:r>
    </w:p>
    <w:p w14:paraId="322B4097" w14:textId="77777777" w:rsidR="00FC4ECD" w:rsidRPr="007D7545" w:rsidRDefault="00FC4ECD" w:rsidP="005D101E">
      <w:pPr>
        <w:ind w:hanging="10"/>
        <w:jc w:val="both"/>
        <w:rPr>
          <w:color w:val="000000"/>
          <w:sz w:val="22"/>
          <w:szCs w:val="22"/>
          <w:lang w:val="sr-Latn-ME"/>
        </w:rPr>
      </w:pPr>
    </w:p>
    <w:p w14:paraId="4FE06E6C" w14:textId="4E515233" w:rsidR="001E010E" w:rsidRPr="007D7545" w:rsidRDefault="001E010E" w:rsidP="005D101E">
      <w:pPr>
        <w:keepNext/>
        <w:keepLines/>
        <w:ind w:hanging="14"/>
        <w:jc w:val="both"/>
        <w:outlineLvl w:val="1"/>
        <w:rPr>
          <w:color w:val="000000"/>
          <w:sz w:val="22"/>
          <w:szCs w:val="22"/>
          <w:u w:val="single" w:color="000000"/>
          <w:lang w:val="sr-Latn-ME"/>
        </w:rPr>
      </w:pPr>
      <w:r w:rsidRPr="007D7545">
        <w:rPr>
          <w:color w:val="000000"/>
          <w:sz w:val="22"/>
          <w:szCs w:val="22"/>
          <w:u w:val="single" w:color="000000"/>
          <w:lang w:val="sr-Latn-ME"/>
        </w:rPr>
        <w:t>Hemodinamski nestabilni pacijenti sa PE ili pacijenti čije stanje zaht</w:t>
      </w:r>
      <w:r w:rsidR="003D53ED" w:rsidRPr="007D7545">
        <w:rPr>
          <w:color w:val="000000"/>
          <w:sz w:val="22"/>
          <w:szCs w:val="22"/>
          <w:u w:val="single" w:color="000000"/>
          <w:lang w:val="sr-Latn-ME"/>
        </w:rPr>
        <w:t>ij</w:t>
      </w:r>
      <w:r w:rsidRPr="007D7545">
        <w:rPr>
          <w:color w:val="000000"/>
          <w:sz w:val="22"/>
          <w:szCs w:val="22"/>
          <w:u w:val="single" w:color="000000"/>
          <w:lang w:val="sr-Latn-ME"/>
        </w:rPr>
        <w:t>eva trombolizu ili plućnu</w:t>
      </w:r>
      <w:r w:rsidRPr="007D7545">
        <w:rPr>
          <w:color w:val="000000"/>
          <w:sz w:val="22"/>
          <w:szCs w:val="22"/>
          <w:u w:color="000000"/>
          <w:lang w:val="sr-Latn-ME"/>
        </w:rPr>
        <w:t xml:space="preserve"> </w:t>
      </w:r>
      <w:r w:rsidRPr="007D7545">
        <w:rPr>
          <w:color w:val="000000"/>
          <w:sz w:val="22"/>
          <w:szCs w:val="22"/>
          <w:u w:val="single" w:color="000000"/>
          <w:lang w:val="sr-Latn-ME"/>
        </w:rPr>
        <w:t>embolektomiju</w:t>
      </w:r>
    </w:p>
    <w:p w14:paraId="6FF9055D" w14:textId="09D2F53A" w:rsidR="001E010E" w:rsidRPr="007D7545" w:rsidRDefault="001E010E" w:rsidP="005D101E">
      <w:pPr>
        <w:ind w:hanging="14"/>
        <w:jc w:val="both"/>
        <w:rPr>
          <w:color w:val="000000"/>
          <w:sz w:val="22"/>
          <w:szCs w:val="22"/>
          <w:lang w:val="sr-Latn-ME"/>
        </w:rPr>
      </w:pPr>
      <w:r w:rsidRPr="007D7545">
        <w:rPr>
          <w:color w:val="000000"/>
          <w:sz w:val="22"/>
          <w:szCs w:val="22"/>
          <w:lang w:val="sr-Latn-ME"/>
        </w:rPr>
        <w:t>Primjena rivaroksabana se ne preporučuje kao alternativa nefrakcionisanom heparinu kod pacijenata sa plućnom embolijom koji su hemodinamski nestabilni ili koji će biti podvrgnuti trombolizi ili plućnoj embolektomiji, jer bezbjednost i efikasnost rivaroksabana ni</w:t>
      </w:r>
      <w:r w:rsidR="003D53ED" w:rsidRPr="007D7545">
        <w:rPr>
          <w:color w:val="000000"/>
          <w:sz w:val="22"/>
          <w:szCs w:val="22"/>
          <w:lang w:val="sr-Latn-ME"/>
        </w:rPr>
        <w:t>je</w:t>
      </w:r>
      <w:r w:rsidRPr="007D7545">
        <w:rPr>
          <w:color w:val="000000"/>
          <w:sz w:val="22"/>
          <w:szCs w:val="22"/>
          <w:lang w:val="sr-Latn-ME"/>
        </w:rPr>
        <w:t>su potvrđene u ovim kliničkim situacijama.</w:t>
      </w:r>
    </w:p>
    <w:p w14:paraId="3F4FC2B6" w14:textId="77777777" w:rsidR="001E010E" w:rsidRPr="007D7545" w:rsidRDefault="001E010E" w:rsidP="005D101E">
      <w:pPr>
        <w:ind w:hanging="14"/>
        <w:jc w:val="both"/>
        <w:rPr>
          <w:color w:val="000000"/>
          <w:sz w:val="22"/>
          <w:szCs w:val="22"/>
          <w:lang w:val="sr-Latn-ME"/>
        </w:rPr>
      </w:pPr>
    </w:p>
    <w:p w14:paraId="71ED98C1" w14:textId="77777777" w:rsidR="001E010E" w:rsidRPr="007D7545" w:rsidRDefault="001E010E" w:rsidP="005D101E">
      <w:pPr>
        <w:keepNext/>
        <w:keepLines/>
        <w:ind w:hanging="14"/>
        <w:jc w:val="both"/>
        <w:outlineLvl w:val="1"/>
        <w:rPr>
          <w:color w:val="000000"/>
          <w:sz w:val="22"/>
          <w:szCs w:val="22"/>
          <w:u w:val="single" w:color="000000"/>
          <w:lang w:val="sr-Latn-ME"/>
        </w:rPr>
      </w:pPr>
      <w:r w:rsidRPr="007D7545">
        <w:rPr>
          <w:color w:val="000000"/>
          <w:sz w:val="22"/>
          <w:szCs w:val="22"/>
          <w:u w:val="single" w:color="000000"/>
          <w:lang w:val="sr-Latn-ME"/>
        </w:rPr>
        <w:t>Spinalna/epiduralna anestezija ili punkcija</w:t>
      </w:r>
    </w:p>
    <w:p w14:paraId="430A1FBF" w14:textId="7FBCF6EF" w:rsidR="001E010E" w:rsidRPr="007D7545" w:rsidRDefault="001E010E" w:rsidP="005D101E">
      <w:pPr>
        <w:jc w:val="both"/>
        <w:rPr>
          <w:color w:val="000000"/>
          <w:sz w:val="22"/>
          <w:szCs w:val="22"/>
          <w:lang w:val="sr-Latn-ME"/>
        </w:rPr>
      </w:pPr>
      <w:r w:rsidRPr="007D7545">
        <w:rPr>
          <w:color w:val="000000"/>
          <w:sz w:val="22"/>
          <w:szCs w:val="22"/>
          <w:lang w:val="sr-Latn-ME"/>
        </w:rPr>
        <w:t xml:space="preserve">Kada se izvodi neuraksijalna anestezija (spinalna/epiduralna anestezija) ili spinalna/epiduralna punkcija pacijenti </w:t>
      </w:r>
      <w:r w:rsidR="00683FA1" w:rsidRPr="007D7545">
        <w:rPr>
          <w:color w:val="000000"/>
          <w:sz w:val="22"/>
          <w:szCs w:val="22"/>
          <w:lang w:val="sr-Latn-ME"/>
        </w:rPr>
        <w:t>liječeni</w:t>
      </w:r>
      <w:r w:rsidRPr="007D7545">
        <w:rPr>
          <w:color w:val="000000"/>
          <w:sz w:val="22"/>
          <w:szCs w:val="22"/>
          <w:lang w:val="sr-Latn-ME"/>
        </w:rPr>
        <w:t xml:space="preserve"> antitrombotičkim sredstvima u cilju prevencije tromboembolijskih komplikacija su pod rizikom od stvaranja epiduralnog ili spinalnog hematoma koji može dovesti do dugotrajne ili permanentne paralize. Rizik od ovih događaja može se povećati kod postoperativne primjene epiduralnih katetera ili ljekova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crijeva ili mokraćne bešike). Ukoliko se prim</w:t>
      </w:r>
      <w:r w:rsidR="003D53ED" w:rsidRPr="007D7545">
        <w:rPr>
          <w:color w:val="000000"/>
          <w:sz w:val="22"/>
          <w:szCs w:val="22"/>
          <w:lang w:val="sr-Latn-ME"/>
        </w:rPr>
        <w:t>ij</w:t>
      </w:r>
      <w:r w:rsidRPr="007D7545">
        <w:rPr>
          <w:color w:val="000000"/>
          <w:sz w:val="22"/>
          <w:szCs w:val="22"/>
          <w:lang w:val="sr-Latn-ME"/>
        </w:rPr>
        <w:t>eti neurološki poremećaj, neophodno je hitno postaviti dijagnozu i sprovesti terapiju. Pr</w:t>
      </w:r>
      <w:r w:rsidR="00BC5F83" w:rsidRPr="007D7545">
        <w:rPr>
          <w:color w:val="000000"/>
          <w:sz w:val="22"/>
          <w:szCs w:val="22"/>
          <w:lang w:val="sr-Latn-ME"/>
        </w:rPr>
        <w:t>ij</w:t>
      </w:r>
      <w:r w:rsidRPr="007D7545">
        <w:rPr>
          <w:color w:val="000000"/>
          <w:sz w:val="22"/>
          <w:szCs w:val="22"/>
          <w:lang w:val="sr-Latn-ME"/>
        </w:rPr>
        <w:t xml:space="preserve">e neuraksijalne intervencije ljekar treba da razmotri odnos koristi i rizika kod pacijenata koji primaju antikoagulanse, odnosno pacijenata koji će primati antikoagulanse u cilju tromboprofilakse. </w:t>
      </w:r>
    </w:p>
    <w:p w14:paraId="7670B122" w14:textId="12190180" w:rsidR="001E010E" w:rsidRPr="007D7545" w:rsidRDefault="001E010E" w:rsidP="005D101E">
      <w:pPr>
        <w:ind w:hanging="10"/>
        <w:jc w:val="both"/>
        <w:rPr>
          <w:color w:val="000000"/>
          <w:sz w:val="22"/>
          <w:szCs w:val="22"/>
          <w:lang w:val="sr-Latn-ME"/>
        </w:rPr>
      </w:pPr>
      <w:r w:rsidRPr="007D7545">
        <w:rPr>
          <w:color w:val="000000"/>
          <w:sz w:val="22"/>
          <w:szCs w:val="22"/>
          <w:lang w:val="sr-Latn-ME"/>
        </w:rPr>
        <w:t>U cilju smanjenja potencijalnog rizika od krvarenja povezanog sa istovremenom primjenom rivaroksabana i neuraksijalne (epiduralna/spinalna) anestezije ili spinalne punkcije, trebe razmotriti farmakokinetički profil rivaroksabana. Postavljanje ili uklanjanje epiduralnog katetera ili lumbalnu punkciju je najbolje uraditi kada se proc</w:t>
      </w:r>
      <w:r w:rsidR="003D53ED" w:rsidRPr="007D7545">
        <w:rPr>
          <w:color w:val="000000"/>
          <w:sz w:val="22"/>
          <w:szCs w:val="22"/>
          <w:lang w:val="sr-Latn-ME"/>
        </w:rPr>
        <w:t>i</w:t>
      </w:r>
      <w:r w:rsidR="00BC5F83" w:rsidRPr="007D7545">
        <w:rPr>
          <w:color w:val="000000"/>
          <w:sz w:val="22"/>
          <w:szCs w:val="22"/>
          <w:lang w:val="sr-Latn-ME"/>
        </w:rPr>
        <w:t>j</w:t>
      </w:r>
      <w:r w:rsidRPr="007D7545">
        <w:rPr>
          <w:color w:val="000000"/>
          <w:sz w:val="22"/>
          <w:szCs w:val="22"/>
          <w:lang w:val="sr-Latn-ME"/>
        </w:rPr>
        <w:t>eni da je antikoagulantni efekat rivaroksabana slab (</w:t>
      </w:r>
      <w:r w:rsidR="00955E5C" w:rsidRPr="007D7545">
        <w:rPr>
          <w:i/>
          <w:color w:val="000000"/>
          <w:sz w:val="22"/>
          <w:szCs w:val="22"/>
          <w:lang w:val="sr-Latn-ME"/>
        </w:rPr>
        <w:t>pogledati dio</w:t>
      </w:r>
      <w:r w:rsidRPr="007D7545">
        <w:rPr>
          <w:i/>
          <w:color w:val="000000"/>
          <w:sz w:val="22"/>
          <w:szCs w:val="22"/>
          <w:lang w:val="sr-Latn-ME"/>
        </w:rPr>
        <w:t xml:space="preserve"> 5.2</w:t>
      </w:r>
      <w:r w:rsidRPr="007D7545">
        <w:rPr>
          <w:color w:val="000000"/>
          <w:sz w:val="22"/>
          <w:szCs w:val="22"/>
          <w:lang w:val="sr-Latn-ME"/>
        </w:rPr>
        <w:t xml:space="preserve">). </w:t>
      </w:r>
    </w:p>
    <w:p w14:paraId="5C4861E2" w14:textId="5BAC8048" w:rsidR="001E010E" w:rsidRPr="007D7545" w:rsidRDefault="001E010E" w:rsidP="005D101E">
      <w:pPr>
        <w:keepNext/>
        <w:keepLines/>
        <w:ind w:hanging="10"/>
        <w:jc w:val="both"/>
        <w:outlineLvl w:val="1"/>
        <w:rPr>
          <w:color w:val="000000"/>
          <w:sz w:val="22"/>
          <w:szCs w:val="22"/>
          <w:u w:color="000000"/>
          <w:lang w:val="sr-Latn-ME"/>
        </w:rPr>
      </w:pPr>
      <w:r w:rsidRPr="007D7545">
        <w:rPr>
          <w:color w:val="000000"/>
          <w:sz w:val="22"/>
          <w:szCs w:val="22"/>
          <w:u w:color="000000"/>
          <w:lang w:val="sr-Latn-ME"/>
        </w:rPr>
        <w:lastRenderedPageBreak/>
        <w:t>Mora proći najmanje 18 sati posl</w:t>
      </w:r>
      <w:r w:rsidR="003D53ED" w:rsidRPr="007D7545">
        <w:rPr>
          <w:color w:val="000000"/>
          <w:sz w:val="22"/>
          <w:szCs w:val="22"/>
          <w:u w:color="000000"/>
          <w:lang w:val="sr-Latn-ME"/>
        </w:rPr>
        <w:t>ij</w:t>
      </w:r>
      <w:r w:rsidRPr="007D7545">
        <w:rPr>
          <w:color w:val="000000"/>
          <w:sz w:val="22"/>
          <w:szCs w:val="22"/>
          <w:u w:color="000000"/>
          <w:lang w:val="sr-Latn-ME"/>
        </w:rPr>
        <w:t>e posl</w:t>
      </w:r>
      <w:r w:rsidR="003D53ED" w:rsidRPr="007D7545">
        <w:rPr>
          <w:color w:val="000000"/>
          <w:sz w:val="22"/>
          <w:szCs w:val="22"/>
          <w:u w:color="000000"/>
          <w:lang w:val="sr-Latn-ME"/>
        </w:rPr>
        <w:t>j</w:t>
      </w:r>
      <w:r w:rsidRPr="007D7545">
        <w:rPr>
          <w:color w:val="000000"/>
          <w:sz w:val="22"/>
          <w:szCs w:val="22"/>
          <w:u w:color="000000"/>
          <w:lang w:val="sr-Latn-ME"/>
        </w:rPr>
        <w:t>ednje primjene rivaroksabana do vađenja epiduralnog katetera. Nakon vađenja katetera, mora proći najmanje 6 sati pr</w:t>
      </w:r>
      <w:r w:rsidR="003D53ED" w:rsidRPr="007D7545">
        <w:rPr>
          <w:color w:val="000000"/>
          <w:sz w:val="22"/>
          <w:szCs w:val="22"/>
          <w:u w:color="000000"/>
          <w:lang w:val="sr-Latn-ME"/>
        </w:rPr>
        <w:t>ij</w:t>
      </w:r>
      <w:r w:rsidRPr="007D7545">
        <w:rPr>
          <w:color w:val="000000"/>
          <w:sz w:val="22"/>
          <w:szCs w:val="22"/>
          <w:u w:color="000000"/>
          <w:lang w:val="sr-Latn-ME"/>
        </w:rPr>
        <w:t>e primjene sl</w:t>
      </w:r>
      <w:r w:rsidR="003D53ED" w:rsidRPr="007D7545">
        <w:rPr>
          <w:color w:val="000000"/>
          <w:sz w:val="22"/>
          <w:szCs w:val="22"/>
          <w:u w:color="000000"/>
          <w:lang w:val="sr-Latn-ME"/>
        </w:rPr>
        <w:t>j</w:t>
      </w:r>
      <w:r w:rsidRPr="007D7545">
        <w:rPr>
          <w:color w:val="000000"/>
          <w:sz w:val="22"/>
          <w:szCs w:val="22"/>
          <w:u w:color="000000"/>
          <w:lang w:val="sr-Latn-ME"/>
        </w:rPr>
        <w:t>edeće doze rivaroksabana.</w:t>
      </w:r>
    </w:p>
    <w:p w14:paraId="5FDFF0BE" w14:textId="77777777" w:rsidR="001E010E" w:rsidRPr="007D7545" w:rsidRDefault="001E010E" w:rsidP="005D101E">
      <w:pPr>
        <w:keepNext/>
        <w:keepLines/>
        <w:ind w:hanging="10"/>
        <w:jc w:val="both"/>
        <w:outlineLvl w:val="1"/>
        <w:rPr>
          <w:color w:val="000000"/>
          <w:sz w:val="22"/>
          <w:szCs w:val="22"/>
          <w:u w:color="000000"/>
          <w:lang w:val="sr-Latn-ME"/>
        </w:rPr>
      </w:pPr>
    </w:p>
    <w:p w14:paraId="2D239A77" w14:textId="77777777" w:rsidR="001E010E" w:rsidRPr="007D7545" w:rsidRDefault="001E010E" w:rsidP="005D101E">
      <w:pPr>
        <w:ind w:hanging="11"/>
        <w:jc w:val="both"/>
        <w:rPr>
          <w:color w:val="000000"/>
          <w:sz w:val="22"/>
          <w:szCs w:val="22"/>
          <w:lang w:val="sr-Latn-ME"/>
        </w:rPr>
      </w:pPr>
      <w:r w:rsidRPr="007D7545">
        <w:rPr>
          <w:color w:val="000000"/>
          <w:sz w:val="22"/>
          <w:szCs w:val="22"/>
          <w:lang w:val="sr-Latn-ME"/>
        </w:rPr>
        <w:t>Ukoliko dođe do traumatske punkcije, primjenu rivaroksabana treba odložiti za 24 sata.</w:t>
      </w:r>
    </w:p>
    <w:p w14:paraId="49E9A138" w14:textId="77777777" w:rsidR="001E010E" w:rsidRPr="007D7545" w:rsidRDefault="001E010E" w:rsidP="005D101E">
      <w:pPr>
        <w:keepNext/>
        <w:keepLines/>
        <w:ind w:hanging="11"/>
        <w:jc w:val="both"/>
        <w:outlineLvl w:val="1"/>
        <w:rPr>
          <w:color w:val="000000"/>
          <w:sz w:val="22"/>
          <w:szCs w:val="22"/>
          <w:u w:val="single" w:color="000000"/>
          <w:lang w:val="sr-Latn-ME"/>
        </w:rPr>
      </w:pPr>
    </w:p>
    <w:p w14:paraId="22DAC0F4" w14:textId="77777777" w:rsidR="001E010E" w:rsidRPr="007D7545" w:rsidRDefault="001E010E" w:rsidP="005D101E">
      <w:pPr>
        <w:keepNext/>
        <w:keepLines/>
        <w:ind w:hanging="11"/>
        <w:jc w:val="both"/>
        <w:outlineLvl w:val="1"/>
        <w:rPr>
          <w:color w:val="000000"/>
          <w:sz w:val="22"/>
          <w:szCs w:val="22"/>
          <w:u w:val="single" w:color="000000"/>
          <w:lang w:val="sr-Latn-ME"/>
        </w:rPr>
      </w:pPr>
      <w:r w:rsidRPr="007D7545">
        <w:rPr>
          <w:color w:val="000000"/>
          <w:sz w:val="22"/>
          <w:szCs w:val="22"/>
          <w:u w:val="single" w:color="000000"/>
          <w:lang w:val="sr-Latn-ME"/>
        </w:rPr>
        <w:t>Preporuke za doziranje prije i nakon invazivnih procedura i hirurške intervencije koja nije elektivna operacija ugradnje vještačkog kuka ili koljena</w:t>
      </w:r>
    </w:p>
    <w:p w14:paraId="3D2921CA" w14:textId="357CF7B7" w:rsidR="001E010E" w:rsidRPr="007D7545" w:rsidRDefault="001E010E" w:rsidP="005D101E">
      <w:pPr>
        <w:ind w:hanging="10"/>
        <w:jc w:val="both"/>
        <w:rPr>
          <w:color w:val="000000"/>
          <w:sz w:val="22"/>
          <w:szCs w:val="22"/>
          <w:lang w:val="sr-Latn-ME"/>
        </w:rPr>
      </w:pPr>
      <w:r w:rsidRPr="007D7545">
        <w:rPr>
          <w:color w:val="000000"/>
          <w:sz w:val="22"/>
          <w:szCs w:val="22"/>
          <w:lang w:val="sr-Latn-ME"/>
        </w:rPr>
        <w:t>Ukoliko je potrebno sprovesti invazivnu proceduru ili hiruršku intervenciju, terapija rivaroksabanom u dozi od 10 mg se mora prekinuti najmanje 24 sata pr</w:t>
      </w:r>
      <w:r w:rsidR="00BC5F83" w:rsidRPr="007D7545">
        <w:rPr>
          <w:color w:val="000000"/>
          <w:sz w:val="22"/>
          <w:szCs w:val="22"/>
          <w:lang w:val="sr-Latn-ME"/>
        </w:rPr>
        <w:t>ij</w:t>
      </w:r>
      <w:r w:rsidRPr="007D7545">
        <w:rPr>
          <w:color w:val="000000"/>
          <w:sz w:val="22"/>
          <w:szCs w:val="22"/>
          <w:lang w:val="sr-Latn-ME"/>
        </w:rPr>
        <w:t>e intervencije, ukoliko je to moguće i na osnovu kliničke proc</w:t>
      </w:r>
      <w:r w:rsidR="003D53ED" w:rsidRPr="007D7545">
        <w:rPr>
          <w:color w:val="000000"/>
          <w:sz w:val="22"/>
          <w:szCs w:val="22"/>
          <w:lang w:val="sr-Latn-ME"/>
        </w:rPr>
        <w:t>j</w:t>
      </w:r>
      <w:r w:rsidRPr="007D7545">
        <w:rPr>
          <w:color w:val="000000"/>
          <w:sz w:val="22"/>
          <w:szCs w:val="22"/>
          <w:lang w:val="sr-Latn-ME"/>
        </w:rPr>
        <w:t xml:space="preserve">ene ljekara. </w:t>
      </w:r>
    </w:p>
    <w:p w14:paraId="6E02115B" w14:textId="055C7888" w:rsidR="001E010E" w:rsidRPr="007D7545" w:rsidRDefault="001E010E" w:rsidP="005D101E">
      <w:pPr>
        <w:ind w:hanging="10"/>
        <w:jc w:val="both"/>
        <w:rPr>
          <w:color w:val="000000"/>
          <w:sz w:val="22"/>
          <w:szCs w:val="22"/>
          <w:lang w:val="sr-Latn-ME"/>
        </w:rPr>
      </w:pPr>
      <w:r w:rsidRPr="007D7545">
        <w:rPr>
          <w:color w:val="000000"/>
          <w:sz w:val="22"/>
          <w:szCs w:val="22"/>
          <w:lang w:val="sr-Latn-ME"/>
        </w:rPr>
        <w:t>Ako se procedura ne može odložiti, potrebno je proc</w:t>
      </w:r>
      <w:r w:rsidR="003D53ED" w:rsidRPr="007D7545">
        <w:rPr>
          <w:color w:val="000000"/>
          <w:sz w:val="22"/>
          <w:szCs w:val="22"/>
          <w:lang w:val="sr-Latn-ME"/>
        </w:rPr>
        <w:t>i</w:t>
      </w:r>
      <w:r w:rsidRPr="007D7545">
        <w:rPr>
          <w:color w:val="000000"/>
          <w:sz w:val="22"/>
          <w:szCs w:val="22"/>
          <w:lang w:val="sr-Latn-ME"/>
        </w:rPr>
        <w:t xml:space="preserve">jeniti povećan rizik od krvarenja u odnosu na hitnost intervencije. </w:t>
      </w:r>
    </w:p>
    <w:p w14:paraId="6060BB21" w14:textId="3C0CEB72" w:rsidR="001E010E" w:rsidRPr="007D7545" w:rsidRDefault="001E010E" w:rsidP="005D101E">
      <w:pPr>
        <w:ind w:hanging="10"/>
        <w:jc w:val="both"/>
        <w:rPr>
          <w:color w:val="000000"/>
          <w:sz w:val="22"/>
          <w:szCs w:val="22"/>
          <w:lang w:val="sr-Latn-ME"/>
        </w:rPr>
      </w:pPr>
      <w:r w:rsidRPr="007D7545">
        <w:rPr>
          <w:color w:val="000000"/>
          <w:sz w:val="22"/>
          <w:szCs w:val="22"/>
          <w:lang w:val="sr-Latn-ME"/>
        </w:rPr>
        <w:t>Primjena rivaroksabana mora se što pr</w:t>
      </w:r>
      <w:r w:rsidR="003D53ED" w:rsidRPr="007D7545">
        <w:rPr>
          <w:color w:val="000000"/>
          <w:sz w:val="22"/>
          <w:szCs w:val="22"/>
          <w:lang w:val="sr-Latn-ME"/>
        </w:rPr>
        <w:t>ij</w:t>
      </w:r>
      <w:r w:rsidRPr="007D7545">
        <w:rPr>
          <w:color w:val="000000"/>
          <w:sz w:val="22"/>
          <w:szCs w:val="22"/>
          <w:lang w:val="sr-Latn-ME"/>
        </w:rPr>
        <w:t>e nastaviti nakon invazivne procedure ili hirurške intervencije pod uslovom da to dopušta klinička situacija i da je uspostavljena odgovarajuća hemostaza koja je potvrđena od strane nadležnog ljekara (</w:t>
      </w:r>
      <w:r w:rsidR="00955E5C" w:rsidRPr="007D7545">
        <w:rPr>
          <w:color w:val="000000"/>
          <w:sz w:val="22"/>
          <w:szCs w:val="22"/>
          <w:lang w:val="sr-Latn-ME"/>
        </w:rPr>
        <w:t>pogledati dio</w:t>
      </w:r>
      <w:r w:rsidRPr="007D7545">
        <w:rPr>
          <w:color w:val="000000"/>
          <w:sz w:val="22"/>
          <w:szCs w:val="22"/>
          <w:lang w:val="sr-Latn-ME"/>
        </w:rPr>
        <w:t xml:space="preserve"> 5.2). </w:t>
      </w:r>
    </w:p>
    <w:p w14:paraId="79852CFE" w14:textId="77777777" w:rsidR="00FC4ECD" w:rsidRPr="007D7545" w:rsidRDefault="00FC4ECD" w:rsidP="005D101E">
      <w:pPr>
        <w:ind w:hanging="10"/>
        <w:jc w:val="both"/>
        <w:rPr>
          <w:color w:val="000000"/>
          <w:sz w:val="22"/>
          <w:szCs w:val="22"/>
          <w:lang w:val="sr-Latn-ME"/>
        </w:rPr>
      </w:pPr>
    </w:p>
    <w:p w14:paraId="79F7D08E" w14:textId="77777777" w:rsidR="001E010E" w:rsidRPr="007D7545" w:rsidRDefault="001E010E" w:rsidP="005D101E">
      <w:pPr>
        <w:ind w:hanging="10"/>
        <w:jc w:val="both"/>
        <w:rPr>
          <w:color w:val="000000"/>
          <w:sz w:val="22"/>
          <w:szCs w:val="22"/>
          <w:u w:val="single"/>
          <w:lang w:val="sr-Latn-ME"/>
        </w:rPr>
      </w:pPr>
      <w:r w:rsidRPr="007D7545">
        <w:rPr>
          <w:color w:val="000000"/>
          <w:sz w:val="22"/>
          <w:szCs w:val="22"/>
          <w:u w:val="single"/>
          <w:lang w:val="sr-Latn-ME"/>
        </w:rPr>
        <w:t xml:space="preserve">Stariji pacijenti </w:t>
      </w:r>
    </w:p>
    <w:p w14:paraId="3308C32F" w14:textId="37C173FA" w:rsidR="001E010E" w:rsidRPr="007D7545" w:rsidRDefault="001E010E" w:rsidP="005D101E">
      <w:pPr>
        <w:ind w:hanging="10"/>
        <w:jc w:val="both"/>
        <w:rPr>
          <w:color w:val="000000"/>
          <w:sz w:val="22"/>
          <w:szCs w:val="22"/>
          <w:lang w:val="sr-Latn-ME"/>
        </w:rPr>
      </w:pPr>
      <w:r w:rsidRPr="007D7545">
        <w:rPr>
          <w:color w:val="000000"/>
          <w:sz w:val="22"/>
          <w:szCs w:val="22"/>
          <w:lang w:val="sr-Latn-ME"/>
        </w:rPr>
        <w:t>Sa povećanjem starosti može biti povećan rizik od krvarenja (</w:t>
      </w:r>
      <w:r w:rsidR="00955E5C" w:rsidRPr="007D7545">
        <w:rPr>
          <w:color w:val="000000"/>
          <w:sz w:val="22"/>
          <w:szCs w:val="22"/>
          <w:lang w:val="sr-Latn-ME"/>
        </w:rPr>
        <w:t>pogledati dio</w:t>
      </w:r>
      <w:r w:rsidRPr="007D7545">
        <w:rPr>
          <w:color w:val="000000"/>
          <w:sz w:val="22"/>
          <w:szCs w:val="22"/>
          <w:lang w:val="sr-Latn-ME"/>
        </w:rPr>
        <w:t xml:space="preserve"> 5.2).</w:t>
      </w:r>
    </w:p>
    <w:p w14:paraId="138B05FB" w14:textId="77777777" w:rsidR="00FC4ECD" w:rsidRPr="007D7545" w:rsidRDefault="00FC4ECD" w:rsidP="005D101E">
      <w:pPr>
        <w:ind w:hanging="10"/>
        <w:jc w:val="both"/>
        <w:rPr>
          <w:color w:val="000000"/>
          <w:sz w:val="22"/>
          <w:szCs w:val="22"/>
          <w:lang w:val="sr-Latn-ME"/>
        </w:rPr>
      </w:pPr>
    </w:p>
    <w:p w14:paraId="7234B59E" w14:textId="77777777" w:rsidR="001E010E" w:rsidRPr="007D7545" w:rsidRDefault="001E010E" w:rsidP="005D101E">
      <w:pPr>
        <w:keepNext/>
        <w:keepLines/>
        <w:ind w:hanging="14"/>
        <w:jc w:val="both"/>
        <w:outlineLvl w:val="1"/>
        <w:rPr>
          <w:color w:val="000000"/>
          <w:sz w:val="22"/>
          <w:szCs w:val="22"/>
          <w:u w:val="single" w:color="000000"/>
          <w:lang w:val="sr-Latn-ME"/>
        </w:rPr>
      </w:pPr>
      <w:r w:rsidRPr="007D7545">
        <w:rPr>
          <w:color w:val="000000"/>
          <w:sz w:val="22"/>
          <w:szCs w:val="22"/>
          <w:u w:val="single" w:color="000000"/>
          <w:lang w:val="sr-Latn-ME"/>
        </w:rPr>
        <w:t>Dermatološke reakcije</w:t>
      </w:r>
    </w:p>
    <w:p w14:paraId="6B285C8A" w14:textId="089CACAC" w:rsidR="001E010E" w:rsidRPr="007D7545" w:rsidRDefault="001E010E" w:rsidP="005D101E">
      <w:pPr>
        <w:ind w:hanging="14"/>
        <w:jc w:val="both"/>
        <w:rPr>
          <w:color w:val="000000"/>
          <w:sz w:val="22"/>
          <w:szCs w:val="22"/>
          <w:lang w:val="sr-Latn-ME"/>
        </w:rPr>
      </w:pPr>
      <w:r w:rsidRPr="007D7545">
        <w:rPr>
          <w:color w:val="000000"/>
          <w:sz w:val="22"/>
          <w:szCs w:val="22"/>
          <w:lang w:val="sr-Latn-ME"/>
        </w:rPr>
        <w:t xml:space="preserve">U toku post-marketinškog praćenja lijeka, prijavljene su ozbiljne kožne reakcije, uključujući </w:t>
      </w:r>
      <w:r w:rsidRPr="007D7545">
        <w:rPr>
          <w:i/>
          <w:color w:val="000000"/>
          <w:sz w:val="22"/>
          <w:szCs w:val="22"/>
          <w:lang w:val="sr-Latn-ME"/>
        </w:rPr>
        <w:t>Stevens-Johnson</w:t>
      </w:r>
      <w:r w:rsidRPr="007D7545">
        <w:rPr>
          <w:color w:val="000000"/>
          <w:sz w:val="22"/>
          <w:szCs w:val="22"/>
          <w:lang w:val="sr-Latn-ME"/>
        </w:rPr>
        <w:t>-ov</w:t>
      </w:r>
      <w:r w:rsidRPr="007D7545">
        <w:rPr>
          <w:i/>
          <w:color w:val="000000"/>
          <w:sz w:val="22"/>
          <w:szCs w:val="22"/>
          <w:lang w:val="sr-Latn-ME"/>
        </w:rPr>
        <w:t xml:space="preserve"> sindrom/</w:t>
      </w:r>
      <w:r w:rsidRPr="007D7545">
        <w:rPr>
          <w:color w:val="000000"/>
          <w:sz w:val="22"/>
          <w:szCs w:val="22"/>
          <w:lang w:val="sr-Latn-ME"/>
        </w:rPr>
        <w:t>toksičnu epidermalnu nekrolizu i DRESS sindrom, povezane sa primjenom rivaroksabana (</w:t>
      </w:r>
      <w:r w:rsidR="00955E5C" w:rsidRPr="007D7545">
        <w:rPr>
          <w:color w:val="000000"/>
          <w:sz w:val="22"/>
          <w:szCs w:val="22"/>
          <w:lang w:val="sr-Latn-ME"/>
        </w:rPr>
        <w:t>pogledati dio</w:t>
      </w:r>
      <w:r w:rsidRPr="007D7545">
        <w:rPr>
          <w:color w:val="000000"/>
          <w:sz w:val="22"/>
          <w:szCs w:val="22"/>
          <w:lang w:val="sr-Latn-ME"/>
        </w:rPr>
        <w:t xml:space="preserve"> 4.8). Pacijenti su izgleda u najvećem riziku na početku terapije: u najvećem broju slučajeva početna reakcija se javlja tokom prvih ned</w:t>
      </w:r>
      <w:r w:rsidR="003D53ED" w:rsidRPr="007D7545">
        <w:rPr>
          <w:color w:val="000000"/>
          <w:sz w:val="22"/>
          <w:szCs w:val="22"/>
          <w:lang w:val="sr-Latn-ME"/>
        </w:rPr>
        <w:t>j</w:t>
      </w:r>
      <w:r w:rsidRPr="007D7545">
        <w:rPr>
          <w:color w:val="000000"/>
          <w:sz w:val="22"/>
          <w:szCs w:val="22"/>
          <w:lang w:val="sr-Latn-ME"/>
        </w:rPr>
        <w:t>elja terapije. Primjenu rivaroksabana treba prekinuti pri prvoj pojavi teškog kožnog osipa (npr. osipa koji se širi, intenzivan je i</w:t>
      </w:r>
      <w:r w:rsidR="00DD4827" w:rsidRPr="007D7545">
        <w:rPr>
          <w:color w:val="000000"/>
          <w:sz w:val="22"/>
          <w:szCs w:val="22"/>
          <w:lang w:val="sr-Latn-ME"/>
        </w:rPr>
        <w:t>/ili</w:t>
      </w:r>
      <w:r w:rsidRPr="007D7545">
        <w:rPr>
          <w:color w:val="000000"/>
          <w:sz w:val="22"/>
          <w:szCs w:val="22"/>
          <w:lang w:val="sr-Latn-ME"/>
        </w:rPr>
        <w:t xml:space="preserve"> kod kog se javljaju plikovi) ili bilo kog drugog simptoma preos</w:t>
      </w:r>
      <w:r w:rsidR="003D53ED" w:rsidRPr="007D7545">
        <w:rPr>
          <w:color w:val="000000"/>
          <w:sz w:val="22"/>
          <w:szCs w:val="22"/>
          <w:lang w:val="sr-Latn-ME"/>
        </w:rPr>
        <w:t>j</w:t>
      </w:r>
      <w:r w:rsidRPr="007D7545">
        <w:rPr>
          <w:color w:val="000000"/>
          <w:sz w:val="22"/>
          <w:szCs w:val="22"/>
          <w:lang w:val="sr-Latn-ME"/>
        </w:rPr>
        <w:t>etljivosti povezanog sa mukoznim lezijama.</w:t>
      </w:r>
    </w:p>
    <w:p w14:paraId="06731AF0" w14:textId="77777777" w:rsidR="001E010E" w:rsidRPr="007D7545" w:rsidRDefault="001E010E" w:rsidP="005D101E">
      <w:pPr>
        <w:ind w:hanging="14"/>
        <w:jc w:val="both"/>
        <w:rPr>
          <w:color w:val="000000"/>
          <w:sz w:val="22"/>
          <w:szCs w:val="22"/>
          <w:lang w:val="sr-Latn-ME"/>
        </w:rPr>
      </w:pPr>
    </w:p>
    <w:p w14:paraId="08DD25F5" w14:textId="77777777" w:rsidR="001E010E" w:rsidRPr="007D7545" w:rsidRDefault="001E010E" w:rsidP="005D101E">
      <w:pPr>
        <w:keepNext/>
        <w:keepLines/>
        <w:ind w:hanging="10"/>
        <w:jc w:val="both"/>
        <w:outlineLvl w:val="2"/>
        <w:rPr>
          <w:color w:val="000000"/>
          <w:sz w:val="22"/>
          <w:szCs w:val="22"/>
          <w:u w:val="single" w:color="000000"/>
          <w:lang w:val="sr-Latn-ME"/>
        </w:rPr>
      </w:pPr>
      <w:r w:rsidRPr="007D7545">
        <w:rPr>
          <w:color w:val="000000"/>
          <w:sz w:val="22"/>
          <w:szCs w:val="22"/>
          <w:u w:val="single" w:color="000000"/>
          <w:lang w:val="sr-Latn-ME"/>
        </w:rPr>
        <w:t>Informacije o pomoćnim supstancama</w:t>
      </w:r>
    </w:p>
    <w:p w14:paraId="2705E765" w14:textId="7C2FB6DB"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Lijek </w:t>
      </w:r>
      <w:r w:rsidR="00007C5F" w:rsidRPr="007D7545">
        <w:rPr>
          <w:color w:val="000000"/>
          <w:sz w:val="22"/>
          <w:szCs w:val="22"/>
          <w:lang w:val="sr-Latn-ME"/>
        </w:rPr>
        <w:t>Trombocen</w:t>
      </w:r>
      <w:r w:rsidRPr="007D7545">
        <w:rPr>
          <w:color w:val="000000"/>
          <w:sz w:val="22"/>
          <w:szCs w:val="22"/>
          <w:lang w:val="sr-Latn-ME"/>
        </w:rPr>
        <w:t xml:space="preserve"> sadrži laktozu. Pacijenti sa rijetkim nasl</w:t>
      </w:r>
      <w:r w:rsidR="003D53ED" w:rsidRPr="007D7545">
        <w:rPr>
          <w:color w:val="000000"/>
          <w:sz w:val="22"/>
          <w:szCs w:val="22"/>
          <w:lang w:val="sr-Latn-ME"/>
        </w:rPr>
        <w:t>j</w:t>
      </w:r>
      <w:r w:rsidRPr="007D7545">
        <w:rPr>
          <w:color w:val="000000"/>
          <w:sz w:val="22"/>
          <w:szCs w:val="22"/>
          <w:lang w:val="sr-Latn-ME"/>
        </w:rPr>
        <w:t>ednim oboljenjem intolerancije na galaktozu, nedostatkom laktaze ili glukozno-galaktoznom malapsorpcijom, ne smeju koristiti ovaj lijek.</w:t>
      </w:r>
    </w:p>
    <w:p w14:paraId="17E55FD6" w14:textId="77777777" w:rsidR="00057E35" w:rsidRPr="007D7545" w:rsidRDefault="00057E35" w:rsidP="005D101E">
      <w:pPr>
        <w:tabs>
          <w:tab w:val="left" w:pos="540"/>
          <w:tab w:val="left" w:pos="569"/>
        </w:tabs>
        <w:rPr>
          <w:bCs/>
          <w:sz w:val="22"/>
          <w:szCs w:val="22"/>
          <w:lang w:val="sr-Latn-ME"/>
        </w:rPr>
      </w:pPr>
    </w:p>
    <w:p w14:paraId="559A6570" w14:textId="29B760DA" w:rsidR="00411B4B" w:rsidRPr="007D7545" w:rsidRDefault="00411B4B" w:rsidP="005D101E">
      <w:pPr>
        <w:tabs>
          <w:tab w:val="left" w:pos="540"/>
          <w:tab w:val="left" w:pos="569"/>
        </w:tabs>
        <w:rPr>
          <w:b/>
          <w:bCs/>
          <w:sz w:val="22"/>
          <w:szCs w:val="22"/>
          <w:lang w:val="sr-Latn-ME"/>
        </w:rPr>
      </w:pPr>
      <w:r w:rsidRPr="007D7545">
        <w:rPr>
          <w:b/>
          <w:bCs/>
          <w:sz w:val="22"/>
          <w:szCs w:val="22"/>
          <w:lang w:val="sr-Latn-ME"/>
        </w:rPr>
        <w:t>4.5.</w:t>
      </w:r>
      <w:r w:rsidR="000D60CC" w:rsidRPr="007D7545">
        <w:rPr>
          <w:b/>
          <w:bCs/>
          <w:sz w:val="22"/>
          <w:szCs w:val="22"/>
          <w:lang w:val="sr-Latn-ME"/>
        </w:rPr>
        <w:tab/>
      </w:r>
      <w:r w:rsidRPr="007D7545">
        <w:rPr>
          <w:b/>
          <w:bCs/>
          <w:sz w:val="22"/>
          <w:szCs w:val="22"/>
          <w:lang w:val="sr-Latn-ME"/>
        </w:rPr>
        <w:t>Interakcije sa drugim ljekovima i druge vrste interakcija</w:t>
      </w:r>
    </w:p>
    <w:p w14:paraId="7B0B50E0" w14:textId="77777777" w:rsidR="001A73C4" w:rsidRPr="007D7545" w:rsidRDefault="001A73C4" w:rsidP="005D101E">
      <w:pPr>
        <w:tabs>
          <w:tab w:val="left" w:pos="540"/>
          <w:tab w:val="left" w:pos="569"/>
        </w:tabs>
        <w:rPr>
          <w:b/>
          <w:bCs/>
          <w:sz w:val="22"/>
          <w:szCs w:val="22"/>
          <w:lang w:val="sr-Latn-ME"/>
        </w:rPr>
      </w:pPr>
    </w:p>
    <w:p w14:paraId="1B69A50E" w14:textId="77777777" w:rsidR="001E010E" w:rsidRPr="007D7545" w:rsidRDefault="001E010E" w:rsidP="005D101E">
      <w:pPr>
        <w:keepNext/>
        <w:keepLines/>
        <w:ind w:left="10" w:hanging="10"/>
        <w:jc w:val="both"/>
        <w:outlineLvl w:val="3"/>
        <w:rPr>
          <w:i/>
          <w:color w:val="000000"/>
          <w:sz w:val="22"/>
          <w:szCs w:val="22"/>
          <w:u w:val="single" w:color="000000"/>
          <w:lang w:val="sr-Latn-ME"/>
        </w:rPr>
      </w:pPr>
      <w:r w:rsidRPr="007D7545">
        <w:rPr>
          <w:i/>
          <w:color w:val="000000"/>
          <w:sz w:val="22"/>
          <w:szCs w:val="22"/>
          <w:u w:val="single" w:color="000000"/>
          <w:lang w:val="sr-Latn-ME"/>
        </w:rPr>
        <w:t>Inhibitori CYP3A4 i P-gp transportera</w:t>
      </w:r>
    </w:p>
    <w:p w14:paraId="3EEDC6DA" w14:textId="0DE98934"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Istovremena primjena rivaroksabana sa ketokonazolom (400 mg, jednom dnevno), odnosno ritonavirom (600 mg, dva puta dnevno), povećala je 2,6 puta</w:t>
      </w:r>
      <w:r w:rsidR="007412BE" w:rsidRPr="007D7545">
        <w:rPr>
          <w:color w:val="000000"/>
          <w:sz w:val="22"/>
          <w:szCs w:val="22"/>
          <w:lang w:val="sr-Latn-ME"/>
        </w:rPr>
        <w:t xml:space="preserve"> </w:t>
      </w:r>
      <w:r w:rsidRPr="007D7545">
        <w:rPr>
          <w:color w:val="000000"/>
          <w:sz w:val="22"/>
          <w:szCs w:val="22"/>
          <w:lang w:val="sr-Latn-ME"/>
        </w:rPr>
        <w:t>/2,5 puta srednju PIK vrijednost rivaroksabana, a 1,7 puta/1,6 puta srednju vrijednost C</w:t>
      </w:r>
      <w:r w:rsidRPr="007D7545">
        <w:rPr>
          <w:color w:val="000000"/>
          <w:sz w:val="22"/>
          <w:szCs w:val="22"/>
          <w:vertAlign w:val="subscript"/>
          <w:lang w:val="sr-Latn-ME"/>
        </w:rPr>
        <w:t xml:space="preserve">max </w:t>
      </w:r>
      <w:r w:rsidRPr="007D7545">
        <w:rPr>
          <w:color w:val="000000"/>
          <w:sz w:val="22"/>
          <w:szCs w:val="22"/>
          <w:lang w:val="sr-Latn-ME"/>
        </w:rPr>
        <w:t>rivaroksabana, sa značajnim povećanjem farmakodinamskih efekata koji su mogli uzrokovati povećanje rizika od krvarenja. Stoga se rivaroksaban ne preporučuje pacijentima koji su istovremeno na terapiji azolnim antimikoticima za sistemsku primjenu kao što su ketokonazol, itrakonazol, vorikonazol i posakonazol ili inhibitorima HIV proteaze. Ove aktivne supstance snažni su inhibitori kako CYP3A4, tako i P-gp transportera (</w:t>
      </w:r>
      <w:r w:rsidR="00955E5C" w:rsidRPr="007D7545">
        <w:rPr>
          <w:color w:val="000000"/>
          <w:sz w:val="22"/>
          <w:szCs w:val="22"/>
          <w:lang w:val="sr-Latn-ME"/>
        </w:rPr>
        <w:t>pogledati dio</w:t>
      </w:r>
      <w:r w:rsidRPr="007D7545">
        <w:rPr>
          <w:color w:val="000000"/>
          <w:sz w:val="22"/>
          <w:szCs w:val="22"/>
          <w:lang w:val="sr-Latn-ME"/>
        </w:rPr>
        <w:t xml:space="preserve"> 4.4).</w:t>
      </w:r>
    </w:p>
    <w:p w14:paraId="42F27EF3" w14:textId="681B454D"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Očekuje se da aktivne supstance koje snažno inhibiraju samo jedan od puteva eliminacije rivaroksabana, bilo CYP3A4 ili P-gp transportera, u manjoj m</w:t>
      </w:r>
      <w:r w:rsidR="00421D66" w:rsidRPr="007D7545">
        <w:rPr>
          <w:color w:val="000000"/>
          <w:sz w:val="22"/>
          <w:szCs w:val="22"/>
          <w:lang w:val="sr-Latn-ME"/>
        </w:rPr>
        <w:t>j</w:t>
      </w:r>
      <w:r w:rsidRPr="007D7545">
        <w:rPr>
          <w:color w:val="000000"/>
          <w:sz w:val="22"/>
          <w:szCs w:val="22"/>
          <w:lang w:val="sr-Latn-ME"/>
        </w:rPr>
        <w:t>eri povećavaju koncentracije rivaroksabana u plazmi. Klaritromicin (500 mg, dva puta dnevno), na prim</w:t>
      </w:r>
      <w:r w:rsidR="00421D66" w:rsidRPr="007D7545">
        <w:rPr>
          <w:color w:val="000000"/>
          <w:sz w:val="22"/>
          <w:szCs w:val="22"/>
          <w:lang w:val="sr-Latn-ME"/>
        </w:rPr>
        <w:t>j</w:t>
      </w:r>
      <w:r w:rsidRPr="007D7545">
        <w:rPr>
          <w:color w:val="000000"/>
          <w:sz w:val="22"/>
          <w:szCs w:val="22"/>
          <w:lang w:val="sr-Latn-ME"/>
        </w:rPr>
        <w:t>er, za koji se smatra da je snažan inhibitor CYP3A4 i  um</w:t>
      </w:r>
      <w:r w:rsidR="00421D66" w:rsidRPr="007D7545">
        <w:rPr>
          <w:color w:val="000000"/>
          <w:sz w:val="22"/>
          <w:szCs w:val="22"/>
          <w:lang w:val="sr-Latn-ME"/>
        </w:rPr>
        <w:t>j</w:t>
      </w:r>
      <w:r w:rsidRPr="007D7545">
        <w:rPr>
          <w:color w:val="000000"/>
          <w:sz w:val="22"/>
          <w:szCs w:val="22"/>
          <w:lang w:val="sr-Latn-ME"/>
        </w:rPr>
        <w:t>eren inhibitor P-gp transportera, povećavao je srednju vrijednost PIK-a rivaroksabana 1,5 puta, a C</w:t>
      </w:r>
      <w:r w:rsidRPr="007D7545">
        <w:rPr>
          <w:color w:val="000000"/>
          <w:sz w:val="22"/>
          <w:szCs w:val="22"/>
          <w:vertAlign w:val="subscript"/>
          <w:lang w:val="sr-Latn-ME"/>
        </w:rPr>
        <w:t xml:space="preserve">max </w:t>
      </w:r>
      <w:r w:rsidRPr="007D7545">
        <w:rPr>
          <w:color w:val="000000"/>
          <w:sz w:val="22"/>
          <w:szCs w:val="22"/>
          <w:lang w:val="sr-Latn-ME"/>
        </w:rPr>
        <w:t>rivaroksabana 1,4 puta. Interakcija sa klaritromicinom najv</w:t>
      </w:r>
      <w:r w:rsidR="00421D66" w:rsidRPr="007D7545">
        <w:rPr>
          <w:color w:val="000000"/>
          <w:sz w:val="22"/>
          <w:szCs w:val="22"/>
          <w:lang w:val="sr-Latn-ME"/>
        </w:rPr>
        <w:t>j</w:t>
      </w:r>
      <w:r w:rsidRPr="007D7545">
        <w:rPr>
          <w:color w:val="000000"/>
          <w:sz w:val="22"/>
          <w:szCs w:val="22"/>
          <w:lang w:val="sr-Latn-ME"/>
        </w:rPr>
        <w:t>erovatnije nije od relevantnog kliničkog značaja za većinu pacijenata, ali može biti potencijalno značajna kod visoko rizičnih pacijenata. (</w:t>
      </w:r>
      <w:r w:rsidRPr="007D7545">
        <w:rPr>
          <w:i/>
          <w:color w:val="000000"/>
          <w:sz w:val="22"/>
          <w:szCs w:val="22"/>
          <w:lang w:val="sr-Latn-ME"/>
        </w:rPr>
        <w:t>Za pacijente sa oštećenjem funkcije bubrega</w:t>
      </w:r>
      <w:r w:rsidR="004C5A3F" w:rsidRPr="007D7545">
        <w:rPr>
          <w:i/>
          <w:color w:val="000000"/>
          <w:sz w:val="22"/>
          <w:szCs w:val="22"/>
          <w:lang w:val="sr-Latn-ME"/>
        </w:rPr>
        <w:t>:</w:t>
      </w:r>
      <w:r w:rsidRPr="007D7545">
        <w:rPr>
          <w:color w:val="000000"/>
          <w:sz w:val="22"/>
          <w:szCs w:val="22"/>
          <w:lang w:val="sr-Latn-ME"/>
        </w:rPr>
        <w:t xml:space="preserve"> </w:t>
      </w:r>
      <w:r w:rsidR="00955E5C" w:rsidRPr="007D7545">
        <w:rPr>
          <w:color w:val="000000"/>
          <w:sz w:val="22"/>
          <w:szCs w:val="22"/>
          <w:lang w:val="sr-Latn-ME"/>
        </w:rPr>
        <w:t>pogledati dio</w:t>
      </w:r>
      <w:r w:rsidRPr="007D7545">
        <w:rPr>
          <w:color w:val="000000"/>
          <w:sz w:val="22"/>
          <w:szCs w:val="22"/>
          <w:lang w:val="sr-Latn-ME"/>
        </w:rPr>
        <w:t xml:space="preserve"> 4.4).</w:t>
      </w:r>
    </w:p>
    <w:p w14:paraId="1F7F5688" w14:textId="77777777" w:rsidR="00421D66" w:rsidRPr="007D7545" w:rsidRDefault="00421D66" w:rsidP="005D101E">
      <w:pPr>
        <w:ind w:left="10" w:hanging="10"/>
        <w:jc w:val="both"/>
        <w:rPr>
          <w:color w:val="000000"/>
          <w:sz w:val="22"/>
          <w:szCs w:val="22"/>
          <w:lang w:val="sr-Latn-ME"/>
        </w:rPr>
      </w:pPr>
    </w:p>
    <w:p w14:paraId="6BFCFD60" w14:textId="77777777"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Eritromicin (500 mg, tri puta dnevno), koji umjereno inhibira CYP3A4 i P-gp transporter, povećavao je srednje PIK i C</w:t>
      </w:r>
      <w:r w:rsidRPr="007D7545">
        <w:rPr>
          <w:color w:val="000000"/>
          <w:sz w:val="22"/>
          <w:szCs w:val="22"/>
          <w:vertAlign w:val="subscript"/>
          <w:lang w:val="sr-Latn-ME"/>
        </w:rPr>
        <w:t xml:space="preserve">max </w:t>
      </w:r>
      <w:r w:rsidRPr="007D7545">
        <w:rPr>
          <w:color w:val="000000"/>
          <w:sz w:val="22"/>
          <w:szCs w:val="22"/>
          <w:lang w:val="sr-Latn-ME"/>
        </w:rPr>
        <w:t xml:space="preserve">vrijednosti rivaroksabana 1,3 puta. Interakcija sa eritromicinom najverovatnije nije od relevantnog kliničkog značaja za većinu pacijenata, ali može biti potencijalno značajna kod visoko rizičnih pacijenata.   </w:t>
      </w:r>
    </w:p>
    <w:p w14:paraId="57995304" w14:textId="2E07E904"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Kod pacijenata sa oštećenjem funkcije bubrega blagog intenziteta, primjena lijeka eritromicin (u dozi od 500 mg tri puta dnevno) je dovela do povećanja srednje vrijednosti PIK-a rivaroksabana 1,8 puta i povećanja od 1,6 puta vrijednosti C</w:t>
      </w:r>
      <w:r w:rsidRPr="007D7545">
        <w:rPr>
          <w:color w:val="000000"/>
          <w:sz w:val="22"/>
          <w:szCs w:val="22"/>
          <w:vertAlign w:val="subscript"/>
          <w:lang w:val="sr-Latn-ME"/>
        </w:rPr>
        <w:t xml:space="preserve">max </w:t>
      </w:r>
      <w:r w:rsidRPr="007D7545">
        <w:rPr>
          <w:color w:val="000000"/>
          <w:sz w:val="22"/>
          <w:szCs w:val="22"/>
          <w:lang w:val="sr-Latn-ME"/>
        </w:rPr>
        <w:t>rivaroksabana u poređenju sa pacijentima sa očuvanom funkcijom bubrega. Kod pacijenata sa um</w:t>
      </w:r>
      <w:r w:rsidR="00421D66" w:rsidRPr="007D7545">
        <w:rPr>
          <w:color w:val="000000"/>
          <w:sz w:val="22"/>
          <w:szCs w:val="22"/>
          <w:lang w:val="sr-Latn-ME"/>
        </w:rPr>
        <w:t>j</w:t>
      </w:r>
      <w:r w:rsidRPr="007D7545">
        <w:rPr>
          <w:color w:val="000000"/>
          <w:sz w:val="22"/>
          <w:szCs w:val="22"/>
          <w:lang w:val="sr-Latn-ME"/>
        </w:rPr>
        <w:t xml:space="preserve">erenim oštećenjem funkcije bubrega, primjena eritromicina je dovela do </w:t>
      </w:r>
      <w:r w:rsidRPr="007D7545">
        <w:rPr>
          <w:color w:val="000000"/>
          <w:sz w:val="22"/>
          <w:szCs w:val="22"/>
          <w:lang w:val="sr-Latn-ME"/>
        </w:rPr>
        <w:lastRenderedPageBreak/>
        <w:t>povećanja srednje PIK vrijednosti za rivaroksaban od 2,0 puta i do povećanja vrijednosti C</w:t>
      </w:r>
      <w:r w:rsidRPr="007D7545">
        <w:rPr>
          <w:color w:val="000000"/>
          <w:sz w:val="22"/>
          <w:szCs w:val="22"/>
          <w:vertAlign w:val="subscript"/>
          <w:lang w:val="sr-Latn-ME"/>
        </w:rPr>
        <w:t xml:space="preserve">max </w:t>
      </w:r>
      <w:r w:rsidRPr="007D7545">
        <w:rPr>
          <w:color w:val="000000"/>
          <w:sz w:val="22"/>
          <w:szCs w:val="22"/>
          <w:lang w:val="sr-Latn-ME"/>
        </w:rPr>
        <w:t>od 1,6 puta u poređenju sa pacijentima sa očuvanom funkcijom bubrega. Dejstvo eritromicina ima aditivni efekat na oštećenje funkcije bubrega (</w:t>
      </w:r>
      <w:r w:rsidR="00955E5C" w:rsidRPr="007D7545">
        <w:rPr>
          <w:color w:val="000000"/>
          <w:sz w:val="22"/>
          <w:szCs w:val="22"/>
          <w:lang w:val="sr-Latn-ME"/>
        </w:rPr>
        <w:t>pogledati dio</w:t>
      </w:r>
      <w:r w:rsidRPr="007D7545">
        <w:rPr>
          <w:color w:val="000000"/>
          <w:sz w:val="22"/>
          <w:szCs w:val="22"/>
          <w:lang w:val="sr-Latn-ME"/>
        </w:rPr>
        <w:t xml:space="preserve"> 4.4).</w:t>
      </w:r>
    </w:p>
    <w:p w14:paraId="54E261FE" w14:textId="77777777" w:rsidR="00421D66" w:rsidRPr="007D7545" w:rsidRDefault="00421D66" w:rsidP="005D101E">
      <w:pPr>
        <w:ind w:left="10" w:hanging="10"/>
        <w:jc w:val="both"/>
        <w:rPr>
          <w:color w:val="000000"/>
          <w:sz w:val="22"/>
          <w:szCs w:val="22"/>
          <w:lang w:val="sr-Latn-ME"/>
        </w:rPr>
      </w:pPr>
    </w:p>
    <w:p w14:paraId="45044EA9" w14:textId="77777777" w:rsidR="00421D66" w:rsidRPr="007D7545" w:rsidRDefault="001E010E" w:rsidP="005D101E">
      <w:pPr>
        <w:ind w:left="10" w:hanging="10"/>
        <w:jc w:val="both"/>
        <w:rPr>
          <w:color w:val="000000"/>
          <w:sz w:val="22"/>
          <w:szCs w:val="22"/>
          <w:lang w:val="sr-Latn-ME"/>
        </w:rPr>
      </w:pPr>
      <w:r w:rsidRPr="007D7545">
        <w:rPr>
          <w:color w:val="000000"/>
          <w:sz w:val="22"/>
          <w:szCs w:val="22"/>
          <w:lang w:val="sr-Latn-ME"/>
        </w:rPr>
        <w:t>Flukonazol (400 mg, jednom dnevno) koji um</w:t>
      </w:r>
      <w:r w:rsidR="00421D66" w:rsidRPr="007D7545">
        <w:rPr>
          <w:color w:val="000000"/>
          <w:sz w:val="22"/>
          <w:szCs w:val="22"/>
          <w:lang w:val="sr-Latn-ME"/>
        </w:rPr>
        <w:t>j</w:t>
      </w:r>
      <w:r w:rsidRPr="007D7545">
        <w:rPr>
          <w:color w:val="000000"/>
          <w:sz w:val="22"/>
          <w:szCs w:val="22"/>
          <w:lang w:val="sr-Latn-ME"/>
        </w:rPr>
        <w:t>ereno inhibira CYP3A4, povećao je srednju vrijednost PIK 1,4 puta i srednju vrijednost C</w:t>
      </w:r>
      <w:r w:rsidRPr="007D7545">
        <w:rPr>
          <w:color w:val="000000"/>
          <w:sz w:val="22"/>
          <w:szCs w:val="22"/>
          <w:vertAlign w:val="subscript"/>
          <w:lang w:val="sr-Latn-ME"/>
        </w:rPr>
        <w:t xml:space="preserve">max </w:t>
      </w:r>
      <w:r w:rsidRPr="007D7545">
        <w:rPr>
          <w:color w:val="000000"/>
          <w:sz w:val="22"/>
          <w:szCs w:val="22"/>
          <w:lang w:val="sr-Latn-ME"/>
        </w:rPr>
        <w:t>1,3 puta. Interakcija sa flukonazolom najv</w:t>
      </w:r>
      <w:r w:rsidR="00421D66" w:rsidRPr="007D7545">
        <w:rPr>
          <w:color w:val="000000"/>
          <w:sz w:val="22"/>
          <w:szCs w:val="22"/>
          <w:lang w:val="sr-Latn-ME"/>
        </w:rPr>
        <w:t>j</w:t>
      </w:r>
      <w:r w:rsidRPr="007D7545">
        <w:rPr>
          <w:color w:val="000000"/>
          <w:sz w:val="22"/>
          <w:szCs w:val="22"/>
          <w:lang w:val="sr-Latn-ME"/>
        </w:rPr>
        <w:t>erovatnije nije od relevantnog kliničkog značaja kod većine pacijenata, ali može biti potencijalno značajna kod visoko rizičnih pacijenata. (</w:t>
      </w:r>
      <w:r w:rsidRPr="007D7545">
        <w:rPr>
          <w:i/>
          <w:color w:val="000000"/>
          <w:sz w:val="22"/>
          <w:szCs w:val="22"/>
          <w:lang w:val="sr-Latn-ME"/>
        </w:rPr>
        <w:t>Za pacijente sa oštećenjem funkcije bubrega</w:t>
      </w:r>
      <w:r w:rsidR="00EB57AC" w:rsidRPr="007D7545">
        <w:rPr>
          <w:i/>
          <w:color w:val="000000"/>
          <w:sz w:val="22"/>
          <w:szCs w:val="22"/>
          <w:lang w:val="sr-Latn-ME"/>
        </w:rPr>
        <w:t>:</w:t>
      </w:r>
      <w:r w:rsidRPr="007D7545">
        <w:rPr>
          <w:i/>
          <w:color w:val="000000"/>
          <w:sz w:val="22"/>
          <w:szCs w:val="22"/>
          <w:lang w:val="sr-Latn-ME"/>
        </w:rPr>
        <w:t xml:space="preserve"> </w:t>
      </w:r>
      <w:r w:rsidR="00955E5C" w:rsidRPr="007D7545">
        <w:rPr>
          <w:color w:val="000000"/>
          <w:sz w:val="22"/>
          <w:szCs w:val="22"/>
          <w:lang w:val="sr-Latn-ME"/>
        </w:rPr>
        <w:t>pogledati dio</w:t>
      </w:r>
      <w:r w:rsidRPr="007D7545">
        <w:rPr>
          <w:color w:val="000000"/>
          <w:sz w:val="22"/>
          <w:szCs w:val="22"/>
          <w:lang w:val="sr-Latn-ME"/>
        </w:rPr>
        <w:t xml:space="preserve"> 4.4). </w:t>
      </w:r>
    </w:p>
    <w:p w14:paraId="30129BB8" w14:textId="07E70700"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 xml:space="preserve">  </w:t>
      </w:r>
    </w:p>
    <w:p w14:paraId="54EC9E76" w14:textId="019223FF"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S obzirom na ograničene dostupne kliničke podatke za dronedaron, istovremenu primjenu sa rivaroksabanom treba izbjegavati.</w:t>
      </w:r>
    </w:p>
    <w:p w14:paraId="5E7B9A98" w14:textId="77777777" w:rsidR="00421D66" w:rsidRPr="007D7545" w:rsidRDefault="00421D66" w:rsidP="005D101E">
      <w:pPr>
        <w:ind w:left="10" w:hanging="10"/>
        <w:jc w:val="both"/>
        <w:rPr>
          <w:color w:val="000000"/>
          <w:sz w:val="22"/>
          <w:szCs w:val="22"/>
          <w:lang w:val="sr-Latn-ME"/>
        </w:rPr>
      </w:pPr>
    </w:p>
    <w:p w14:paraId="1487ECB0" w14:textId="77777777" w:rsidR="001E010E" w:rsidRPr="007D7545" w:rsidRDefault="001E010E" w:rsidP="005D101E">
      <w:pPr>
        <w:keepNext/>
        <w:keepLines/>
        <w:ind w:left="10" w:hanging="10"/>
        <w:jc w:val="both"/>
        <w:outlineLvl w:val="3"/>
        <w:rPr>
          <w:i/>
          <w:color w:val="000000"/>
          <w:sz w:val="22"/>
          <w:szCs w:val="22"/>
          <w:u w:val="single" w:color="000000"/>
          <w:lang w:val="sr-Latn-ME"/>
        </w:rPr>
      </w:pPr>
      <w:r w:rsidRPr="007D7545">
        <w:rPr>
          <w:i/>
          <w:color w:val="000000"/>
          <w:sz w:val="22"/>
          <w:szCs w:val="22"/>
          <w:u w:val="single" w:color="000000"/>
          <w:lang w:val="sr-Latn-ME"/>
        </w:rPr>
        <w:t>Antikoagulansi</w:t>
      </w:r>
    </w:p>
    <w:p w14:paraId="3D8FCAEB" w14:textId="77777777"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Nakon istovremene primjene enoksaparina (40 mg, jedna doza) sa rivaroksabanom (10 mg, pojedinačna doza) zapažen je aditivni anti-faktor Xa efekat, bez bilo kakvog dodatnog uticaja na testove koagulacije (PT, aPTT). Enoksaparin nije uticao na farmakokinetiku rivaroksabana.</w:t>
      </w:r>
    </w:p>
    <w:p w14:paraId="50686EF0" w14:textId="0C0CA471"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Zbog povećanog rizika od krvarenja, potreban je oprez ukoliko se pacijenti istovremeno l</w:t>
      </w:r>
      <w:r w:rsidR="00421D66" w:rsidRPr="007D7545">
        <w:rPr>
          <w:color w:val="000000"/>
          <w:sz w:val="22"/>
          <w:szCs w:val="22"/>
          <w:lang w:val="sr-Latn-ME"/>
        </w:rPr>
        <w:t>ij</w:t>
      </w:r>
      <w:r w:rsidRPr="007D7545">
        <w:rPr>
          <w:color w:val="000000"/>
          <w:sz w:val="22"/>
          <w:szCs w:val="22"/>
          <w:lang w:val="sr-Latn-ME"/>
        </w:rPr>
        <w:t>eče sa bilo kojim drugim antikoagulansom (</w:t>
      </w:r>
      <w:r w:rsidR="00955E5C" w:rsidRPr="007D7545">
        <w:rPr>
          <w:color w:val="000000"/>
          <w:sz w:val="22"/>
          <w:szCs w:val="22"/>
          <w:lang w:val="sr-Latn-ME"/>
        </w:rPr>
        <w:t>pogledati djelove</w:t>
      </w:r>
      <w:r w:rsidRPr="007D7545">
        <w:rPr>
          <w:color w:val="000000"/>
          <w:sz w:val="22"/>
          <w:szCs w:val="22"/>
          <w:lang w:val="sr-Latn-ME"/>
        </w:rPr>
        <w:t xml:space="preserve"> 4.3 i 4.4).</w:t>
      </w:r>
    </w:p>
    <w:p w14:paraId="48160729" w14:textId="77777777" w:rsidR="00421D66" w:rsidRPr="007D7545" w:rsidRDefault="00421D66" w:rsidP="005D101E">
      <w:pPr>
        <w:ind w:left="10" w:hanging="10"/>
        <w:jc w:val="both"/>
        <w:rPr>
          <w:color w:val="000000"/>
          <w:sz w:val="22"/>
          <w:szCs w:val="22"/>
          <w:lang w:val="sr-Latn-ME"/>
        </w:rPr>
      </w:pPr>
    </w:p>
    <w:p w14:paraId="5174D7A9" w14:textId="77777777" w:rsidR="001E010E" w:rsidRPr="007D7545" w:rsidRDefault="001E010E" w:rsidP="005D101E">
      <w:pPr>
        <w:keepNext/>
        <w:keepLines/>
        <w:ind w:left="10" w:hanging="10"/>
        <w:jc w:val="both"/>
        <w:outlineLvl w:val="3"/>
        <w:rPr>
          <w:i/>
          <w:color w:val="000000"/>
          <w:sz w:val="22"/>
          <w:szCs w:val="22"/>
          <w:u w:val="single" w:color="000000"/>
          <w:lang w:val="sr-Latn-ME"/>
        </w:rPr>
      </w:pPr>
      <w:r w:rsidRPr="007D7545">
        <w:rPr>
          <w:i/>
          <w:color w:val="000000"/>
          <w:sz w:val="22"/>
          <w:szCs w:val="22"/>
          <w:u w:val="single" w:color="000000"/>
          <w:lang w:val="sr-Latn-ME"/>
        </w:rPr>
        <w:t>NSAIL/inhibitori agregacije trombocita</w:t>
      </w:r>
    </w:p>
    <w:p w14:paraId="0A824C82" w14:textId="68E71667"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Nije prim</w:t>
      </w:r>
      <w:r w:rsidR="00E42690" w:rsidRPr="007D7545">
        <w:rPr>
          <w:color w:val="000000"/>
          <w:sz w:val="22"/>
          <w:szCs w:val="22"/>
          <w:lang w:val="sr-Latn-ME"/>
        </w:rPr>
        <w:t>i</w:t>
      </w:r>
      <w:r w:rsidRPr="007D7545">
        <w:rPr>
          <w:color w:val="000000"/>
          <w:sz w:val="22"/>
          <w:szCs w:val="22"/>
          <w:lang w:val="sr-Latn-ME"/>
        </w:rPr>
        <w:t>jećeno klinički značajno produženje vremena krvarenja posl</w:t>
      </w:r>
      <w:r w:rsidR="00E42690" w:rsidRPr="007D7545">
        <w:rPr>
          <w:color w:val="000000"/>
          <w:sz w:val="22"/>
          <w:szCs w:val="22"/>
          <w:lang w:val="sr-Latn-ME"/>
        </w:rPr>
        <w:t>ij</w:t>
      </w:r>
      <w:r w:rsidRPr="007D7545">
        <w:rPr>
          <w:color w:val="000000"/>
          <w:sz w:val="22"/>
          <w:szCs w:val="22"/>
          <w:lang w:val="sr-Latn-ME"/>
        </w:rPr>
        <w:t>e istovremene primjene rivaroksabana (15 mg) i 500 mg naproksena. Uprkos tome, kod pojedinaca, farmakodinamski odgovor može biti izraženiji. Ni</w:t>
      </w:r>
      <w:r w:rsidR="00E42690" w:rsidRPr="007D7545">
        <w:rPr>
          <w:color w:val="000000"/>
          <w:sz w:val="22"/>
          <w:szCs w:val="22"/>
          <w:lang w:val="sr-Latn-ME"/>
        </w:rPr>
        <w:t>je</w:t>
      </w:r>
      <w:r w:rsidRPr="007D7545">
        <w:rPr>
          <w:color w:val="000000"/>
          <w:sz w:val="22"/>
          <w:szCs w:val="22"/>
          <w:lang w:val="sr-Latn-ME"/>
        </w:rPr>
        <w:t>su zapažene klinički značajne farmakokinetičke ili farmakodinamske interakcije kada je rivaroksaban prim</w:t>
      </w:r>
      <w:r w:rsidR="00E42690" w:rsidRPr="007D7545">
        <w:rPr>
          <w:color w:val="000000"/>
          <w:sz w:val="22"/>
          <w:szCs w:val="22"/>
          <w:lang w:val="sr-Latn-ME"/>
        </w:rPr>
        <w:t>i</w:t>
      </w:r>
      <w:r w:rsidRPr="007D7545">
        <w:rPr>
          <w:color w:val="000000"/>
          <w:sz w:val="22"/>
          <w:szCs w:val="22"/>
          <w:lang w:val="sr-Latn-ME"/>
        </w:rPr>
        <w:t xml:space="preserve">jenjen u kombinaciji sa 500 mg acetilsalicilne kiseline. </w:t>
      </w:r>
    </w:p>
    <w:p w14:paraId="43BDD019" w14:textId="6885B8EF"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Klopidogrel (početna doza od 300 mg, a zatim doza održavanja od 75 mg) nije pokazao farmakokinetičku interakciju sa rivaroksabanom (15 mg), ali je u jednoj podgrupi pacijenata prim</w:t>
      </w:r>
      <w:r w:rsidR="00E42690" w:rsidRPr="007D7545">
        <w:rPr>
          <w:color w:val="000000"/>
          <w:sz w:val="22"/>
          <w:szCs w:val="22"/>
          <w:lang w:val="sr-Latn-ME"/>
        </w:rPr>
        <w:t>i</w:t>
      </w:r>
      <w:r w:rsidRPr="007D7545">
        <w:rPr>
          <w:color w:val="000000"/>
          <w:sz w:val="22"/>
          <w:szCs w:val="22"/>
          <w:lang w:val="sr-Latn-ME"/>
        </w:rPr>
        <w:t xml:space="preserve">jećeno značajno produženje vremena krvarenja koje nije koreliralo sa agregacijom trombocita, nivoima P-selektina ili GPIIb/IIIa receptora. </w:t>
      </w:r>
    </w:p>
    <w:p w14:paraId="63E523C0" w14:textId="74391B59" w:rsidR="001E010E" w:rsidRPr="007D7545" w:rsidRDefault="001E010E" w:rsidP="005D101E">
      <w:pPr>
        <w:ind w:hanging="10"/>
        <w:jc w:val="both"/>
        <w:rPr>
          <w:color w:val="000000"/>
          <w:sz w:val="22"/>
          <w:szCs w:val="22"/>
          <w:lang w:val="sr-Latn-ME"/>
        </w:rPr>
      </w:pPr>
      <w:r w:rsidRPr="007D7545">
        <w:rPr>
          <w:color w:val="000000"/>
          <w:sz w:val="22"/>
          <w:szCs w:val="22"/>
          <w:lang w:val="sr-Latn-ME"/>
        </w:rPr>
        <w:t>Potreban je oprez ukoliko su pacijenti istovremeno na terapiji sa NSAIL (uključujući acetilsalicilnu kiselinu) i inhibitorima agregacije trombocita, pošto je za ove ljekove karakteristično da povećavaju rizik od krvarenja (</w:t>
      </w:r>
      <w:r w:rsidR="00955E5C" w:rsidRPr="007D7545">
        <w:rPr>
          <w:color w:val="000000"/>
          <w:sz w:val="22"/>
          <w:szCs w:val="22"/>
          <w:lang w:val="sr-Latn-ME"/>
        </w:rPr>
        <w:t>pogledati dio</w:t>
      </w:r>
      <w:r w:rsidRPr="007D7545">
        <w:rPr>
          <w:color w:val="000000"/>
          <w:sz w:val="22"/>
          <w:szCs w:val="22"/>
          <w:lang w:val="sr-Latn-ME"/>
        </w:rPr>
        <w:t xml:space="preserve"> 4.4).</w:t>
      </w:r>
    </w:p>
    <w:p w14:paraId="4DDB1D5E" w14:textId="77777777" w:rsidR="00E42690" w:rsidRPr="007D7545" w:rsidRDefault="00E42690" w:rsidP="005D101E">
      <w:pPr>
        <w:ind w:hanging="10"/>
        <w:jc w:val="both"/>
        <w:rPr>
          <w:color w:val="000000"/>
          <w:sz w:val="22"/>
          <w:szCs w:val="22"/>
          <w:lang w:val="sr-Latn-ME"/>
        </w:rPr>
      </w:pPr>
    </w:p>
    <w:p w14:paraId="68996054" w14:textId="77777777" w:rsidR="001E010E" w:rsidRPr="007D7545" w:rsidRDefault="001E010E" w:rsidP="005D101E">
      <w:pPr>
        <w:keepNext/>
        <w:keepLines/>
        <w:ind w:hanging="10"/>
        <w:jc w:val="both"/>
        <w:outlineLvl w:val="3"/>
        <w:rPr>
          <w:i/>
          <w:color w:val="000000"/>
          <w:sz w:val="22"/>
          <w:szCs w:val="22"/>
          <w:u w:val="single" w:color="000000"/>
          <w:lang w:val="sr-Latn-ME"/>
        </w:rPr>
      </w:pPr>
      <w:r w:rsidRPr="007D7545">
        <w:rPr>
          <w:i/>
          <w:color w:val="000000"/>
          <w:sz w:val="22"/>
          <w:szCs w:val="22"/>
          <w:u w:val="single" w:color="000000"/>
          <w:lang w:val="sr-Latn-ME"/>
        </w:rPr>
        <w:t>SSRI/SNRI</w:t>
      </w:r>
      <w:r w:rsidRPr="007D7545">
        <w:rPr>
          <w:i/>
          <w:color w:val="000000"/>
          <w:sz w:val="22"/>
          <w:szCs w:val="22"/>
          <w:u w:color="000000"/>
          <w:lang w:val="sr-Latn-ME"/>
        </w:rPr>
        <w:t xml:space="preserve"> </w:t>
      </w:r>
    </w:p>
    <w:p w14:paraId="5F115FB7" w14:textId="5C0D395F" w:rsidR="001E010E" w:rsidRPr="007D7545" w:rsidRDefault="001E010E" w:rsidP="005D101E">
      <w:pPr>
        <w:ind w:hanging="10"/>
        <w:jc w:val="both"/>
        <w:rPr>
          <w:color w:val="000000"/>
          <w:sz w:val="22"/>
          <w:szCs w:val="22"/>
          <w:lang w:val="sr-Latn-ME"/>
        </w:rPr>
      </w:pPr>
      <w:r w:rsidRPr="007D7545">
        <w:rPr>
          <w:color w:val="000000"/>
          <w:sz w:val="22"/>
          <w:szCs w:val="22"/>
          <w:lang w:val="sr-Latn-ME"/>
        </w:rPr>
        <w:t>Kao i kod drugih antikoagulanasa, postoji mogućnost da su pacijenti izloženi većem riziku od krvarenje kod istovremene primjene rivaroksabana sa SSRI i SNRI zbog prijavljenog efekta ovih ljekova na trombocite. Kod istovremene primjene SSRI/SNRI i rivaroksabana u kliničkim ispitivanjima, prim</w:t>
      </w:r>
      <w:r w:rsidR="00E42690" w:rsidRPr="007D7545">
        <w:rPr>
          <w:color w:val="000000"/>
          <w:sz w:val="22"/>
          <w:szCs w:val="22"/>
          <w:lang w:val="sr-Latn-ME"/>
        </w:rPr>
        <w:t>i</w:t>
      </w:r>
      <w:r w:rsidRPr="007D7545">
        <w:rPr>
          <w:color w:val="000000"/>
          <w:sz w:val="22"/>
          <w:szCs w:val="22"/>
          <w:lang w:val="sr-Latn-ME"/>
        </w:rPr>
        <w:t>jećena je numerički veća stopa obilnih ili klinički značajnih krvarenja koja ni</w:t>
      </w:r>
      <w:r w:rsidR="00E42690" w:rsidRPr="007D7545">
        <w:rPr>
          <w:color w:val="000000"/>
          <w:sz w:val="22"/>
          <w:szCs w:val="22"/>
          <w:lang w:val="sr-Latn-ME"/>
        </w:rPr>
        <w:t>je</w:t>
      </w:r>
      <w:r w:rsidRPr="007D7545">
        <w:rPr>
          <w:color w:val="000000"/>
          <w:sz w:val="22"/>
          <w:szCs w:val="22"/>
          <w:lang w:val="sr-Latn-ME"/>
        </w:rPr>
        <w:t>su klasifikovana kao obilna u svim terapijskim grupama.</w:t>
      </w:r>
    </w:p>
    <w:p w14:paraId="3891CA38" w14:textId="77777777" w:rsidR="001E010E" w:rsidRPr="007D7545" w:rsidRDefault="001E010E" w:rsidP="005D101E">
      <w:pPr>
        <w:keepNext/>
        <w:keepLines/>
        <w:ind w:hanging="14"/>
        <w:jc w:val="both"/>
        <w:outlineLvl w:val="3"/>
        <w:rPr>
          <w:i/>
          <w:color w:val="000000"/>
          <w:sz w:val="22"/>
          <w:szCs w:val="22"/>
          <w:u w:val="single" w:color="000000"/>
          <w:lang w:val="sr-Latn-ME"/>
        </w:rPr>
      </w:pPr>
      <w:r w:rsidRPr="007D7545">
        <w:rPr>
          <w:i/>
          <w:color w:val="000000"/>
          <w:sz w:val="22"/>
          <w:szCs w:val="22"/>
          <w:u w:val="single" w:color="000000"/>
          <w:lang w:val="sr-Latn-ME"/>
        </w:rPr>
        <w:t>Varfarin</w:t>
      </w:r>
    </w:p>
    <w:p w14:paraId="50CCBDBD" w14:textId="42243A23" w:rsidR="00E42690" w:rsidRPr="007D7545" w:rsidRDefault="001E010E" w:rsidP="005D101E">
      <w:pPr>
        <w:ind w:hanging="14"/>
        <w:jc w:val="both"/>
        <w:rPr>
          <w:color w:val="000000"/>
          <w:sz w:val="22"/>
          <w:szCs w:val="22"/>
          <w:lang w:val="sr-Latn-ME"/>
        </w:rPr>
      </w:pPr>
      <w:r w:rsidRPr="007D7545">
        <w:rPr>
          <w:color w:val="000000"/>
          <w:sz w:val="22"/>
          <w:szCs w:val="22"/>
          <w:lang w:val="sr-Latn-ME"/>
        </w:rPr>
        <w:t>Prevođenjem pacijenata sa terapije antagonistom vitamina K, varfarinom (INR 2,0 do 3,0) na rivaroksaban (20 mg) ili sa rivaroksabana (20 mg) na varfarin (INR 2,0 do 3,0) produženo je protrombinsko vr</w:t>
      </w:r>
      <w:r w:rsidR="00E42690" w:rsidRPr="007D7545">
        <w:rPr>
          <w:color w:val="000000"/>
          <w:sz w:val="22"/>
          <w:szCs w:val="22"/>
          <w:lang w:val="sr-Latn-ME"/>
        </w:rPr>
        <w:t>ij</w:t>
      </w:r>
      <w:r w:rsidRPr="007D7545">
        <w:rPr>
          <w:color w:val="000000"/>
          <w:sz w:val="22"/>
          <w:szCs w:val="22"/>
          <w:lang w:val="sr-Latn-ME"/>
        </w:rPr>
        <w:t>eme/INR (Neoplastin) više nego aditivno (mogu se uočiti pojedinačne INR vrijednosti do 12), dok je uticaj na aPTT, inhibiciju aktivnosti faktora Xa i endogeni trombin potencijal bio aditivan.</w:t>
      </w:r>
    </w:p>
    <w:p w14:paraId="4C079EE9" w14:textId="058B6C77" w:rsidR="001E010E" w:rsidRPr="007D7545" w:rsidRDefault="001E010E" w:rsidP="005D101E">
      <w:pPr>
        <w:ind w:hanging="14"/>
        <w:jc w:val="both"/>
        <w:rPr>
          <w:color w:val="000000"/>
          <w:sz w:val="22"/>
          <w:szCs w:val="22"/>
          <w:lang w:val="sr-Latn-ME"/>
        </w:rPr>
      </w:pPr>
      <w:r w:rsidRPr="007D7545">
        <w:rPr>
          <w:color w:val="000000"/>
          <w:sz w:val="22"/>
          <w:szCs w:val="22"/>
          <w:lang w:val="sr-Latn-ME"/>
        </w:rPr>
        <w:t xml:space="preserve"> </w:t>
      </w:r>
    </w:p>
    <w:p w14:paraId="5B681EF1" w14:textId="5C73CB9F" w:rsidR="001E010E" w:rsidRPr="007D7545" w:rsidRDefault="001E010E" w:rsidP="005D101E">
      <w:pPr>
        <w:ind w:hanging="10"/>
        <w:jc w:val="both"/>
        <w:rPr>
          <w:color w:val="000000"/>
          <w:sz w:val="22"/>
          <w:szCs w:val="22"/>
          <w:lang w:val="sr-Latn-ME"/>
        </w:rPr>
      </w:pPr>
      <w:r w:rsidRPr="007D7545">
        <w:rPr>
          <w:color w:val="000000"/>
          <w:sz w:val="22"/>
          <w:szCs w:val="22"/>
          <w:lang w:val="sr-Latn-ME"/>
        </w:rPr>
        <w:t>Ukoliko je potrebno ispitivanje farmakodinamskih efekata rivaroksabana tokom perioda prevođenja, mogu se koristiti aktivnost anti-faktora Xa, PiCT i Heptest jer varfarin nije imao uticaj na njih. Četvrtog dana nakon posl</w:t>
      </w:r>
      <w:r w:rsidR="00E42690" w:rsidRPr="007D7545">
        <w:rPr>
          <w:color w:val="000000"/>
          <w:sz w:val="22"/>
          <w:szCs w:val="22"/>
          <w:lang w:val="sr-Latn-ME"/>
        </w:rPr>
        <w:t>j</w:t>
      </w:r>
      <w:r w:rsidRPr="007D7545">
        <w:rPr>
          <w:color w:val="000000"/>
          <w:sz w:val="22"/>
          <w:szCs w:val="22"/>
          <w:lang w:val="sr-Latn-ME"/>
        </w:rPr>
        <w:t xml:space="preserve">ednje doze varfarina, svi testovi (uključujući PT, aPTT, inhibiciju aktivnosti faktora Xa i ETP) su odražavali samo uticaj rivaroksabana. </w:t>
      </w:r>
    </w:p>
    <w:p w14:paraId="4477FCA3" w14:textId="650C67A9" w:rsidR="001E010E" w:rsidRPr="007D7545" w:rsidRDefault="001E010E" w:rsidP="005D101E">
      <w:pPr>
        <w:ind w:hanging="11"/>
        <w:jc w:val="both"/>
        <w:rPr>
          <w:color w:val="000000"/>
          <w:sz w:val="22"/>
          <w:szCs w:val="22"/>
          <w:lang w:val="sr-Latn-ME"/>
        </w:rPr>
      </w:pPr>
      <w:r w:rsidRPr="007D7545">
        <w:rPr>
          <w:color w:val="000000"/>
          <w:sz w:val="22"/>
          <w:szCs w:val="22"/>
          <w:lang w:val="sr-Latn-ME"/>
        </w:rPr>
        <w:t>Ukoliko je potrebno ispitivanje farmakodinamskih efekata varfarina tokom perioda prevođenja, m</w:t>
      </w:r>
      <w:r w:rsidR="00E42690" w:rsidRPr="007D7545">
        <w:rPr>
          <w:color w:val="000000"/>
          <w:sz w:val="22"/>
          <w:szCs w:val="22"/>
          <w:lang w:val="sr-Latn-ME"/>
        </w:rPr>
        <w:t>j</w:t>
      </w:r>
      <w:r w:rsidRPr="007D7545">
        <w:rPr>
          <w:color w:val="000000"/>
          <w:sz w:val="22"/>
          <w:szCs w:val="22"/>
          <w:lang w:val="sr-Latn-ME"/>
        </w:rPr>
        <w:t>erenje INR se može koristiti za C</w:t>
      </w:r>
      <w:r w:rsidRPr="007D7545">
        <w:rPr>
          <w:color w:val="000000"/>
          <w:sz w:val="22"/>
          <w:szCs w:val="22"/>
          <w:vertAlign w:val="subscript"/>
          <w:lang w:val="sr-Latn-ME"/>
        </w:rPr>
        <w:t xml:space="preserve">trough </w:t>
      </w:r>
      <w:r w:rsidRPr="007D7545">
        <w:rPr>
          <w:color w:val="000000"/>
          <w:sz w:val="22"/>
          <w:szCs w:val="22"/>
          <w:lang w:val="sr-Latn-ME"/>
        </w:rPr>
        <w:t>rivaroksabana (koncentracija lijeka na kraju doznog intervala, 24 sata nakon prethodnog unošenja rivaroksabana) jer rivaroksaban minimalno utiče na test u tom trenutku.</w:t>
      </w:r>
    </w:p>
    <w:p w14:paraId="2CBE4340" w14:textId="77777777" w:rsidR="00E42690" w:rsidRPr="007D7545" w:rsidRDefault="00E42690" w:rsidP="005D101E">
      <w:pPr>
        <w:ind w:hanging="11"/>
        <w:jc w:val="both"/>
        <w:rPr>
          <w:color w:val="000000"/>
          <w:sz w:val="22"/>
          <w:szCs w:val="22"/>
          <w:lang w:val="sr-Latn-ME"/>
        </w:rPr>
      </w:pPr>
    </w:p>
    <w:p w14:paraId="4A23C112" w14:textId="77777777" w:rsidR="001E010E" w:rsidRPr="007D7545" w:rsidRDefault="001E010E" w:rsidP="005D101E">
      <w:pPr>
        <w:ind w:hanging="11"/>
        <w:jc w:val="both"/>
        <w:rPr>
          <w:color w:val="000000"/>
          <w:sz w:val="22"/>
          <w:szCs w:val="22"/>
          <w:lang w:val="sr-Latn-ME"/>
        </w:rPr>
      </w:pPr>
      <w:r w:rsidRPr="007D7545">
        <w:rPr>
          <w:color w:val="000000"/>
          <w:sz w:val="22"/>
          <w:szCs w:val="22"/>
          <w:lang w:val="sr-Latn-ME"/>
        </w:rPr>
        <w:t>Nije zapažena bilo kakva farmakokinetička interakcija između varfarina i rivaroksabana.</w:t>
      </w:r>
    </w:p>
    <w:p w14:paraId="58B2B0CB" w14:textId="77777777" w:rsidR="001E010E" w:rsidRPr="007D7545" w:rsidRDefault="001E010E" w:rsidP="005D101E">
      <w:pPr>
        <w:ind w:hanging="11"/>
        <w:jc w:val="both"/>
        <w:rPr>
          <w:color w:val="000000"/>
          <w:sz w:val="22"/>
          <w:szCs w:val="22"/>
          <w:lang w:val="sr-Latn-ME"/>
        </w:rPr>
      </w:pPr>
    </w:p>
    <w:p w14:paraId="5A35531B" w14:textId="77777777" w:rsidR="001E010E" w:rsidRPr="007D7545" w:rsidRDefault="001E010E" w:rsidP="005D101E">
      <w:pPr>
        <w:keepNext/>
        <w:keepLines/>
        <w:ind w:hanging="10"/>
        <w:jc w:val="both"/>
        <w:outlineLvl w:val="3"/>
        <w:rPr>
          <w:i/>
          <w:color w:val="000000"/>
          <w:sz w:val="22"/>
          <w:szCs w:val="22"/>
          <w:u w:val="single" w:color="000000"/>
          <w:lang w:val="sr-Latn-ME"/>
        </w:rPr>
      </w:pPr>
      <w:r w:rsidRPr="007D7545">
        <w:rPr>
          <w:i/>
          <w:color w:val="000000"/>
          <w:sz w:val="22"/>
          <w:szCs w:val="22"/>
          <w:u w:val="single" w:color="000000"/>
          <w:lang w:val="sr-Latn-ME"/>
        </w:rPr>
        <w:lastRenderedPageBreak/>
        <w:t>Induktori CYP3A4</w:t>
      </w:r>
    </w:p>
    <w:p w14:paraId="53C7CAA4" w14:textId="77777777" w:rsidR="00E42690" w:rsidRPr="007D7545" w:rsidRDefault="001E010E" w:rsidP="005D101E">
      <w:pPr>
        <w:ind w:hanging="10"/>
        <w:jc w:val="both"/>
        <w:rPr>
          <w:color w:val="000000"/>
          <w:sz w:val="22"/>
          <w:szCs w:val="22"/>
          <w:lang w:val="sr-Latn-ME"/>
        </w:rPr>
      </w:pPr>
      <w:r w:rsidRPr="007D7545">
        <w:rPr>
          <w:color w:val="000000"/>
          <w:sz w:val="22"/>
          <w:szCs w:val="22"/>
          <w:lang w:val="sr-Latn-ME"/>
        </w:rPr>
        <w:t>Istovremena primjena rivaroksabana i rifampicina, snažnog induktora CYP3A4, za približno 50% smanjivala je srednju vrijednost PIK rivaroksabana, sa paralelnim smanjivanjem njegovih farmakodinamskih efekata. Istovremena primjena rivaroksabana sa drugim snažnim induktorima CYP3A4 (npr. fenitoin, karbamazepin, fenobarbiton ili kantarion (</w:t>
      </w:r>
      <w:r w:rsidRPr="007D7545">
        <w:rPr>
          <w:i/>
          <w:color w:val="000000"/>
          <w:sz w:val="22"/>
          <w:szCs w:val="22"/>
          <w:lang w:val="sr-Latn-ME"/>
        </w:rPr>
        <w:t>Hypericum perforatum</w:t>
      </w:r>
      <w:r w:rsidRPr="007D7545">
        <w:rPr>
          <w:color w:val="000000"/>
          <w:sz w:val="22"/>
          <w:szCs w:val="22"/>
          <w:lang w:val="sr-Latn-ME"/>
        </w:rPr>
        <w:t>)) može takođe smanjiti koncentraciju rivaroksabana u plazmi. Zbog toga, istovremenu primjenu snažnih induktora CYP3A4 treba izbjegavati, osim ukoliko pacijent nije pod stalnim praćenjem zbog moguće pojave znakova i simptoma tromboze.</w:t>
      </w:r>
    </w:p>
    <w:p w14:paraId="4AC21A36" w14:textId="025EE5CE" w:rsidR="001E010E" w:rsidRPr="007D7545" w:rsidRDefault="001E010E" w:rsidP="005D101E">
      <w:pPr>
        <w:ind w:hanging="10"/>
        <w:jc w:val="both"/>
        <w:rPr>
          <w:color w:val="000000"/>
          <w:sz w:val="22"/>
          <w:szCs w:val="22"/>
          <w:lang w:val="sr-Latn-ME"/>
        </w:rPr>
      </w:pPr>
    </w:p>
    <w:p w14:paraId="13745692" w14:textId="77777777" w:rsidR="001E010E" w:rsidRPr="007D7545" w:rsidRDefault="001E010E" w:rsidP="005D101E">
      <w:pPr>
        <w:keepNext/>
        <w:keepLines/>
        <w:ind w:hanging="10"/>
        <w:jc w:val="both"/>
        <w:outlineLvl w:val="3"/>
        <w:rPr>
          <w:i/>
          <w:color w:val="000000"/>
          <w:sz w:val="22"/>
          <w:szCs w:val="22"/>
          <w:u w:val="single" w:color="000000"/>
          <w:lang w:val="sr-Latn-ME"/>
        </w:rPr>
      </w:pPr>
      <w:r w:rsidRPr="007D7545">
        <w:rPr>
          <w:i/>
          <w:color w:val="000000"/>
          <w:sz w:val="22"/>
          <w:szCs w:val="22"/>
          <w:u w:val="single" w:color="000000"/>
          <w:lang w:val="sr-Latn-ME"/>
        </w:rPr>
        <w:t>Interakcije sa ostalim ljekovima</w:t>
      </w:r>
    </w:p>
    <w:p w14:paraId="7129E76B" w14:textId="657AF0D6" w:rsidR="001E010E" w:rsidRPr="007D7545" w:rsidRDefault="001E010E" w:rsidP="005D101E">
      <w:pPr>
        <w:ind w:hanging="10"/>
        <w:jc w:val="both"/>
        <w:rPr>
          <w:color w:val="000000"/>
          <w:sz w:val="22"/>
          <w:szCs w:val="22"/>
          <w:lang w:val="sr-Latn-ME"/>
        </w:rPr>
      </w:pPr>
      <w:r w:rsidRPr="007D7545">
        <w:rPr>
          <w:color w:val="000000"/>
          <w:sz w:val="22"/>
          <w:szCs w:val="22"/>
          <w:lang w:val="sr-Latn-ME"/>
        </w:rPr>
        <w:t>Ni</w:t>
      </w:r>
      <w:r w:rsidR="00E42690" w:rsidRPr="007D7545">
        <w:rPr>
          <w:color w:val="000000"/>
          <w:sz w:val="22"/>
          <w:szCs w:val="22"/>
          <w:lang w:val="sr-Latn-ME"/>
        </w:rPr>
        <w:t>je</w:t>
      </w:r>
      <w:r w:rsidRPr="007D7545">
        <w:rPr>
          <w:color w:val="000000"/>
          <w:sz w:val="22"/>
          <w:szCs w:val="22"/>
          <w:lang w:val="sr-Latn-ME"/>
        </w:rPr>
        <w:t xml:space="preserve">su zapažene klinički značajne farmakokinetičke ili farmakodinamske interakcije pri istovremenoj </w:t>
      </w:r>
      <w:r w:rsidR="00683FA1" w:rsidRPr="007D7545">
        <w:rPr>
          <w:color w:val="000000"/>
          <w:sz w:val="22"/>
          <w:szCs w:val="22"/>
          <w:lang w:val="sr-Latn-ME"/>
        </w:rPr>
        <w:t>primjeni</w:t>
      </w:r>
      <w:r w:rsidRPr="007D7545">
        <w:rPr>
          <w:color w:val="000000"/>
          <w:sz w:val="22"/>
          <w:szCs w:val="22"/>
          <w:lang w:val="sr-Latn-ME"/>
        </w:rPr>
        <w:t xml:space="preserve"> rivaroksabana sa midazolamom (supstrat za CYP3A4), digoksinom (supstrat za P-gp transporter) ili atorvastatinom (supstrat za CYP3A4 i P-gp transporter) ili omeprazolom (inhibitor protonske pumpe). Rivaroksaban ne dovodi do indukcije niti do inhibicije bilo kog važnijeg izoenzima CYP, kao što je CYP3A4.</w:t>
      </w:r>
    </w:p>
    <w:p w14:paraId="6F9FDF8A" w14:textId="4541E6E0" w:rsidR="001E010E" w:rsidRPr="007D7545" w:rsidRDefault="001E010E" w:rsidP="005D101E">
      <w:pPr>
        <w:ind w:hanging="10"/>
        <w:jc w:val="both"/>
        <w:rPr>
          <w:color w:val="000000"/>
          <w:sz w:val="22"/>
          <w:szCs w:val="22"/>
          <w:lang w:val="sr-Latn-ME"/>
        </w:rPr>
      </w:pPr>
      <w:r w:rsidRPr="007D7545">
        <w:rPr>
          <w:color w:val="000000"/>
          <w:sz w:val="22"/>
          <w:szCs w:val="22"/>
          <w:lang w:val="sr-Latn-ME"/>
        </w:rPr>
        <w:t>Nije bilo klinički značajnih interakcija sa hranom (</w:t>
      </w:r>
      <w:r w:rsidR="00955E5C" w:rsidRPr="007D7545">
        <w:rPr>
          <w:color w:val="000000"/>
          <w:sz w:val="22"/>
          <w:szCs w:val="22"/>
          <w:lang w:val="sr-Latn-ME"/>
        </w:rPr>
        <w:t>pogledati dio</w:t>
      </w:r>
      <w:r w:rsidRPr="007D7545">
        <w:rPr>
          <w:color w:val="000000"/>
          <w:sz w:val="22"/>
          <w:szCs w:val="22"/>
          <w:lang w:val="sr-Latn-ME"/>
        </w:rPr>
        <w:t xml:space="preserve"> 4.2).</w:t>
      </w:r>
    </w:p>
    <w:p w14:paraId="0C43032F" w14:textId="77777777" w:rsidR="00E42690" w:rsidRPr="007D7545" w:rsidRDefault="00E42690" w:rsidP="005D101E">
      <w:pPr>
        <w:ind w:hanging="10"/>
        <w:jc w:val="both"/>
        <w:rPr>
          <w:color w:val="000000"/>
          <w:sz w:val="22"/>
          <w:szCs w:val="22"/>
          <w:lang w:val="sr-Latn-ME"/>
        </w:rPr>
      </w:pPr>
    </w:p>
    <w:p w14:paraId="634FB215" w14:textId="77777777" w:rsidR="001E010E" w:rsidRPr="007D7545" w:rsidRDefault="001E010E" w:rsidP="005D101E">
      <w:pPr>
        <w:keepNext/>
        <w:keepLines/>
        <w:ind w:hanging="10"/>
        <w:jc w:val="both"/>
        <w:outlineLvl w:val="3"/>
        <w:rPr>
          <w:i/>
          <w:color w:val="000000"/>
          <w:sz w:val="22"/>
          <w:szCs w:val="22"/>
          <w:u w:val="single" w:color="000000"/>
          <w:lang w:val="sr-Latn-ME"/>
        </w:rPr>
      </w:pPr>
      <w:r w:rsidRPr="007D7545">
        <w:rPr>
          <w:i/>
          <w:color w:val="000000"/>
          <w:sz w:val="22"/>
          <w:szCs w:val="22"/>
          <w:u w:val="single" w:color="000000"/>
          <w:lang w:val="sr-Latn-ME"/>
        </w:rPr>
        <w:t>Laboratorijski parametri</w:t>
      </w:r>
    </w:p>
    <w:p w14:paraId="036FC0B3" w14:textId="0DA2BFB8" w:rsidR="001E010E" w:rsidRPr="007D7545" w:rsidRDefault="001E010E" w:rsidP="005D101E">
      <w:pPr>
        <w:ind w:hanging="10"/>
        <w:jc w:val="both"/>
        <w:rPr>
          <w:color w:val="000000"/>
          <w:sz w:val="22"/>
          <w:szCs w:val="22"/>
          <w:lang w:val="sr-Latn-ME"/>
        </w:rPr>
      </w:pPr>
      <w:r w:rsidRPr="007D7545">
        <w:rPr>
          <w:color w:val="000000"/>
          <w:sz w:val="22"/>
          <w:szCs w:val="22"/>
          <w:lang w:val="sr-Latn-ME"/>
        </w:rPr>
        <w:t>Parametri koagulacije (npr. PT, aPTT, HepTest) mijenjaju se, kako se i očekuje, zbog mehanizma djelovanja rivaroksabana (</w:t>
      </w:r>
      <w:r w:rsidR="00955E5C" w:rsidRPr="007D7545">
        <w:rPr>
          <w:color w:val="000000"/>
          <w:sz w:val="22"/>
          <w:szCs w:val="22"/>
          <w:lang w:val="sr-Latn-ME"/>
        </w:rPr>
        <w:t>pogledati dio</w:t>
      </w:r>
      <w:r w:rsidRPr="007D7545">
        <w:rPr>
          <w:color w:val="000000"/>
          <w:sz w:val="22"/>
          <w:szCs w:val="22"/>
          <w:lang w:val="sr-Latn-ME"/>
        </w:rPr>
        <w:t xml:space="preserve"> 5.1). </w:t>
      </w:r>
    </w:p>
    <w:p w14:paraId="1F326B95" w14:textId="77777777" w:rsidR="0072020E" w:rsidRPr="007D7545" w:rsidRDefault="0072020E" w:rsidP="005D101E">
      <w:pPr>
        <w:tabs>
          <w:tab w:val="left" w:pos="540"/>
          <w:tab w:val="left" w:pos="569"/>
        </w:tabs>
        <w:jc w:val="both"/>
        <w:rPr>
          <w:bCs/>
          <w:sz w:val="22"/>
          <w:szCs w:val="22"/>
          <w:lang w:val="sr-Latn-ME"/>
        </w:rPr>
      </w:pPr>
    </w:p>
    <w:p w14:paraId="6C55EA33" w14:textId="77777777" w:rsidR="0072020E" w:rsidRPr="007D7545" w:rsidRDefault="0072020E" w:rsidP="005D101E">
      <w:pPr>
        <w:tabs>
          <w:tab w:val="left" w:pos="540"/>
          <w:tab w:val="left" w:pos="569"/>
        </w:tabs>
        <w:jc w:val="both"/>
        <w:rPr>
          <w:b/>
          <w:sz w:val="22"/>
          <w:szCs w:val="22"/>
          <w:lang w:val="sr-Latn-ME"/>
        </w:rPr>
      </w:pPr>
      <w:r w:rsidRPr="007D7545">
        <w:rPr>
          <w:b/>
          <w:bCs/>
          <w:sz w:val="22"/>
          <w:szCs w:val="22"/>
          <w:lang w:val="sr-Latn-ME"/>
        </w:rPr>
        <w:t xml:space="preserve">4.6. </w:t>
      </w:r>
      <w:r w:rsidR="00480FB1" w:rsidRPr="007D7545">
        <w:rPr>
          <w:b/>
          <w:bCs/>
          <w:sz w:val="22"/>
          <w:szCs w:val="22"/>
          <w:lang w:val="sr-Latn-ME"/>
        </w:rPr>
        <w:tab/>
      </w:r>
      <w:r w:rsidR="006D20A5" w:rsidRPr="007D7545">
        <w:rPr>
          <w:b/>
          <w:sz w:val="22"/>
          <w:szCs w:val="22"/>
          <w:lang w:val="sr-Latn-ME"/>
        </w:rPr>
        <w:t>Plodnost, trudnoća i dojenje</w:t>
      </w:r>
    </w:p>
    <w:p w14:paraId="370693C6" w14:textId="77777777" w:rsidR="002031B3" w:rsidRPr="007D7545" w:rsidRDefault="002031B3" w:rsidP="005D101E">
      <w:pPr>
        <w:tabs>
          <w:tab w:val="left" w:pos="540"/>
          <w:tab w:val="left" w:pos="569"/>
        </w:tabs>
        <w:jc w:val="both"/>
        <w:rPr>
          <w:sz w:val="22"/>
          <w:szCs w:val="22"/>
          <w:u w:val="single"/>
          <w:lang w:val="sr-Latn-ME"/>
        </w:rPr>
      </w:pPr>
    </w:p>
    <w:p w14:paraId="125FE67A" w14:textId="77777777" w:rsidR="002031B3" w:rsidRPr="007D7545" w:rsidRDefault="002031B3" w:rsidP="005D101E">
      <w:pPr>
        <w:tabs>
          <w:tab w:val="left" w:pos="540"/>
          <w:tab w:val="left" w:pos="569"/>
        </w:tabs>
        <w:jc w:val="both"/>
        <w:rPr>
          <w:sz w:val="22"/>
          <w:szCs w:val="22"/>
          <w:u w:val="single"/>
          <w:lang w:val="sr-Latn-ME"/>
        </w:rPr>
      </w:pPr>
      <w:r w:rsidRPr="007D7545">
        <w:rPr>
          <w:sz w:val="22"/>
          <w:szCs w:val="22"/>
          <w:u w:val="single"/>
          <w:lang w:val="sr-Latn-ME"/>
        </w:rPr>
        <w:t>Plodnost</w:t>
      </w:r>
    </w:p>
    <w:p w14:paraId="04199E1B" w14:textId="1C61D569" w:rsidR="002031B3" w:rsidRPr="007D7545" w:rsidRDefault="001E010E" w:rsidP="005D101E">
      <w:pPr>
        <w:ind w:hanging="10"/>
        <w:jc w:val="both"/>
        <w:rPr>
          <w:color w:val="000000"/>
          <w:sz w:val="22"/>
          <w:szCs w:val="22"/>
          <w:lang w:val="sr-Latn-ME"/>
        </w:rPr>
      </w:pPr>
      <w:r w:rsidRPr="007D7545">
        <w:rPr>
          <w:color w:val="000000"/>
          <w:sz w:val="22"/>
          <w:szCs w:val="22"/>
          <w:lang w:val="sr-Latn-ME"/>
        </w:rPr>
        <w:t>Ni</w:t>
      </w:r>
      <w:r w:rsidR="000F18A6" w:rsidRPr="007D7545">
        <w:rPr>
          <w:color w:val="000000"/>
          <w:sz w:val="22"/>
          <w:szCs w:val="22"/>
          <w:lang w:val="sr-Latn-ME"/>
        </w:rPr>
        <w:t>je</w:t>
      </w:r>
      <w:r w:rsidRPr="007D7545">
        <w:rPr>
          <w:color w:val="000000"/>
          <w:sz w:val="22"/>
          <w:szCs w:val="22"/>
          <w:lang w:val="sr-Latn-ME"/>
        </w:rPr>
        <w:t>su sprovedene specifične studije sa rivaroksabanom kod ljudi kako bi se proc</w:t>
      </w:r>
      <w:r w:rsidR="000F18A6" w:rsidRPr="007D7545">
        <w:rPr>
          <w:color w:val="000000"/>
          <w:sz w:val="22"/>
          <w:szCs w:val="22"/>
          <w:lang w:val="sr-Latn-ME"/>
        </w:rPr>
        <w:t>ij</w:t>
      </w:r>
      <w:r w:rsidRPr="007D7545">
        <w:rPr>
          <w:color w:val="000000"/>
          <w:sz w:val="22"/>
          <w:szCs w:val="22"/>
          <w:lang w:val="sr-Latn-ME"/>
        </w:rPr>
        <w:t>enili uticaji na plodnost. U studiji o uticaju rivaroksabana na plodnost mužjaka i ženki pacova ni</w:t>
      </w:r>
      <w:r w:rsidR="000F18A6" w:rsidRPr="007D7545">
        <w:rPr>
          <w:color w:val="000000"/>
          <w:sz w:val="22"/>
          <w:szCs w:val="22"/>
          <w:lang w:val="sr-Latn-ME"/>
        </w:rPr>
        <w:t>je</w:t>
      </w:r>
      <w:r w:rsidRPr="007D7545">
        <w:rPr>
          <w:color w:val="000000"/>
          <w:sz w:val="22"/>
          <w:szCs w:val="22"/>
          <w:lang w:val="sr-Latn-ME"/>
        </w:rPr>
        <w:t>su uočeni efekti (</w:t>
      </w:r>
      <w:r w:rsidR="00955E5C" w:rsidRPr="007D7545">
        <w:rPr>
          <w:color w:val="000000"/>
          <w:sz w:val="22"/>
          <w:szCs w:val="22"/>
          <w:lang w:val="sr-Latn-ME"/>
        </w:rPr>
        <w:t>pogledati dio</w:t>
      </w:r>
      <w:r w:rsidRPr="007D7545">
        <w:rPr>
          <w:color w:val="000000"/>
          <w:sz w:val="22"/>
          <w:szCs w:val="22"/>
          <w:lang w:val="sr-Latn-ME"/>
        </w:rPr>
        <w:t xml:space="preserve"> 5.3).</w:t>
      </w:r>
    </w:p>
    <w:p w14:paraId="7044D3FD" w14:textId="77777777" w:rsidR="000F18A6" w:rsidRPr="007D7545" w:rsidRDefault="000F18A6" w:rsidP="005D101E">
      <w:pPr>
        <w:ind w:hanging="10"/>
        <w:jc w:val="both"/>
        <w:rPr>
          <w:color w:val="000000"/>
          <w:sz w:val="22"/>
          <w:szCs w:val="22"/>
          <w:lang w:val="sr-Latn-ME"/>
        </w:rPr>
      </w:pPr>
    </w:p>
    <w:p w14:paraId="65D325BB" w14:textId="77777777" w:rsidR="007A3ECB" w:rsidRPr="007D7545" w:rsidRDefault="007A3ECB" w:rsidP="005D101E">
      <w:pPr>
        <w:tabs>
          <w:tab w:val="left" w:pos="540"/>
          <w:tab w:val="left" w:pos="569"/>
        </w:tabs>
        <w:jc w:val="both"/>
        <w:rPr>
          <w:sz w:val="22"/>
          <w:szCs w:val="22"/>
          <w:u w:val="single"/>
          <w:lang w:val="sr-Latn-ME"/>
        </w:rPr>
      </w:pPr>
      <w:r w:rsidRPr="007D7545">
        <w:rPr>
          <w:sz w:val="22"/>
          <w:szCs w:val="22"/>
          <w:u w:val="single"/>
          <w:lang w:val="sr-Latn-ME"/>
        </w:rPr>
        <w:t>Trudnoća</w:t>
      </w:r>
    </w:p>
    <w:p w14:paraId="1C3DD246" w14:textId="4907770E" w:rsidR="001E010E" w:rsidRPr="007D7545" w:rsidRDefault="001E010E" w:rsidP="005D101E">
      <w:pPr>
        <w:ind w:hanging="10"/>
        <w:jc w:val="both"/>
        <w:rPr>
          <w:color w:val="000000"/>
          <w:sz w:val="22"/>
          <w:szCs w:val="22"/>
          <w:lang w:val="sr-Latn-ME"/>
        </w:rPr>
      </w:pPr>
      <w:r w:rsidRPr="007D7545">
        <w:rPr>
          <w:color w:val="000000"/>
          <w:sz w:val="22"/>
          <w:szCs w:val="22"/>
          <w:lang w:val="sr-Latn-ME"/>
        </w:rPr>
        <w:t>Bezbjednost i efikasnost rivaroksabana ni</w:t>
      </w:r>
      <w:r w:rsidR="000F18A6" w:rsidRPr="007D7545">
        <w:rPr>
          <w:color w:val="000000"/>
          <w:sz w:val="22"/>
          <w:szCs w:val="22"/>
          <w:lang w:val="sr-Latn-ME"/>
        </w:rPr>
        <w:t>je</w:t>
      </w:r>
      <w:r w:rsidRPr="007D7545">
        <w:rPr>
          <w:color w:val="000000"/>
          <w:sz w:val="22"/>
          <w:szCs w:val="22"/>
          <w:lang w:val="sr-Latn-ME"/>
        </w:rPr>
        <w:t>su ustanovljene kod trudnica. Studije na životinjama pokazale su reproduktivnu toksičnost (</w:t>
      </w:r>
      <w:r w:rsidR="00955E5C" w:rsidRPr="007D7545">
        <w:rPr>
          <w:color w:val="000000"/>
          <w:sz w:val="22"/>
          <w:szCs w:val="22"/>
          <w:lang w:val="sr-Latn-ME"/>
        </w:rPr>
        <w:t>pogledati dio</w:t>
      </w:r>
      <w:r w:rsidRPr="007D7545">
        <w:rPr>
          <w:color w:val="000000"/>
          <w:sz w:val="22"/>
          <w:szCs w:val="22"/>
          <w:lang w:val="sr-Latn-ME"/>
        </w:rPr>
        <w:t xml:space="preserve"> 5.3). Zbog moguće reproduktivne toksičnosti, rizika od unutrašnjeg krvarenja i podataka o tome da rivaroksaban prolazi kroz placentu, primjena rivaroksabana je kontraindikovana tokom trudnoće (</w:t>
      </w:r>
      <w:r w:rsidR="00955E5C" w:rsidRPr="007D7545">
        <w:rPr>
          <w:color w:val="000000"/>
          <w:sz w:val="22"/>
          <w:szCs w:val="22"/>
          <w:lang w:val="sr-Latn-ME"/>
        </w:rPr>
        <w:t>pogledati dio</w:t>
      </w:r>
      <w:r w:rsidRPr="007D7545">
        <w:rPr>
          <w:color w:val="000000"/>
          <w:sz w:val="22"/>
          <w:szCs w:val="22"/>
          <w:lang w:val="sr-Latn-ME"/>
        </w:rPr>
        <w:t xml:space="preserve"> 4.3).</w:t>
      </w:r>
    </w:p>
    <w:p w14:paraId="7DBEE078" w14:textId="77777777" w:rsidR="000F18A6" w:rsidRPr="007D7545" w:rsidRDefault="000F18A6" w:rsidP="005D101E">
      <w:pPr>
        <w:ind w:hanging="10"/>
        <w:jc w:val="both"/>
        <w:rPr>
          <w:color w:val="000000"/>
          <w:sz w:val="22"/>
          <w:szCs w:val="22"/>
          <w:lang w:val="sr-Latn-ME"/>
        </w:rPr>
      </w:pPr>
    </w:p>
    <w:p w14:paraId="705B726A" w14:textId="4808F4F9" w:rsidR="002031B3" w:rsidRPr="007D7545" w:rsidRDefault="001E010E" w:rsidP="005D101E">
      <w:pPr>
        <w:ind w:hanging="10"/>
        <w:jc w:val="both"/>
        <w:rPr>
          <w:color w:val="000000"/>
          <w:sz w:val="22"/>
          <w:szCs w:val="22"/>
          <w:lang w:val="sr-Latn-ME"/>
        </w:rPr>
      </w:pPr>
      <w:r w:rsidRPr="007D7545">
        <w:rPr>
          <w:color w:val="000000"/>
          <w:sz w:val="22"/>
          <w:szCs w:val="22"/>
          <w:lang w:val="sr-Latn-ME"/>
        </w:rPr>
        <w:t>Žene u reproduktivnom periodu treba da izbjegavaju trudnoću tokom liječenja rivaroksabanom.</w:t>
      </w:r>
    </w:p>
    <w:p w14:paraId="1AAADF02" w14:textId="77777777" w:rsidR="000F18A6" w:rsidRPr="007D7545" w:rsidRDefault="000F18A6" w:rsidP="005D101E">
      <w:pPr>
        <w:ind w:hanging="10"/>
        <w:jc w:val="both"/>
        <w:rPr>
          <w:color w:val="000000"/>
          <w:sz w:val="22"/>
          <w:szCs w:val="22"/>
          <w:lang w:val="sr-Latn-ME"/>
        </w:rPr>
      </w:pPr>
    </w:p>
    <w:p w14:paraId="7F413388" w14:textId="77777777" w:rsidR="0072020E" w:rsidRPr="007D7545" w:rsidRDefault="007A3ECB" w:rsidP="005D101E">
      <w:pPr>
        <w:tabs>
          <w:tab w:val="left" w:pos="540"/>
          <w:tab w:val="left" w:pos="569"/>
        </w:tabs>
        <w:jc w:val="both"/>
        <w:rPr>
          <w:b/>
          <w:bCs/>
          <w:sz w:val="22"/>
          <w:szCs w:val="22"/>
          <w:lang w:val="sr-Latn-ME"/>
        </w:rPr>
      </w:pPr>
      <w:r w:rsidRPr="007D7545">
        <w:rPr>
          <w:sz w:val="22"/>
          <w:szCs w:val="22"/>
          <w:u w:val="single"/>
          <w:lang w:val="sr-Latn-ME"/>
        </w:rPr>
        <w:t xml:space="preserve">Dojenje </w:t>
      </w:r>
    </w:p>
    <w:p w14:paraId="0CB7E5A8" w14:textId="31BB963E" w:rsidR="001E010E" w:rsidRPr="007D7545" w:rsidRDefault="001E010E" w:rsidP="005D101E">
      <w:pPr>
        <w:ind w:hanging="10"/>
        <w:jc w:val="both"/>
        <w:rPr>
          <w:color w:val="000000"/>
          <w:sz w:val="22"/>
          <w:szCs w:val="22"/>
          <w:lang w:val="sr-Latn-ME"/>
        </w:rPr>
      </w:pPr>
      <w:r w:rsidRPr="007D7545">
        <w:rPr>
          <w:color w:val="000000"/>
          <w:sz w:val="22"/>
          <w:szCs w:val="22"/>
          <w:lang w:val="sr-Latn-ME"/>
        </w:rPr>
        <w:t>Bezbjednost i efikasnost lijeka rivaroksaban ni</w:t>
      </w:r>
      <w:r w:rsidR="000F18A6" w:rsidRPr="007D7545">
        <w:rPr>
          <w:color w:val="000000"/>
          <w:sz w:val="22"/>
          <w:szCs w:val="22"/>
          <w:lang w:val="sr-Latn-ME"/>
        </w:rPr>
        <w:t>je</w:t>
      </w:r>
      <w:r w:rsidRPr="007D7545">
        <w:rPr>
          <w:color w:val="000000"/>
          <w:sz w:val="22"/>
          <w:szCs w:val="22"/>
          <w:lang w:val="sr-Latn-ME"/>
        </w:rPr>
        <w:t xml:space="preserve">su ustanovljene kod dojilja. Podaci dobijeni iz ispitivanja na životinjama ukazuju da se rivaroksaban izlučuje u </w:t>
      </w:r>
      <w:r w:rsidR="00683FA1" w:rsidRPr="007D7545">
        <w:rPr>
          <w:color w:val="000000"/>
          <w:sz w:val="22"/>
          <w:szCs w:val="22"/>
          <w:lang w:val="sr-Latn-ME"/>
        </w:rPr>
        <w:t>ml</w:t>
      </w:r>
      <w:r w:rsidRPr="007D7545">
        <w:rPr>
          <w:color w:val="000000"/>
          <w:sz w:val="22"/>
          <w:szCs w:val="22"/>
          <w:lang w:val="sr-Latn-ME"/>
        </w:rPr>
        <w:t>ijeko. Stoga je primjena rivaroksabana kontraindikovana tokom dojenja (</w:t>
      </w:r>
      <w:r w:rsidR="00955E5C" w:rsidRPr="007D7545">
        <w:rPr>
          <w:color w:val="000000"/>
          <w:sz w:val="22"/>
          <w:szCs w:val="22"/>
          <w:lang w:val="sr-Latn-ME"/>
        </w:rPr>
        <w:t>pogledati dio</w:t>
      </w:r>
      <w:r w:rsidRPr="007D7545">
        <w:rPr>
          <w:color w:val="000000"/>
          <w:sz w:val="22"/>
          <w:szCs w:val="22"/>
          <w:lang w:val="sr-Latn-ME"/>
        </w:rPr>
        <w:t xml:space="preserve"> 4.3). Mora se donijeti odluka da li prekinuti dojenje ili napraviti prekid/pauzu u terapiji.    </w:t>
      </w:r>
    </w:p>
    <w:p w14:paraId="0362DF52" w14:textId="77777777" w:rsidR="00227BDB" w:rsidRPr="007D7545" w:rsidRDefault="00227BDB" w:rsidP="005D101E">
      <w:pPr>
        <w:tabs>
          <w:tab w:val="left" w:pos="540"/>
          <w:tab w:val="left" w:pos="569"/>
        </w:tabs>
        <w:ind w:hanging="540"/>
        <w:jc w:val="both"/>
        <w:rPr>
          <w:b/>
          <w:bCs/>
          <w:sz w:val="22"/>
          <w:szCs w:val="22"/>
          <w:lang w:val="sr-Latn-ME"/>
        </w:rPr>
      </w:pPr>
    </w:p>
    <w:p w14:paraId="031E0A76" w14:textId="57350BE1" w:rsidR="0072020E" w:rsidRPr="007D7545" w:rsidRDefault="0072020E" w:rsidP="002D70E0">
      <w:pPr>
        <w:jc w:val="both"/>
        <w:rPr>
          <w:b/>
          <w:bCs/>
          <w:sz w:val="22"/>
          <w:szCs w:val="22"/>
          <w:lang w:val="sr-Latn-ME"/>
        </w:rPr>
      </w:pPr>
      <w:r w:rsidRPr="007D7545">
        <w:rPr>
          <w:b/>
          <w:bCs/>
          <w:sz w:val="22"/>
          <w:szCs w:val="22"/>
          <w:lang w:val="sr-Latn-ME"/>
        </w:rPr>
        <w:t xml:space="preserve">4.7. </w:t>
      </w:r>
      <w:r w:rsidR="00480FB1" w:rsidRPr="007D7545">
        <w:rPr>
          <w:b/>
          <w:bCs/>
          <w:sz w:val="22"/>
          <w:szCs w:val="22"/>
          <w:lang w:val="sr-Latn-ME"/>
        </w:rPr>
        <w:tab/>
      </w:r>
      <w:r w:rsidRPr="007D7545">
        <w:rPr>
          <w:b/>
          <w:bCs/>
          <w:sz w:val="22"/>
          <w:szCs w:val="22"/>
          <w:lang w:val="sr-Latn-ME"/>
        </w:rPr>
        <w:t xml:space="preserve">Uticaj na </w:t>
      </w:r>
      <w:r w:rsidR="002031B3" w:rsidRPr="007D7545">
        <w:rPr>
          <w:b/>
          <w:bCs/>
          <w:sz w:val="22"/>
          <w:szCs w:val="22"/>
          <w:lang w:val="sr-Latn-ME"/>
        </w:rPr>
        <w:t xml:space="preserve">sposobnost </w:t>
      </w:r>
      <w:r w:rsidR="00F34554" w:rsidRPr="007D7545">
        <w:rPr>
          <w:b/>
          <w:bCs/>
          <w:sz w:val="22"/>
          <w:szCs w:val="22"/>
          <w:lang w:val="sr-Latn-ME"/>
        </w:rPr>
        <w:t>upravljanja vozili</w:t>
      </w:r>
      <w:r w:rsidRPr="007D7545">
        <w:rPr>
          <w:b/>
          <w:bCs/>
          <w:sz w:val="22"/>
          <w:szCs w:val="22"/>
          <w:lang w:val="sr-Latn-ME"/>
        </w:rPr>
        <w:t>m</w:t>
      </w:r>
      <w:r w:rsidR="00F34554" w:rsidRPr="007D7545">
        <w:rPr>
          <w:b/>
          <w:bCs/>
          <w:sz w:val="22"/>
          <w:szCs w:val="22"/>
          <w:lang w:val="sr-Latn-ME"/>
        </w:rPr>
        <w:t>a</w:t>
      </w:r>
      <w:r w:rsidRPr="007D7545">
        <w:rPr>
          <w:b/>
          <w:bCs/>
          <w:sz w:val="22"/>
          <w:szCs w:val="22"/>
          <w:lang w:val="sr-Latn-ME"/>
        </w:rPr>
        <w:t xml:space="preserve"> i </w:t>
      </w:r>
      <w:r w:rsidR="000D3449" w:rsidRPr="007D7545">
        <w:rPr>
          <w:b/>
          <w:bCs/>
          <w:sz w:val="22"/>
          <w:szCs w:val="22"/>
          <w:lang w:val="sr-Latn-ME"/>
        </w:rPr>
        <w:t xml:space="preserve">rukovanje </w:t>
      </w:r>
      <w:r w:rsidRPr="007D7545">
        <w:rPr>
          <w:b/>
          <w:bCs/>
          <w:sz w:val="22"/>
          <w:szCs w:val="22"/>
          <w:lang w:val="sr-Latn-ME"/>
        </w:rPr>
        <w:t>mašinama</w:t>
      </w:r>
    </w:p>
    <w:p w14:paraId="2915A70F" w14:textId="77777777" w:rsidR="001E010E" w:rsidRPr="007D7545" w:rsidRDefault="001E010E" w:rsidP="005D101E">
      <w:pPr>
        <w:tabs>
          <w:tab w:val="left" w:pos="540"/>
          <w:tab w:val="left" w:pos="569"/>
        </w:tabs>
        <w:ind w:hanging="540"/>
        <w:jc w:val="both"/>
        <w:rPr>
          <w:b/>
          <w:bCs/>
          <w:sz w:val="22"/>
          <w:szCs w:val="22"/>
          <w:lang w:val="sr-Latn-ME"/>
        </w:rPr>
      </w:pPr>
    </w:p>
    <w:p w14:paraId="3283F0CA" w14:textId="0FBC3374" w:rsidR="0072020E" w:rsidRPr="007D7545" w:rsidRDefault="001E010E" w:rsidP="005D101E">
      <w:pPr>
        <w:ind w:hanging="10"/>
        <w:jc w:val="both"/>
        <w:rPr>
          <w:color w:val="000000"/>
          <w:sz w:val="22"/>
          <w:szCs w:val="22"/>
          <w:lang w:val="sr-Latn-ME"/>
        </w:rPr>
      </w:pPr>
      <w:r w:rsidRPr="007D7545">
        <w:rPr>
          <w:color w:val="000000"/>
          <w:sz w:val="22"/>
          <w:szCs w:val="22"/>
          <w:lang w:val="sr-Latn-ME"/>
        </w:rPr>
        <w:t>Rivaroksaban ima mali uticaj na sposobnost upravljanja vozilima i rukovanja mašinama. Prijavljene su neželjene reakcije poput sinkope (učestalost: povremeno) i vrtoglavice (učestalost: često) (</w:t>
      </w:r>
      <w:r w:rsidR="00955E5C" w:rsidRPr="007D7545">
        <w:rPr>
          <w:color w:val="000000"/>
          <w:sz w:val="22"/>
          <w:szCs w:val="22"/>
          <w:lang w:val="sr-Latn-ME"/>
        </w:rPr>
        <w:t>pogledati dio</w:t>
      </w:r>
      <w:r w:rsidRPr="007D7545">
        <w:rPr>
          <w:color w:val="000000"/>
          <w:sz w:val="22"/>
          <w:szCs w:val="22"/>
          <w:lang w:val="sr-Latn-ME"/>
        </w:rPr>
        <w:t xml:space="preserve"> 4.8). Pacijenti kod kojih se jave ove neželjene reakcije ne treba da upravljaju vozilima ili rukuju mašinama. </w:t>
      </w:r>
    </w:p>
    <w:p w14:paraId="420E9978" w14:textId="77777777" w:rsidR="001A73C4" w:rsidRPr="007D7545" w:rsidRDefault="001A73C4" w:rsidP="005D101E">
      <w:pPr>
        <w:ind w:hanging="10"/>
        <w:jc w:val="both"/>
        <w:rPr>
          <w:color w:val="000000"/>
          <w:sz w:val="22"/>
          <w:szCs w:val="22"/>
          <w:lang w:val="sr-Latn-ME"/>
        </w:rPr>
      </w:pPr>
    </w:p>
    <w:p w14:paraId="0AB93767" w14:textId="56480C91" w:rsidR="0072020E" w:rsidRPr="007D7545" w:rsidRDefault="0072020E" w:rsidP="005D101E">
      <w:pPr>
        <w:tabs>
          <w:tab w:val="left" w:pos="540"/>
          <w:tab w:val="left" w:pos="569"/>
        </w:tabs>
        <w:jc w:val="both"/>
        <w:rPr>
          <w:b/>
          <w:bCs/>
          <w:sz w:val="22"/>
          <w:szCs w:val="22"/>
          <w:lang w:val="sr-Latn-ME"/>
        </w:rPr>
      </w:pPr>
      <w:r w:rsidRPr="007D7545">
        <w:rPr>
          <w:b/>
          <w:bCs/>
          <w:sz w:val="22"/>
          <w:szCs w:val="22"/>
          <w:lang w:val="sr-Latn-ME"/>
        </w:rPr>
        <w:t xml:space="preserve">4.8. </w:t>
      </w:r>
      <w:r w:rsidR="00480FB1" w:rsidRPr="007D7545">
        <w:rPr>
          <w:b/>
          <w:bCs/>
          <w:sz w:val="22"/>
          <w:szCs w:val="22"/>
          <w:lang w:val="sr-Latn-ME"/>
        </w:rPr>
        <w:tab/>
      </w:r>
      <w:r w:rsidRPr="007D7545">
        <w:rPr>
          <w:b/>
          <w:bCs/>
          <w:sz w:val="22"/>
          <w:szCs w:val="22"/>
          <w:lang w:val="sr-Latn-ME"/>
        </w:rPr>
        <w:t>Neželjena dejstva</w:t>
      </w:r>
    </w:p>
    <w:p w14:paraId="2516FBFB" w14:textId="77777777" w:rsidR="000F18A6" w:rsidRPr="007D7545" w:rsidRDefault="000F18A6" w:rsidP="005D101E">
      <w:pPr>
        <w:tabs>
          <w:tab w:val="left" w:pos="540"/>
          <w:tab w:val="left" w:pos="569"/>
        </w:tabs>
        <w:jc w:val="both"/>
        <w:rPr>
          <w:b/>
          <w:bCs/>
          <w:sz w:val="22"/>
          <w:szCs w:val="22"/>
          <w:lang w:val="sr-Latn-ME"/>
        </w:rPr>
      </w:pPr>
    </w:p>
    <w:p w14:paraId="74D437B4" w14:textId="77777777" w:rsidR="001E010E" w:rsidRPr="007D7545" w:rsidRDefault="001E010E" w:rsidP="005D101E">
      <w:pPr>
        <w:keepNext/>
        <w:keepLines/>
        <w:ind w:hanging="10"/>
        <w:jc w:val="both"/>
        <w:outlineLvl w:val="1"/>
        <w:rPr>
          <w:color w:val="000000"/>
          <w:sz w:val="22"/>
          <w:szCs w:val="22"/>
          <w:u w:val="single" w:color="000000"/>
          <w:lang w:val="sr-Latn-ME"/>
        </w:rPr>
      </w:pPr>
      <w:r w:rsidRPr="007D7545">
        <w:rPr>
          <w:color w:val="000000"/>
          <w:sz w:val="22"/>
          <w:szCs w:val="22"/>
          <w:u w:val="single" w:color="000000"/>
          <w:lang w:val="sr-Latn-ME"/>
        </w:rPr>
        <w:t>Sažetak bezbjednosnog profila</w:t>
      </w:r>
    </w:p>
    <w:p w14:paraId="0C69E63F" w14:textId="0096D7B1" w:rsidR="001E010E" w:rsidRPr="007D7545" w:rsidRDefault="001E010E" w:rsidP="005D101E">
      <w:pPr>
        <w:ind w:hanging="10"/>
        <w:jc w:val="both"/>
        <w:rPr>
          <w:color w:val="000000"/>
          <w:sz w:val="22"/>
          <w:szCs w:val="22"/>
          <w:lang w:val="sr-Latn-ME"/>
        </w:rPr>
      </w:pPr>
      <w:r w:rsidRPr="007D7545">
        <w:rPr>
          <w:color w:val="000000"/>
          <w:sz w:val="22"/>
          <w:szCs w:val="22"/>
          <w:lang w:val="sr-Latn-ME"/>
        </w:rPr>
        <w:t>Bezbjednost rivaroksabana je proc</w:t>
      </w:r>
      <w:r w:rsidR="00863665" w:rsidRPr="007D7545">
        <w:rPr>
          <w:color w:val="000000"/>
          <w:sz w:val="22"/>
          <w:szCs w:val="22"/>
          <w:lang w:val="sr-Latn-ME"/>
        </w:rPr>
        <w:t>ij</w:t>
      </w:r>
      <w:r w:rsidRPr="007D7545">
        <w:rPr>
          <w:color w:val="000000"/>
          <w:sz w:val="22"/>
          <w:szCs w:val="22"/>
          <w:lang w:val="sr-Latn-ME"/>
        </w:rPr>
        <w:t>enjena u trinaest studija faze III (vidjeti Tabelu 1).</w:t>
      </w:r>
    </w:p>
    <w:p w14:paraId="35DD54EE" w14:textId="77777777" w:rsidR="00863665" w:rsidRPr="007D7545" w:rsidRDefault="00863665" w:rsidP="005D101E">
      <w:pPr>
        <w:ind w:hanging="10"/>
        <w:jc w:val="both"/>
        <w:rPr>
          <w:color w:val="000000"/>
          <w:sz w:val="22"/>
          <w:szCs w:val="22"/>
          <w:lang w:val="sr-Latn-ME"/>
        </w:rPr>
      </w:pPr>
    </w:p>
    <w:p w14:paraId="5EE75068" w14:textId="3D7D6EE9" w:rsidR="00272D72" w:rsidRPr="007D7545" w:rsidRDefault="00272D72" w:rsidP="005D101E">
      <w:pPr>
        <w:tabs>
          <w:tab w:val="left" w:pos="284"/>
        </w:tabs>
        <w:jc w:val="both"/>
        <w:rPr>
          <w:sz w:val="22"/>
          <w:lang w:val="sr-Latn-ME"/>
        </w:rPr>
      </w:pPr>
      <w:r w:rsidRPr="007D7545">
        <w:rPr>
          <w:sz w:val="22"/>
          <w:lang w:val="sr-Latn-ME"/>
        </w:rPr>
        <w:t>Ukupno 69608 odraslih pacijenata u devetnaest studija faze III i 412 pedijatrijskih pacijenata u dv</w:t>
      </w:r>
      <w:r w:rsidR="00955E5C" w:rsidRPr="007D7545">
        <w:rPr>
          <w:sz w:val="22"/>
          <w:lang w:val="sr-Latn-ME"/>
        </w:rPr>
        <w:t>ij</w:t>
      </w:r>
      <w:r w:rsidRPr="007D7545">
        <w:rPr>
          <w:sz w:val="22"/>
          <w:lang w:val="sr-Latn-ME"/>
        </w:rPr>
        <w:t>e studije faze II i jednoj studiji faze III primali su rivaroksaban.</w:t>
      </w:r>
    </w:p>
    <w:p w14:paraId="6BAFF97D" w14:textId="77777777" w:rsidR="00272D72" w:rsidRPr="007D7545" w:rsidRDefault="00272D72" w:rsidP="005D101E">
      <w:pPr>
        <w:jc w:val="both"/>
        <w:rPr>
          <w:color w:val="000000"/>
          <w:sz w:val="22"/>
          <w:szCs w:val="22"/>
          <w:lang w:val="sr-Latn-ME"/>
        </w:rPr>
      </w:pPr>
    </w:p>
    <w:p w14:paraId="55B2C5B1" w14:textId="41550262" w:rsidR="001E010E" w:rsidRPr="007D7545" w:rsidRDefault="001E010E" w:rsidP="002D70E0">
      <w:pPr>
        <w:ind w:hanging="10"/>
        <w:jc w:val="both"/>
        <w:rPr>
          <w:b/>
          <w:color w:val="000000"/>
          <w:sz w:val="22"/>
          <w:szCs w:val="22"/>
          <w:lang w:val="sr-Latn-ME"/>
        </w:rPr>
      </w:pPr>
      <w:r w:rsidRPr="007D7545">
        <w:rPr>
          <w:b/>
          <w:color w:val="000000"/>
          <w:sz w:val="22"/>
          <w:szCs w:val="22"/>
          <w:lang w:val="sr-Latn-ME"/>
        </w:rPr>
        <w:lastRenderedPageBreak/>
        <w:t>Tabela 1: Broj pacijenata u studijama, ukupna dnevna doza i maksimalno trajanje terapije u studijama faze III</w:t>
      </w:r>
      <w:r w:rsidR="006F55E2" w:rsidRPr="007D7545">
        <w:rPr>
          <w:b/>
          <w:color w:val="000000"/>
          <w:sz w:val="22"/>
          <w:szCs w:val="22"/>
          <w:lang w:val="sr-Latn-ME"/>
        </w:rPr>
        <w:t xml:space="preserve"> kod odraslih i pedijatrijskih pacijenata</w:t>
      </w:r>
    </w:p>
    <w:tbl>
      <w:tblPr>
        <w:tblStyle w:val="TableGrid0"/>
        <w:tblW w:w="5000" w:type="pct"/>
        <w:tblLook w:val="04A0" w:firstRow="1" w:lastRow="0" w:firstColumn="1" w:lastColumn="0" w:noHBand="0" w:noVBand="1"/>
      </w:tblPr>
      <w:tblGrid>
        <w:gridCol w:w="3325"/>
        <w:gridCol w:w="1359"/>
        <w:gridCol w:w="2949"/>
        <w:gridCol w:w="1430"/>
      </w:tblGrid>
      <w:tr w:rsidR="001E010E" w:rsidRPr="007D7545" w14:paraId="0C6CAB2E" w14:textId="77777777" w:rsidTr="002D70E0">
        <w:tc>
          <w:tcPr>
            <w:tcW w:w="1834" w:type="pct"/>
          </w:tcPr>
          <w:p w14:paraId="46570A17" w14:textId="77777777" w:rsidR="001E010E" w:rsidRPr="007D7545" w:rsidRDefault="001E010E" w:rsidP="005D101E">
            <w:pPr>
              <w:ind w:right="3"/>
              <w:rPr>
                <w:rFonts w:ascii="Times New Roman" w:hAnsi="Times New Roman"/>
                <w:b/>
                <w:color w:val="000000"/>
                <w:sz w:val="22"/>
                <w:szCs w:val="22"/>
                <w:lang w:val="sr-Latn-ME"/>
              </w:rPr>
            </w:pPr>
            <w:r w:rsidRPr="007D7545">
              <w:rPr>
                <w:b/>
                <w:color w:val="000000"/>
                <w:sz w:val="22"/>
                <w:szCs w:val="22"/>
                <w:lang w:val="sr-Latn-ME"/>
              </w:rPr>
              <w:t>Indikacija</w:t>
            </w:r>
          </w:p>
        </w:tc>
        <w:tc>
          <w:tcPr>
            <w:tcW w:w="750" w:type="pct"/>
          </w:tcPr>
          <w:p w14:paraId="142AF8B0" w14:textId="77777777" w:rsidR="001E010E" w:rsidRPr="007D7545" w:rsidRDefault="001E010E" w:rsidP="005D101E">
            <w:pPr>
              <w:ind w:right="3"/>
              <w:rPr>
                <w:rFonts w:ascii="Times New Roman" w:hAnsi="Times New Roman"/>
                <w:b/>
                <w:color w:val="000000"/>
                <w:sz w:val="22"/>
                <w:szCs w:val="22"/>
                <w:lang w:val="sr-Latn-ME"/>
              </w:rPr>
            </w:pPr>
            <w:r w:rsidRPr="007D7545">
              <w:rPr>
                <w:b/>
                <w:color w:val="000000"/>
                <w:sz w:val="22"/>
                <w:szCs w:val="22"/>
                <w:lang w:val="sr-Latn-ME"/>
              </w:rPr>
              <w:t>Broj pacijenata*</w:t>
            </w:r>
          </w:p>
        </w:tc>
        <w:tc>
          <w:tcPr>
            <w:tcW w:w="1627" w:type="pct"/>
          </w:tcPr>
          <w:p w14:paraId="4F9333BB" w14:textId="77777777" w:rsidR="001E010E" w:rsidRPr="007D7545" w:rsidRDefault="001E010E" w:rsidP="005D101E">
            <w:pPr>
              <w:ind w:right="3"/>
              <w:rPr>
                <w:rFonts w:ascii="Times New Roman" w:hAnsi="Times New Roman"/>
                <w:b/>
                <w:color w:val="000000"/>
                <w:sz w:val="22"/>
                <w:szCs w:val="22"/>
                <w:lang w:val="sr-Latn-ME"/>
              </w:rPr>
            </w:pPr>
            <w:r w:rsidRPr="007D7545">
              <w:rPr>
                <w:b/>
                <w:color w:val="000000"/>
                <w:sz w:val="22"/>
                <w:szCs w:val="22"/>
                <w:lang w:val="sr-Latn-ME"/>
              </w:rPr>
              <w:t>Ukupna dnevna doza</w:t>
            </w:r>
          </w:p>
        </w:tc>
        <w:tc>
          <w:tcPr>
            <w:tcW w:w="789" w:type="pct"/>
          </w:tcPr>
          <w:p w14:paraId="5D3464D3"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 xml:space="preserve">Maksimalno </w:t>
            </w:r>
          </w:p>
          <w:p w14:paraId="3E0CCEF7" w14:textId="77777777" w:rsidR="001E010E" w:rsidRPr="007D7545" w:rsidRDefault="001E010E" w:rsidP="005D101E">
            <w:pPr>
              <w:ind w:right="3"/>
              <w:rPr>
                <w:rFonts w:ascii="Times New Roman" w:hAnsi="Times New Roman"/>
                <w:b/>
                <w:color w:val="000000"/>
                <w:sz w:val="22"/>
                <w:szCs w:val="22"/>
                <w:lang w:val="sr-Latn-ME"/>
              </w:rPr>
            </w:pPr>
            <w:r w:rsidRPr="007D7545">
              <w:rPr>
                <w:b/>
                <w:color w:val="000000"/>
                <w:sz w:val="22"/>
                <w:szCs w:val="22"/>
                <w:lang w:val="sr-Latn-ME"/>
              </w:rPr>
              <w:t>trajanje terapije</w:t>
            </w:r>
          </w:p>
        </w:tc>
      </w:tr>
      <w:tr w:rsidR="001E010E" w:rsidRPr="007D7545" w14:paraId="245C25A6" w14:textId="77777777" w:rsidTr="002D70E0">
        <w:tc>
          <w:tcPr>
            <w:tcW w:w="1834" w:type="pct"/>
          </w:tcPr>
          <w:p w14:paraId="3FEFC832" w14:textId="77777777" w:rsidR="001E010E" w:rsidRPr="007D7545" w:rsidRDefault="001E010E" w:rsidP="005D101E">
            <w:pPr>
              <w:ind w:right="3"/>
              <w:rPr>
                <w:rFonts w:ascii="Times New Roman" w:hAnsi="Times New Roman"/>
                <w:b/>
                <w:color w:val="000000"/>
                <w:sz w:val="22"/>
                <w:szCs w:val="22"/>
                <w:lang w:val="sr-Latn-ME"/>
              </w:rPr>
            </w:pPr>
            <w:r w:rsidRPr="007D7545">
              <w:rPr>
                <w:color w:val="000000"/>
                <w:sz w:val="22"/>
                <w:szCs w:val="22"/>
                <w:lang w:val="sr-Latn-ME"/>
              </w:rPr>
              <w:t>Prevencija venske tromboembolije (VTE) kod odraslih pacijenata koji se podvrgavaju elektivnoj hirurškoj intervenciji zamjene kuka ili koljena</w:t>
            </w:r>
          </w:p>
        </w:tc>
        <w:tc>
          <w:tcPr>
            <w:tcW w:w="750" w:type="pct"/>
          </w:tcPr>
          <w:p w14:paraId="6CE000C0" w14:textId="77777777" w:rsidR="001E010E" w:rsidRPr="007D7545" w:rsidRDefault="001E010E" w:rsidP="005D101E">
            <w:pPr>
              <w:ind w:right="3"/>
              <w:rPr>
                <w:rFonts w:ascii="Times New Roman" w:hAnsi="Times New Roman"/>
                <w:b/>
                <w:color w:val="000000"/>
                <w:sz w:val="22"/>
                <w:szCs w:val="22"/>
                <w:lang w:val="sr-Latn-ME"/>
              </w:rPr>
            </w:pPr>
            <w:r w:rsidRPr="007D7545">
              <w:rPr>
                <w:color w:val="000000"/>
                <w:sz w:val="22"/>
                <w:szCs w:val="22"/>
                <w:lang w:val="sr-Latn-ME"/>
              </w:rPr>
              <w:t>6097</w:t>
            </w:r>
          </w:p>
        </w:tc>
        <w:tc>
          <w:tcPr>
            <w:tcW w:w="1627" w:type="pct"/>
          </w:tcPr>
          <w:p w14:paraId="6889B6BD" w14:textId="77777777" w:rsidR="001E010E" w:rsidRPr="007D7545" w:rsidRDefault="001E010E" w:rsidP="005D101E">
            <w:pPr>
              <w:ind w:right="3"/>
              <w:rPr>
                <w:rFonts w:ascii="Times New Roman" w:hAnsi="Times New Roman"/>
                <w:b/>
                <w:color w:val="000000"/>
                <w:sz w:val="22"/>
                <w:szCs w:val="22"/>
                <w:lang w:val="sr-Latn-ME"/>
              </w:rPr>
            </w:pPr>
            <w:r w:rsidRPr="007D7545">
              <w:rPr>
                <w:color w:val="000000"/>
                <w:sz w:val="22"/>
                <w:szCs w:val="22"/>
                <w:lang w:val="sr-Latn-ME"/>
              </w:rPr>
              <w:t>10 mg</w:t>
            </w:r>
          </w:p>
        </w:tc>
        <w:tc>
          <w:tcPr>
            <w:tcW w:w="789" w:type="pct"/>
          </w:tcPr>
          <w:p w14:paraId="06346D92"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39 dana</w:t>
            </w:r>
          </w:p>
        </w:tc>
      </w:tr>
      <w:tr w:rsidR="001E010E" w:rsidRPr="007D7545" w14:paraId="79E59707" w14:textId="77777777" w:rsidTr="002D70E0">
        <w:tc>
          <w:tcPr>
            <w:tcW w:w="1834" w:type="pct"/>
          </w:tcPr>
          <w:p w14:paraId="7E1D2033" w14:textId="77777777" w:rsidR="001E010E" w:rsidRPr="007D7545" w:rsidRDefault="001E010E" w:rsidP="005D101E">
            <w:pPr>
              <w:ind w:right="3"/>
              <w:rPr>
                <w:rFonts w:ascii="Times New Roman" w:hAnsi="Times New Roman"/>
                <w:b/>
                <w:color w:val="000000"/>
                <w:sz w:val="22"/>
                <w:szCs w:val="22"/>
                <w:lang w:val="sr-Latn-ME"/>
              </w:rPr>
            </w:pPr>
            <w:r w:rsidRPr="007D7545">
              <w:rPr>
                <w:color w:val="000000"/>
                <w:sz w:val="22"/>
                <w:szCs w:val="22"/>
                <w:lang w:val="sr-Latn-ME"/>
              </w:rPr>
              <w:t>Prevencija venske tromboembolije (VTE) kod hospitalizovanih  hroničnih pacijenata</w:t>
            </w:r>
          </w:p>
        </w:tc>
        <w:tc>
          <w:tcPr>
            <w:tcW w:w="750" w:type="pct"/>
          </w:tcPr>
          <w:p w14:paraId="3E694EFF"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3997</w:t>
            </w:r>
          </w:p>
        </w:tc>
        <w:tc>
          <w:tcPr>
            <w:tcW w:w="1627" w:type="pct"/>
          </w:tcPr>
          <w:p w14:paraId="690859E3"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10 mg</w:t>
            </w:r>
          </w:p>
        </w:tc>
        <w:tc>
          <w:tcPr>
            <w:tcW w:w="789" w:type="pct"/>
          </w:tcPr>
          <w:p w14:paraId="006D3DB9"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39 dana</w:t>
            </w:r>
          </w:p>
        </w:tc>
      </w:tr>
      <w:tr w:rsidR="001E010E" w:rsidRPr="007D7545" w14:paraId="6CB5B57C" w14:textId="77777777" w:rsidTr="002D70E0">
        <w:tc>
          <w:tcPr>
            <w:tcW w:w="1834" w:type="pct"/>
          </w:tcPr>
          <w:p w14:paraId="77DFE9EB" w14:textId="77777777" w:rsidR="001E010E" w:rsidRPr="007D7545" w:rsidRDefault="001E010E" w:rsidP="005D101E">
            <w:pPr>
              <w:ind w:right="3"/>
              <w:rPr>
                <w:rFonts w:ascii="Times New Roman" w:hAnsi="Times New Roman"/>
                <w:b/>
                <w:color w:val="000000"/>
                <w:sz w:val="22"/>
                <w:szCs w:val="22"/>
                <w:lang w:val="sr-Latn-ME"/>
              </w:rPr>
            </w:pPr>
            <w:r w:rsidRPr="007D7545">
              <w:rPr>
                <w:color w:val="000000"/>
                <w:sz w:val="22"/>
                <w:szCs w:val="22"/>
                <w:lang w:val="sr-Latn-ME"/>
              </w:rPr>
              <w:t>Terapija tromboze dubokih vena (TDV), plućne embolije (PE) i prevencija njihovih recidiva</w:t>
            </w:r>
          </w:p>
        </w:tc>
        <w:tc>
          <w:tcPr>
            <w:tcW w:w="750" w:type="pct"/>
          </w:tcPr>
          <w:p w14:paraId="641DC3D8"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6790</w:t>
            </w:r>
          </w:p>
        </w:tc>
        <w:tc>
          <w:tcPr>
            <w:tcW w:w="1627" w:type="pct"/>
          </w:tcPr>
          <w:p w14:paraId="64EF2FD3" w14:textId="5A198B4A"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1-21. dan: 30 mg</w:t>
            </w:r>
          </w:p>
          <w:p w14:paraId="21018EF8" w14:textId="77777777" w:rsidR="0083485F" w:rsidRPr="007D7545" w:rsidRDefault="0083485F" w:rsidP="005D101E">
            <w:pPr>
              <w:ind w:left="5"/>
              <w:rPr>
                <w:rFonts w:ascii="Times New Roman" w:hAnsi="Times New Roman"/>
                <w:color w:val="000000"/>
                <w:sz w:val="22"/>
                <w:szCs w:val="22"/>
                <w:lang w:val="sr-Latn-ME"/>
              </w:rPr>
            </w:pPr>
          </w:p>
          <w:p w14:paraId="470AA33E" w14:textId="2C9173F3"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 xml:space="preserve">22. dan i dalje: 20 mg </w:t>
            </w:r>
          </w:p>
          <w:p w14:paraId="6319EAAC" w14:textId="77777777" w:rsidR="0083485F" w:rsidRPr="007D7545" w:rsidRDefault="0083485F" w:rsidP="005D101E">
            <w:pPr>
              <w:ind w:right="3"/>
              <w:rPr>
                <w:rFonts w:ascii="Times New Roman" w:hAnsi="Times New Roman"/>
                <w:color w:val="000000"/>
                <w:sz w:val="22"/>
                <w:szCs w:val="22"/>
                <w:lang w:val="sr-Latn-ME"/>
              </w:rPr>
            </w:pPr>
          </w:p>
          <w:p w14:paraId="7E256972" w14:textId="08E9EA0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Posl</w:t>
            </w:r>
            <w:r w:rsidR="0083485F" w:rsidRPr="007D7545">
              <w:rPr>
                <w:color w:val="000000"/>
                <w:sz w:val="22"/>
                <w:szCs w:val="22"/>
                <w:lang w:val="sr-Latn-ME"/>
              </w:rPr>
              <w:t>ij</w:t>
            </w:r>
            <w:r w:rsidRPr="007D7545">
              <w:rPr>
                <w:color w:val="000000"/>
                <w:sz w:val="22"/>
                <w:szCs w:val="22"/>
                <w:lang w:val="sr-Latn-ME"/>
              </w:rPr>
              <w:t>e najmanje 6 mjeseci: 10 mg ili 20 mg</w:t>
            </w:r>
          </w:p>
        </w:tc>
        <w:tc>
          <w:tcPr>
            <w:tcW w:w="789" w:type="pct"/>
          </w:tcPr>
          <w:p w14:paraId="7C4B3824"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21 mjesec</w:t>
            </w:r>
          </w:p>
        </w:tc>
      </w:tr>
      <w:tr w:rsidR="00D119DE" w:rsidRPr="007D7545" w14:paraId="5934AFB4" w14:textId="77777777" w:rsidTr="002D70E0">
        <w:tc>
          <w:tcPr>
            <w:tcW w:w="1834" w:type="pct"/>
          </w:tcPr>
          <w:p w14:paraId="3F0923F4" w14:textId="0D5630AA" w:rsidR="00D119DE" w:rsidRPr="007D7545" w:rsidRDefault="00D119DE" w:rsidP="005D101E">
            <w:pPr>
              <w:ind w:right="3"/>
              <w:rPr>
                <w:rFonts w:ascii="Times New Roman" w:hAnsi="Times New Roman"/>
                <w:color w:val="000000"/>
                <w:sz w:val="22"/>
                <w:szCs w:val="22"/>
                <w:lang w:val="sr-Latn-ME"/>
              </w:rPr>
            </w:pPr>
            <w:r w:rsidRPr="007D7545">
              <w:rPr>
                <w:color w:val="000000"/>
                <w:sz w:val="22"/>
                <w:szCs w:val="22"/>
                <w:lang w:val="sr-Latn-ME"/>
              </w:rPr>
              <w:t xml:space="preserve">Terapija venske tromboembolije (VTE) i prevencija rekurence VTE kod novorođenčadi rođenih u terminu i </w:t>
            </w:r>
            <w:r w:rsidR="00683FA1" w:rsidRPr="007D7545">
              <w:rPr>
                <w:color w:val="000000"/>
                <w:sz w:val="22"/>
                <w:szCs w:val="22"/>
                <w:lang w:val="sr-Latn-ME"/>
              </w:rPr>
              <w:t>djece</w:t>
            </w:r>
            <w:r w:rsidRPr="007D7545">
              <w:rPr>
                <w:color w:val="000000"/>
                <w:sz w:val="22"/>
                <w:szCs w:val="22"/>
                <w:lang w:val="sr-Latn-ME"/>
              </w:rPr>
              <w:t xml:space="preserve"> </w:t>
            </w:r>
            <w:r w:rsidR="00683FA1" w:rsidRPr="007D7545">
              <w:rPr>
                <w:color w:val="000000"/>
                <w:sz w:val="22"/>
                <w:szCs w:val="22"/>
                <w:lang w:val="sr-Latn-ME"/>
              </w:rPr>
              <w:t>ml</w:t>
            </w:r>
            <w:r w:rsidRPr="007D7545">
              <w:rPr>
                <w:color w:val="000000"/>
                <w:sz w:val="22"/>
                <w:szCs w:val="22"/>
                <w:lang w:val="sr-Latn-ME"/>
              </w:rPr>
              <w:t>ađe od 18 godina nakon započinjanja standardne antikoagulantne terapije</w:t>
            </w:r>
          </w:p>
        </w:tc>
        <w:tc>
          <w:tcPr>
            <w:tcW w:w="750" w:type="pct"/>
          </w:tcPr>
          <w:p w14:paraId="5CB52F0A" w14:textId="20222E78" w:rsidR="00D119DE" w:rsidRPr="007D7545" w:rsidRDefault="00D119DE" w:rsidP="005D101E">
            <w:pPr>
              <w:ind w:right="3"/>
              <w:rPr>
                <w:rFonts w:ascii="Times New Roman" w:hAnsi="Times New Roman"/>
                <w:color w:val="000000"/>
                <w:sz w:val="22"/>
                <w:szCs w:val="22"/>
                <w:lang w:val="sr-Latn-ME"/>
              </w:rPr>
            </w:pPr>
            <w:r w:rsidRPr="007D7545">
              <w:rPr>
                <w:color w:val="000000"/>
                <w:sz w:val="22"/>
                <w:szCs w:val="22"/>
                <w:lang w:val="sr-Latn-ME"/>
              </w:rPr>
              <w:t>329</w:t>
            </w:r>
          </w:p>
        </w:tc>
        <w:tc>
          <w:tcPr>
            <w:tcW w:w="1627" w:type="pct"/>
          </w:tcPr>
          <w:p w14:paraId="2DDA85F3" w14:textId="7C711824" w:rsidR="00D119DE" w:rsidRPr="007D7545" w:rsidRDefault="00D119DE" w:rsidP="005D101E">
            <w:pPr>
              <w:ind w:left="5"/>
              <w:rPr>
                <w:rFonts w:ascii="Times New Roman" w:hAnsi="Times New Roman"/>
                <w:color w:val="000000"/>
                <w:sz w:val="22"/>
                <w:szCs w:val="22"/>
                <w:lang w:val="sr-Latn-ME"/>
              </w:rPr>
            </w:pPr>
            <w:r w:rsidRPr="007D7545">
              <w:rPr>
                <w:color w:val="000000"/>
                <w:sz w:val="22"/>
                <w:szCs w:val="22"/>
                <w:lang w:val="sr-Latn-ME"/>
              </w:rPr>
              <w:t>Doza podešena na osnovu t</w:t>
            </w:r>
            <w:r w:rsidR="00955E5C" w:rsidRPr="007D7545">
              <w:rPr>
                <w:color w:val="000000"/>
                <w:sz w:val="22"/>
                <w:szCs w:val="22"/>
                <w:lang w:val="sr-Latn-ME"/>
              </w:rPr>
              <w:t>j</w:t>
            </w:r>
            <w:r w:rsidRPr="007D7545">
              <w:rPr>
                <w:color w:val="000000"/>
                <w:sz w:val="22"/>
                <w:szCs w:val="22"/>
                <w:lang w:val="sr-Latn-ME"/>
              </w:rPr>
              <w:t>elesne mase tako da se postigne izloženost l</w:t>
            </w:r>
            <w:r w:rsidR="00955E5C" w:rsidRPr="007D7545">
              <w:rPr>
                <w:color w:val="000000"/>
                <w:sz w:val="22"/>
                <w:szCs w:val="22"/>
                <w:lang w:val="sr-Latn-ME"/>
              </w:rPr>
              <w:t>ij</w:t>
            </w:r>
            <w:r w:rsidRPr="007D7545">
              <w:rPr>
                <w:color w:val="000000"/>
                <w:sz w:val="22"/>
                <w:szCs w:val="22"/>
                <w:lang w:val="sr-Latn-ME"/>
              </w:rPr>
              <w:t>eku slična onoj kod odraslih koji su tretirani sa 20 mg rivaroksabana jednom dnevno zbog  TDV</w:t>
            </w:r>
          </w:p>
        </w:tc>
        <w:tc>
          <w:tcPr>
            <w:tcW w:w="789" w:type="pct"/>
          </w:tcPr>
          <w:p w14:paraId="335183A9" w14:textId="5DA4A56C" w:rsidR="00D119DE" w:rsidRPr="007D7545" w:rsidRDefault="00D119DE" w:rsidP="005D101E">
            <w:pPr>
              <w:ind w:right="3"/>
              <w:rPr>
                <w:rFonts w:ascii="Times New Roman" w:hAnsi="Times New Roman"/>
                <w:color w:val="000000"/>
                <w:sz w:val="22"/>
                <w:szCs w:val="22"/>
                <w:lang w:val="sr-Latn-ME"/>
              </w:rPr>
            </w:pPr>
            <w:r w:rsidRPr="007D7545">
              <w:rPr>
                <w:color w:val="000000"/>
                <w:sz w:val="22"/>
                <w:szCs w:val="22"/>
                <w:lang w:val="sr-Latn-ME"/>
              </w:rPr>
              <w:t xml:space="preserve">12 </w:t>
            </w:r>
            <w:r w:rsidR="00683FA1" w:rsidRPr="007D7545">
              <w:rPr>
                <w:color w:val="000000"/>
                <w:sz w:val="22"/>
                <w:szCs w:val="22"/>
                <w:lang w:val="sr-Latn-ME"/>
              </w:rPr>
              <w:t>mjesec</w:t>
            </w:r>
            <w:r w:rsidRPr="007D7545">
              <w:rPr>
                <w:color w:val="000000"/>
                <w:sz w:val="22"/>
                <w:szCs w:val="22"/>
                <w:lang w:val="sr-Latn-ME"/>
              </w:rPr>
              <w:t>i</w:t>
            </w:r>
          </w:p>
        </w:tc>
      </w:tr>
      <w:tr w:rsidR="001E010E" w:rsidRPr="007D7545" w14:paraId="07EF0A0B" w14:textId="77777777" w:rsidTr="002D70E0">
        <w:tc>
          <w:tcPr>
            <w:tcW w:w="1834" w:type="pct"/>
          </w:tcPr>
          <w:p w14:paraId="1200525B" w14:textId="77777777" w:rsidR="001E010E" w:rsidRPr="007D7545" w:rsidRDefault="001E010E" w:rsidP="005D101E">
            <w:pPr>
              <w:ind w:right="3"/>
              <w:rPr>
                <w:rFonts w:ascii="Times New Roman" w:hAnsi="Times New Roman"/>
                <w:b/>
                <w:color w:val="000000"/>
                <w:sz w:val="22"/>
                <w:szCs w:val="22"/>
                <w:lang w:val="sr-Latn-ME"/>
              </w:rPr>
            </w:pPr>
            <w:r w:rsidRPr="007D7545">
              <w:rPr>
                <w:color w:val="000000"/>
                <w:sz w:val="22"/>
                <w:szCs w:val="22"/>
                <w:lang w:val="sr-Latn-ME"/>
              </w:rPr>
              <w:t>Prevencija moždanog udara i sistemske embolije kod pacijenata sa nevalvularnom atrijalnom fibrilacijom</w:t>
            </w:r>
          </w:p>
        </w:tc>
        <w:tc>
          <w:tcPr>
            <w:tcW w:w="750" w:type="pct"/>
          </w:tcPr>
          <w:p w14:paraId="31642DB9" w14:textId="31D20D38"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7</w:t>
            </w:r>
            <w:r w:rsidR="0083485F" w:rsidRPr="007D7545">
              <w:rPr>
                <w:color w:val="000000"/>
                <w:sz w:val="22"/>
                <w:szCs w:val="22"/>
                <w:lang w:val="sr-Latn-ME"/>
              </w:rPr>
              <w:t xml:space="preserve"> </w:t>
            </w:r>
            <w:r w:rsidRPr="007D7545">
              <w:rPr>
                <w:color w:val="000000"/>
                <w:sz w:val="22"/>
                <w:szCs w:val="22"/>
                <w:lang w:val="sr-Latn-ME"/>
              </w:rPr>
              <w:t>750</w:t>
            </w:r>
          </w:p>
        </w:tc>
        <w:tc>
          <w:tcPr>
            <w:tcW w:w="1627" w:type="pct"/>
          </w:tcPr>
          <w:p w14:paraId="6B3AE2AD"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20 mg</w:t>
            </w:r>
          </w:p>
        </w:tc>
        <w:tc>
          <w:tcPr>
            <w:tcW w:w="789" w:type="pct"/>
          </w:tcPr>
          <w:p w14:paraId="4D170A32"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41 mjesec</w:t>
            </w:r>
          </w:p>
        </w:tc>
      </w:tr>
      <w:tr w:rsidR="001E010E" w:rsidRPr="007D7545" w14:paraId="56A27BCC" w14:textId="77777777" w:rsidTr="002D70E0">
        <w:tc>
          <w:tcPr>
            <w:tcW w:w="1834" w:type="pct"/>
          </w:tcPr>
          <w:p w14:paraId="7860EE5B" w14:textId="77777777" w:rsidR="001E010E" w:rsidRPr="007D7545" w:rsidRDefault="001E010E" w:rsidP="005D101E">
            <w:pPr>
              <w:ind w:right="3"/>
              <w:rPr>
                <w:rFonts w:ascii="Times New Roman" w:hAnsi="Times New Roman"/>
                <w:b/>
                <w:color w:val="000000"/>
                <w:sz w:val="22"/>
                <w:szCs w:val="22"/>
                <w:lang w:val="sr-Latn-ME"/>
              </w:rPr>
            </w:pPr>
            <w:r w:rsidRPr="007D7545">
              <w:rPr>
                <w:color w:val="000000"/>
                <w:sz w:val="22"/>
                <w:szCs w:val="22"/>
                <w:lang w:val="sr-Latn-ME"/>
              </w:rPr>
              <w:t>Prevencija aterotrombotskih događaja kod pacijenata nakon akutnog koronarnog sindroma (AKS)</w:t>
            </w:r>
          </w:p>
        </w:tc>
        <w:tc>
          <w:tcPr>
            <w:tcW w:w="750" w:type="pct"/>
          </w:tcPr>
          <w:p w14:paraId="39A51943" w14:textId="71A3F80D"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10</w:t>
            </w:r>
            <w:r w:rsidR="0083485F" w:rsidRPr="007D7545">
              <w:rPr>
                <w:color w:val="000000"/>
                <w:sz w:val="22"/>
                <w:szCs w:val="22"/>
                <w:lang w:val="sr-Latn-ME"/>
              </w:rPr>
              <w:t xml:space="preserve"> </w:t>
            </w:r>
            <w:r w:rsidRPr="007D7545">
              <w:rPr>
                <w:color w:val="000000"/>
                <w:sz w:val="22"/>
                <w:szCs w:val="22"/>
                <w:lang w:val="sr-Latn-ME"/>
              </w:rPr>
              <w:t>225</w:t>
            </w:r>
          </w:p>
        </w:tc>
        <w:tc>
          <w:tcPr>
            <w:tcW w:w="1627" w:type="pct"/>
          </w:tcPr>
          <w:p w14:paraId="0DC6F117" w14:textId="2286FF41" w:rsidR="001E010E" w:rsidRPr="007D7545" w:rsidRDefault="001E010E" w:rsidP="005D101E">
            <w:pPr>
              <w:ind w:right="3"/>
              <w:rPr>
                <w:rFonts w:ascii="Times New Roman" w:hAnsi="Times New Roman"/>
                <w:b/>
                <w:color w:val="000000"/>
                <w:sz w:val="22"/>
                <w:szCs w:val="22"/>
                <w:lang w:val="sr-Latn-ME"/>
              </w:rPr>
            </w:pPr>
            <w:r w:rsidRPr="007D7545">
              <w:rPr>
                <w:color w:val="000000"/>
                <w:sz w:val="22"/>
                <w:szCs w:val="22"/>
                <w:lang w:val="sr-Latn-ME"/>
              </w:rPr>
              <w:t>5 mg ili 10 mg prim</w:t>
            </w:r>
            <w:r w:rsidR="0083485F" w:rsidRPr="007D7545">
              <w:rPr>
                <w:color w:val="000000"/>
                <w:sz w:val="22"/>
                <w:szCs w:val="22"/>
                <w:lang w:val="sr-Latn-ME"/>
              </w:rPr>
              <w:t>i</w:t>
            </w:r>
            <w:r w:rsidRPr="007D7545">
              <w:rPr>
                <w:color w:val="000000"/>
                <w:sz w:val="22"/>
                <w:szCs w:val="22"/>
                <w:lang w:val="sr-Latn-ME"/>
              </w:rPr>
              <w:t>jenjeno ili istovremeno samo sa ASK ili sa ASK i klopidogrelom ili tiklopidinom</w:t>
            </w:r>
          </w:p>
        </w:tc>
        <w:tc>
          <w:tcPr>
            <w:tcW w:w="789" w:type="pct"/>
          </w:tcPr>
          <w:p w14:paraId="241BB95A" w14:textId="77777777" w:rsidR="001E010E" w:rsidRPr="007D7545" w:rsidRDefault="001E010E" w:rsidP="005D101E">
            <w:pPr>
              <w:ind w:right="3"/>
              <w:rPr>
                <w:rFonts w:ascii="Times New Roman" w:hAnsi="Times New Roman"/>
                <w:color w:val="000000"/>
                <w:sz w:val="22"/>
                <w:szCs w:val="22"/>
                <w:lang w:val="sr-Latn-ME"/>
              </w:rPr>
            </w:pPr>
            <w:r w:rsidRPr="007D7545">
              <w:rPr>
                <w:color w:val="000000"/>
                <w:sz w:val="22"/>
                <w:szCs w:val="22"/>
                <w:lang w:val="sr-Latn-ME"/>
              </w:rPr>
              <w:t>31 mjesec</w:t>
            </w:r>
          </w:p>
        </w:tc>
      </w:tr>
      <w:tr w:rsidR="0020339A" w:rsidRPr="007D7545" w14:paraId="2C8ADC7C" w14:textId="77777777" w:rsidTr="002D70E0">
        <w:tc>
          <w:tcPr>
            <w:tcW w:w="1834" w:type="pct"/>
            <w:vMerge w:val="restart"/>
          </w:tcPr>
          <w:p w14:paraId="3274339A" w14:textId="77777777" w:rsidR="0020339A" w:rsidRPr="007D7545" w:rsidRDefault="0020339A" w:rsidP="005D101E">
            <w:pPr>
              <w:ind w:right="3"/>
              <w:rPr>
                <w:rFonts w:ascii="Times New Roman" w:hAnsi="Times New Roman"/>
                <w:b/>
                <w:color w:val="000000"/>
                <w:sz w:val="22"/>
                <w:szCs w:val="22"/>
                <w:lang w:val="sr-Latn-ME"/>
              </w:rPr>
            </w:pPr>
            <w:r w:rsidRPr="007D7545">
              <w:rPr>
                <w:color w:val="000000"/>
                <w:sz w:val="22"/>
                <w:szCs w:val="22"/>
                <w:lang w:val="sr-Latn-ME"/>
              </w:rPr>
              <w:t>Prevencija aterotrombotskih događaja kod pacijenata sa bolešću koronarnih arterija (BKA)/bolešću perifernih arterija (BPA)</w:t>
            </w:r>
          </w:p>
        </w:tc>
        <w:tc>
          <w:tcPr>
            <w:tcW w:w="750" w:type="pct"/>
          </w:tcPr>
          <w:p w14:paraId="2EEC6367" w14:textId="6937F444" w:rsidR="0020339A" w:rsidRPr="007D7545" w:rsidRDefault="0020339A" w:rsidP="005D101E">
            <w:pPr>
              <w:ind w:right="3"/>
              <w:rPr>
                <w:rFonts w:ascii="Times New Roman" w:hAnsi="Times New Roman"/>
                <w:b/>
                <w:color w:val="000000"/>
                <w:sz w:val="22"/>
                <w:szCs w:val="22"/>
                <w:lang w:val="sr-Latn-ME"/>
              </w:rPr>
            </w:pPr>
            <w:r w:rsidRPr="007D7545">
              <w:rPr>
                <w:color w:val="000000"/>
                <w:sz w:val="22"/>
                <w:szCs w:val="22"/>
                <w:lang w:val="sr-Latn-ME"/>
              </w:rPr>
              <w:t>18</w:t>
            </w:r>
            <w:r w:rsidR="0083485F" w:rsidRPr="007D7545">
              <w:rPr>
                <w:color w:val="000000"/>
                <w:sz w:val="22"/>
                <w:szCs w:val="22"/>
                <w:lang w:val="sr-Latn-ME"/>
              </w:rPr>
              <w:t xml:space="preserve"> </w:t>
            </w:r>
            <w:r w:rsidRPr="007D7545">
              <w:rPr>
                <w:color w:val="000000"/>
                <w:sz w:val="22"/>
                <w:szCs w:val="22"/>
                <w:lang w:val="sr-Latn-ME"/>
              </w:rPr>
              <w:t>244</w:t>
            </w:r>
          </w:p>
        </w:tc>
        <w:tc>
          <w:tcPr>
            <w:tcW w:w="1627" w:type="pct"/>
          </w:tcPr>
          <w:p w14:paraId="3DAE32B2" w14:textId="52846EC7" w:rsidR="0020339A" w:rsidRPr="007D7545" w:rsidRDefault="0020339A" w:rsidP="005D101E">
            <w:pPr>
              <w:ind w:right="3"/>
              <w:rPr>
                <w:rFonts w:ascii="Times New Roman" w:hAnsi="Times New Roman"/>
                <w:b/>
                <w:color w:val="000000"/>
                <w:sz w:val="22"/>
                <w:szCs w:val="22"/>
                <w:lang w:val="sr-Latn-ME"/>
              </w:rPr>
            </w:pPr>
            <w:r w:rsidRPr="007D7545">
              <w:rPr>
                <w:color w:val="000000"/>
                <w:sz w:val="22"/>
                <w:szCs w:val="22"/>
                <w:lang w:val="sr-Latn-ME"/>
              </w:rPr>
              <w:t>5 mg prim</w:t>
            </w:r>
            <w:r w:rsidR="0083485F" w:rsidRPr="007D7545">
              <w:rPr>
                <w:color w:val="000000"/>
                <w:sz w:val="22"/>
                <w:szCs w:val="22"/>
                <w:lang w:val="sr-Latn-ME"/>
              </w:rPr>
              <w:t>i</w:t>
            </w:r>
            <w:r w:rsidRPr="007D7545">
              <w:rPr>
                <w:color w:val="000000"/>
                <w:sz w:val="22"/>
                <w:szCs w:val="22"/>
                <w:lang w:val="sr-Latn-ME"/>
              </w:rPr>
              <w:t>jenjeno istovremeno sa ASK ili samo rivaroksaban 10 mg</w:t>
            </w:r>
          </w:p>
        </w:tc>
        <w:tc>
          <w:tcPr>
            <w:tcW w:w="789" w:type="pct"/>
          </w:tcPr>
          <w:p w14:paraId="5EDBAD0E" w14:textId="77777777" w:rsidR="0020339A" w:rsidRPr="007D7545" w:rsidRDefault="0020339A" w:rsidP="005D101E">
            <w:pPr>
              <w:ind w:right="3"/>
              <w:rPr>
                <w:rFonts w:ascii="Times New Roman" w:hAnsi="Times New Roman"/>
                <w:color w:val="000000"/>
                <w:sz w:val="22"/>
                <w:szCs w:val="22"/>
                <w:lang w:val="sr-Latn-ME"/>
              </w:rPr>
            </w:pPr>
            <w:r w:rsidRPr="007D7545">
              <w:rPr>
                <w:color w:val="000000"/>
                <w:sz w:val="22"/>
                <w:szCs w:val="22"/>
                <w:lang w:val="sr-Latn-ME"/>
              </w:rPr>
              <w:t>47 mjeseci</w:t>
            </w:r>
          </w:p>
        </w:tc>
      </w:tr>
      <w:tr w:rsidR="0020339A" w:rsidRPr="007D7545" w14:paraId="642F5259" w14:textId="77777777" w:rsidTr="002D70E0">
        <w:tc>
          <w:tcPr>
            <w:tcW w:w="1834" w:type="pct"/>
            <w:vMerge/>
          </w:tcPr>
          <w:p w14:paraId="33E92322" w14:textId="77777777" w:rsidR="0020339A" w:rsidRPr="007D7545" w:rsidRDefault="0020339A" w:rsidP="005D101E">
            <w:pPr>
              <w:ind w:right="3"/>
              <w:rPr>
                <w:rFonts w:ascii="Times New Roman" w:hAnsi="Times New Roman"/>
                <w:color w:val="000000"/>
                <w:sz w:val="22"/>
                <w:szCs w:val="22"/>
                <w:lang w:val="sr-Latn-ME"/>
              </w:rPr>
            </w:pPr>
          </w:p>
        </w:tc>
        <w:tc>
          <w:tcPr>
            <w:tcW w:w="750" w:type="pct"/>
          </w:tcPr>
          <w:p w14:paraId="11F5A393" w14:textId="4CB2D875" w:rsidR="0020339A" w:rsidRPr="007D7545" w:rsidRDefault="0020339A" w:rsidP="005D101E">
            <w:pPr>
              <w:ind w:right="5"/>
              <w:rPr>
                <w:rFonts w:ascii="Times New Roman" w:hAnsi="Times New Roman"/>
                <w:color w:val="000000"/>
                <w:sz w:val="22"/>
                <w:szCs w:val="22"/>
                <w:lang w:val="sr-Latn-ME"/>
              </w:rPr>
            </w:pPr>
            <w:r w:rsidRPr="007D7545">
              <w:rPr>
                <w:color w:val="000000"/>
                <w:sz w:val="22"/>
                <w:szCs w:val="22"/>
                <w:lang w:val="sr-Latn-ME"/>
              </w:rPr>
              <w:t>3</w:t>
            </w:r>
            <w:r w:rsidR="0083485F" w:rsidRPr="007D7545">
              <w:rPr>
                <w:color w:val="000000"/>
                <w:sz w:val="22"/>
                <w:szCs w:val="22"/>
                <w:lang w:val="sr-Latn-ME"/>
              </w:rPr>
              <w:t xml:space="preserve"> </w:t>
            </w:r>
            <w:r w:rsidRPr="007D7545">
              <w:rPr>
                <w:color w:val="000000"/>
                <w:sz w:val="22"/>
                <w:szCs w:val="22"/>
                <w:lang w:val="sr-Latn-ME"/>
              </w:rPr>
              <w:t>256**</w:t>
            </w:r>
          </w:p>
        </w:tc>
        <w:tc>
          <w:tcPr>
            <w:tcW w:w="1627" w:type="pct"/>
          </w:tcPr>
          <w:p w14:paraId="1790F82D" w14:textId="70E80965" w:rsidR="0020339A" w:rsidRPr="007D7545" w:rsidRDefault="0020339A" w:rsidP="005D101E">
            <w:pPr>
              <w:ind w:right="5"/>
              <w:rPr>
                <w:rFonts w:ascii="Times New Roman" w:hAnsi="Times New Roman"/>
                <w:color w:val="000000"/>
                <w:sz w:val="22"/>
                <w:szCs w:val="22"/>
                <w:lang w:val="sr-Latn-ME"/>
              </w:rPr>
            </w:pPr>
            <w:r w:rsidRPr="007D7545">
              <w:rPr>
                <w:color w:val="000000"/>
                <w:sz w:val="22"/>
                <w:szCs w:val="22"/>
                <w:lang w:val="sr-Latn-ME"/>
              </w:rPr>
              <w:t>5 mg prim</w:t>
            </w:r>
            <w:r w:rsidR="00BC0470" w:rsidRPr="007D7545">
              <w:rPr>
                <w:color w:val="000000"/>
                <w:sz w:val="22"/>
                <w:szCs w:val="22"/>
                <w:lang w:val="sr-Latn-ME"/>
              </w:rPr>
              <w:t>i</w:t>
            </w:r>
            <w:r w:rsidRPr="007D7545">
              <w:rPr>
                <w:color w:val="000000"/>
                <w:sz w:val="22"/>
                <w:szCs w:val="22"/>
                <w:lang w:val="sr-Latn-ME"/>
              </w:rPr>
              <w:t>jenjeno istovremeno sa ASK</w:t>
            </w:r>
          </w:p>
        </w:tc>
        <w:tc>
          <w:tcPr>
            <w:tcW w:w="789" w:type="pct"/>
          </w:tcPr>
          <w:p w14:paraId="2F8D8B8C" w14:textId="7273034C" w:rsidR="0020339A" w:rsidRPr="007D7545" w:rsidRDefault="0020339A" w:rsidP="005D101E">
            <w:pPr>
              <w:ind w:right="5"/>
              <w:rPr>
                <w:rFonts w:ascii="Times New Roman" w:hAnsi="Times New Roman"/>
                <w:color w:val="000000"/>
                <w:sz w:val="22"/>
                <w:szCs w:val="22"/>
                <w:lang w:val="sr-Latn-ME"/>
              </w:rPr>
            </w:pPr>
            <w:r w:rsidRPr="007D7545">
              <w:rPr>
                <w:color w:val="000000"/>
                <w:sz w:val="22"/>
                <w:szCs w:val="22"/>
                <w:lang w:val="sr-Latn-ME"/>
              </w:rPr>
              <w:t xml:space="preserve">42 </w:t>
            </w:r>
            <w:r w:rsidR="00683FA1" w:rsidRPr="007D7545">
              <w:rPr>
                <w:color w:val="000000"/>
                <w:sz w:val="22"/>
                <w:szCs w:val="22"/>
                <w:lang w:val="sr-Latn-ME"/>
              </w:rPr>
              <w:t>mjesec</w:t>
            </w:r>
            <w:r w:rsidRPr="007D7545">
              <w:rPr>
                <w:color w:val="000000"/>
                <w:sz w:val="22"/>
                <w:szCs w:val="22"/>
                <w:lang w:val="sr-Latn-ME"/>
              </w:rPr>
              <w:t>a</w:t>
            </w:r>
          </w:p>
        </w:tc>
      </w:tr>
    </w:tbl>
    <w:p w14:paraId="38F227CD" w14:textId="37A1ABF2" w:rsidR="00BC0470" w:rsidRPr="002D70E0" w:rsidRDefault="001E010E" w:rsidP="005D101E">
      <w:pPr>
        <w:ind w:right="5"/>
        <w:jc w:val="both"/>
        <w:rPr>
          <w:color w:val="000000"/>
          <w:sz w:val="20"/>
          <w:szCs w:val="22"/>
          <w:lang w:val="sr-Latn-ME"/>
        </w:rPr>
      </w:pPr>
      <w:r w:rsidRPr="002D70E0">
        <w:rPr>
          <w:color w:val="000000"/>
          <w:sz w:val="20"/>
          <w:szCs w:val="22"/>
          <w:lang w:val="sr-Latn-ME"/>
        </w:rPr>
        <w:t>*Pacijenti koji su bili izloženi najmanje jednoj dozi rivaroksabana.</w:t>
      </w:r>
    </w:p>
    <w:p w14:paraId="61F5B363" w14:textId="45CE1225" w:rsidR="0020339A" w:rsidRPr="002D70E0" w:rsidRDefault="0020339A" w:rsidP="005D101E">
      <w:pPr>
        <w:ind w:right="5"/>
        <w:jc w:val="both"/>
        <w:rPr>
          <w:color w:val="000000"/>
          <w:sz w:val="20"/>
          <w:szCs w:val="22"/>
          <w:lang w:val="sr-Latn-ME"/>
        </w:rPr>
      </w:pPr>
      <w:r w:rsidRPr="002D70E0">
        <w:rPr>
          <w:color w:val="000000"/>
          <w:sz w:val="20"/>
          <w:szCs w:val="22"/>
          <w:lang w:val="sr-Latn-ME"/>
        </w:rPr>
        <w:t>**Podaci iz VOYAGER PAD studije</w:t>
      </w:r>
      <w:r w:rsidR="00EA6129" w:rsidRPr="002D70E0">
        <w:rPr>
          <w:color w:val="000000"/>
          <w:sz w:val="20"/>
          <w:szCs w:val="22"/>
          <w:lang w:val="sr-Latn-ME"/>
        </w:rPr>
        <w:t>.</w:t>
      </w:r>
    </w:p>
    <w:p w14:paraId="0D9B0084" w14:textId="77777777" w:rsidR="00EA6129" w:rsidRPr="007D7545" w:rsidRDefault="00EA6129" w:rsidP="005D101E">
      <w:pPr>
        <w:ind w:right="5"/>
        <w:jc w:val="both"/>
        <w:rPr>
          <w:color w:val="000000"/>
          <w:sz w:val="22"/>
          <w:szCs w:val="22"/>
          <w:lang w:val="sr-Latn-ME"/>
        </w:rPr>
      </w:pPr>
    </w:p>
    <w:p w14:paraId="40F90CCB" w14:textId="0CE0430E" w:rsidR="001E010E" w:rsidRPr="007D7545" w:rsidRDefault="001E010E" w:rsidP="005D101E">
      <w:pPr>
        <w:ind w:hanging="10"/>
        <w:jc w:val="both"/>
        <w:rPr>
          <w:color w:val="000000"/>
          <w:sz w:val="22"/>
          <w:szCs w:val="22"/>
          <w:lang w:val="sr-Latn-ME"/>
        </w:rPr>
      </w:pPr>
      <w:r w:rsidRPr="007D7545">
        <w:rPr>
          <w:color w:val="000000"/>
          <w:sz w:val="22"/>
          <w:szCs w:val="22"/>
          <w:lang w:val="sr-Latn-ME"/>
        </w:rPr>
        <w:t>Najčešće prijavljene neželjene reakcije kod pacijenata na terapiji rivaroksabanom su bile krvarenja (</w:t>
      </w:r>
      <w:r w:rsidR="00955E5C" w:rsidRPr="007D7545">
        <w:rPr>
          <w:i/>
          <w:color w:val="000000"/>
          <w:sz w:val="22"/>
          <w:szCs w:val="22"/>
          <w:lang w:val="sr-Latn-ME"/>
        </w:rPr>
        <w:t>pogledati dio</w:t>
      </w:r>
      <w:r w:rsidRPr="007D7545">
        <w:rPr>
          <w:i/>
          <w:color w:val="000000"/>
          <w:sz w:val="22"/>
          <w:szCs w:val="22"/>
          <w:lang w:val="sr-Latn-ME"/>
        </w:rPr>
        <w:t xml:space="preserve"> 4.4. i “Opis odbranih neželjenih reakcija“ niže</w:t>
      </w:r>
      <w:r w:rsidRPr="007D7545">
        <w:rPr>
          <w:color w:val="000000"/>
          <w:sz w:val="22"/>
          <w:szCs w:val="22"/>
          <w:lang w:val="sr-Latn-ME"/>
        </w:rPr>
        <w:t>) (Tabela 2). Najčešće prijavljena krvarenja su bila epistaksa (4,5%) i hemoragije u gastrointestinalnom traktu (3,8%).</w:t>
      </w:r>
    </w:p>
    <w:p w14:paraId="12792C08" w14:textId="77777777" w:rsidR="00EA6129" w:rsidRPr="007D7545" w:rsidRDefault="00EA6129" w:rsidP="005D101E">
      <w:pPr>
        <w:ind w:hanging="10"/>
        <w:jc w:val="both"/>
        <w:rPr>
          <w:color w:val="000000"/>
          <w:sz w:val="22"/>
          <w:szCs w:val="22"/>
          <w:lang w:val="sr-Latn-ME"/>
        </w:rPr>
      </w:pPr>
    </w:p>
    <w:p w14:paraId="2D6C9C0B" w14:textId="12500ED6" w:rsidR="001E010E" w:rsidRPr="007D7545" w:rsidRDefault="001E010E" w:rsidP="002D70E0">
      <w:pPr>
        <w:keepNext/>
        <w:keepLines/>
        <w:ind w:hanging="10"/>
        <w:jc w:val="both"/>
        <w:outlineLvl w:val="0"/>
        <w:rPr>
          <w:b/>
          <w:color w:val="000000"/>
          <w:sz w:val="22"/>
          <w:szCs w:val="22"/>
          <w:lang w:val="sr-Latn-ME"/>
        </w:rPr>
      </w:pPr>
      <w:r w:rsidRPr="007D7545">
        <w:rPr>
          <w:b/>
          <w:color w:val="000000"/>
          <w:sz w:val="22"/>
          <w:szCs w:val="22"/>
          <w:lang w:val="sr-Latn-ME"/>
        </w:rPr>
        <w:t xml:space="preserve">Tabela 2: Učestalost događaja krvarenja* i anemija kod </w:t>
      </w:r>
      <w:r w:rsidR="009C0BC1" w:rsidRPr="007D7545">
        <w:rPr>
          <w:b/>
          <w:color w:val="000000"/>
          <w:sz w:val="22"/>
          <w:szCs w:val="22"/>
          <w:lang w:val="sr-Latn-ME"/>
        </w:rPr>
        <w:t xml:space="preserve">odraslih i pedijatrijskih </w:t>
      </w:r>
      <w:r w:rsidRPr="007D7545">
        <w:rPr>
          <w:b/>
          <w:color w:val="000000"/>
          <w:sz w:val="22"/>
          <w:szCs w:val="22"/>
          <w:lang w:val="sr-Latn-ME"/>
        </w:rPr>
        <w:t>pacijenata koji su primali rivaroksaban u završenim studijama faze III</w:t>
      </w:r>
    </w:p>
    <w:p w14:paraId="3AAB12BC" w14:textId="77777777" w:rsidR="001E010E" w:rsidRPr="007D7545" w:rsidRDefault="001E010E" w:rsidP="005D101E">
      <w:pPr>
        <w:keepNext/>
        <w:keepLines/>
        <w:outlineLvl w:val="0"/>
        <w:rPr>
          <w:b/>
          <w:color w:val="000000"/>
          <w:sz w:val="22"/>
          <w:szCs w:val="22"/>
          <w:lang w:val="sr-Latn-ME"/>
        </w:rPr>
      </w:pPr>
    </w:p>
    <w:tbl>
      <w:tblPr>
        <w:tblStyle w:val="TableGrid10"/>
        <w:tblW w:w="5000" w:type="pct"/>
        <w:tblLook w:val="04A0" w:firstRow="1" w:lastRow="0" w:firstColumn="1" w:lastColumn="0" w:noHBand="0" w:noVBand="1"/>
      </w:tblPr>
      <w:tblGrid>
        <w:gridCol w:w="5733"/>
        <w:gridCol w:w="1595"/>
        <w:gridCol w:w="1735"/>
      </w:tblGrid>
      <w:tr w:rsidR="001E010E" w:rsidRPr="007D7545" w14:paraId="2DFC5DCC" w14:textId="77777777" w:rsidTr="002D70E0">
        <w:tc>
          <w:tcPr>
            <w:tcW w:w="3163" w:type="pct"/>
          </w:tcPr>
          <w:p w14:paraId="4FFA8DBD"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Indikacija</w:t>
            </w:r>
          </w:p>
        </w:tc>
        <w:tc>
          <w:tcPr>
            <w:tcW w:w="880" w:type="pct"/>
          </w:tcPr>
          <w:p w14:paraId="5A1C6486"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Bilo kakvo krvarenje</w:t>
            </w:r>
          </w:p>
        </w:tc>
        <w:tc>
          <w:tcPr>
            <w:tcW w:w="957" w:type="pct"/>
          </w:tcPr>
          <w:p w14:paraId="0E4952DB"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Anemija</w:t>
            </w:r>
          </w:p>
        </w:tc>
      </w:tr>
      <w:tr w:rsidR="001E010E" w:rsidRPr="007D7545" w14:paraId="06832FBE" w14:textId="77777777" w:rsidTr="002D70E0">
        <w:tc>
          <w:tcPr>
            <w:tcW w:w="3163" w:type="pct"/>
          </w:tcPr>
          <w:p w14:paraId="45A7247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Prevencija venske tromboembolije (VTE) kod odraslih pacijenata podvrgnutih elektivnoj hirurškoj intervenciji zamjene kuka ili koljena</w:t>
            </w:r>
          </w:p>
        </w:tc>
        <w:tc>
          <w:tcPr>
            <w:tcW w:w="880" w:type="pct"/>
          </w:tcPr>
          <w:p w14:paraId="382EBC6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6,8% pacijenata</w:t>
            </w:r>
          </w:p>
        </w:tc>
        <w:tc>
          <w:tcPr>
            <w:tcW w:w="957" w:type="pct"/>
          </w:tcPr>
          <w:p w14:paraId="73FE86B8"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5,9% pacijenata</w:t>
            </w:r>
          </w:p>
        </w:tc>
      </w:tr>
      <w:tr w:rsidR="001E010E" w:rsidRPr="007D7545" w14:paraId="0D0BA700" w14:textId="77777777" w:rsidTr="002D70E0">
        <w:tc>
          <w:tcPr>
            <w:tcW w:w="3163" w:type="pct"/>
          </w:tcPr>
          <w:p w14:paraId="71CB38E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lastRenderedPageBreak/>
              <w:t>Prevencija venske tromboembolije kod hospitalizovanih hroničnih pacijenata</w:t>
            </w:r>
          </w:p>
        </w:tc>
        <w:tc>
          <w:tcPr>
            <w:tcW w:w="880" w:type="pct"/>
          </w:tcPr>
          <w:p w14:paraId="1C52EE8E"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12,6% pacijenata</w:t>
            </w:r>
          </w:p>
        </w:tc>
        <w:tc>
          <w:tcPr>
            <w:tcW w:w="957" w:type="pct"/>
          </w:tcPr>
          <w:p w14:paraId="34968225"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2,1% pacijenata</w:t>
            </w:r>
          </w:p>
        </w:tc>
      </w:tr>
      <w:tr w:rsidR="001E010E" w:rsidRPr="007D7545" w14:paraId="6B9DF77C" w14:textId="77777777" w:rsidTr="002D70E0">
        <w:tc>
          <w:tcPr>
            <w:tcW w:w="3163" w:type="pct"/>
          </w:tcPr>
          <w:p w14:paraId="1312718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Terapija TDV, PE i prevencija recidiva</w:t>
            </w:r>
          </w:p>
        </w:tc>
        <w:tc>
          <w:tcPr>
            <w:tcW w:w="880" w:type="pct"/>
          </w:tcPr>
          <w:p w14:paraId="45995F25"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23% pacijenata</w:t>
            </w:r>
          </w:p>
        </w:tc>
        <w:tc>
          <w:tcPr>
            <w:tcW w:w="957" w:type="pct"/>
          </w:tcPr>
          <w:p w14:paraId="27E3DCE5"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1,6% pacijenata</w:t>
            </w:r>
          </w:p>
        </w:tc>
      </w:tr>
      <w:tr w:rsidR="00E10329" w:rsidRPr="007D7545" w14:paraId="6CA982BC" w14:textId="77777777" w:rsidTr="002D70E0">
        <w:tc>
          <w:tcPr>
            <w:tcW w:w="3163" w:type="pct"/>
          </w:tcPr>
          <w:p w14:paraId="534E3964" w14:textId="10139210" w:rsidR="00E10329" w:rsidRPr="007D7545" w:rsidRDefault="007F48E1" w:rsidP="005D101E">
            <w:pPr>
              <w:rPr>
                <w:rFonts w:ascii="Times New Roman" w:hAnsi="Times New Roman"/>
                <w:color w:val="000000"/>
                <w:sz w:val="22"/>
                <w:szCs w:val="22"/>
                <w:lang w:val="sr-Latn-ME"/>
              </w:rPr>
            </w:pPr>
            <w:r w:rsidRPr="007D7545">
              <w:rPr>
                <w:color w:val="000000"/>
                <w:sz w:val="22"/>
                <w:szCs w:val="22"/>
                <w:lang w:val="sr-Latn-ME"/>
              </w:rPr>
              <w:t>Terapija venske tromboembolije (VTE) i prevencija rekurence VTE kod novorođenčadi rođenih u terminu i d</w:t>
            </w:r>
            <w:r w:rsidR="00955E5C" w:rsidRPr="007D7545">
              <w:rPr>
                <w:color w:val="000000"/>
                <w:sz w:val="22"/>
                <w:szCs w:val="22"/>
                <w:lang w:val="sr-Latn-ME"/>
              </w:rPr>
              <w:t>j</w:t>
            </w:r>
            <w:r w:rsidRPr="007D7545">
              <w:rPr>
                <w:color w:val="000000"/>
                <w:sz w:val="22"/>
                <w:szCs w:val="22"/>
                <w:lang w:val="sr-Latn-ME"/>
              </w:rPr>
              <w:t xml:space="preserve">ece </w:t>
            </w:r>
            <w:r w:rsidR="00683FA1" w:rsidRPr="007D7545">
              <w:rPr>
                <w:color w:val="000000"/>
                <w:sz w:val="22"/>
                <w:szCs w:val="22"/>
                <w:lang w:val="sr-Latn-ME"/>
              </w:rPr>
              <w:t>ml</w:t>
            </w:r>
            <w:r w:rsidRPr="007D7545">
              <w:rPr>
                <w:color w:val="000000"/>
                <w:sz w:val="22"/>
                <w:szCs w:val="22"/>
                <w:lang w:val="sr-Latn-ME"/>
              </w:rPr>
              <w:t>ađe od 18 godina nakon započinjanja standardne antikoagulantne terapije</w:t>
            </w:r>
          </w:p>
        </w:tc>
        <w:tc>
          <w:tcPr>
            <w:tcW w:w="880" w:type="pct"/>
          </w:tcPr>
          <w:p w14:paraId="7AFCA53D" w14:textId="3562206F" w:rsidR="00E10329" w:rsidRPr="007D7545" w:rsidRDefault="00E10329" w:rsidP="005D101E">
            <w:pPr>
              <w:rPr>
                <w:rFonts w:ascii="Times New Roman" w:hAnsi="Times New Roman"/>
                <w:color w:val="000000"/>
                <w:sz w:val="22"/>
                <w:szCs w:val="22"/>
                <w:lang w:val="sr-Latn-ME"/>
              </w:rPr>
            </w:pPr>
            <w:r w:rsidRPr="007D7545">
              <w:rPr>
                <w:color w:val="000000"/>
                <w:sz w:val="22"/>
                <w:szCs w:val="22"/>
                <w:lang w:val="sr-Latn-ME"/>
              </w:rPr>
              <w:t>39,5% pacijenata</w:t>
            </w:r>
          </w:p>
        </w:tc>
        <w:tc>
          <w:tcPr>
            <w:tcW w:w="957" w:type="pct"/>
          </w:tcPr>
          <w:p w14:paraId="495C154A" w14:textId="30211297" w:rsidR="00E10329" w:rsidRPr="007D7545" w:rsidRDefault="00E10329" w:rsidP="005D101E">
            <w:pPr>
              <w:rPr>
                <w:rFonts w:ascii="Times New Roman" w:hAnsi="Times New Roman"/>
                <w:color w:val="000000"/>
                <w:sz w:val="22"/>
                <w:szCs w:val="22"/>
                <w:lang w:val="sr-Latn-ME"/>
              </w:rPr>
            </w:pPr>
            <w:r w:rsidRPr="007D7545">
              <w:rPr>
                <w:color w:val="000000"/>
                <w:sz w:val="22"/>
                <w:szCs w:val="22"/>
                <w:lang w:val="sr-Latn-ME"/>
              </w:rPr>
              <w:t>4,6% pacijenata</w:t>
            </w:r>
          </w:p>
        </w:tc>
      </w:tr>
      <w:tr w:rsidR="001E010E" w:rsidRPr="007D7545" w14:paraId="446D8FC6" w14:textId="77777777" w:rsidTr="002D70E0">
        <w:tc>
          <w:tcPr>
            <w:tcW w:w="3163" w:type="pct"/>
          </w:tcPr>
          <w:p w14:paraId="262C360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Prevencija moždanog udara i sistemske embolije kod pacijenata sa nevalvularnom atrijalnom fibrilacijom</w:t>
            </w:r>
          </w:p>
        </w:tc>
        <w:tc>
          <w:tcPr>
            <w:tcW w:w="880" w:type="pct"/>
          </w:tcPr>
          <w:p w14:paraId="09216644"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28 na 100 pacijent- godina</w:t>
            </w:r>
          </w:p>
        </w:tc>
        <w:tc>
          <w:tcPr>
            <w:tcW w:w="957" w:type="pct"/>
          </w:tcPr>
          <w:p w14:paraId="615CE94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2,5 na 100 pacijent -godina</w:t>
            </w:r>
          </w:p>
        </w:tc>
      </w:tr>
      <w:tr w:rsidR="001E010E" w:rsidRPr="007D7545" w14:paraId="63FCD7B9" w14:textId="77777777" w:rsidTr="002D70E0">
        <w:tc>
          <w:tcPr>
            <w:tcW w:w="3163" w:type="pct"/>
          </w:tcPr>
          <w:p w14:paraId="3A317001"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Prevencija aterotrombotskih događaja kod pacijenata posle AKS</w:t>
            </w:r>
          </w:p>
        </w:tc>
        <w:tc>
          <w:tcPr>
            <w:tcW w:w="880" w:type="pct"/>
          </w:tcPr>
          <w:p w14:paraId="15A29E5F"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22 na 100 pacijent- godina</w:t>
            </w:r>
          </w:p>
        </w:tc>
        <w:tc>
          <w:tcPr>
            <w:tcW w:w="957" w:type="pct"/>
          </w:tcPr>
          <w:p w14:paraId="1AA26B58"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1,4 na 100 pacijent- godina</w:t>
            </w:r>
          </w:p>
        </w:tc>
      </w:tr>
      <w:tr w:rsidR="0020339A" w:rsidRPr="007D7545" w14:paraId="059CB870" w14:textId="77777777" w:rsidTr="002D70E0">
        <w:tc>
          <w:tcPr>
            <w:tcW w:w="3163" w:type="pct"/>
            <w:vMerge w:val="restart"/>
          </w:tcPr>
          <w:p w14:paraId="75ECBC5B" w14:textId="77777777" w:rsidR="0020339A" w:rsidRPr="007D7545" w:rsidRDefault="0020339A" w:rsidP="005D101E">
            <w:pPr>
              <w:rPr>
                <w:rFonts w:ascii="Times New Roman" w:hAnsi="Times New Roman"/>
                <w:color w:val="000000"/>
                <w:sz w:val="22"/>
                <w:szCs w:val="22"/>
                <w:lang w:val="sr-Latn-ME"/>
              </w:rPr>
            </w:pPr>
            <w:r w:rsidRPr="007D7545">
              <w:rPr>
                <w:color w:val="000000"/>
                <w:sz w:val="22"/>
                <w:szCs w:val="22"/>
                <w:lang w:val="sr-Latn-ME"/>
              </w:rPr>
              <w:t>Prevencija aterotrombotskih događaja kod pacijenata sa BKA/BPA</w:t>
            </w:r>
          </w:p>
        </w:tc>
        <w:tc>
          <w:tcPr>
            <w:tcW w:w="880" w:type="pct"/>
          </w:tcPr>
          <w:p w14:paraId="1602DB55" w14:textId="77777777" w:rsidR="0020339A" w:rsidRPr="007D7545" w:rsidRDefault="0020339A" w:rsidP="005D101E">
            <w:pPr>
              <w:rPr>
                <w:rFonts w:ascii="Times New Roman" w:hAnsi="Times New Roman"/>
                <w:color w:val="000000"/>
                <w:sz w:val="22"/>
                <w:szCs w:val="22"/>
                <w:lang w:val="sr-Latn-ME"/>
              </w:rPr>
            </w:pPr>
            <w:r w:rsidRPr="007D7545">
              <w:rPr>
                <w:color w:val="000000"/>
                <w:sz w:val="22"/>
                <w:szCs w:val="22"/>
                <w:lang w:val="sr-Latn-ME"/>
              </w:rPr>
              <w:t>6,7 na 100 pacijent- godina</w:t>
            </w:r>
          </w:p>
        </w:tc>
        <w:tc>
          <w:tcPr>
            <w:tcW w:w="957" w:type="pct"/>
          </w:tcPr>
          <w:p w14:paraId="06A5117E" w14:textId="77777777" w:rsidR="0020339A" w:rsidRPr="007D7545" w:rsidRDefault="0020339A" w:rsidP="005D101E">
            <w:pPr>
              <w:rPr>
                <w:rFonts w:ascii="Times New Roman" w:hAnsi="Times New Roman"/>
                <w:color w:val="000000"/>
                <w:sz w:val="22"/>
                <w:szCs w:val="22"/>
                <w:lang w:val="sr-Latn-ME"/>
              </w:rPr>
            </w:pPr>
            <w:r w:rsidRPr="007D7545">
              <w:rPr>
                <w:color w:val="000000"/>
                <w:sz w:val="22"/>
                <w:szCs w:val="22"/>
                <w:lang w:val="sr-Latn-ME"/>
              </w:rPr>
              <w:t>0,15 na 100 pacijent- godina**</w:t>
            </w:r>
          </w:p>
        </w:tc>
      </w:tr>
      <w:tr w:rsidR="0020339A" w:rsidRPr="007D7545" w14:paraId="610B8C72" w14:textId="77777777" w:rsidTr="002D70E0">
        <w:tc>
          <w:tcPr>
            <w:tcW w:w="3163" w:type="pct"/>
            <w:vMerge/>
          </w:tcPr>
          <w:p w14:paraId="5CC12671" w14:textId="77777777" w:rsidR="0020339A" w:rsidRPr="007D7545" w:rsidRDefault="0020339A" w:rsidP="005D101E">
            <w:pPr>
              <w:rPr>
                <w:rFonts w:ascii="Times New Roman" w:hAnsi="Times New Roman"/>
                <w:color w:val="000000"/>
                <w:sz w:val="22"/>
                <w:szCs w:val="22"/>
                <w:lang w:val="sr-Latn-ME"/>
              </w:rPr>
            </w:pPr>
          </w:p>
        </w:tc>
        <w:tc>
          <w:tcPr>
            <w:tcW w:w="880" w:type="pct"/>
          </w:tcPr>
          <w:p w14:paraId="78EC9564" w14:textId="3CD91071" w:rsidR="0020339A" w:rsidRPr="007D7545" w:rsidRDefault="00200D98" w:rsidP="005D101E">
            <w:pPr>
              <w:rPr>
                <w:rFonts w:ascii="Times New Roman" w:hAnsi="Times New Roman"/>
                <w:color w:val="000000"/>
                <w:sz w:val="22"/>
                <w:szCs w:val="22"/>
                <w:vertAlign w:val="superscript"/>
                <w:lang w:val="sr-Latn-ME"/>
              </w:rPr>
            </w:pPr>
            <w:r w:rsidRPr="007D7545">
              <w:rPr>
                <w:color w:val="000000"/>
                <w:sz w:val="22"/>
                <w:szCs w:val="22"/>
                <w:lang w:val="sr-Latn-ME"/>
              </w:rPr>
              <w:t>8,38 na 100 pacijent- godina</w:t>
            </w:r>
            <w:r w:rsidRPr="007D7545">
              <w:rPr>
                <w:color w:val="000000"/>
                <w:sz w:val="22"/>
                <w:szCs w:val="22"/>
                <w:vertAlign w:val="superscript"/>
                <w:lang w:val="sr-Latn-ME"/>
              </w:rPr>
              <w:t>#</w:t>
            </w:r>
          </w:p>
        </w:tc>
        <w:tc>
          <w:tcPr>
            <w:tcW w:w="957" w:type="pct"/>
          </w:tcPr>
          <w:p w14:paraId="272C1417" w14:textId="7AC7C8F9" w:rsidR="0020339A" w:rsidRPr="007D7545" w:rsidRDefault="00200D98" w:rsidP="005D101E">
            <w:pPr>
              <w:rPr>
                <w:rFonts w:ascii="Times New Roman" w:hAnsi="Times New Roman"/>
                <w:color w:val="000000"/>
                <w:sz w:val="22"/>
                <w:szCs w:val="22"/>
                <w:lang w:val="sr-Latn-ME"/>
              </w:rPr>
            </w:pPr>
            <w:r w:rsidRPr="007D7545">
              <w:rPr>
                <w:color w:val="000000"/>
                <w:sz w:val="22"/>
                <w:szCs w:val="22"/>
                <w:lang w:val="sr-Latn-ME"/>
              </w:rPr>
              <w:t>0,74 na 100 pacijent- godina***</w:t>
            </w:r>
            <w:r w:rsidRPr="007D7545">
              <w:rPr>
                <w:color w:val="000000"/>
                <w:sz w:val="22"/>
                <w:szCs w:val="22"/>
                <w:vertAlign w:val="superscript"/>
                <w:lang w:val="sr-Latn-ME"/>
              </w:rPr>
              <w:t>#</w:t>
            </w:r>
          </w:p>
        </w:tc>
      </w:tr>
    </w:tbl>
    <w:p w14:paraId="489BBB75" w14:textId="504E32F0" w:rsidR="00272D72" w:rsidRPr="002D70E0" w:rsidRDefault="001E010E" w:rsidP="005D101E">
      <w:pPr>
        <w:jc w:val="both"/>
        <w:rPr>
          <w:color w:val="000000"/>
          <w:sz w:val="20"/>
          <w:szCs w:val="22"/>
          <w:lang w:val="sr-Latn-ME"/>
        </w:rPr>
      </w:pPr>
      <w:r w:rsidRPr="002D70E0">
        <w:rPr>
          <w:color w:val="000000"/>
          <w:sz w:val="20"/>
          <w:szCs w:val="22"/>
          <w:lang w:val="sr-Latn-ME"/>
        </w:rPr>
        <w:t>* Prikupljeni su, zab</w:t>
      </w:r>
      <w:r w:rsidR="00BA0387" w:rsidRPr="002D70E0">
        <w:rPr>
          <w:color w:val="000000"/>
          <w:sz w:val="20"/>
          <w:szCs w:val="22"/>
          <w:lang w:val="sr-Latn-ME"/>
        </w:rPr>
        <w:t>i</w:t>
      </w:r>
      <w:r w:rsidRPr="002D70E0">
        <w:rPr>
          <w:color w:val="000000"/>
          <w:sz w:val="20"/>
          <w:szCs w:val="22"/>
          <w:lang w:val="sr-Latn-ME"/>
        </w:rPr>
        <w:t>l</w:t>
      </w:r>
      <w:r w:rsidR="00BA0387" w:rsidRPr="002D70E0">
        <w:rPr>
          <w:color w:val="000000"/>
          <w:sz w:val="20"/>
          <w:szCs w:val="22"/>
          <w:lang w:val="sr-Latn-ME"/>
        </w:rPr>
        <w:t>j</w:t>
      </w:r>
      <w:r w:rsidRPr="002D70E0">
        <w:rPr>
          <w:color w:val="000000"/>
          <w:sz w:val="20"/>
          <w:szCs w:val="22"/>
          <w:lang w:val="sr-Latn-ME"/>
        </w:rPr>
        <w:t>eženi i proc</w:t>
      </w:r>
      <w:r w:rsidR="00BA0387" w:rsidRPr="002D70E0">
        <w:rPr>
          <w:color w:val="000000"/>
          <w:sz w:val="20"/>
          <w:szCs w:val="22"/>
          <w:lang w:val="sr-Latn-ME"/>
        </w:rPr>
        <w:t>ij</w:t>
      </w:r>
      <w:r w:rsidRPr="002D70E0">
        <w:rPr>
          <w:color w:val="000000"/>
          <w:sz w:val="20"/>
          <w:szCs w:val="22"/>
          <w:lang w:val="sr-Latn-ME"/>
        </w:rPr>
        <w:t xml:space="preserve">enjeni svi događaji krvarenja u svim ispitivanjima sa rivaroksabanom. </w:t>
      </w:r>
    </w:p>
    <w:p w14:paraId="390A2173" w14:textId="1C5C86FF" w:rsidR="001E010E" w:rsidRPr="002D70E0" w:rsidRDefault="001E010E" w:rsidP="005D101E">
      <w:pPr>
        <w:jc w:val="both"/>
        <w:rPr>
          <w:color w:val="000000"/>
          <w:sz w:val="20"/>
          <w:szCs w:val="22"/>
          <w:lang w:val="sr-Latn-ME"/>
        </w:rPr>
      </w:pPr>
      <w:r w:rsidRPr="002D70E0">
        <w:rPr>
          <w:color w:val="000000"/>
          <w:sz w:val="20"/>
          <w:szCs w:val="22"/>
          <w:lang w:val="sr-Latn-ME"/>
        </w:rPr>
        <w:t>** U COMPASS ispitivanju je incidenca anemije mala, zbog selektivnog načina prikupljanja neželjenih događaja.</w:t>
      </w:r>
    </w:p>
    <w:p w14:paraId="7FD618B4" w14:textId="1454C9D5" w:rsidR="00200D98" w:rsidRPr="002D70E0" w:rsidRDefault="00200D98" w:rsidP="005D101E">
      <w:pPr>
        <w:jc w:val="both"/>
        <w:rPr>
          <w:color w:val="000000"/>
          <w:sz w:val="20"/>
          <w:szCs w:val="22"/>
          <w:lang w:val="sr-Latn-ME"/>
        </w:rPr>
      </w:pPr>
      <w:r w:rsidRPr="002D70E0">
        <w:rPr>
          <w:color w:val="000000"/>
          <w:sz w:val="20"/>
          <w:szCs w:val="22"/>
          <w:lang w:val="sr-Latn-ME"/>
        </w:rPr>
        <w:t>***Prim</w:t>
      </w:r>
      <w:r w:rsidR="00BA0387" w:rsidRPr="002D70E0">
        <w:rPr>
          <w:color w:val="000000"/>
          <w:sz w:val="20"/>
          <w:szCs w:val="22"/>
          <w:lang w:val="sr-Latn-ME"/>
        </w:rPr>
        <w:t>i</w:t>
      </w:r>
      <w:r w:rsidR="00955E5C" w:rsidRPr="002D70E0">
        <w:rPr>
          <w:color w:val="000000"/>
          <w:sz w:val="20"/>
          <w:szCs w:val="22"/>
          <w:lang w:val="sr-Latn-ME"/>
        </w:rPr>
        <w:t>j</w:t>
      </w:r>
      <w:r w:rsidRPr="002D70E0">
        <w:rPr>
          <w:color w:val="000000"/>
          <w:sz w:val="20"/>
          <w:szCs w:val="22"/>
          <w:lang w:val="sr-Latn-ME"/>
        </w:rPr>
        <w:t>enjen je selektivan način prikupljanja neželjenih događaja.</w:t>
      </w:r>
    </w:p>
    <w:p w14:paraId="5F7D9BE2" w14:textId="5D307ED6" w:rsidR="00200D98" w:rsidRPr="002D70E0" w:rsidRDefault="00200D98" w:rsidP="005D101E">
      <w:pPr>
        <w:jc w:val="both"/>
        <w:rPr>
          <w:color w:val="000000"/>
          <w:sz w:val="20"/>
          <w:szCs w:val="22"/>
          <w:lang w:val="sr-Latn-ME"/>
        </w:rPr>
      </w:pPr>
      <w:r w:rsidRPr="002D70E0">
        <w:rPr>
          <w:color w:val="000000"/>
          <w:sz w:val="20"/>
          <w:szCs w:val="22"/>
          <w:vertAlign w:val="superscript"/>
          <w:lang w:val="sr-Latn-ME"/>
        </w:rPr>
        <w:t xml:space="preserve"># </w:t>
      </w:r>
      <w:r w:rsidRPr="002D70E0">
        <w:rPr>
          <w:color w:val="000000"/>
          <w:sz w:val="20"/>
          <w:szCs w:val="22"/>
          <w:lang w:val="sr-Latn-ME"/>
        </w:rPr>
        <w:t>Podaci iz VOYAGER PAD studije.</w:t>
      </w:r>
    </w:p>
    <w:p w14:paraId="54B1FC49" w14:textId="77777777" w:rsidR="001E010E" w:rsidRPr="007D7545" w:rsidRDefault="001E010E" w:rsidP="005D101E">
      <w:pPr>
        <w:jc w:val="both"/>
        <w:rPr>
          <w:color w:val="000000"/>
          <w:sz w:val="22"/>
          <w:szCs w:val="22"/>
          <w:lang w:val="sr-Latn-ME"/>
        </w:rPr>
      </w:pPr>
    </w:p>
    <w:p w14:paraId="4B286F9C" w14:textId="77777777" w:rsidR="001E010E" w:rsidRPr="007D7545" w:rsidRDefault="001E010E" w:rsidP="005D101E">
      <w:pPr>
        <w:keepNext/>
        <w:keepLines/>
        <w:ind w:hanging="10"/>
        <w:jc w:val="both"/>
        <w:outlineLvl w:val="1"/>
        <w:rPr>
          <w:color w:val="000000"/>
          <w:sz w:val="22"/>
          <w:szCs w:val="22"/>
          <w:u w:val="single" w:color="000000"/>
          <w:lang w:val="sr-Latn-ME"/>
        </w:rPr>
      </w:pPr>
      <w:r w:rsidRPr="007D7545">
        <w:rPr>
          <w:color w:val="000000"/>
          <w:sz w:val="22"/>
          <w:szCs w:val="22"/>
          <w:u w:val="single" w:color="000000"/>
          <w:lang w:val="sr-Latn-ME"/>
        </w:rPr>
        <w:t>Tabelarni prikaz neželjenih reakcija</w:t>
      </w:r>
    </w:p>
    <w:p w14:paraId="694E8D82" w14:textId="53C80F85" w:rsidR="001E010E" w:rsidRPr="007D7545" w:rsidRDefault="001E010E" w:rsidP="005D101E">
      <w:pPr>
        <w:ind w:hanging="10"/>
        <w:jc w:val="both"/>
        <w:rPr>
          <w:color w:val="000000"/>
          <w:sz w:val="22"/>
          <w:szCs w:val="22"/>
          <w:lang w:val="sr-Latn-ME"/>
        </w:rPr>
      </w:pPr>
      <w:r w:rsidRPr="007D7545">
        <w:rPr>
          <w:color w:val="000000"/>
          <w:sz w:val="22"/>
          <w:szCs w:val="22"/>
          <w:lang w:val="sr-Latn-ME"/>
        </w:rPr>
        <w:t>Učestalosti prijavljenih neželjenjih reakcija na rivaroksaban su prikazane u Tabeli 3 prema klasi sistema organa (MedDRA), kao i prema učestalosti.</w:t>
      </w:r>
    </w:p>
    <w:p w14:paraId="3D0833AA" w14:textId="77777777" w:rsidR="00BA0387" w:rsidRPr="007D7545" w:rsidRDefault="00BA0387" w:rsidP="005D101E">
      <w:pPr>
        <w:ind w:hanging="10"/>
        <w:jc w:val="both"/>
        <w:rPr>
          <w:color w:val="000000"/>
          <w:sz w:val="22"/>
          <w:szCs w:val="22"/>
          <w:lang w:val="sr-Latn-ME"/>
        </w:rPr>
      </w:pPr>
    </w:p>
    <w:p w14:paraId="0597AC44" w14:textId="5A242E86" w:rsidR="001E010E" w:rsidRPr="007D7545" w:rsidRDefault="001E010E" w:rsidP="005D101E">
      <w:pPr>
        <w:ind w:hanging="10"/>
        <w:jc w:val="both"/>
        <w:rPr>
          <w:color w:val="000000"/>
          <w:sz w:val="22"/>
          <w:szCs w:val="22"/>
          <w:lang w:val="sr-Latn-ME"/>
        </w:rPr>
      </w:pPr>
      <w:r w:rsidRPr="007D7545">
        <w:rPr>
          <w:color w:val="000000"/>
          <w:sz w:val="22"/>
          <w:szCs w:val="22"/>
          <w:lang w:val="sr-Latn-ME"/>
        </w:rPr>
        <w:t>Učestalosti su definisane na sl</w:t>
      </w:r>
      <w:r w:rsidR="00BA0387" w:rsidRPr="007D7545">
        <w:rPr>
          <w:color w:val="000000"/>
          <w:sz w:val="22"/>
          <w:szCs w:val="22"/>
          <w:lang w:val="sr-Latn-ME"/>
        </w:rPr>
        <w:t>j</w:t>
      </w:r>
      <w:r w:rsidRPr="007D7545">
        <w:rPr>
          <w:color w:val="000000"/>
          <w:sz w:val="22"/>
          <w:szCs w:val="22"/>
          <w:lang w:val="sr-Latn-ME"/>
        </w:rPr>
        <w:t>edeći način:</w:t>
      </w:r>
    </w:p>
    <w:p w14:paraId="26B85FBB" w14:textId="77777777" w:rsidR="001E010E" w:rsidRPr="007D7545" w:rsidRDefault="001E010E" w:rsidP="005D101E">
      <w:pPr>
        <w:ind w:hanging="10"/>
        <w:jc w:val="both"/>
        <w:rPr>
          <w:color w:val="000000"/>
          <w:sz w:val="22"/>
          <w:szCs w:val="22"/>
          <w:lang w:val="sr-Latn-ME"/>
        </w:rPr>
      </w:pPr>
      <w:r w:rsidRPr="007D7545">
        <w:rPr>
          <w:color w:val="000000"/>
          <w:sz w:val="22"/>
          <w:szCs w:val="22"/>
          <w:lang w:val="sr-Latn-ME"/>
        </w:rPr>
        <w:t>Veoma često: ≥ 1/10</w:t>
      </w:r>
    </w:p>
    <w:p w14:paraId="0A3D572A" w14:textId="77777777" w:rsidR="001E010E" w:rsidRPr="007D7545" w:rsidRDefault="001E010E" w:rsidP="005D101E">
      <w:pPr>
        <w:ind w:hanging="10"/>
        <w:jc w:val="both"/>
        <w:rPr>
          <w:color w:val="000000"/>
          <w:sz w:val="22"/>
          <w:szCs w:val="22"/>
          <w:lang w:val="sr-Latn-ME"/>
        </w:rPr>
      </w:pPr>
      <w:r w:rsidRPr="007D7545">
        <w:rPr>
          <w:color w:val="000000"/>
          <w:sz w:val="22"/>
          <w:szCs w:val="22"/>
          <w:lang w:val="sr-Latn-ME"/>
        </w:rPr>
        <w:t>Često: ≥ 1/100 do &lt; 1/10</w:t>
      </w:r>
    </w:p>
    <w:p w14:paraId="6E458BA5" w14:textId="3BC242FE" w:rsidR="001E010E" w:rsidRPr="007D7545" w:rsidRDefault="001E010E" w:rsidP="005D101E">
      <w:pPr>
        <w:ind w:hanging="10"/>
        <w:jc w:val="both"/>
        <w:rPr>
          <w:color w:val="000000"/>
          <w:sz w:val="22"/>
          <w:szCs w:val="22"/>
          <w:lang w:val="sr-Latn-ME"/>
        </w:rPr>
      </w:pPr>
      <w:r w:rsidRPr="007D7545">
        <w:rPr>
          <w:color w:val="000000"/>
          <w:sz w:val="22"/>
          <w:szCs w:val="22"/>
          <w:lang w:val="sr-Latn-ME"/>
        </w:rPr>
        <w:t>Povremeno: ≥ 1/1000 do &lt; 1/100</w:t>
      </w:r>
    </w:p>
    <w:p w14:paraId="7D0B2B47" w14:textId="51AD2DF9" w:rsidR="001E010E" w:rsidRPr="007D7545" w:rsidRDefault="001E010E" w:rsidP="005D101E">
      <w:pPr>
        <w:ind w:hanging="10"/>
        <w:jc w:val="both"/>
        <w:rPr>
          <w:color w:val="000000"/>
          <w:sz w:val="22"/>
          <w:szCs w:val="22"/>
          <w:lang w:val="sr-Latn-ME"/>
        </w:rPr>
      </w:pPr>
      <w:r w:rsidRPr="007D7545">
        <w:rPr>
          <w:color w:val="000000"/>
          <w:sz w:val="22"/>
          <w:szCs w:val="22"/>
          <w:lang w:val="sr-Latn-ME"/>
        </w:rPr>
        <w:t>Rijetko: ≥ 1/10</w:t>
      </w:r>
      <w:r w:rsidR="00BA0387" w:rsidRPr="007D7545">
        <w:rPr>
          <w:color w:val="000000"/>
          <w:sz w:val="22"/>
          <w:szCs w:val="22"/>
          <w:lang w:val="sr-Latn-ME"/>
        </w:rPr>
        <w:t xml:space="preserve"> </w:t>
      </w:r>
      <w:r w:rsidRPr="007D7545">
        <w:rPr>
          <w:color w:val="000000"/>
          <w:sz w:val="22"/>
          <w:szCs w:val="22"/>
          <w:lang w:val="sr-Latn-ME"/>
        </w:rPr>
        <w:t>000 do &lt; 1/1000</w:t>
      </w:r>
    </w:p>
    <w:p w14:paraId="30884A31" w14:textId="704F875C" w:rsidR="001E010E" w:rsidRPr="007D7545" w:rsidRDefault="001E010E" w:rsidP="005D101E">
      <w:pPr>
        <w:ind w:hanging="10"/>
        <w:jc w:val="both"/>
        <w:rPr>
          <w:color w:val="000000"/>
          <w:sz w:val="22"/>
          <w:szCs w:val="22"/>
          <w:lang w:val="sr-Latn-ME"/>
        </w:rPr>
      </w:pPr>
      <w:r w:rsidRPr="007D7545">
        <w:rPr>
          <w:color w:val="000000"/>
          <w:sz w:val="22"/>
          <w:szCs w:val="22"/>
          <w:lang w:val="sr-Latn-ME"/>
        </w:rPr>
        <w:t>Veoma rijetko: &lt; 1/10</w:t>
      </w:r>
      <w:r w:rsidR="00BA0387" w:rsidRPr="007D7545">
        <w:rPr>
          <w:color w:val="000000"/>
          <w:sz w:val="22"/>
          <w:szCs w:val="22"/>
          <w:lang w:val="sr-Latn-ME"/>
        </w:rPr>
        <w:t xml:space="preserve"> </w:t>
      </w:r>
      <w:r w:rsidRPr="007D7545">
        <w:rPr>
          <w:color w:val="000000"/>
          <w:sz w:val="22"/>
          <w:szCs w:val="22"/>
          <w:lang w:val="sr-Latn-ME"/>
        </w:rPr>
        <w:t>000</w:t>
      </w:r>
    </w:p>
    <w:p w14:paraId="7792F5F7" w14:textId="13274EA6" w:rsidR="001E010E" w:rsidRPr="007D7545" w:rsidRDefault="001E010E" w:rsidP="005D101E">
      <w:pPr>
        <w:ind w:hanging="10"/>
        <w:jc w:val="both"/>
        <w:rPr>
          <w:color w:val="000000"/>
          <w:sz w:val="22"/>
          <w:szCs w:val="22"/>
          <w:lang w:val="sr-Latn-ME"/>
        </w:rPr>
      </w:pPr>
      <w:r w:rsidRPr="007D7545">
        <w:rPr>
          <w:color w:val="000000"/>
          <w:sz w:val="22"/>
          <w:szCs w:val="22"/>
          <w:lang w:val="sr-Latn-ME"/>
        </w:rPr>
        <w:t>Nepoznato: ne može se proc</w:t>
      </w:r>
      <w:r w:rsidR="00BA0387" w:rsidRPr="007D7545">
        <w:rPr>
          <w:color w:val="000000"/>
          <w:sz w:val="22"/>
          <w:szCs w:val="22"/>
          <w:lang w:val="sr-Latn-ME"/>
        </w:rPr>
        <w:t>i</w:t>
      </w:r>
      <w:r w:rsidRPr="007D7545">
        <w:rPr>
          <w:color w:val="000000"/>
          <w:sz w:val="22"/>
          <w:szCs w:val="22"/>
          <w:lang w:val="sr-Latn-ME"/>
        </w:rPr>
        <w:t>jeniti na osnovu dostupnih podataka.</w:t>
      </w:r>
    </w:p>
    <w:p w14:paraId="509427F5" w14:textId="77777777" w:rsidR="00BA0387" w:rsidRPr="007D7545" w:rsidRDefault="00BA0387" w:rsidP="005D101E">
      <w:pPr>
        <w:ind w:hanging="10"/>
        <w:jc w:val="both"/>
        <w:rPr>
          <w:color w:val="000000"/>
          <w:sz w:val="22"/>
          <w:szCs w:val="22"/>
          <w:lang w:val="sr-Latn-ME"/>
        </w:rPr>
      </w:pPr>
    </w:p>
    <w:p w14:paraId="5BF2FF76" w14:textId="738FF081" w:rsidR="001E010E" w:rsidRPr="007D7545" w:rsidRDefault="001E010E" w:rsidP="002D70E0">
      <w:pPr>
        <w:keepNext/>
        <w:keepLines/>
        <w:ind w:hanging="10"/>
        <w:jc w:val="both"/>
        <w:outlineLvl w:val="0"/>
        <w:rPr>
          <w:b/>
          <w:color w:val="000000"/>
          <w:sz w:val="22"/>
          <w:szCs w:val="22"/>
          <w:lang w:val="sr-Latn-ME"/>
        </w:rPr>
      </w:pPr>
      <w:r w:rsidRPr="007D7545">
        <w:rPr>
          <w:b/>
          <w:color w:val="000000"/>
          <w:sz w:val="22"/>
          <w:szCs w:val="22"/>
          <w:lang w:val="sr-Latn-ME"/>
        </w:rPr>
        <w:t xml:space="preserve">Tabela 3: Sve neželjene reakcije prijavljene kod </w:t>
      </w:r>
      <w:r w:rsidR="00200D98" w:rsidRPr="007D7545">
        <w:rPr>
          <w:b/>
          <w:color w:val="000000"/>
          <w:sz w:val="22"/>
          <w:szCs w:val="22"/>
          <w:lang w:val="sr-Latn-ME"/>
        </w:rPr>
        <w:t xml:space="preserve">odraslih </w:t>
      </w:r>
      <w:r w:rsidRPr="007D7545">
        <w:rPr>
          <w:b/>
          <w:color w:val="000000"/>
          <w:sz w:val="22"/>
          <w:szCs w:val="22"/>
          <w:lang w:val="sr-Latn-ME"/>
        </w:rPr>
        <w:t>pacijenata uključenih u studije faze III i tokom postmarketinškog praćenja*</w:t>
      </w:r>
      <w:r w:rsidR="00200D98" w:rsidRPr="007D7545">
        <w:rPr>
          <w:b/>
          <w:color w:val="000000"/>
          <w:sz w:val="22"/>
          <w:szCs w:val="22"/>
          <w:lang w:val="sr-Latn-ME"/>
        </w:rPr>
        <w:t xml:space="preserve"> kao i kod pedijatrijskih pacijenata iz dv</w:t>
      </w:r>
      <w:r w:rsidR="00BA0387" w:rsidRPr="007D7545">
        <w:rPr>
          <w:b/>
          <w:color w:val="000000"/>
          <w:sz w:val="22"/>
          <w:szCs w:val="22"/>
          <w:lang w:val="sr-Latn-ME"/>
        </w:rPr>
        <w:t>ij</w:t>
      </w:r>
      <w:r w:rsidR="00200D98" w:rsidRPr="007D7545">
        <w:rPr>
          <w:b/>
          <w:color w:val="000000"/>
          <w:sz w:val="22"/>
          <w:szCs w:val="22"/>
          <w:lang w:val="sr-Latn-ME"/>
        </w:rPr>
        <w:t>e studije faze II i jedne studije faze III</w:t>
      </w:r>
    </w:p>
    <w:tbl>
      <w:tblPr>
        <w:tblStyle w:val="TableGrid1"/>
        <w:tblW w:w="9095" w:type="dxa"/>
        <w:tblInd w:w="-28" w:type="dxa"/>
        <w:tblCellMar>
          <w:top w:w="49" w:type="dxa"/>
          <w:left w:w="28" w:type="dxa"/>
        </w:tblCellMar>
        <w:tblLook w:val="04A0" w:firstRow="1" w:lastRow="0" w:firstColumn="1" w:lastColumn="0" w:noHBand="0" w:noVBand="1"/>
      </w:tblPr>
      <w:tblGrid>
        <w:gridCol w:w="2680"/>
        <w:gridCol w:w="2475"/>
        <w:gridCol w:w="675"/>
        <w:gridCol w:w="2235"/>
        <w:gridCol w:w="1030"/>
      </w:tblGrid>
      <w:tr w:rsidR="001E010E" w:rsidRPr="007D7545" w14:paraId="169D6E20" w14:textId="77777777" w:rsidTr="002D70E0">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3F4017"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Često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8A6D3F"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Povremeno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8E0140" w14:textId="77777777" w:rsidR="001E010E" w:rsidRPr="007D7545" w:rsidRDefault="001E010E" w:rsidP="005D101E">
            <w:pPr>
              <w:ind w:left="2"/>
              <w:rPr>
                <w:rFonts w:ascii="Times New Roman" w:hAnsi="Times New Roman"/>
                <w:color w:val="000000"/>
                <w:sz w:val="22"/>
                <w:szCs w:val="22"/>
                <w:lang w:val="sr-Latn-ME"/>
              </w:rPr>
            </w:pPr>
            <w:r w:rsidRPr="007D7545">
              <w:rPr>
                <w:b/>
                <w:color w:val="000000"/>
                <w:sz w:val="22"/>
                <w:szCs w:val="22"/>
                <w:lang w:val="sr-Latn-ME"/>
              </w:rPr>
              <w:t>Rijetko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8D2B54A" w14:textId="77777777" w:rsidR="001E010E" w:rsidRPr="007D7545" w:rsidRDefault="001E010E" w:rsidP="005D101E">
            <w:pPr>
              <w:ind w:left="2"/>
              <w:rPr>
                <w:rFonts w:ascii="Times New Roman" w:hAnsi="Times New Roman"/>
                <w:color w:val="000000"/>
                <w:sz w:val="22"/>
                <w:szCs w:val="22"/>
                <w:lang w:val="sr-Latn-ME"/>
              </w:rPr>
            </w:pPr>
            <w:r w:rsidRPr="007D7545">
              <w:rPr>
                <w:b/>
                <w:color w:val="000000"/>
                <w:sz w:val="22"/>
                <w:szCs w:val="22"/>
                <w:lang w:val="sr-Latn-ME"/>
              </w:rPr>
              <w:t>Veoma rijetko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681A4D5" w14:textId="77777777" w:rsidR="001E010E" w:rsidRPr="007D7545" w:rsidRDefault="001E010E" w:rsidP="005D101E">
            <w:pPr>
              <w:ind w:left="1"/>
              <w:rPr>
                <w:rFonts w:ascii="Times New Roman" w:hAnsi="Times New Roman"/>
                <w:color w:val="000000"/>
                <w:sz w:val="22"/>
                <w:szCs w:val="22"/>
                <w:lang w:val="sr-Latn-ME"/>
              </w:rPr>
            </w:pPr>
            <w:r w:rsidRPr="007D7545">
              <w:rPr>
                <w:b/>
                <w:color w:val="000000"/>
                <w:sz w:val="22"/>
                <w:szCs w:val="22"/>
                <w:lang w:val="sr-Latn-ME"/>
              </w:rPr>
              <w:t>Nepoznato</w:t>
            </w:r>
          </w:p>
        </w:tc>
      </w:tr>
      <w:tr w:rsidR="001E010E" w:rsidRPr="007D7545" w14:paraId="19C35957" w14:textId="77777777" w:rsidTr="002D70E0">
        <w:tc>
          <w:tcPr>
            <w:tcW w:w="0" w:type="auto"/>
            <w:gridSpan w:val="5"/>
            <w:tcBorders>
              <w:top w:val="single" w:sz="4" w:space="0" w:color="000000"/>
              <w:left w:val="single" w:sz="4" w:space="0" w:color="000000"/>
              <w:bottom w:val="single" w:sz="4" w:space="0" w:color="000000"/>
              <w:right w:val="single" w:sz="4" w:space="0" w:color="000000"/>
            </w:tcBorders>
          </w:tcPr>
          <w:p w14:paraId="309686EF"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Poremećaji krvi i limfnog sistema</w:t>
            </w:r>
          </w:p>
        </w:tc>
      </w:tr>
      <w:tr w:rsidR="001E010E" w:rsidRPr="005E7F36" w14:paraId="7F21AC65" w14:textId="77777777" w:rsidTr="002D70E0">
        <w:tc>
          <w:tcPr>
            <w:tcW w:w="0" w:type="auto"/>
            <w:tcBorders>
              <w:top w:val="single" w:sz="4" w:space="0" w:color="000000"/>
              <w:left w:val="single" w:sz="4" w:space="0" w:color="000000"/>
              <w:bottom w:val="single" w:sz="4" w:space="0" w:color="000000"/>
              <w:right w:val="single" w:sz="4" w:space="0" w:color="000000"/>
            </w:tcBorders>
          </w:tcPr>
          <w:p w14:paraId="7647224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Anemija (uključujući odgovarajuće laboratorijske parametre)</w:t>
            </w:r>
          </w:p>
        </w:tc>
        <w:tc>
          <w:tcPr>
            <w:tcW w:w="0" w:type="auto"/>
            <w:tcBorders>
              <w:top w:val="single" w:sz="4" w:space="0" w:color="000000"/>
              <w:left w:val="single" w:sz="4" w:space="0" w:color="000000"/>
              <w:bottom w:val="single" w:sz="4" w:space="0" w:color="000000"/>
              <w:right w:val="single" w:sz="4" w:space="0" w:color="000000"/>
            </w:tcBorders>
          </w:tcPr>
          <w:p w14:paraId="21FA655E" w14:textId="190D96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Trombocitoza (uključujuć</w:t>
            </w:r>
            <w:r w:rsidR="00955E5C" w:rsidRPr="007D7545">
              <w:rPr>
                <w:color w:val="000000"/>
                <w:sz w:val="22"/>
                <w:szCs w:val="22"/>
                <w:lang w:val="sr-Latn-ME"/>
              </w:rPr>
              <w:t>i</w:t>
            </w:r>
          </w:p>
          <w:p w14:paraId="1E0F98E6"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i povećan broj trombocita)</w:t>
            </w:r>
            <w:r w:rsidRPr="007D7545">
              <w:rPr>
                <w:color w:val="000000"/>
                <w:sz w:val="22"/>
                <w:szCs w:val="22"/>
                <w:vertAlign w:val="superscript"/>
                <w:lang w:val="sr-Latn-ME"/>
              </w:rPr>
              <w:t xml:space="preserve">A </w:t>
            </w:r>
            <w:r w:rsidRPr="007D7545">
              <w:rPr>
                <w:color w:val="000000"/>
                <w:sz w:val="22"/>
                <w:szCs w:val="22"/>
                <w:lang w:val="sr-Latn-ME"/>
              </w:rPr>
              <w:t>, trombocitopenija</w:t>
            </w:r>
          </w:p>
        </w:tc>
        <w:tc>
          <w:tcPr>
            <w:tcW w:w="0" w:type="auto"/>
            <w:tcBorders>
              <w:top w:val="single" w:sz="4" w:space="0" w:color="000000"/>
              <w:left w:val="single" w:sz="4" w:space="0" w:color="000000"/>
              <w:bottom w:val="single" w:sz="4" w:space="0" w:color="000000"/>
              <w:right w:val="single" w:sz="4" w:space="0" w:color="000000"/>
            </w:tcBorders>
          </w:tcPr>
          <w:p w14:paraId="5769698C"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2031055"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A9632A4" w14:textId="77777777" w:rsidR="001E010E" w:rsidRPr="007D7545" w:rsidRDefault="001E010E" w:rsidP="005D101E">
            <w:pPr>
              <w:rPr>
                <w:rFonts w:ascii="Times New Roman" w:hAnsi="Times New Roman"/>
                <w:color w:val="000000"/>
                <w:sz w:val="22"/>
                <w:szCs w:val="22"/>
                <w:lang w:val="sr-Latn-ME"/>
              </w:rPr>
            </w:pPr>
          </w:p>
        </w:tc>
      </w:tr>
      <w:tr w:rsidR="001E010E" w:rsidRPr="007D7545" w14:paraId="2449B8A5" w14:textId="77777777" w:rsidTr="002D70E0">
        <w:tc>
          <w:tcPr>
            <w:tcW w:w="0" w:type="auto"/>
            <w:gridSpan w:val="5"/>
            <w:tcBorders>
              <w:top w:val="single" w:sz="4" w:space="0" w:color="000000"/>
              <w:left w:val="single" w:sz="4" w:space="0" w:color="000000"/>
              <w:bottom w:val="single" w:sz="4" w:space="0" w:color="000000"/>
              <w:right w:val="single" w:sz="4" w:space="0" w:color="000000"/>
            </w:tcBorders>
          </w:tcPr>
          <w:p w14:paraId="49DFA856"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Poremećaji imunskog sistema</w:t>
            </w:r>
          </w:p>
        </w:tc>
      </w:tr>
      <w:tr w:rsidR="001E010E" w:rsidRPr="005E7F36" w14:paraId="4515BC78" w14:textId="77777777" w:rsidTr="002D70E0">
        <w:tc>
          <w:tcPr>
            <w:tcW w:w="0" w:type="auto"/>
            <w:tcBorders>
              <w:top w:val="single" w:sz="4" w:space="0" w:color="000000"/>
              <w:left w:val="single" w:sz="4" w:space="0" w:color="000000"/>
              <w:bottom w:val="single" w:sz="4" w:space="0" w:color="000000"/>
              <w:right w:val="single" w:sz="4" w:space="0" w:color="000000"/>
            </w:tcBorders>
          </w:tcPr>
          <w:p w14:paraId="3B3D5DC5"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C432183"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 xml:space="preserve">Alergijske reakcije, alergijski dermatitis, </w:t>
            </w:r>
          </w:p>
          <w:p w14:paraId="76697B59"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 xml:space="preserve">angioedem i alergijski </w:t>
            </w:r>
          </w:p>
          <w:p w14:paraId="47AE0097"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edem</w:t>
            </w:r>
          </w:p>
        </w:tc>
        <w:tc>
          <w:tcPr>
            <w:tcW w:w="0" w:type="auto"/>
            <w:tcBorders>
              <w:top w:val="single" w:sz="4" w:space="0" w:color="000000"/>
              <w:left w:val="single" w:sz="4" w:space="0" w:color="000000"/>
              <w:bottom w:val="single" w:sz="4" w:space="0" w:color="000000"/>
              <w:right w:val="single" w:sz="4" w:space="0" w:color="000000"/>
            </w:tcBorders>
          </w:tcPr>
          <w:p w14:paraId="7959730C"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79F9D86" w14:textId="77777777" w:rsidR="001E010E" w:rsidRPr="007D7545" w:rsidRDefault="001E010E" w:rsidP="005D101E">
            <w:pPr>
              <w:ind w:left="2"/>
              <w:rPr>
                <w:rFonts w:ascii="Times New Roman" w:hAnsi="Times New Roman"/>
                <w:color w:val="000000"/>
                <w:sz w:val="22"/>
                <w:szCs w:val="22"/>
                <w:lang w:val="sr-Latn-ME"/>
              </w:rPr>
            </w:pPr>
            <w:r w:rsidRPr="007D7545">
              <w:rPr>
                <w:color w:val="000000"/>
                <w:sz w:val="22"/>
                <w:szCs w:val="22"/>
                <w:lang w:val="sr-Latn-ME"/>
              </w:rPr>
              <w:t>Anafilaktička reakcija, uključujući anafilaktički šok</w:t>
            </w:r>
          </w:p>
        </w:tc>
        <w:tc>
          <w:tcPr>
            <w:tcW w:w="0" w:type="auto"/>
            <w:tcBorders>
              <w:top w:val="single" w:sz="4" w:space="0" w:color="000000"/>
              <w:left w:val="single" w:sz="4" w:space="0" w:color="000000"/>
              <w:bottom w:val="single" w:sz="4" w:space="0" w:color="000000"/>
              <w:right w:val="single" w:sz="4" w:space="0" w:color="000000"/>
            </w:tcBorders>
          </w:tcPr>
          <w:p w14:paraId="416B1BC9" w14:textId="77777777" w:rsidR="001E010E" w:rsidRPr="007D7545" w:rsidRDefault="001E010E" w:rsidP="005D101E">
            <w:pPr>
              <w:rPr>
                <w:rFonts w:ascii="Times New Roman" w:hAnsi="Times New Roman"/>
                <w:color w:val="000000"/>
                <w:sz w:val="22"/>
                <w:szCs w:val="22"/>
                <w:lang w:val="sr-Latn-ME"/>
              </w:rPr>
            </w:pPr>
          </w:p>
        </w:tc>
      </w:tr>
      <w:tr w:rsidR="001E010E" w:rsidRPr="007D7545" w14:paraId="17D1053B" w14:textId="77777777" w:rsidTr="002D70E0">
        <w:tc>
          <w:tcPr>
            <w:tcW w:w="0" w:type="auto"/>
            <w:gridSpan w:val="5"/>
            <w:tcBorders>
              <w:top w:val="single" w:sz="4" w:space="0" w:color="000000"/>
              <w:left w:val="single" w:sz="4" w:space="0" w:color="000000"/>
              <w:bottom w:val="single" w:sz="4" w:space="0" w:color="000000"/>
              <w:right w:val="single" w:sz="4" w:space="0" w:color="000000"/>
            </w:tcBorders>
          </w:tcPr>
          <w:p w14:paraId="6DEC2840"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Poremećaji nervnog sistema</w:t>
            </w:r>
          </w:p>
        </w:tc>
      </w:tr>
      <w:tr w:rsidR="001E010E" w:rsidRPr="007D7545" w14:paraId="5CFFB6C5" w14:textId="77777777" w:rsidTr="002D70E0">
        <w:tc>
          <w:tcPr>
            <w:tcW w:w="0" w:type="auto"/>
            <w:tcBorders>
              <w:top w:val="single" w:sz="4" w:space="0" w:color="000000"/>
              <w:left w:val="single" w:sz="4" w:space="0" w:color="000000"/>
              <w:bottom w:val="single" w:sz="4" w:space="0" w:color="000000"/>
              <w:right w:val="single" w:sz="4" w:space="0" w:color="000000"/>
            </w:tcBorders>
          </w:tcPr>
          <w:p w14:paraId="48C2642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 xml:space="preserve">Vrtoglavica, </w:t>
            </w:r>
          </w:p>
          <w:p w14:paraId="6488FD1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 xml:space="preserve">glavobolja </w:t>
            </w:r>
          </w:p>
        </w:tc>
        <w:tc>
          <w:tcPr>
            <w:tcW w:w="0" w:type="auto"/>
            <w:tcBorders>
              <w:top w:val="single" w:sz="4" w:space="0" w:color="000000"/>
              <w:left w:val="single" w:sz="4" w:space="0" w:color="000000"/>
              <w:bottom w:val="single" w:sz="4" w:space="0" w:color="000000"/>
              <w:right w:val="single" w:sz="4" w:space="0" w:color="000000"/>
            </w:tcBorders>
          </w:tcPr>
          <w:p w14:paraId="76623BC9"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Cerebralna i intrakranijalna hemoragija, sinkopa</w:t>
            </w:r>
          </w:p>
        </w:tc>
        <w:tc>
          <w:tcPr>
            <w:tcW w:w="0" w:type="auto"/>
            <w:tcBorders>
              <w:top w:val="single" w:sz="4" w:space="0" w:color="000000"/>
              <w:left w:val="single" w:sz="4" w:space="0" w:color="000000"/>
              <w:bottom w:val="single" w:sz="4" w:space="0" w:color="000000"/>
              <w:right w:val="single" w:sz="4" w:space="0" w:color="000000"/>
            </w:tcBorders>
          </w:tcPr>
          <w:p w14:paraId="319C8575"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CB8A1A9"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21EA72A" w14:textId="77777777" w:rsidR="001E010E" w:rsidRPr="007D7545" w:rsidRDefault="001E010E" w:rsidP="005D101E">
            <w:pPr>
              <w:rPr>
                <w:rFonts w:ascii="Times New Roman" w:hAnsi="Times New Roman"/>
                <w:color w:val="000000"/>
                <w:sz w:val="22"/>
                <w:szCs w:val="22"/>
                <w:lang w:val="sr-Latn-ME"/>
              </w:rPr>
            </w:pPr>
          </w:p>
        </w:tc>
      </w:tr>
      <w:tr w:rsidR="001E010E" w:rsidRPr="007D7545" w14:paraId="5E009675" w14:textId="77777777" w:rsidTr="002D70E0">
        <w:tc>
          <w:tcPr>
            <w:tcW w:w="0" w:type="auto"/>
            <w:gridSpan w:val="5"/>
            <w:tcBorders>
              <w:top w:val="single" w:sz="4" w:space="0" w:color="000000"/>
              <w:left w:val="single" w:sz="4" w:space="0" w:color="000000"/>
              <w:bottom w:val="single" w:sz="4" w:space="0" w:color="000000"/>
              <w:right w:val="single" w:sz="4" w:space="0" w:color="000000"/>
            </w:tcBorders>
          </w:tcPr>
          <w:p w14:paraId="59138C77"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lastRenderedPageBreak/>
              <w:t>Poremećaji oka</w:t>
            </w:r>
          </w:p>
        </w:tc>
      </w:tr>
      <w:tr w:rsidR="001E010E" w:rsidRPr="007D7545" w14:paraId="778B547A" w14:textId="77777777" w:rsidTr="002D70E0">
        <w:tc>
          <w:tcPr>
            <w:tcW w:w="0" w:type="auto"/>
            <w:tcBorders>
              <w:top w:val="single" w:sz="4" w:space="0" w:color="000000"/>
              <w:left w:val="single" w:sz="4" w:space="0" w:color="000000"/>
              <w:bottom w:val="single" w:sz="4" w:space="0" w:color="000000"/>
              <w:right w:val="single" w:sz="4" w:space="0" w:color="000000"/>
            </w:tcBorders>
          </w:tcPr>
          <w:p w14:paraId="5798EF8D"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Krvarenje u oku (uključujući konjunktivalnu hemoragiju)</w:t>
            </w:r>
          </w:p>
        </w:tc>
        <w:tc>
          <w:tcPr>
            <w:tcW w:w="0" w:type="auto"/>
            <w:tcBorders>
              <w:top w:val="single" w:sz="4" w:space="0" w:color="000000"/>
              <w:left w:val="single" w:sz="4" w:space="0" w:color="000000"/>
              <w:bottom w:val="single" w:sz="4" w:space="0" w:color="000000"/>
              <w:right w:val="single" w:sz="4" w:space="0" w:color="000000"/>
            </w:tcBorders>
          </w:tcPr>
          <w:p w14:paraId="212AE764"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5FBA1C7"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179F67C"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EF1A672" w14:textId="77777777" w:rsidR="001E010E" w:rsidRPr="007D7545" w:rsidRDefault="001E010E" w:rsidP="005D101E">
            <w:pPr>
              <w:rPr>
                <w:rFonts w:ascii="Times New Roman" w:hAnsi="Times New Roman"/>
                <w:color w:val="000000"/>
                <w:sz w:val="22"/>
                <w:szCs w:val="22"/>
                <w:lang w:val="sr-Latn-ME"/>
              </w:rPr>
            </w:pPr>
          </w:p>
        </w:tc>
      </w:tr>
      <w:tr w:rsidR="001E010E" w:rsidRPr="007D7545" w14:paraId="0023DC05" w14:textId="77777777" w:rsidTr="002D70E0">
        <w:tc>
          <w:tcPr>
            <w:tcW w:w="0" w:type="auto"/>
            <w:gridSpan w:val="5"/>
            <w:tcBorders>
              <w:top w:val="single" w:sz="4" w:space="0" w:color="000000"/>
              <w:left w:val="single" w:sz="4" w:space="0" w:color="000000"/>
              <w:bottom w:val="single" w:sz="4" w:space="0" w:color="000000"/>
              <w:right w:val="single" w:sz="4" w:space="0" w:color="000000"/>
            </w:tcBorders>
          </w:tcPr>
          <w:p w14:paraId="3734D032"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Kardiološki poremećaji</w:t>
            </w:r>
          </w:p>
        </w:tc>
      </w:tr>
      <w:tr w:rsidR="001E010E" w:rsidRPr="007D7545" w14:paraId="3FEADEC4" w14:textId="77777777" w:rsidTr="002D70E0">
        <w:tc>
          <w:tcPr>
            <w:tcW w:w="0" w:type="auto"/>
            <w:tcBorders>
              <w:top w:val="single" w:sz="4" w:space="0" w:color="000000"/>
              <w:left w:val="single" w:sz="4" w:space="0" w:color="000000"/>
              <w:bottom w:val="single" w:sz="4" w:space="0" w:color="000000"/>
              <w:right w:val="single" w:sz="4" w:space="0" w:color="000000"/>
            </w:tcBorders>
          </w:tcPr>
          <w:p w14:paraId="7ABC54B9"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60B4428"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Tahikardija</w:t>
            </w:r>
          </w:p>
        </w:tc>
        <w:tc>
          <w:tcPr>
            <w:tcW w:w="0" w:type="auto"/>
            <w:tcBorders>
              <w:top w:val="single" w:sz="4" w:space="0" w:color="000000"/>
              <w:left w:val="single" w:sz="4" w:space="0" w:color="000000"/>
              <w:bottom w:val="single" w:sz="4" w:space="0" w:color="000000"/>
              <w:right w:val="single" w:sz="4" w:space="0" w:color="000000"/>
            </w:tcBorders>
          </w:tcPr>
          <w:p w14:paraId="194279A4"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6414A84"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1D47DCD" w14:textId="77777777" w:rsidR="001E010E" w:rsidRPr="007D7545" w:rsidRDefault="001E010E" w:rsidP="005D101E">
            <w:pPr>
              <w:rPr>
                <w:rFonts w:ascii="Times New Roman" w:hAnsi="Times New Roman"/>
                <w:color w:val="000000"/>
                <w:sz w:val="22"/>
                <w:szCs w:val="22"/>
                <w:lang w:val="sr-Latn-ME"/>
              </w:rPr>
            </w:pPr>
          </w:p>
        </w:tc>
      </w:tr>
      <w:tr w:rsidR="001E010E" w:rsidRPr="007D7545" w14:paraId="72C25657" w14:textId="77777777" w:rsidTr="002D70E0">
        <w:tc>
          <w:tcPr>
            <w:tcW w:w="0" w:type="auto"/>
            <w:gridSpan w:val="5"/>
            <w:tcBorders>
              <w:top w:val="single" w:sz="4" w:space="0" w:color="000000"/>
              <w:left w:val="single" w:sz="4" w:space="0" w:color="000000"/>
              <w:bottom w:val="single" w:sz="4" w:space="0" w:color="000000"/>
              <w:right w:val="single" w:sz="4" w:space="0" w:color="000000"/>
            </w:tcBorders>
          </w:tcPr>
          <w:p w14:paraId="3070CF02"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Vaskularni poremećaji</w:t>
            </w:r>
          </w:p>
        </w:tc>
      </w:tr>
      <w:tr w:rsidR="001E010E" w:rsidRPr="007D7545" w14:paraId="5A0FE667" w14:textId="77777777" w:rsidTr="002D70E0">
        <w:tc>
          <w:tcPr>
            <w:tcW w:w="0" w:type="auto"/>
            <w:tcBorders>
              <w:top w:val="single" w:sz="4" w:space="0" w:color="000000"/>
              <w:left w:val="single" w:sz="4" w:space="0" w:color="000000"/>
              <w:bottom w:val="single" w:sz="4" w:space="0" w:color="000000"/>
              <w:right w:val="single" w:sz="4" w:space="0" w:color="000000"/>
            </w:tcBorders>
          </w:tcPr>
          <w:p w14:paraId="247746E9"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 xml:space="preserve">Hipotenzija, </w:t>
            </w:r>
          </w:p>
          <w:p w14:paraId="0EE82380"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hematomi</w:t>
            </w:r>
          </w:p>
        </w:tc>
        <w:tc>
          <w:tcPr>
            <w:tcW w:w="0" w:type="auto"/>
            <w:tcBorders>
              <w:top w:val="single" w:sz="4" w:space="0" w:color="000000"/>
              <w:left w:val="single" w:sz="4" w:space="0" w:color="000000"/>
              <w:bottom w:val="single" w:sz="4" w:space="0" w:color="000000"/>
              <w:right w:val="single" w:sz="4" w:space="0" w:color="000000"/>
            </w:tcBorders>
          </w:tcPr>
          <w:p w14:paraId="7AA6AA95"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6EB0219"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0BC6F8B"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8100801" w14:textId="77777777" w:rsidR="001E010E" w:rsidRPr="007D7545" w:rsidRDefault="001E010E" w:rsidP="005D101E">
            <w:pPr>
              <w:rPr>
                <w:rFonts w:ascii="Times New Roman" w:hAnsi="Times New Roman"/>
                <w:color w:val="000000"/>
                <w:sz w:val="22"/>
                <w:szCs w:val="22"/>
                <w:lang w:val="sr-Latn-ME"/>
              </w:rPr>
            </w:pPr>
          </w:p>
        </w:tc>
      </w:tr>
      <w:tr w:rsidR="001E010E" w:rsidRPr="007D7545" w14:paraId="36F25454" w14:textId="77777777" w:rsidTr="002D70E0">
        <w:tc>
          <w:tcPr>
            <w:tcW w:w="0" w:type="auto"/>
            <w:gridSpan w:val="5"/>
            <w:tcBorders>
              <w:top w:val="single" w:sz="4" w:space="0" w:color="000000"/>
              <w:left w:val="single" w:sz="4" w:space="0" w:color="000000"/>
              <w:bottom w:val="single" w:sz="4" w:space="0" w:color="000000"/>
              <w:right w:val="single" w:sz="4" w:space="0" w:color="000000"/>
            </w:tcBorders>
          </w:tcPr>
          <w:p w14:paraId="2F06E7AB"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Respiratorni, torakalni i medijastinalni poremećaji</w:t>
            </w:r>
          </w:p>
        </w:tc>
      </w:tr>
      <w:tr w:rsidR="001E010E" w:rsidRPr="007D7545" w14:paraId="7900CACD" w14:textId="77777777" w:rsidTr="002D70E0">
        <w:tc>
          <w:tcPr>
            <w:tcW w:w="0" w:type="auto"/>
            <w:tcBorders>
              <w:top w:val="single" w:sz="4" w:space="0" w:color="000000"/>
              <w:left w:val="single" w:sz="4" w:space="0" w:color="000000"/>
              <w:bottom w:val="single" w:sz="4" w:space="0" w:color="000000"/>
              <w:right w:val="single" w:sz="4" w:space="0" w:color="000000"/>
            </w:tcBorders>
          </w:tcPr>
          <w:p w14:paraId="0999DFC1"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 xml:space="preserve">Epistaksa, </w:t>
            </w:r>
          </w:p>
          <w:p w14:paraId="6F299C4B"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hemoptiza</w:t>
            </w:r>
          </w:p>
        </w:tc>
        <w:tc>
          <w:tcPr>
            <w:tcW w:w="0" w:type="auto"/>
            <w:tcBorders>
              <w:top w:val="single" w:sz="4" w:space="0" w:color="000000"/>
              <w:left w:val="single" w:sz="4" w:space="0" w:color="000000"/>
              <w:bottom w:val="single" w:sz="4" w:space="0" w:color="000000"/>
              <w:right w:val="single" w:sz="4" w:space="0" w:color="000000"/>
            </w:tcBorders>
          </w:tcPr>
          <w:p w14:paraId="2A5DD764"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D1CF1C4"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A73CF43"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7E2F5EA" w14:textId="77777777" w:rsidR="001E010E" w:rsidRPr="007D7545" w:rsidRDefault="001E010E" w:rsidP="005D101E">
            <w:pPr>
              <w:rPr>
                <w:rFonts w:ascii="Times New Roman" w:hAnsi="Times New Roman"/>
                <w:color w:val="000000"/>
                <w:sz w:val="22"/>
                <w:szCs w:val="22"/>
                <w:lang w:val="sr-Latn-ME"/>
              </w:rPr>
            </w:pPr>
          </w:p>
        </w:tc>
      </w:tr>
      <w:tr w:rsidR="001E010E" w:rsidRPr="007D7545" w14:paraId="4247858C" w14:textId="77777777" w:rsidTr="002D70E0">
        <w:tc>
          <w:tcPr>
            <w:tcW w:w="0" w:type="auto"/>
            <w:gridSpan w:val="5"/>
            <w:tcBorders>
              <w:top w:val="single" w:sz="4" w:space="0" w:color="000000"/>
              <w:left w:val="single" w:sz="4" w:space="0" w:color="000000"/>
              <w:right w:val="single" w:sz="4" w:space="0" w:color="000000"/>
            </w:tcBorders>
          </w:tcPr>
          <w:p w14:paraId="2E710E8A"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Gastrointestinalni poremećaji</w:t>
            </w:r>
          </w:p>
        </w:tc>
      </w:tr>
    </w:tbl>
    <w:tbl>
      <w:tblPr>
        <w:tblStyle w:val="TableGrid1"/>
        <w:tblpPr w:leftFromText="180" w:rightFromText="180" w:vertAnchor="text" w:tblpY="1"/>
        <w:tblW w:w="9067" w:type="dxa"/>
        <w:tblInd w:w="0" w:type="dxa"/>
        <w:tblCellMar>
          <w:top w:w="46" w:type="dxa"/>
          <w:left w:w="28" w:type="dxa"/>
        </w:tblCellMar>
        <w:tblLook w:val="04A0" w:firstRow="1" w:lastRow="0" w:firstColumn="1" w:lastColumn="0" w:noHBand="0" w:noVBand="1"/>
      </w:tblPr>
      <w:tblGrid>
        <w:gridCol w:w="2133"/>
        <w:gridCol w:w="899"/>
        <w:gridCol w:w="832"/>
        <w:gridCol w:w="1954"/>
        <w:gridCol w:w="1734"/>
        <w:gridCol w:w="1515"/>
      </w:tblGrid>
      <w:tr w:rsidR="001E010E" w:rsidRPr="007D7545" w14:paraId="2B19C4E7" w14:textId="77777777" w:rsidTr="002D70E0">
        <w:tc>
          <w:tcPr>
            <w:tcW w:w="0" w:type="auto"/>
            <w:tcBorders>
              <w:top w:val="single" w:sz="4" w:space="0" w:color="000000"/>
              <w:left w:val="single" w:sz="4" w:space="0" w:color="000000"/>
              <w:bottom w:val="single" w:sz="4" w:space="0" w:color="000000"/>
              <w:right w:val="single" w:sz="4" w:space="0" w:color="000000"/>
            </w:tcBorders>
          </w:tcPr>
          <w:p w14:paraId="4CDB154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 xml:space="preserve">Krvarenje desni, krvarenje u gastrointestinalnom traktu (uključujući rektalno krvarenje), gastrointestinalni i abdominalni bolovi, dispepsija, mučnina, </w:t>
            </w:r>
          </w:p>
          <w:p w14:paraId="0BCC9206"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konstipacija</w:t>
            </w:r>
            <w:r w:rsidRPr="007D7545">
              <w:rPr>
                <w:color w:val="000000"/>
                <w:sz w:val="22"/>
                <w:szCs w:val="22"/>
                <w:vertAlign w:val="superscript"/>
                <w:lang w:val="sr-Latn-ME"/>
              </w:rPr>
              <w:t>A</w:t>
            </w:r>
            <w:r w:rsidRPr="007D7545">
              <w:rPr>
                <w:color w:val="000000"/>
                <w:sz w:val="22"/>
                <w:szCs w:val="22"/>
                <w:lang w:val="sr-Latn-ME"/>
              </w:rPr>
              <w:t>, dijareja, povraćanje</w:t>
            </w:r>
            <w:r w:rsidRPr="007D7545">
              <w:rPr>
                <w:color w:val="000000"/>
                <w:sz w:val="22"/>
                <w:szCs w:val="22"/>
                <w:vertAlign w:val="superscript"/>
                <w:lang w:val="sr-Latn-ME"/>
              </w:rPr>
              <w:t>A</w:t>
            </w:r>
          </w:p>
        </w:tc>
        <w:tc>
          <w:tcPr>
            <w:tcW w:w="0" w:type="auto"/>
            <w:gridSpan w:val="2"/>
            <w:tcBorders>
              <w:top w:val="single" w:sz="4" w:space="0" w:color="000000"/>
              <w:left w:val="single" w:sz="4" w:space="0" w:color="000000"/>
              <w:bottom w:val="single" w:sz="4" w:space="0" w:color="000000"/>
              <w:right w:val="single" w:sz="4" w:space="0" w:color="000000"/>
            </w:tcBorders>
          </w:tcPr>
          <w:p w14:paraId="420AB75D"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Suva usta</w:t>
            </w:r>
          </w:p>
        </w:tc>
        <w:tc>
          <w:tcPr>
            <w:tcW w:w="0" w:type="auto"/>
            <w:tcBorders>
              <w:top w:val="single" w:sz="4" w:space="0" w:color="000000"/>
              <w:left w:val="single" w:sz="4" w:space="0" w:color="000000"/>
              <w:bottom w:val="single" w:sz="4" w:space="0" w:color="000000"/>
              <w:right w:val="single" w:sz="4" w:space="0" w:color="000000"/>
            </w:tcBorders>
          </w:tcPr>
          <w:p w14:paraId="302933B1"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7B0DD06"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171C1336" w14:textId="77777777" w:rsidR="001E010E" w:rsidRPr="007D7545" w:rsidRDefault="001E010E" w:rsidP="005D101E">
            <w:pPr>
              <w:rPr>
                <w:rFonts w:ascii="Times New Roman" w:hAnsi="Times New Roman"/>
                <w:color w:val="000000"/>
                <w:sz w:val="22"/>
                <w:szCs w:val="22"/>
                <w:lang w:val="sr-Latn-ME"/>
              </w:rPr>
            </w:pPr>
          </w:p>
        </w:tc>
      </w:tr>
      <w:tr w:rsidR="001E010E" w:rsidRPr="007D7545" w14:paraId="666B18F6" w14:textId="77777777" w:rsidTr="002D70E0">
        <w:tc>
          <w:tcPr>
            <w:tcW w:w="0" w:type="auto"/>
            <w:gridSpan w:val="2"/>
            <w:tcBorders>
              <w:top w:val="single" w:sz="4" w:space="0" w:color="000000"/>
              <w:left w:val="single" w:sz="4" w:space="0" w:color="000000"/>
              <w:bottom w:val="single" w:sz="4" w:space="0" w:color="000000"/>
              <w:right w:val="nil"/>
            </w:tcBorders>
          </w:tcPr>
          <w:p w14:paraId="16A393EF" w14:textId="77777777" w:rsidR="001E010E" w:rsidRPr="007D7545" w:rsidRDefault="001E010E" w:rsidP="005D101E">
            <w:pPr>
              <w:rPr>
                <w:rFonts w:ascii="Times New Roman" w:hAnsi="Times New Roman"/>
                <w:color w:val="000000"/>
                <w:sz w:val="22"/>
                <w:szCs w:val="22"/>
                <w:lang w:val="sr-Latn-ME"/>
              </w:rPr>
            </w:pPr>
          </w:p>
        </w:tc>
        <w:tc>
          <w:tcPr>
            <w:tcW w:w="0" w:type="auto"/>
            <w:gridSpan w:val="4"/>
            <w:tcBorders>
              <w:top w:val="single" w:sz="4" w:space="0" w:color="000000"/>
              <w:left w:val="nil"/>
              <w:bottom w:val="single" w:sz="4" w:space="0" w:color="000000"/>
              <w:right w:val="single" w:sz="4" w:space="0" w:color="000000"/>
            </w:tcBorders>
          </w:tcPr>
          <w:p w14:paraId="1C6EEC47"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Hepatobilijarni poremećaji</w:t>
            </w:r>
          </w:p>
        </w:tc>
      </w:tr>
      <w:tr w:rsidR="001E010E" w:rsidRPr="005E7F36" w14:paraId="6C5B6DE1" w14:textId="77777777" w:rsidTr="002D70E0">
        <w:tc>
          <w:tcPr>
            <w:tcW w:w="0" w:type="auto"/>
            <w:tcBorders>
              <w:top w:val="single" w:sz="4" w:space="0" w:color="000000"/>
              <w:left w:val="single" w:sz="4" w:space="0" w:color="000000"/>
              <w:bottom w:val="single" w:sz="4" w:space="0" w:color="000000"/>
              <w:right w:val="single" w:sz="4" w:space="0" w:color="000000"/>
            </w:tcBorders>
          </w:tcPr>
          <w:p w14:paraId="35A985E9"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Povećane vrijednosti transaminaze</w:t>
            </w:r>
          </w:p>
        </w:tc>
        <w:tc>
          <w:tcPr>
            <w:tcW w:w="0" w:type="auto"/>
            <w:gridSpan w:val="2"/>
            <w:tcBorders>
              <w:top w:val="single" w:sz="4" w:space="0" w:color="000000"/>
              <w:left w:val="single" w:sz="4" w:space="0" w:color="000000"/>
              <w:bottom w:val="single" w:sz="4" w:space="0" w:color="000000"/>
              <w:right w:val="single" w:sz="4" w:space="0" w:color="000000"/>
            </w:tcBorders>
          </w:tcPr>
          <w:p w14:paraId="43830EBD"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Oštećenje funkcije jetre, povećana koncentracija bilirubina, povećana vrijednost alkalne fosfataze u krvi</w:t>
            </w:r>
            <w:r w:rsidRPr="007D7545">
              <w:rPr>
                <w:color w:val="000000"/>
                <w:sz w:val="22"/>
                <w:szCs w:val="22"/>
                <w:vertAlign w:val="superscript"/>
                <w:lang w:val="sr-Latn-ME"/>
              </w:rPr>
              <w:t>A</w:t>
            </w:r>
            <w:r w:rsidRPr="007D7545">
              <w:rPr>
                <w:color w:val="000000"/>
                <w:sz w:val="22"/>
                <w:szCs w:val="22"/>
                <w:lang w:val="sr-Latn-ME"/>
              </w:rPr>
              <w:t xml:space="preserve">, </w:t>
            </w:r>
          </w:p>
          <w:p w14:paraId="15D9535C"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 xml:space="preserve">povećana vrijednost </w:t>
            </w:r>
          </w:p>
          <w:p w14:paraId="4D5FBD13"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GGT</w:t>
            </w:r>
            <w:r w:rsidRPr="007D7545">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6CE554C5" w14:textId="77777777" w:rsidR="001E010E" w:rsidRPr="007D7545" w:rsidRDefault="001E010E" w:rsidP="005D101E">
            <w:pPr>
              <w:ind w:left="2"/>
              <w:rPr>
                <w:rFonts w:ascii="Times New Roman" w:hAnsi="Times New Roman"/>
                <w:color w:val="000000"/>
                <w:sz w:val="22"/>
                <w:szCs w:val="22"/>
                <w:lang w:val="sr-Latn-ME"/>
              </w:rPr>
            </w:pPr>
            <w:r w:rsidRPr="007D7545">
              <w:rPr>
                <w:color w:val="000000"/>
                <w:sz w:val="22"/>
                <w:szCs w:val="22"/>
                <w:lang w:val="sr-Latn-ME"/>
              </w:rPr>
              <w:t xml:space="preserve">Žutica, povećana koncentracija </w:t>
            </w:r>
          </w:p>
          <w:p w14:paraId="34F205B9" w14:textId="77777777" w:rsidR="001E010E" w:rsidRPr="007D7545" w:rsidRDefault="001E010E" w:rsidP="005D101E">
            <w:pPr>
              <w:ind w:left="2"/>
              <w:rPr>
                <w:rFonts w:ascii="Times New Roman" w:hAnsi="Times New Roman"/>
                <w:color w:val="000000"/>
                <w:sz w:val="22"/>
                <w:szCs w:val="22"/>
                <w:lang w:val="sr-Latn-ME"/>
              </w:rPr>
            </w:pPr>
            <w:r w:rsidRPr="007D7545">
              <w:rPr>
                <w:color w:val="000000"/>
                <w:sz w:val="22"/>
                <w:szCs w:val="22"/>
                <w:lang w:val="sr-Latn-ME"/>
              </w:rPr>
              <w:t xml:space="preserve">konjugovanog </w:t>
            </w:r>
          </w:p>
          <w:p w14:paraId="43D2634C" w14:textId="77777777" w:rsidR="001E010E" w:rsidRPr="007D7545" w:rsidRDefault="001E010E" w:rsidP="005D101E">
            <w:pPr>
              <w:ind w:left="2"/>
              <w:rPr>
                <w:rFonts w:ascii="Times New Roman" w:hAnsi="Times New Roman"/>
                <w:color w:val="000000"/>
                <w:sz w:val="22"/>
                <w:szCs w:val="22"/>
                <w:lang w:val="sr-Latn-ME"/>
              </w:rPr>
            </w:pPr>
            <w:r w:rsidRPr="007D7545">
              <w:rPr>
                <w:color w:val="000000"/>
                <w:sz w:val="22"/>
                <w:szCs w:val="22"/>
                <w:lang w:val="sr-Latn-ME"/>
              </w:rPr>
              <w:t>bilirubina (sa ili bez istovremenog povećanja vrijednosti ALT-a), holestaza, hepatitis (uključujući hepatocelularno oštećenje)</w:t>
            </w:r>
          </w:p>
        </w:tc>
        <w:tc>
          <w:tcPr>
            <w:tcW w:w="0" w:type="auto"/>
            <w:tcBorders>
              <w:top w:val="single" w:sz="4" w:space="0" w:color="000000"/>
              <w:left w:val="single" w:sz="4" w:space="0" w:color="000000"/>
              <w:bottom w:val="single" w:sz="4" w:space="0" w:color="000000"/>
              <w:right w:val="single" w:sz="4" w:space="0" w:color="000000"/>
            </w:tcBorders>
          </w:tcPr>
          <w:p w14:paraId="79383352"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C15D363" w14:textId="77777777" w:rsidR="001E010E" w:rsidRPr="007D7545" w:rsidRDefault="001E010E" w:rsidP="005D101E">
            <w:pPr>
              <w:rPr>
                <w:rFonts w:ascii="Times New Roman" w:hAnsi="Times New Roman"/>
                <w:color w:val="000000"/>
                <w:sz w:val="22"/>
                <w:szCs w:val="22"/>
                <w:lang w:val="sr-Latn-ME"/>
              </w:rPr>
            </w:pPr>
          </w:p>
        </w:tc>
      </w:tr>
      <w:tr w:rsidR="001E010E" w:rsidRPr="005E7F36" w14:paraId="69AAA5D6" w14:textId="77777777" w:rsidTr="002D70E0">
        <w:tc>
          <w:tcPr>
            <w:tcW w:w="0" w:type="auto"/>
            <w:gridSpan w:val="2"/>
            <w:tcBorders>
              <w:top w:val="single" w:sz="4" w:space="0" w:color="000000"/>
              <w:left w:val="single" w:sz="4" w:space="0" w:color="000000"/>
              <w:bottom w:val="single" w:sz="4" w:space="0" w:color="000000"/>
              <w:right w:val="nil"/>
            </w:tcBorders>
          </w:tcPr>
          <w:p w14:paraId="0A9346C1" w14:textId="77777777" w:rsidR="001E010E" w:rsidRPr="007D7545" w:rsidRDefault="001E010E" w:rsidP="005D101E">
            <w:pPr>
              <w:rPr>
                <w:rFonts w:ascii="Times New Roman" w:hAnsi="Times New Roman"/>
                <w:color w:val="000000"/>
                <w:sz w:val="22"/>
                <w:szCs w:val="22"/>
                <w:lang w:val="sr-Latn-ME"/>
              </w:rPr>
            </w:pPr>
          </w:p>
        </w:tc>
        <w:tc>
          <w:tcPr>
            <w:tcW w:w="0" w:type="auto"/>
            <w:gridSpan w:val="4"/>
            <w:tcBorders>
              <w:top w:val="single" w:sz="4" w:space="0" w:color="000000"/>
              <w:left w:val="nil"/>
              <w:bottom w:val="single" w:sz="4" w:space="0" w:color="000000"/>
              <w:right w:val="single" w:sz="4" w:space="0" w:color="000000"/>
            </w:tcBorders>
          </w:tcPr>
          <w:p w14:paraId="4F0E10E3"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Poremećaji kože i potkožnog tkiva</w:t>
            </w:r>
          </w:p>
        </w:tc>
      </w:tr>
      <w:tr w:rsidR="001E010E" w:rsidRPr="007D7545" w14:paraId="0D7A9C6A" w14:textId="77777777" w:rsidTr="002D70E0">
        <w:tc>
          <w:tcPr>
            <w:tcW w:w="0" w:type="auto"/>
            <w:tcBorders>
              <w:top w:val="single" w:sz="4" w:space="0" w:color="000000"/>
              <w:left w:val="single" w:sz="4" w:space="0" w:color="000000"/>
              <w:bottom w:val="single" w:sz="4" w:space="0" w:color="000000"/>
              <w:right w:val="single" w:sz="4" w:space="0" w:color="000000"/>
            </w:tcBorders>
          </w:tcPr>
          <w:p w14:paraId="52A8E69F"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Pruritus (uključujući neuobičajene slučajeve generalizovanog pruritusa), osip, ekhimoza, kutano i subkutano krvarenje</w:t>
            </w:r>
          </w:p>
        </w:tc>
        <w:tc>
          <w:tcPr>
            <w:tcW w:w="0" w:type="auto"/>
            <w:gridSpan w:val="2"/>
            <w:tcBorders>
              <w:top w:val="single" w:sz="4" w:space="0" w:color="000000"/>
              <w:left w:val="single" w:sz="4" w:space="0" w:color="000000"/>
              <w:bottom w:val="single" w:sz="4" w:space="0" w:color="000000"/>
              <w:right w:val="single" w:sz="4" w:space="0" w:color="000000"/>
            </w:tcBorders>
          </w:tcPr>
          <w:p w14:paraId="34A44079"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Urtikarija</w:t>
            </w:r>
          </w:p>
        </w:tc>
        <w:tc>
          <w:tcPr>
            <w:tcW w:w="0" w:type="auto"/>
            <w:tcBorders>
              <w:top w:val="single" w:sz="4" w:space="0" w:color="000000"/>
              <w:left w:val="single" w:sz="4" w:space="0" w:color="000000"/>
              <w:bottom w:val="single" w:sz="4" w:space="0" w:color="000000"/>
              <w:right w:val="single" w:sz="4" w:space="0" w:color="000000"/>
            </w:tcBorders>
          </w:tcPr>
          <w:p w14:paraId="1C4A2C37"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648EEDAE" w14:textId="77777777" w:rsidR="001E010E" w:rsidRPr="007D7545" w:rsidRDefault="001E010E" w:rsidP="005D101E">
            <w:pPr>
              <w:ind w:left="2"/>
              <w:rPr>
                <w:rFonts w:ascii="Times New Roman" w:hAnsi="Times New Roman"/>
                <w:color w:val="000000"/>
                <w:sz w:val="22"/>
                <w:szCs w:val="22"/>
                <w:lang w:val="sr-Latn-ME"/>
              </w:rPr>
            </w:pPr>
            <w:r w:rsidRPr="007D7545">
              <w:rPr>
                <w:i/>
                <w:color w:val="000000"/>
                <w:sz w:val="22"/>
                <w:szCs w:val="22"/>
                <w:lang w:val="sr-Latn-ME"/>
              </w:rPr>
              <w:t>Stevens-Johnson-</w:t>
            </w:r>
            <w:r w:rsidRPr="007D7545">
              <w:rPr>
                <w:color w:val="000000"/>
                <w:sz w:val="22"/>
                <w:szCs w:val="22"/>
                <w:lang w:val="sr-Latn-ME"/>
              </w:rPr>
              <w:t>ov</w:t>
            </w:r>
            <w:r w:rsidRPr="007D7545">
              <w:rPr>
                <w:i/>
                <w:color w:val="000000"/>
                <w:sz w:val="22"/>
                <w:szCs w:val="22"/>
                <w:lang w:val="sr-Latn-ME"/>
              </w:rPr>
              <w:t xml:space="preserve"> </w:t>
            </w:r>
            <w:r w:rsidRPr="007D7545">
              <w:rPr>
                <w:color w:val="000000"/>
                <w:sz w:val="22"/>
                <w:szCs w:val="22"/>
                <w:lang w:val="sr-Latn-ME"/>
              </w:rPr>
              <w:t>sindrom</w:t>
            </w:r>
            <w:r w:rsidRPr="007D7545">
              <w:rPr>
                <w:i/>
                <w:color w:val="000000"/>
                <w:sz w:val="22"/>
                <w:szCs w:val="22"/>
                <w:lang w:val="sr-Latn-ME"/>
              </w:rPr>
              <w:t>/</w:t>
            </w:r>
            <w:r w:rsidRPr="007D7545">
              <w:rPr>
                <w:color w:val="000000"/>
                <w:sz w:val="22"/>
                <w:szCs w:val="22"/>
                <w:lang w:val="sr-Latn-ME"/>
              </w:rPr>
              <w:t>toksična epidermalna nekroliza, DRESS sindrom</w:t>
            </w:r>
          </w:p>
        </w:tc>
        <w:tc>
          <w:tcPr>
            <w:tcW w:w="0" w:type="auto"/>
            <w:tcBorders>
              <w:top w:val="single" w:sz="4" w:space="0" w:color="000000"/>
              <w:left w:val="single" w:sz="4" w:space="0" w:color="000000"/>
              <w:bottom w:val="single" w:sz="4" w:space="0" w:color="000000"/>
              <w:right w:val="single" w:sz="4" w:space="0" w:color="000000"/>
            </w:tcBorders>
          </w:tcPr>
          <w:p w14:paraId="5A4112C9" w14:textId="77777777" w:rsidR="001E010E" w:rsidRPr="007D7545" w:rsidRDefault="001E010E" w:rsidP="005D101E">
            <w:pPr>
              <w:rPr>
                <w:rFonts w:ascii="Times New Roman" w:hAnsi="Times New Roman"/>
                <w:color w:val="000000"/>
                <w:sz w:val="22"/>
                <w:szCs w:val="22"/>
                <w:lang w:val="sr-Latn-ME"/>
              </w:rPr>
            </w:pPr>
          </w:p>
        </w:tc>
      </w:tr>
      <w:tr w:rsidR="001E010E" w:rsidRPr="005E7F36" w14:paraId="5FC87F0A" w14:textId="77777777" w:rsidTr="002D70E0">
        <w:tc>
          <w:tcPr>
            <w:tcW w:w="0" w:type="auto"/>
            <w:gridSpan w:val="2"/>
            <w:tcBorders>
              <w:top w:val="single" w:sz="4" w:space="0" w:color="000000"/>
              <w:left w:val="single" w:sz="4" w:space="0" w:color="000000"/>
              <w:bottom w:val="single" w:sz="4" w:space="0" w:color="000000"/>
              <w:right w:val="nil"/>
            </w:tcBorders>
          </w:tcPr>
          <w:p w14:paraId="33CF377F" w14:textId="77777777" w:rsidR="001E010E" w:rsidRPr="007D7545" w:rsidRDefault="001E010E" w:rsidP="005D101E">
            <w:pPr>
              <w:rPr>
                <w:rFonts w:ascii="Times New Roman" w:hAnsi="Times New Roman"/>
                <w:color w:val="000000"/>
                <w:sz w:val="22"/>
                <w:szCs w:val="22"/>
                <w:lang w:val="sr-Latn-ME"/>
              </w:rPr>
            </w:pPr>
          </w:p>
        </w:tc>
        <w:tc>
          <w:tcPr>
            <w:tcW w:w="0" w:type="auto"/>
            <w:gridSpan w:val="4"/>
            <w:tcBorders>
              <w:top w:val="single" w:sz="4" w:space="0" w:color="000000"/>
              <w:left w:val="nil"/>
              <w:bottom w:val="single" w:sz="4" w:space="0" w:color="000000"/>
              <w:right w:val="single" w:sz="4" w:space="0" w:color="000000"/>
            </w:tcBorders>
          </w:tcPr>
          <w:p w14:paraId="2F90C453"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Poremećaji mišićno-koštanog sistema i vezivnog tkiva</w:t>
            </w:r>
          </w:p>
        </w:tc>
      </w:tr>
      <w:tr w:rsidR="001E010E" w:rsidRPr="007D7545" w14:paraId="04DE3837" w14:textId="77777777" w:rsidTr="002D70E0">
        <w:tc>
          <w:tcPr>
            <w:tcW w:w="0" w:type="auto"/>
            <w:tcBorders>
              <w:top w:val="single" w:sz="4" w:space="0" w:color="000000"/>
              <w:left w:val="single" w:sz="4" w:space="0" w:color="000000"/>
              <w:bottom w:val="single" w:sz="4" w:space="0" w:color="000000"/>
              <w:right w:val="single" w:sz="4" w:space="0" w:color="000000"/>
            </w:tcBorders>
          </w:tcPr>
          <w:p w14:paraId="29BE892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Bol u ekstremitetima</w:t>
            </w:r>
            <w:r w:rsidRPr="007D7545">
              <w:rPr>
                <w:color w:val="000000"/>
                <w:sz w:val="22"/>
                <w:szCs w:val="22"/>
                <w:vertAlign w:val="superscript"/>
                <w:lang w:val="sr-Latn-ME"/>
              </w:rPr>
              <w:t>A</w:t>
            </w:r>
          </w:p>
        </w:tc>
        <w:tc>
          <w:tcPr>
            <w:tcW w:w="0" w:type="auto"/>
            <w:gridSpan w:val="2"/>
            <w:tcBorders>
              <w:top w:val="single" w:sz="4" w:space="0" w:color="000000"/>
              <w:left w:val="single" w:sz="4" w:space="0" w:color="000000"/>
              <w:bottom w:val="single" w:sz="4" w:space="0" w:color="000000"/>
              <w:right w:val="single" w:sz="4" w:space="0" w:color="000000"/>
            </w:tcBorders>
          </w:tcPr>
          <w:p w14:paraId="0D9FC9C7"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Hemartroza</w:t>
            </w:r>
          </w:p>
        </w:tc>
        <w:tc>
          <w:tcPr>
            <w:tcW w:w="0" w:type="auto"/>
            <w:tcBorders>
              <w:top w:val="single" w:sz="4" w:space="0" w:color="000000"/>
              <w:left w:val="single" w:sz="4" w:space="0" w:color="000000"/>
              <w:bottom w:val="single" w:sz="4" w:space="0" w:color="000000"/>
              <w:right w:val="single" w:sz="4" w:space="0" w:color="000000"/>
            </w:tcBorders>
          </w:tcPr>
          <w:p w14:paraId="460C8466" w14:textId="77777777" w:rsidR="001E010E" w:rsidRPr="007D7545" w:rsidRDefault="001E010E" w:rsidP="005D101E">
            <w:pPr>
              <w:ind w:left="2"/>
              <w:rPr>
                <w:rFonts w:ascii="Times New Roman" w:hAnsi="Times New Roman"/>
                <w:color w:val="000000"/>
                <w:sz w:val="22"/>
                <w:szCs w:val="22"/>
                <w:lang w:val="sr-Latn-ME"/>
              </w:rPr>
            </w:pPr>
            <w:r w:rsidRPr="007D7545">
              <w:rPr>
                <w:color w:val="000000"/>
                <w:sz w:val="22"/>
                <w:szCs w:val="22"/>
                <w:lang w:val="sr-Latn-ME"/>
              </w:rPr>
              <w:t>Krvarenje iz mišića</w:t>
            </w:r>
          </w:p>
        </w:tc>
        <w:tc>
          <w:tcPr>
            <w:tcW w:w="0" w:type="auto"/>
            <w:tcBorders>
              <w:top w:val="single" w:sz="4" w:space="0" w:color="000000"/>
              <w:left w:val="single" w:sz="4" w:space="0" w:color="000000"/>
              <w:bottom w:val="single" w:sz="4" w:space="0" w:color="000000"/>
              <w:right w:val="single" w:sz="4" w:space="0" w:color="000000"/>
            </w:tcBorders>
          </w:tcPr>
          <w:p w14:paraId="6940243B"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CBAC9D8" w14:textId="77777777" w:rsidR="001E010E" w:rsidRPr="007D7545" w:rsidRDefault="001E010E" w:rsidP="005D101E">
            <w:pPr>
              <w:ind w:left="1"/>
              <w:rPr>
                <w:rFonts w:ascii="Times New Roman" w:hAnsi="Times New Roman"/>
                <w:color w:val="000000"/>
                <w:sz w:val="22"/>
                <w:szCs w:val="22"/>
                <w:lang w:val="sr-Latn-ME"/>
              </w:rPr>
            </w:pPr>
            <w:r w:rsidRPr="007D7545">
              <w:rPr>
                <w:color w:val="000000"/>
                <w:sz w:val="22"/>
                <w:szCs w:val="22"/>
                <w:lang w:val="sr-Latn-ME"/>
              </w:rPr>
              <w:t>Kompartment sindrom nakon krvarenja</w:t>
            </w:r>
          </w:p>
        </w:tc>
      </w:tr>
      <w:tr w:rsidR="001E010E" w:rsidRPr="007D7545" w14:paraId="6A41D85A" w14:textId="77777777" w:rsidTr="002D70E0">
        <w:tc>
          <w:tcPr>
            <w:tcW w:w="0" w:type="auto"/>
            <w:gridSpan w:val="2"/>
            <w:tcBorders>
              <w:top w:val="single" w:sz="4" w:space="0" w:color="000000"/>
              <w:left w:val="single" w:sz="4" w:space="0" w:color="000000"/>
              <w:bottom w:val="single" w:sz="4" w:space="0" w:color="000000"/>
              <w:right w:val="nil"/>
            </w:tcBorders>
          </w:tcPr>
          <w:p w14:paraId="5C1F5A2A" w14:textId="77777777" w:rsidR="001E010E" w:rsidRPr="007D7545" w:rsidRDefault="001E010E" w:rsidP="005D101E">
            <w:pPr>
              <w:rPr>
                <w:rFonts w:ascii="Times New Roman" w:hAnsi="Times New Roman"/>
                <w:color w:val="000000"/>
                <w:sz w:val="22"/>
                <w:szCs w:val="22"/>
                <w:lang w:val="sr-Latn-ME"/>
              </w:rPr>
            </w:pPr>
          </w:p>
        </w:tc>
        <w:tc>
          <w:tcPr>
            <w:tcW w:w="0" w:type="auto"/>
            <w:gridSpan w:val="4"/>
            <w:tcBorders>
              <w:top w:val="single" w:sz="4" w:space="0" w:color="000000"/>
              <w:left w:val="nil"/>
              <w:bottom w:val="single" w:sz="4" w:space="0" w:color="000000"/>
              <w:right w:val="single" w:sz="4" w:space="0" w:color="000000"/>
            </w:tcBorders>
          </w:tcPr>
          <w:p w14:paraId="39D2E256"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Poremećaji bubrega i urinarnog sistema</w:t>
            </w:r>
          </w:p>
        </w:tc>
      </w:tr>
      <w:tr w:rsidR="001E010E" w:rsidRPr="005E7F36" w14:paraId="4F318902" w14:textId="77777777" w:rsidTr="002D70E0">
        <w:tc>
          <w:tcPr>
            <w:tcW w:w="0" w:type="auto"/>
            <w:tcBorders>
              <w:top w:val="single" w:sz="4" w:space="0" w:color="000000"/>
              <w:left w:val="single" w:sz="4" w:space="0" w:color="000000"/>
              <w:bottom w:val="single" w:sz="4" w:space="0" w:color="000000"/>
              <w:right w:val="single" w:sz="4" w:space="0" w:color="000000"/>
            </w:tcBorders>
          </w:tcPr>
          <w:p w14:paraId="7B15F019"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Krvarenje u</w:t>
            </w:r>
          </w:p>
          <w:p w14:paraId="13A8F582" w14:textId="77777777" w:rsidR="001E010E" w:rsidRPr="007D7545" w:rsidRDefault="001E010E" w:rsidP="005D101E">
            <w:pPr>
              <w:ind w:right="104"/>
              <w:rPr>
                <w:rFonts w:ascii="Times New Roman" w:hAnsi="Times New Roman"/>
                <w:color w:val="000000"/>
                <w:sz w:val="22"/>
                <w:szCs w:val="22"/>
                <w:lang w:val="sr-Latn-ME"/>
              </w:rPr>
            </w:pPr>
            <w:r w:rsidRPr="007D7545">
              <w:rPr>
                <w:color w:val="000000"/>
                <w:sz w:val="22"/>
                <w:szCs w:val="22"/>
                <w:lang w:val="sr-Latn-ME"/>
              </w:rPr>
              <w:t>urogenitalnom traktu (uključujući hematuriju i menoragiju</w:t>
            </w:r>
            <w:r w:rsidRPr="007D7545">
              <w:rPr>
                <w:color w:val="000000"/>
                <w:sz w:val="22"/>
                <w:szCs w:val="22"/>
                <w:vertAlign w:val="superscript"/>
                <w:lang w:val="sr-Latn-ME"/>
              </w:rPr>
              <w:t>B</w:t>
            </w:r>
            <w:r w:rsidRPr="007D7545">
              <w:rPr>
                <w:color w:val="000000"/>
                <w:sz w:val="22"/>
                <w:szCs w:val="22"/>
                <w:lang w:val="sr-Latn-ME"/>
              </w:rPr>
              <w:t xml:space="preserve">), </w:t>
            </w:r>
          </w:p>
          <w:p w14:paraId="53DF2A9B" w14:textId="266CE74B"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lastRenderedPageBreak/>
              <w:t>oštećenje funkcije bubrega (uključujući povećanje koncentracije kreatinina u krvi, povećanje koncentracije uree u krvi)</w:t>
            </w:r>
          </w:p>
        </w:tc>
        <w:tc>
          <w:tcPr>
            <w:tcW w:w="0" w:type="auto"/>
            <w:gridSpan w:val="2"/>
            <w:tcBorders>
              <w:top w:val="single" w:sz="4" w:space="0" w:color="000000"/>
              <w:left w:val="single" w:sz="4" w:space="0" w:color="000000"/>
              <w:bottom w:val="single" w:sz="4" w:space="0" w:color="000000"/>
              <w:right w:val="single" w:sz="4" w:space="0" w:color="000000"/>
            </w:tcBorders>
          </w:tcPr>
          <w:p w14:paraId="337266DC"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6E0C4A3"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7E47C54"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382778F" w14:textId="77777777" w:rsidR="001E010E" w:rsidRPr="007D7545" w:rsidRDefault="001E010E" w:rsidP="005D101E">
            <w:pPr>
              <w:ind w:left="1"/>
              <w:rPr>
                <w:rFonts w:ascii="Times New Roman" w:hAnsi="Times New Roman"/>
                <w:color w:val="000000"/>
                <w:sz w:val="22"/>
                <w:szCs w:val="22"/>
                <w:lang w:val="sr-Latn-ME"/>
              </w:rPr>
            </w:pPr>
            <w:r w:rsidRPr="007D7545">
              <w:rPr>
                <w:color w:val="000000"/>
                <w:sz w:val="22"/>
                <w:szCs w:val="22"/>
                <w:lang w:val="sr-Latn-ME"/>
              </w:rPr>
              <w:t xml:space="preserve">Insuficijencija bubrega /akutna insuficijencija bubrega nakon </w:t>
            </w:r>
            <w:r w:rsidRPr="007D7545">
              <w:rPr>
                <w:color w:val="000000"/>
                <w:sz w:val="22"/>
                <w:szCs w:val="22"/>
                <w:lang w:val="sr-Latn-ME"/>
              </w:rPr>
              <w:lastRenderedPageBreak/>
              <w:t>krvarenja koje je dovoljno da izazove hipoperfuziju</w:t>
            </w:r>
          </w:p>
        </w:tc>
      </w:tr>
      <w:tr w:rsidR="001E010E" w:rsidRPr="007D7545" w14:paraId="668E9A5F" w14:textId="77777777" w:rsidTr="002D70E0">
        <w:tc>
          <w:tcPr>
            <w:tcW w:w="0" w:type="auto"/>
            <w:gridSpan w:val="2"/>
            <w:tcBorders>
              <w:top w:val="single" w:sz="4" w:space="0" w:color="000000"/>
              <w:left w:val="single" w:sz="4" w:space="0" w:color="000000"/>
              <w:bottom w:val="single" w:sz="4" w:space="0" w:color="000000"/>
              <w:right w:val="nil"/>
            </w:tcBorders>
          </w:tcPr>
          <w:p w14:paraId="3A61E652" w14:textId="77777777" w:rsidR="001E010E" w:rsidRPr="007D7545" w:rsidRDefault="001E010E" w:rsidP="005D101E">
            <w:pPr>
              <w:rPr>
                <w:rFonts w:ascii="Times New Roman" w:hAnsi="Times New Roman"/>
                <w:color w:val="000000"/>
                <w:sz w:val="22"/>
                <w:szCs w:val="22"/>
                <w:lang w:val="sr-Latn-ME"/>
              </w:rPr>
            </w:pPr>
          </w:p>
        </w:tc>
        <w:tc>
          <w:tcPr>
            <w:tcW w:w="0" w:type="auto"/>
            <w:gridSpan w:val="4"/>
            <w:tcBorders>
              <w:top w:val="single" w:sz="4" w:space="0" w:color="000000"/>
              <w:left w:val="nil"/>
              <w:bottom w:val="single" w:sz="4" w:space="0" w:color="000000"/>
              <w:right w:val="single" w:sz="4" w:space="0" w:color="000000"/>
            </w:tcBorders>
          </w:tcPr>
          <w:p w14:paraId="58CDB466"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Opšti poremećaji i reakcije na mjestu primjene</w:t>
            </w:r>
          </w:p>
        </w:tc>
      </w:tr>
      <w:tr w:rsidR="001E010E" w:rsidRPr="007D7545" w14:paraId="08F3F318" w14:textId="77777777" w:rsidTr="002D70E0">
        <w:tc>
          <w:tcPr>
            <w:tcW w:w="0" w:type="auto"/>
            <w:tcBorders>
              <w:top w:val="single" w:sz="4" w:space="0" w:color="000000"/>
              <w:left w:val="single" w:sz="4" w:space="0" w:color="000000"/>
              <w:bottom w:val="single" w:sz="4" w:space="0" w:color="000000"/>
              <w:right w:val="single" w:sz="4" w:space="0" w:color="000000"/>
            </w:tcBorders>
          </w:tcPr>
          <w:p w14:paraId="07C52F3E" w14:textId="412E5A4F"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Povišena t</w:t>
            </w:r>
            <w:r w:rsidR="00FF1948" w:rsidRPr="007D7545">
              <w:rPr>
                <w:color w:val="000000"/>
                <w:sz w:val="22"/>
                <w:szCs w:val="22"/>
                <w:lang w:val="sr-Latn-ME"/>
              </w:rPr>
              <w:t>j</w:t>
            </w:r>
            <w:r w:rsidRPr="007D7545">
              <w:rPr>
                <w:color w:val="000000"/>
                <w:sz w:val="22"/>
                <w:szCs w:val="22"/>
                <w:lang w:val="sr-Latn-ME"/>
              </w:rPr>
              <w:t>elesna temperature (groznica)</w:t>
            </w:r>
            <w:r w:rsidRPr="007D7545">
              <w:rPr>
                <w:color w:val="000000"/>
                <w:sz w:val="22"/>
                <w:szCs w:val="22"/>
                <w:vertAlign w:val="superscript"/>
                <w:lang w:val="sr-Latn-ME"/>
              </w:rPr>
              <w:t>A</w:t>
            </w:r>
            <w:r w:rsidRPr="007D7545">
              <w:rPr>
                <w:color w:val="000000"/>
                <w:sz w:val="22"/>
                <w:szCs w:val="22"/>
                <w:lang w:val="sr-Latn-ME"/>
              </w:rPr>
              <w:t>, periferni edem, smanjena opšta snaga i energija (uključujući umor i asteniju)</w:t>
            </w:r>
          </w:p>
        </w:tc>
        <w:tc>
          <w:tcPr>
            <w:tcW w:w="0" w:type="auto"/>
            <w:gridSpan w:val="2"/>
            <w:tcBorders>
              <w:top w:val="single" w:sz="4" w:space="0" w:color="000000"/>
              <w:left w:val="single" w:sz="4" w:space="0" w:color="000000"/>
              <w:bottom w:val="single" w:sz="4" w:space="0" w:color="000000"/>
              <w:right w:val="single" w:sz="4" w:space="0" w:color="000000"/>
            </w:tcBorders>
          </w:tcPr>
          <w:p w14:paraId="32B21340"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 xml:space="preserve">Opšte loše stanje </w:t>
            </w:r>
          </w:p>
          <w:p w14:paraId="74993ACA"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 xml:space="preserve">(uključujući slabost) </w:t>
            </w:r>
          </w:p>
        </w:tc>
        <w:tc>
          <w:tcPr>
            <w:tcW w:w="0" w:type="auto"/>
            <w:tcBorders>
              <w:top w:val="single" w:sz="4" w:space="0" w:color="000000"/>
              <w:left w:val="single" w:sz="4" w:space="0" w:color="000000"/>
              <w:bottom w:val="single" w:sz="4" w:space="0" w:color="000000"/>
              <w:right w:val="single" w:sz="4" w:space="0" w:color="000000"/>
            </w:tcBorders>
          </w:tcPr>
          <w:p w14:paraId="35714E98" w14:textId="77777777" w:rsidR="001E010E" w:rsidRPr="007D7545" w:rsidRDefault="001E010E" w:rsidP="005D101E">
            <w:pPr>
              <w:ind w:left="2"/>
              <w:rPr>
                <w:rFonts w:ascii="Times New Roman" w:hAnsi="Times New Roman"/>
                <w:color w:val="000000"/>
                <w:sz w:val="22"/>
                <w:szCs w:val="22"/>
                <w:lang w:val="sr-Latn-ME"/>
              </w:rPr>
            </w:pPr>
            <w:r w:rsidRPr="007D7545">
              <w:rPr>
                <w:color w:val="000000"/>
                <w:sz w:val="22"/>
                <w:szCs w:val="22"/>
                <w:lang w:val="sr-Latn-ME"/>
              </w:rPr>
              <w:t>Lokalizovan edem</w:t>
            </w:r>
            <w:r w:rsidRPr="007D7545">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56E0F6C2"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F674CA4" w14:textId="77777777" w:rsidR="001E010E" w:rsidRPr="007D7545" w:rsidRDefault="001E010E" w:rsidP="005D101E">
            <w:pPr>
              <w:rPr>
                <w:rFonts w:ascii="Times New Roman" w:hAnsi="Times New Roman"/>
                <w:color w:val="000000"/>
                <w:sz w:val="22"/>
                <w:szCs w:val="22"/>
                <w:lang w:val="sr-Latn-ME"/>
              </w:rPr>
            </w:pPr>
          </w:p>
        </w:tc>
      </w:tr>
      <w:tr w:rsidR="001E010E" w:rsidRPr="007D7545" w14:paraId="1AA8A645" w14:textId="77777777" w:rsidTr="002D70E0">
        <w:tc>
          <w:tcPr>
            <w:tcW w:w="0" w:type="auto"/>
            <w:gridSpan w:val="2"/>
            <w:tcBorders>
              <w:top w:val="single" w:sz="4" w:space="0" w:color="000000"/>
              <w:left w:val="single" w:sz="4" w:space="0" w:color="000000"/>
              <w:bottom w:val="single" w:sz="4" w:space="0" w:color="000000"/>
              <w:right w:val="nil"/>
            </w:tcBorders>
          </w:tcPr>
          <w:p w14:paraId="11C18616" w14:textId="77777777" w:rsidR="001E010E" w:rsidRPr="007D7545" w:rsidRDefault="001E010E" w:rsidP="005D101E">
            <w:pPr>
              <w:rPr>
                <w:rFonts w:ascii="Times New Roman" w:hAnsi="Times New Roman"/>
                <w:color w:val="000000"/>
                <w:sz w:val="22"/>
                <w:szCs w:val="22"/>
                <w:lang w:val="sr-Latn-ME"/>
              </w:rPr>
            </w:pPr>
          </w:p>
        </w:tc>
        <w:tc>
          <w:tcPr>
            <w:tcW w:w="0" w:type="auto"/>
            <w:gridSpan w:val="4"/>
            <w:tcBorders>
              <w:top w:val="single" w:sz="4" w:space="0" w:color="000000"/>
              <w:left w:val="nil"/>
              <w:bottom w:val="single" w:sz="4" w:space="0" w:color="000000"/>
              <w:right w:val="single" w:sz="4" w:space="0" w:color="000000"/>
            </w:tcBorders>
          </w:tcPr>
          <w:p w14:paraId="4841AD78"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Ispitivanja</w:t>
            </w:r>
          </w:p>
        </w:tc>
      </w:tr>
      <w:tr w:rsidR="001E010E" w:rsidRPr="005E7F36" w14:paraId="206E1CE5" w14:textId="77777777" w:rsidTr="002D70E0">
        <w:tc>
          <w:tcPr>
            <w:tcW w:w="0" w:type="auto"/>
            <w:tcBorders>
              <w:top w:val="single" w:sz="4" w:space="0" w:color="000000"/>
              <w:left w:val="single" w:sz="4" w:space="0" w:color="000000"/>
              <w:bottom w:val="single" w:sz="4" w:space="0" w:color="000000"/>
              <w:right w:val="single" w:sz="4" w:space="0" w:color="000000"/>
            </w:tcBorders>
          </w:tcPr>
          <w:p w14:paraId="52FF5817" w14:textId="77777777" w:rsidR="001E010E" w:rsidRPr="007D7545" w:rsidRDefault="001E010E" w:rsidP="005D101E">
            <w:pPr>
              <w:rPr>
                <w:rFonts w:ascii="Times New Roman" w:hAnsi="Times New Roman"/>
                <w:color w:val="000000"/>
                <w:sz w:val="22"/>
                <w:szCs w:val="22"/>
                <w:lang w:val="sr-Latn-ME"/>
              </w:rPr>
            </w:pPr>
          </w:p>
        </w:tc>
        <w:tc>
          <w:tcPr>
            <w:tcW w:w="0" w:type="auto"/>
            <w:gridSpan w:val="2"/>
            <w:tcBorders>
              <w:top w:val="single" w:sz="4" w:space="0" w:color="000000"/>
              <w:left w:val="single" w:sz="4" w:space="0" w:color="000000"/>
              <w:bottom w:val="single" w:sz="4" w:space="0" w:color="000000"/>
              <w:right w:val="single" w:sz="4" w:space="0" w:color="000000"/>
            </w:tcBorders>
          </w:tcPr>
          <w:p w14:paraId="28E35EF2" w14:textId="77777777" w:rsidR="001E010E" w:rsidRPr="007D7545" w:rsidRDefault="001E010E" w:rsidP="005D101E">
            <w:pPr>
              <w:ind w:left="6"/>
              <w:rPr>
                <w:rFonts w:ascii="Times New Roman" w:hAnsi="Times New Roman"/>
                <w:color w:val="000000"/>
                <w:sz w:val="22"/>
                <w:szCs w:val="22"/>
                <w:lang w:val="sr-Latn-ME"/>
              </w:rPr>
            </w:pPr>
            <w:r w:rsidRPr="007D7545">
              <w:rPr>
                <w:color w:val="000000"/>
                <w:sz w:val="22"/>
                <w:szCs w:val="22"/>
                <w:lang w:val="sr-Latn-ME"/>
              </w:rPr>
              <w:t>Povećana vrijednost LDH</w:t>
            </w:r>
            <w:r w:rsidRPr="007D7545">
              <w:rPr>
                <w:color w:val="000000"/>
                <w:sz w:val="22"/>
                <w:szCs w:val="22"/>
                <w:vertAlign w:val="superscript"/>
                <w:lang w:val="sr-Latn-ME"/>
              </w:rPr>
              <w:t>A</w:t>
            </w:r>
            <w:r w:rsidRPr="007D7545">
              <w:rPr>
                <w:color w:val="000000"/>
                <w:sz w:val="22"/>
                <w:szCs w:val="22"/>
                <w:lang w:val="sr-Latn-ME"/>
              </w:rPr>
              <w:t>, povećana</w:t>
            </w:r>
          </w:p>
          <w:p w14:paraId="35BE35AB" w14:textId="77777777" w:rsidR="001E010E" w:rsidRPr="007D7545" w:rsidRDefault="001E010E" w:rsidP="005D101E">
            <w:pPr>
              <w:ind w:left="6" w:right="588"/>
              <w:rPr>
                <w:rFonts w:ascii="Times New Roman" w:hAnsi="Times New Roman"/>
                <w:color w:val="000000"/>
                <w:sz w:val="22"/>
                <w:szCs w:val="22"/>
                <w:lang w:val="sr-Latn-ME"/>
              </w:rPr>
            </w:pPr>
            <w:r w:rsidRPr="007D7545">
              <w:rPr>
                <w:color w:val="000000"/>
                <w:sz w:val="22"/>
                <w:szCs w:val="22"/>
                <w:lang w:val="sr-Latn-ME"/>
              </w:rPr>
              <w:t>vrijednost lipaze</w:t>
            </w:r>
            <w:r w:rsidRPr="007D7545">
              <w:rPr>
                <w:color w:val="000000"/>
                <w:sz w:val="22"/>
                <w:szCs w:val="22"/>
                <w:vertAlign w:val="superscript"/>
                <w:lang w:val="sr-Latn-ME"/>
              </w:rPr>
              <w:t>A</w:t>
            </w:r>
            <w:r w:rsidRPr="007D7545">
              <w:rPr>
                <w:color w:val="000000"/>
                <w:sz w:val="22"/>
                <w:szCs w:val="22"/>
                <w:lang w:val="sr-Latn-ME"/>
              </w:rPr>
              <w:t>, povećana vrijednost amilaze</w:t>
            </w:r>
            <w:r w:rsidRPr="007D7545">
              <w:rPr>
                <w:color w:val="000000"/>
                <w:sz w:val="22"/>
                <w:szCs w:val="22"/>
                <w:vertAlign w:val="superscript"/>
                <w:lang w:val="sr-Latn-ME"/>
              </w:rPr>
              <w:t>A</w:t>
            </w:r>
          </w:p>
        </w:tc>
        <w:tc>
          <w:tcPr>
            <w:tcW w:w="0" w:type="auto"/>
            <w:tcBorders>
              <w:top w:val="single" w:sz="4" w:space="0" w:color="000000"/>
              <w:left w:val="single" w:sz="4" w:space="0" w:color="000000"/>
              <w:bottom w:val="single" w:sz="4" w:space="0" w:color="000000"/>
              <w:right w:val="single" w:sz="4" w:space="0" w:color="000000"/>
            </w:tcBorders>
          </w:tcPr>
          <w:p w14:paraId="5D1DAD19"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68678F7"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FDB703F" w14:textId="77777777" w:rsidR="001E010E" w:rsidRPr="007D7545" w:rsidRDefault="001E010E" w:rsidP="005D101E">
            <w:pPr>
              <w:rPr>
                <w:rFonts w:ascii="Times New Roman" w:hAnsi="Times New Roman"/>
                <w:color w:val="000000"/>
                <w:sz w:val="22"/>
                <w:szCs w:val="22"/>
                <w:lang w:val="sr-Latn-ME"/>
              </w:rPr>
            </w:pPr>
          </w:p>
        </w:tc>
      </w:tr>
      <w:tr w:rsidR="001E010E" w:rsidRPr="007D7545" w14:paraId="1E7F38EE" w14:textId="77777777" w:rsidTr="002D70E0">
        <w:tc>
          <w:tcPr>
            <w:tcW w:w="0" w:type="auto"/>
            <w:gridSpan w:val="6"/>
            <w:tcBorders>
              <w:top w:val="single" w:sz="4" w:space="0" w:color="000000"/>
              <w:left w:val="single" w:sz="4" w:space="0" w:color="000000"/>
              <w:bottom w:val="single" w:sz="4" w:space="0" w:color="000000"/>
              <w:right w:val="single" w:sz="4" w:space="0" w:color="000000"/>
            </w:tcBorders>
          </w:tcPr>
          <w:p w14:paraId="3B574858" w14:textId="77777777" w:rsidR="001E010E" w:rsidRPr="007D7545" w:rsidRDefault="001E010E" w:rsidP="005D101E">
            <w:pPr>
              <w:ind w:left="6"/>
              <w:rPr>
                <w:rFonts w:ascii="Times New Roman" w:hAnsi="Times New Roman"/>
                <w:color w:val="000000"/>
                <w:sz w:val="22"/>
                <w:szCs w:val="22"/>
                <w:lang w:val="sr-Latn-ME"/>
              </w:rPr>
            </w:pPr>
            <w:r w:rsidRPr="007D7545">
              <w:rPr>
                <w:b/>
                <w:color w:val="000000"/>
                <w:sz w:val="22"/>
                <w:szCs w:val="22"/>
                <w:lang w:val="sr-Latn-ME"/>
              </w:rPr>
              <w:t>Povrede, trovanja i proceduralne komplikacije</w:t>
            </w:r>
          </w:p>
        </w:tc>
      </w:tr>
      <w:tr w:rsidR="001E010E" w:rsidRPr="007D7545" w14:paraId="040F5016" w14:textId="77777777" w:rsidTr="002D70E0">
        <w:tc>
          <w:tcPr>
            <w:tcW w:w="0" w:type="auto"/>
            <w:tcBorders>
              <w:top w:val="single" w:sz="4" w:space="0" w:color="000000"/>
              <w:left w:val="single" w:sz="4" w:space="0" w:color="000000"/>
              <w:bottom w:val="single" w:sz="4" w:space="0" w:color="000000"/>
              <w:right w:val="single" w:sz="4" w:space="0" w:color="000000"/>
            </w:tcBorders>
          </w:tcPr>
          <w:p w14:paraId="11B7B79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Postintervencijsko krvarenje (uključujući postoperativnu anemiju i krvarenje rana), kontuzija, sekrecija iz rane</w:t>
            </w:r>
            <w:r w:rsidRPr="007D7545">
              <w:rPr>
                <w:color w:val="000000"/>
                <w:sz w:val="22"/>
                <w:szCs w:val="22"/>
                <w:vertAlign w:val="superscript"/>
                <w:lang w:val="sr-Latn-ME"/>
              </w:rPr>
              <w:t>A</w:t>
            </w:r>
          </w:p>
        </w:tc>
        <w:tc>
          <w:tcPr>
            <w:tcW w:w="0" w:type="auto"/>
            <w:gridSpan w:val="2"/>
            <w:tcBorders>
              <w:top w:val="single" w:sz="4" w:space="0" w:color="000000"/>
              <w:left w:val="single" w:sz="4" w:space="0" w:color="000000"/>
              <w:bottom w:val="single" w:sz="4" w:space="0" w:color="000000"/>
              <w:right w:val="single" w:sz="4" w:space="0" w:color="000000"/>
            </w:tcBorders>
          </w:tcPr>
          <w:p w14:paraId="500AC703"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4881AFE8" w14:textId="77777777" w:rsidR="001E010E" w:rsidRPr="007D7545" w:rsidRDefault="001E010E" w:rsidP="005D101E">
            <w:pPr>
              <w:ind w:left="2"/>
              <w:rPr>
                <w:rFonts w:ascii="Times New Roman" w:hAnsi="Times New Roman"/>
                <w:color w:val="000000"/>
                <w:sz w:val="22"/>
                <w:szCs w:val="22"/>
                <w:lang w:val="sr-Latn-ME"/>
              </w:rPr>
            </w:pPr>
            <w:r w:rsidRPr="007D7545">
              <w:rPr>
                <w:color w:val="000000"/>
                <w:sz w:val="22"/>
                <w:szCs w:val="22"/>
                <w:lang w:val="sr-Latn-ME"/>
              </w:rPr>
              <w:t xml:space="preserve">Vaskularna </w:t>
            </w:r>
          </w:p>
          <w:p w14:paraId="32462DC0" w14:textId="77777777" w:rsidR="001E010E" w:rsidRPr="007D7545" w:rsidRDefault="001E010E" w:rsidP="005D101E">
            <w:pPr>
              <w:ind w:left="2"/>
              <w:rPr>
                <w:rFonts w:ascii="Times New Roman" w:hAnsi="Times New Roman"/>
                <w:color w:val="000000"/>
                <w:sz w:val="22"/>
                <w:szCs w:val="22"/>
                <w:lang w:val="sr-Latn-ME"/>
              </w:rPr>
            </w:pPr>
            <w:r w:rsidRPr="007D7545">
              <w:rPr>
                <w:color w:val="000000"/>
                <w:sz w:val="22"/>
                <w:szCs w:val="22"/>
                <w:lang w:val="sr-Latn-ME"/>
              </w:rPr>
              <w:t>pseudoaneurizma</w:t>
            </w:r>
            <w:r w:rsidRPr="007D7545">
              <w:rPr>
                <w:color w:val="000000"/>
                <w:sz w:val="22"/>
                <w:szCs w:val="22"/>
                <w:vertAlign w:val="superscript"/>
                <w:lang w:val="sr-Latn-ME"/>
              </w:rPr>
              <w:t>C</w:t>
            </w:r>
          </w:p>
        </w:tc>
        <w:tc>
          <w:tcPr>
            <w:tcW w:w="0" w:type="auto"/>
            <w:tcBorders>
              <w:top w:val="single" w:sz="4" w:space="0" w:color="000000"/>
              <w:left w:val="single" w:sz="4" w:space="0" w:color="000000"/>
              <w:bottom w:val="single" w:sz="4" w:space="0" w:color="000000"/>
              <w:right w:val="single" w:sz="4" w:space="0" w:color="000000"/>
            </w:tcBorders>
          </w:tcPr>
          <w:p w14:paraId="4955E9C1"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FF56421" w14:textId="77777777" w:rsidR="001E010E" w:rsidRPr="007D7545" w:rsidRDefault="001E010E" w:rsidP="005D101E">
            <w:pPr>
              <w:rPr>
                <w:rFonts w:ascii="Times New Roman" w:hAnsi="Times New Roman"/>
                <w:color w:val="000000"/>
                <w:sz w:val="22"/>
                <w:szCs w:val="22"/>
                <w:lang w:val="sr-Latn-ME"/>
              </w:rPr>
            </w:pPr>
          </w:p>
        </w:tc>
      </w:tr>
    </w:tbl>
    <w:p w14:paraId="7C854FC8" w14:textId="77777777" w:rsidR="001E010E" w:rsidRPr="002D70E0" w:rsidRDefault="001E010E" w:rsidP="005D101E">
      <w:pPr>
        <w:ind w:hanging="10"/>
        <w:jc w:val="both"/>
        <w:rPr>
          <w:color w:val="000000"/>
          <w:sz w:val="20"/>
          <w:szCs w:val="22"/>
          <w:lang w:val="sr-Latn-ME"/>
        </w:rPr>
      </w:pPr>
      <w:r w:rsidRPr="002D70E0">
        <w:rPr>
          <w:color w:val="000000"/>
          <w:sz w:val="20"/>
          <w:szCs w:val="22"/>
          <w:vertAlign w:val="superscript"/>
          <w:lang w:val="sr-Latn-ME"/>
        </w:rPr>
        <w:t>A</w:t>
      </w:r>
      <w:r w:rsidRPr="002D70E0">
        <w:rPr>
          <w:color w:val="000000"/>
          <w:sz w:val="20"/>
          <w:szCs w:val="22"/>
          <w:lang w:val="sr-Latn-ME"/>
        </w:rPr>
        <w:t>: uočeno u prevenciji venske tromboembolije (VTE) kod odraslih pacijenata koji se podvrgavaju elektivnoj hirurškoj intervenciji zamjene kuka ili koljena.</w:t>
      </w:r>
    </w:p>
    <w:p w14:paraId="2152A737" w14:textId="77777777" w:rsidR="001E010E" w:rsidRPr="002D70E0" w:rsidRDefault="001E010E" w:rsidP="005D101E">
      <w:pPr>
        <w:ind w:hanging="10"/>
        <w:jc w:val="both"/>
        <w:rPr>
          <w:color w:val="000000"/>
          <w:sz w:val="20"/>
          <w:szCs w:val="22"/>
          <w:lang w:val="sr-Latn-ME"/>
        </w:rPr>
      </w:pPr>
      <w:r w:rsidRPr="002D70E0">
        <w:rPr>
          <w:color w:val="000000"/>
          <w:sz w:val="20"/>
          <w:szCs w:val="22"/>
          <w:vertAlign w:val="superscript"/>
          <w:lang w:val="sr-Latn-ME"/>
        </w:rPr>
        <w:t>B</w:t>
      </w:r>
      <w:r w:rsidRPr="002D70E0">
        <w:rPr>
          <w:color w:val="000000"/>
          <w:sz w:val="20"/>
          <w:szCs w:val="22"/>
          <w:lang w:val="sr-Latn-ME"/>
        </w:rPr>
        <w:t>: uočeno u terapiji TDV, PE i prevenciji njihovih recidiva kao veoma često neželjeno dejstvo kod žena &lt; 55 godina.</w:t>
      </w:r>
    </w:p>
    <w:p w14:paraId="7AE5B0AF" w14:textId="16B2AB03" w:rsidR="001E010E" w:rsidRPr="002D70E0" w:rsidRDefault="001E010E" w:rsidP="005D101E">
      <w:pPr>
        <w:ind w:hanging="10"/>
        <w:jc w:val="both"/>
        <w:rPr>
          <w:color w:val="000000"/>
          <w:sz w:val="20"/>
          <w:szCs w:val="22"/>
          <w:lang w:val="sr-Latn-ME"/>
        </w:rPr>
      </w:pPr>
      <w:r w:rsidRPr="002D70E0">
        <w:rPr>
          <w:color w:val="000000"/>
          <w:sz w:val="20"/>
          <w:szCs w:val="22"/>
          <w:vertAlign w:val="superscript"/>
          <w:lang w:val="sr-Latn-ME"/>
        </w:rPr>
        <w:t>C</w:t>
      </w:r>
      <w:r w:rsidRPr="002D70E0">
        <w:rPr>
          <w:color w:val="000000"/>
          <w:sz w:val="20"/>
          <w:szCs w:val="22"/>
          <w:lang w:val="sr-Latn-ME"/>
        </w:rPr>
        <w:t>: uočeno kao povremeno neželjeno dejstvo kod prevencije aterotrombotičkih događaja posl</w:t>
      </w:r>
      <w:r w:rsidR="00FF1948" w:rsidRPr="002D70E0">
        <w:rPr>
          <w:color w:val="000000"/>
          <w:sz w:val="20"/>
          <w:szCs w:val="22"/>
          <w:lang w:val="sr-Latn-ME"/>
        </w:rPr>
        <w:t>ij</w:t>
      </w:r>
      <w:r w:rsidRPr="002D70E0">
        <w:rPr>
          <w:color w:val="000000"/>
          <w:sz w:val="20"/>
          <w:szCs w:val="22"/>
          <w:lang w:val="sr-Latn-ME"/>
        </w:rPr>
        <w:t>e akutnog koronarnog sindroma (AKS) (posl</w:t>
      </w:r>
      <w:r w:rsidR="00FF1948" w:rsidRPr="002D70E0">
        <w:rPr>
          <w:color w:val="000000"/>
          <w:sz w:val="20"/>
          <w:szCs w:val="22"/>
          <w:lang w:val="sr-Latn-ME"/>
        </w:rPr>
        <w:t>ij</w:t>
      </w:r>
      <w:r w:rsidRPr="002D70E0">
        <w:rPr>
          <w:color w:val="000000"/>
          <w:sz w:val="20"/>
          <w:szCs w:val="22"/>
          <w:lang w:val="sr-Latn-ME"/>
        </w:rPr>
        <w:t>e perkutane koronarne intervencije).</w:t>
      </w:r>
    </w:p>
    <w:p w14:paraId="58B82342" w14:textId="27071205" w:rsidR="001E010E" w:rsidRPr="002D70E0" w:rsidRDefault="001E010E" w:rsidP="005D101E">
      <w:pPr>
        <w:ind w:hanging="10"/>
        <w:jc w:val="both"/>
        <w:rPr>
          <w:sz w:val="20"/>
          <w:lang w:val="sr-Latn-ME"/>
        </w:rPr>
      </w:pPr>
      <w:r w:rsidRPr="002D70E0">
        <w:rPr>
          <w:color w:val="000000"/>
          <w:sz w:val="20"/>
          <w:szCs w:val="22"/>
          <w:lang w:val="sr-Latn-ME"/>
        </w:rPr>
        <w:t>* Prim</w:t>
      </w:r>
      <w:r w:rsidR="00FF1948" w:rsidRPr="002D70E0">
        <w:rPr>
          <w:color w:val="000000"/>
          <w:sz w:val="20"/>
          <w:szCs w:val="22"/>
          <w:lang w:val="sr-Latn-ME"/>
        </w:rPr>
        <w:t>i</w:t>
      </w:r>
      <w:r w:rsidRPr="002D70E0">
        <w:rPr>
          <w:color w:val="000000"/>
          <w:sz w:val="20"/>
          <w:szCs w:val="22"/>
          <w:lang w:val="sr-Latn-ME"/>
        </w:rPr>
        <w:t>jenjen je unapr</w:t>
      </w:r>
      <w:r w:rsidR="00FF1948" w:rsidRPr="002D70E0">
        <w:rPr>
          <w:color w:val="000000"/>
          <w:sz w:val="20"/>
          <w:szCs w:val="22"/>
          <w:lang w:val="sr-Latn-ME"/>
        </w:rPr>
        <w:t>ij</w:t>
      </w:r>
      <w:r w:rsidRPr="002D70E0">
        <w:rPr>
          <w:color w:val="000000"/>
          <w:sz w:val="20"/>
          <w:szCs w:val="22"/>
          <w:lang w:val="sr-Latn-ME"/>
        </w:rPr>
        <w:t xml:space="preserve">ed određeni selektivni pristup u prikupljanju prijava neželjenih događaja. </w:t>
      </w:r>
      <w:r w:rsidR="00200D98" w:rsidRPr="002D70E0">
        <w:rPr>
          <w:sz w:val="20"/>
          <w:lang w:val="sr-Latn-ME"/>
        </w:rPr>
        <w:t>Incidenca neželjenih reakcija se nije povećala i nije utvrđena nikakva nova neželjena reakcija nakon analize ovih studija.</w:t>
      </w:r>
    </w:p>
    <w:p w14:paraId="554B1797" w14:textId="77777777" w:rsidR="00FF1948" w:rsidRPr="007D7545" w:rsidRDefault="00FF1948" w:rsidP="005D101E">
      <w:pPr>
        <w:ind w:hanging="10"/>
        <w:jc w:val="both"/>
        <w:rPr>
          <w:color w:val="000000"/>
          <w:sz w:val="22"/>
          <w:szCs w:val="22"/>
          <w:lang w:val="sr-Latn-ME"/>
        </w:rPr>
      </w:pPr>
    </w:p>
    <w:p w14:paraId="2B2D7438" w14:textId="77777777" w:rsidR="001E010E" w:rsidRPr="007D7545" w:rsidRDefault="001E010E" w:rsidP="005D101E">
      <w:pPr>
        <w:keepNext/>
        <w:keepLines/>
        <w:ind w:hanging="10"/>
        <w:jc w:val="both"/>
        <w:outlineLvl w:val="1"/>
        <w:rPr>
          <w:color w:val="000000"/>
          <w:sz w:val="22"/>
          <w:szCs w:val="22"/>
          <w:u w:val="single" w:color="000000"/>
          <w:lang w:val="sr-Latn-ME"/>
        </w:rPr>
      </w:pPr>
      <w:r w:rsidRPr="007D7545">
        <w:rPr>
          <w:color w:val="000000"/>
          <w:sz w:val="22"/>
          <w:szCs w:val="22"/>
          <w:u w:val="single" w:color="000000"/>
          <w:lang w:val="sr-Latn-ME"/>
        </w:rPr>
        <w:t>Opis odabranih neželjenih reakcija</w:t>
      </w:r>
    </w:p>
    <w:p w14:paraId="09D048A3" w14:textId="51138DBB" w:rsidR="001E010E" w:rsidRPr="007D7545" w:rsidRDefault="001E010E" w:rsidP="005D101E">
      <w:pPr>
        <w:ind w:hanging="10"/>
        <w:jc w:val="both"/>
        <w:rPr>
          <w:color w:val="000000"/>
          <w:sz w:val="22"/>
          <w:szCs w:val="22"/>
          <w:lang w:val="sr-Latn-ME"/>
        </w:rPr>
      </w:pPr>
      <w:r w:rsidRPr="007D7545">
        <w:rPr>
          <w:color w:val="000000"/>
          <w:sz w:val="22"/>
          <w:szCs w:val="22"/>
          <w:lang w:val="sr-Latn-ME"/>
        </w:rPr>
        <w:t>Usl</w:t>
      </w:r>
      <w:r w:rsidR="00FF1948" w:rsidRPr="007D7545">
        <w:rPr>
          <w:color w:val="000000"/>
          <w:sz w:val="22"/>
          <w:szCs w:val="22"/>
          <w:lang w:val="sr-Latn-ME"/>
        </w:rPr>
        <w:t>j</w:t>
      </w:r>
      <w:r w:rsidRPr="007D7545">
        <w:rPr>
          <w:color w:val="000000"/>
          <w:sz w:val="22"/>
          <w:szCs w:val="22"/>
          <w:lang w:val="sr-Latn-ME"/>
        </w:rPr>
        <w:t>ed farmakološkog mehanizma dejstva, primjena rivaroksabana može biti povezana sa povećanim rizikom od skrivenog ili vidljivog krvarenja iz bilo kog tkiva ili organa što može dovesti do posthemoragijske anemije. Znaci, simptomi i težina (uključujući fatalni ishod) će varirati prema lokalizaciji i stepenu ili obimu krvarenja i/ili anemije (</w:t>
      </w:r>
      <w:r w:rsidR="00955E5C" w:rsidRPr="007D7545">
        <w:rPr>
          <w:i/>
          <w:color w:val="000000"/>
          <w:sz w:val="22"/>
          <w:szCs w:val="22"/>
          <w:lang w:val="sr-Latn-ME"/>
        </w:rPr>
        <w:t>pogledati dio</w:t>
      </w:r>
      <w:r w:rsidRPr="007D7545">
        <w:rPr>
          <w:i/>
          <w:color w:val="000000"/>
          <w:sz w:val="22"/>
          <w:szCs w:val="22"/>
          <w:lang w:val="sr-Latn-ME"/>
        </w:rPr>
        <w:t xml:space="preserve"> 4.9 „Postupak liječenja u slučaju krvarenja</w:t>
      </w:r>
      <w:r w:rsidRPr="007D7545">
        <w:rPr>
          <w:color w:val="000000"/>
          <w:sz w:val="22"/>
          <w:szCs w:val="22"/>
          <w:lang w:val="sr-Latn-ME"/>
        </w:rPr>
        <w:t>”). U kliničkim ispitivanjima krvarenje mukoza (tj. epistaksa, gingivalno, gastrointestinalno, urogenitalno, uključujući neuobičajeno vaginalno ili pojačano menstrualno krvarenje) i anemija su se češće javljali tokom dugotrajne terapije rivaroksabanom u poređenju sa terapijom VKA. Tako, pored adekvatnog kliničkog praćenja, laboratorijsko ispitivanje hemoglobina/hematokrita bi moglo biti značajno za otkrivanje skrivenog krvarenja i za određivanje kliničkog značaja vidljivog krvarenja, ukoliko se proc</w:t>
      </w:r>
      <w:r w:rsidR="00FF1948" w:rsidRPr="007D7545">
        <w:rPr>
          <w:color w:val="000000"/>
          <w:sz w:val="22"/>
          <w:szCs w:val="22"/>
          <w:lang w:val="sr-Latn-ME"/>
        </w:rPr>
        <w:t>ij</w:t>
      </w:r>
      <w:r w:rsidRPr="007D7545">
        <w:rPr>
          <w:color w:val="000000"/>
          <w:sz w:val="22"/>
          <w:szCs w:val="22"/>
          <w:lang w:val="sr-Latn-ME"/>
        </w:rPr>
        <w:t>eni adekvatnim. Rizik od krvarenja može biti povećan kod nekih grupa pacijenata, npr. kod pacijenata sa nekontrolisanom teškom arterijskom hipertenzijom i/ili u slučaju istovremene terapije koja utiče na hemostazu (vidjeti</w:t>
      </w:r>
      <w:r w:rsidRPr="007D7545">
        <w:rPr>
          <w:i/>
          <w:color w:val="000000"/>
          <w:sz w:val="22"/>
          <w:szCs w:val="22"/>
          <w:lang w:val="sr-Latn-ME"/>
        </w:rPr>
        <w:t xml:space="preserve"> „Rizik od krvarenja” </w:t>
      </w:r>
      <w:r w:rsidRPr="007D7545">
        <w:rPr>
          <w:color w:val="000000"/>
          <w:sz w:val="22"/>
          <w:szCs w:val="22"/>
          <w:lang w:val="sr-Latn-ME"/>
        </w:rPr>
        <w:t xml:space="preserve">u </w:t>
      </w:r>
      <w:r w:rsidR="00FF1948" w:rsidRPr="007D7545">
        <w:rPr>
          <w:color w:val="000000"/>
          <w:sz w:val="22"/>
          <w:szCs w:val="22"/>
          <w:lang w:val="sr-Latn-ME"/>
        </w:rPr>
        <w:t xml:space="preserve">dijelu </w:t>
      </w:r>
      <w:r w:rsidRPr="007D7545">
        <w:rPr>
          <w:color w:val="000000"/>
          <w:sz w:val="22"/>
          <w:szCs w:val="22"/>
          <w:lang w:val="sr-Latn-ME"/>
        </w:rPr>
        <w:t xml:space="preserve">4.4). Menstrualno krvarenje može biti </w:t>
      </w:r>
      <w:r w:rsidRPr="007D7545">
        <w:rPr>
          <w:color w:val="000000"/>
          <w:sz w:val="22"/>
          <w:szCs w:val="22"/>
          <w:lang w:val="sr-Latn-ME"/>
        </w:rPr>
        <w:lastRenderedPageBreak/>
        <w:t>pojačano i/ili produženo. Komplikacije usl</w:t>
      </w:r>
      <w:r w:rsidR="00FF1948" w:rsidRPr="007D7545">
        <w:rPr>
          <w:color w:val="000000"/>
          <w:sz w:val="22"/>
          <w:szCs w:val="22"/>
          <w:lang w:val="sr-Latn-ME"/>
        </w:rPr>
        <w:t>j</w:t>
      </w:r>
      <w:r w:rsidRPr="007D7545">
        <w:rPr>
          <w:color w:val="000000"/>
          <w:sz w:val="22"/>
          <w:szCs w:val="22"/>
          <w:lang w:val="sr-Latn-ME"/>
        </w:rPr>
        <w:t>ed krvarenja se mogu manifestovati kao slabost, bljedilo, vrtoglavica, glavobolja ili neobjašnjivi otok, dispneja i neobjašnjivi šok. U nekim slučajevima kao posl</w:t>
      </w:r>
      <w:r w:rsidR="00FF1948" w:rsidRPr="007D7545">
        <w:rPr>
          <w:color w:val="000000"/>
          <w:sz w:val="22"/>
          <w:szCs w:val="22"/>
          <w:lang w:val="sr-Latn-ME"/>
        </w:rPr>
        <w:t>j</w:t>
      </w:r>
      <w:r w:rsidRPr="007D7545">
        <w:rPr>
          <w:color w:val="000000"/>
          <w:sz w:val="22"/>
          <w:szCs w:val="22"/>
          <w:lang w:val="sr-Latn-ME"/>
        </w:rPr>
        <w:t xml:space="preserve">edica anemije, uočeni su simptomi srčane ishemije poput bola u grudima ili angine pektoris. </w:t>
      </w:r>
    </w:p>
    <w:p w14:paraId="167F42D9" w14:textId="52F86155" w:rsidR="001E010E" w:rsidRPr="007D7545" w:rsidRDefault="001E010E" w:rsidP="005D101E">
      <w:pPr>
        <w:ind w:hanging="10"/>
        <w:jc w:val="both"/>
        <w:rPr>
          <w:color w:val="000000"/>
          <w:sz w:val="22"/>
          <w:szCs w:val="22"/>
          <w:lang w:val="sr-Latn-ME"/>
        </w:rPr>
      </w:pPr>
      <w:r w:rsidRPr="007D7545">
        <w:rPr>
          <w:color w:val="000000"/>
          <w:sz w:val="22"/>
          <w:szCs w:val="22"/>
          <w:lang w:val="sr-Latn-ME"/>
        </w:rPr>
        <w:t>Kod primjene rivaroksabana prijavljene su poznate komplikacije nakon ozbiljnog krvarenja, poput kompartment sindroma i insuficijencije bubrega usl</w:t>
      </w:r>
      <w:r w:rsidR="00FF1948" w:rsidRPr="007D7545">
        <w:rPr>
          <w:color w:val="000000"/>
          <w:sz w:val="22"/>
          <w:szCs w:val="22"/>
          <w:lang w:val="sr-Latn-ME"/>
        </w:rPr>
        <w:t>j</w:t>
      </w:r>
      <w:r w:rsidRPr="007D7545">
        <w:rPr>
          <w:color w:val="000000"/>
          <w:sz w:val="22"/>
          <w:szCs w:val="22"/>
          <w:lang w:val="sr-Latn-ME"/>
        </w:rPr>
        <w:t>ed hipoperfuzije. Prema tome, mora se uzeti u obzir mogućnost pojave krvarenja prilikom evaluacije stanja svakog pacijenta na antikoagulantnoj terapiji.</w:t>
      </w:r>
    </w:p>
    <w:p w14:paraId="7E8F0F81" w14:textId="77777777" w:rsidR="004E70AD" w:rsidRPr="007D7545" w:rsidRDefault="004E70AD" w:rsidP="005D101E">
      <w:pPr>
        <w:tabs>
          <w:tab w:val="left" w:pos="540"/>
          <w:tab w:val="left" w:pos="569"/>
        </w:tabs>
        <w:jc w:val="both"/>
        <w:rPr>
          <w:b/>
          <w:bCs/>
          <w:sz w:val="22"/>
          <w:szCs w:val="22"/>
          <w:lang w:val="sr-Latn-ME"/>
        </w:rPr>
      </w:pPr>
    </w:p>
    <w:p w14:paraId="5152C4B1" w14:textId="77777777" w:rsidR="005A23D2" w:rsidRPr="007D7545" w:rsidRDefault="005A23D2" w:rsidP="005D101E">
      <w:pPr>
        <w:jc w:val="both"/>
        <w:rPr>
          <w:rFonts w:eastAsia="Calibri"/>
          <w:sz w:val="22"/>
          <w:szCs w:val="22"/>
          <w:u w:val="single"/>
          <w:lang w:val="sr-Latn-ME"/>
        </w:rPr>
      </w:pPr>
      <w:r w:rsidRPr="007D7545">
        <w:rPr>
          <w:rFonts w:eastAsia="Calibri"/>
          <w:sz w:val="22"/>
          <w:szCs w:val="22"/>
          <w:u w:val="single"/>
          <w:lang w:val="sr-Latn-ME"/>
        </w:rPr>
        <w:t>Prijavljivanje sumnji na neželjena dejstva</w:t>
      </w:r>
    </w:p>
    <w:p w14:paraId="6F50ABD1" w14:textId="77777777" w:rsidR="005A23D2" w:rsidRPr="007D7545" w:rsidRDefault="005A23D2" w:rsidP="005D101E">
      <w:pPr>
        <w:jc w:val="both"/>
        <w:rPr>
          <w:rFonts w:eastAsia="Calibri"/>
          <w:sz w:val="22"/>
          <w:szCs w:val="22"/>
          <w:lang w:val="sr-Latn-ME"/>
        </w:rPr>
      </w:pPr>
      <w:r w:rsidRPr="007D7545">
        <w:rPr>
          <w:rFonts w:eastAsia="Calibri"/>
          <w:sz w:val="22"/>
          <w:szCs w:val="22"/>
          <w:lang w:val="sr-Latn-ME"/>
        </w:rPr>
        <w:t>Prijavljivanje neželjenih dejstava nakon dobijanja dozvole je od velikog značaja jer obezbjeđuje kont</w:t>
      </w:r>
      <w:r w:rsidR="00EA5765" w:rsidRPr="007D7545">
        <w:rPr>
          <w:rFonts w:eastAsia="Calibri"/>
          <w:sz w:val="22"/>
          <w:szCs w:val="22"/>
          <w:lang w:val="sr-Latn-ME"/>
        </w:rPr>
        <w:t>inuirano praćenje odnosa korist</w:t>
      </w:r>
      <w:r w:rsidRPr="007D7545">
        <w:rPr>
          <w:rFonts w:eastAsia="Calibri"/>
          <w:sz w:val="22"/>
          <w:szCs w:val="22"/>
          <w:lang w:val="sr-Latn-ME"/>
        </w:rPr>
        <w:t>/rizik primjene lijeka. Zdravstveni radnici treba da prijave svaku sumnju na neželjeno</w:t>
      </w:r>
      <w:r w:rsidR="009B062A" w:rsidRPr="007D7545">
        <w:rPr>
          <w:rFonts w:eastAsia="Calibri"/>
          <w:sz w:val="22"/>
          <w:szCs w:val="22"/>
          <w:lang w:val="sr-Latn-ME"/>
        </w:rPr>
        <w:t xml:space="preserve"> </w:t>
      </w:r>
      <w:r w:rsidRPr="007D7545">
        <w:rPr>
          <w:rFonts w:eastAsia="Calibri"/>
          <w:sz w:val="22"/>
          <w:szCs w:val="22"/>
          <w:lang w:val="sr-Latn-ME"/>
        </w:rPr>
        <w:t xml:space="preserve">dejstvo ovog lijeka </w:t>
      </w:r>
      <w:r w:rsidR="004E70AD" w:rsidRPr="007D7545">
        <w:rPr>
          <w:rFonts w:eastAsia="Calibri"/>
          <w:sz w:val="22"/>
          <w:szCs w:val="22"/>
          <w:lang w:val="sr-Latn-ME"/>
        </w:rPr>
        <w:t>Institutu</w:t>
      </w:r>
      <w:r w:rsidRPr="007D7545">
        <w:rPr>
          <w:rFonts w:eastAsia="Calibri"/>
          <w:sz w:val="22"/>
          <w:szCs w:val="22"/>
          <w:lang w:val="sr-Latn-ME"/>
        </w:rPr>
        <w:t xml:space="preserve"> za ljekove i medicinska sredstva</w:t>
      </w:r>
      <w:r w:rsidR="004E70AD" w:rsidRPr="007D7545">
        <w:rPr>
          <w:rFonts w:eastAsia="Calibri"/>
          <w:sz w:val="22"/>
          <w:szCs w:val="22"/>
          <w:lang w:val="sr-Latn-ME"/>
        </w:rPr>
        <w:t xml:space="preserve"> </w:t>
      </w:r>
      <w:r w:rsidRPr="007D7545">
        <w:rPr>
          <w:rFonts w:eastAsia="Calibri"/>
          <w:sz w:val="22"/>
          <w:szCs w:val="22"/>
          <w:lang w:val="sr-Latn-ME"/>
        </w:rPr>
        <w:t>(</w:t>
      </w:r>
      <w:r w:rsidR="004E70AD" w:rsidRPr="007D7545">
        <w:rPr>
          <w:rFonts w:eastAsia="Calibri"/>
          <w:sz w:val="22"/>
          <w:szCs w:val="22"/>
          <w:lang w:val="sr-Latn-ME"/>
        </w:rPr>
        <w:t>CInMED</w:t>
      </w:r>
      <w:r w:rsidRPr="007D7545">
        <w:rPr>
          <w:rFonts w:eastAsia="Calibri"/>
          <w:sz w:val="22"/>
          <w:szCs w:val="22"/>
          <w:lang w:val="sr-Latn-ME"/>
        </w:rPr>
        <w:t>):</w:t>
      </w:r>
    </w:p>
    <w:p w14:paraId="04DC51E3" w14:textId="77777777" w:rsidR="005A23D2" w:rsidRPr="007D7545" w:rsidRDefault="004E70AD" w:rsidP="005D101E">
      <w:pPr>
        <w:pStyle w:val="NoSpacing"/>
        <w:jc w:val="both"/>
        <w:rPr>
          <w:rFonts w:eastAsia="Calibri"/>
          <w:sz w:val="22"/>
          <w:szCs w:val="22"/>
          <w:lang w:val="sr-Latn-ME"/>
        </w:rPr>
      </w:pPr>
      <w:r w:rsidRPr="007D7545">
        <w:rPr>
          <w:rFonts w:eastAsia="Calibri"/>
          <w:sz w:val="22"/>
          <w:szCs w:val="22"/>
          <w:lang w:val="sr-Latn-ME"/>
        </w:rPr>
        <w:t xml:space="preserve">Institut </w:t>
      </w:r>
      <w:r w:rsidR="005A23D2" w:rsidRPr="007D7545">
        <w:rPr>
          <w:rFonts w:eastAsia="Calibri"/>
          <w:sz w:val="22"/>
          <w:szCs w:val="22"/>
          <w:lang w:val="sr-Latn-ME"/>
        </w:rPr>
        <w:t xml:space="preserve">za ljekove i medicinska sredstva </w:t>
      </w:r>
    </w:p>
    <w:p w14:paraId="133E26BE" w14:textId="77777777" w:rsidR="005A23D2" w:rsidRPr="007D7545" w:rsidRDefault="005A23D2" w:rsidP="005D101E">
      <w:pPr>
        <w:pStyle w:val="NoSpacing"/>
        <w:jc w:val="both"/>
        <w:rPr>
          <w:rFonts w:eastAsia="Calibri"/>
          <w:sz w:val="22"/>
          <w:szCs w:val="22"/>
          <w:lang w:val="sr-Latn-ME"/>
        </w:rPr>
      </w:pPr>
      <w:r w:rsidRPr="007D7545">
        <w:rPr>
          <w:rFonts w:eastAsia="Calibri"/>
          <w:sz w:val="22"/>
          <w:szCs w:val="22"/>
          <w:lang w:val="sr-Latn-ME"/>
        </w:rPr>
        <w:t>Odjeljenje za farmakovigilancu</w:t>
      </w:r>
    </w:p>
    <w:p w14:paraId="5261001E" w14:textId="77777777" w:rsidR="00EA5765" w:rsidRPr="007D7545" w:rsidRDefault="005A23D2" w:rsidP="005D101E">
      <w:pPr>
        <w:pStyle w:val="NoSpacing"/>
        <w:jc w:val="both"/>
        <w:rPr>
          <w:rFonts w:eastAsia="Calibri"/>
          <w:sz w:val="22"/>
          <w:szCs w:val="22"/>
          <w:lang w:val="sr-Latn-ME"/>
        </w:rPr>
      </w:pPr>
      <w:r w:rsidRPr="007D7545">
        <w:rPr>
          <w:rFonts w:eastAsia="Calibri"/>
          <w:sz w:val="22"/>
          <w:szCs w:val="22"/>
          <w:lang w:val="sr-Latn-ME"/>
        </w:rPr>
        <w:t>Bulevar Ivana Crnojevića 64a, 81000 Podgorica</w:t>
      </w:r>
    </w:p>
    <w:p w14:paraId="6E4E6878" w14:textId="77777777" w:rsidR="00EA5765" w:rsidRPr="007D7545" w:rsidRDefault="00EA5765" w:rsidP="005D101E">
      <w:pPr>
        <w:pStyle w:val="NoSpacing"/>
        <w:rPr>
          <w:rFonts w:eastAsia="Calibri"/>
          <w:sz w:val="22"/>
          <w:szCs w:val="22"/>
          <w:lang w:val="sr-Latn-ME"/>
        </w:rPr>
      </w:pPr>
    </w:p>
    <w:p w14:paraId="510AC12C" w14:textId="77777777" w:rsidR="005A23D2" w:rsidRPr="007D7545" w:rsidRDefault="005A23D2" w:rsidP="005D101E">
      <w:pPr>
        <w:pStyle w:val="NoSpacing"/>
        <w:jc w:val="both"/>
        <w:rPr>
          <w:rFonts w:eastAsia="Calibri"/>
          <w:sz w:val="22"/>
          <w:szCs w:val="22"/>
          <w:lang w:val="sr-Latn-ME"/>
        </w:rPr>
      </w:pPr>
      <w:r w:rsidRPr="007D7545">
        <w:rPr>
          <w:rFonts w:eastAsia="Calibri"/>
          <w:sz w:val="22"/>
          <w:szCs w:val="22"/>
          <w:lang w:val="sr-Latn-ME"/>
        </w:rPr>
        <w:t>tel: +382 (0) 20 310 280</w:t>
      </w:r>
    </w:p>
    <w:p w14:paraId="24A19F4F" w14:textId="77777777" w:rsidR="00EA5765" w:rsidRPr="007D7545" w:rsidRDefault="005A23D2" w:rsidP="005D101E">
      <w:pPr>
        <w:pStyle w:val="NoSpacing"/>
        <w:tabs>
          <w:tab w:val="left" w:pos="6720"/>
        </w:tabs>
        <w:jc w:val="both"/>
        <w:rPr>
          <w:rFonts w:eastAsia="Calibri"/>
          <w:sz w:val="22"/>
          <w:szCs w:val="22"/>
          <w:lang w:val="sr-Latn-ME"/>
        </w:rPr>
      </w:pPr>
      <w:r w:rsidRPr="007D7545">
        <w:rPr>
          <w:rFonts w:eastAsia="Calibri"/>
          <w:sz w:val="22"/>
          <w:szCs w:val="22"/>
          <w:lang w:val="sr-Latn-ME"/>
        </w:rPr>
        <w:t>fax:</w:t>
      </w:r>
      <w:r w:rsidR="00EA5765" w:rsidRPr="007D7545">
        <w:rPr>
          <w:rFonts w:eastAsia="Calibri"/>
          <w:sz w:val="22"/>
          <w:szCs w:val="22"/>
          <w:lang w:val="sr-Latn-ME"/>
        </w:rPr>
        <w:t xml:space="preserve"> </w:t>
      </w:r>
      <w:r w:rsidRPr="007D7545">
        <w:rPr>
          <w:rFonts w:eastAsia="Calibri"/>
          <w:sz w:val="22"/>
          <w:szCs w:val="22"/>
          <w:lang w:val="sr-Latn-ME"/>
        </w:rPr>
        <w:t>+382 (0) 20 310 581</w:t>
      </w:r>
      <w:r w:rsidR="00FF3EDF" w:rsidRPr="007D7545">
        <w:rPr>
          <w:rFonts w:eastAsia="Calibri"/>
          <w:sz w:val="22"/>
          <w:szCs w:val="22"/>
          <w:lang w:val="sr-Latn-ME"/>
        </w:rPr>
        <w:tab/>
      </w:r>
    </w:p>
    <w:p w14:paraId="676969DF" w14:textId="77777777" w:rsidR="005A23D2" w:rsidRPr="007D7545" w:rsidRDefault="00FF6932" w:rsidP="005D101E">
      <w:pPr>
        <w:pStyle w:val="NoSpacing"/>
        <w:jc w:val="both"/>
        <w:rPr>
          <w:rFonts w:eastAsia="Calibri"/>
          <w:sz w:val="22"/>
          <w:szCs w:val="22"/>
          <w:lang w:val="sr-Latn-ME"/>
        </w:rPr>
      </w:pPr>
      <w:hyperlink r:id="rId11" w:history="1">
        <w:r w:rsidR="004E70AD" w:rsidRPr="007D7545">
          <w:rPr>
            <w:rStyle w:val="Hyperlink"/>
            <w:rFonts w:eastAsia="Calibri"/>
            <w:sz w:val="22"/>
            <w:szCs w:val="22"/>
            <w:lang w:val="sr-Latn-ME"/>
          </w:rPr>
          <w:t>www.cinmed.me</w:t>
        </w:r>
      </w:hyperlink>
    </w:p>
    <w:p w14:paraId="520F777D" w14:textId="77777777" w:rsidR="00EA5765" w:rsidRPr="007D7545" w:rsidRDefault="00FF6932" w:rsidP="005D101E">
      <w:pPr>
        <w:pStyle w:val="NoSpacing"/>
        <w:jc w:val="both"/>
        <w:rPr>
          <w:rFonts w:eastAsia="Calibri"/>
          <w:color w:val="0000FF"/>
          <w:sz w:val="22"/>
          <w:szCs w:val="22"/>
          <w:u w:val="single"/>
          <w:lang w:val="sr-Latn-ME"/>
        </w:rPr>
      </w:pPr>
      <w:hyperlink r:id="rId12" w:history="1">
        <w:r w:rsidR="004E70AD" w:rsidRPr="007D7545">
          <w:rPr>
            <w:rStyle w:val="Hyperlink"/>
            <w:rFonts w:eastAsia="Calibri"/>
            <w:sz w:val="22"/>
            <w:szCs w:val="22"/>
            <w:lang w:val="sr-Latn-ME"/>
          </w:rPr>
          <w:t>nezeljenadejstva@cinmed.me</w:t>
        </w:r>
      </w:hyperlink>
    </w:p>
    <w:p w14:paraId="3667CA55" w14:textId="77777777" w:rsidR="005A23D2" w:rsidRPr="007D7545" w:rsidRDefault="005A23D2" w:rsidP="005D101E">
      <w:pPr>
        <w:pStyle w:val="NoSpacing"/>
        <w:jc w:val="both"/>
        <w:rPr>
          <w:rFonts w:eastAsia="Calibri"/>
          <w:sz w:val="22"/>
          <w:szCs w:val="22"/>
          <w:lang w:val="sr-Latn-ME"/>
        </w:rPr>
      </w:pPr>
      <w:r w:rsidRPr="007D7545">
        <w:rPr>
          <w:rFonts w:eastAsia="Calibri"/>
          <w:sz w:val="22"/>
          <w:szCs w:val="22"/>
          <w:lang w:val="sr-Latn-ME"/>
        </w:rPr>
        <w:t>putem IS zdravstvene zaštite</w:t>
      </w:r>
    </w:p>
    <w:p w14:paraId="46C9E323" w14:textId="77777777" w:rsidR="007E31E9" w:rsidRPr="007D7545" w:rsidRDefault="007E31E9" w:rsidP="005D101E">
      <w:pPr>
        <w:pStyle w:val="NoSpacing"/>
        <w:jc w:val="both"/>
        <w:rPr>
          <w:rFonts w:eastAsia="Calibri"/>
          <w:sz w:val="22"/>
          <w:szCs w:val="22"/>
          <w:lang w:val="sr-Latn-ME"/>
        </w:rPr>
      </w:pPr>
      <w:r w:rsidRPr="007D7545">
        <w:rPr>
          <w:rFonts w:eastAsia="Calibri"/>
          <w:sz w:val="22"/>
          <w:szCs w:val="22"/>
          <w:lang w:val="sr-Latn-ME"/>
        </w:rPr>
        <w:t>QR kod za online prijavu</w:t>
      </w:r>
      <w:r w:rsidR="00D74CD2" w:rsidRPr="007D7545">
        <w:rPr>
          <w:rFonts w:eastAsia="Calibri"/>
          <w:sz w:val="22"/>
          <w:szCs w:val="22"/>
          <w:lang w:val="sr-Latn-ME"/>
        </w:rPr>
        <w:t xml:space="preserve"> sumnje na neželjeno dejstvo lijeka</w:t>
      </w:r>
      <w:r w:rsidRPr="007D7545">
        <w:rPr>
          <w:rFonts w:eastAsia="Calibri"/>
          <w:sz w:val="22"/>
          <w:szCs w:val="22"/>
          <w:lang w:val="sr-Latn-ME"/>
        </w:rPr>
        <w:t>:</w:t>
      </w:r>
    </w:p>
    <w:p w14:paraId="4A1BA1C3" w14:textId="77777777" w:rsidR="007E31E9" w:rsidRPr="007D7545" w:rsidRDefault="007E31E9" w:rsidP="005D101E">
      <w:pPr>
        <w:pStyle w:val="NoSpacing"/>
        <w:jc w:val="both"/>
        <w:rPr>
          <w:rFonts w:eastAsia="Calibri"/>
          <w:sz w:val="22"/>
          <w:szCs w:val="22"/>
          <w:lang w:val="sr-Latn-ME"/>
        </w:rPr>
      </w:pPr>
    </w:p>
    <w:p w14:paraId="21198CD5" w14:textId="77777777" w:rsidR="004F17E2" w:rsidRPr="007D7545" w:rsidRDefault="007E31E9" w:rsidP="005D101E">
      <w:pPr>
        <w:pStyle w:val="NoSpacing"/>
        <w:rPr>
          <w:rFonts w:eastAsia="Calibri"/>
          <w:sz w:val="22"/>
          <w:szCs w:val="22"/>
          <w:lang w:val="sr-Latn-ME"/>
        </w:rPr>
      </w:pPr>
      <w:r w:rsidRPr="00F5172B">
        <w:rPr>
          <w:noProof/>
        </w:rPr>
        <w:drawing>
          <wp:inline distT="0" distB="0" distL="0" distR="0" wp14:anchorId="5F27F9A5" wp14:editId="1BA12A33">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C3C9CCB" w14:textId="77777777" w:rsidR="00836B35" w:rsidRPr="007D7545" w:rsidRDefault="00836B35" w:rsidP="005D101E">
      <w:pPr>
        <w:tabs>
          <w:tab w:val="left" w:pos="540"/>
          <w:tab w:val="left" w:pos="569"/>
        </w:tabs>
        <w:rPr>
          <w:b/>
          <w:bCs/>
          <w:sz w:val="22"/>
          <w:szCs w:val="22"/>
          <w:lang w:val="sr-Latn-ME"/>
        </w:rPr>
      </w:pPr>
    </w:p>
    <w:p w14:paraId="6C581AA5" w14:textId="75A89228" w:rsidR="00CD6F02" w:rsidRPr="007D7545" w:rsidRDefault="0072020E" w:rsidP="005D101E">
      <w:pPr>
        <w:tabs>
          <w:tab w:val="left" w:pos="540"/>
          <w:tab w:val="left" w:pos="569"/>
        </w:tabs>
        <w:jc w:val="both"/>
        <w:rPr>
          <w:b/>
          <w:bCs/>
          <w:sz w:val="22"/>
          <w:szCs w:val="22"/>
          <w:lang w:val="sr-Latn-ME"/>
        </w:rPr>
      </w:pPr>
      <w:r w:rsidRPr="007D7545">
        <w:rPr>
          <w:b/>
          <w:bCs/>
          <w:sz w:val="22"/>
          <w:szCs w:val="22"/>
          <w:lang w:val="sr-Latn-ME"/>
        </w:rPr>
        <w:t xml:space="preserve">4.9. </w:t>
      </w:r>
      <w:r w:rsidR="00480FB1" w:rsidRPr="007D7545">
        <w:rPr>
          <w:b/>
          <w:bCs/>
          <w:sz w:val="22"/>
          <w:szCs w:val="22"/>
          <w:lang w:val="sr-Latn-ME"/>
        </w:rPr>
        <w:tab/>
      </w:r>
      <w:r w:rsidRPr="007D7545">
        <w:rPr>
          <w:b/>
          <w:bCs/>
          <w:sz w:val="22"/>
          <w:szCs w:val="22"/>
          <w:lang w:val="sr-Latn-ME"/>
        </w:rPr>
        <w:t>Predoziranje</w:t>
      </w:r>
      <w:r w:rsidR="002846DB" w:rsidRPr="007D7545">
        <w:rPr>
          <w:b/>
          <w:bCs/>
          <w:sz w:val="22"/>
          <w:szCs w:val="22"/>
          <w:lang w:val="sr-Latn-ME"/>
        </w:rPr>
        <w:t xml:space="preserve"> </w:t>
      </w:r>
    </w:p>
    <w:p w14:paraId="5EFC030A" w14:textId="77777777" w:rsidR="000A2EA9" w:rsidRPr="007D7545" w:rsidRDefault="000A2EA9" w:rsidP="005D101E">
      <w:pPr>
        <w:tabs>
          <w:tab w:val="left" w:pos="540"/>
          <w:tab w:val="left" w:pos="569"/>
        </w:tabs>
        <w:jc w:val="both"/>
        <w:rPr>
          <w:b/>
          <w:bCs/>
          <w:sz w:val="22"/>
          <w:szCs w:val="22"/>
          <w:lang w:val="sr-Latn-ME"/>
        </w:rPr>
      </w:pPr>
    </w:p>
    <w:p w14:paraId="71D3E210" w14:textId="56F759ED" w:rsidR="00FF1948" w:rsidRPr="007D7545" w:rsidRDefault="001E010E" w:rsidP="005D101E">
      <w:pPr>
        <w:ind w:hanging="10"/>
        <w:jc w:val="both"/>
        <w:rPr>
          <w:color w:val="000000"/>
          <w:sz w:val="22"/>
          <w:szCs w:val="22"/>
          <w:lang w:val="sr-Latn-ME"/>
        </w:rPr>
      </w:pPr>
      <w:r w:rsidRPr="007D7545">
        <w:rPr>
          <w:color w:val="000000"/>
          <w:sz w:val="22"/>
          <w:szCs w:val="22"/>
          <w:lang w:val="sr-Latn-ME"/>
        </w:rPr>
        <w:t xml:space="preserve">Prijavljeni su rijetki slučajevi predoziranja dozom do 1960 mg. U slučaju predoziranja, pacijent bi trebalo biti pažljivo posmatran zbog komplikacija krvarenja ili drugih neželjenih dejstava (vidi </w:t>
      </w:r>
      <w:r w:rsidR="00FF1948" w:rsidRPr="007D7545">
        <w:rPr>
          <w:color w:val="000000"/>
          <w:sz w:val="22"/>
          <w:szCs w:val="22"/>
          <w:lang w:val="sr-Latn-ME"/>
        </w:rPr>
        <w:t xml:space="preserve">dio </w:t>
      </w:r>
      <w:r w:rsidRPr="007D7545">
        <w:rPr>
          <w:color w:val="000000"/>
          <w:sz w:val="22"/>
          <w:szCs w:val="22"/>
          <w:lang w:val="sr-Latn-ME"/>
        </w:rPr>
        <w:t>"Postupak liječenja u slučaju krvarenja"). Usl</w:t>
      </w:r>
      <w:r w:rsidR="00FF1948" w:rsidRPr="007D7545">
        <w:rPr>
          <w:color w:val="000000"/>
          <w:sz w:val="22"/>
          <w:szCs w:val="22"/>
          <w:lang w:val="sr-Latn-ME"/>
        </w:rPr>
        <w:t>j</w:t>
      </w:r>
      <w:r w:rsidRPr="007D7545">
        <w:rPr>
          <w:color w:val="000000"/>
          <w:sz w:val="22"/>
          <w:szCs w:val="22"/>
          <w:lang w:val="sr-Latn-ME"/>
        </w:rPr>
        <w:t>ed ograničene resorpcije očekuje se efekat plafona (</w:t>
      </w:r>
      <w:r w:rsidRPr="007D7545">
        <w:rPr>
          <w:i/>
          <w:color w:val="000000"/>
          <w:sz w:val="22"/>
          <w:szCs w:val="22"/>
          <w:lang w:val="sr-Latn-ME"/>
        </w:rPr>
        <w:t>ceiling effect</w:t>
      </w:r>
      <w:r w:rsidRPr="007D7545">
        <w:rPr>
          <w:color w:val="000000"/>
          <w:sz w:val="22"/>
          <w:szCs w:val="22"/>
          <w:lang w:val="sr-Latn-ME"/>
        </w:rPr>
        <w:t>) bez daljeg povećanja pros</w:t>
      </w:r>
      <w:r w:rsidR="00FF1948" w:rsidRPr="007D7545">
        <w:rPr>
          <w:color w:val="000000"/>
          <w:sz w:val="22"/>
          <w:szCs w:val="22"/>
          <w:lang w:val="sr-Latn-ME"/>
        </w:rPr>
        <w:t>j</w:t>
      </w:r>
      <w:r w:rsidRPr="007D7545">
        <w:rPr>
          <w:color w:val="000000"/>
          <w:sz w:val="22"/>
          <w:szCs w:val="22"/>
          <w:lang w:val="sr-Latn-ME"/>
        </w:rPr>
        <w:t xml:space="preserve">ečne izloženosti u plazmi pri supraterapijskim dozama od 50 mg rivaroksabana ili višim. </w:t>
      </w:r>
    </w:p>
    <w:p w14:paraId="5A7FCA4B" w14:textId="77777777" w:rsidR="001E010E" w:rsidRPr="007D7545" w:rsidRDefault="001E010E" w:rsidP="005D101E">
      <w:pPr>
        <w:ind w:hanging="10"/>
        <w:jc w:val="both"/>
        <w:rPr>
          <w:sz w:val="22"/>
          <w:lang w:val="sr-Latn-ME"/>
        </w:rPr>
      </w:pPr>
      <w:r w:rsidRPr="007D7545">
        <w:rPr>
          <w:sz w:val="22"/>
          <w:lang w:val="sr-Latn-ME"/>
        </w:rPr>
        <w:t>Dostupan je specifičan antidot (andeksanet alfa) koji antagonizuje farmakodinamsko dejstvo rivaroksabana. (</w:t>
      </w:r>
      <w:r w:rsidRPr="007D7545">
        <w:rPr>
          <w:i/>
          <w:sz w:val="22"/>
          <w:lang w:val="sr-Latn-ME"/>
        </w:rPr>
        <w:t>Pogledati Sažetak karakteristika lijeka za andeksanet alfa</w:t>
      </w:r>
      <w:r w:rsidRPr="007D7545">
        <w:rPr>
          <w:sz w:val="22"/>
          <w:lang w:val="sr-Latn-ME"/>
        </w:rPr>
        <w:t>).</w:t>
      </w:r>
    </w:p>
    <w:p w14:paraId="23D185BC" w14:textId="7387675B" w:rsidR="001E010E" w:rsidRPr="007D7545" w:rsidRDefault="001E010E" w:rsidP="005D101E">
      <w:pPr>
        <w:jc w:val="both"/>
        <w:rPr>
          <w:color w:val="000000"/>
          <w:sz w:val="22"/>
          <w:szCs w:val="22"/>
          <w:lang w:val="sr-Latn-ME"/>
        </w:rPr>
      </w:pPr>
      <w:r w:rsidRPr="007D7545">
        <w:rPr>
          <w:color w:val="000000"/>
          <w:sz w:val="22"/>
          <w:szCs w:val="22"/>
          <w:lang w:val="sr-Latn-ME"/>
        </w:rPr>
        <w:t>Treba razmotriti mogućnost primjene aktivnog (medicinskog) uglja u cilju smanjenja resorpcije prekomerne doze rivaroksabana.</w:t>
      </w:r>
    </w:p>
    <w:p w14:paraId="2C950CB0" w14:textId="77777777" w:rsidR="00751CBE" w:rsidRPr="007D7545" w:rsidRDefault="00751CBE" w:rsidP="005D101E">
      <w:pPr>
        <w:jc w:val="both"/>
        <w:rPr>
          <w:color w:val="000000"/>
          <w:sz w:val="22"/>
          <w:szCs w:val="22"/>
          <w:lang w:val="sr-Latn-ME"/>
        </w:rPr>
      </w:pPr>
    </w:p>
    <w:p w14:paraId="38043A5D" w14:textId="77777777" w:rsidR="001E010E" w:rsidRPr="007D7545" w:rsidRDefault="001E010E" w:rsidP="005D101E">
      <w:pPr>
        <w:keepNext/>
        <w:keepLines/>
        <w:ind w:hanging="14"/>
        <w:jc w:val="both"/>
        <w:outlineLvl w:val="1"/>
        <w:rPr>
          <w:color w:val="000000"/>
          <w:sz w:val="22"/>
          <w:szCs w:val="22"/>
          <w:u w:val="single" w:color="000000"/>
          <w:lang w:val="sr-Latn-ME"/>
        </w:rPr>
      </w:pPr>
      <w:r w:rsidRPr="007D7545">
        <w:rPr>
          <w:color w:val="000000"/>
          <w:sz w:val="22"/>
          <w:szCs w:val="22"/>
          <w:u w:val="single" w:color="000000"/>
          <w:lang w:val="sr-Latn-ME"/>
        </w:rPr>
        <w:t>Postupak liječenja u slučaju krvarenja</w:t>
      </w:r>
    </w:p>
    <w:p w14:paraId="0BBC3466" w14:textId="5272A69F" w:rsidR="00751CBE" w:rsidRPr="007D7545" w:rsidRDefault="001E010E" w:rsidP="005D101E">
      <w:pPr>
        <w:ind w:hanging="14"/>
        <w:jc w:val="both"/>
        <w:rPr>
          <w:color w:val="000000"/>
          <w:sz w:val="22"/>
          <w:szCs w:val="22"/>
          <w:lang w:val="sr-Latn-ME"/>
        </w:rPr>
      </w:pPr>
      <w:r w:rsidRPr="007D7545">
        <w:rPr>
          <w:color w:val="000000"/>
          <w:sz w:val="22"/>
          <w:szCs w:val="22"/>
          <w:lang w:val="sr-Latn-ME"/>
        </w:rPr>
        <w:t>Ukoliko se kod pacijenta koji prima rivaroksaban pojavi komplikacija krvarenja, sl</w:t>
      </w:r>
      <w:r w:rsidR="00751CBE" w:rsidRPr="007D7545">
        <w:rPr>
          <w:color w:val="000000"/>
          <w:sz w:val="22"/>
          <w:szCs w:val="22"/>
          <w:lang w:val="sr-Latn-ME"/>
        </w:rPr>
        <w:t>j</w:t>
      </w:r>
      <w:r w:rsidRPr="007D7545">
        <w:rPr>
          <w:color w:val="000000"/>
          <w:sz w:val="22"/>
          <w:szCs w:val="22"/>
          <w:lang w:val="sr-Latn-ME"/>
        </w:rPr>
        <w:t>edeću primjenu rivaroksabana treba odložiti ili terapiju treba prekinuti, na odgovarajući način. Rivaroksaban ima poluvr</w:t>
      </w:r>
      <w:r w:rsidR="00751CBE" w:rsidRPr="007D7545">
        <w:rPr>
          <w:color w:val="000000"/>
          <w:sz w:val="22"/>
          <w:szCs w:val="22"/>
          <w:lang w:val="sr-Latn-ME"/>
        </w:rPr>
        <w:t>ij</w:t>
      </w:r>
      <w:r w:rsidRPr="007D7545">
        <w:rPr>
          <w:color w:val="000000"/>
          <w:sz w:val="22"/>
          <w:szCs w:val="22"/>
          <w:lang w:val="sr-Latn-ME"/>
        </w:rPr>
        <w:t>eme eliminacije od približno 5 do 13 sati (</w:t>
      </w:r>
      <w:r w:rsidR="00955E5C" w:rsidRPr="007D7545">
        <w:rPr>
          <w:color w:val="000000"/>
          <w:sz w:val="22"/>
          <w:szCs w:val="22"/>
          <w:lang w:val="sr-Latn-ME"/>
        </w:rPr>
        <w:t>pogledati dio</w:t>
      </w:r>
      <w:r w:rsidRPr="007D7545">
        <w:rPr>
          <w:color w:val="000000"/>
          <w:sz w:val="22"/>
          <w:szCs w:val="22"/>
          <w:lang w:val="sr-Latn-ME"/>
        </w:rPr>
        <w:t xml:space="preserve"> 5.2). Postupak treba prilagoditi svakom pacijentu individualno u skladu sa težinom i m</w:t>
      </w:r>
      <w:r w:rsidR="00751CBE" w:rsidRPr="007D7545">
        <w:rPr>
          <w:color w:val="000000"/>
          <w:sz w:val="22"/>
          <w:szCs w:val="22"/>
          <w:lang w:val="sr-Latn-ME"/>
        </w:rPr>
        <w:t>j</w:t>
      </w:r>
      <w:r w:rsidRPr="007D7545">
        <w:rPr>
          <w:color w:val="000000"/>
          <w:sz w:val="22"/>
          <w:szCs w:val="22"/>
          <w:lang w:val="sr-Latn-ME"/>
        </w:rPr>
        <w:t>estom krvarenja. Po potrebi treba koristiti odgovarajuću simptomatsku terapiju, npr. mehaničku kompresiju (npr. kod teške epistakse), hiruršku hemostazu sa procedurama kontrole krvarenja, nadoknadu tečnosti i hemodinamsku suportivnu terapiju, primjenu derivata krvi (pakovani eritrociti ili sv</w:t>
      </w:r>
      <w:r w:rsidR="00751CBE" w:rsidRPr="007D7545">
        <w:rPr>
          <w:color w:val="000000"/>
          <w:sz w:val="22"/>
          <w:szCs w:val="22"/>
          <w:lang w:val="sr-Latn-ME"/>
        </w:rPr>
        <w:t>j</w:t>
      </w:r>
      <w:r w:rsidRPr="007D7545">
        <w:rPr>
          <w:color w:val="000000"/>
          <w:sz w:val="22"/>
          <w:szCs w:val="22"/>
          <w:lang w:val="sr-Latn-ME"/>
        </w:rPr>
        <w:t>eže zamrznuta plazma, u zavisnosti od pridružene anemije ili koagulopatije) ili trombocita.</w:t>
      </w:r>
    </w:p>
    <w:p w14:paraId="153FDD0D" w14:textId="07E588C2" w:rsidR="001E010E" w:rsidRPr="007D7545" w:rsidRDefault="001E010E" w:rsidP="005D101E">
      <w:pPr>
        <w:ind w:hanging="14"/>
        <w:jc w:val="both"/>
        <w:rPr>
          <w:color w:val="000000"/>
          <w:sz w:val="22"/>
          <w:szCs w:val="22"/>
          <w:lang w:val="sr-Latn-ME"/>
        </w:rPr>
      </w:pPr>
      <w:r w:rsidRPr="007D7545">
        <w:rPr>
          <w:color w:val="000000"/>
          <w:sz w:val="22"/>
          <w:szCs w:val="22"/>
          <w:lang w:val="sr-Latn-ME"/>
        </w:rPr>
        <w:t xml:space="preserve"> </w:t>
      </w:r>
    </w:p>
    <w:p w14:paraId="4E0FF857" w14:textId="6A41B2EF"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Ako se krvarenje ne može kontrolisati gore pomenutim </w:t>
      </w:r>
      <w:r w:rsidR="008A3D3C" w:rsidRPr="007D7545">
        <w:rPr>
          <w:color w:val="000000"/>
          <w:sz w:val="22"/>
          <w:szCs w:val="22"/>
          <w:lang w:val="sr-Latn-ME"/>
        </w:rPr>
        <w:t>mjerama</w:t>
      </w:r>
      <w:r w:rsidRPr="007D7545">
        <w:rPr>
          <w:color w:val="000000"/>
          <w:sz w:val="22"/>
          <w:szCs w:val="22"/>
          <w:lang w:val="sr-Latn-ME"/>
        </w:rPr>
        <w:t xml:space="preserve">, treba razmotriti primjenu specifičnog agensa za reverziju inhibitora faktora Xa (andeksanet alfa), koji antagonizuje </w:t>
      </w:r>
      <w:r w:rsidRPr="007D7545">
        <w:rPr>
          <w:rFonts w:eastAsia="Calibri"/>
          <w:color w:val="000000"/>
          <w:sz w:val="22"/>
          <w:szCs w:val="22"/>
          <w:lang w:val="sr-Latn-ME"/>
        </w:rPr>
        <w:t>farmakodinamske efekte rivaroksabana</w:t>
      </w:r>
      <w:r w:rsidRPr="007D7545">
        <w:rPr>
          <w:color w:val="000000"/>
          <w:sz w:val="22"/>
          <w:szCs w:val="22"/>
          <w:lang w:val="sr-Latn-ME"/>
        </w:rPr>
        <w:t xml:space="preserve"> ili specifičnog reverznog prokoagulantnog sredstva, poput koncentrata protrombinskog kompleksa (engl. </w:t>
      </w:r>
      <w:r w:rsidRPr="007D7545">
        <w:rPr>
          <w:i/>
          <w:color w:val="000000"/>
          <w:sz w:val="22"/>
          <w:szCs w:val="22"/>
          <w:lang w:val="sr-Latn-ME"/>
        </w:rPr>
        <w:t>prothrombin complex concentrate</w:t>
      </w:r>
      <w:r w:rsidRPr="007D7545">
        <w:rPr>
          <w:color w:val="000000"/>
          <w:sz w:val="22"/>
          <w:szCs w:val="22"/>
          <w:lang w:val="sr-Latn-ME"/>
        </w:rPr>
        <w:t xml:space="preserve">, PCC), koncentrata aktiviranog protrombinskog kompleksa (engl. </w:t>
      </w:r>
      <w:r w:rsidRPr="007D7545">
        <w:rPr>
          <w:i/>
          <w:color w:val="000000"/>
          <w:sz w:val="22"/>
          <w:szCs w:val="22"/>
          <w:lang w:val="sr-Latn-ME"/>
        </w:rPr>
        <w:t>activated prothrombin complex concentrate</w:t>
      </w:r>
      <w:r w:rsidRPr="007D7545">
        <w:rPr>
          <w:color w:val="000000"/>
          <w:sz w:val="22"/>
          <w:szCs w:val="22"/>
          <w:lang w:val="sr-Latn-ME"/>
        </w:rPr>
        <w:t xml:space="preserve">, APCC) ili rekombinantnog faktora VIIa (r-FVIIa). </w:t>
      </w:r>
      <w:r w:rsidRPr="007D7545">
        <w:rPr>
          <w:sz w:val="22"/>
          <w:lang w:val="sr-Latn-ME"/>
        </w:rPr>
        <w:t xml:space="preserve">Međutim, trenutno postoji veoma ograničeno kliničko iskustvo sa upotrebom ovih supstanci </w:t>
      </w:r>
      <w:r w:rsidRPr="007D7545">
        <w:rPr>
          <w:sz w:val="22"/>
          <w:lang w:val="sr-Latn-ME"/>
        </w:rPr>
        <w:lastRenderedPageBreak/>
        <w:t>kod pacijenata koji uzimaju rivaroksaban.</w:t>
      </w:r>
      <w:r w:rsidRPr="007D7545">
        <w:rPr>
          <w:color w:val="000000"/>
          <w:sz w:val="22"/>
          <w:szCs w:val="22"/>
          <w:lang w:val="sr-Latn-ME"/>
        </w:rPr>
        <w:t xml:space="preserve"> Preporuka se takođe zasniva na ograničenim </w:t>
      </w:r>
      <w:r w:rsidR="00751CBE" w:rsidRPr="007D7545">
        <w:rPr>
          <w:color w:val="000000"/>
          <w:sz w:val="22"/>
          <w:szCs w:val="22"/>
          <w:lang w:val="sr-Latn-ME"/>
        </w:rPr>
        <w:t>pret</w:t>
      </w:r>
      <w:r w:rsidRPr="007D7545">
        <w:rPr>
          <w:color w:val="000000"/>
          <w:sz w:val="22"/>
          <w:szCs w:val="22"/>
          <w:lang w:val="sr-Latn-ME"/>
        </w:rPr>
        <w:t>kliničkim podacima. Ponovno doziranje rekombinantnog faktora VIIa se mora razmotriti i titrirati u zavisnosti od poboljšanja stanja krvarenja. U zavisnosti od lokalne dostupnosti, u slučaju većih krvarenja potrebno je razmotriti sav</w:t>
      </w:r>
      <w:r w:rsidR="00751CBE" w:rsidRPr="007D7545">
        <w:rPr>
          <w:color w:val="000000"/>
          <w:sz w:val="22"/>
          <w:szCs w:val="22"/>
          <w:lang w:val="sr-Latn-ME"/>
        </w:rPr>
        <w:t>j</w:t>
      </w:r>
      <w:r w:rsidRPr="007D7545">
        <w:rPr>
          <w:color w:val="000000"/>
          <w:sz w:val="22"/>
          <w:szCs w:val="22"/>
          <w:lang w:val="sr-Latn-ME"/>
        </w:rPr>
        <w:t>etovanje sa hematologom (</w:t>
      </w:r>
      <w:r w:rsidR="00955E5C" w:rsidRPr="007D7545">
        <w:rPr>
          <w:color w:val="000000"/>
          <w:sz w:val="22"/>
          <w:szCs w:val="22"/>
          <w:lang w:val="sr-Latn-ME"/>
        </w:rPr>
        <w:t>pogledati dio</w:t>
      </w:r>
      <w:r w:rsidRPr="007D7545">
        <w:rPr>
          <w:color w:val="000000"/>
          <w:sz w:val="22"/>
          <w:szCs w:val="22"/>
          <w:lang w:val="sr-Latn-ME"/>
        </w:rPr>
        <w:t xml:space="preserve"> 5.1).</w:t>
      </w:r>
    </w:p>
    <w:p w14:paraId="0AFEFDE4" w14:textId="77777777" w:rsidR="00751CBE" w:rsidRPr="007D7545" w:rsidRDefault="00751CBE" w:rsidP="005D101E">
      <w:pPr>
        <w:ind w:hanging="10"/>
        <w:jc w:val="both"/>
        <w:rPr>
          <w:color w:val="000000"/>
          <w:sz w:val="22"/>
          <w:szCs w:val="22"/>
          <w:lang w:val="sr-Latn-ME"/>
        </w:rPr>
      </w:pPr>
    </w:p>
    <w:p w14:paraId="0FE485AE" w14:textId="071BA9F0" w:rsidR="00227BDB" w:rsidRPr="007D7545" w:rsidRDefault="001E010E" w:rsidP="005D101E">
      <w:pPr>
        <w:ind w:hanging="10"/>
        <w:jc w:val="both"/>
        <w:rPr>
          <w:color w:val="000000"/>
          <w:sz w:val="22"/>
          <w:szCs w:val="22"/>
          <w:lang w:val="sr-Latn-ME"/>
        </w:rPr>
      </w:pPr>
      <w:r w:rsidRPr="007D7545">
        <w:rPr>
          <w:color w:val="000000"/>
          <w:sz w:val="22"/>
          <w:szCs w:val="22"/>
          <w:lang w:val="sr-Latn-ME"/>
        </w:rPr>
        <w:t>Ne očekuje se da protaminsulfat i vitamin K utiču na antikoagulantnu aktivnost rivaroksabana. Postoji ograničeno iskustvo sa traneksamičnom kiselinom, dok sa aminokaproinskom kiselinom i aprotininom nema iskustava kod pacijenata koji primaju rivaroksaban. Nema ni naučnog osnova za korist, niti iskustava sa primjenom sistemskih hemostatika (poput dezmopresina) kod pacijenata koji primaju rivaroksaban. Zbog visokog stepena vezivanja za proteine plazme, ne očekuje se da bi se rivaroksaban mogao iz organizma uklanjati dijalizom.</w:t>
      </w:r>
    </w:p>
    <w:p w14:paraId="4B530240" w14:textId="219EBE77" w:rsidR="00622C7A" w:rsidRPr="007D7545" w:rsidRDefault="00622C7A" w:rsidP="005D101E">
      <w:pPr>
        <w:ind w:hanging="10"/>
        <w:jc w:val="both"/>
        <w:rPr>
          <w:color w:val="000000"/>
          <w:sz w:val="22"/>
          <w:szCs w:val="22"/>
          <w:lang w:val="sr-Latn-ME"/>
        </w:rPr>
      </w:pPr>
    </w:p>
    <w:p w14:paraId="61FD9C7E" w14:textId="77777777" w:rsidR="00622C7A" w:rsidRPr="007D7545" w:rsidRDefault="00622C7A" w:rsidP="005D101E">
      <w:pPr>
        <w:ind w:hanging="10"/>
        <w:jc w:val="both"/>
        <w:rPr>
          <w:color w:val="000000"/>
          <w:sz w:val="22"/>
          <w:szCs w:val="22"/>
          <w:lang w:val="sr-Latn-ME"/>
        </w:rPr>
      </w:pPr>
    </w:p>
    <w:p w14:paraId="4CE91C68" w14:textId="7C761653" w:rsidR="0072020E" w:rsidRPr="007D7545" w:rsidRDefault="0072020E" w:rsidP="005D101E">
      <w:pPr>
        <w:tabs>
          <w:tab w:val="left" w:pos="540"/>
          <w:tab w:val="left" w:pos="569"/>
        </w:tabs>
        <w:jc w:val="both"/>
        <w:rPr>
          <w:b/>
          <w:bCs/>
          <w:sz w:val="22"/>
          <w:szCs w:val="22"/>
          <w:lang w:val="sr-Latn-ME"/>
        </w:rPr>
      </w:pPr>
      <w:r w:rsidRPr="007D7545">
        <w:rPr>
          <w:b/>
          <w:bCs/>
          <w:sz w:val="22"/>
          <w:szCs w:val="22"/>
          <w:lang w:val="sr-Latn-ME"/>
        </w:rPr>
        <w:t xml:space="preserve">5. </w:t>
      </w:r>
      <w:r w:rsidR="00480FB1" w:rsidRPr="007D7545">
        <w:rPr>
          <w:b/>
          <w:bCs/>
          <w:sz w:val="22"/>
          <w:szCs w:val="22"/>
          <w:lang w:val="sr-Latn-ME"/>
        </w:rPr>
        <w:tab/>
      </w:r>
      <w:r w:rsidRPr="007D7545">
        <w:rPr>
          <w:b/>
          <w:bCs/>
          <w:sz w:val="22"/>
          <w:szCs w:val="22"/>
          <w:lang w:val="sr-Latn-ME"/>
        </w:rPr>
        <w:t>FARMAKOLOŠK</w:t>
      </w:r>
      <w:r w:rsidR="000D425A" w:rsidRPr="007D7545">
        <w:rPr>
          <w:b/>
          <w:bCs/>
          <w:sz w:val="22"/>
          <w:szCs w:val="22"/>
          <w:lang w:val="sr-Latn-ME"/>
        </w:rPr>
        <w:t>I</w:t>
      </w:r>
      <w:r w:rsidRPr="007D7545">
        <w:rPr>
          <w:b/>
          <w:bCs/>
          <w:sz w:val="22"/>
          <w:szCs w:val="22"/>
          <w:lang w:val="sr-Latn-ME"/>
        </w:rPr>
        <w:t xml:space="preserve"> PODACI</w:t>
      </w:r>
    </w:p>
    <w:p w14:paraId="25F3A477" w14:textId="77777777" w:rsidR="0072020E" w:rsidRPr="007D7545" w:rsidRDefault="0072020E" w:rsidP="005D101E">
      <w:pPr>
        <w:tabs>
          <w:tab w:val="left" w:pos="540"/>
          <w:tab w:val="left" w:pos="569"/>
        </w:tabs>
        <w:jc w:val="both"/>
        <w:rPr>
          <w:b/>
          <w:bCs/>
          <w:sz w:val="22"/>
          <w:szCs w:val="22"/>
          <w:lang w:val="sr-Latn-ME"/>
        </w:rPr>
      </w:pPr>
    </w:p>
    <w:p w14:paraId="0EF9252D" w14:textId="77777777" w:rsidR="0072020E" w:rsidRPr="007D7545" w:rsidRDefault="0072020E" w:rsidP="005D101E">
      <w:pPr>
        <w:tabs>
          <w:tab w:val="left" w:pos="540"/>
          <w:tab w:val="left" w:pos="569"/>
        </w:tabs>
        <w:jc w:val="both"/>
        <w:rPr>
          <w:b/>
          <w:bCs/>
          <w:sz w:val="22"/>
          <w:szCs w:val="22"/>
          <w:lang w:val="sr-Latn-ME"/>
        </w:rPr>
      </w:pPr>
      <w:r w:rsidRPr="007D7545">
        <w:rPr>
          <w:b/>
          <w:bCs/>
          <w:sz w:val="22"/>
          <w:szCs w:val="22"/>
          <w:lang w:val="sr-Latn-ME"/>
        </w:rPr>
        <w:t xml:space="preserve">5.1. </w:t>
      </w:r>
      <w:r w:rsidR="00480FB1" w:rsidRPr="007D7545">
        <w:rPr>
          <w:b/>
          <w:bCs/>
          <w:sz w:val="22"/>
          <w:szCs w:val="22"/>
          <w:lang w:val="sr-Latn-ME"/>
        </w:rPr>
        <w:tab/>
      </w:r>
      <w:r w:rsidRPr="007D7545">
        <w:rPr>
          <w:b/>
          <w:bCs/>
          <w:sz w:val="22"/>
          <w:szCs w:val="22"/>
          <w:lang w:val="sr-Latn-ME"/>
        </w:rPr>
        <w:t>Farmakodinamski podaci</w:t>
      </w:r>
      <w:r w:rsidR="003A7059" w:rsidRPr="007D7545">
        <w:rPr>
          <w:b/>
          <w:bCs/>
          <w:sz w:val="22"/>
          <w:szCs w:val="22"/>
          <w:lang w:val="sr-Latn-ME"/>
        </w:rPr>
        <w:t xml:space="preserve"> </w:t>
      </w:r>
    </w:p>
    <w:p w14:paraId="0713EED1" w14:textId="77777777" w:rsidR="00F45F77" w:rsidRPr="007D7545" w:rsidRDefault="00F45F77" w:rsidP="005D101E">
      <w:pPr>
        <w:tabs>
          <w:tab w:val="left" w:pos="540"/>
          <w:tab w:val="left" w:pos="569"/>
        </w:tabs>
        <w:jc w:val="both"/>
        <w:rPr>
          <w:b/>
          <w:bCs/>
          <w:sz w:val="22"/>
          <w:szCs w:val="22"/>
          <w:lang w:val="sr-Latn-ME"/>
        </w:rPr>
      </w:pPr>
    </w:p>
    <w:p w14:paraId="59569A0C" w14:textId="3FD70991" w:rsidR="0072020E" w:rsidRPr="007D7545" w:rsidRDefault="0072020E" w:rsidP="005D101E">
      <w:pPr>
        <w:jc w:val="both"/>
        <w:rPr>
          <w:color w:val="000000"/>
          <w:sz w:val="22"/>
          <w:szCs w:val="22"/>
          <w:lang w:val="sr-Latn-ME"/>
        </w:rPr>
      </w:pPr>
      <w:r w:rsidRPr="007D7545">
        <w:rPr>
          <w:bCs/>
          <w:sz w:val="22"/>
          <w:szCs w:val="22"/>
          <w:lang w:val="sr-Latn-ME"/>
        </w:rPr>
        <w:t>Farmakoterapijska grupa:</w:t>
      </w:r>
      <w:r w:rsidR="001E010E" w:rsidRPr="007D7545">
        <w:rPr>
          <w:color w:val="000000"/>
          <w:sz w:val="22"/>
          <w:szCs w:val="22"/>
          <w:lang w:val="sr-Latn-ME"/>
        </w:rPr>
        <w:t xml:space="preserve"> Antitrombotička sredstva (antikoagulansi); direktni inhibitori faktora Xa</w:t>
      </w:r>
    </w:p>
    <w:p w14:paraId="3796D911" w14:textId="77777777" w:rsidR="00751CBE" w:rsidRPr="007D7545" w:rsidRDefault="00751CBE" w:rsidP="005D101E">
      <w:pPr>
        <w:jc w:val="both"/>
        <w:rPr>
          <w:color w:val="000000"/>
          <w:sz w:val="22"/>
          <w:szCs w:val="22"/>
          <w:lang w:val="sr-Latn-ME"/>
        </w:rPr>
      </w:pPr>
    </w:p>
    <w:p w14:paraId="1D4B5093" w14:textId="2B70A8E7" w:rsidR="001E010E" w:rsidRPr="007D7545" w:rsidRDefault="001E010E" w:rsidP="005D101E">
      <w:pPr>
        <w:pStyle w:val="Heading1"/>
        <w:spacing w:before="0"/>
        <w:ind w:hanging="14"/>
        <w:jc w:val="both"/>
        <w:rPr>
          <w:rFonts w:ascii="Times New Roman" w:eastAsia="Times New Roman" w:hAnsi="Times New Roman" w:cs="Times New Roman"/>
          <w:color w:val="000000"/>
          <w:sz w:val="22"/>
          <w:szCs w:val="22"/>
          <w:lang w:val="sr-Latn-ME"/>
        </w:rPr>
      </w:pPr>
      <w:r w:rsidRPr="007D7545">
        <w:rPr>
          <w:rFonts w:ascii="Times New Roman" w:eastAsia="Times New Roman" w:hAnsi="Times New Roman" w:cs="Times New Roman"/>
          <w:color w:val="000000"/>
          <w:sz w:val="22"/>
          <w:szCs w:val="22"/>
          <w:lang w:val="sr-Latn-ME"/>
        </w:rPr>
        <w:t>ATC kod: B01AF01</w:t>
      </w:r>
    </w:p>
    <w:p w14:paraId="1C0C659C" w14:textId="77777777" w:rsidR="00751CBE" w:rsidRPr="007D7545" w:rsidRDefault="00751CBE" w:rsidP="005D101E">
      <w:pPr>
        <w:rPr>
          <w:lang w:val="sr-Latn-ME"/>
        </w:rPr>
      </w:pPr>
    </w:p>
    <w:p w14:paraId="6A66E764" w14:textId="77777777" w:rsidR="001E010E" w:rsidRPr="007D7545" w:rsidRDefault="001E010E" w:rsidP="005D101E">
      <w:pPr>
        <w:keepNext/>
        <w:keepLines/>
        <w:jc w:val="both"/>
        <w:outlineLvl w:val="1"/>
        <w:rPr>
          <w:color w:val="000000"/>
          <w:sz w:val="22"/>
          <w:szCs w:val="22"/>
          <w:u w:val="single" w:color="000000"/>
          <w:lang w:val="sr-Latn-ME"/>
        </w:rPr>
      </w:pPr>
      <w:r w:rsidRPr="007D7545">
        <w:rPr>
          <w:i/>
          <w:color w:val="000000"/>
          <w:sz w:val="22"/>
          <w:szCs w:val="22"/>
          <w:u w:val="single" w:color="000000"/>
          <w:lang w:val="sr-Latn-ME"/>
        </w:rPr>
        <w:t>Mehanizam dejstva</w:t>
      </w:r>
    </w:p>
    <w:p w14:paraId="08C7EA62" w14:textId="514B8463" w:rsidR="001E010E" w:rsidRPr="007D7545" w:rsidRDefault="001E010E" w:rsidP="005D101E">
      <w:pPr>
        <w:ind w:hanging="10"/>
        <w:jc w:val="both"/>
        <w:rPr>
          <w:color w:val="000000"/>
          <w:sz w:val="22"/>
          <w:szCs w:val="22"/>
          <w:lang w:val="sr-Latn-ME"/>
        </w:rPr>
      </w:pPr>
      <w:r w:rsidRPr="007D7545">
        <w:rPr>
          <w:color w:val="000000"/>
          <w:sz w:val="22"/>
          <w:szCs w:val="22"/>
          <w:lang w:val="sr-Latn-ME"/>
        </w:rPr>
        <w:t>Rivaroksaban je izrazito selektivan direktni inhibitor faktora Xa sa bioraspoloživošću nakon oralne primjene. Inhibicija faktora Xa prekida intrinzički (unutrašnji) i ekstrinzički (spoljašnji) put kaskade aktivacije koagulacije krvi, inhibirajući i stvaranje trombina i formiranje tromba. Rivaroksaban ne inhibira trombin (aktivirani faktor II) i ni</w:t>
      </w:r>
      <w:r w:rsidR="00751CBE" w:rsidRPr="007D7545">
        <w:rPr>
          <w:color w:val="000000"/>
          <w:sz w:val="22"/>
          <w:szCs w:val="22"/>
          <w:lang w:val="sr-Latn-ME"/>
        </w:rPr>
        <w:t>je</w:t>
      </w:r>
      <w:r w:rsidRPr="007D7545">
        <w:rPr>
          <w:color w:val="000000"/>
          <w:sz w:val="22"/>
          <w:szCs w:val="22"/>
          <w:lang w:val="sr-Latn-ME"/>
        </w:rPr>
        <w:t>su pokazani efekti na trombocite.</w:t>
      </w:r>
    </w:p>
    <w:p w14:paraId="4517EDC0" w14:textId="77777777" w:rsidR="00751CBE" w:rsidRPr="007D7545" w:rsidRDefault="00751CBE" w:rsidP="005D101E">
      <w:pPr>
        <w:ind w:hanging="10"/>
        <w:jc w:val="both"/>
        <w:rPr>
          <w:color w:val="000000"/>
          <w:sz w:val="22"/>
          <w:szCs w:val="22"/>
          <w:lang w:val="sr-Latn-ME"/>
        </w:rPr>
      </w:pPr>
    </w:p>
    <w:p w14:paraId="78775929" w14:textId="77777777" w:rsidR="001E010E" w:rsidRPr="007D7545" w:rsidRDefault="001E010E" w:rsidP="005D101E">
      <w:pPr>
        <w:keepNext/>
        <w:keepLines/>
        <w:ind w:hanging="10"/>
        <w:jc w:val="both"/>
        <w:outlineLvl w:val="1"/>
        <w:rPr>
          <w:color w:val="000000"/>
          <w:sz w:val="22"/>
          <w:szCs w:val="22"/>
          <w:u w:val="single" w:color="000000"/>
          <w:lang w:val="sr-Latn-ME"/>
        </w:rPr>
      </w:pPr>
      <w:r w:rsidRPr="007D7545">
        <w:rPr>
          <w:i/>
          <w:color w:val="000000"/>
          <w:sz w:val="22"/>
          <w:szCs w:val="22"/>
          <w:u w:val="single" w:color="000000"/>
          <w:lang w:val="sr-Latn-ME"/>
        </w:rPr>
        <w:t>Farmakodinamski efekti</w:t>
      </w:r>
    </w:p>
    <w:p w14:paraId="15A47681" w14:textId="2767FCD1" w:rsidR="001E010E" w:rsidRPr="007D7545" w:rsidRDefault="001E010E" w:rsidP="005D101E">
      <w:pPr>
        <w:ind w:hanging="10"/>
        <w:jc w:val="both"/>
        <w:rPr>
          <w:color w:val="000000"/>
          <w:sz w:val="22"/>
          <w:szCs w:val="22"/>
          <w:lang w:val="sr-Latn-ME"/>
        </w:rPr>
      </w:pPr>
      <w:r w:rsidRPr="007D7545">
        <w:rPr>
          <w:color w:val="000000"/>
          <w:sz w:val="22"/>
          <w:szCs w:val="22"/>
          <w:lang w:val="sr-Latn-ME"/>
        </w:rPr>
        <w:t>Kod ljudi je primjećena dozno-zavisna inhibicija aktivnosti faktora Xa. Rivaroksaban dozno-zavisno utiče na protrombinsko vr</w:t>
      </w:r>
      <w:r w:rsidR="00751CBE" w:rsidRPr="007D7545">
        <w:rPr>
          <w:color w:val="000000"/>
          <w:sz w:val="22"/>
          <w:szCs w:val="22"/>
          <w:lang w:val="sr-Latn-ME"/>
        </w:rPr>
        <w:t>ij</w:t>
      </w:r>
      <w:r w:rsidRPr="007D7545">
        <w:rPr>
          <w:color w:val="000000"/>
          <w:sz w:val="22"/>
          <w:szCs w:val="22"/>
          <w:lang w:val="sr-Latn-ME"/>
        </w:rPr>
        <w:t xml:space="preserve">eme (engl. </w:t>
      </w:r>
      <w:r w:rsidRPr="007D7545">
        <w:rPr>
          <w:i/>
          <w:color w:val="000000"/>
          <w:sz w:val="22"/>
          <w:szCs w:val="22"/>
          <w:lang w:val="sr-Latn-ME"/>
        </w:rPr>
        <w:t>Prothrombin Time</w:t>
      </w:r>
      <w:r w:rsidRPr="007D7545">
        <w:rPr>
          <w:color w:val="000000"/>
          <w:sz w:val="22"/>
          <w:szCs w:val="22"/>
          <w:lang w:val="sr-Latn-ME"/>
        </w:rPr>
        <w:t xml:space="preserve">, PT), što značajno korelira sa koncentracijama u plazmi (r vrijednost iznosi 0,98) ukoliko se za test koristi Neoplastin. Drugi reagensi mogu dati drugačije rezultate. PT treba očitavati u sekundama, pošto je INR (engl. </w:t>
      </w:r>
      <w:r w:rsidRPr="007D7545">
        <w:rPr>
          <w:i/>
          <w:color w:val="000000"/>
          <w:sz w:val="22"/>
          <w:szCs w:val="22"/>
          <w:lang w:val="sr-Latn-ME"/>
        </w:rPr>
        <w:t>International Normalized Ratio</w:t>
      </w:r>
      <w:r w:rsidRPr="007D7545">
        <w:rPr>
          <w:color w:val="000000"/>
          <w:sz w:val="22"/>
          <w:szCs w:val="22"/>
          <w:lang w:val="sr-Latn-ME"/>
        </w:rPr>
        <w:t>) kalibrisan i validiran za kumarine i ne može se koristiti za druge antikoagulanse. Kod pacijenata koji se podvrgavaju velikim ortopedskim intervencijama, 5/95 percentila PT vrijednosti (Neoplastin), 2-4 časa posl</w:t>
      </w:r>
      <w:r w:rsidR="00751CBE" w:rsidRPr="007D7545">
        <w:rPr>
          <w:color w:val="000000"/>
          <w:sz w:val="22"/>
          <w:szCs w:val="22"/>
          <w:lang w:val="sr-Latn-ME"/>
        </w:rPr>
        <w:t>ij</w:t>
      </w:r>
      <w:r w:rsidRPr="007D7545">
        <w:rPr>
          <w:color w:val="000000"/>
          <w:sz w:val="22"/>
          <w:szCs w:val="22"/>
          <w:lang w:val="sr-Latn-ME"/>
        </w:rPr>
        <w:t>e uzimanja tablete (tj. u vr</w:t>
      </w:r>
      <w:r w:rsidR="00751CBE" w:rsidRPr="007D7545">
        <w:rPr>
          <w:color w:val="000000"/>
          <w:sz w:val="22"/>
          <w:szCs w:val="22"/>
          <w:lang w:val="sr-Latn-ME"/>
        </w:rPr>
        <w:t>ij</w:t>
      </w:r>
      <w:r w:rsidRPr="007D7545">
        <w:rPr>
          <w:color w:val="000000"/>
          <w:sz w:val="22"/>
          <w:szCs w:val="22"/>
          <w:lang w:val="sr-Latn-ME"/>
        </w:rPr>
        <w:t>eme postizanja maksimalnog efekta), obuhvata raspon od 13 do 25 s (početne vrijednosti pr</w:t>
      </w:r>
      <w:r w:rsidR="00751CBE" w:rsidRPr="007D7545">
        <w:rPr>
          <w:color w:val="000000"/>
          <w:sz w:val="22"/>
          <w:szCs w:val="22"/>
          <w:lang w:val="sr-Latn-ME"/>
        </w:rPr>
        <w:t>ij</w:t>
      </w:r>
      <w:r w:rsidRPr="007D7545">
        <w:rPr>
          <w:color w:val="000000"/>
          <w:sz w:val="22"/>
          <w:szCs w:val="22"/>
          <w:lang w:val="sr-Latn-ME"/>
        </w:rPr>
        <w:t>e hirurške intervencije iznose 12 do 15 s).</w:t>
      </w:r>
    </w:p>
    <w:p w14:paraId="6059863F" w14:textId="757A72DB" w:rsidR="001E010E" w:rsidRPr="007D7545" w:rsidRDefault="001E010E" w:rsidP="005D101E">
      <w:pPr>
        <w:jc w:val="both"/>
        <w:rPr>
          <w:color w:val="000000"/>
          <w:sz w:val="22"/>
          <w:szCs w:val="22"/>
          <w:lang w:val="sr-Latn-ME"/>
        </w:rPr>
      </w:pPr>
      <w:r w:rsidRPr="007D7545">
        <w:rPr>
          <w:color w:val="000000"/>
          <w:sz w:val="22"/>
          <w:szCs w:val="22"/>
          <w:lang w:val="sr-Latn-ME"/>
        </w:rPr>
        <w:t>U kliničkoj farmakološkoj studiji reverzije farmakodinamike rivaroksabana kod zdravih odraslih ispitanika (n=22), proc</w:t>
      </w:r>
      <w:r w:rsidR="00751CBE" w:rsidRPr="007D7545">
        <w:rPr>
          <w:color w:val="000000"/>
          <w:sz w:val="22"/>
          <w:szCs w:val="22"/>
          <w:lang w:val="sr-Latn-ME"/>
        </w:rPr>
        <w:t>ij</w:t>
      </w:r>
      <w:r w:rsidRPr="007D7545">
        <w:rPr>
          <w:color w:val="000000"/>
          <w:sz w:val="22"/>
          <w:szCs w:val="22"/>
          <w:lang w:val="sr-Latn-ME"/>
        </w:rPr>
        <w:t>enjivani su efekti pojedinačnih doza (50 i.j./kg) dva različita tipa PCC-a, PCC koji sadrži 3 faktora (faktori II, IX i X) i PCC-a koji sadrži 4 faktora (faktori II, VII, IX i X). PCC sa 3 faktora je snizio srednje vrijednosti PT-a sa Neoplastinom za približno 1,0 sekundu unutar 30 minuta, u poređenju sa sniženjem od približno 3,5 sekundi koje je zapaženo kod PCC sa 4 faktora. Suprotno tome, PCC sa 3 faktora je imao veći i brži c</w:t>
      </w:r>
      <w:r w:rsidR="00751CBE" w:rsidRPr="007D7545">
        <w:rPr>
          <w:color w:val="000000"/>
          <w:sz w:val="22"/>
          <w:szCs w:val="22"/>
          <w:lang w:val="sr-Latn-ME"/>
        </w:rPr>
        <w:t>j</w:t>
      </w:r>
      <w:r w:rsidRPr="007D7545">
        <w:rPr>
          <w:color w:val="000000"/>
          <w:sz w:val="22"/>
          <w:szCs w:val="22"/>
          <w:lang w:val="sr-Latn-ME"/>
        </w:rPr>
        <w:t>elokupni efekat na reverziju promjena u stvaranju endogenog trombina, u odnosu na PCC sa 4 faktora (</w:t>
      </w:r>
      <w:r w:rsidR="00955E5C" w:rsidRPr="007D7545">
        <w:rPr>
          <w:color w:val="000000"/>
          <w:sz w:val="22"/>
          <w:szCs w:val="22"/>
          <w:lang w:val="sr-Latn-ME"/>
        </w:rPr>
        <w:t>pogledati dio</w:t>
      </w:r>
      <w:r w:rsidRPr="007D7545">
        <w:rPr>
          <w:color w:val="000000"/>
          <w:sz w:val="22"/>
          <w:szCs w:val="22"/>
          <w:lang w:val="sr-Latn-ME"/>
        </w:rPr>
        <w:t xml:space="preserve"> 4.9</w:t>
      </w:r>
      <w:r w:rsidRPr="007D7545">
        <w:rPr>
          <w:i/>
          <w:color w:val="000000"/>
          <w:sz w:val="22"/>
          <w:szCs w:val="22"/>
          <w:lang w:val="sr-Latn-ME"/>
        </w:rPr>
        <w:t>).</w:t>
      </w:r>
    </w:p>
    <w:p w14:paraId="657FFA99" w14:textId="11D2F334" w:rsidR="001E010E" w:rsidRPr="007D7545" w:rsidRDefault="001E010E" w:rsidP="005D101E">
      <w:pPr>
        <w:ind w:hanging="10"/>
        <w:jc w:val="both"/>
        <w:rPr>
          <w:color w:val="000000"/>
          <w:sz w:val="22"/>
          <w:szCs w:val="22"/>
          <w:lang w:val="sr-Latn-ME"/>
        </w:rPr>
      </w:pPr>
      <w:r w:rsidRPr="007D7545">
        <w:rPr>
          <w:color w:val="000000"/>
          <w:sz w:val="22"/>
          <w:szCs w:val="22"/>
          <w:lang w:val="sr-Latn-ME"/>
        </w:rPr>
        <w:t>Aktivirano parcijalno tromboplastinsko vr</w:t>
      </w:r>
      <w:r w:rsidR="00751CBE" w:rsidRPr="007D7545">
        <w:rPr>
          <w:color w:val="000000"/>
          <w:sz w:val="22"/>
          <w:szCs w:val="22"/>
          <w:lang w:val="sr-Latn-ME"/>
        </w:rPr>
        <w:t>ij</w:t>
      </w:r>
      <w:r w:rsidRPr="007D7545">
        <w:rPr>
          <w:color w:val="000000"/>
          <w:sz w:val="22"/>
          <w:szCs w:val="22"/>
          <w:lang w:val="sr-Latn-ME"/>
        </w:rPr>
        <w:t xml:space="preserve">eme (engl. </w:t>
      </w:r>
      <w:r w:rsidRPr="007D7545">
        <w:rPr>
          <w:i/>
          <w:color w:val="000000"/>
          <w:sz w:val="22"/>
          <w:szCs w:val="22"/>
          <w:lang w:val="sr-Latn-ME"/>
        </w:rPr>
        <w:t xml:space="preserve">Activated Partial Thromboplastin Time </w:t>
      </w:r>
      <w:r w:rsidRPr="007D7545">
        <w:rPr>
          <w:color w:val="000000"/>
          <w:sz w:val="22"/>
          <w:szCs w:val="22"/>
          <w:lang w:val="sr-Latn-ME"/>
        </w:rPr>
        <w:t>– aPTT) i HepTest, takođe su dozno-zavisno produženi; međutim, ne preporučuje se da se oni koriste za proc</w:t>
      </w:r>
      <w:r w:rsidR="00751CBE" w:rsidRPr="007D7545">
        <w:rPr>
          <w:color w:val="000000"/>
          <w:sz w:val="22"/>
          <w:szCs w:val="22"/>
          <w:lang w:val="sr-Latn-ME"/>
        </w:rPr>
        <w:t>j</w:t>
      </w:r>
      <w:r w:rsidRPr="007D7545">
        <w:rPr>
          <w:color w:val="000000"/>
          <w:sz w:val="22"/>
          <w:szCs w:val="22"/>
          <w:lang w:val="sr-Latn-ME"/>
        </w:rPr>
        <w:t>enu farmakodinamskih efekata rivaroksabana. Nema potrebe da se sprovodi rutinska klinička kontrola parametara koagulacije tokom liječenja rivaroksabanom. Međutim, ukoliko je klinički indikovano, koncentracija rivaroksabana se može odrediti kalibrisanim kvantitativnim anti-faktor Xa testovima (</w:t>
      </w:r>
      <w:r w:rsidR="00955E5C" w:rsidRPr="007D7545">
        <w:rPr>
          <w:color w:val="000000"/>
          <w:sz w:val="22"/>
          <w:szCs w:val="22"/>
          <w:lang w:val="sr-Latn-ME"/>
        </w:rPr>
        <w:t>pogledati dio</w:t>
      </w:r>
      <w:r w:rsidRPr="007D7545">
        <w:rPr>
          <w:color w:val="000000"/>
          <w:sz w:val="22"/>
          <w:szCs w:val="22"/>
          <w:lang w:val="sr-Latn-ME"/>
        </w:rPr>
        <w:t xml:space="preserve"> 5.2).</w:t>
      </w:r>
    </w:p>
    <w:p w14:paraId="64C8BB8D" w14:textId="77777777" w:rsidR="00751CBE" w:rsidRPr="007D7545" w:rsidRDefault="00751CBE" w:rsidP="005D101E">
      <w:pPr>
        <w:ind w:hanging="10"/>
        <w:jc w:val="both"/>
        <w:rPr>
          <w:color w:val="000000"/>
          <w:sz w:val="22"/>
          <w:szCs w:val="22"/>
          <w:lang w:val="sr-Latn-ME"/>
        </w:rPr>
      </w:pPr>
    </w:p>
    <w:p w14:paraId="79BDA601" w14:textId="77777777" w:rsidR="001E010E" w:rsidRPr="007D7545" w:rsidRDefault="001E010E" w:rsidP="005D101E">
      <w:pPr>
        <w:ind w:hanging="10"/>
        <w:jc w:val="both"/>
        <w:rPr>
          <w:color w:val="000000"/>
          <w:sz w:val="22"/>
          <w:szCs w:val="22"/>
          <w:lang w:val="sr-Latn-ME"/>
        </w:rPr>
      </w:pPr>
      <w:r w:rsidRPr="007D7545">
        <w:rPr>
          <w:i/>
          <w:color w:val="000000"/>
          <w:sz w:val="22"/>
          <w:szCs w:val="22"/>
          <w:u w:val="single" w:color="000000"/>
          <w:lang w:val="sr-Latn-ME"/>
        </w:rPr>
        <w:t>Klinička efikasnost i bezbjednost</w:t>
      </w:r>
      <w:r w:rsidRPr="007D7545">
        <w:rPr>
          <w:i/>
          <w:color w:val="000000"/>
          <w:sz w:val="22"/>
          <w:szCs w:val="22"/>
          <w:lang w:val="sr-Latn-ME"/>
        </w:rPr>
        <w:t xml:space="preserve">     </w:t>
      </w:r>
    </w:p>
    <w:p w14:paraId="7B96802D" w14:textId="77777777" w:rsidR="001E010E" w:rsidRPr="007D7545" w:rsidRDefault="001E010E" w:rsidP="005D101E">
      <w:pPr>
        <w:keepNext/>
        <w:keepLines/>
        <w:ind w:hanging="14"/>
        <w:jc w:val="both"/>
        <w:outlineLvl w:val="1"/>
        <w:rPr>
          <w:i/>
          <w:color w:val="000000"/>
          <w:sz w:val="22"/>
          <w:szCs w:val="22"/>
          <w:u w:color="000000"/>
          <w:lang w:val="sr-Latn-ME"/>
        </w:rPr>
      </w:pPr>
      <w:r w:rsidRPr="007D7545">
        <w:rPr>
          <w:i/>
          <w:color w:val="000000"/>
          <w:sz w:val="22"/>
          <w:szCs w:val="22"/>
          <w:u w:color="000000"/>
          <w:lang w:val="sr-Latn-ME"/>
        </w:rPr>
        <w:t>Prevencija VTE kod odraslih pacijenata koji se podvrgavaju elektivnoj hirurškoj intervenciji zamjene zgloba kuka ili koljena</w:t>
      </w:r>
    </w:p>
    <w:p w14:paraId="06760D84" w14:textId="79113A5C" w:rsidR="001E010E" w:rsidRPr="007D7545" w:rsidRDefault="001E010E" w:rsidP="005D101E">
      <w:pPr>
        <w:ind w:hanging="14"/>
        <w:jc w:val="both"/>
        <w:rPr>
          <w:color w:val="000000"/>
          <w:sz w:val="22"/>
          <w:szCs w:val="22"/>
          <w:lang w:val="sr-Latn-ME"/>
        </w:rPr>
      </w:pPr>
      <w:r w:rsidRPr="007D7545">
        <w:rPr>
          <w:color w:val="000000"/>
          <w:sz w:val="22"/>
          <w:szCs w:val="22"/>
          <w:lang w:val="sr-Latn-ME"/>
        </w:rPr>
        <w:t xml:space="preserve">Klinički program ispitivanja rivaroksabana dizajniran je tako da se pokaže efikasnost ovog lijeka u prevenciji venske tromboembolije (VTE), tj. proksimalne i distalne tromboze dubokih vena (TDV) i plućne embolije (PE) kod pacijenata koji se podvrgavaju velikim ortopedskim intervencijama donjih ekstremiteta. Više od 9500 pacijenata (7050 sa ugradnjom vještačkog kuka i 2531 sa ugradnjom </w:t>
      </w:r>
      <w:r w:rsidRPr="007D7545">
        <w:rPr>
          <w:color w:val="000000"/>
          <w:sz w:val="22"/>
          <w:szCs w:val="22"/>
          <w:lang w:val="sr-Latn-ME"/>
        </w:rPr>
        <w:lastRenderedPageBreak/>
        <w:t>vještačkog koljena) ispitivano je u randomizovanim kontrolisanim dvostruko-sl</w:t>
      </w:r>
      <w:r w:rsidR="00751CBE" w:rsidRPr="007D7545">
        <w:rPr>
          <w:color w:val="000000"/>
          <w:sz w:val="22"/>
          <w:szCs w:val="22"/>
          <w:lang w:val="sr-Latn-ME"/>
        </w:rPr>
        <w:t>ij</w:t>
      </w:r>
      <w:r w:rsidRPr="007D7545">
        <w:rPr>
          <w:color w:val="000000"/>
          <w:sz w:val="22"/>
          <w:szCs w:val="22"/>
          <w:lang w:val="sr-Latn-ME"/>
        </w:rPr>
        <w:t>epim studijama faze III (RECORD program)</w:t>
      </w:r>
      <w:r w:rsidR="002D2262" w:rsidRPr="007D7545">
        <w:rPr>
          <w:color w:val="000000"/>
          <w:sz w:val="22"/>
          <w:szCs w:val="22"/>
          <w:lang w:val="sr-Latn-ME"/>
        </w:rPr>
        <w:t>.</w:t>
      </w:r>
    </w:p>
    <w:p w14:paraId="2B9180F7" w14:textId="5DB13733" w:rsidR="002D2262" w:rsidRPr="007D7545" w:rsidRDefault="001E010E" w:rsidP="005D101E">
      <w:pPr>
        <w:ind w:hanging="10"/>
        <w:jc w:val="both"/>
        <w:rPr>
          <w:color w:val="000000"/>
          <w:sz w:val="22"/>
          <w:szCs w:val="22"/>
          <w:lang w:val="sr-Latn-ME"/>
        </w:rPr>
      </w:pPr>
      <w:r w:rsidRPr="007D7545">
        <w:rPr>
          <w:color w:val="000000"/>
          <w:sz w:val="22"/>
          <w:szCs w:val="22"/>
          <w:lang w:val="sr-Latn-ME"/>
        </w:rPr>
        <w:t>Terapija rivaroksabanom (10 mg, jednom dnevno, prva doza prim</w:t>
      </w:r>
      <w:r w:rsidR="002D2262" w:rsidRPr="007D7545">
        <w:rPr>
          <w:color w:val="000000"/>
          <w:sz w:val="22"/>
          <w:szCs w:val="22"/>
          <w:lang w:val="sr-Latn-ME"/>
        </w:rPr>
        <w:t>i</w:t>
      </w:r>
      <w:r w:rsidRPr="007D7545">
        <w:rPr>
          <w:color w:val="000000"/>
          <w:sz w:val="22"/>
          <w:szCs w:val="22"/>
          <w:lang w:val="sr-Latn-ME"/>
        </w:rPr>
        <w:t>jenjena najmanje 6 sati posl</w:t>
      </w:r>
      <w:r w:rsidR="002D2262" w:rsidRPr="007D7545">
        <w:rPr>
          <w:color w:val="000000"/>
          <w:sz w:val="22"/>
          <w:szCs w:val="22"/>
          <w:lang w:val="sr-Latn-ME"/>
        </w:rPr>
        <w:t>ij</w:t>
      </w:r>
      <w:r w:rsidRPr="007D7545">
        <w:rPr>
          <w:color w:val="000000"/>
          <w:sz w:val="22"/>
          <w:szCs w:val="22"/>
          <w:lang w:val="sr-Latn-ME"/>
        </w:rPr>
        <w:t>e hirurške intervencije), poređena je sa terapijom enoksaparinom (40 mg, jednom dnevno, prva doza prim</w:t>
      </w:r>
      <w:r w:rsidR="002D2262" w:rsidRPr="007D7545">
        <w:rPr>
          <w:color w:val="000000"/>
          <w:sz w:val="22"/>
          <w:szCs w:val="22"/>
          <w:lang w:val="sr-Latn-ME"/>
        </w:rPr>
        <w:t>i</w:t>
      </w:r>
      <w:r w:rsidRPr="007D7545">
        <w:rPr>
          <w:color w:val="000000"/>
          <w:sz w:val="22"/>
          <w:szCs w:val="22"/>
          <w:lang w:val="sr-Latn-ME"/>
        </w:rPr>
        <w:t>jenjena 12 sati pr</w:t>
      </w:r>
      <w:r w:rsidR="002D2262" w:rsidRPr="007D7545">
        <w:rPr>
          <w:color w:val="000000"/>
          <w:sz w:val="22"/>
          <w:szCs w:val="22"/>
          <w:lang w:val="sr-Latn-ME"/>
        </w:rPr>
        <w:t>ij</w:t>
      </w:r>
      <w:r w:rsidRPr="007D7545">
        <w:rPr>
          <w:color w:val="000000"/>
          <w:sz w:val="22"/>
          <w:szCs w:val="22"/>
          <w:lang w:val="sr-Latn-ME"/>
        </w:rPr>
        <w:t xml:space="preserve">e hirurške intervencije). </w:t>
      </w:r>
    </w:p>
    <w:p w14:paraId="5DA1E039" w14:textId="77777777" w:rsidR="002D2262" w:rsidRPr="007D7545" w:rsidRDefault="002D2262" w:rsidP="005D101E">
      <w:pPr>
        <w:ind w:hanging="10"/>
        <w:jc w:val="both"/>
        <w:rPr>
          <w:color w:val="000000"/>
          <w:sz w:val="22"/>
          <w:szCs w:val="22"/>
          <w:lang w:val="sr-Latn-ME"/>
        </w:rPr>
      </w:pPr>
    </w:p>
    <w:p w14:paraId="647A97AE" w14:textId="38DE837F" w:rsidR="002D2262" w:rsidRPr="007D7545" w:rsidRDefault="001E010E" w:rsidP="005D101E">
      <w:pPr>
        <w:ind w:hanging="10"/>
        <w:jc w:val="both"/>
        <w:rPr>
          <w:color w:val="000000"/>
          <w:sz w:val="22"/>
          <w:szCs w:val="22"/>
          <w:lang w:val="sr-Latn-ME"/>
        </w:rPr>
      </w:pPr>
      <w:r w:rsidRPr="007D7545">
        <w:rPr>
          <w:color w:val="000000"/>
          <w:sz w:val="22"/>
          <w:szCs w:val="22"/>
          <w:lang w:val="sr-Latn-ME"/>
        </w:rPr>
        <w:t>U sve tri studije faze III (vidjeti Tabelu 4), rivaroksaban je značajno smanjivao učestalost svih VTE događaja, ukupno (bilo koja venografski dokazana ili simptomatska TDV, PE bez smrtnog ishoda i smrtni ishod) i učestalost glavnih VTE događaja (proksimalna TDV, PE bez smrtnog ishoda i smrtni ishod usl</w:t>
      </w:r>
      <w:r w:rsidR="002D2262" w:rsidRPr="007D7545">
        <w:rPr>
          <w:color w:val="000000"/>
          <w:sz w:val="22"/>
          <w:szCs w:val="22"/>
          <w:lang w:val="sr-Latn-ME"/>
        </w:rPr>
        <w:t>j</w:t>
      </w:r>
      <w:r w:rsidRPr="007D7545">
        <w:rPr>
          <w:color w:val="000000"/>
          <w:sz w:val="22"/>
          <w:szCs w:val="22"/>
          <w:lang w:val="sr-Latn-ME"/>
        </w:rPr>
        <w:t>ed VTE), kao unapred određenih primarnih i sekundarnih parametara efikasnosti. Osim toga, u sve tri studije, učestalost simptomatske VTE (simptomatska TDV, PE bez smrtnog ishoda, smrtni ishod usl</w:t>
      </w:r>
      <w:r w:rsidR="002D2262" w:rsidRPr="007D7545">
        <w:rPr>
          <w:color w:val="000000"/>
          <w:sz w:val="22"/>
          <w:szCs w:val="22"/>
          <w:lang w:val="sr-Latn-ME"/>
        </w:rPr>
        <w:t>j</w:t>
      </w:r>
      <w:r w:rsidRPr="007D7545">
        <w:rPr>
          <w:color w:val="000000"/>
          <w:sz w:val="22"/>
          <w:szCs w:val="22"/>
          <w:lang w:val="sr-Latn-ME"/>
        </w:rPr>
        <w:t xml:space="preserve">ed VTE) bila je manja kod pacijenata </w:t>
      </w:r>
      <w:r w:rsidR="00683FA1" w:rsidRPr="007D7545">
        <w:rPr>
          <w:color w:val="000000"/>
          <w:sz w:val="22"/>
          <w:szCs w:val="22"/>
          <w:lang w:val="sr-Latn-ME"/>
        </w:rPr>
        <w:t>liječeni</w:t>
      </w:r>
      <w:r w:rsidRPr="007D7545">
        <w:rPr>
          <w:color w:val="000000"/>
          <w:sz w:val="22"/>
          <w:szCs w:val="22"/>
          <w:lang w:val="sr-Latn-ME"/>
        </w:rPr>
        <w:t xml:space="preserve">h rivaroksabanom u poređenju sa pacijentima koji su dobijali enoksaparin. </w:t>
      </w:r>
    </w:p>
    <w:p w14:paraId="79F14090" w14:textId="6A47EDCC"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Glavni parametar bezbjednosti, obilno krvarenje, bilo je slične učestalosti kod pacijenata koji su </w:t>
      </w:r>
      <w:r w:rsidR="00683FA1" w:rsidRPr="007D7545">
        <w:rPr>
          <w:color w:val="000000"/>
          <w:sz w:val="22"/>
          <w:szCs w:val="22"/>
          <w:lang w:val="sr-Latn-ME"/>
        </w:rPr>
        <w:t>liječeni</w:t>
      </w:r>
      <w:r w:rsidRPr="007D7545">
        <w:rPr>
          <w:color w:val="000000"/>
          <w:sz w:val="22"/>
          <w:szCs w:val="22"/>
          <w:lang w:val="sr-Latn-ME"/>
        </w:rPr>
        <w:t xml:space="preserve"> rivaroksabanom 10 mg u poređenju sa onima koji su dobijali enoksaparin 40 mg.</w:t>
      </w:r>
    </w:p>
    <w:p w14:paraId="3746DCAF" w14:textId="77777777" w:rsidR="001E010E" w:rsidRPr="007D7545" w:rsidRDefault="001E010E" w:rsidP="002D70E0">
      <w:pPr>
        <w:ind w:hanging="10"/>
        <w:jc w:val="both"/>
        <w:rPr>
          <w:color w:val="000000"/>
          <w:sz w:val="22"/>
          <w:szCs w:val="22"/>
          <w:lang w:val="sr-Latn-ME"/>
        </w:rPr>
      </w:pPr>
    </w:p>
    <w:p w14:paraId="348CEF88" w14:textId="77777777" w:rsidR="001E010E" w:rsidRPr="007D7545" w:rsidRDefault="001E010E" w:rsidP="002D70E0">
      <w:pPr>
        <w:keepNext/>
        <w:keepLines/>
        <w:ind w:hanging="10"/>
        <w:jc w:val="both"/>
        <w:outlineLvl w:val="0"/>
        <w:rPr>
          <w:b/>
          <w:color w:val="000000"/>
          <w:sz w:val="22"/>
          <w:szCs w:val="22"/>
          <w:lang w:val="sr-Latn-ME"/>
        </w:rPr>
      </w:pPr>
      <w:r w:rsidRPr="007D7545">
        <w:rPr>
          <w:b/>
          <w:color w:val="000000"/>
          <w:sz w:val="22"/>
          <w:szCs w:val="22"/>
          <w:lang w:val="sr-Latn-ME"/>
        </w:rPr>
        <w:t>Tabela 4: Rezultati ispitivanja efikasnosti i bezbjednosti u kliničkim studijama faze III</w:t>
      </w:r>
    </w:p>
    <w:tbl>
      <w:tblPr>
        <w:tblStyle w:val="TableGrid2"/>
        <w:tblW w:w="5000" w:type="pct"/>
        <w:tblInd w:w="0" w:type="dxa"/>
        <w:tblCellMar>
          <w:top w:w="85" w:type="dxa"/>
          <w:right w:w="55" w:type="dxa"/>
        </w:tblCellMar>
        <w:tblLook w:val="04A0" w:firstRow="1" w:lastRow="0" w:firstColumn="1" w:lastColumn="0" w:noHBand="0" w:noVBand="1"/>
      </w:tblPr>
      <w:tblGrid>
        <w:gridCol w:w="1109"/>
        <w:gridCol w:w="1141"/>
        <w:gridCol w:w="1016"/>
        <w:gridCol w:w="556"/>
        <w:gridCol w:w="1141"/>
        <w:gridCol w:w="1048"/>
        <w:gridCol w:w="556"/>
        <w:gridCol w:w="1081"/>
        <w:gridCol w:w="953"/>
        <w:gridCol w:w="466"/>
      </w:tblGrid>
      <w:tr w:rsidR="00047CD1" w:rsidRPr="007D7545" w14:paraId="1ED2E570" w14:textId="77777777" w:rsidTr="002D70E0">
        <w:tc>
          <w:tcPr>
            <w:tcW w:w="608" w:type="pct"/>
            <w:tcBorders>
              <w:top w:val="single" w:sz="2" w:space="0" w:color="000000"/>
              <w:left w:val="single" w:sz="2" w:space="0" w:color="000000"/>
              <w:bottom w:val="single" w:sz="2" w:space="0" w:color="000000"/>
              <w:right w:val="single" w:sz="2" w:space="0" w:color="000000"/>
            </w:tcBorders>
          </w:tcPr>
          <w:p w14:paraId="1DCDF299" w14:textId="77777777" w:rsidR="001E010E" w:rsidRPr="007D7545" w:rsidRDefault="001E010E" w:rsidP="005D101E">
            <w:pPr>
              <w:rPr>
                <w:rFonts w:ascii="Times New Roman" w:hAnsi="Times New Roman"/>
                <w:color w:val="000000"/>
                <w:sz w:val="22"/>
                <w:szCs w:val="22"/>
                <w:lang w:val="sr-Latn-ME"/>
              </w:rPr>
            </w:pPr>
          </w:p>
        </w:tc>
        <w:tc>
          <w:tcPr>
            <w:tcW w:w="1500" w:type="pct"/>
            <w:gridSpan w:val="3"/>
            <w:tcBorders>
              <w:top w:val="single" w:sz="2" w:space="0" w:color="000000"/>
              <w:left w:val="single" w:sz="2" w:space="0" w:color="000000"/>
              <w:bottom w:val="single" w:sz="2" w:space="0" w:color="000000"/>
              <w:right w:val="single" w:sz="2" w:space="0" w:color="000000"/>
            </w:tcBorders>
          </w:tcPr>
          <w:p w14:paraId="00E0A849" w14:textId="77777777" w:rsidR="001E010E" w:rsidRPr="002D70E0" w:rsidRDefault="001E010E" w:rsidP="005D101E">
            <w:pPr>
              <w:ind w:left="60"/>
              <w:rPr>
                <w:rFonts w:ascii="Times New Roman" w:hAnsi="Times New Roman"/>
                <w:b/>
                <w:color w:val="000000"/>
                <w:sz w:val="22"/>
                <w:szCs w:val="22"/>
                <w:lang w:val="sr-Latn-ME"/>
              </w:rPr>
            </w:pPr>
            <w:r w:rsidRPr="002D70E0">
              <w:rPr>
                <w:b/>
                <w:color w:val="000000"/>
                <w:sz w:val="22"/>
                <w:szCs w:val="22"/>
                <w:lang w:val="sr-Latn-ME"/>
              </w:rPr>
              <w:t>RECORD 1</w:t>
            </w:r>
          </w:p>
        </w:tc>
        <w:tc>
          <w:tcPr>
            <w:tcW w:w="1517" w:type="pct"/>
            <w:gridSpan w:val="3"/>
            <w:tcBorders>
              <w:top w:val="single" w:sz="2" w:space="0" w:color="000000"/>
              <w:left w:val="single" w:sz="2" w:space="0" w:color="000000"/>
              <w:bottom w:val="single" w:sz="2" w:space="0" w:color="000000"/>
              <w:right w:val="single" w:sz="2" w:space="0" w:color="000000"/>
            </w:tcBorders>
          </w:tcPr>
          <w:p w14:paraId="45A49DAF" w14:textId="77777777" w:rsidR="001E010E" w:rsidRPr="002D70E0" w:rsidRDefault="001E010E" w:rsidP="005D101E">
            <w:pPr>
              <w:ind w:left="60"/>
              <w:rPr>
                <w:rFonts w:ascii="Times New Roman" w:hAnsi="Times New Roman"/>
                <w:b/>
                <w:color w:val="000000"/>
                <w:sz w:val="22"/>
                <w:szCs w:val="22"/>
                <w:lang w:val="sr-Latn-ME"/>
              </w:rPr>
            </w:pPr>
            <w:r w:rsidRPr="002D70E0">
              <w:rPr>
                <w:b/>
                <w:color w:val="000000"/>
                <w:sz w:val="22"/>
                <w:szCs w:val="22"/>
                <w:lang w:val="sr-Latn-ME"/>
              </w:rPr>
              <w:t>RECORD 2</w:t>
            </w:r>
          </w:p>
        </w:tc>
        <w:tc>
          <w:tcPr>
            <w:tcW w:w="1375" w:type="pct"/>
            <w:gridSpan w:val="3"/>
            <w:tcBorders>
              <w:top w:val="single" w:sz="2" w:space="0" w:color="000000"/>
              <w:left w:val="single" w:sz="2" w:space="0" w:color="000000"/>
              <w:bottom w:val="single" w:sz="2" w:space="0" w:color="000000"/>
              <w:right w:val="single" w:sz="2" w:space="0" w:color="000000"/>
            </w:tcBorders>
          </w:tcPr>
          <w:p w14:paraId="57422003" w14:textId="77777777" w:rsidR="001E010E" w:rsidRPr="002D70E0" w:rsidRDefault="001E010E" w:rsidP="005D101E">
            <w:pPr>
              <w:ind w:left="55"/>
              <w:rPr>
                <w:rFonts w:ascii="Times New Roman" w:hAnsi="Times New Roman"/>
                <w:b/>
                <w:color w:val="000000"/>
                <w:sz w:val="22"/>
                <w:szCs w:val="22"/>
                <w:lang w:val="sr-Latn-ME"/>
              </w:rPr>
            </w:pPr>
            <w:r w:rsidRPr="002D70E0">
              <w:rPr>
                <w:b/>
                <w:color w:val="000000"/>
                <w:sz w:val="22"/>
                <w:szCs w:val="22"/>
                <w:lang w:val="sr-Latn-ME"/>
              </w:rPr>
              <w:t>RECORD 3</w:t>
            </w:r>
          </w:p>
        </w:tc>
      </w:tr>
      <w:tr w:rsidR="00047CD1" w:rsidRPr="005E7F36" w14:paraId="7C71F2B1" w14:textId="77777777" w:rsidTr="002D70E0">
        <w:tc>
          <w:tcPr>
            <w:tcW w:w="608" w:type="pct"/>
            <w:tcBorders>
              <w:top w:val="single" w:sz="2" w:space="0" w:color="000000"/>
              <w:left w:val="single" w:sz="2" w:space="0" w:color="000000"/>
              <w:bottom w:val="single" w:sz="2" w:space="0" w:color="000000"/>
              <w:right w:val="single" w:sz="2" w:space="0" w:color="000000"/>
            </w:tcBorders>
          </w:tcPr>
          <w:p w14:paraId="1BB8C511" w14:textId="77777777" w:rsidR="001E010E" w:rsidRPr="002D70E0" w:rsidRDefault="001E010E" w:rsidP="005D101E">
            <w:pPr>
              <w:ind w:left="60"/>
              <w:rPr>
                <w:rFonts w:ascii="Times New Roman" w:hAnsi="Times New Roman"/>
                <w:b/>
                <w:color w:val="000000"/>
                <w:sz w:val="22"/>
                <w:szCs w:val="22"/>
                <w:lang w:val="sr-Latn-ME"/>
              </w:rPr>
            </w:pPr>
            <w:r w:rsidRPr="002D70E0">
              <w:rPr>
                <w:b/>
                <w:color w:val="000000"/>
                <w:sz w:val="22"/>
                <w:szCs w:val="22"/>
                <w:lang w:val="sr-Latn-ME"/>
              </w:rPr>
              <w:t>Ispitivana populacija</w:t>
            </w:r>
          </w:p>
        </w:tc>
        <w:tc>
          <w:tcPr>
            <w:tcW w:w="1500" w:type="pct"/>
            <w:gridSpan w:val="3"/>
            <w:tcBorders>
              <w:top w:val="single" w:sz="2" w:space="0" w:color="000000"/>
              <w:left w:val="single" w:sz="2" w:space="0" w:color="000000"/>
              <w:bottom w:val="single" w:sz="4" w:space="0" w:color="auto"/>
              <w:right w:val="single" w:sz="2" w:space="0" w:color="000000"/>
            </w:tcBorders>
          </w:tcPr>
          <w:p w14:paraId="1A6CECAD" w14:textId="77777777" w:rsidR="001E010E" w:rsidRPr="002D70E0" w:rsidRDefault="001E010E" w:rsidP="005D101E">
            <w:pPr>
              <w:ind w:left="60"/>
              <w:rPr>
                <w:rFonts w:ascii="Times New Roman" w:hAnsi="Times New Roman"/>
                <w:b/>
                <w:color w:val="000000"/>
                <w:sz w:val="22"/>
                <w:szCs w:val="22"/>
                <w:lang w:val="sr-Latn-ME"/>
              </w:rPr>
            </w:pPr>
            <w:r w:rsidRPr="002D70E0">
              <w:rPr>
                <w:b/>
                <w:color w:val="000000"/>
                <w:sz w:val="22"/>
                <w:szCs w:val="22"/>
                <w:lang w:val="sr-Latn-ME"/>
              </w:rPr>
              <w:t>4541 pacijent podvrgnut ugradnji vještačkog kuka</w:t>
            </w:r>
          </w:p>
        </w:tc>
        <w:tc>
          <w:tcPr>
            <w:tcW w:w="1517" w:type="pct"/>
            <w:gridSpan w:val="3"/>
            <w:tcBorders>
              <w:top w:val="single" w:sz="2" w:space="0" w:color="000000"/>
              <w:left w:val="single" w:sz="2" w:space="0" w:color="000000"/>
              <w:bottom w:val="single" w:sz="4" w:space="0" w:color="auto"/>
              <w:right w:val="single" w:sz="2" w:space="0" w:color="000000"/>
            </w:tcBorders>
          </w:tcPr>
          <w:p w14:paraId="5FC077F8" w14:textId="77777777" w:rsidR="001E010E" w:rsidRPr="002D70E0" w:rsidRDefault="001E010E" w:rsidP="005D101E">
            <w:pPr>
              <w:ind w:left="60"/>
              <w:rPr>
                <w:rFonts w:ascii="Times New Roman" w:hAnsi="Times New Roman"/>
                <w:b/>
                <w:color w:val="000000"/>
                <w:sz w:val="22"/>
                <w:szCs w:val="22"/>
                <w:lang w:val="sr-Latn-ME"/>
              </w:rPr>
            </w:pPr>
            <w:r w:rsidRPr="002D70E0">
              <w:rPr>
                <w:b/>
                <w:color w:val="000000"/>
                <w:sz w:val="22"/>
                <w:szCs w:val="22"/>
                <w:lang w:val="sr-Latn-ME"/>
              </w:rPr>
              <w:t>2509 pacijenata podvrgnutih ugradnji vještačkog kuka</w:t>
            </w:r>
          </w:p>
        </w:tc>
        <w:tc>
          <w:tcPr>
            <w:tcW w:w="1375" w:type="pct"/>
            <w:gridSpan w:val="3"/>
            <w:tcBorders>
              <w:top w:val="single" w:sz="2" w:space="0" w:color="000000"/>
              <w:left w:val="single" w:sz="2" w:space="0" w:color="000000"/>
              <w:bottom w:val="single" w:sz="4" w:space="0" w:color="auto"/>
              <w:right w:val="single" w:sz="2" w:space="0" w:color="000000"/>
            </w:tcBorders>
          </w:tcPr>
          <w:p w14:paraId="75C75E1A" w14:textId="77777777" w:rsidR="001E010E" w:rsidRPr="002D70E0" w:rsidRDefault="001E010E" w:rsidP="005D101E">
            <w:pPr>
              <w:ind w:left="55"/>
              <w:rPr>
                <w:rFonts w:ascii="Times New Roman" w:hAnsi="Times New Roman"/>
                <w:b/>
                <w:color w:val="000000"/>
                <w:sz w:val="22"/>
                <w:szCs w:val="22"/>
                <w:lang w:val="sr-Latn-ME"/>
              </w:rPr>
            </w:pPr>
            <w:r w:rsidRPr="002D70E0">
              <w:rPr>
                <w:b/>
                <w:color w:val="000000"/>
                <w:sz w:val="22"/>
                <w:szCs w:val="22"/>
                <w:lang w:val="sr-Latn-ME"/>
              </w:rPr>
              <w:t>2531 pacijent podvrgnut ugradnji vještačkog koljena</w:t>
            </w:r>
          </w:p>
        </w:tc>
      </w:tr>
      <w:tr w:rsidR="000A4CB6" w:rsidRPr="007D7545" w14:paraId="406775BD" w14:textId="77777777" w:rsidTr="002D70E0">
        <w:tc>
          <w:tcPr>
            <w:tcW w:w="608" w:type="pct"/>
            <w:tcBorders>
              <w:top w:val="single" w:sz="2" w:space="0" w:color="000000"/>
              <w:left w:val="single" w:sz="2" w:space="0" w:color="000000"/>
              <w:bottom w:val="single" w:sz="2" w:space="0" w:color="000000"/>
              <w:right w:val="single" w:sz="4" w:space="0" w:color="auto"/>
            </w:tcBorders>
          </w:tcPr>
          <w:p w14:paraId="3A787C31" w14:textId="2E22182A" w:rsidR="001E010E" w:rsidRPr="002D70E0" w:rsidRDefault="001E010E" w:rsidP="005D101E">
            <w:pPr>
              <w:ind w:left="60" w:right="17"/>
              <w:rPr>
                <w:rFonts w:ascii="Times New Roman" w:hAnsi="Times New Roman"/>
                <w:color w:val="000000"/>
                <w:sz w:val="22"/>
                <w:szCs w:val="22"/>
                <w:lang w:val="sr-Latn-ME"/>
              </w:rPr>
            </w:pPr>
            <w:r w:rsidRPr="002D70E0">
              <w:rPr>
                <w:color w:val="000000"/>
                <w:sz w:val="22"/>
                <w:szCs w:val="22"/>
                <w:lang w:val="sr-Latn-ME"/>
              </w:rPr>
              <w:t>Terapijska doza i trajanje terapije posl</w:t>
            </w:r>
            <w:r w:rsidR="00777DF9" w:rsidRPr="002D70E0">
              <w:rPr>
                <w:color w:val="000000"/>
                <w:sz w:val="22"/>
                <w:szCs w:val="22"/>
                <w:lang w:val="sr-Latn-ME"/>
              </w:rPr>
              <w:t>ij</w:t>
            </w:r>
            <w:r w:rsidRPr="002D70E0">
              <w:rPr>
                <w:color w:val="000000"/>
                <w:sz w:val="22"/>
                <w:szCs w:val="22"/>
                <w:lang w:val="sr-Latn-ME"/>
              </w:rPr>
              <w:t>e intervencije</w:t>
            </w:r>
          </w:p>
        </w:tc>
        <w:tc>
          <w:tcPr>
            <w:tcW w:w="633" w:type="pct"/>
            <w:tcBorders>
              <w:top w:val="single" w:sz="4" w:space="0" w:color="auto"/>
              <w:left w:val="single" w:sz="4" w:space="0" w:color="auto"/>
              <w:bottom w:val="single" w:sz="4" w:space="0" w:color="auto"/>
              <w:right w:val="single" w:sz="4" w:space="0" w:color="auto"/>
            </w:tcBorders>
          </w:tcPr>
          <w:p w14:paraId="3B414270" w14:textId="77777777" w:rsidR="001E010E" w:rsidRPr="002D70E0" w:rsidRDefault="001E010E" w:rsidP="005D101E">
            <w:pPr>
              <w:ind w:left="60" w:right="68"/>
              <w:rPr>
                <w:rFonts w:ascii="Times New Roman" w:hAnsi="Times New Roman"/>
                <w:color w:val="000000"/>
                <w:sz w:val="22"/>
                <w:szCs w:val="22"/>
                <w:lang w:val="sr-Latn-ME"/>
              </w:rPr>
            </w:pPr>
            <w:r w:rsidRPr="002D70E0">
              <w:rPr>
                <w:color w:val="000000"/>
                <w:sz w:val="22"/>
                <w:szCs w:val="22"/>
                <w:lang w:val="sr-Latn-ME"/>
              </w:rPr>
              <w:t>Rivaroksaban 10 mg, jednom dnevno, 35 ± 4 dana</w:t>
            </w:r>
          </w:p>
        </w:tc>
        <w:tc>
          <w:tcPr>
            <w:tcW w:w="560" w:type="pct"/>
            <w:tcBorders>
              <w:top w:val="single" w:sz="4" w:space="0" w:color="auto"/>
              <w:left w:val="single" w:sz="4" w:space="0" w:color="auto"/>
              <w:bottom w:val="single" w:sz="4" w:space="0" w:color="auto"/>
              <w:right w:val="single" w:sz="4" w:space="0" w:color="auto"/>
            </w:tcBorders>
          </w:tcPr>
          <w:p w14:paraId="519E85F9" w14:textId="77777777" w:rsidR="001E010E" w:rsidRPr="002D70E0" w:rsidRDefault="001E010E" w:rsidP="005D101E">
            <w:pPr>
              <w:ind w:right="77"/>
              <w:rPr>
                <w:rFonts w:ascii="Times New Roman" w:hAnsi="Times New Roman"/>
                <w:color w:val="000000"/>
                <w:sz w:val="22"/>
                <w:szCs w:val="22"/>
                <w:lang w:val="sr-Latn-ME"/>
              </w:rPr>
            </w:pPr>
            <w:r w:rsidRPr="002D70E0">
              <w:rPr>
                <w:color w:val="000000"/>
                <w:sz w:val="22"/>
                <w:szCs w:val="22"/>
                <w:lang w:val="sr-Latn-ME"/>
              </w:rPr>
              <w:t xml:space="preserve">Enoksaparin 40 mg, jednom dnevno, 35 </w:t>
            </w:r>
            <w:r w:rsidRPr="002D70E0">
              <w:rPr>
                <w:rFonts w:eastAsia="Segoe UI Symbol"/>
                <w:color w:val="000000"/>
                <w:sz w:val="22"/>
                <w:szCs w:val="22"/>
                <w:lang w:val="sr-Latn-ME"/>
              </w:rPr>
              <w:t xml:space="preserve">± 4 </w:t>
            </w:r>
            <w:r w:rsidRPr="002D70E0">
              <w:rPr>
                <w:color w:val="000000"/>
                <w:sz w:val="22"/>
                <w:szCs w:val="22"/>
                <w:lang w:val="sr-Latn-ME"/>
              </w:rPr>
              <w:t>dana</w:t>
            </w:r>
          </w:p>
        </w:tc>
        <w:tc>
          <w:tcPr>
            <w:tcW w:w="307" w:type="pct"/>
            <w:tcBorders>
              <w:top w:val="single" w:sz="4" w:space="0" w:color="auto"/>
              <w:left w:val="single" w:sz="4" w:space="0" w:color="auto"/>
              <w:bottom w:val="single" w:sz="4" w:space="0" w:color="auto"/>
              <w:right w:val="single" w:sz="4" w:space="0" w:color="auto"/>
            </w:tcBorders>
          </w:tcPr>
          <w:p w14:paraId="49867FA4"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 xml:space="preserve">    p</w:t>
            </w:r>
          </w:p>
        </w:tc>
        <w:tc>
          <w:tcPr>
            <w:tcW w:w="633" w:type="pct"/>
            <w:tcBorders>
              <w:top w:val="single" w:sz="4" w:space="0" w:color="auto"/>
              <w:left w:val="single" w:sz="4" w:space="0" w:color="auto"/>
              <w:bottom w:val="single" w:sz="4" w:space="0" w:color="auto"/>
              <w:right w:val="single" w:sz="4" w:space="0" w:color="auto"/>
            </w:tcBorders>
          </w:tcPr>
          <w:p w14:paraId="47DB9CC8" w14:textId="77777777" w:rsidR="001E010E" w:rsidRPr="002D70E0" w:rsidRDefault="001E010E" w:rsidP="005D101E">
            <w:pPr>
              <w:ind w:left="60" w:right="68"/>
              <w:rPr>
                <w:rFonts w:ascii="Times New Roman" w:hAnsi="Times New Roman"/>
                <w:color w:val="000000"/>
                <w:sz w:val="22"/>
                <w:szCs w:val="22"/>
                <w:lang w:val="sr-Latn-ME"/>
              </w:rPr>
            </w:pPr>
            <w:r w:rsidRPr="002D70E0">
              <w:rPr>
                <w:color w:val="000000"/>
                <w:sz w:val="22"/>
                <w:szCs w:val="22"/>
                <w:lang w:val="sr-Latn-ME"/>
              </w:rPr>
              <w:t>Rivaroksaban 10 mg, jednom dnevno, 35 ± 4 dana</w:t>
            </w:r>
          </w:p>
        </w:tc>
        <w:tc>
          <w:tcPr>
            <w:tcW w:w="578" w:type="pct"/>
            <w:tcBorders>
              <w:top w:val="single" w:sz="4" w:space="0" w:color="auto"/>
              <w:left w:val="single" w:sz="4" w:space="0" w:color="auto"/>
              <w:bottom w:val="single" w:sz="4" w:space="0" w:color="auto"/>
              <w:right w:val="single" w:sz="4" w:space="0" w:color="auto"/>
            </w:tcBorders>
          </w:tcPr>
          <w:p w14:paraId="4F1A7534" w14:textId="77777777" w:rsidR="001E010E" w:rsidRPr="002D70E0" w:rsidRDefault="001E010E" w:rsidP="005D101E">
            <w:pPr>
              <w:ind w:right="116"/>
              <w:rPr>
                <w:rFonts w:ascii="Times New Roman" w:hAnsi="Times New Roman"/>
                <w:color w:val="000000"/>
                <w:sz w:val="22"/>
                <w:szCs w:val="22"/>
                <w:lang w:val="sr-Latn-ME"/>
              </w:rPr>
            </w:pPr>
            <w:r w:rsidRPr="002D70E0">
              <w:rPr>
                <w:color w:val="000000"/>
                <w:sz w:val="22"/>
                <w:szCs w:val="22"/>
                <w:lang w:val="sr-Latn-ME"/>
              </w:rPr>
              <w:t xml:space="preserve">Enoksaparin 40 mg, jednom dnevno, 12 </w:t>
            </w:r>
            <w:r w:rsidRPr="002D70E0">
              <w:rPr>
                <w:rFonts w:eastAsia="Segoe UI Symbol"/>
                <w:color w:val="000000"/>
                <w:sz w:val="22"/>
                <w:szCs w:val="22"/>
                <w:lang w:val="sr-Latn-ME"/>
              </w:rPr>
              <w:t xml:space="preserve">± 2 </w:t>
            </w:r>
            <w:r w:rsidRPr="002D70E0">
              <w:rPr>
                <w:color w:val="000000"/>
                <w:sz w:val="22"/>
                <w:szCs w:val="22"/>
                <w:lang w:val="sr-Latn-ME"/>
              </w:rPr>
              <w:t>dana</w:t>
            </w:r>
          </w:p>
        </w:tc>
        <w:tc>
          <w:tcPr>
            <w:tcW w:w="307" w:type="pct"/>
            <w:tcBorders>
              <w:top w:val="single" w:sz="4" w:space="0" w:color="auto"/>
              <w:left w:val="single" w:sz="4" w:space="0" w:color="auto"/>
              <w:bottom w:val="single" w:sz="4" w:space="0" w:color="auto"/>
              <w:right w:val="single" w:sz="4" w:space="0" w:color="auto"/>
            </w:tcBorders>
          </w:tcPr>
          <w:p w14:paraId="450F2FD8"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p</w:t>
            </w:r>
          </w:p>
        </w:tc>
        <w:tc>
          <w:tcPr>
            <w:tcW w:w="600" w:type="pct"/>
            <w:tcBorders>
              <w:top w:val="single" w:sz="4" w:space="0" w:color="auto"/>
              <w:left w:val="single" w:sz="4" w:space="0" w:color="auto"/>
              <w:bottom w:val="single" w:sz="4" w:space="0" w:color="auto"/>
              <w:right w:val="single" w:sz="4" w:space="0" w:color="auto"/>
            </w:tcBorders>
          </w:tcPr>
          <w:p w14:paraId="72AB5725" w14:textId="77777777" w:rsidR="001E010E" w:rsidRPr="002D70E0" w:rsidRDefault="001E010E" w:rsidP="005D101E">
            <w:pPr>
              <w:ind w:left="55"/>
              <w:rPr>
                <w:rFonts w:ascii="Times New Roman" w:hAnsi="Times New Roman"/>
                <w:color w:val="000000"/>
                <w:sz w:val="22"/>
                <w:szCs w:val="22"/>
                <w:lang w:val="sr-Latn-ME"/>
              </w:rPr>
            </w:pPr>
            <w:r w:rsidRPr="002D70E0">
              <w:rPr>
                <w:color w:val="000000"/>
                <w:sz w:val="22"/>
                <w:szCs w:val="22"/>
                <w:lang w:val="sr-Latn-ME"/>
              </w:rPr>
              <w:t>Rivaroksaban</w:t>
            </w:r>
          </w:p>
          <w:p w14:paraId="323B12F0"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 xml:space="preserve"> 10 mg,</w:t>
            </w:r>
          </w:p>
          <w:p w14:paraId="1F525BA1" w14:textId="77777777" w:rsidR="001E010E" w:rsidRPr="002D70E0" w:rsidRDefault="001E010E" w:rsidP="005D101E">
            <w:pPr>
              <w:ind w:left="55"/>
              <w:rPr>
                <w:rFonts w:ascii="Times New Roman" w:hAnsi="Times New Roman"/>
                <w:color w:val="000000"/>
                <w:sz w:val="22"/>
                <w:szCs w:val="22"/>
                <w:lang w:val="sr-Latn-ME"/>
              </w:rPr>
            </w:pPr>
            <w:r w:rsidRPr="002D70E0">
              <w:rPr>
                <w:color w:val="000000"/>
                <w:sz w:val="22"/>
                <w:szCs w:val="22"/>
                <w:lang w:val="sr-Latn-ME"/>
              </w:rPr>
              <w:t>12 ± 2dana</w:t>
            </w:r>
          </w:p>
        </w:tc>
        <w:tc>
          <w:tcPr>
            <w:tcW w:w="525" w:type="pct"/>
            <w:tcBorders>
              <w:top w:val="single" w:sz="4" w:space="0" w:color="auto"/>
              <w:left w:val="single" w:sz="4" w:space="0" w:color="auto"/>
              <w:bottom w:val="single" w:sz="4" w:space="0" w:color="auto"/>
              <w:right w:val="single" w:sz="4" w:space="0" w:color="auto"/>
            </w:tcBorders>
          </w:tcPr>
          <w:p w14:paraId="3591EC2E"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Enoksaparin</w:t>
            </w:r>
          </w:p>
          <w:p w14:paraId="3A1E7F7F"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40 mg,</w:t>
            </w:r>
          </w:p>
          <w:p w14:paraId="3F0DFC5C"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12 ±2dana</w:t>
            </w:r>
          </w:p>
        </w:tc>
        <w:tc>
          <w:tcPr>
            <w:tcW w:w="250" w:type="pct"/>
            <w:tcBorders>
              <w:top w:val="single" w:sz="4" w:space="0" w:color="auto"/>
              <w:left w:val="single" w:sz="4" w:space="0" w:color="auto"/>
              <w:bottom w:val="single" w:sz="4" w:space="0" w:color="auto"/>
              <w:right w:val="single" w:sz="4" w:space="0" w:color="auto"/>
            </w:tcBorders>
          </w:tcPr>
          <w:p w14:paraId="16972B5E"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p</w:t>
            </w:r>
          </w:p>
        </w:tc>
      </w:tr>
      <w:tr w:rsidR="000A4CB6" w:rsidRPr="007D7545" w14:paraId="02A97934" w14:textId="77777777" w:rsidTr="002D70E0">
        <w:tc>
          <w:tcPr>
            <w:tcW w:w="608" w:type="pct"/>
            <w:tcBorders>
              <w:top w:val="single" w:sz="2" w:space="0" w:color="000000"/>
              <w:left w:val="single" w:sz="2" w:space="0" w:color="000000"/>
              <w:bottom w:val="single" w:sz="2" w:space="0" w:color="000000"/>
              <w:right w:val="single" w:sz="4" w:space="0" w:color="auto"/>
            </w:tcBorders>
          </w:tcPr>
          <w:p w14:paraId="5C1C9D2A"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Svi VTE događaji</w:t>
            </w:r>
          </w:p>
        </w:tc>
        <w:tc>
          <w:tcPr>
            <w:tcW w:w="633" w:type="pct"/>
            <w:tcBorders>
              <w:top w:val="single" w:sz="4" w:space="0" w:color="auto"/>
              <w:left w:val="single" w:sz="4" w:space="0" w:color="auto"/>
              <w:bottom w:val="single" w:sz="4" w:space="0" w:color="auto"/>
              <w:right w:val="single" w:sz="4" w:space="0" w:color="auto"/>
            </w:tcBorders>
          </w:tcPr>
          <w:p w14:paraId="50C6355D"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18 (1,1%)</w:t>
            </w:r>
          </w:p>
        </w:tc>
        <w:tc>
          <w:tcPr>
            <w:tcW w:w="560" w:type="pct"/>
            <w:tcBorders>
              <w:top w:val="single" w:sz="4" w:space="0" w:color="auto"/>
              <w:left w:val="single" w:sz="4" w:space="0" w:color="auto"/>
              <w:bottom w:val="single" w:sz="4" w:space="0" w:color="auto"/>
              <w:right w:val="single" w:sz="4" w:space="0" w:color="auto"/>
            </w:tcBorders>
          </w:tcPr>
          <w:p w14:paraId="5EFA1A35"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58 (3,7%)</w:t>
            </w:r>
          </w:p>
        </w:tc>
        <w:tc>
          <w:tcPr>
            <w:tcW w:w="307" w:type="pct"/>
            <w:tcBorders>
              <w:top w:val="single" w:sz="4" w:space="0" w:color="auto"/>
              <w:left w:val="single" w:sz="4" w:space="0" w:color="auto"/>
              <w:bottom w:val="single" w:sz="4" w:space="0" w:color="auto"/>
              <w:right w:val="single" w:sz="4" w:space="0" w:color="auto"/>
            </w:tcBorders>
          </w:tcPr>
          <w:p w14:paraId="3BCC52E6" w14:textId="24F8D495"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&lt;0,001</w:t>
            </w:r>
          </w:p>
        </w:tc>
        <w:tc>
          <w:tcPr>
            <w:tcW w:w="633" w:type="pct"/>
            <w:tcBorders>
              <w:top w:val="single" w:sz="4" w:space="0" w:color="auto"/>
              <w:left w:val="single" w:sz="4" w:space="0" w:color="auto"/>
              <w:bottom w:val="single" w:sz="4" w:space="0" w:color="auto"/>
              <w:right w:val="single" w:sz="4" w:space="0" w:color="auto"/>
            </w:tcBorders>
          </w:tcPr>
          <w:p w14:paraId="28950DC2"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17 (2,0%)</w:t>
            </w:r>
          </w:p>
        </w:tc>
        <w:tc>
          <w:tcPr>
            <w:tcW w:w="578" w:type="pct"/>
            <w:tcBorders>
              <w:top w:val="single" w:sz="4" w:space="0" w:color="auto"/>
              <w:left w:val="single" w:sz="4" w:space="0" w:color="auto"/>
              <w:bottom w:val="single" w:sz="4" w:space="0" w:color="auto"/>
              <w:right w:val="single" w:sz="4" w:space="0" w:color="auto"/>
            </w:tcBorders>
          </w:tcPr>
          <w:p w14:paraId="793D9AE6"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81 (9,3%)</w:t>
            </w:r>
          </w:p>
        </w:tc>
        <w:tc>
          <w:tcPr>
            <w:tcW w:w="307" w:type="pct"/>
            <w:tcBorders>
              <w:top w:val="single" w:sz="4" w:space="0" w:color="auto"/>
              <w:left w:val="single" w:sz="4" w:space="0" w:color="auto"/>
              <w:bottom w:val="single" w:sz="4" w:space="0" w:color="auto"/>
              <w:right w:val="single" w:sz="4" w:space="0" w:color="auto"/>
            </w:tcBorders>
          </w:tcPr>
          <w:p w14:paraId="4B6C5813" w14:textId="79002706"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&lt;0,001</w:t>
            </w:r>
          </w:p>
        </w:tc>
        <w:tc>
          <w:tcPr>
            <w:tcW w:w="600" w:type="pct"/>
            <w:tcBorders>
              <w:top w:val="single" w:sz="4" w:space="0" w:color="auto"/>
              <w:left w:val="single" w:sz="4" w:space="0" w:color="auto"/>
              <w:bottom w:val="single" w:sz="4" w:space="0" w:color="auto"/>
              <w:right w:val="single" w:sz="4" w:space="0" w:color="auto"/>
            </w:tcBorders>
          </w:tcPr>
          <w:p w14:paraId="167BA7BF" w14:textId="77777777" w:rsidR="001E010E" w:rsidRPr="002D70E0" w:rsidRDefault="001E010E" w:rsidP="005D101E">
            <w:pPr>
              <w:ind w:left="55"/>
              <w:rPr>
                <w:rFonts w:ascii="Times New Roman" w:hAnsi="Times New Roman"/>
                <w:color w:val="000000"/>
                <w:sz w:val="22"/>
                <w:szCs w:val="22"/>
                <w:lang w:val="sr-Latn-ME"/>
              </w:rPr>
            </w:pPr>
            <w:r w:rsidRPr="002D70E0">
              <w:rPr>
                <w:color w:val="000000"/>
                <w:sz w:val="22"/>
                <w:szCs w:val="22"/>
                <w:lang w:val="sr-Latn-ME"/>
              </w:rPr>
              <w:t>79 (9,6%)</w:t>
            </w:r>
          </w:p>
        </w:tc>
        <w:tc>
          <w:tcPr>
            <w:tcW w:w="525" w:type="pct"/>
            <w:tcBorders>
              <w:top w:val="single" w:sz="4" w:space="0" w:color="auto"/>
              <w:left w:val="single" w:sz="4" w:space="0" w:color="auto"/>
              <w:bottom w:val="single" w:sz="4" w:space="0" w:color="auto"/>
              <w:right w:val="single" w:sz="4" w:space="0" w:color="auto"/>
            </w:tcBorders>
          </w:tcPr>
          <w:p w14:paraId="20DF11DF"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166 (18,9%)</w:t>
            </w:r>
          </w:p>
        </w:tc>
        <w:tc>
          <w:tcPr>
            <w:tcW w:w="250" w:type="pct"/>
            <w:tcBorders>
              <w:top w:val="single" w:sz="4" w:space="0" w:color="auto"/>
              <w:left w:val="single" w:sz="4" w:space="0" w:color="auto"/>
              <w:bottom w:val="single" w:sz="4" w:space="0" w:color="auto"/>
              <w:right w:val="single" w:sz="4" w:space="0" w:color="auto"/>
            </w:tcBorders>
          </w:tcPr>
          <w:p w14:paraId="28BD566E"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&lt; 0,001</w:t>
            </w:r>
          </w:p>
        </w:tc>
      </w:tr>
      <w:tr w:rsidR="000A4CB6" w:rsidRPr="007D7545" w14:paraId="407C96FD" w14:textId="77777777" w:rsidTr="002D70E0">
        <w:tc>
          <w:tcPr>
            <w:tcW w:w="608" w:type="pct"/>
            <w:tcBorders>
              <w:top w:val="single" w:sz="2" w:space="0" w:color="000000"/>
              <w:left w:val="single" w:sz="2" w:space="0" w:color="000000"/>
              <w:bottom w:val="single" w:sz="2" w:space="0" w:color="000000"/>
              <w:right w:val="single" w:sz="4" w:space="0" w:color="auto"/>
            </w:tcBorders>
          </w:tcPr>
          <w:p w14:paraId="3A9B7F0E"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Glavni VTE događaji</w:t>
            </w:r>
          </w:p>
        </w:tc>
        <w:tc>
          <w:tcPr>
            <w:tcW w:w="633" w:type="pct"/>
            <w:tcBorders>
              <w:top w:val="single" w:sz="4" w:space="0" w:color="auto"/>
              <w:left w:val="single" w:sz="4" w:space="0" w:color="auto"/>
              <w:bottom w:val="single" w:sz="4" w:space="0" w:color="auto"/>
              <w:right w:val="single" w:sz="4" w:space="0" w:color="auto"/>
            </w:tcBorders>
          </w:tcPr>
          <w:p w14:paraId="7A661AA5"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4 (0,2%)</w:t>
            </w:r>
          </w:p>
        </w:tc>
        <w:tc>
          <w:tcPr>
            <w:tcW w:w="560" w:type="pct"/>
            <w:tcBorders>
              <w:top w:val="single" w:sz="4" w:space="0" w:color="auto"/>
              <w:left w:val="single" w:sz="4" w:space="0" w:color="auto"/>
              <w:bottom w:val="single" w:sz="4" w:space="0" w:color="auto"/>
              <w:right w:val="single" w:sz="4" w:space="0" w:color="auto"/>
            </w:tcBorders>
          </w:tcPr>
          <w:p w14:paraId="3A1925A0"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33 (2,0%)</w:t>
            </w:r>
          </w:p>
        </w:tc>
        <w:tc>
          <w:tcPr>
            <w:tcW w:w="307" w:type="pct"/>
            <w:tcBorders>
              <w:top w:val="single" w:sz="4" w:space="0" w:color="auto"/>
              <w:left w:val="single" w:sz="4" w:space="0" w:color="auto"/>
              <w:bottom w:val="single" w:sz="4" w:space="0" w:color="auto"/>
              <w:right w:val="single" w:sz="4" w:space="0" w:color="auto"/>
            </w:tcBorders>
          </w:tcPr>
          <w:p w14:paraId="71C5445D"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&lt; 0,001</w:t>
            </w:r>
          </w:p>
        </w:tc>
        <w:tc>
          <w:tcPr>
            <w:tcW w:w="633" w:type="pct"/>
            <w:tcBorders>
              <w:top w:val="single" w:sz="4" w:space="0" w:color="auto"/>
              <w:left w:val="single" w:sz="4" w:space="0" w:color="auto"/>
              <w:bottom w:val="single" w:sz="4" w:space="0" w:color="auto"/>
              <w:right w:val="single" w:sz="4" w:space="0" w:color="auto"/>
            </w:tcBorders>
          </w:tcPr>
          <w:p w14:paraId="37DC8A70"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6 (0,6%)</w:t>
            </w:r>
          </w:p>
        </w:tc>
        <w:tc>
          <w:tcPr>
            <w:tcW w:w="578" w:type="pct"/>
            <w:tcBorders>
              <w:top w:val="single" w:sz="4" w:space="0" w:color="auto"/>
              <w:left w:val="single" w:sz="4" w:space="0" w:color="auto"/>
              <w:bottom w:val="single" w:sz="4" w:space="0" w:color="auto"/>
              <w:right w:val="single" w:sz="4" w:space="0" w:color="auto"/>
            </w:tcBorders>
          </w:tcPr>
          <w:p w14:paraId="22B7BED6"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49 (5,1%)</w:t>
            </w:r>
          </w:p>
        </w:tc>
        <w:tc>
          <w:tcPr>
            <w:tcW w:w="307" w:type="pct"/>
            <w:tcBorders>
              <w:top w:val="single" w:sz="4" w:space="0" w:color="auto"/>
              <w:left w:val="single" w:sz="4" w:space="0" w:color="auto"/>
              <w:bottom w:val="single" w:sz="4" w:space="0" w:color="auto"/>
              <w:right w:val="single" w:sz="4" w:space="0" w:color="auto"/>
            </w:tcBorders>
          </w:tcPr>
          <w:p w14:paraId="7E20CA8A" w14:textId="15E61BA6"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&lt;0,001</w:t>
            </w:r>
          </w:p>
        </w:tc>
        <w:tc>
          <w:tcPr>
            <w:tcW w:w="600" w:type="pct"/>
            <w:tcBorders>
              <w:top w:val="single" w:sz="4" w:space="0" w:color="auto"/>
              <w:left w:val="single" w:sz="4" w:space="0" w:color="auto"/>
              <w:bottom w:val="single" w:sz="4" w:space="0" w:color="auto"/>
              <w:right w:val="single" w:sz="4" w:space="0" w:color="auto"/>
            </w:tcBorders>
          </w:tcPr>
          <w:p w14:paraId="4B07162E" w14:textId="77777777" w:rsidR="001E010E" w:rsidRPr="002D70E0" w:rsidRDefault="001E010E" w:rsidP="005D101E">
            <w:pPr>
              <w:ind w:left="55"/>
              <w:rPr>
                <w:rFonts w:ascii="Times New Roman" w:hAnsi="Times New Roman"/>
                <w:color w:val="000000"/>
                <w:sz w:val="22"/>
                <w:szCs w:val="22"/>
                <w:lang w:val="sr-Latn-ME"/>
              </w:rPr>
            </w:pPr>
            <w:r w:rsidRPr="002D70E0">
              <w:rPr>
                <w:color w:val="000000"/>
                <w:sz w:val="22"/>
                <w:szCs w:val="22"/>
                <w:lang w:val="sr-Latn-ME"/>
              </w:rPr>
              <w:t>9 (1,0%)</w:t>
            </w:r>
          </w:p>
        </w:tc>
        <w:tc>
          <w:tcPr>
            <w:tcW w:w="525" w:type="pct"/>
            <w:tcBorders>
              <w:top w:val="single" w:sz="4" w:space="0" w:color="auto"/>
              <w:left w:val="single" w:sz="4" w:space="0" w:color="auto"/>
              <w:bottom w:val="single" w:sz="4" w:space="0" w:color="auto"/>
              <w:right w:val="single" w:sz="4" w:space="0" w:color="auto"/>
            </w:tcBorders>
          </w:tcPr>
          <w:p w14:paraId="69EABAE6"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24 (2,6%)</w:t>
            </w:r>
          </w:p>
        </w:tc>
        <w:tc>
          <w:tcPr>
            <w:tcW w:w="250" w:type="pct"/>
            <w:tcBorders>
              <w:top w:val="single" w:sz="4" w:space="0" w:color="auto"/>
              <w:left w:val="single" w:sz="4" w:space="0" w:color="auto"/>
              <w:bottom w:val="single" w:sz="4" w:space="0" w:color="auto"/>
              <w:right w:val="single" w:sz="4" w:space="0" w:color="auto"/>
            </w:tcBorders>
          </w:tcPr>
          <w:p w14:paraId="6D1101BD"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0,01</w:t>
            </w:r>
          </w:p>
        </w:tc>
      </w:tr>
      <w:tr w:rsidR="000A4CB6" w:rsidRPr="007D7545" w14:paraId="1220585F" w14:textId="77777777" w:rsidTr="002D70E0">
        <w:tc>
          <w:tcPr>
            <w:tcW w:w="608" w:type="pct"/>
            <w:tcBorders>
              <w:top w:val="single" w:sz="2" w:space="0" w:color="000000"/>
              <w:left w:val="single" w:sz="2" w:space="0" w:color="000000"/>
              <w:bottom w:val="single" w:sz="2" w:space="0" w:color="000000"/>
              <w:right w:val="single" w:sz="4" w:space="0" w:color="auto"/>
            </w:tcBorders>
          </w:tcPr>
          <w:p w14:paraId="06B92DF9"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 xml:space="preserve">Simptomatski </w:t>
            </w:r>
          </w:p>
          <w:p w14:paraId="09255691"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VTE događaji</w:t>
            </w:r>
          </w:p>
        </w:tc>
        <w:tc>
          <w:tcPr>
            <w:tcW w:w="633" w:type="pct"/>
            <w:tcBorders>
              <w:top w:val="single" w:sz="4" w:space="0" w:color="auto"/>
              <w:left w:val="single" w:sz="4" w:space="0" w:color="auto"/>
              <w:bottom w:val="single" w:sz="4" w:space="0" w:color="auto"/>
              <w:right w:val="single" w:sz="4" w:space="0" w:color="auto"/>
            </w:tcBorders>
          </w:tcPr>
          <w:p w14:paraId="7876B97C"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6 (0,4%)</w:t>
            </w:r>
          </w:p>
        </w:tc>
        <w:tc>
          <w:tcPr>
            <w:tcW w:w="560" w:type="pct"/>
            <w:tcBorders>
              <w:top w:val="single" w:sz="4" w:space="0" w:color="auto"/>
              <w:left w:val="single" w:sz="4" w:space="0" w:color="auto"/>
              <w:bottom w:val="single" w:sz="4" w:space="0" w:color="auto"/>
              <w:right w:val="single" w:sz="4" w:space="0" w:color="auto"/>
            </w:tcBorders>
          </w:tcPr>
          <w:p w14:paraId="7DB6CED1"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11 (0,7%)</w:t>
            </w:r>
          </w:p>
        </w:tc>
        <w:tc>
          <w:tcPr>
            <w:tcW w:w="307" w:type="pct"/>
            <w:tcBorders>
              <w:top w:val="single" w:sz="4" w:space="0" w:color="auto"/>
              <w:left w:val="single" w:sz="4" w:space="0" w:color="auto"/>
              <w:bottom w:val="single" w:sz="4" w:space="0" w:color="auto"/>
              <w:right w:val="single" w:sz="4" w:space="0" w:color="auto"/>
            </w:tcBorders>
          </w:tcPr>
          <w:p w14:paraId="69292308" w14:textId="77777777" w:rsidR="001E010E" w:rsidRPr="002D70E0" w:rsidRDefault="001E010E" w:rsidP="005D101E">
            <w:pPr>
              <w:rPr>
                <w:rFonts w:ascii="Times New Roman" w:hAnsi="Times New Roman"/>
                <w:color w:val="000000"/>
                <w:sz w:val="22"/>
                <w:szCs w:val="22"/>
                <w:lang w:val="sr-Latn-ME"/>
              </w:rPr>
            </w:pPr>
          </w:p>
        </w:tc>
        <w:tc>
          <w:tcPr>
            <w:tcW w:w="633" w:type="pct"/>
            <w:tcBorders>
              <w:top w:val="single" w:sz="4" w:space="0" w:color="auto"/>
              <w:left w:val="single" w:sz="4" w:space="0" w:color="auto"/>
              <w:bottom w:val="single" w:sz="4" w:space="0" w:color="auto"/>
              <w:right w:val="single" w:sz="4" w:space="0" w:color="auto"/>
            </w:tcBorders>
          </w:tcPr>
          <w:p w14:paraId="6A31D487" w14:textId="77777777" w:rsidR="001E010E" w:rsidRPr="002D70E0" w:rsidRDefault="001E010E" w:rsidP="005D101E">
            <w:pPr>
              <w:ind w:left="60"/>
              <w:rPr>
                <w:rFonts w:ascii="Times New Roman" w:hAnsi="Times New Roman"/>
                <w:color w:val="000000"/>
                <w:sz w:val="22"/>
                <w:szCs w:val="22"/>
                <w:lang w:val="sr-Latn-ME"/>
              </w:rPr>
            </w:pPr>
            <w:r w:rsidRPr="002D70E0">
              <w:rPr>
                <w:color w:val="000000"/>
                <w:sz w:val="22"/>
                <w:szCs w:val="22"/>
                <w:lang w:val="sr-Latn-ME"/>
              </w:rPr>
              <w:t>3 (0,4%)</w:t>
            </w:r>
          </w:p>
        </w:tc>
        <w:tc>
          <w:tcPr>
            <w:tcW w:w="578" w:type="pct"/>
            <w:tcBorders>
              <w:top w:val="single" w:sz="4" w:space="0" w:color="auto"/>
              <w:left w:val="single" w:sz="4" w:space="0" w:color="auto"/>
              <w:bottom w:val="single" w:sz="4" w:space="0" w:color="auto"/>
              <w:right w:val="single" w:sz="4" w:space="0" w:color="auto"/>
            </w:tcBorders>
          </w:tcPr>
          <w:p w14:paraId="14B32B18"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15 (1,7%)</w:t>
            </w:r>
          </w:p>
        </w:tc>
        <w:tc>
          <w:tcPr>
            <w:tcW w:w="307" w:type="pct"/>
            <w:tcBorders>
              <w:top w:val="single" w:sz="4" w:space="0" w:color="auto"/>
              <w:left w:val="single" w:sz="4" w:space="0" w:color="auto"/>
              <w:bottom w:val="single" w:sz="4" w:space="0" w:color="auto"/>
              <w:right w:val="single" w:sz="4" w:space="0" w:color="auto"/>
            </w:tcBorders>
          </w:tcPr>
          <w:p w14:paraId="3888E859" w14:textId="77777777" w:rsidR="001E010E" w:rsidRPr="002D70E0" w:rsidRDefault="001E010E" w:rsidP="005D101E">
            <w:pPr>
              <w:rPr>
                <w:rFonts w:ascii="Times New Roman" w:hAnsi="Times New Roman"/>
                <w:color w:val="000000"/>
                <w:sz w:val="22"/>
                <w:szCs w:val="22"/>
                <w:lang w:val="sr-Latn-ME"/>
              </w:rPr>
            </w:pPr>
          </w:p>
        </w:tc>
        <w:tc>
          <w:tcPr>
            <w:tcW w:w="600" w:type="pct"/>
            <w:tcBorders>
              <w:top w:val="single" w:sz="4" w:space="0" w:color="auto"/>
              <w:left w:val="single" w:sz="4" w:space="0" w:color="auto"/>
              <w:bottom w:val="single" w:sz="4" w:space="0" w:color="auto"/>
              <w:right w:val="single" w:sz="4" w:space="0" w:color="auto"/>
            </w:tcBorders>
          </w:tcPr>
          <w:p w14:paraId="774673BF" w14:textId="77777777" w:rsidR="001E010E" w:rsidRPr="002D70E0" w:rsidRDefault="001E010E" w:rsidP="005D101E">
            <w:pPr>
              <w:ind w:left="55"/>
              <w:rPr>
                <w:rFonts w:ascii="Times New Roman" w:hAnsi="Times New Roman"/>
                <w:color w:val="000000"/>
                <w:sz w:val="22"/>
                <w:szCs w:val="22"/>
                <w:lang w:val="sr-Latn-ME"/>
              </w:rPr>
            </w:pPr>
            <w:r w:rsidRPr="002D70E0">
              <w:rPr>
                <w:color w:val="000000"/>
                <w:sz w:val="22"/>
                <w:szCs w:val="22"/>
                <w:lang w:val="sr-Latn-ME"/>
              </w:rPr>
              <w:t>8 (1,0%)</w:t>
            </w:r>
          </w:p>
        </w:tc>
        <w:tc>
          <w:tcPr>
            <w:tcW w:w="525" w:type="pct"/>
            <w:tcBorders>
              <w:top w:val="single" w:sz="4" w:space="0" w:color="auto"/>
              <w:left w:val="single" w:sz="4" w:space="0" w:color="auto"/>
              <w:bottom w:val="single" w:sz="4" w:space="0" w:color="auto"/>
              <w:right w:val="single" w:sz="4" w:space="0" w:color="auto"/>
            </w:tcBorders>
          </w:tcPr>
          <w:p w14:paraId="64D36949"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24 (2,7%)</w:t>
            </w:r>
          </w:p>
        </w:tc>
        <w:tc>
          <w:tcPr>
            <w:tcW w:w="250" w:type="pct"/>
            <w:tcBorders>
              <w:top w:val="single" w:sz="4" w:space="0" w:color="auto"/>
              <w:left w:val="single" w:sz="4" w:space="0" w:color="auto"/>
              <w:bottom w:val="single" w:sz="4" w:space="0" w:color="auto"/>
              <w:right w:val="single" w:sz="4" w:space="0" w:color="auto"/>
            </w:tcBorders>
          </w:tcPr>
          <w:p w14:paraId="1D7AFBF3" w14:textId="77777777" w:rsidR="001E010E" w:rsidRPr="007D7545" w:rsidRDefault="001E010E" w:rsidP="005D101E">
            <w:pPr>
              <w:rPr>
                <w:rFonts w:ascii="Times New Roman" w:hAnsi="Times New Roman"/>
                <w:color w:val="000000"/>
                <w:sz w:val="22"/>
                <w:szCs w:val="22"/>
                <w:lang w:val="sr-Latn-ME"/>
              </w:rPr>
            </w:pPr>
          </w:p>
        </w:tc>
      </w:tr>
      <w:tr w:rsidR="000A4CB6" w:rsidRPr="007D7545" w14:paraId="45CB6D54" w14:textId="77777777" w:rsidTr="002D70E0">
        <w:tc>
          <w:tcPr>
            <w:tcW w:w="608" w:type="pct"/>
            <w:tcBorders>
              <w:top w:val="single" w:sz="2" w:space="0" w:color="000000"/>
              <w:left w:val="single" w:sz="2" w:space="0" w:color="000000"/>
              <w:bottom w:val="single" w:sz="2" w:space="0" w:color="000000"/>
              <w:right w:val="single" w:sz="4" w:space="0" w:color="auto"/>
            </w:tcBorders>
          </w:tcPr>
          <w:p w14:paraId="7DEAE5BC" w14:textId="77777777" w:rsidR="001E010E" w:rsidRPr="002D70E0" w:rsidRDefault="001E010E" w:rsidP="005D101E">
            <w:pPr>
              <w:rPr>
                <w:rFonts w:ascii="Times New Roman" w:hAnsi="Times New Roman"/>
                <w:color w:val="000000"/>
                <w:sz w:val="22"/>
                <w:szCs w:val="22"/>
                <w:lang w:val="sr-Latn-ME"/>
              </w:rPr>
            </w:pPr>
            <w:r w:rsidRPr="002D70E0">
              <w:rPr>
                <w:color w:val="000000"/>
                <w:sz w:val="22"/>
                <w:szCs w:val="22"/>
                <w:lang w:val="sr-Latn-ME"/>
              </w:rPr>
              <w:t>Obilna krvarenja</w:t>
            </w:r>
          </w:p>
        </w:tc>
        <w:tc>
          <w:tcPr>
            <w:tcW w:w="633" w:type="pct"/>
            <w:tcBorders>
              <w:top w:val="single" w:sz="4" w:space="0" w:color="auto"/>
              <w:left w:val="single" w:sz="4" w:space="0" w:color="auto"/>
              <w:bottom w:val="single" w:sz="4" w:space="0" w:color="auto"/>
              <w:right w:val="single" w:sz="4" w:space="0" w:color="auto"/>
            </w:tcBorders>
          </w:tcPr>
          <w:p w14:paraId="377C6A76" w14:textId="77777777" w:rsidR="001E010E" w:rsidRPr="002D70E0" w:rsidRDefault="001E010E" w:rsidP="005D101E">
            <w:pPr>
              <w:tabs>
                <w:tab w:val="center" w:pos="1337"/>
              </w:tabs>
              <w:rPr>
                <w:rFonts w:ascii="Times New Roman" w:hAnsi="Times New Roman"/>
                <w:color w:val="000000"/>
                <w:sz w:val="22"/>
                <w:szCs w:val="22"/>
                <w:lang w:val="sr-Latn-ME"/>
              </w:rPr>
            </w:pPr>
            <w:r w:rsidRPr="002D70E0">
              <w:rPr>
                <w:color w:val="000000"/>
                <w:sz w:val="22"/>
                <w:szCs w:val="22"/>
                <w:lang w:val="sr-Latn-ME"/>
              </w:rPr>
              <w:t>6 (0,3%)</w:t>
            </w:r>
            <w:r w:rsidRPr="002D70E0">
              <w:rPr>
                <w:color w:val="000000"/>
                <w:sz w:val="22"/>
                <w:szCs w:val="22"/>
                <w:lang w:val="sr-Latn-ME"/>
              </w:rPr>
              <w:tab/>
              <w:t xml:space="preserve">           </w:t>
            </w:r>
          </w:p>
        </w:tc>
        <w:tc>
          <w:tcPr>
            <w:tcW w:w="560" w:type="pct"/>
            <w:tcBorders>
              <w:top w:val="single" w:sz="4" w:space="0" w:color="auto"/>
              <w:left w:val="single" w:sz="4" w:space="0" w:color="auto"/>
              <w:bottom w:val="single" w:sz="4" w:space="0" w:color="auto"/>
              <w:right w:val="single" w:sz="4" w:space="0" w:color="auto"/>
            </w:tcBorders>
          </w:tcPr>
          <w:p w14:paraId="3B0D12CD" w14:textId="77777777" w:rsidR="001E010E" w:rsidRPr="002D70E0" w:rsidRDefault="001E010E" w:rsidP="005D101E">
            <w:pPr>
              <w:tabs>
                <w:tab w:val="center" w:pos="1337"/>
              </w:tabs>
              <w:rPr>
                <w:rFonts w:ascii="Times New Roman" w:hAnsi="Times New Roman"/>
                <w:color w:val="000000"/>
                <w:sz w:val="22"/>
                <w:szCs w:val="22"/>
                <w:lang w:val="sr-Latn-ME"/>
              </w:rPr>
            </w:pPr>
            <w:r w:rsidRPr="002D70E0">
              <w:rPr>
                <w:color w:val="000000"/>
                <w:sz w:val="22"/>
                <w:szCs w:val="22"/>
                <w:lang w:val="sr-Latn-ME"/>
              </w:rPr>
              <w:t>2 (0,1%)</w:t>
            </w:r>
          </w:p>
        </w:tc>
        <w:tc>
          <w:tcPr>
            <w:tcW w:w="307" w:type="pct"/>
            <w:tcBorders>
              <w:top w:val="single" w:sz="4" w:space="0" w:color="auto"/>
              <w:left w:val="single" w:sz="4" w:space="0" w:color="auto"/>
              <w:bottom w:val="single" w:sz="4" w:space="0" w:color="auto"/>
              <w:right w:val="single" w:sz="4" w:space="0" w:color="auto"/>
            </w:tcBorders>
          </w:tcPr>
          <w:p w14:paraId="7F970574" w14:textId="77777777" w:rsidR="001E010E" w:rsidRPr="002D70E0" w:rsidRDefault="001E010E" w:rsidP="005D101E">
            <w:pPr>
              <w:tabs>
                <w:tab w:val="center" w:pos="1337"/>
              </w:tabs>
              <w:rPr>
                <w:rFonts w:ascii="Times New Roman" w:hAnsi="Times New Roman"/>
                <w:color w:val="000000"/>
                <w:sz w:val="22"/>
                <w:szCs w:val="22"/>
                <w:lang w:val="sr-Latn-ME"/>
              </w:rPr>
            </w:pPr>
          </w:p>
        </w:tc>
        <w:tc>
          <w:tcPr>
            <w:tcW w:w="633" w:type="pct"/>
            <w:tcBorders>
              <w:top w:val="single" w:sz="4" w:space="0" w:color="auto"/>
              <w:left w:val="single" w:sz="4" w:space="0" w:color="auto"/>
              <w:bottom w:val="single" w:sz="4" w:space="0" w:color="auto"/>
              <w:right w:val="single" w:sz="4" w:space="0" w:color="auto"/>
            </w:tcBorders>
          </w:tcPr>
          <w:p w14:paraId="5FB9422D" w14:textId="77777777" w:rsidR="001E010E" w:rsidRPr="002D70E0" w:rsidRDefault="001E010E" w:rsidP="005D101E">
            <w:pPr>
              <w:tabs>
                <w:tab w:val="center" w:pos="1337"/>
              </w:tabs>
              <w:rPr>
                <w:rFonts w:ascii="Times New Roman" w:hAnsi="Times New Roman"/>
                <w:color w:val="000000"/>
                <w:sz w:val="22"/>
                <w:szCs w:val="22"/>
                <w:lang w:val="sr-Latn-ME"/>
              </w:rPr>
            </w:pPr>
            <w:r w:rsidRPr="002D70E0">
              <w:rPr>
                <w:color w:val="000000"/>
                <w:sz w:val="22"/>
                <w:szCs w:val="22"/>
                <w:lang w:val="sr-Latn-ME"/>
              </w:rPr>
              <w:t>1 (0,1%)</w:t>
            </w:r>
            <w:r w:rsidRPr="002D70E0">
              <w:rPr>
                <w:color w:val="000000"/>
                <w:sz w:val="22"/>
                <w:szCs w:val="22"/>
                <w:lang w:val="sr-Latn-ME"/>
              </w:rPr>
              <w:tab/>
            </w:r>
          </w:p>
        </w:tc>
        <w:tc>
          <w:tcPr>
            <w:tcW w:w="578" w:type="pct"/>
            <w:tcBorders>
              <w:top w:val="single" w:sz="4" w:space="0" w:color="auto"/>
              <w:left w:val="single" w:sz="4" w:space="0" w:color="auto"/>
              <w:bottom w:val="single" w:sz="4" w:space="0" w:color="auto"/>
              <w:right w:val="single" w:sz="4" w:space="0" w:color="auto"/>
            </w:tcBorders>
          </w:tcPr>
          <w:p w14:paraId="612CAF1B" w14:textId="77777777" w:rsidR="001E010E" w:rsidRPr="002D70E0" w:rsidRDefault="001E010E" w:rsidP="005D101E">
            <w:pPr>
              <w:tabs>
                <w:tab w:val="center" w:pos="1337"/>
              </w:tabs>
              <w:rPr>
                <w:rFonts w:ascii="Times New Roman" w:hAnsi="Times New Roman"/>
                <w:color w:val="000000"/>
                <w:sz w:val="22"/>
                <w:szCs w:val="22"/>
                <w:lang w:val="sr-Latn-ME"/>
              </w:rPr>
            </w:pPr>
            <w:r w:rsidRPr="002D70E0">
              <w:rPr>
                <w:color w:val="000000"/>
                <w:sz w:val="22"/>
                <w:szCs w:val="22"/>
                <w:lang w:val="sr-Latn-ME"/>
              </w:rPr>
              <w:t>1 (0,1%)</w:t>
            </w:r>
          </w:p>
        </w:tc>
        <w:tc>
          <w:tcPr>
            <w:tcW w:w="307" w:type="pct"/>
            <w:tcBorders>
              <w:top w:val="single" w:sz="4" w:space="0" w:color="auto"/>
              <w:left w:val="single" w:sz="4" w:space="0" w:color="auto"/>
              <w:bottom w:val="single" w:sz="4" w:space="0" w:color="auto"/>
              <w:right w:val="single" w:sz="4" w:space="0" w:color="auto"/>
            </w:tcBorders>
          </w:tcPr>
          <w:p w14:paraId="0A469B31" w14:textId="77777777" w:rsidR="001E010E" w:rsidRPr="002D70E0" w:rsidRDefault="001E010E" w:rsidP="005D101E">
            <w:pPr>
              <w:tabs>
                <w:tab w:val="center" w:pos="1337"/>
              </w:tabs>
              <w:rPr>
                <w:rFonts w:ascii="Times New Roman" w:hAnsi="Times New Roman"/>
                <w:color w:val="000000"/>
                <w:sz w:val="22"/>
                <w:szCs w:val="22"/>
                <w:lang w:val="sr-Latn-ME"/>
              </w:rPr>
            </w:pPr>
          </w:p>
        </w:tc>
        <w:tc>
          <w:tcPr>
            <w:tcW w:w="600" w:type="pct"/>
            <w:tcBorders>
              <w:top w:val="single" w:sz="4" w:space="0" w:color="auto"/>
              <w:left w:val="single" w:sz="4" w:space="0" w:color="auto"/>
              <w:bottom w:val="single" w:sz="4" w:space="0" w:color="auto"/>
              <w:right w:val="single" w:sz="4" w:space="0" w:color="auto"/>
            </w:tcBorders>
          </w:tcPr>
          <w:p w14:paraId="51BC6E5B" w14:textId="77777777" w:rsidR="001E010E" w:rsidRPr="002D70E0" w:rsidRDefault="001E010E" w:rsidP="005D101E">
            <w:pPr>
              <w:tabs>
                <w:tab w:val="center" w:pos="1327"/>
              </w:tabs>
              <w:rPr>
                <w:rFonts w:ascii="Times New Roman" w:hAnsi="Times New Roman"/>
                <w:color w:val="000000"/>
                <w:sz w:val="22"/>
                <w:szCs w:val="22"/>
                <w:lang w:val="sr-Latn-ME"/>
              </w:rPr>
            </w:pPr>
            <w:r w:rsidRPr="002D70E0">
              <w:rPr>
                <w:color w:val="000000"/>
                <w:sz w:val="22"/>
                <w:szCs w:val="22"/>
                <w:lang w:val="sr-Latn-ME"/>
              </w:rPr>
              <w:t>7 (0,6%)</w:t>
            </w:r>
            <w:r w:rsidRPr="002D70E0">
              <w:rPr>
                <w:color w:val="000000"/>
                <w:sz w:val="22"/>
                <w:szCs w:val="22"/>
                <w:lang w:val="sr-Latn-ME"/>
              </w:rPr>
              <w:tab/>
            </w:r>
          </w:p>
        </w:tc>
        <w:tc>
          <w:tcPr>
            <w:tcW w:w="525" w:type="pct"/>
            <w:tcBorders>
              <w:top w:val="single" w:sz="4" w:space="0" w:color="auto"/>
              <w:left w:val="single" w:sz="4" w:space="0" w:color="auto"/>
              <w:bottom w:val="single" w:sz="4" w:space="0" w:color="auto"/>
              <w:right w:val="single" w:sz="4" w:space="0" w:color="auto"/>
            </w:tcBorders>
          </w:tcPr>
          <w:p w14:paraId="44E284CE" w14:textId="77777777" w:rsidR="001E010E" w:rsidRPr="002D70E0" w:rsidRDefault="001E010E" w:rsidP="005D101E">
            <w:pPr>
              <w:tabs>
                <w:tab w:val="center" w:pos="1327"/>
              </w:tabs>
              <w:rPr>
                <w:rFonts w:ascii="Times New Roman" w:hAnsi="Times New Roman"/>
                <w:color w:val="000000"/>
                <w:sz w:val="22"/>
                <w:szCs w:val="22"/>
                <w:lang w:val="sr-Latn-ME"/>
              </w:rPr>
            </w:pPr>
            <w:r w:rsidRPr="002D70E0">
              <w:rPr>
                <w:color w:val="000000"/>
                <w:sz w:val="22"/>
                <w:szCs w:val="22"/>
                <w:lang w:val="sr-Latn-ME"/>
              </w:rPr>
              <w:t>6 (0,5%)</w:t>
            </w:r>
          </w:p>
        </w:tc>
        <w:tc>
          <w:tcPr>
            <w:tcW w:w="250" w:type="pct"/>
            <w:tcBorders>
              <w:top w:val="single" w:sz="4" w:space="0" w:color="auto"/>
              <w:left w:val="single" w:sz="4" w:space="0" w:color="auto"/>
              <w:bottom w:val="single" w:sz="4" w:space="0" w:color="auto"/>
              <w:right w:val="single" w:sz="4" w:space="0" w:color="auto"/>
            </w:tcBorders>
          </w:tcPr>
          <w:p w14:paraId="410DB451" w14:textId="77777777" w:rsidR="001E010E" w:rsidRPr="007D7545" w:rsidRDefault="001E010E" w:rsidP="005D101E">
            <w:pPr>
              <w:tabs>
                <w:tab w:val="center" w:pos="1327"/>
              </w:tabs>
              <w:rPr>
                <w:rFonts w:ascii="Times New Roman" w:hAnsi="Times New Roman"/>
                <w:color w:val="000000"/>
                <w:sz w:val="22"/>
                <w:szCs w:val="22"/>
                <w:lang w:val="sr-Latn-ME"/>
              </w:rPr>
            </w:pPr>
          </w:p>
        </w:tc>
      </w:tr>
    </w:tbl>
    <w:p w14:paraId="282E0A8E" w14:textId="77777777" w:rsidR="001E010E" w:rsidRPr="007D7545" w:rsidRDefault="001E010E" w:rsidP="005D101E">
      <w:pPr>
        <w:ind w:hanging="10"/>
        <w:rPr>
          <w:color w:val="000000"/>
          <w:sz w:val="22"/>
          <w:szCs w:val="22"/>
          <w:lang w:val="sr-Latn-ME"/>
        </w:rPr>
      </w:pPr>
    </w:p>
    <w:p w14:paraId="0957B7AA" w14:textId="04B9E6BF" w:rsidR="001E010E" w:rsidRPr="007D7545" w:rsidRDefault="001E010E" w:rsidP="005D101E">
      <w:pPr>
        <w:ind w:hanging="10"/>
        <w:jc w:val="both"/>
        <w:rPr>
          <w:color w:val="000000"/>
          <w:sz w:val="22"/>
          <w:szCs w:val="22"/>
          <w:lang w:val="sr-Latn-ME"/>
        </w:rPr>
      </w:pPr>
      <w:r w:rsidRPr="007D7545">
        <w:rPr>
          <w:color w:val="000000"/>
          <w:sz w:val="22"/>
          <w:szCs w:val="22"/>
          <w:lang w:val="sr-Latn-ME"/>
        </w:rPr>
        <w:t>Analiza objedinjenih rezultata studija faze III potvrdila je rezultate dobijene u pojedinačnim studijama u odnosu na smanjenje svih VTE događaja, glavnih VTE događaja i simptomatskih VTE događaja sa rivaroksabanom u dozi od 10 mg, jednom dnevno, u poređenju sa enoksaparinom u dozi od 40 mg, jednom dnevno.</w:t>
      </w:r>
    </w:p>
    <w:p w14:paraId="6AD5EDE6" w14:textId="77777777" w:rsidR="00DC68A9" w:rsidRPr="007D7545" w:rsidRDefault="00DC68A9" w:rsidP="005D101E">
      <w:pPr>
        <w:ind w:hanging="10"/>
        <w:jc w:val="both"/>
        <w:rPr>
          <w:color w:val="000000"/>
          <w:sz w:val="22"/>
          <w:szCs w:val="22"/>
          <w:lang w:val="sr-Latn-ME"/>
        </w:rPr>
      </w:pPr>
    </w:p>
    <w:p w14:paraId="052DB294" w14:textId="481A37D7"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Kao dodatak programu RECORD studija faze III, sprovedena je neinterventna, otvorena, kohortna studija (XAMOS) nakon stavljanja lijeka u promet, na 17413 pacijenata koji su bili podvrgnuti velikoj ortopedskoj hirurškoj intervenciji na kuku ili kolenu, da bi se rivaroksaban uporedio sa drugim farmakološkim tromboprofilakticima (standard u terapiji) pri uobičajenim uslovima. Simptomatski VTE događaji su se javili kod 57 (0,6%) pacijenata koji su bili u grupi koja je primala rivaroksaban (n=8778) i 88 (1,0%) pacijenata koji su bili u grupi koja je primala standardnu terapiju (n=8635: </w:t>
      </w:r>
      <w:r w:rsidRPr="007D7545">
        <w:rPr>
          <w:i/>
          <w:color w:val="000000"/>
          <w:sz w:val="22"/>
          <w:szCs w:val="22"/>
          <w:lang w:val="sr-Latn-ME" w:eastAsia="sl-SI"/>
        </w:rPr>
        <w:t>hazard ratio</w:t>
      </w:r>
      <w:r w:rsidRPr="007D7545">
        <w:rPr>
          <w:color w:val="000000"/>
          <w:sz w:val="22"/>
          <w:szCs w:val="22"/>
          <w:lang w:val="sr-Latn-ME" w:eastAsia="sl-SI"/>
        </w:rPr>
        <w:t xml:space="preserve"> (</w:t>
      </w:r>
      <w:r w:rsidRPr="007D7545">
        <w:rPr>
          <w:color w:val="000000"/>
          <w:sz w:val="22"/>
          <w:szCs w:val="22"/>
          <w:lang w:val="sr-Latn-ME"/>
        </w:rPr>
        <w:t xml:space="preserve">HR) 0,63; 95% CI 0,430,91; populacija u kojoj je ispitivana bezbjednost). Obilno krvarenje se javilo kod 35 (0,4%) pacijenata koji su bili u grupi koja je primala rivaroksaban i kod 29 (0,3%) pacijenata </w:t>
      </w:r>
      <w:r w:rsidRPr="007D7545">
        <w:rPr>
          <w:color w:val="000000"/>
          <w:sz w:val="22"/>
          <w:szCs w:val="22"/>
          <w:lang w:val="sr-Latn-ME"/>
        </w:rPr>
        <w:lastRenderedPageBreak/>
        <w:t>koji su bili u grupi koja je primala standardnu terapiju (HR 1,10: 95% CI 0,67-1,80). Prema tome, rezultati su bili u skladu sa rezultatima pivotalnih randomizovanih studija.</w:t>
      </w:r>
    </w:p>
    <w:p w14:paraId="0447E576" w14:textId="77777777" w:rsidR="00DC68A9" w:rsidRPr="007D7545" w:rsidRDefault="00DC68A9" w:rsidP="005D101E">
      <w:pPr>
        <w:ind w:hanging="10"/>
        <w:jc w:val="both"/>
        <w:rPr>
          <w:color w:val="000000"/>
          <w:sz w:val="22"/>
          <w:szCs w:val="22"/>
          <w:lang w:val="sr-Latn-ME"/>
        </w:rPr>
      </w:pPr>
    </w:p>
    <w:p w14:paraId="4528859F" w14:textId="77777777" w:rsidR="001E010E" w:rsidRPr="007D7545" w:rsidRDefault="001E010E" w:rsidP="005D101E">
      <w:pPr>
        <w:keepNext/>
        <w:keepLines/>
        <w:ind w:hanging="14"/>
        <w:jc w:val="both"/>
        <w:outlineLvl w:val="1"/>
        <w:rPr>
          <w:i/>
          <w:color w:val="000000"/>
          <w:sz w:val="22"/>
          <w:szCs w:val="22"/>
          <w:u w:color="000000"/>
          <w:lang w:val="sr-Latn-ME"/>
        </w:rPr>
      </w:pPr>
      <w:r w:rsidRPr="007D7545">
        <w:rPr>
          <w:i/>
          <w:color w:val="000000"/>
          <w:sz w:val="22"/>
          <w:szCs w:val="22"/>
          <w:u w:color="000000"/>
          <w:lang w:val="sr-Latn-ME"/>
        </w:rPr>
        <w:t>Terapija TDV, PE i prevencija rekurentne TDV i PE</w:t>
      </w:r>
    </w:p>
    <w:p w14:paraId="5C17A0C1" w14:textId="44C9F9FF" w:rsidR="001E010E" w:rsidRPr="007D7545" w:rsidRDefault="001E010E" w:rsidP="005D101E">
      <w:pPr>
        <w:ind w:hanging="14"/>
        <w:jc w:val="both"/>
        <w:rPr>
          <w:color w:val="000000"/>
          <w:sz w:val="22"/>
          <w:szCs w:val="22"/>
          <w:lang w:val="sr-Latn-ME"/>
        </w:rPr>
      </w:pPr>
      <w:r w:rsidRPr="007D7545">
        <w:rPr>
          <w:color w:val="000000"/>
          <w:sz w:val="22"/>
          <w:szCs w:val="22"/>
          <w:lang w:val="sr-Latn-ME"/>
        </w:rPr>
        <w:t>Klinički program rivaroksabana dizajniran je tako da pokaže efikasnost ovog lijeka u inicijalnom l</w:t>
      </w:r>
      <w:r w:rsidR="00DC68A9" w:rsidRPr="007D7545">
        <w:rPr>
          <w:color w:val="000000"/>
          <w:sz w:val="22"/>
          <w:szCs w:val="22"/>
          <w:lang w:val="sr-Latn-ME"/>
        </w:rPr>
        <w:t>ij</w:t>
      </w:r>
      <w:r w:rsidRPr="007D7545">
        <w:rPr>
          <w:color w:val="000000"/>
          <w:sz w:val="22"/>
          <w:szCs w:val="22"/>
          <w:lang w:val="sr-Latn-ME"/>
        </w:rPr>
        <w:t>ečenju, nastavku terapije akutne TDV i PE i u prevenciji rekurentnih stanja.</w:t>
      </w:r>
    </w:p>
    <w:p w14:paraId="117EE49B" w14:textId="0EB5E6DE" w:rsidR="001E010E" w:rsidRPr="007D7545" w:rsidRDefault="001E010E" w:rsidP="005D101E">
      <w:pPr>
        <w:ind w:hanging="10"/>
        <w:jc w:val="both"/>
        <w:rPr>
          <w:color w:val="000000"/>
          <w:sz w:val="22"/>
          <w:szCs w:val="22"/>
          <w:lang w:val="sr-Latn-ME"/>
        </w:rPr>
      </w:pPr>
      <w:r w:rsidRPr="007D7545">
        <w:rPr>
          <w:color w:val="000000"/>
          <w:sz w:val="22"/>
          <w:szCs w:val="22"/>
          <w:lang w:val="sr-Latn-ME"/>
        </w:rPr>
        <w:t>U ispitivanja je uključeno preko 12</w:t>
      </w:r>
      <w:r w:rsidR="00DC68A9" w:rsidRPr="007D7545">
        <w:rPr>
          <w:color w:val="000000"/>
          <w:sz w:val="22"/>
          <w:szCs w:val="22"/>
          <w:lang w:val="sr-Latn-ME"/>
        </w:rPr>
        <w:t xml:space="preserve"> </w:t>
      </w:r>
      <w:r w:rsidRPr="007D7545">
        <w:rPr>
          <w:color w:val="000000"/>
          <w:sz w:val="22"/>
          <w:szCs w:val="22"/>
          <w:lang w:val="sr-Latn-ME"/>
        </w:rPr>
        <w:t>800 pacijenata u četiri randomizovane kontrolisane kliničke studije faze III (</w:t>
      </w:r>
      <w:r w:rsidRPr="007D7545">
        <w:rPr>
          <w:i/>
          <w:color w:val="000000"/>
          <w:sz w:val="22"/>
          <w:szCs w:val="22"/>
          <w:lang w:val="sr-Latn-ME"/>
        </w:rPr>
        <w:t>Einstein DVT</w:t>
      </w:r>
      <w:r w:rsidRPr="007D7545">
        <w:rPr>
          <w:color w:val="000000"/>
          <w:sz w:val="22"/>
          <w:szCs w:val="22"/>
          <w:lang w:val="sr-Latn-ME"/>
        </w:rPr>
        <w:t xml:space="preserve">, </w:t>
      </w:r>
      <w:r w:rsidRPr="007D7545">
        <w:rPr>
          <w:i/>
          <w:color w:val="000000"/>
          <w:sz w:val="22"/>
          <w:szCs w:val="22"/>
          <w:lang w:val="sr-Latn-ME"/>
        </w:rPr>
        <w:t>Einstein PE</w:t>
      </w:r>
      <w:r w:rsidRPr="007D7545">
        <w:rPr>
          <w:color w:val="000000"/>
          <w:sz w:val="22"/>
          <w:szCs w:val="22"/>
          <w:lang w:val="sr-Latn-ME"/>
        </w:rPr>
        <w:t xml:space="preserve">, </w:t>
      </w:r>
      <w:r w:rsidRPr="007D7545">
        <w:rPr>
          <w:i/>
          <w:color w:val="000000"/>
          <w:sz w:val="22"/>
          <w:szCs w:val="22"/>
          <w:lang w:val="sr-Latn-ME"/>
        </w:rPr>
        <w:t xml:space="preserve">Einstein Extension </w:t>
      </w:r>
      <w:r w:rsidRPr="007D7545">
        <w:rPr>
          <w:color w:val="000000"/>
          <w:sz w:val="22"/>
          <w:szCs w:val="22"/>
          <w:lang w:val="sr-Latn-ME"/>
        </w:rPr>
        <w:t xml:space="preserve">i </w:t>
      </w:r>
      <w:r w:rsidRPr="007D7545">
        <w:rPr>
          <w:i/>
          <w:color w:val="000000"/>
          <w:sz w:val="22"/>
          <w:szCs w:val="22"/>
          <w:lang w:val="sr-Latn-ME"/>
        </w:rPr>
        <w:t>Einstein Choice</w:t>
      </w:r>
      <w:r w:rsidRPr="007D7545">
        <w:rPr>
          <w:color w:val="000000"/>
          <w:sz w:val="22"/>
          <w:szCs w:val="22"/>
          <w:lang w:val="sr-Latn-ME"/>
        </w:rPr>
        <w:t xml:space="preserve">), a dodatno je sprovedena i unapred definisana zbirna analiza </w:t>
      </w:r>
      <w:r w:rsidRPr="007D7545">
        <w:rPr>
          <w:i/>
          <w:color w:val="000000"/>
          <w:sz w:val="22"/>
          <w:szCs w:val="22"/>
          <w:lang w:val="sr-Latn-ME"/>
        </w:rPr>
        <w:t xml:space="preserve">Einstein DVT </w:t>
      </w:r>
      <w:r w:rsidRPr="007D7545">
        <w:rPr>
          <w:color w:val="000000"/>
          <w:sz w:val="22"/>
          <w:szCs w:val="22"/>
          <w:lang w:val="sr-Latn-ME"/>
        </w:rPr>
        <w:t xml:space="preserve">i </w:t>
      </w:r>
      <w:r w:rsidRPr="007D7545">
        <w:rPr>
          <w:i/>
          <w:color w:val="000000"/>
          <w:sz w:val="22"/>
          <w:szCs w:val="22"/>
          <w:lang w:val="sr-Latn-ME"/>
        </w:rPr>
        <w:t xml:space="preserve">Einstein </w:t>
      </w:r>
      <w:r w:rsidRPr="007D7545">
        <w:rPr>
          <w:color w:val="000000"/>
          <w:sz w:val="22"/>
          <w:szCs w:val="22"/>
          <w:lang w:val="sr-Latn-ME"/>
        </w:rPr>
        <w:t>PE studija. Ukupno zbirno trajanje terapije u svim studijama je bilo do 21 mjesec.</w:t>
      </w:r>
    </w:p>
    <w:p w14:paraId="652FF1E6" w14:textId="77777777" w:rsidR="00DC68A9" w:rsidRPr="007D7545" w:rsidRDefault="00DC68A9" w:rsidP="005D101E">
      <w:pPr>
        <w:ind w:hanging="10"/>
        <w:jc w:val="both"/>
        <w:rPr>
          <w:color w:val="000000"/>
          <w:sz w:val="22"/>
          <w:szCs w:val="22"/>
          <w:lang w:val="sr-Latn-ME"/>
        </w:rPr>
      </w:pPr>
    </w:p>
    <w:p w14:paraId="4C14D5A4" w14:textId="4BBAE4ED" w:rsidR="001E010E" w:rsidRPr="007D7545" w:rsidRDefault="001E010E" w:rsidP="005D101E">
      <w:pPr>
        <w:ind w:hanging="11"/>
        <w:jc w:val="both"/>
        <w:rPr>
          <w:color w:val="000000"/>
          <w:sz w:val="22"/>
          <w:szCs w:val="22"/>
          <w:lang w:val="sr-Latn-ME"/>
        </w:rPr>
      </w:pPr>
      <w:r w:rsidRPr="007D7545">
        <w:rPr>
          <w:color w:val="000000"/>
          <w:sz w:val="22"/>
          <w:szCs w:val="22"/>
          <w:lang w:val="sr-Latn-ME"/>
        </w:rPr>
        <w:t xml:space="preserve">U </w:t>
      </w:r>
      <w:r w:rsidRPr="007D7545">
        <w:rPr>
          <w:i/>
          <w:color w:val="000000"/>
          <w:sz w:val="22"/>
          <w:szCs w:val="22"/>
          <w:lang w:val="sr-Latn-ME"/>
        </w:rPr>
        <w:t xml:space="preserve">Einstein DVT </w:t>
      </w:r>
      <w:r w:rsidRPr="007D7545">
        <w:rPr>
          <w:color w:val="000000"/>
          <w:sz w:val="22"/>
          <w:szCs w:val="22"/>
          <w:lang w:val="sr-Latn-ME"/>
        </w:rPr>
        <w:t>studiju uključeno je 3449 pacijenata sa akutnom TDV kod kojih je ispitivana terapija TDV i prevencija rekurentne TDV i PE (pacijenti sa simptomatskom PE su bili isključeni iz ovog ispitivanja). Dužina terapije bila je 3, 6 ili 12 mjeseci, zavisno od kliničke proc</w:t>
      </w:r>
      <w:r w:rsidR="0093158E" w:rsidRPr="007D7545">
        <w:rPr>
          <w:color w:val="000000"/>
          <w:sz w:val="22"/>
          <w:szCs w:val="22"/>
          <w:lang w:val="sr-Latn-ME"/>
        </w:rPr>
        <w:t>j</w:t>
      </w:r>
      <w:r w:rsidRPr="007D7545">
        <w:rPr>
          <w:color w:val="000000"/>
          <w:sz w:val="22"/>
          <w:szCs w:val="22"/>
          <w:lang w:val="sr-Latn-ME"/>
        </w:rPr>
        <w:t>ene ispitivača.</w:t>
      </w:r>
    </w:p>
    <w:p w14:paraId="5654CB6B" w14:textId="57D2C30B" w:rsidR="001E010E" w:rsidRPr="007D7545" w:rsidRDefault="001E010E" w:rsidP="005D101E">
      <w:pPr>
        <w:ind w:hanging="11"/>
        <w:jc w:val="both"/>
        <w:rPr>
          <w:color w:val="000000"/>
          <w:sz w:val="22"/>
          <w:szCs w:val="22"/>
          <w:lang w:val="sr-Latn-ME"/>
        </w:rPr>
      </w:pPr>
      <w:r w:rsidRPr="007D7545">
        <w:rPr>
          <w:color w:val="000000"/>
          <w:sz w:val="22"/>
          <w:szCs w:val="22"/>
          <w:lang w:val="sr-Latn-ME"/>
        </w:rPr>
        <w:t>Tokom prve 3 ned</w:t>
      </w:r>
      <w:r w:rsidR="0093158E" w:rsidRPr="007D7545">
        <w:rPr>
          <w:color w:val="000000"/>
          <w:sz w:val="22"/>
          <w:szCs w:val="22"/>
          <w:lang w:val="sr-Latn-ME"/>
        </w:rPr>
        <w:t>j</w:t>
      </w:r>
      <w:r w:rsidRPr="007D7545">
        <w:rPr>
          <w:color w:val="000000"/>
          <w:sz w:val="22"/>
          <w:szCs w:val="22"/>
          <w:lang w:val="sr-Latn-ME"/>
        </w:rPr>
        <w:t>elje terapije akutne TDV, prim</w:t>
      </w:r>
      <w:r w:rsidR="0093158E" w:rsidRPr="007D7545">
        <w:rPr>
          <w:color w:val="000000"/>
          <w:sz w:val="22"/>
          <w:szCs w:val="22"/>
          <w:lang w:val="sr-Latn-ME"/>
        </w:rPr>
        <w:t>ij</w:t>
      </w:r>
      <w:r w:rsidRPr="007D7545">
        <w:rPr>
          <w:color w:val="000000"/>
          <w:sz w:val="22"/>
          <w:szCs w:val="22"/>
          <w:lang w:val="sr-Latn-ME"/>
        </w:rPr>
        <w:t xml:space="preserve">enjivan je rivaroksaban u dozi od 15 mg dva puta dnevno, a potom 20 mg rivaroksabana jednom dnevno. </w:t>
      </w:r>
    </w:p>
    <w:p w14:paraId="0E0CB5B8" w14:textId="77777777" w:rsidR="001E010E" w:rsidRPr="007D7545" w:rsidRDefault="001E010E" w:rsidP="005D101E">
      <w:pPr>
        <w:ind w:hanging="10"/>
        <w:jc w:val="both"/>
        <w:rPr>
          <w:color w:val="000000"/>
          <w:sz w:val="22"/>
          <w:szCs w:val="22"/>
          <w:lang w:val="sr-Latn-ME"/>
        </w:rPr>
      </w:pPr>
    </w:p>
    <w:p w14:paraId="18A41243" w14:textId="7E27AEC2" w:rsidR="001E010E" w:rsidRPr="007D7545" w:rsidRDefault="001E010E" w:rsidP="005D101E">
      <w:pPr>
        <w:ind w:hanging="11"/>
        <w:jc w:val="both"/>
        <w:rPr>
          <w:color w:val="000000"/>
          <w:sz w:val="22"/>
          <w:szCs w:val="22"/>
          <w:lang w:val="sr-Latn-ME"/>
        </w:rPr>
      </w:pPr>
      <w:r w:rsidRPr="007D7545">
        <w:rPr>
          <w:color w:val="000000"/>
          <w:sz w:val="22"/>
          <w:szCs w:val="22"/>
          <w:lang w:val="sr-Latn-ME"/>
        </w:rPr>
        <w:t xml:space="preserve">U </w:t>
      </w:r>
      <w:r w:rsidRPr="007D7545">
        <w:rPr>
          <w:i/>
          <w:color w:val="000000"/>
          <w:sz w:val="22"/>
          <w:szCs w:val="22"/>
          <w:lang w:val="sr-Latn-ME"/>
        </w:rPr>
        <w:t xml:space="preserve">Einstein PE </w:t>
      </w:r>
      <w:r w:rsidRPr="007D7545">
        <w:rPr>
          <w:color w:val="000000"/>
          <w:sz w:val="22"/>
          <w:szCs w:val="22"/>
          <w:lang w:val="sr-Latn-ME"/>
        </w:rPr>
        <w:t>studiju je uključeno 4832 pacijenta sa akutnom PE kod kojih je ispitivana terapija PE i prevencija rekurentne TDV i PE. Dužina terapije bila je 3, 6 ili 12 mjeseci zavisno od kliničke proc</w:t>
      </w:r>
      <w:r w:rsidR="0093158E" w:rsidRPr="007D7545">
        <w:rPr>
          <w:color w:val="000000"/>
          <w:sz w:val="22"/>
          <w:szCs w:val="22"/>
          <w:lang w:val="sr-Latn-ME"/>
        </w:rPr>
        <w:t>j</w:t>
      </w:r>
      <w:r w:rsidRPr="007D7545">
        <w:rPr>
          <w:color w:val="000000"/>
          <w:sz w:val="22"/>
          <w:szCs w:val="22"/>
          <w:lang w:val="sr-Latn-ME"/>
        </w:rPr>
        <w:t xml:space="preserve">ene ispitivača. </w:t>
      </w:r>
    </w:p>
    <w:p w14:paraId="695D5394" w14:textId="2EC1673E" w:rsidR="001E010E" w:rsidRPr="007D7545" w:rsidRDefault="001E010E" w:rsidP="005D101E">
      <w:pPr>
        <w:ind w:hanging="11"/>
        <w:jc w:val="both"/>
        <w:rPr>
          <w:color w:val="000000"/>
          <w:sz w:val="22"/>
          <w:szCs w:val="22"/>
          <w:lang w:val="sr-Latn-ME"/>
        </w:rPr>
      </w:pPr>
      <w:r w:rsidRPr="007D7545">
        <w:rPr>
          <w:color w:val="000000"/>
          <w:sz w:val="22"/>
          <w:szCs w:val="22"/>
          <w:lang w:val="sr-Latn-ME"/>
        </w:rPr>
        <w:t>Za inicijalnu terapiju akutne PE primjenjivan je rivaroksaban u dozi od 15 mg dva puta dnevno tokom tri ned</w:t>
      </w:r>
      <w:r w:rsidR="004D41DE" w:rsidRPr="007D7545">
        <w:rPr>
          <w:color w:val="000000"/>
          <w:sz w:val="22"/>
          <w:szCs w:val="22"/>
          <w:lang w:val="sr-Latn-ME"/>
        </w:rPr>
        <w:t>j</w:t>
      </w:r>
      <w:r w:rsidRPr="007D7545">
        <w:rPr>
          <w:color w:val="000000"/>
          <w:sz w:val="22"/>
          <w:szCs w:val="22"/>
          <w:lang w:val="sr-Latn-ME"/>
        </w:rPr>
        <w:t>elje, a potom 20 mg rivaroksabana jednom dnevno.</w:t>
      </w:r>
    </w:p>
    <w:p w14:paraId="3C5C3A4B" w14:textId="77777777" w:rsidR="001E010E" w:rsidRPr="007D7545" w:rsidRDefault="001E010E" w:rsidP="005D101E">
      <w:pPr>
        <w:ind w:hanging="11"/>
        <w:jc w:val="both"/>
        <w:rPr>
          <w:color w:val="000000"/>
          <w:sz w:val="22"/>
          <w:szCs w:val="22"/>
          <w:lang w:val="sr-Latn-ME"/>
        </w:rPr>
      </w:pPr>
    </w:p>
    <w:p w14:paraId="39352DCE" w14:textId="68CE3A01" w:rsidR="001E010E" w:rsidRPr="007D7545" w:rsidRDefault="001E010E" w:rsidP="005D101E">
      <w:pPr>
        <w:ind w:hanging="10"/>
        <w:jc w:val="both"/>
        <w:rPr>
          <w:color w:val="000000"/>
          <w:sz w:val="22"/>
          <w:szCs w:val="22"/>
          <w:lang w:val="sr-Latn-ME"/>
        </w:rPr>
      </w:pPr>
      <w:r w:rsidRPr="007D7545">
        <w:rPr>
          <w:color w:val="000000"/>
          <w:sz w:val="22"/>
          <w:szCs w:val="22"/>
          <w:lang w:val="sr-Latn-ME"/>
        </w:rPr>
        <w:t>U ob</w:t>
      </w:r>
      <w:r w:rsidR="004D41DE" w:rsidRPr="007D7545">
        <w:rPr>
          <w:color w:val="000000"/>
          <w:sz w:val="22"/>
          <w:szCs w:val="22"/>
          <w:lang w:val="sr-Latn-ME"/>
        </w:rPr>
        <w:t>j</w:t>
      </w:r>
      <w:r w:rsidRPr="007D7545">
        <w:rPr>
          <w:color w:val="000000"/>
          <w:sz w:val="22"/>
          <w:szCs w:val="22"/>
          <w:lang w:val="sr-Latn-ME"/>
        </w:rPr>
        <w:t xml:space="preserve">e studije, </w:t>
      </w:r>
      <w:r w:rsidRPr="007D7545">
        <w:rPr>
          <w:i/>
          <w:color w:val="000000"/>
          <w:sz w:val="22"/>
          <w:szCs w:val="22"/>
          <w:lang w:val="sr-Latn-ME"/>
        </w:rPr>
        <w:t xml:space="preserve">Einstein DTV </w:t>
      </w:r>
      <w:r w:rsidRPr="007D7545">
        <w:rPr>
          <w:color w:val="000000"/>
          <w:sz w:val="22"/>
          <w:szCs w:val="22"/>
          <w:lang w:val="sr-Latn-ME"/>
        </w:rPr>
        <w:t xml:space="preserve">i </w:t>
      </w:r>
      <w:r w:rsidRPr="007D7545">
        <w:rPr>
          <w:i/>
          <w:color w:val="000000"/>
          <w:sz w:val="22"/>
          <w:szCs w:val="22"/>
          <w:lang w:val="sr-Latn-ME"/>
        </w:rPr>
        <w:t xml:space="preserve">Enstein PE, </w:t>
      </w:r>
      <w:r w:rsidRPr="007D7545">
        <w:rPr>
          <w:color w:val="000000"/>
          <w:sz w:val="22"/>
          <w:szCs w:val="22"/>
          <w:lang w:val="sr-Latn-ME"/>
        </w:rPr>
        <w:t>u kontrolnoj grupi terapija se sastojala od enoksaparina prim</w:t>
      </w:r>
      <w:r w:rsidR="004D41DE" w:rsidRPr="007D7545">
        <w:rPr>
          <w:color w:val="000000"/>
          <w:sz w:val="22"/>
          <w:szCs w:val="22"/>
          <w:lang w:val="sr-Latn-ME"/>
        </w:rPr>
        <w:t>i</w:t>
      </w:r>
      <w:r w:rsidRPr="007D7545">
        <w:rPr>
          <w:color w:val="000000"/>
          <w:sz w:val="22"/>
          <w:szCs w:val="22"/>
          <w:lang w:val="sr-Latn-ME"/>
        </w:rPr>
        <w:t>jenjenog najmanje 5 dana u kombinaciji sa antagonistom vitamina K dok nije postignuta vrijednost PT/INR u terapijskom opsegu (</w:t>
      </w:r>
      <w:r w:rsidRPr="007D7545">
        <w:rPr>
          <w:rFonts w:eastAsia="Segoe UI Symbol"/>
          <w:color w:val="000000"/>
          <w:sz w:val="22"/>
          <w:szCs w:val="22"/>
          <w:lang w:val="sr-Latn-ME"/>
        </w:rPr>
        <w:t xml:space="preserve">≥ </w:t>
      </w:r>
      <w:r w:rsidRPr="007D7545">
        <w:rPr>
          <w:color w:val="000000"/>
          <w:sz w:val="22"/>
          <w:szCs w:val="22"/>
          <w:lang w:val="sr-Latn-ME"/>
        </w:rPr>
        <w:t>2,0). Terapija je nastavljena antagonistom vitamina K prilagođene doze radi održavanja PT/INR vrijednosti unutar terapijskog opsega od 2,0 do 3,0.</w:t>
      </w:r>
    </w:p>
    <w:p w14:paraId="173C5A03" w14:textId="77777777" w:rsidR="004D41DE" w:rsidRPr="007D7545" w:rsidRDefault="004D41DE" w:rsidP="005D101E">
      <w:pPr>
        <w:ind w:hanging="10"/>
        <w:jc w:val="both"/>
        <w:rPr>
          <w:color w:val="000000"/>
          <w:sz w:val="22"/>
          <w:szCs w:val="22"/>
          <w:lang w:val="sr-Latn-ME"/>
        </w:rPr>
      </w:pPr>
    </w:p>
    <w:p w14:paraId="482B1A84" w14:textId="5A73D696"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U </w:t>
      </w:r>
      <w:r w:rsidRPr="007D7545">
        <w:rPr>
          <w:i/>
          <w:color w:val="000000"/>
          <w:sz w:val="22"/>
          <w:szCs w:val="22"/>
          <w:lang w:val="sr-Latn-ME"/>
        </w:rPr>
        <w:t xml:space="preserve">Einstein Extension </w:t>
      </w:r>
      <w:r w:rsidRPr="007D7545">
        <w:rPr>
          <w:color w:val="000000"/>
          <w:sz w:val="22"/>
          <w:szCs w:val="22"/>
          <w:lang w:val="sr-Latn-ME"/>
        </w:rPr>
        <w:t>studiji kod 1197 pacijenata sa TDV ili PE ispitivana je prevencija rekurentne TDV i PE. Dužina terapije trajala je dodatnih 6 ili 12 mjeseci, u zavisnosti od kliničke proc</w:t>
      </w:r>
      <w:r w:rsidR="004D41DE" w:rsidRPr="007D7545">
        <w:rPr>
          <w:color w:val="000000"/>
          <w:sz w:val="22"/>
          <w:szCs w:val="22"/>
          <w:lang w:val="sr-Latn-ME"/>
        </w:rPr>
        <w:t>j</w:t>
      </w:r>
      <w:r w:rsidRPr="007D7545">
        <w:rPr>
          <w:color w:val="000000"/>
          <w:sz w:val="22"/>
          <w:szCs w:val="22"/>
          <w:lang w:val="sr-Latn-ME"/>
        </w:rPr>
        <w:t xml:space="preserve">ene ispitivača, a kod pacijenata koji su već završili 6 do 12 mjeseci terapije zbog venske tromboembolije. Primjena rivaroksabana u dozi od 20 mg jednom dnevno je upoređena sa placebom. </w:t>
      </w:r>
    </w:p>
    <w:p w14:paraId="21A2949F" w14:textId="77777777" w:rsidR="004D41DE" w:rsidRPr="007D7545" w:rsidRDefault="004D41DE" w:rsidP="005D101E">
      <w:pPr>
        <w:ind w:hanging="10"/>
        <w:jc w:val="both"/>
        <w:rPr>
          <w:color w:val="000000"/>
          <w:sz w:val="22"/>
          <w:szCs w:val="22"/>
          <w:lang w:val="sr-Latn-ME"/>
        </w:rPr>
      </w:pPr>
    </w:p>
    <w:p w14:paraId="38A51C43" w14:textId="073D3CED"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U studijama </w:t>
      </w:r>
      <w:r w:rsidRPr="007D7545">
        <w:rPr>
          <w:i/>
          <w:color w:val="000000"/>
          <w:sz w:val="22"/>
          <w:szCs w:val="22"/>
          <w:lang w:val="sr-Latn-ME"/>
        </w:rPr>
        <w:t xml:space="preserve">Einstein DVT, PE i Extension </w:t>
      </w:r>
      <w:r w:rsidRPr="007D7545">
        <w:rPr>
          <w:color w:val="000000"/>
          <w:sz w:val="22"/>
          <w:szCs w:val="22"/>
          <w:lang w:val="sr-Latn-ME"/>
        </w:rPr>
        <w:t>korišćeni su isti unaprijed definisani primarni i sekundarni ishodi efikasnosti. Primarni ishod efikasnosti je bila simptomatska rekurentna VTE definisana kao zbir rekurentnih TDV ili PE sa smrtnim ishodom ili PE bez smrtnog ishoda. Sekundarni ishod efikasnosti je definisan kao zbir rekurentnih TDV, PE bez smrtnog ishoda i mortaliteta usl</w:t>
      </w:r>
      <w:r w:rsidR="004D41DE" w:rsidRPr="007D7545">
        <w:rPr>
          <w:color w:val="000000"/>
          <w:sz w:val="22"/>
          <w:szCs w:val="22"/>
          <w:lang w:val="sr-Latn-ME"/>
        </w:rPr>
        <w:t>j</w:t>
      </w:r>
      <w:r w:rsidRPr="007D7545">
        <w:rPr>
          <w:color w:val="000000"/>
          <w:sz w:val="22"/>
          <w:szCs w:val="22"/>
          <w:lang w:val="sr-Latn-ME"/>
        </w:rPr>
        <w:t xml:space="preserve">ed svih uzroka. </w:t>
      </w:r>
    </w:p>
    <w:p w14:paraId="3F21EADA" w14:textId="77777777" w:rsidR="004D41DE" w:rsidRPr="007D7545" w:rsidRDefault="004D41DE" w:rsidP="005D101E">
      <w:pPr>
        <w:ind w:hanging="10"/>
        <w:jc w:val="both"/>
        <w:rPr>
          <w:color w:val="000000"/>
          <w:sz w:val="22"/>
          <w:szCs w:val="22"/>
          <w:lang w:val="sr-Latn-ME"/>
        </w:rPr>
      </w:pPr>
    </w:p>
    <w:p w14:paraId="3139F5CE" w14:textId="3BBAA5E0"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U </w:t>
      </w:r>
      <w:r w:rsidRPr="007D7545">
        <w:rPr>
          <w:i/>
          <w:color w:val="000000"/>
          <w:sz w:val="22"/>
          <w:szCs w:val="22"/>
          <w:lang w:val="sr-Latn-ME"/>
        </w:rPr>
        <w:t xml:space="preserve">Einstein Choice </w:t>
      </w:r>
      <w:r w:rsidRPr="007D7545">
        <w:rPr>
          <w:color w:val="000000"/>
          <w:sz w:val="22"/>
          <w:szCs w:val="22"/>
          <w:lang w:val="sr-Latn-ME"/>
        </w:rPr>
        <w:t>studiji, kod 3396 pacijenata sa potvrđenom simptomatskom TDV i/ili PE, koji su završili 6-12 mjeseci antikoagulantne terapije, ispitivana je prevencija PE sa smrtnim ishodom ili simptomatske rekurentne TDV ili PE bez smrtnog ishoda. Pacijenti sa indikacijom za nastavak antikoagulacione terapije u terapijskim dozama bili su isključeni iz studije. Terapija je trajala do 12 mjeseci, u zavisnosti od individualnog datuma randomizacije (medijana: 351 dan). Urađeno je poređenje rivaroksabana 20 mg i rivaroksabana 10 mg prim</w:t>
      </w:r>
      <w:r w:rsidR="004D41DE" w:rsidRPr="007D7545">
        <w:rPr>
          <w:color w:val="000000"/>
          <w:sz w:val="22"/>
          <w:szCs w:val="22"/>
          <w:lang w:val="sr-Latn-ME"/>
        </w:rPr>
        <w:t>i</w:t>
      </w:r>
      <w:r w:rsidRPr="007D7545">
        <w:rPr>
          <w:color w:val="000000"/>
          <w:sz w:val="22"/>
          <w:szCs w:val="22"/>
          <w:lang w:val="sr-Latn-ME"/>
        </w:rPr>
        <w:t>jenjenih jednom dnevno, sa 100 mg acetilsalicilne kiseline prim</w:t>
      </w:r>
      <w:r w:rsidR="004D41DE" w:rsidRPr="007D7545">
        <w:rPr>
          <w:color w:val="000000"/>
          <w:sz w:val="22"/>
          <w:szCs w:val="22"/>
          <w:lang w:val="sr-Latn-ME"/>
        </w:rPr>
        <w:t>i</w:t>
      </w:r>
      <w:r w:rsidRPr="007D7545">
        <w:rPr>
          <w:color w:val="000000"/>
          <w:sz w:val="22"/>
          <w:szCs w:val="22"/>
          <w:lang w:val="sr-Latn-ME"/>
        </w:rPr>
        <w:t>jenjene jednom dnevno.</w:t>
      </w:r>
    </w:p>
    <w:p w14:paraId="1797B3E9" w14:textId="5BF8C01C" w:rsidR="001E010E" w:rsidRPr="007D7545" w:rsidRDefault="001E010E" w:rsidP="005D101E">
      <w:pPr>
        <w:jc w:val="both"/>
        <w:rPr>
          <w:color w:val="000000"/>
          <w:sz w:val="22"/>
          <w:szCs w:val="22"/>
          <w:lang w:val="sr-Latn-ME"/>
        </w:rPr>
      </w:pPr>
      <w:r w:rsidRPr="007D7545">
        <w:rPr>
          <w:color w:val="000000"/>
          <w:sz w:val="22"/>
          <w:szCs w:val="22"/>
          <w:lang w:val="sr-Latn-ME"/>
        </w:rPr>
        <w:t>Primarni ishod efikasnosti je bila simptomatska rekurentna VTE definisana kao zbir rekurentnih TDV ili PE sa smrtnim ishodom i PE bez smrtnog ishoda.</w:t>
      </w:r>
    </w:p>
    <w:p w14:paraId="70EED60C" w14:textId="77777777" w:rsidR="004D41DE" w:rsidRPr="007D7545" w:rsidRDefault="004D41DE" w:rsidP="005D101E">
      <w:pPr>
        <w:jc w:val="both"/>
        <w:rPr>
          <w:color w:val="000000"/>
          <w:sz w:val="22"/>
          <w:szCs w:val="22"/>
          <w:lang w:val="sr-Latn-ME"/>
        </w:rPr>
      </w:pPr>
    </w:p>
    <w:p w14:paraId="31DD9D7B" w14:textId="1A0A6D8C"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U </w:t>
      </w:r>
      <w:r w:rsidRPr="007D7545">
        <w:rPr>
          <w:i/>
          <w:color w:val="000000"/>
          <w:sz w:val="22"/>
          <w:szCs w:val="22"/>
          <w:lang w:val="sr-Latn-ME"/>
        </w:rPr>
        <w:t xml:space="preserve">Einstein DVT </w:t>
      </w:r>
      <w:r w:rsidRPr="007D7545">
        <w:rPr>
          <w:color w:val="000000"/>
          <w:sz w:val="22"/>
          <w:szCs w:val="22"/>
          <w:lang w:val="sr-Latn-ME"/>
        </w:rPr>
        <w:t>studiji (vidjeti Tabelu 5), pokazano je da rivaroksaban nije inferioran u odnosu na kombinaciju enoksaparin/VKA za primarni ishod efikasnosti (p &lt; 0,0001 (test neinferiornosti); HR 0,680 (0,443 – 1,042), p=0,076 (test superiornosti)). Unapr</w:t>
      </w:r>
      <w:r w:rsidR="00A80036" w:rsidRPr="007D7545">
        <w:rPr>
          <w:color w:val="000000"/>
          <w:sz w:val="22"/>
          <w:szCs w:val="22"/>
          <w:lang w:val="sr-Latn-ME"/>
        </w:rPr>
        <w:t>ij</w:t>
      </w:r>
      <w:r w:rsidRPr="007D7545">
        <w:rPr>
          <w:color w:val="000000"/>
          <w:sz w:val="22"/>
          <w:szCs w:val="22"/>
          <w:lang w:val="sr-Latn-ME"/>
        </w:rPr>
        <w:t>ed specifikovana ukupna klinička korist (primarni ishod efikasnosti plus obilna krvarenja) je prijavljena uz HR</w:t>
      </w:r>
      <w:r w:rsidRPr="007D7545">
        <w:rPr>
          <w:i/>
          <w:color w:val="000000"/>
          <w:sz w:val="22"/>
          <w:szCs w:val="22"/>
          <w:lang w:val="sr-Latn-ME"/>
        </w:rPr>
        <w:t xml:space="preserve"> </w:t>
      </w:r>
      <w:r w:rsidRPr="007D7545">
        <w:rPr>
          <w:color w:val="000000"/>
          <w:sz w:val="22"/>
          <w:szCs w:val="22"/>
          <w:lang w:val="sr-Latn-ME"/>
        </w:rPr>
        <w:t>0,67 ((95% CI= 0,47 – 0,95), nominalna p vrijednost p=0,027) u korist rivaroksabana. INR vrijednosti su bile unutar terapijskog opsega sa pros</w:t>
      </w:r>
      <w:r w:rsidR="00A80036" w:rsidRPr="007D7545">
        <w:rPr>
          <w:color w:val="000000"/>
          <w:sz w:val="22"/>
          <w:szCs w:val="22"/>
          <w:lang w:val="sr-Latn-ME"/>
        </w:rPr>
        <w:t>j</w:t>
      </w:r>
      <w:r w:rsidRPr="007D7545">
        <w:rPr>
          <w:color w:val="000000"/>
          <w:sz w:val="22"/>
          <w:szCs w:val="22"/>
          <w:lang w:val="sr-Latn-ME"/>
        </w:rPr>
        <w:t>ekom 60,3% vremena za pros</w:t>
      </w:r>
      <w:r w:rsidR="00A80036" w:rsidRPr="007D7545">
        <w:rPr>
          <w:color w:val="000000"/>
          <w:sz w:val="22"/>
          <w:szCs w:val="22"/>
          <w:lang w:val="sr-Latn-ME"/>
        </w:rPr>
        <w:t>j</w:t>
      </w:r>
      <w:r w:rsidRPr="007D7545">
        <w:rPr>
          <w:color w:val="000000"/>
          <w:sz w:val="22"/>
          <w:szCs w:val="22"/>
          <w:lang w:val="sr-Latn-ME"/>
        </w:rPr>
        <w:t>ečno trajanje terapije od 189 dana i 55,4%, 60,1%, i 62,8% vremena u grupama nam</w:t>
      </w:r>
      <w:r w:rsidR="00A80036" w:rsidRPr="007D7545">
        <w:rPr>
          <w:color w:val="000000"/>
          <w:sz w:val="22"/>
          <w:szCs w:val="22"/>
          <w:lang w:val="sr-Latn-ME"/>
        </w:rPr>
        <w:t>j</w:t>
      </w:r>
      <w:r w:rsidRPr="007D7545">
        <w:rPr>
          <w:color w:val="000000"/>
          <w:sz w:val="22"/>
          <w:szCs w:val="22"/>
          <w:lang w:val="sr-Latn-ME"/>
        </w:rPr>
        <w:t>eravane dužine terapije od 3, 6, odnosno 12 mjeseci. U enoksaparin/VKA grupi, nije bilo jasnog odnosa između nivoa srednjeg centralnog vremena unutar terapijskog raspona (</w:t>
      </w:r>
      <w:r w:rsidRPr="007D7545">
        <w:rPr>
          <w:i/>
          <w:color w:val="000000"/>
          <w:sz w:val="22"/>
          <w:szCs w:val="22"/>
          <w:lang w:val="sr-Latn-ME"/>
        </w:rPr>
        <w:t xml:space="preserve">Time in Target INR Range </w:t>
      </w:r>
      <w:r w:rsidRPr="007D7545">
        <w:rPr>
          <w:color w:val="000000"/>
          <w:sz w:val="22"/>
          <w:szCs w:val="22"/>
          <w:lang w:val="sr-Latn-ME"/>
        </w:rPr>
        <w:t xml:space="preserve">2,0 – 3,0) u tercilima podjednake veličine i sa učestalošću rekurentne VTE </w:t>
      </w:r>
      <w:r w:rsidRPr="007D7545">
        <w:rPr>
          <w:color w:val="000000"/>
          <w:sz w:val="22"/>
          <w:szCs w:val="22"/>
          <w:lang w:val="sr-Latn-ME"/>
        </w:rPr>
        <w:lastRenderedPageBreak/>
        <w:t>(P=0,932 za interakciju). Unutar najvišeg tercila prema centru, odnos rizika sa rivaroksabanom prema varfarinu je bio 0,69 (95% CI : 0,35 – 1,35).</w:t>
      </w:r>
    </w:p>
    <w:p w14:paraId="1D195FD7" w14:textId="77777777" w:rsidR="00A80036" w:rsidRPr="007D7545" w:rsidRDefault="00A80036" w:rsidP="005D101E">
      <w:pPr>
        <w:ind w:hanging="10"/>
        <w:jc w:val="both"/>
        <w:rPr>
          <w:color w:val="000000"/>
          <w:sz w:val="22"/>
          <w:szCs w:val="22"/>
          <w:lang w:val="sr-Latn-ME"/>
        </w:rPr>
      </w:pPr>
    </w:p>
    <w:p w14:paraId="1DEF3521" w14:textId="6BC83991" w:rsidR="001E010E" w:rsidRPr="007D7545" w:rsidRDefault="001E010E" w:rsidP="005D101E">
      <w:pPr>
        <w:ind w:hanging="10"/>
        <w:jc w:val="both"/>
        <w:rPr>
          <w:color w:val="000000"/>
          <w:sz w:val="22"/>
          <w:szCs w:val="22"/>
          <w:lang w:val="sr-Latn-ME"/>
        </w:rPr>
      </w:pPr>
      <w:r w:rsidRPr="007D7545">
        <w:rPr>
          <w:color w:val="000000"/>
          <w:sz w:val="22"/>
          <w:szCs w:val="22"/>
          <w:lang w:val="sr-Latn-ME"/>
        </w:rPr>
        <w:t>Stope učestalosti za primarni ishod bezbjednosti (obilna krvarenja ili klinički značajna krvarenja koja ni</w:t>
      </w:r>
      <w:r w:rsidR="00A80036" w:rsidRPr="007D7545">
        <w:rPr>
          <w:color w:val="000000"/>
          <w:sz w:val="22"/>
          <w:szCs w:val="22"/>
          <w:lang w:val="sr-Latn-ME"/>
        </w:rPr>
        <w:t>je</w:t>
      </w:r>
      <w:r w:rsidRPr="007D7545">
        <w:rPr>
          <w:color w:val="000000"/>
          <w:sz w:val="22"/>
          <w:szCs w:val="22"/>
          <w:lang w:val="sr-Latn-ME"/>
        </w:rPr>
        <w:t>su klasifikovana kao obilna), kao i sekundarni ishod bezbjednosti (obilna krvarenja) su bili slični za ob</w:t>
      </w:r>
      <w:r w:rsidR="00A80036" w:rsidRPr="007D7545">
        <w:rPr>
          <w:color w:val="000000"/>
          <w:sz w:val="22"/>
          <w:szCs w:val="22"/>
          <w:lang w:val="sr-Latn-ME"/>
        </w:rPr>
        <w:t>j</w:t>
      </w:r>
      <w:r w:rsidRPr="007D7545">
        <w:rPr>
          <w:color w:val="000000"/>
          <w:sz w:val="22"/>
          <w:szCs w:val="22"/>
          <w:lang w:val="sr-Latn-ME"/>
        </w:rPr>
        <w:t>e terapijske grupe.</w:t>
      </w:r>
    </w:p>
    <w:p w14:paraId="13107D16" w14:textId="77777777" w:rsidR="00A80036" w:rsidRPr="007D7545" w:rsidRDefault="00A80036" w:rsidP="005D101E">
      <w:pPr>
        <w:ind w:hanging="10"/>
        <w:jc w:val="both"/>
        <w:rPr>
          <w:color w:val="000000"/>
          <w:sz w:val="22"/>
          <w:szCs w:val="22"/>
          <w:lang w:val="sr-Latn-ME"/>
        </w:rPr>
      </w:pPr>
    </w:p>
    <w:p w14:paraId="7CD5E45D" w14:textId="77777777" w:rsidR="001E010E" w:rsidRPr="007D7545" w:rsidRDefault="001E010E" w:rsidP="002D70E0">
      <w:pPr>
        <w:keepNext/>
        <w:keepLines/>
        <w:ind w:hanging="10"/>
        <w:jc w:val="both"/>
        <w:outlineLvl w:val="0"/>
        <w:rPr>
          <w:b/>
          <w:color w:val="000000"/>
          <w:sz w:val="22"/>
          <w:szCs w:val="22"/>
          <w:lang w:val="sr-Latn-ME"/>
        </w:rPr>
      </w:pPr>
      <w:r w:rsidRPr="007D7545">
        <w:rPr>
          <w:b/>
          <w:color w:val="000000"/>
          <w:sz w:val="22"/>
          <w:szCs w:val="22"/>
          <w:lang w:val="sr-Latn-ME"/>
        </w:rPr>
        <w:t xml:space="preserve">Tabela 5: Rezultati efikasnosti i bezbjednosti iz </w:t>
      </w:r>
      <w:r w:rsidRPr="007D7545">
        <w:rPr>
          <w:b/>
          <w:i/>
          <w:color w:val="000000"/>
          <w:sz w:val="22"/>
          <w:szCs w:val="22"/>
          <w:lang w:val="sr-Latn-ME"/>
        </w:rPr>
        <w:t xml:space="preserve">Einstein DVT </w:t>
      </w:r>
      <w:r w:rsidRPr="007D7545">
        <w:rPr>
          <w:b/>
          <w:color w:val="000000"/>
          <w:sz w:val="22"/>
          <w:szCs w:val="22"/>
          <w:lang w:val="sr-Latn-ME"/>
        </w:rPr>
        <w:t>studije faze III</w:t>
      </w:r>
    </w:p>
    <w:tbl>
      <w:tblPr>
        <w:tblStyle w:val="TableGrid2"/>
        <w:tblW w:w="5000" w:type="pct"/>
        <w:tblInd w:w="0" w:type="dxa"/>
        <w:tblCellMar>
          <w:top w:w="49" w:type="dxa"/>
          <w:left w:w="106" w:type="dxa"/>
          <w:right w:w="50" w:type="dxa"/>
        </w:tblCellMar>
        <w:tblLook w:val="04A0" w:firstRow="1" w:lastRow="0" w:firstColumn="1" w:lastColumn="0" w:noHBand="0" w:noVBand="1"/>
      </w:tblPr>
      <w:tblGrid>
        <w:gridCol w:w="4105"/>
        <w:gridCol w:w="2257"/>
        <w:gridCol w:w="2701"/>
      </w:tblGrid>
      <w:tr w:rsidR="001E010E" w:rsidRPr="005E7F36" w14:paraId="0E29ADFE" w14:textId="77777777" w:rsidTr="002D70E0">
        <w:tc>
          <w:tcPr>
            <w:tcW w:w="2265" w:type="pct"/>
            <w:tcBorders>
              <w:top w:val="single" w:sz="4" w:space="0" w:color="000000"/>
              <w:left w:val="single" w:sz="4" w:space="0" w:color="000000"/>
              <w:bottom w:val="single" w:sz="4" w:space="0" w:color="000000"/>
              <w:right w:val="single" w:sz="4" w:space="0" w:color="000000"/>
            </w:tcBorders>
            <w:vAlign w:val="center"/>
          </w:tcPr>
          <w:p w14:paraId="34A6B886" w14:textId="77777777" w:rsidR="001E010E" w:rsidRPr="007D7545" w:rsidRDefault="001E010E" w:rsidP="005D101E">
            <w:pPr>
              <w:ind w:left="5"/>
              <w:jc w:val="center"/>
              <w:rPr>
                <w:rFonts w:ascii="Times New Roman" w:hAnsi="Times New Roman"/>
                <w:color w:val="000000"/>
                <w:sz w:val="22"/>
                <w:szCs w:val="22"/>
                <w:lang w:val="sr-Latn-ME"/>
              </w:rPr>
            </w:pPr>
            <w:r w:rsidRPr="007D7545">
              <w:rPr>
                <w:b/>
                <w:color w:val="000000"/>
                <w:sz w:val="22"/>
                <w:szCs w:val="22"/>
                <w:lang w:val="sr-Latn-ME"/>
              </w:rPr>
              <w:t>Populacija u studiji</w:t>
            </w:r>
          </w:p>
        </w:tc>
        <w:tc>
          <w:tcPr>
            <w:tcW w:w="2735" w:type="pct"/>
            <w:gridSpan w:val="2"/>
            <w:tcBorders>
              <w:top w:val="single" w:sz="4" w:space="0" w:color="000000"/>
              <w:left w:val="single" w:sz="4" w:space="0" w:color="000000"/>
              <w:bottom w:val="single" w:sz="4" w:space="0" w:color="000000"/>
              <w:right w:val="single" w:sz="4" w:space="0" w:color="000000"/>
            </w:tcBorders>
          </w:tcPr>
          <w:p w14:paraId="7B01C684" w14:textId="77777777" w:rsidR="001E010E" w:rsidRPr="007D7545" w:rsidRDefault="001E010E" w:rsidP="005D101E">
            <w:pPr>
              <w:ind w:left="5"/>
              <w:jc w:val="center"/>
              <w:rPr>
                <w:rFonts w:ascii="Times New Roman" w:hAnsi="Times New Roman"/>
                <w:color w:val="000000"/>
                <w:sz w:val="22"/>
                <w:szCs w:val="22"/>
                <w:lang w:val="sr-Latn-ME"/>
              </w:rPr>
            </w:pPr>
            <w:r w:rsidRPr="007D7545">
              <w:rPr>
                <w:b/>
                <w:color w:val="000000"/>
                <w:sz w:val="22"/>
                <w:szCs w:val="22"/>
                <w:lang w:val="sr-Latn-ME"/>
              </w:rPr>
              <w:t>3449 pacijenata sa simptomatskom akutnom trombozom dubokih vena</w:t>
            </w:r>
          </w:p>
        </w:tc>
      </w:tr>
      <w:tr w:rsidR="001E010E" w:rsidRPr="007D7545" w14:paraId="01DEF2A6" w14:textId="77777777" w:rsidTr="002D70E0">
        <w:tc>
          <w:tcPr>
            <w:tcW w:w="2265" w:type="pct"/>
            <w:tcBorders>
              <w:top w:val="single" w:sz="4" w:space="0" w:color="000000"/>
              <w:left w:val="single" w:sz="4" w:space="0" w:color="000000"/>
              <w:bottom w:val="single" w:sz="4" w:space="0" w:color="000000"/>
              <w:right w:val="single" w:sz="4" w:space="0" w:color="000000"/>
            </w:tcBorders>
            <w:vAlign w:val="center"/>
          </w:tcPr>
          <w:p w14:paraId="70049C72"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Terapijska doza i dužina primjene</w:t>
            </w:r>
          </w:p>
        </w:tc>
        <w:tc>
          <w:tcPr>
            <w:tcW w:w="1245" w:type="pct"/>
            <w:tcBorders>
              <w:top w:val="single" w:sz="4" w:space="0" w:color="000000"/>
              <w:left w:val="single" w:sz="4" w:space="0" w:color="000000"/>
              <w:bottom w:val="single" w:sz="4" w:space="0" w:color="000000"/>
              <w:right w:val="single" w:sz="4" w:space="0" w:color="000000"/>
            </w:tcBorders>
          </w:tcPr>
          <w:p w14:paraId="7BF2C3F0" w14:textId="77777777" w:rsidR="001E010E" w:rsidRPr="007D7545" w:rsidRDefault="001E010E" w:rsidP="005D101E">
            <w:pPr>
              <w:ind w:left="5"/>
              <w:rPr>
                <w:rFonts w:ascii="Times New Roman" w:hAnsi="Times New Roman"/>
                <w:color w:val="000000"/>
                <w:sz w:val="22"/>
                <w:szCs w:val="22"/>
                <w:lang w:val="sr-Latn-ME"/>
              </w:rPr>
            </w:pPr>
            <w:r w:rsidRPr="007D7545">
              <w:rPr>
                <w:b/>
                <w:color w:val="000000"/>
                <w:sz w:val="22"/>
                <w:szCs w:val="22"/>
                <w:lang w:val="sr-Latn-ME"/>
              </w:rPr>
              <w:t>Rivaroksaban</w:t>
            </w:r>
            <w:r w:rsidRPr="007D7545">
              <w:rPr>
                <w:b/>
                <w:color w:val="000000"/>
                <w:sz w:val="22"/>
                <w:szCs w:val="22"/>
                <w:vertAlign w:val="superscript"/>
                <w:lang w:val="sr-Latn-ME"/>
              </w:rPr>
              <w:t>a</w:t>
            </w:r>
          </w:p>
          <w:p w14:paraId="2B53B836" w14:textId="77777777" w:rsidR="001E010E" w:rsidRPr="007D7545" w:rsidRDefault="001E010E" w:rsidP="005D101E">
            <w:pPr>
              <w:ind w:left="5"/>
              <w:rPr>
                <w:rFonts w:ascii="Times New Roman" w:hAnsi="Times New Roman"/>
                <w:color w:val="000000"/>
                <w:sz w:val="22"/>
                <w:szCs w:val="22"/>
                <w:lang w:val="sr-Latn-ME"/>
              </w:rPr>
            </w:pPr>
            <w:r w:rsidRPr="007D7545">
              <w:rPr>
                <w:b/>
                <w:color w:val="000000"/>
                <w:sz w:val="22"/>
                <w:szCs w:val="22"/>
                <w:lang w:val="sr-Latn-ME"/>
              </w:rPr>
              <w:t>3, 6 ili 12 mjeseci</w:t>
            </w:r>
          </w:p>
          <w:p w14:paraId="45CECA5B" w14:textId="77777777" w:rsidR="001E010E" w:rsidRPr="007D7545" w:rsidRDefault="001E010E" w:rsidP="005D101E">
            <w:pPr>
              <w:ind w:left="5"/>
              <w:rPr>
                <w:rFonts w:ascii="Times New Roman" w:hAnsi="Times New Roman"/>
                <w:color w:val="000000"/>
                <w:sz w:val="22"/>
                <w:szCs w:val="22"/>
                <w:lang w:val="sr-Latn-ME"/>
              </w:rPr>
            </w:pPr>
            <w:r w:rsidRPr="007D7545">
              <w:rPr>
                <w:b/>
                <w:color w:val="000000"/>
                <w:sz w:val="22"/>
                <w:szCs w:val="22"/>
                <w:lang w:val="sr-Latn-ME"/>
              </w:rPr>
              <w:t>N=1731</w:t>
            </w:r>
          </w:p>
        </w:tc>
        <w:tc>
          <w:tcPr>
            <w:tcW w:w="1491" w:type="pct"/>
            <w:tcBorders>
              <w:top w:val="single" w:sz="4" w:space="0" w:color="000000"/>
              <w:left w:val="single" w:sz="4" w:space="0" w:color="000000"/>
              <w:bottom w:val="single" w:sz="4" w:space="0" w:color="000000"/>
              <w:right w:val="single" w:sz="4" w:space="0" w:color="000000"/>
            </w:tcBorders>
          </w:tcPr>
          <w:p w14:paraId="2935DDA0"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Enoksaparin/VKA</w:t>
            </w:r>
            <w:r w:rsidRPr="007D7545">
              <w:rPr>
                <w:b/>
                <w:color w:val="000000"/>
                <w:sz w:val="22"/>
                <w:szCs w:val="22"/>
                <w:vertAlign w:val="superscript"/>
                <w:lang w:val="sr-Latn-ME"/>
              </w:rPr>
              <w:t>b</w:t>
            </w:r>
          </w:p>
          <w:p w14:paraId="1284116E"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3, 6 ili 12 mjeseci</w:t>
            </w:r>
          </w:p>
          <w:p w14:paraId="6F9D5551"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N=1718</w:t>
            </w:r>
          </w:p>
        </w:tc>
      </w:tr>
      <w:tr w:rsidR="001E010E" w:rsidRPr="007D7545" w14:paraId="1B78980F" w14:textId="77777777" w:rsidTr="002D70E0">
        <w:tc>
          <w:tcPr>
            <w:tcW w:w="2265" w:type="pct"/>
            <w:tcBorders>
              <w:top w:val="single" w:sz="4" w:space="0" w:color="000000"/>
              <w:left w:val="single" w:sz="4" w:space="0" w:color="000000"/>
              <w:bottom w:val="single" w:sz="4" w:space="0" w:color="000000"/>
              <w:right w:val="single" w:sz="4" w:space="0" w:color="000000"/>
            </w:tcBorders>
            <w:vAlign w:val="center"/>
          </w:tcPr>
          <w:p w14:paraId="610F8546"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Simptomatska rekurentna VTE*</w:t>
            </w:r>
          </w:p>
        </w:tc>
        <w:tc>
          <w:tcPr>
            <w:tcW w:w="1245" w:type="pct"/>
            <w:tcBorders>
              <w:top w:val="single" w:sz="4" w:space="0" w:color="000000"/>
              <w:left w:val="single" w:sz="4" w:space="0" w:color="000000"/>
              <w:bottom w:val="single" w:sz="4" w:space="0" w:color="000000"/>
              <w:right w:val="single" w:sz="4" w:space="0" w:color="000000"/>
            </w:tcBorders>
          </w:tcPr>
          <w:p w14:paraId="2B78A666"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36</w:t>
            </w:r>
          </w:p>
          <w:p w14:paraId="4E946AF9"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(2,1%)</w:t>
            </w:r>
          </w:p>
        </w:tc>
        <w:tc>
          <w:tcPr>
            <w:tcW w:w="1491" w:type="pct"/>
            <w:tcBorders>
              <w:top w:val="single" w:sz="4" w:space="0" w:color="000000"/>
              <w:left w:val="single" w:sz="4" w:space="0" w:color="000000"/>
              <w:bottom w:val="single" w:sz="4" w:space="0" w:color="000000"/>
              <w:right w:val="single" w:sz="4" w:space="0" w:color="000000"/>
            </w:tcBorders>
          </w:tcPr>
          <w:p w14:paraId="2ED8BD15"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51</w:t>
            </w:r>
          </w:p>
          <w:p w14:paraId="4BDA9450"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(3,0%)</w:t>
            </w:r>
          </w:p>
        </w:tc>
      </w:tr>
      <w:tr w:rsidR="001E010E" w:rsidRPr="007D7545" w14:paraId="24B0A324" w14:textId="77777777" w:rsidTr="002D70E0">
        <w:tc>
          <w:tcPr>
            <w:tcW w:w="2265" w:type="pct"/>
            <w:tcBorders>
              <w:top w:val="single" w:sz="4" w:space="0" w:color="000000"/>
              <w:left w:val="single" w:sz="4" w:space="0" w:color="000000"/>
              <w:bottom w:val="single" w:sz="4" w:space="0" w:color="000000"/>
              <w:right w:val="single" w:sz="4" w:space="0" w:color="000000"/>
            </w:tcBorders>
            <w:vAlign w:val="center"/>
          </w:tcPr>
          <w:p w14:paraId="7C6E2680" w14:textId="77777777" w:rsidR="001E010E" w:rsidRPr="007D7545" w:rsidRDefault="001E010E" w:rsidP="005D101E">
            <w:pPr>
              <w:ind w:right="74"/>
              <w:rPr>
                <w:rFonts w:ascii="Times New Roman" w:hAnsi="Times New Roman"/>
                <w:color w:val="000000"/>
                <w:sz w:val="22"/>
                <w:szCs w:val="22"/>
                <w:lang w:val="sr-Latn-ME"/>
              </w:rPr>
            </w:pPr>
            <w:r w:rsidRPr="007D7545">
              <w:rPr>
                <w:color w:val="000000"/>
                <w:sz w:val="22"/>
                <w:szCs w:val="22"/>
                <w:lang w:val="sr-Latn-ME"/>
              </w:rPr>
              <w:t xml:space="preserve">       Simptomatska rekurentna PE</w:t>
            </w:r>
          </w:p>
        </w:tc>
        <w:tc>
          <w:tcPr>
            <w:tcW w:w="1245" w:type="pct"/>
            <w:tcBorders>
              <w:top w:val="single" w:sz="4" w:space="0" w:color="000000"/>
              <w:left w:val="single" w:sz="4" w:space="0" w:color="000000"/>
              <w:bottom w:val="single" w:sz="4" w:space="0" w:color="000000"/>
              <w:right w:val="single" w:sz="4" w:space="0" w:color="000000"/>
            </w:tcBorders>
          </w:tcPr>
          <w:p w14:paraId="28C7FF67"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20</w:t>
            </w:r>
          </w:p>
          <w:p w14:paraId="1B9DD27C"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(1,2%)</w:t>
            </w:r>
          </w:p>
        </w:tc>
        <w:tc>
          <w:tcPr>
            <w:tcW w:w="1491" w:type="pct"/>
            <w:tcBorders>
              <w:top w:val="single" w:sz="4" w:space="0" w:color="000000"/>
              <w:left w:val="single" w:sz="4" w:space="0" w:color="000000"/>
              <w:bottom w:val="single" w:sz="4" w:space="0" w:color="000000"/>
              <w:right w:val="single" w:sz="4" w:space="0" w:color="000000"/>
            </w:tcBorders>
          </w:tcPr>
          <w:p w14:paraId="10A09E24"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18</w:t>
            </w:r>
          </w:p>
          <w:p w14:paraId="7CDF7C4D"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(1,0%)</w:t>
            </w:r>
          </w:p>
        </w:tc>
      </w:tr>
      <w:tr w:rsidR="001E010E" w:rsidRPr="007D7545" w14:paraId="37C38741" w14:textId="77777777" w:rsidTr="002D70E0">
        <w:tc>
          <w:tcPr>
            <w:tcW w:w="2265" w:type="pct"/>
            <w:tcBorders>
              <w:top w:val="single" w:sz="4" w:space="0" w:color="000000"/>
              <w:left w:val="single" w:sz="4" w:space="0" w:color="000000"/>
              <w:bottom w:val="single" w:sz="4" w:space="0" w:color="000000"/>
              <w:right w:val="single" w:sz="4" w:space="0" w:color="000000"/>
            </w:tcBorders>
          </w:tcPr>
          <w:p w14:paraId="276F57A6" w14:textId="77777777" w:rsidR="001E010E" w:rsidRPr="007D7545" w:rsidRDefault="001E010E" w:rsidP="005D101E">
            <w:pPr>
              <w:tabs>
                <w:tab w:val="center" w:pos="1200"/>
                <w:tab w:val="right" w:pos="3214"/>
              </w:tabs>
              <w:rPr>
                <w:rFonts w:ascii="Times New Roman" w:hAnsi="Times New Roman"/>
                <w:color w:val="000000"/>
                <w:sz w:val="22"/>
                <w:szCs w:val="22"/>
                <w:lang w:val="sr-Latn-ME"/>
              </w:rPr>
            </w:pPr>
            <w:r w:rsidRPr="007D7545">
              <w:rPr>
                <w:color w:val="000000"/>
                <w:sz w:val="22"/>
                <w:szCs w:val="22"/>
                <w:lang w:val="sr-Latn-ME"/>
              </w:rPr>
              <w:t xml:space="preserve">       Simptomatska rekurentna TDV</w:t>
            </w:r>
          </w:p>
        </w:tc>
        <w:tc>
          <w:tcPr>
            <w:tcW w:w="1245" w:type="pct"/>
            <w:tcBorders>
              <w:top w:val="single" w:sz="4" w:space="0" w:color="000000"/>
              <w:left w:val="single" w:sz="4" w:space="0" w:color="000000"/>
              <w:bottom w:val="single" w:sz="4" w:space="0" w:color="000000"/>
              <w:right w:val="single" w:sz="4" w:space="0" w:color="000000"/>
            </w:tcBorders>
          </w:tcPr>
          <w:p w14:paraId="75823E4A"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14</w:t>
            </w:r>
          </w:p>
          <w:p w14:paraId="209C858F"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(0,8%)</w:t>
            </w:r>
          </w:p>
        </w:tc>
        <w:tc>
          <w:tcPr>
            <w:tcW w:w="1491" w:type="pct"/>
            <w:tcBorders>
              <w:top w:val="single" w:sz="4" w:space="0" w:color="000000"/>
              <w:left w:val="single" w:sz="4" w:space="0" w:color="000000"/>
              <w:bottom w:val="single" w:sz="4" w:space="0" w:color="000000"/>
              <w:right w:val="single" w:sz="4" w:space="0" w:color="000000"/>
            </w:tcBorders>
          </w:tcPr>
          <w:p w14:paraId="2FBC8F59"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28</w:t>
            </w:r>
          </w:p>
          <w:p w14:paraId="6FD41F59"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(1,6%)</w:t>
            </w:r>
          </w:p>
        </w:tc>
      </w:tr>
      <w:tr w:rsidR="001E010E" w:rsidRPr="007D7545" w14:paraId="4B78C709" w14:textId="77777777" w:rsidTr="002D70E0">
        <w:tc>
          <w:tcPr>
            <w:tcW w:w="2265" w:type="pct"/>
            <w:tcBorders>
              <w:top w:val="single" w:sz="4" w:space="0" w:color="000000"/>
              <w:left w:val="single" w:sz="4" w:space="0" w:color="000000"/>
              <w:bottom w:val="single" w:sz="4" w:space="0" w:color="000000"/>
              <w:right w:val="single" w:sz="4" w:space="0" w:color="000000"/>
            </w:tcBorders>
            <w:vAlign w:val="center"/>
          </w:tcPr>
          <w:p w14:paraId="63288E12" w14:textId="30DD0E4B" w:rsidR="001E010E" w:rsidRPr="007D7545" w:rsidRDefault="001E010E" w:rsidP="005D101E">
            <w:pPr>
              <w:ind w:left="10" w:hanging="10"/>
              <w:rPr>
                <w:rFonts w:ascii="Times New Roman" w:hAnsi="Times New Roman"/>
                <w:color w:val="000000"/>
                <w:sz w:val="22"/>
                <w:szCs w:val="22"/>
                <w:lang w:val="sr-Latn-ME"/>
              </w:rPr>
            </w:pPr>
            <w:r w:rsidRPr="007D7545">
              <w:rPr>
                <w:color w:val="000000"/>
                <w:sz w:val="22"/>
                <w:szCs w:val="22"/>
                <w:lang w:val="sr-Latn-ME"/>
              </w:rPr>
              <w:t xml:space="preserve">     </w:t>
            </w:r>
            <w:r w:rsidR="00A80036" w:rsidRPr="007D7545">
              <w:rPr>
                <w:color w:val="000000"/>
                <w:sz w:val="22"/>
                <w:szCs w:val="22"/>
                <w:lang w:val="sr-Latn-ME"/>
              </w:rPr>
              <w:t xml:space="preserve">  </w:t>
            </w:r>
            <w:r w:rsidRPr="007D7545">
              <w:rPr>
                <w:color w:val="000000"/>
                <w:sz w:val="22"/>
                <w:szCs w:val="22"/>
                <w:lang w:val="sr-Latn-ME"/>
              </w:rPr>
              <w:t>Simptomatski PE i TDV</w:t>
            </w:r>
          </w:p>
        </w:tc>
        <w:tc>
          <w:tcPr>
            <w:tcW w:w="1245" w:type="pct"/>
            <w:tcBorders>
              <w:top w:val="single" w:sz="4" w:space="0" w:color="000000"/>
              <w:left w:val="single" w:sz="4" w:space="0" w:color="000000"/>
              <w:bottom w:val="single" w:sz="4" w:space="0" w:color="000000"/>
              <w:right w:val="single" w:sz="4" w:space="0" w:color="000000"/>
            </w:tcBorders>
          </w:tcPr>
          <w:p w14:paraId="25DF30FE"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1</w:t>
            </w:r>
          </w:p>
          <w:p w14:paraId="7E673BB0"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(0,1%)</w:t>
            </w:r>
          </w:p>
        </w:tc>
        <w:tc>
          <w:tcPr>
            <w:tcW w:w="1491" w:type="pct"/>
            <w:tcBorders>
              <w:top w:val="single" w:sz="4" w:space="0" w:color="000000"/>
              <w:left w:val="single" w:sz="4" w:space="0" w:color="000000"/>
              <w:bottom w:val="single" w:sz="4" w:space="0" w:color="000000"/>
              <w:right w:val="single" w:sz="4" w:space="0" w:color="000000"/>
            </w:tcBorders>
            <w:vAlign w:val="center"/>
          </w:tcPr>
          <w:p w14:paraId="5969D0B6"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w:t>
            </w:r>
          </w:p>
        </w:tc>
      </w:tr>
      <w:tr w:rsidR="001E010E" w:rsidRPr="007D7545" w14:paraId="466630D6" w14:textId="77777777" w:rsidTr="002D70E0">
        <w:tc>
          <w:tcPr>
            <w:tcW w:w="2265" w:type="pct"/>
            <w:tcBorders>
              <w:top w:val="single" w:sz="4" w:space="0" w:color="000000"/>
              <w:left w:val="single" w:sz="4" w:space="0" w:color="000000"/>
              <w:bottom w:val="single" w:sz="4" w:space="0" w:color="000000"/>
              <w:right w:val="single" w:sz="4" w:space="0" w:color="000000"/>
            </w:tcBorders>
          </w:tcPr>
          <w:p w14:paraId="737873D7" w14:textId="2B7A2F42" w:rsidR="001E010E" w:rsidRPr="007D7545" w:rsidRDefault="00A80036" w:rsidP="005D101E">
            <w:pPr>
              <w:ind w:left="313" w:hanging="313"/>
              <w:rPr>
                <w:rFonts w:ascii="Times New Roman" w:hAnsi="Times New Roman"/>
                <w:color w:val="000000"/>
                <w:sz w:val="22"/>
                <w:szCs w:val="22"/>
                <w:lang w:val="sr-Latn-ME"/>
              </w:rPr>
            </w:pPr>
            <w:r w:rsidRPr="007D7545">
              <w:rPr>
                <w:color w:val="000000"/>
                <w:sz w:val="22"/>
                <w:szCs w:val="22"/>
                <w:lang w:val="sr-Latn-ME"/>
              </w:rPr>
              <w:t xml:space="preserve">       </w:t>
            </w:r>
            <w:r w:rsidR="001E010E" w:rsidRPr="007D7545">
              <w:rPr>
                <w:color w:val="000000"/>
                <w:sz w:val="22"/>
                <w:szCs w:val="22"/>
                <w:lang w:val="sr-Latn-ME"/>
              </w:rPr>
              <w:t xml:space="preserve">PE sa smrtnim ishodom/smrt </w:t>
            </w:r>
            <w:r w:rsidRPr="007D7545">
              <w:rPr>
                <w:color w:val="000000"/>
                <w:sz w:val="22"/>
                <w:szCs w:val="22"/>
                <w:lang w:val="sr-Latn-ME"/>
              </w:rPr>
              <w:t xml:space="preserve">   </w:t>
            </w:r>
            <w:r w:rsidR="001E010E" w:rsidRPr="007D7545">
              <w:rPr>
                <w:color w:val="000000"/>
                <w:sz w:val="22"/>
                <w:szCs w:val="22"/>
                <w:lang w:val="sr-Latn-ME"/>
              </w:rPr>
              <w:t>gde se ne može isključiti PE</w:t>
            </w:r>
          </w:p>
        </w:tc>
        <w:tc>
          <w:tcPr>
            <w:tcW w:w="1245" w:type="pct"/>
            <w:tcBorders>
              <w:top w:val="single" w:sz="4" w:space="0" w:color="000000"/>
              <w:left w:val="single" w:sz="4" w:space="0" w:color="000000"/>
              <w:bottom w:val="single" w:sz="4" w:space="0" w:color="000000"/>
              <w:right w:val="single" w:sz="4" w:space="0" w:color="000000"/>
            </w:tcBorders>
          </w:tcPr>
          <w:p w14:paraId="6F00FB8F"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4</w:t>
            </w:r>
          </w:p>
          <w:p w14:paraId="13BF91EA"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(0,2%)</w:t>
            </w:r>
          </w:p>
        </w:tc>
        <w:tc>
          <w:tcPr>
            <w:tcW w:w="1491" w:type="pct"/>
            <w:tcBorders>
              <w:top w:val="single" w:sz="4" w:space="0" w:color="000000"/>
              <w:left w:val="single" w:sz="4" w:space="0" w:color="000000"/>
              <w:bottom w:val="single" w:sz="4" w:space="0" w:color="000000"/>
              <w:right w:val="single" w:sz="4" w:space="0" w:color="000000"/>
            </w:tcBorders>
          </w:tcPr>
          <w:p w14:paraId="374D8651"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6</w:t>
            </w:r>
          </w:p>
          <w:p w14:paraId="34268FC4"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(0,3%)</w:t>
            </w:r>
          </w:p>
        </w:tc>
      </w:tr>
      <w:tr w:rsidR="001E010E" w:rsidRPr="007D7545" w14:paraId="7A7D4F5A" w14:textId="77777777" w:rsidTr="002D70E0">
        <w:tc>
          <w:tcPr>
            <w:tcW w:w="2265" w:type="pct"/>
            <w:tcBorders>
              <w:top w:val="single" w:sz="4" w:space="0" w:color="000000"/>
              <w:left w:val="single" w:sz="4" w:space="0" w:color="000000"/>
              <w:bottom w:val="single" w:sz="4" w:space="0" w:color="000000"/>
              <w:right w:val="single" w:sz="4" w:space="0" w:color="000000"/>
            </w:tcBorders>
          </w:tcPr>
          <w:p w14:paraId="596C6B64" w14:textId="0973D2EB" w:rsidR="001E010E" w:rsidRPr="007D7545" w:rsidRDefault="001E010E" w:rsidP="005D101E">
            <w:pPr>
              <w:ind w:left="5" w:right="55"/>
              <w:rPr>
                <w:rFonts w:ascii="Times New Roman" w:hAnsi="Times New Roman"/>
                <w:color w:val="000000"/>
                <w:sz w:val="22"/>
                <w:szCs w:val="22"/>
                <w:lang w:val="sr-Latn-ME"/>
              </w:rPr>
            </w:pPr>
            <w:r w:rsidRPr="007D7545">
              <w:rPr>
                <w:color w:val="000000"/>
                <w:sz w:val="22"/>
                <w:szCs w:val="22"/>
                <w:lang w:val="sr-Latn-ME"/>
              </w:rPr>
              <w:t>Obilno krvarenje ili klinički značajno krvarenje koje nije klasifikovano kao obilno</w:t>
            </w:r>
          </w:p>
        </w:tc>
        <w:tc>
          <w:tcPr>
            <w:tcW w:w="1245" w:type="pct"/>
            <w:tcBorders>
              <w:top w:val="single" w:sz="4" w:space="0" w:color="000000"/>
              <w:left w:val="single" w:sz="4" w:space="0" w:color="000000"/>
              <w:bottom w:val="single" w:sz="4" w:space="0" w:color="000000"/>
              <w:right w:val="single" w:sz="4" w:space="0" w:color="000000"/>
            </w:tcBorders>
            <w:vAlign w:val="center"/>
          </w:tcPr>
          <w:p w14:paraId="2F60B984"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139</w:t>
            </w:r>
          </w:p>
          <w:p w14:paraId="2CB9BCCB"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(8,1%)</w:t>
            </w:r>
          </w:p>
        </w:tc>
        <w:tc>
          <w:tcPr>
            <w:tcW w:w="1491" w:type="pct"/>
            <w:tcBorders>
              <w:top w:val="single" w:sz="4" w:space="0" w:color="000000"/>
              <w:left w:val="single" w:sz="4" w:space="0" w:color="000000"/>
              <w:bottom w:val="single" w:sz="4" w:space="0" w:color="000000"/>
              <w:right w:val="single" w:sz="4" w:space="0" w:color="000000"/>
            </w:tcBorders>
            <w:vAlign w:val="center"/>
          </w:tcPr>
          <w:p w14:paraId="6C8C884B"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138</w:t>
            </w:r>
          </w:p>
          <w:p w14:paraId="6655893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(8,1%)</w:t>
            </w:r>
          </w:p>
        </w:tc>
      </w:tr>
      <w:tr w:rsidR="001E010E" w:rsidRPr="007D7545" w14:paraId="4E4D3C3F" w14:textId="77777777" w:rsidTr="002D70E0">
        <w:tc>
          <w:tcPr>
            <w:tcW w:w="2265" w:type="pct"/>
            <w:tcBorders>
              <w:top w:val="single" w:sz="4" w:space="0" w:color="000000"/>
              <w:left w:val="single" w:sz="4" w:space="0" w:color="000000"/>
              <w:bottom w:val="single" w:sz="4" w:space="0" w:color="000000"/>
              <w:right w:val="single" w:sz="4" w:space="0" w:color="000000"/>
            </w:tcBorders>
            <w:vAlign w:val="center"/>
          </w:tcPr>
          <w:p w14:paraId="345A2A21"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 xml:space="preserve"> Obilna krvarenja</w:t>
            </w:r>
          </w:p>
        </w:tc>
        <w:tc>
          <w:tcPr>
            <w:tcW w:w="1245" w:type="pct"/>
            <w:tcBorders>
              <w:top w:val="single" w:sz="4" w:space="0" w:color="000000"/>
              <w:left w:val="single" w:sz="4" w:space="0" w:color="000000"/>
              <w:bottom w:val="single" w:sz="4" w:space="0" w:color="000000"/>
              <w:right w:val="single" w:sz="4" w:space="0" w:color="000000"/>
            </w:tcBorders>
          </w:tcPr>
          <w:p w14:paraId="020F0657"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14</w:t>
            </w:r>
          </w:p>
          <w:p w14:paraId="1572DC9F" w14:textId="77777777" w:rsidR="001E010E" w:rsidRPr="007D7545" w:rsidRDefault="001E010E" w:rsidP="005D101E">
            <w:pPr>
              <w:ind w:left="5"/>
              <w:rPr>
                <w:rFonts w:ascii="Times New Roman" w:hAnsi="Times New Roman"/>
                <w:color w:val="000000"/>
                <w:sz w:val="22"/>
                <w:szCs w:val="22"/>
                <w:lang w:val="sr-Latn-ME"/>
              </w:rPr>
            </w:pPr>
            <w:r w:rsidRPr="007D7545">
              <w:rPr>
                <w:color w:val="000000"/>
                <w:sz w:val="22"/>
                <w:szCs w:val="22"/>
                <w:lang w:val="sr-Latn-ME"/>
              </w:rPr>
              <w:t>(0,8%)</w:t>
            </w:r>
          </w:p>
        </w:tc>
        <w:tc>
          <w:tcPr>
            <w:tcW w:w="1491" w:type="pct"/>
            <w:tcBorders>
              <w:top w:val="single" w:sz="4" w:space="0" w:color="000000"/>
              <w:left w:val="single" w:sz="4" w:space="0" w:color="000000"/>
              <w:bottom w:val="single" w:sz="4" w:space="0" w:color="000000"/>
              <w:right w:val="single" w:sz="4" w:space="0" w:color="000000"/>
            </w:tcBorders>
          </w:tcPr>
          <w:p w14:paraId="72868F4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20</w:t>
            </w:r>
          </w:p>
          <w:p w14:paraId="2F32E378"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(1,2%)</w:t>
            </w:r>
          </w:p>
        </w:tc>
      </w:tr>
    </w:tbl>
    <w:p w14:paraId="040D2BEF" w14:textId="28BE2000" w:rsidR="001E010E" w:rsidRPr="002D70E0" w:rsidRDefault="001E010E" w:rsidP="005D101E">
      <w:pPr>
        <w:numPr>
          <w:ilvl w:val="0"/>
          <w:numId w:val="16"/>
        </w:numPr>
        <w:ind w:right="5" w:hanging="240"/>
        <w:jc w:val="both"/>
        <w:rPr>
          <w:color w:val="000000"/>
          <w:sz w:val="20"/>
          <w:szCs w:val="22"/>
          <w:lang w:val="sr-Latn-ME"/>
        </w:rPr>
      </w:pPr>
      <w:r w:rsidRPr="002D70E0">
        <w:rPr>
          <w:color w:val="000000"/>
          <w:sz w:val="20"/>
          <w:szCs w:val="22"/>
          <w:lang w:val="sr-Latn-ME"/>
        </w:rPr>
        <w:t>Rivaroksaban 15 mg dva puta dnevno tokom 3 ned</w:t>
      </w:r>
      <w:r w:rsidR="00A80036" w:rsidRPr="002D70E0">
        <w:rPr>
          <w:color w:val="000000"/>
          <w:sz w:val="20"/>
          <w:szCs w:val="22"/>
          <w:lang w:val="sr-Latn-ME"/>
        </w:rPr>
        <w:t>j</w:t>
      </w:r>
      <w:r w:rsidRPr="002D70E0">
        <w:rPr>
          <w:color w:val="000000"/>
          <w:sz w:val="20"/>
          <w:szCs w:val="22"/>
          <w:lang w:val="sr-Latn-ME"/>
        </w:rPr>
        <w:t>elje posl</w:t>
      </w:r>
      <w:r w:rsidR="00A80036" w:rsidRPr="002D70E0">
        <w:rPr>
          <w:color w:val="000000"/>
          <w:sz w:val="20"/>
          <w:szCs w:val="22"/>
          <w:lang w:val="sr-Latn-ME"/>
        </w:rPr>
        <w:t>ij</w:t>
      </w:r>
      <w:r w:rsidRPr="002D70E0">
        <w:rPr>
          <w:color w:val="000000"/>
          <w:sz w:val="20"/>
          <w:szCs w:val="22"/>
          <w:lang w:val="sr-Latn-ME"/>
        </w:rPr>
        <w:t>e čega sl</w:t>
      </w:r>
      <w:r w:rsidR="00A80036" w:rsidRPr="002D70E0">
        <w:rPr>
          <w:color w:val="000000"/>
          <w:sz w:val="20"/>
          <w:szCs w:val="22"/>
          <w:lang w:val="sr-Latn-ME"/>
        </w:rPr>
        <w:t>j</w:t>
      </w:r>
      <w:r w:rsidRPr="002D70E0">
        <w:rPr>
          <w:color w:val="000000"/>
          <w:sz w:val="20"/>
          <w:szCs w:val="22"/>
          <w:lang w:val="sr-Latn-ME"/>
        </w:rPr>
        <w:t>edi 20 mg jednom dnevno.</w:t>
      </w:r>
    </w:p>
    <w:p w14:paraId="085B2AA6" w14:textId="77777777" w:rsidR="001E010E" w:rsidRPr="002D70E0" w:rsidRDefault="001E010E" w:rsidP="005D101E">
      <w:pPr>
        <w:numPr>
          <w:ilvl w:val="0"/>
          <w:numId w:val="16"/>
        </w:numPr>
        <w:ind w:right="5" w:hanging="240"/>
        <w:jc w:val="both"/>
        <w:rPr>
          <w:color w:val="000000"/>
          <w:sz w:val="20"/>
          <w:szCs w:val="22"/>
          <w:lang w:val="sr-Latn-ME"/>
        </w:rPr>
      </w:pPr>
      <w:r w:rsidRPr="002D70E0">
        <w:rPr>
          <w:color w:val="000000"/>
          <w:sz w:val="20"/>
          <w:szCs w:val="22"/>
          <w:lang w:val="sr-Latn-ME"/>
        </w:rPr>
        <w:t>Enoksaparin tokom najmanje 5 dana, preklapa se, a zatim nastavlja terapija sa VKA.</w:t>
      </w:r>
    </w:p>
    <w:p w14:paraId="2C7FC5F9" w14:textId="6118D67B" w:rsidR="001E010E" w:rsidRPr="002D70E0" w:rsidRDefault="001E010E" w:rsidP="005D101E">
      <w:pPr>
        <w:ind w:left="120" w:right="5" w:hanging="10"/>
        <w:jc w:val="both"/>
        <w:rPr>
          <w:color w:val="000000"/>
          <w:sz w:val="20"/>
          <w:szCs w:val="22"/>
          <w:lang w:val="sr-Latn-ME"/>
        </w:rPr>
      </w:pPr>
      <w:r w:rsidRPr="002D70E0">
        <w:rPr>
          <w:b/>
          <w:color w:val="000000"/>
          <w:sz w:val="20"/>
          <w:szCs w:val="22"/>
          <w:lang w:val="sr-Latn-ME"/>
        </w:rPr>
        <w:t xml:space="preserve">* </w:t>
      </w:r>
      <w:r w:rsidRPr="002D70E0">
        <w:rPr>
          <w:color w:val="000000"/>
          <w:sz w:val="20"/>
          <w:szCs w:val="22"/>
          <w:lang w:val="sr-Latn-ME"/>
        </w:rPr>
        <w:t xml:space="preserve">p &lt; 0,0001 (neinferiornost u odnosu na unapred određeni HR 2,0); HR: 0,680 (0,443 – 1,042), </w:t>
      </w:r>
      <w:r w:rsidR="00A80036" w:rsidRPr="002D70E0">
        <w:rPr>
          <w:color w:val="000000"/>
          <w:sz w:val="20"/>
          <w:szCs w:val="22"/>
          <w:lang w:val="sr-Latn-ME"/>
        </w:rPr>
        <w:t xml:space="preserve"> </w:t>
      </w:r>
      <w:r w:rsidRPr="002D70E0">
        <w:rPr>
          <w:color w:val="000000"/>
          <w:sz w:val="20"/>
          <w:szCs w:val="22"/>
          <w:lang w:val="sr-Latn-ME"/>
        </w:rPr>
        <w:t>p=0,076 (superiornost)</w:t>
      </w:r>
    </w:p>
    <w:p w14:paraId="10E92A1E" w14:textId="77777777" w:rsidR="007D7545" w:rsidRPr="007D7545" w:rsidRDefault="007D7545" w:rsidP="005D101E">
      <w:pPr>
        <w:ind w:left="120" w:right="5" w:hanging="10"/>
        <w:jc w:val="both"/>
        <w:rPr>
          <w:color w:val="000000"/>
          <w:sz w:val="22"/>
          <w:szCs w:val="22"/>
          <w:lang w:val="sr-Latn-ME"/>
        </w:rPr>
      </w:pPr>
    </w:p>
    <w:p w14:paraId="3CDAA69E" w14:textId="3B6F2FFA" w:rsidR="001E010E" w:rsidRPr="007D7545" w:rsidRDefault="001E010E" w:rsidP="005D101E">
      <w:pPr>
        <w:ind w:left="135" w:right="1" w:hanging="10"/>
        <w:jc w:val="both"/>
        <w:rPr>
          <w:color w:val="000000"/>
          <w:sz w:val="22"/>
          <w:szCs w:val="22"/>
          <w:lang w:val="sr-Latn-ME"/>
        </w:rPr>
      </w:pPr>
      <w:r w:rsidRPr="007D7545">
        <w:rPr>
          <w:color w:val="000000"/>
          <w:sz w:val="22"/>
          <w:szCs w:val="22"/>
          <w:lang w:val="sr-Latn-ME"/>
        </w:rPr>
        <w:t xml:space="preserve">U </w:t>
      </w:r>
      <w:r w:rsidRPr="007D7545">
        <w:rPr>
          <w:i/>
          <w:color w:val="000000"/>
          <w:sz w:val="22"/>
          <w:szCs w:val="22"/>
          <w:lang w:val="sr-Latn-ME"/>
        </w:rPr>
        <w:t xml:space="preserve">Einstein PE </w:t>
      </w:r>
      <w:r w:rsidRPr="007D7545">
        <w:rPr>
          <w:color w:val="000000"/>
          <w:sz w:val="22"/>
          <w:szCs w:val="22"/>
          <w:lang w:val="sr-Latn-ME"/>
        </w:rPr>
        <w:t>studiji (vidjeti Tabelu 6) rivaroksaban se pokazao neinferiornim u odnosu na kombinaciju enoksaparin/VKA za primarni ishod efikasnosti (p=0,0026 (test za neinferiornost); odnos rizika 1,123 (0,749-1,684)). Unapr</w:t>
      </w:r>
      <w:r w:rsidR="00BB6090" w:rsidRPr="007D7545">
        <w:rPr>
          <w:color w:val="000000"/>
          <w:sz w:val="22"/>
          <w:szCs w:val="22"/>
          <w:lang w:val="sr-Latn-ME"/>
        </w:rPr>
        <w:t>ij</w:t>
      </w:r>
      <w:r w:rsidRPr="007D7545">
        <w:rPr>
          <w:color w:val="000000"/>
          <w:sz w:val="22"/>
          <w:szCs w:val="22"/>
          <w:lang w:val="sr-Latn-ME"/>
        </w:rPr>
        <w:t>ed određena ukupna klinička korist (primarni ishod efikasnosti plus obilna krvarenja) zab</w:t>
      </w:r>
      <w:r w:rsidR="00BB6090" w:rsidRPr="007D7545">
        <w:rPr>
          <w:color w:val="000000"/>
          <w:sz w:val="22"/>
          <w:szCs w:val="22"/>
          <w:lang w:val="sr-Latn-ME"/>
        </w:rPr>
        <w:t>i</w:t>
      </w:r>
      <w:r w:rsidRPr="007D7545">
        <w:rPr>
          <w:color w:val="000000"/>
          <w:sz w:val="22"/>
          <w:szCs w:val="22"/>
          <w:lang w:val="sr-Latn-ME"/>
        </w:rPr>
        <w:t>l</w:t>
      </w:r>
      <w:r w:rsidR="00BB6090" w:rsidRPr="007D7545">
        <w:rPr>
          <w:color w:val="000000"/>
          <w:sz w:val="22"/>
          <w:szCs w:val="22"/>
          <w:lang w:val="sr-Latn-ME"/>
        </w:rPr>
        <w:t>j</w:t>
      </w:r>
      <w:r w:rsidRPr="007D7545">
        <w:rPr>
          <w:color w:val="000000"/>
          <w:sz w:val="22"/>
          <w:szCs w:val="22"/>
          <w:lang w:val="sr-Latn-ME"/>
        </w:rPr>
        <w:t>ežena je sa HR 0,849 ((95%CI: 0,633 – 1,139), nominalna p vrijednost p=0,275). INR vrijednosti su bile unutar terapijskog opsega pros</w:t>
      </w:r>
      <w:r w:rsidR="00BB6090" w:rsidRPr="007D7545">
        <w:rPr>
          <w:color w:val="000000"/>
          <w:sz w:val="22"/>
          <w:szCs w:val="22"/>
          <w:lang w:val="sr-Latn-ME"/>
        </w:rPr>
        <w:t>j</w:t>
      </w:r>
      <w:r w:rsidRPr="007D7545">
        <w:rPr>
          <w:color w:val="000000"/>
          <w:sz w:val="22"/>
          <w:szCs w:val="22"/>
          <w:lang w:val="sr-Latn-ME"/>
        </w:rPr>
        <w:t>ečno 63% vremena za pros</w:t>
      </w:r>
      <w:r w:rsidR="00BB6090" w:rsidRPr="007D7545">
        <w:rPr>
          <w:color w:val="000000"/>
          <w:sz w:val="22"/>
          <w:szCs w:val="22"/>
          <w:lang w:val="sr-Latn-ME"/>
        </w:rPr>
        <w:t>j</w:t>
      </w:r>
      <w:r w:rsidRPr="007D7545">
        <w:rPr>
          <w:color w:val="000000"/>
          <w:sz w:val="22"/>
          <w:szCs w:val="22"/>
          <w:lang w:val="sr-Latn-ME"/>
        </w:rPr>
        <w:t>ečnu dužinu terapije od 215 dana, a 57%, 62% i 65% vremena u grupama nam</w:t>
      </w:r>
      <w:r w:rsidR="00BB6090" w:rsidRPr="007D7545">
        <w:rPr>
          <w:color w:val="000000"/>
          <w:sz w:val="22"/>
          <w:szCs w:val="22"/>
          <w:lang w:val="sr-Latn-ME"/>
        </w:rPr>
        <w:t>j</w:t>
      </w:r>
      <w:r w:rsidRPr="007D7545">
        <w:rPr>
          <w:color w:val="000000"/>
          <w:sz w:val="22"/>
          <w:szCs w:val="22"/>
          <w:lang w:val="sr-Latn-ME"/>
        </w:rPr>
        <w:t>eravanog trajanja terapije od 3, 6, odnosno 12 mjeseci. U enoksaparin/VKA grupi nije bilo jasnog odnosa između vrijednosti srednjeg centralnog vremena unutar terapijskog raspona (</w:t>
      </w:r>
      <w:r w:rsidRPr="007D7545">
        <w:rPr>
          <w:i/>
          <w:color w:val="000000"/>
          <w:sz w:val="22"/>
          <w:szCs w:val="22"/>
          <w:lang w:val="sr-Latn-ME"/>
        </w:rPr>
        <w:t xml:space="preserve">Time in Target INR Range </w:t>
      </w:r>
      <w:r w:rsidRPr="007D7545">
        <w:rPr>
          <w:color w:val="000000"/>
          <w:sz w:val="22"/>
          <w:szCs w:val="22"/>
          <w:lang w:val="sr-Latn-ME"/>
        </w:rPr>
        <w:t>2,0 – 3,0) u tercilima podjednake veličine i incidence rekurentne VTE (p=0,082 za interakciju). Unutar najvećeg tercila prema centru, HR sa rivaroksabanom prema varfarinu je bio 0,642 (95% CI: 0,277 – 1,484).</w:t>
      </w:r>
    </w:p>
    <w:p w14:paraId="2B36C7FA" w14:textId="1CF5513B" w:rsidR="001E010E" w:rsidRPr="007D7545" w:rsidRDefault="001E010E" w:rsidP="005D101E">
      <w:pPr>
        <w:ind w:left="120" w:right="1" w:hanging="10"/>
        <w:jc w:val="both"/>
        <w:rPr>
          <w:color w:val="000000"/>
          <w:sz w:val="22"/>
          <w:szCs w:val="22"/>
          <w:lang w:val="sr-Latn-ME"/>
        </w:rPr>
      </w:pPr>
      <w:r w:rsidRPr="007D7545">
        <w:rPr>
          <w:color w:val="000000"/>
          <w:sz w:val="22"/>
          <w:szCs w:val="22"/>
          <w:lang w:val="sr-Latn-ME"/>
        </w:rPr>
        <w:t>Stope incidence za primarni ishod bezbjednosti (obilna krvarenja ili klinički značajna krvarenja koja ni</w:t>
      </w:r>
      <w:r w:rsidR="00BB6090" w:rsidRPr="007D7545">
        <w:rPr>
          <w:color w:val="000000"/>
          <w:sz w:val="22"/>
          <w:szCs w:val="22"/>
          <w:lang w:val="sr-Latn-ME"/>
        </w:rPr>
        <w:t>je</w:t>
      </w:r>
      <w:r w:rsidRPr="007D7545">
        <w:rPr>
          <w:color w:val="000000"/>
          <w:sz w:val="22"/>
          <w:szCs w:val="22"/>
          <w:lang w:val="sr-Latn-ME"/>
        </w:rPr>
        <w:t>su klasifikovana kao obilna) bile su neznatno niže u rivaroksaban terapijskoj grupi (10,3% (249/2412)) nego u enoksaparin/VKA terapijskoj grupi (11,4% (274/2405)). Incidenca sekundarnog ishoda bezbjednosti (obilna krvarenja) bila je manja u rivaroksaban grupi (1,1% (26/2412)) nego u enoksaparin/VKA grupi (2,2% (52/2405)) uz HR 0,493 (95%CI: 0,308 – 0,789).</w:t>
      </w:r>
    </w:p>
    <w:p w14:paraId="0A3A0C25" w14:textId="77777777" w:rsidR="005D101E" w:rsidRPr="007D7545" w:rsidRDefault="005D101E" w:rsidP="005D101E">
      <w:pPr>
        <w:ind w:left="120" w:right="1" w:hanging="10"/>
        <w:jc w:val="both"/>
        <w:rPr>
          <w:color w:val="000000"/>
          <w:sz w:val="22"/>
          <w:szCs w:val="22"/>
          <w:lang w:val="sr-Latn-ME"/>
        </w:rPr>
      </w:pPr>
    </w:p>
    <w:p w14:paraId="6FA28DB8" w14:textId="77777777" w:rsidR="001E010E" w:rsidRPr="007D7545" w:rsidRDefault="001E010E" w:rsidP="002D70E0">
      <w:pPr>
        <w:keepNext/>
        <w:keepLines/>
        <w:ind w:left="-5" w:hanging="10"/>
        <w:jc w:val="both"/>
        <w:outlineLvl w:val="0"/>
        <w:rPr>
          <w:b/>
          <w:color w:val="000000"/>
          <w:sz w:val="22"/>
          <w:szCs w:val="22"/>
          <w:lang w:val="sr-Latn-ME"/>
        </w:rPr>
      </w:pPr>
      <w:r w:rsidRPr="007D7545">
        <w:rPr>
          <w:b/>
          <w:color w:val="000000"/>
          <w:sz w:val="22"/>
          <w:szCs w:val="22"/>
          <w:lang w:val="sr-Latn-ME"/>
        </w:rPr>
        <w:t xml:space="preserve">Tabela 6: Rezultati efikasnosti i bezbjednosti iz </w:t>
      </w:r>
      <w:r w:rsidRPr="007D7545">
        <w:rPr>
          <w:b/>
          <w:i/>
          <w:color w:val="000000"/>
          <w:sz w:val="22"/>
          <w:szCs w:val="22"/>
          <w:lang w:val="sr-Latn-ME"/>
        </w:rPr>
        <w:t xml:space="preserve">Einstein PE </w:t>
      </w:r>
      <w:r w:rsidRPr="007D7545">
        <w:rPr>
          <w:b/>
          <w:color w:val="000000"/>
          <w:sz w:val="22"/>
          <w:szCs w:val="22"/>
          <w:lang w:val="sr-Latn-ME"/>
        </w:rPr>
        <w:t>studije faze III</w:t>
      </w:r>
    </w:p>
    <w:tbl>
      <w:tblPr>
        <w:tblStyle w:val="TableGrid2"/>
        <w:tblW w:w="5000" w:type="pct"/>
        <w:tblInd w:w="0" w:type="dxa"/>
        <w:tblCellMar>
          <w:top w:w="49" w:type="dxa"/>
          <w:left w:w="110" w:type="dxa"/>
          <w:right w:w="50" w:type="dxa"/>
        </w:tblCellMar>
        <w:tblLook w:val="04A0" w:firstRow="1" w:lastRow="0" w:firstColumn="1" w:lastColumn="0" w:noHBand="0" w:noVBand="1"/>
      </w:tblPr>
      <w:tblGrid>
        <w:gridCol w:w="4486"/>
        <w:gridCol w:w="1700"/>
        <w:gridCol w:w="2877"/>
      </w:tblGrid>
      <w:tr w:rsidR="001E010E" w:rsidRPr="007D7545" w14:paraId="60CF082F" w14:textId="77777777" w:rsidTr="002D70E0">
        <w:tc>
          <w:tcPr>
            <w:tcW w:w="2475" w:type="pct"/>
            <w:tcBorders>
              <w:top w:val="single" w:sz="4" w:space="0" w:color="000000"/>
              <w:left w:val="single" w:sz="4" w:space="0" w:color="000000"/>
              <w:bottom w:val="single" w:sz="4" w:space="0" w:color="000000"/>
              <w:right w:val="single" w:sz="4" w:space="0" w:color="000000"/>
            </w:tcBorders>
          </w:tcPr>
          <w:p w14:paraId="4A23CC1F"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Populacija u studiji</w:t>
            </w:r>
          </w:p>
        </w:tc>
        <w:tc>
          <w:tcPr>
            <w:tcW w:w="2525" w:type="pct"/>
            <w:gridSpan w:val="2"/>
            <w:tcBorders>
              <w:top w:val="single" w:sz="4" w:space="0" w:color="000000"/>
              <w:left w:val="single" w:sz="4" w:space="0" w:color="000000"/>
              <w:bottom w:val="single" w:sz="4" w:space="0" w:color="000000"/>
              <w:right w:val="single" w:sz="4" w:space="0" w:color="000000"/>
            </w:tcBorders>
          </w:tcPr>
          <w:p w14:paraId="5A5A99E7"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4832 pacijenta sa akutnom simptomatskom PE</w:t>
            </w:r>
          </w:p>
        </w:tc>
      </w:tr>
      <w:tr w:rsidR="001E010E" w:rsidRPr="007D7545" w14:paraId="18757039" w14:textId="77777777" w:rsidTr="002D70E0">
        <w:tc>
          <w:tcPr>
            <w:tcW w:w="2475" w:type="pct"/>
            <w:tcBorders>
              <w:top w:val="single" w:sz="4" w:space="0" w:color="000000"/>
              <w:left w:val="single" w:sz="4" w:space="0" w:color="000000"/>
              <w:bottom w:val="single" w:sz="4" w:space="0" w:color="000000"/>
              <w:right w:val="single" w:sz="4" w:space="0" w:color="000000"/>
            </w:tcBorders>
            <w:vAlign w:val="center"/>
          </w:tcPr>
          <w:p w14:paraId="0179E80B"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Terapijska doza i dužina primjene</w:t>
            </w:r>
          </w:p>
        </w:tc>
        <w:tc>
          <w:tcPr>
            <w:tcW w:w="938" w:type="pct"/>
            <w:tcBorders>
              <w:top w:val="single" w:sz="4" w:space="0" w:color="000000"/>
              <w:left w:val="single" w:sz="4" w:space="0" w:color="000000"/>
              <w:bottom w:val="single" w:sz="4" w:space="0" w:color="000000"/>
              <w:right w:val="single" w:sz="4" w:space="0" w:color="000000"/>
            </w:tcBorders>
          </w:tcPr>
          <w:p w14:paraId="3CC78FDD"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Rivaroksaban</w:t>
            </w:r>
            <w:r w:rsidRPr="007D7545">
              <w:rPr>
                <w:b/>
                <w:color w:val="000000"/>
                <w:sz w:val="22"/>
                <w:szCs w:val="22"/>
                <w:vertAlign w:val="superscript"/>
                <w:lang w:val="sr-Latn-ME"/>
              </w:rPr>
              <w:t>a</w:t>
            </w:r>
          </w:p>
          <w:p w14:paraId="4EE6EF05"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3, 6 ili 12 mjeseci</w:t>
            </w:r>
          </w:p>
          <w:p w14:paraId="0C6C810A"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N=2419</w:t>
            </w:r>
          </w:p>
        </w:tc>
        <w:tc>
          <w:tcPr>
            <w:tcW w:w="1587" w:type="pct"/>
            <w:tcBorders>
              <w:top w:val="single" w:sz="4" w:space="0" w:color="000000"/>
              <w:left w:val="single" w:sz="4" w:space="0" w:color="000000"/>
              <w:bottom w:val="single" w:sz="4" w:space="0" w:color="000000"/>
              <w:right w:val="single" w:sz="4" w:space="0" w:color="000000"/>
            </w:tcBorders>
          </w:tcPr>
          <w:p w14:paraId="399F1787"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Enoksaparin/VKA</w:t>
            </w:r>
            <w:r w:rsidRPr="007D7545">
              <w:rPr>
                <w:b/>
                <w:color w:val="000000"/>
                <w:sz w:val="22"/>
                <w:szCs w:val="22"/>
                <w:vertAlign w:val="superscript"/>
                <w:lang w:val="sr-Latn-ME"/>
              </w:rPr>
              <w:t>b</w:t>
            </w:r>
          </w:p>
          <w:p w14:paraId="2756670B"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3, 6 ili 12 mjeseci</w:t>
            </w:r>
          </w:p>
          <w:p w14:paraId="38BBD209"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N=2413</w:t>
            </w:r>
          </w:p>
        </w:tc>
      </w:tr>
      <w:tr w:rsidR="001E010E" w:rsidRPr="007D7545" w14:paraId="25DA359E" w14:textId="77777777" w:rsidTr="002D70E0">
        <w:tc>
          <w:tcPr>
            <w:tcW w:w="2475" w:type="pct"/>
            <w:tcBorders>
              <w:top w:val="single" w:sz="4" w:space="0" w:color="000000"/>
              <w:left w:val="single" w:sz="4" w:space="0" w:color="000000"/>
              <w:bottom w:val="single" w:sz="4" w:space="0" w:color="000000"/>
              <w:right w:val="single" w:sz="4" w:space="0" w:color="000000"/>
            </w:tcBorders>
            <w:vAlign w:val="center"/>
          </w:tcPr>
          <w:p w14:paraId="6C5F0316"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lastRenderedPageBreak/>
              <w:t>Simptomatska rekurentna VTE*</w:t>
            </w:r>
          </w:p>
        </w:tc>
        <w:tc>
          <w:tcPr>
            <w:tcW w:w="938" w:type="pct"/>
            <w:tcBorders>
              <w:top w:val="single" w:sz="4" w:space="0" w:color="000000"/>
              <w:left w:val="single" w:sz="4" w:space="0" w:color="000000"/>
              <w:bottom w:val="single" w:sz="4" w:space="0" w:color="000000"/>
              <w:right w:val="single" w:sz="4" w:space="0" w:color="000000"/>
            </w:tcBorders>
          </w:tcPr>
          <w:p w14:paraId="14064EAB"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50</w:t>
            </w:r>
          </w:p>
          <w:p w14:paraId="5104AA58"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(2,1%)</w:t>
            </w:r>
          </w:p>
        </w:tc>
        <w:tc>
          <w:tcPr>
            <w:tcW w:w="1587" w:type="pct"/>
            <w:tcBorders>
              <w:top w:val="single" w:sz="4" w:space="0" w:color="000000"/>
              <w:left w:val="single" w:sz="4" w:space="0" w:color="000000"/>
              <w:bottom w:val="single" w:sz="4" w:space="0" w:color="000000"/>
              <w:right w:val="single" w:sz="4" w:space="0" w:color="000000"/>
            </w:tcBorders>
          </w:tcPr>
          <w:p w14:paraId="3B07E2F6"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44</w:t>
            </w:r>
          </w:p>
          <w:p w14:paraId="389ACDE9"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(1,8%)</w:t>
            </w:r>
          </w:p>
        </w:tc>
      </w:tr>
      <w:tr w:rsidR="001E010E" w:rsidRPr="007D7545" w14:paraId="7600F922" w14:textId="77777777" w:rsidTr="002D70E0">
        <w:tc>
          <w:tcPr>
            <w:tcW w:w="2475" w:type="pct"/>
            <w:tcBorders>
              <w:top w:val="single" w:sz="4" w:space="0" w:color="000000"/>
              <w:left w:val="single" w:sz="4" w:space="0" w:color="000000"/>
              <w:bottom w:val="single" w:sz="4" w:space="0" w:color="000000"/>
              <w:right w:val="single" w:sz="4" w:space="0" w:color="000000"/>
            </w:tcBorders>
            <w:vAlign w:val="center"/>
          </w:tcPr>
          <w:p w14:paraId="3F47BD4C" w14:textId="77777777" w:rsidR="001E010E" w:rsidRPr="007D7545" w:rsidRDefault="001E010E" w:rsidP="005D101E">
            <w:pPr>
              <w:ind w:right="64"/>
              <w:rPr>
                <w:rFonts w:ascii="Times New Roman" w:hAnsi="Times New Roman"/>
                <w:color w:val="000000"/>
                <w:sz w:val="22"/>
                <w:szCs w:val="22"/>
                <w:lang w:val="sr-Latn-ME"/>
              </w:rPr>
            </w:pPr>
            <w:r w:rsidRPr="007D7545">
              <w:rPr>
                <w:color w:val="000000"/>
                <w:sz w:val="22"/>
                <w:szCs w:val="22"/>
                <w:lang w:val="sr-Latn-ME"/>
              </w:rPr>
              <w:t xml:space="preserve">    Simptomatska rekurentna PE</w:t>
            </w:r>
          </w:p>
        </w:tc>
        <w:tc>
          <w:tcPr>
            <w:tcW w:w="938" w:type="pct"/>
            <w:tcBorders>
              <w:top w:val="single" w:sz="4" w:space="0" w:color="000000"/>
              <w:left w:val="single" w:sz="4" w:space="0" w:color="000000"/>
              <w:bottom w:val="single" w:sz="4" w:space="0" w:color="000000"/>
              <w:right w:val="single" w:sz="4" w:space="0" w:color="000000"/>
            </w:tcBorders>
          </w:tcPr>
          <w:p w14:paraId="3E35F0B7"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23</w:t>
            </w:r>
          </w:p>
          <w:p w14:paraId="366069BC"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(1,0%)</w:t>
            </w:r>
          </w:p>
        </w:tc>
        <w:tc>
          <w:tcPr>
            <w:tcW w:w="1587" w:type="pct"/>
            <w:tcBorders>
              <w:top w:val="single" w:sz="4" w:space="0" w:color="000000"/>
              <w:left w:val="single" w:sz="4" w:space="0" w:color="000000"/>
              <w:bottom w:val="single" w:sz="4" w:space="0" w:color="000000"/>
              <w:right w:val="single" w:sz="4" w:space="0" w:color="000000"/>
            </w:tcBorders>
          </w:tcPr>
          <w:p w14:paraId="2BC50F30"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20</w:t>
            </w:r>
          </w:p>
          <w:p w14:paraId="41E47FA0"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(0,8%)</w:t>
            </w:r>
          </w:p>
        </w:tc>
      </w:tr>
      <w:tr w:rsidR="001E010E" w:rsidRPr="007D7545" w14:paraId="1B61E02A" w14:textId="77777777" w:rsidTr="002D70E0">
        <w:tc>
          <w:tcPr>
            <w:tcW w:w="2475" w:type="pct"/>
            <w:tcBorders>
              <w:top w:val="single" w:sz="4" w:space="0" w:color="000000"/>
              <w:left w:val="single" w:sz="4" w:space="0" w:color="000000"/>
              <w:bottom w:val="single" w:sz="4" w:space="0" w:color="000000"/>
              <w:right w:val="single" w:sz="4" w:space="0" w:color="000000"/>
            </w:tcBorders>
          </w:tcPr>
          <w:p w14:paraId="1E628FA7" w14:textId="77777777" w:rsidR="001E010E" w:rsidRPr="007D7545" w:rsidRDefault="001E010E" w:rsidP="005D101E">
            <w:pPr>
              <w:tabs>
                <w:tab w:val="center" w:pos="1195"/>
                <w:tab w:val="right" w:pos="3199"/>
              </w:tabs>
              <w:rPr>
                <w:rFonts w:ascii="Times New Roman" w:hAnsi="Times New Roman"/>
                <w:color w:val="000000"/>
                <w:sz w:val="22"/>
                <w:szCs w:val="22"/>
                <w:lang w:val="sr-Latn-ME"/>
              </w:rPr>
            </w:pPr>
            <w:r w:rsidRPr="007D7545">
              <w:rPr>
                <w:color w:val="000000"/>
                <w:sz w:val="22"/>
                <w:szCs w:val="22"/>
                <w:lang w:val="sr-Latn-ME"/>
              </w:rPr>
              <w:t xml:space="preserve">    Simptomatska rekurentna TDV</w:t>
            </w:r>
          </w:p>
        </w:tc>
        <w:tc>
          <w:tcPr>
            <w:tcW w:w="938" w:type="pct"/>
            <w:tcBorders>
              <w:top w:val="single" w:sz="4" w:space="0" w:color="000000"/>
              <w:left w:val="single" w:sz="4" w:space="0" w:color="000000"/>
              <w:bottom w:val="single" w:sz="4" w:space="0" w:color="000000"/>
              <w:right w:val="single" w:sz="4" w:space="0" w:color="000000"/>
            </w:tcBorders>
          </w:tcPr>
          <w:p w14:paraId="462DCEB6"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18</w:t>
            </w:r>
          </w:p>
          <w:p w14:paraId="665FFC2C"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(0,7%)</w:t>
            </w:r>
          </w:p>
        </w:tc>
        <w:tc>
          <w:tcPr>
            <w:tcW w:w="1587" w:type="pct"/>
            <w:tcBorders>
              <w:top w:val="single" w:sz="4" w:space="0" w:color="000000"/>
              <w:left w:val="single" w:sz="4" w:space="0" w:color="000000"/>
              <w:bottom w:val="single" w:sz="4" w:space="0" w:color="000000"/>
              <w:right w:val="single" w:sz="4" w:space="0" w:color="000000"/>
            </w:tcBorders>
          </w:tcPr>
          <w:p w14:paraId="0B5A1EF2" w14:textId="77777777" w:rsidR="001E010E" w:rsidRPr="007D7545" w:rsidRDefault="001E010E" w:rsidP="005D101E">
            <w:pPr>
              <w:ind w:right="1893"/>
              <w:jc w:val="both"/>
              <w:rPr>
                <w:rFonts w:ascii="Times New Roman" w:hAnsi="Times New Roman"/>
                <w:color w:val="000000"/>
                <w:sz w:val="22"/>
                <w:szCs w:val="22"/>
                <w:lang w:val="sr-Latn-ME"/>
              </w:rPr>
            </w:pPr>
            <w:r w:rsidRPr="007D7545">
              <w:rPr>
                <w:color w:val="000000"/>
                <w:sz w:val="22"/>
                <w:szCs w:val="22"/>
                <w:lang w:val="sr-Latn-ME"/>
              </w:rPr>
              <w:t>17 (0,7%)</w:t>
            </w:r>
          </w:p>
        </w:tc>
      </w:tr>
      <w:tr w:rsidR="001E010E" w:rsidRPr="007D7545" w14:paraId="6A4B061E" w14:textId="77777777" w:rsidTr="002D70E0">
        <w:tc>
          <w:tcPr>
            <w:tcW w:w="2475" w:type="pct"/>
            <w:tcBorders>
              <w:top w:val="single" w:sz="4" w:space="0" w:color="000000"/>
              <w:left w:val="single" w:sz="4" w:space="0" w:color="000000"/>
              <w:bottom w:val="single" w:sz="4" w:space="0" w:color="000000"/>
              <w:right w:val="single" w:sz="4" w:space="0" w:color="000000"/>
            </w:tcBorders>
            <w:vAlign w:val="center"/>
          </w:tcPr>
          <w:p w14:paraId="14E17238" w14:textId="77777777" w:rsidR="001E010E" w:rsidRPr="007D7545" w:rsidRDefault="001E010E" w:rsidP="005D101E">
            <w:pPr>
              <w:ind w:left="10" w:hanging="10"/>
              <w:rPr>
                <w:rFonts w:ascii="Times New Roman" w:hAnsi="Times New Roman"/>
                <w:color w:val="000000"/>
                <w:sz w:val="22"/>
                <w:szCs w:val="22"/>
                <w:lang w:val="sr-Latn-ME"/>
              </w:rPr>
            </w:pPr>
            <w:r w:rsidRPr="007D7545">
              <w:rPr>
                <w:color w:val="000000"/>
                <w:sz w:val="22"/>
                <w:szCs w:val="22"/>
                <w:lang w:val="sr-Latn-ME"/>
              </w:rPr>
              <w:t xml:space="preserve">    Simptomatska PE i TDV</w:t>
            </w:r>
          </w:p>
        </w:tc>
        <w:tc>
          <w:tcPr>
            <w:tcW w:w="938" w:type="pct"/>
            <w:tcBorders>
              <w:top w:val="single" w:sz="4" w:space="0" w:color="000000"/>
              <w:left w:val="single" w:sz="4" w:space="0" w:color="000000"/>
              <w:bottom w:val="single" w:sz="4" w:space="0" w:color="000000"/>
              <w:right w:val="single" w:sz="4" w:space="0" w:color="000000"/>
            </w:tcBorders>
            <w:vAlign w:val="center"/>
          </w:tcPr>
          <w:p w14:paraId="27E78259"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0</w:t>
            </w:r>
          </w:p>
        </w:tc>
        <w:tc>
          <w:tcPr>
            <w:tcW w:w="1587" w:type="pct"/>
            <w:tcBorders>
              <w:top w:val="single" w:sz="4" w:space="0" w:color="000000"/>
              <w:left w:val="single" w:sz="4" w:space="0" w:color="000000"/>
              <w:bottom w:val="single" w:sz="4" w:space="0" w:color="000000"/>
              <w:right w:val="single" w:sz="4" w:space="0" w:color="000000"/>
            </w:tcBorders>
          </w:tcPr>
          <w:p w14:paraId="7780460D"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w:t>
            </w:r>
          </w:p>
          <w:p w14:paraId="0F0C69FF"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(&lt;0,1%)</w:t>
            </w:r>
          </w:p>
        </w:tc>
      </w:tr>
      <w:tr w:rsidR="001E010E" w:rsidRPr="007D7545" w14:paraId="4DC5FF8B" w14:textId="77777777" w:rsidTr="002D70E0">
        <w:tc>
          <w:tcPr>
            <w:tcW w:w="2475" w:type="pct"/>
            <w:tcBorders>
              <w:top w:val="single" w:sz="4" w:space="0" w:color="000000"/>
              <w:left w:val="single" w:sz="4" w:space="0" w:color="000000"/>
              <w:bottom w:val="single" w:sz="4" w:space="0" w:color="000000"/>
              <w:right w:val="single" w:sz="4" w:space="0" w:color="000000"/>
            </w:tcBorders>
          </w:tcPr>
          <w:p w14:paraId="5B36ACBA" w14:textId="41B1304C" w:rsidR="001E010E" w:rsidRPr="007D7545" w:rsidRDefault="001E010E" w:rsidP="005D101E">
            <w:pPr>
              <w:ind w:left="171" w:hanging="171"/>
              <w:rPr>
                <w:rFonts w:ascii="Times New Roman" w:hAnsi="Times New Roman"/>
                <w:color w:val="000000"/>
                <w:sz w:val="22"/>
                <w:szCs w:val="22"/>
                <w:lang w:val="sr-Latn-ME"/>
              </w:rPr>
            </w:pPr>
            <w:r w:rsidRPr="007D7545">
              <w:rPr>
                <w:color w:val="000000"/>
                <w:sz w:val="22"/>
                <w:szCs w:val="22"/>
                <w:lang w:val="sr-Latn-ME"/>
              </w:rPr>
              <w:t xml:space="preserve">    PE sa smrtnim ishodom/smrt gd</w:t>
            </w:r>
            <w:r w:rsidR="00955E5C" w:rsidRPr="007D7545">
              <w:rPr>
                <w:color w:val="000000"/>
                <w:sz w:val="22"/>
                <w:szCs w:val="22"/>
                <w:lang w:val="sr-Latn-ME"/>
              </w:rPr>
              <w:t>j</w:t>
            </w:r>
            <w:r w:rsidRPr="007D7545">
              <w:rPr>
                <w:color w:val="000000"/>
                <w:sz w:val="22"/>
                <w:szCs w:val="22"/>
                <w:lang w:val="sr-Latn-ME"/>
              </w:rPr>
              <w:t>e se PE ne može isključiti</w:t>
            </w:r>
          </w:p>
        </w:tc>
        <w:tc>
          <w:tcPr>
            <w:tcW w:w="938" w:type="pct"/>
            <w:tcBorders>
              <w:top w:val="single" w:sz="4" w:space="0" w:color="000000"/>
              <w:left w:val="single" w:sz="4" w:space="0" w:color="000000"/>
              <w:bottom w:val="single" w:sz="4" w:space="0" w:color="000000"/>
              <w:right w:val="single" w:sz="4" w:space="0" w:color="000000"/>
            </w:tcBorders>
          </w:tcPr>
          <w:p w14:paraId="5B8D30C3"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11</w:t>
            </w:r>
          </w:p>
          <w:p w14:paraId="529496D5"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(0,5%)</w:t>
            </w:r>
          </w:p>
        </w:tc>
        <w:tc>
          <w:tcPr>
            <w:tcW w:w="1587" w:type="pct"/>
            <w:tcBorders>
              <w:top w:val="single" w:sz="4" w:space="0" w:color="000000"/>
              <w:left w:val="single" w:sz="4" w:space="0" w:color="000000"/>
              <w:bottom w:val="single" w:sz="4" w:space="0" w:color="000000"/>
              <w:right w:val="single" w:sz="4" w:space="0" w:color="000000"/>
            </w:tcBorders>
          </w:tcPr>
          <w:p w14:paraId="296B5C19"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7</w:t>
            </w:r>
          </w:p>
          <w:p w14:paraId="16B8E215"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(0,3%)</w:t>
            </w:r>
          </w:p>
        </w:tc>
      </w:tr>
      <w:tr w:rsidR="001E010E" w:rsidRPr="007D7545" w14:paraId="16B6234E" w14:textId="77777777" w:rsidTr="002D70E0">
        <w:tc>
          <w:tcPr>
            <w:tcW w:w="2475" w:type="pct"/>
            <w:tcBorders>
              <w:top w:val="single" w:sz="4" w:space="0" w:color="000000"/>
              <w:left w:val="single" w:sz="4" w:space="0" w:color="000000"/>
              <w:bottom w:val="single" w:sz="4" w:space="0" w:color="000000"/>
              <w:right w:val="single" w:sz="4" w:space="0" w:color="000000"/>
            </w:tcBorders>
          </w:tcPr>
          <w:p w14:paraId="3FE94F03" w14:textId="77777777" w:rsidR="001E010E" w:rsidRPr="007D7545" w:rsidRDefault="001E010E" w:rsidP="005D101E">
            <w:pPr>
              <w:ind w:right="55"/>
              <w:rPr>
                <w:rFonts w:ascii="Times New Roman" w:hAnsi="Times New Roman"/>
                <w:color w:val="000000"/>
                <w:sz w:val="22"/>
                <w:szCs w:val="22"/>
                <w:lang w:val="sr-Latn-ME"/>
              </w:rPr>
            </w:pPr>
            <w:r w:rsidRPr="007D7545">
              <w:rPr>
                <w:color w:val="000000"/>
                <w:sz w:val="22"/>
                <w:szCs w:val="22"/>
                <w:lang w:val="sr-Latn-ME"/>
              </w:rPr>
              <w:t>Obilno krvarenje ili klinički značajno krvarenje koje nije klasifikovano kao obilno</w:t>
            </w:r>
          </w:p>
        </w:tc>
        <w:tc>
          <w:tcPr>
            <w:tcW w:w="938" w:type="pct"/>
            <w:tcBorders>
              <w:top w:val="single" w:sz="4" w:space="0" w:color="000000"/>
              <w:left w:val="single" w:sz="4" w:space="0" w:color="000000"/>
              <w:bottom w:val="single" w:sz="4" w:space="0" w:color="000000"/>
              <w:right w:val="single" w:sz="4" w:space="0" w:color="000000"/>
            </w:tcBorders>
            <w:vAlign w:val="center"/>
          </w:tcPr>
          <w:p w14:paraId="748905EC"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249</w:t>
            </w:r>
          </w:p>
          <w:p w14:paraId="47B514C9"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(10,3%)</w:t>
            </w:r>
          </w:p>
        </w:tc>
        <w:tc>
          <w:tcPr>
            <w:tcW w:w="1587" w:type="pct"/>
            <w:tcBorders>
              <w:top w:val="single" w:sz="4" w:space="0" w:color="000000"/>
              <w:left w:val="single" w:sz="4" w:space="0" w:color="000000"/>
              <w:bottom w:val="single" w:sz="4" w:space="0" w:color="000000"/>
              <w:right w:val="single" w:sz="4" w:space="0" w:color="000000"/>
            </w:tcBorders>
            <w:vAlign w:val="center"/>
          </w:tcPr>
          <w:p w14:paraId="08EB4C26"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274</w:t>
            </w:r>
          </w:p>
          <w:p w14:paraId="45D4FB36"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(11,4%)</w:t>
            </w:r>
          </w:p>
        </w:tc>
      </w:tr>
      <w:tr w:rsidR="001E010E" w:rsidRPr="007D7545" w14:paraId="18659D53" w14:textId="77777777" w:rsidTr="002D70E0">
        <w:tc>
          <w:tcPr>
            <w:tcW w:w="2475" w:type="pct"/>
            <w:tcBorders>
              <w:top w:val="single" w:sz="4" w:space="0" w:color="000000"/>
              <w:left w:val="single" w:sz="4" w:space="0" w:color="000000"/>
              <w:bottom w:val="single" w:sz="4" w:space="0" w:color="000000"/>
              <w:right w:val="single" w:sz="4" w:space="0" w:color="000000"/>
            </w:tcBorders>
            <w:vAlign w:val="center"/>
          </w:tcPr>
          <w:p w14:paraId="64753542"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Ozbiljna krvarenja</w:t>
            </w:r>
          </w:p>
        </w:tc>
        <w:tc>
          <w:tcPr>
            <w:tcW w:w="938" w:type="pct"/>
            <w:tcBorders>
              <w:top w:val="single" w:sz="4" w:space="0" w:color="000000"/>
              <w:left w:val="single" w:sz="4" w:space="0" w:color="000000"/>
              <w:bottom w:val="single" w:sz="4" w:space="0" w:color="000000"/>
              <w:right w:val="single" w:sz="4" w:space="0" w:color="000000"/>
            </w:tcBorders>
          </w:tcPr>
          <w:p w14:paraId="7F892194"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26</w:t>
            </w:r>
          </w:p>
          <w:p w14:paraId="4ADA2D97"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(1,1%)</w:t>
            </w:r>
          </w:p>
        </w:tc>
        <w:tc>
          <w:tcPr>
            <w:tcW w:w="1587" w:type="pct"/>
            <w:tcBorders>
              <w:top w:val="single" w:sz="4" w:space="0" w:color="000000"/>
              <w:left w:val="single" w:sz="4" w:space="0" w:color="000000"/>
              <w:bottom w:val="single" w:sz="4" w:space="0" w:color="000000"/>
              <w:right w:val="single" w:sz="4" w:space="0" w:color="000000"/>
            </w:tcBorders>
          </w:tcPr>
          <w:p w14:paraId="2F13D964"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52</w:t>
            </w:r>
          </w:p>
          <w:p w14:paraId="27879B82"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(2,2%)</w:t>
            </w:r>
          </w:p>
        </w:tc>
      </w:tr>
    </w:tbl>
    <w:p w14:paraId="0D513D7E" w14:textId="6D96963E" w:rsidR="001E010E" w:rsidRPr="002D70E0" w:rsidRDefault="001E010E" w:rsidP="005D101E">
      <w:pPr>
        <w:numPr>
          <w:ilvl w:val="0"/>
          <w:numId w:val="17"/>
        </w:numPr>
        <w:ind w:right="5" w:hanging="240"/>
        <w:rPr>
          <w:color w:val="000000"/>
          <w:sz w:val="20"/>
          <w:szCs w:val="22"/>
          <w:lang w:val="sr-Latn-ME"/>
        </w:rPr>
      </w:pPr>
      <w:r w:rsidRPr="002D70E0">
        <w:rPr>
          <w:color w:val="000000"/>
          <w:sz w:val="20"/>
          <w:szCs w:val="22"/>
          <w:lang w:val="sr-Latn-ME"/>
        </w:rPr>
        <w:t>Rivaroksaban 15 mg dva puta dnevno tokom 3 ned</w:t>
      </w:r>
      <w:r w:rsidR="00220D1A" w:rsidRPr="002D70E0">
        <w:rPr>
          <w:color w:val="000000"/>
          <w:sz w:val="20"/>
          <w:szCs w:val="22"/>
          <w:lang w:val="sr-Latn-ME"/>
        </w:rPr>
        <w:t>j</w:t>
      </w:r>
      <w:r w:rsidRPr="002D70E0">
        <w:rPr>
          <w:color w:val="000000"/>
          <w:sz w:val="20"/>
          <w:szCs w:val="22"/>
          <w:lang w:val="sr-Latn-ME"/>
        </w:rPr>
        <w:t>elje, potom 20 mg jednom dnevno.</w:t>
      </w:r>
    </w:p>
    <w:p w14:paraId="00B0B111" w14:textId="77777777" w:rsidR="001E010E" w:rsidRPr="002D70E0" w:rsidRDefault="001E010E" w:rsidP="005D101E">
      <w:pPr>
        <w:numPr>
          <w:ilvl w:val="0"/>
          <w:numId w:val="17"/>
        </w:numPr>
        <w:ind w:right="5" w:hanging="240"/>
        <w:rPr>
          <w:color w:val="000000"/>
          <w:sz w:val="20"/>
          <w:szCs w:val="22"/>
          <w:lang w:val="sr-Latn-ME"/>
        </w:rPr>
      </w:pPr>
      <w:r w:rsidRPr="002D70E0">
        <w:rPr>
          <w:color w:val="000000"/>
          <w:sz w:val="20"/>
          <w:szCs w:val="22"/>
          <w:lang w:val="sr-Latn-ME"/>
        </w:rPr>
        <w:t>Enoksaparin tokom najmanje 5 dana preklapa se i nastavlja terapija sa VKA.</w:t>
      </w:r>
    </w:p>
    <w:p w14:paraId="158585B0" w14:textId="77777777" w:rsidR="001E010E" w:rsidRPr="002D70E0" w:rsidRDefault="001E010E" w:rsidP="005D101E">
      <w:pPr>
        <w:ind w:left="9" w:right="5" w:hanging="10"/>
        <w:rPr>
          <w:color w:val="000000"/>
          <w:sz w:val="20"/>
          <w:szCs w:val="22"/>
          <w:lang w:val="sr-Latn-ME"/>
        </w:rPr>
      </w:pPr>
      <w:r w:rsidRPr="002D70E0">
        <w:rPr>
          <w:b/>
          <w:color w:val="000000"/>
          <w:sz w:val="20"/>
          <w:szCs w:val="22"/>
          <w:lang w:val="sr-Latn-ME"/>
        </w:rPr>
        <w:t xml:space="preserve">* </w:t>
      </w:r>
      <w:r w:rsidRPr="002D70E0">
        <w:rPr>
          <w:color w:val="000000"/>
          <w:sz w:val="20"/>
          <w:szCs w:val="22"/>
          <w:lang w:val="sr-Latn-ME"/>
        </w:rPr>
        <w:t>p &lt; 0,0026 (neinferiornost u odnosu na predefinisani HR 2,0); HR: 1,123 (0,749 – 1,684)</w:t>
      </w:r>
    </w:p>
    <w:p w14:paraId="3E66605E" w14:textId="6CACFE3C" w:rsidR="001E010E" w:rsidRPr="002D70E0" w:rsidRDefault="001E010E" w:rsidP="005D101E">
      <w:pPr>
        <w:ind w:left="9" w:right="5" w:hanging="10"/>
        <w:jc w:val="both"/>
        <w:rPr>
          <w:color w:val="000000"/>
          <w:sz w:val="20"/>
          <w:szCs w:val="22"/>
          <w:lang w:val="sr-Latn-ME"/>
        </w:rPr>
      </w:pPr>
      <w:r w:rsidRPr="002D70E0">
        <w:rPr>
          <w:color w:val="000000"/>
          <w:sz w:val="20"/>
          <w:szCs w:val="22"/>
          <w:lang w:val="sr-Latn-ME"/>
        </w:rPr>
        <w:t>Sprovedena je unapr</w:t>
      </w:r>
      <w:r w:rsidR="00220D1A" w:rsidRPr="002D70E0">
        <w:rPr>
          <w:color w:val="000000"/>
          <w:sz w:val="20"/>
          <w:szCs w:val="22"/>
          <w:lang w:val="sr-Latn-ME"/>
        </w:rPr>
        <w:t>ij</w:t>
      </w:r>
      <w:r w:rsidRPr="002D70E0">
        <w:rPr>
          <w:color w:val="000000"/>
          <w:sz w:val="20"/>
          <w:szCs w:val="22"/>
          <w:lang w:val="sr-Latn-ME"/>
        </w:rPr>
        <w:t xml:space="preserve">ed definisana objedinjena analiza ishoda </w:t>
      </w:r>
      <w:r w:rsidRPr="002D70E0">
        <w:rPr>
          <w:i/>
          <w:color w:val="000000"/>
          <w:sz w:val="20"/>
          <w:szCs w:val="22"/>
          <w:lang w:val="sr-Latn-ME"/>
        </w:rPr>
        <w:t xml:space="preserve">Einstein DVT </w:t>
      </w:r>
      <w:r w:rsidRPr="002D70E0">
        <w:rPr>
          <w:color w:val="000000"/>
          <w:sz w:val="20"/>
          <w:szCs w:val="22"/>
          <w:lang w:val="sr-Latn-ME"/>
        </w:rPr>
        <w:t xml:space="preserve">i </w:t>
      </w:r>
      <w:r w:rsidRPr="002D70E0">
        <w:rPr>
          <w:i/>
          <w:color w:val="000000"/>
          <w:sz w:val="20"/>
          <w:szCs w:val="22"/>
          <w:lang w:val="sr-Latn-ME"/>
        </w:rPr>
        <w:t xml:space="preserve">Einstein PE </w:t>
      </w:r>
      <w:r w:rsidRPr="002D70E0">
        <w:rPr>
          <w:color w:val="000000"/>
          <w:sz w:val="20"/>
          <w:szCs w:val="22"/>
          <w:lang w:val="sr-Latn-ME"/>
        </w:rPr>
        <w:t>studija (</w:t>
      </w:r>
      <w:r w:rsidRPr="002D70E0">
        <w:rPr>
          <w:i/>
          <w:color w:val="000000"/>
          <w:sz w:val="20"/>
          <w:szCs w:val="22"/>
          <w:lang w:val="sr-Latn-ME"/>
        </w:rPr>
        <w:t>vidjeti Tabelu 7</w:t>
      </w:r>
      <w:r w:rsidRPr="002D70E0">
        <w:rPr>
          <w:color w:val="000000"/>
          <w:sz w:val="20"/>
          <w:szCs w:val="22"/>
          <w:lang w:val="sr-Latn-ME"/>
        </w:rPr>
        <w:t>).</w:t>
      </w:r>
    </w:p>
    <w:p w14:paraId="43A22AC0" w14:textId="77777777" w:rsidR="005D101E" w:rsidRPr="007D7545" w:rsidRDefault="005D101E" w:rsidP="005D101E">
      <w:pPr>
        <w:ind w:left="9" w:right="5" w:hanging="10"/>
        <w:jc w:val="both"/>
        <w:rPr>
          <w:color w:val="000000"/>
          <w:sz w:val="22"/>
          <w:szCs w:val="22"/>
          <w:lang w:val="sr-Latn-ME"/>
        </w:rPr>
      </w:pPr>
    </w:p>
    <w:p w14:paraId="788BDAA9" w14:textId="77777777" w:rsidR="001E010E" w:rsidRPr="007D7545" w:rsidRDefault="001E010E" w:rsidP="002D70E0">
      <w:pPr>
        <w:keepNext/>
        <w:keepLines/>
        <w:ind w:left="-5" w:hanging="10"/>
        <w:jc w:val="both"/>
        <w:outlineLvl w:val="0"/>
        <w:rPr>
          <w:b/>
          <w:color w:val="000000"/>
          <w:sz w:val="22"/>
          <w:szCs w:val="22"/>
          <w:lang w:val="sr-Latn-ME"/>
        </w:rPr>
      </w:pPr>
      <w:r w:rsidRPr="007D7545">
        <w:rPr>
          <w:b/>
          <w:color w:val="000000"/>
          <w:sz w:val="22"/>
          <w:szCs w:val="22"/>
          <w:lang w:val="sr-Latn-ME"/>
        </w:rPr>
        <w:t xml:space="preserve">Tabela 7: Rezultati efikasnosti i bezbjednosti iz objedinjene analize </w:t>
      </w:r>
      <w:r w:rsidRPr="007D7545">
        <w:rPr>
          <w:b/>
          <w:i/>
          <w:color w:val="000000"/>
          <w:sz w:val="22"/>
          <w:szCs w:val="22"/>
          <w:lang w:val="sr-Latn-ME"/>
        </w:rPr>
        <w:t xml:space="preserve">Einstein TDV </w:t>
      </w:r>
      <w:r w:rsidRPr="007D7545">
        <w:rPr>
          <w:b/>
          <w:color w:val="000000"/>
          <w:sz w:val="22"/>
          <w:szCs w:val="22"/>
          <w:lang w:val="sr-Latn-ME"/>
        </w:rPr>
        <w:t xml:space="preserve">i </w:t>
      </w:r>
      <w:r w:rsidRPr="007D7545">
        <w:rPr>
          <w:b/>
          <w:i/>
          <w:color w:val="000000"/>
          <w:sz w:val="22"/>
          <w:szCs w:val="22"/>
          <w:lang w:val="sr-Latn-ME"/>
        </w:rPr>
        <w:t xml:space="preserve">Einstein PE </w:t>
      </w:r>
      <w:r w:rsidRPr="007D7545">
        <w:rPr>
          <w:b/>
          <w:color w:val="000000"/>
          <w:sz w:val="22"/>
          <w:szCs w:val="22"/>
          <w:lang w:val="sr-Latn-ME"/>
        </w:rPr>
        <w:t>studija faze III</w:t>
      </w:r>
    </w:p>
    <w:tbl>
      <w:tblPr>
        <w:tblStyle w:val="TableGrid2"/>
        <w:tblW w:w="5000" w:type="pct"/>
        <w:tblInd w:w="0" w:type="dxa"/>
        <w:tblCellMar>
          <w:top w:w="49" w:type="dxa"/>
          <w:left w:w="110" w:type="dxa"/>
          <w:right w:w="50" w:type="dxa"/>
        </w:tblCellMar>
        <w:tblLook w:val="04A0" w:firstRow="1" w:lastRow="0" w:firstColumn="1" w:lastColumn="0" w:noHBand="0" w:noVBand="1"/>
      </w:tblPr>
      <w:tblGrid>
        <w:gridCol w:w="4522"/>
        <w:gridCol w:w="1662"/>
        <w:gridCol w:w="2879"/>
      </w:tblGrid>
      <w:tr w:rsidR="001E010E" w:rsidRPr="005E7F36" w14:paraId="13CA233C" w14:textId="77777777" w:rsidTr="002D70E0">
        <w:tc>
          <w:tcPr>
            <w:tcW w:w="0" w:type="auto"/>
            <w:tcBorders>
              <w:top w:val="single" w:sz="4" w:space="0" w:color="000000"/>
              <w:left w:val="single" w:sz="4" w:space="0" w:color="000000"/>
              <w:bottom w:val="single" w:sz="4" w:space="0" w:color="000000"/>
              <w:right w:val="single" w:sz="4" w:space="0" w:color="000000"/>
            </w:tcBorders>
          </w:tcPr>
          <w:p w14:paraId="28508C1E"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Populacija u studiji</w:t>
            </w:r>
          </w:p>
        </w:tc>
        <w:tc>
          <w:tcPr>
            <w:tcW w:w="0" w:type="auto"/>
            <w:gridSpan w:val="2"/>
            <w:tcBorders>
              <w:top w:val="single" w:sz="4" w:space="0" w:color="000000"/>
              <w:left w:val="single" w:sz="4" w:space="0" w:color="000000"/>
              <w:bottom w:val="single" w:sz="4" w:space="0" w:color="000000"/>
              <w:right w:val="single" w:sz="4" w:space="0" w:color="000000"/>
            </w:tcBorders>
          </w:tcPr>
          <w:p w14:paraId="351C2527"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8281 pacijent sa akutnom simptomatskom TDV ili PE</w:t>
            </w:r>
          </w:p>
        </w:tc>
      </w:tr>
      <w:tr w:rsidR="001E010E" w:rsidRPr="007D7545" w14:paraId="207D2A14"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4CB67503"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Terapijska doza i dužina primjene</w:t>
            </w:r>
          </w:p>
        </w:tc>
        <w:tc>
          <w:tcPr>
            <w:tcW w:w="0" w:type="auto"/>
            <w:tcBorders>
              <w:top w:val="single" w:sz="4" w:space="0" w:color="000000"/>
              <w:left w:val="single" w:sz="4" w:space="0" w:color="000000"/>
              <w:bottom w:val="single" w:sz="4" w:space="0" w:color="000000"/>
              <w:right w:val="single" w:sz="4" w:space="0" w:color="000000"/>
            </w:tcBorders>
          </w:tcPr>
          <w:p w14:paraId="0EB3C11F"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Rivaroksaban</w:t>
            </w:r>
            <w:r w:rsidRPr="007D7545">
              <w:rPr>
                <w:b/>
                <w:color w:val="000000"/>
                <w:sz w:val="22"/>
                <w:szCs w:val="22"/>
                <w:vertAlign w:val="superscript"/>
                <w:lang w:val="sr-Latn-ME"/>
              </w:rPr>
              <w:t>a</w:t>
            </w:r>
          </w:p>
          <w:p w14:paraId="21046B40"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3, 6 ili 12 mjeseci</w:t>
            </w:r>
          </w:p>
          <w:p w14:paraId="41933770" w14:textId="77777777" w:rsidR="001E010E" w:rsidRPr="007D7545" w:rsidRDefault="001E010E" w:rsidP="005D101E">
            <w:pPr>
              <w:jc w:val="both"/>
              <w:rPr>
                <w:rFonts w:ascii="Times New Roman" w:hAnsi="Times New Roman"/>
                <w:color w:val="000000"/>
                <w:sz w:val="22"/>
                <w:szCs w:val="22"/>
                <w:lang w:val="sr-Latn-ME"/>
              </w:rPr>
            </w:pPr>
            <w:r w:rsidRPr="007D7545">
              <w:rPr>
                <w:b/>
                <w:color w:val="000000"/>
                <w:sz w:val="22"/>
                <w:szCs w:val="22"/>
                <w:lang w:val="sr-Latn-ME"/>
              </w:rPr>
              <w:t>N=4150</w:t>
            </w:r>
          </w:p>
        </w:tc>
        <w:tc>
          <w:tcPr>
            <w:tcW w:w="0" w:type="auto"/>
            <w:tcBorders>
              <w:top w:val="single" w:sz="4" w:space="0" w:color="000000"/>
              <w:left w:val="single" w:sz="4" w:space="0" w:color="000000"/>
              <w:bottom w:val="single" w:sz="4" w:space="0" w:color="000000"/>
              <w:right w:val="single" w:sz="4" w:space="0" w:color="000000"/>
            </w:tcBorders>
          </w:tcPr>
          <w:p w14:paraId="47C29E93"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Enoksaparin/VKA</w:t>
            </w:r>
            <w:r w:rsidRPr="007D7545">
              <w:rPr>
                <w:b/>
                <w:color w:val="000000"/>
                <w:sz w:val="22"/>
                <w:szCs w:val="22"/>
                <w:vertAlign w:val="superscript"/>
                <w:lang w:val="sr-Latn-ME"/>
              </w:rPr>
              <w:t>b</w:t>
            </w:r>
          </w:p>
          <w:p w14:paraId="104A53E8"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3, 6 ili 12 mjeseci</w:t>
            </w:r>
          </w:p>
          <w:p w14:paraId="0E81B158"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N=4131</w:t>
            </w:r>
          </w:p>
        </w:tc>
      </w:tr>
      <w:tr w:rsidR="001E010E" w:rsidRPr="007D7545" w14:paraId="34C555FE"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7CC40213"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Simptomatska rekurentna VTE*</w:t>
            </w:r>
          </w:p>
        </w:tc>
        <w:tc>
          <w:tcPr>
            <w:tcW w:w="0" w:type="auto"/>
            <w:tcBorders>
              <w:top w:val="single" w:sz="4" w:space="0" w:color="000000"/>
              <w:left w:val="single" w:sz="4" w:space="0" w:color="000000"/>
              <w:bottom w:val="single" w:sz="4" w:space="0" w:color="000000"/>
              <w:right w:val="single" w:sz="4" w:space="0" w:color="000000"/>
            </w:tcBorders>
          </w:tcPr>
          <w:p w14:paraId="069097AE"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86</w:t>
            </w:r>
          </w:p>
          <w:p w14:paraId="74179C97"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(2,1%)</w:t>
            </w:r>
          </w:p>
        </w:tc>
        <w:tc>
          <w:tcPr>
            <w:tcW w:w="0" w:type="auto"/>
            <w:tcBorders>
              <w:top w:val="single" w:sz="4" w:space="0" w:color="000000"/>
              <w:left w:val="single" w:sz="4" w:space="0" w:color="000000"/>
              <w:bottom w:val="single" w:sz="4" w:space="0" w:color="000000"/>
              <w:right w:val="single" w:sz="4" w:space="0" w:color="000000"/>
            </w:tcBorders>
          </w:tcPr>
          <w:p w14:paraId="48DF376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95</w:t>
            </w:r>
          </w:p>
          <w:p w14:paraId="365D4FA6"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(2,3%)</w:t>
            </w:r>
          </w:p>
        </w:tc>
      </w:tr>
      <w:tr w:rsidR="001E010E" w:rsidRPr="007D7545" w14:paraId="5BF5D121"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1180BE14" w14:textId="77777777" w:rsidR="001E010E" w:rsidRPr="007D7545" w:rsidRDefault="001E010E" w:rsidP="005D101E">
            <w:pPr>
              <w:ind w:right="64"/>
              <w:jc w:val="both"/>
              <w:rPr>
                <w:rFonts w:ascii="Times New Roman" w:hAnsi="Times New Roman"/>
                <w:color w:val="000000"/>
                <w:sz w:val="22"/>
                <w:szCs w:val="22"/>
                <w:lang w:val="sr-Latn-ME"/>
              </w:rPr>
            </w:pPr>
            <w:r w:rsidRPr="007D7545">
              <w:rPr>
                <w:color w:val="000000"/>
                <w:sz w:val="22"/>
                <w:szCs w:val="22"/>
                <w:lang w:val="sr-Latn-ME"/>
              </w:rPr>
              <w:t xml:space="preserve">    Simptomatska rekurentna PE</w:t>
            </w:r>
          </w:p>
        </w:tc>
        <w:tc>
          <w:tcPr>
            <w:tcW w:w="0" w:type="auto"/>
            <w:tcBorders>
              <w:top w:val="single" w:sz="4" w:space="0" w:color="000000"/>
              <w:left w:val="single" w:sz="4" w:space="0" w:color="000000"/>
              <w:bottom w:val="single" w:sz="4" w:space="0" w:color="000000"/>
              <w:right w:val="single" w:sz="4" w:space="0" w:color="000000"/>
            </w:tcBorders>
          </w:tcPr>
          <w:p w14:paraId="1308BFB6"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43</w:t>
            </w:r>
          </w:p>
          <w:p w14:paraId="51AF76AB"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(1,0%)</w:t>
            </w:r>
          </w:p>
        </w:tc>
        <w:tc>
          <w:tcPr>
            <w:tcW w:w="0" w:type="auto"/>
            <w:tcBorders>
              <w:top w:val="single" w:sz="4" w:space="0" w:color="000000"/>
              <w:left w:val="single" w:sz="4" w:space="0" w:color="000000"/>
              <w:bottom w:val="single" w:sz="4" w:space="0" w:color="000000"/>
              <w:right w:val="single" w:sz="4" w:space="0" w:color="000000"/>
            </w:tcBorders>
          </w:tcPr>
          <w:p w14:paraId="536857E2"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38</w:t>
            </w:r>
          </w:p>
          <w:p w14:paraId="65006A2B"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(0,9%)</w:t>
            </w:r>
          </w:p>
        </w:tc>
      </w:tr>
      <w:tr w:rsidR="001E010E" w:rsidRPr="007D7545" w14:paraId="7CBC88D4" w14:textId="77777777" w:rsidTr="002D70E0">
        <w:tc>
          <w:tcPr>
            <w:tcW w:w="0" w:type="auto"/>
            <w:tcBorders>
              <w:top w:val="single" w:sz="4" w:space="0" w:color="000000"/>
              <w:left w:val="single" w:sz="4" w:space="0" w:color="000000"/>
              <w:bottom w:val="single" w:sz="4" w:space="0" w:color="000000"/>
              <w:right w:val="single" w:sz="4" w:space="0" w:color="000000"/>
            </w:tcBorders>
          </w:tcPr>
          <w:p w14:paraId="0064D335" w14:textId="77777777" w:rsidR="001E010E" w:rsidRPr="007D7545" w:rsidRDefault="001E010E" w:rsidP="005D101E">
            <w:pPr>
              <w:tabs>
                <w:tab w:val="center" w:pos="1195"/>
                <w:tab w:val="right" w:pos="3199"/>
              </w:tabs>
              <w:jc w:val="both"/>
              <w:rPr>
                <w:rFonts w:ascii="Times New Roman" w:hAnsi="Times New Roman"/>
                <w:color w:val="000000"/>
                <w:sz w:val="22"/>
                <w:szCs w:val="22"/>
                <w:lang w:val="sr-Latn-ME"/>
              </w:rPr>
            </w:pPr>
            <w:r w:rsidRPr="007D7545">
              <w:rPr>
                <w:color w:val="000000"/>
                <w:sz w:val="22"/>
                <w:szCs w:val="22"/>
                <w:lang w:val="sr-Latn-ME"/>
              </w:rPr>
              <w:t xml:space="preserve">    Simptomatska rekurentna TDV</w:t>
            </w:r>
          </w:p>
        </w:tc>
        <w:tc>
          <w:tcPr>
            <w:tcW w:w="0" w:type="auto"/>
            <w:tcBorders>
              <w:top w:val="single" w:sz="4" w:space="0" w:color="000000"/>
              <w:left w:val="single" w:sz="4" w:space="0" w:color="000000"/>
              <w:bottom w:val="single" w:sz="4" w:space="0" w:color="000000"/>
              <w:right w:val="single" w:sz="4" w:space="0" w:color="000000"/>
            </w:tcBorders>
          </w:tcPr>
          <w:p w14:paraId="3707412A"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32</w:t>
            </w:r>
          </w:p>
          <w:p w14:paraId="2C5BC8D8"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(0,8%)</w:t>
            </w:r>
          </w:p>
        </w:tc>
        <w:tc>
          <w:tcPr>
            <w:tcW w:w="0" w:type="auto"/>
            <w:tcBorders>
              <w:top w:val="single" w:sz="4" w:space="0" w:color="000000"/>
              <w:left w:val="single" w:sz="4" w:space="0" w:color="000000"/>
              <w:bottom w:val="single" w:sz="4" w:space="0" w:color="000000"/>
              <w:right w:val="single" w:sz="4" w:space="0" w:color="000000"/>
            </w:tcBorders>
          </w:tcPr>
          <w:p w14:paraId="5834CD80" w14:textId="77777777" w:rsidR="001E010E" w:rsidRPr="007D7545" w:rsidRDefault="001E010E" w:rsidP="005D101E">
            <w:pPr>
              <w:ind w:right="1893"/>
              <w:rPr>
                <w:rFonts w:ascii="Times New Roman" w:hAnsi="Times New Roman"/>
                <w:color w:val="000000"/>
                <w:sz w:val="22"/>
                <w:szCs w:val="22"/>
                <w:lang w:val="sr-Latn-ME"/>
              </w:rPr>
            </w:pPr>
            <w:r w:rsidRPr="007D7545">
              <w:rPr>
                <w:color w:val="000000"/>
                <w:sz w:val="22"/>
                <w:szCs w:val="22"/>
                <w:lang w:val="sr-Latn-ME"/>
              </w:rPr>
              <w:t xml:space="preserve">45 (1,1%) </w:t>
            </w:r>
          </w:p>
        </w:tc>
      </w:tr>
      <w:tr w:rsidR="001E010E" w:rsidRPr="007D7545" w14:paraId="2AE217ED"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67DA2B58" w14:textId="77777777" w:rsidR="001E010E" w:rsidRPr="007D7545" w:rsidRDefault="001E010E" w:rsidP="005D101E">
            <w:pPr>
              <w:ind w:left="10" w:hanging="10"/>
              <w:jc w:val="both"/>
              <w:rPr>
                <w:rFonts w:ascii="Times New Roman" w:hAnsi="Times New Roman"/>
                <w:color w:val="000000"/>
                <w:sz w:val="22"/>
                <w:szCs w:val="22"/>
                <w:lang w:val="sr-Latn-ME"/>
              </w:rPr>
            </w:pPr>
            <w:r w:rsidRPr="007D7545">
              <w:rPr>
                <w:color w:val="000000"/>
                <w:sz w:val="22"/>
                <w:szCs w:val="22"/>
                <w:lang w:val="sr-Latn-ME"/>
              </w:rPr>
              <w:t xml:space="preserve">    Simptomatska PE i TDV</w:t>
            </w:r>
          </w:p>
        </w:tc>
        <w:tc>
          <w:tcPr>
            <w:tcW w:w="0" w:type="auto"/>
            <w:tcBorders>
              <w:top w:val="single" w:sz="4" w:space="0" w:color="000000"/>
              <w:left w:val="single" w:sz="4" w:space="0" w:color="000000"/>
              <w:bottom w:val="single" w:sz="4" w:space="0" w:color="000000"/>
              <w:right w:val="single" w:sz="4" w:space="0" w:color="000000"/>
            </w:tcBorders>
          </w:tcPr>
          <w:p w14:paraId="37BDB266"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w:t>
            </w:r>
          </w:p>
          <w:p w14:paraId="0371CE52"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(&lt;0,1%)</w:t>
            </w:r>
          </w:p>
        </w:tc>
        <w:tc>
          <w:tcPr>
            <w:tcW w:w="0" w:type="auto"/>
            <w:tcBorders>
              <w:top w:val="single" w:sz="4" w:space="0" w:color="000000"/>
              <w:left w:val="single" w:sz="4" w:space="0" w:color="000000"/>
              <w:bottom w:val="single" w:sz="4" w:space="0" w:color="000000"/>
              <w:right w:val="single" w:sz="4" w:space="0" w:color="000000"/>
            </w:tcBorders>
          </w:tcPr>
          <w:p w14:paraId="4004DC68"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w:t>
            </w:r>
          </w:p>
          <w:p w14:paraId="1588599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(&lt;0,1%)</w:t>
            </w:r>
          </w:p>
        </w:tc>
      </w:tr>
      <w:tr w:rsidR="001E010E" w:rsidRPr="007D7545" w14:paraId="0E3E85AE" w14:textId="77777777" w:rsidTr="002D70E0">
        <w:tc>
          <w:tcPr>
            <w:tcW w:w="0" w:type="auto"/>
            <w:tcBorders>
              <w:top w:val="single" w:sz="4" w:space="0" w:color="000000"/>
              <w:left w:val="single" w:sz="4" w:space="0" w:color="000000"/>
              <w:bottom w:val="single" w:sz="4" w:space="0" w:color="000000"/>
              <w:right w:val="single" w:sz="4" w:space="0" w:color="000000"/>
            </w:tcBorders>
          </w:tcPr>
          <w:p w14:paraId="3EBCB4AB" w14:textId="77777777" w:rsidR="001E010E" w:rsidRPr="007D7545" w:rsidRDefault="001E010E" w:rsidP="005D101E">
            <w:pPr>
              <w:ind w:left="10" w:hanging="10"/>
              <w:jc w:val="both"/>
              <w:rPr>
                <w:rFonts w:ascii="Times New Roman" w:hAnsi="Times New Roman"/>
                <w:color w:val="000000"/>
                <w:sz w:val="22"/>
                <w:szCs w:val="22"/>
                <w:lang w:val="sr-Latn-ME"/>
              </w:rPr>
            </w:pPr>
            <w:r w:rsidRPr="007D7545">
              <w:rPr>
                <w:color w:val="000000"/>
                <w:sz w:val="22"/>
                <w:szCs w:val="22"/>
                <w:lang w:val="sr-Latn-ME"/>
              </w:rPr>
              <w:t xml:space="preserve">    PE sa smrtnim ishodom/smrt gde se PE ne može isključiti</w:t>
            </w:r>
          </w:p>
        </w:tc>
        <w:tc>
          <w:tcPr>
            <w:tcW w:w="0" w:type="auto"/>
            <w:tcBorders>
              <w:top w:val="single" w:sz="4" w:space="0" w:color="000000"/>
              <w:left w:val="single" w:sz="4" w:space="0" w:color="000000"/>
              <w:bottom w:val="single" w:sz="4" w:space="0" w:color="000000"/>
              <w:right w:val="single" w:sz="4" w:space="0" w:color="000000"/>
            </w:tcBorders>
          </w:tcPr>
          <w:p w14:paraId="686BC83B"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15</w:t>
            </w:r>
          </w:p>
          <w:p w14:paraId="09ED5D8C"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(0,4%)</w:t>
            </w:r>
          </w:p>
        </w:tc>
        <w:tc>
          <w:tcPr>
            <w:tcW w:w="0" w:type="auto"/>
            <w:tcBorders>
              <w:top w:val="single" w:sz="4" w:space="0" w:color="000000"/>
              <w:left w:val="single" w:sz="4" w:space="0" w:color="000000"/>
              <w:bottom w:val="single" w:sz="4" w:space="0" w:color="000000"/>
              <w:right w:val="single" w:sz="4" w:space="0" w:color="000000"/>
            </w:tcBorders>
          </w:tcPr>
          <w:p w14:paraId="722A7CB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13</w:t>
            </w:r>
          </w:p>
          <w:p w14:paraId="62FFE69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(0,3%)</w:t>
            </w:r>
          </w:p>
        </w:tc>
      </w:tr>
      <w:tr w:rsidR="001E010E" w:rsidRPr="007D7545" w14:paraId="46A08343" w14:textId="77777777" w:rsidTr="002D70E0">
        <w:tc>
          <w:tcPr>
            <w:tcW w:w="0" w:type="auto"/>
            <w:tcBorders>
              <w:top w:val="single" w:sz="4" w:space="0" w:color="000000"/>
              <w:left w:val="single" w:sz="4" w:space="0" w:color="000000"/>
              <w:bottom w:val="single" w:sz="4" w:space="0" w:color="000000"/>
              <w:right w:val="single" w:sz="4" w:space="0" w:color="000000"/>
            </w:tcBorders>
          </w:tcPr>
          <w:p w14:paraId="0F9B0EA0" w14:textId="77777777" w:rsidR="001E010E" w:rsidRPr="007D7545" w:rsidRDefault="001E010E" w:rsidP="005D101E">
            <w:pPr>
              <w:ind w:right="55"/>
              <w:jc w:val="both"/>
              <w:rPr>
                <w:rFonts w:ascii="Times New Roman" w:hAnsi="Times New Roman"/>
                <w:color w:val="000000"/>
                <w:sz w:val="22"/>
                <w:szCs w:val="22"/>
                <w:lang w:val="sr-Latn-ME"/>
              </w:rPr>
            </w:pPr>
            <w:r w:rsidRPr="007D7545">
              <w:rPr>
                <w:color w:val="000000"/>
                <w:sz w:val="22"/>
                <w:szCs w:val="22"/>
                <w:lang w:val="sr-Latn-ME"/>
              </w:rPr>
              <w:t>Obilno krvarenje ili klinički značajno krvarenje koje nije klasifikovano kao obilno</w:t>
            </w:r>
          </w:p>
        </w:tc>
        <w:tc>
          <w:tcPr>
            <w:tcW w:w="0" w:type="auto"/>
            <w:tcBorders>
              <w:top w:val="single" w:sz="4" w:space="0" w:color="000000"/>
              <w:left w:val="single" w:sz="4" w:space="0" w:color="000000"/>
              <w:bottom w:val="single" w:sz="4" w:space="0" w:color="000000"/>
              <w:right w:val="single" w:sz="4" w:space="0" w:color="000000"/>
            </w:tcBorders>
            <w:vAlign w:val="center"/>
          </w:tcPr>
          <w:p w14:paraId="4A8CBC42"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388</w:t>
            </w:r>
          </w:p>
          <w:p w14:paraId="141F094B"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(9,4%)</w:t>
            </w:r>
          </w:p>
        </w:tc>
        <w:tc>
          <w:tcPr>
            <w:tcW w:w="0" w:type="auto"/>
            <w:tcBorders>
              <w:top w:val="single" w:sz="4" w:space="0" w:color="000000"/>
              <w:left w:val="single" w:sz="4" w:space="0" w:color="000000"/>
              <w:bottom w:val="single" w:sz="4" w:space="0" w:color="000000"/>
              <w:right w:val="single" w:sz="4" w:space="0" w:color="000000"/>
            </w:tcBorders>
            <w:vAlign w:val="center"/>
          </w:tcPr>
          <w:p w14:paraId="05B44982"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412</w:t>
            </w:r>
          </w:p>
          <w:p w14:paraId="7074A9BC"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(10,0%)</w:t>
            </w:r>
          </w:p>
        </w:tc>
      </w:tr>
      <w:tr w:rsidR="001E010E" w:rsidRPr="007D7545" w14:paraId="0E38E362"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16D885D2"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Ozbiljna krvarenja</w:t>
            </w:r>
          </w:p>
        </w:tc>
        <w:tc>
          <w:tcPr>
            <w:tcW w:w="0" w:type="auto"/>
            <w:tcBorders>
              <w:top w:val="single" w:sz="4" w:space="0" w:color="000000"/>
              <w:left w:val="single" w:sz="4" w:space="0" w:color="000000"/>
              <w:bottom w:val="single" w:sz="4" w:space="0" w:color="000000"/>
              <w:right w:val="single" w:sz="4" w:space="0" w:color="000000"/>
            </w:tcBorders>
          </w:tcPr>
          <w:p w14:paraId="0B929306"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40</w:t>
            </w:r>
          </w:p>
          <w:p w14:paraId="111EF678" w14:textId="77777777" w:rsidR="001E010E" w:rsidRPr="007D7545" w:rsidRDefault="001E010E" w:rsidP="005D101E">
            <w:pPr>
              <w:jc w:val="both"/>
              <w:rPr>
                <w:rFonts w:ascii="Times New Roman" w:hAnsi="Times New Roman"/>
                <w:color w:val="000000"/>
                <w:sz w:val="22"/>
                <w:szCs w:val="22"/>
                <w:lang w:val="sr-Latn-ME"/>
              </w:rPr>
            </w:pPr>
            <w:r w:rsidRPr="007D7545">
              <w:rPr>
                <w:color w:val="000000"/>
                <w:sz w:val="22"/>
                <w:szCs w:val="22"/>
                <w:lang w:val="sr-Latn-ME"/>
              </w:rPr>
              <w:t>(1,0%)</w:t>
            </w:r>
          </w:p>
        </w:tc>
        <w:tc>
          <w:tcPr>
            <w:tcW w:w="0" w:type="auto"/>
            <w:tcBorders>
              <w:top w:val="single" w:sz="4" w:space="0" w:color="000000"/>
              <w:left w:val="single" w:sz="4" w:space="0" w:color="000000"/>
              <w:bottom w:val="single" w:sz="4" w:space="0" w:color="000000"/>
              <w:right w:val="single" w:sz="4" w:space="0" w:color="000000"/>
            </w:tcBorders>
          </w:tcPr>
          <w:p w14:paraId="6BE2104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72</w:t>
            </w:r>
          </w:p>
          <w:p w14:paraId="5A97D7A6"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(1,7%)</w:t>
            </w:r>
          </w:p>
        </w:tc>
      </w:tr>
    </w:tbl>
    <w:p w14:paraId="3777E58B" w14:textId="7C9BBB10" w:rsidR="001E010E" w:rsidRPr="007D7545" w:rsidRDefault="001E010E" w:rsidP="005D101E">
      <w:pPr>
        <w:numPr>
          <w:ilvl w:val="0"/>
          <w:numId w:val="18"/>
        </w:numPr>
        <w:ind w:left="0" w:right="5"/>
        <w:jc w:val="both"/>
        <w:rPr>
          <w:color w:val="000000"/>
          <w:sz w:val="22"/>
          <w:szCs w:val="22"/>
          <w:lang w:val="sr-Latn-ME"/>
        </w:rPr>
      </w:pPr>
      <w:r w:rsidRPr="007D7545">
        <w:rPr>
          <w:color w:val="000000"/>
          <w:sz w:val="22"/>
          <w:szCs w:val="22"/>
          <w:lang w:val="sr-Latn-ME"/>
        </w:rPr>
        <w:t>Rivaroksaban 15 mg dva puta dnevno tokom 3 ned</w:t>
      </w:r>
      <w:r w:rsidR="00220D1A" w:rsidRPr="007D7545">
        <w:rPr>
          <w:color w:val="000000"/>
          <w:sz w:val="22"/>
          <w:szCs w:val="22"/>
          <w:lang w:val="sr-Latn-ME"/>
        </w:rPr>
        <w:t>j</w:t>
      </w:r>
      <w:r w:rsidRPr="007D7545">
        <w:rPr>
          <w:color w:val="000000"/>
          <w:sz w:val="22"/>
          <w:szCs w:val="22"/>
          <w:lang w:val="sr-Latn-ME"/>
        </w:rPr>
        <w:t>elje, potom 20 mg jednom dnevno.</w:t>
      </w:r>
    </w:p>
    <w:p w14:paraId="0DADCF27" w14:textId="6425ABBF" w:rsidR="001E010E" w:rsidRPr="007D7545" w:rsidRDefault="001E010E" w:rsidP="005D101E">
      <w:pPr>
        <w:pStyle w:val="ListParagraph"/>
        <w:numPr>
          <w:ilvl w:val="0"/>
          <w:numId w:val="18"/>
        </w:numPr>
        <w:ind w:left="0" w:right="5" w:firstLine="142"/>
        <w:jc w:val="both"/>
        <w:rPr>
          <w:color w:val="000000"/>
          <w:sz w:val="22"/>
          <w:szCs w:val="22"/>
          <w:lang w:val="sr-Latn-ME"/>
        </w:rPr>
      </w:pPr>
      <w:r w:rsidRPr="007D7545">
        <w:rPr>
          <w:color w:val="000000"/>
          <w:sz w:val="22"/>
          <w:szCs w:val="22"/>
          <w:lang w:val="sr-Latn-ME"/>
        </w:rPr>
        <w:t>Enoksaparin tokom najmanje 5 dana preklapa se i nastavlja terapija sa VKA.</w:t>
      </w:r>
    </w:p>
    <w:p w14:paraId="5FF0D3D9" w14:textId="51135A81" w:rsidR="001E010E" w:rsidRPr="007D7545" w:rsidRDefault="001E010E" w:rsidP="005D101E">
      <w:pPr>
        <w:ind w:right="5" w:hanging="10"/>
        <w:jc w:val="both"/>
        <w:rPr>
          <w:color w:val="000000"/>
          <w:sz w:val="22"/>
          <w:szCs w:val="22"/>
          <w:lang w:val="sr-Latn-ME"/>
        </w:rPr>
      </w:pPr>
      <w:r w:rsidRPr="007D7545">
        <w:rPr>
          <w:b/>
          <w:color w:val="000000"/>
          <w:sz w:val="22"/>
          <w:szCs w:val="22"/>
          <w:lang w:val="sr-Latn-ME"/>
        </w:rPr>
        <w:t xml:space="preserve">* </w:t>
      </w:r>
      <w:r w:rsidRPr="007D7545">
        <w:rPr>
          <w:color w:val="000000"/>
          <w:sz w:val="22"/>
          <w:szCs w:val="22"/>
          <w:lang w:val="sr-Latn-ME"/>
        </w:rPr>
        <w:t>p &lt; 0,0001 (neinferiornost u odnosu na predefinisani HR 1,75); HR: 0,886 (0,661 – 1,186)</w:t>
      </w:r>
    </w:p>
    <w:p w14:paraId="6E83EDD0" w14:textId="77777777" w:rsidR="00220D1A" w:rsidRPr="007D7545" w:rsidRDefault="00220D1A" w:rsidP="005D101E">
      <w:pPr>
        <w:ind w:right="5" w:hanging="10"/>
        <w:jc w:val="both"/>
        <w:rPr>
          <w:color w:val="000000"/>
          <w:sz w:val="22"/>
          <w:szCs w:val="22"/>
          <w:lang w:val="sr-Latn-ME"/>
        </w:rPr>
      </w:pPr>
    </w:p>
    <w:p w14:paraId="34FC0D04" w14:textId="339062E9" w:rsidR="001E010E" w:rsidRPr="007D7545" w:rsidRDefault="001E010E" w:rsidP="005D101E">
      <w:pPr>
        <w:ind w:right="5" w:hanging="10"/>
        <w:jc w:val="both"/>
        <w:rPr>
          <w:color w:val="000000"/>
          <w:sz w:val="22"/>
          <w:szCs w:val="22"/>
          <w:lang w:val="sr-Latn-ME"/>
        </w:rPr>
      </w:pPr>
      <w:r w:rsidRPr="007D7545">
        <w:rPr>
          <w:color w:val="000000"/>
          <w:sz w:val="22"/>
          <w:szCs w:val="22"/>
          <w:lang w:val="sr-Latn-ME"/>
        </w:rPr>
        <w:t>Predefinisana ukupna klinička korist (primarni ishod efikasnosti plus obilna krvarenja) objedinjene analize zab</w:t>
      </w:r>
      <w:r w:rsidR="00220D1A" w:rsidRPr="007D7545">
        <w:rPr>
          <w:color w:val="000000"/>
          <w:sz w:val="22"/>
          <w:szCs w:val="22"/>
          <w:lang w:val="sr-Latn-ME"/>
        </w:rPr>
        <w:t>i</w:t>
      </w:r>
      <w:r w:rsidRPr="007D7545">
        <w:rPr>
          <w:color w:val="000000"/>
          <w:sz w:val="22"/>
          <w:szCs w:val="22"/>
          <w:lang w:val="sr-Latn-ME"/>
        </w:rPr>
        <w:t>l</w:t>
      </w:r>
      <w:r w:rsidR="00220D1A" w:rsidRPr="007D7545">
        <w:rPr>
          <w:color w:val="000000"/>
          <w:sz w:val="22"/>
          <w:szCs w:val="22"/>
          <w:lang w:val="sr-Latn-ME"/>
        </w:rPr>
        <w:t>j</w:t>
      </w:r>
      <w:r w:rsidRPr="007D7545">
        <w:rPr>
          <w:color w:val="000000"/>
          <w:sz w:val="22"/>
          <w:szCs w:val="22"/>
          <w:lang w:val="sr-Latn-ME"/>
        </w:rPr>
        <w:t>ežila je HR 0,771 ((95%CI: 0,614 – 0,967) nominalna p vrijednost p=0,0244).</w:t>
      </w:r>
    </w:p>
    <w:p w14:paraId="112C4631" w14:textId="77777777" w:rsidR="00220D1A" w:rsidRPr="007D7545" w:rsidRDefault="00220D1A" w:rsidP="005D101E">
      <w:pPr>
        <w:ind w:right="5" w:hanging="10"/>
        <w:jc w:val="both"/>
        <w:rPr>
          <w:color w:val="000000"/>
          <w:sz w:val="22"/>
          <w:szCs w:val="22"/>
          <w:lang w:val="sr-Latn-ME"/>
        </w:rPr>
      </w:pPr>
    </w:p>
    <w:p w14:paraId="448C1C7B" w14:textId="053594BC" w:rsidR="001E010E" w:rsidRPr="007D7545" w:rsidRDefault="001E010E" w:rsidP="005D101E">
      <w:pPr>
        <w:ind w:right="5" w:hanging="10"/>
        <w:jc w:val="both"/>
        <w:rPr>
          <w:color w:val="000000"/>
          <w:sz w:val="22"/>
          <w:szCs w:val="22"/>
          <w:lang w:val="sr-Latn-ME"/>
        </w:rPr>
      </w:pPr>
      <w:r w:rsidRPr="007D7545">
        <w:rPr>
          <w:color w:val="000000"/>
          <w:sz w:val="22"/>
          <w:szCs w:val="22"/>
          <w:lang w:val="sr-Latn-ME"/>
        </w:rPr>
        <w:t xml:space="preserve">U </w:t>
      </w:r>
      <w:r w:rsidRPr="007D7545">
        <w:rPr>
          <w:i/>
          <w:color w:val="000000"/>
          <w:sz w:val="22"/>
          <w:szCs w:val="22"/>
          <w:lang w:val="sr-Latn-ME"/>
        </w:rPr>
        <w:t xml:space="preserve">Einstein Extension </w:t>
      </w:r>
      <w:r w:rsidRPr="007D7545">
        <w:rPr>
          <w:color w:val="000000"/>
          <w:sz w:val="22"/>
          <w:szCs w:val="22"/>
          <w:lang w:val="sr-Latn-ME"/>
        </w:rPr>
        <w:t>studiji (</w:t>
      </w:r>
      <w:r w:rsidRPr="007D7545">
        <w:rPr>
          <w:i/>
          <w:color w:val="000000"/>
          <w:sz w:val="22"/>
          <w:szCs w:val="22"/>
          <w:lang w:val="sr-Latn-ME"/>
        </w:rPr>
        <w:t>vidjeti Tabelu 8</w:t>
      </w:r>
      <w:r w:rsidRPr="007D7545">
        <w:rPr>
          <w:color w:val="000000"/>
          <w:sz w:val="22"/>
          <w:szCs w:val="22"/>
          <w:lang w:val="sr-Latn-ME"/>
        </w:rPr>
        <w:t xml:space="preserve">), rivaroksaban se pokazao superiornim u odnosu na placebo za primarne i sekundarne ishode efikasnosti. Za primarni ishod bezbjednosti (obilna krvarenja) </w:t>
      </w:r>
      <w:r w:rsidRPr="007D7545">
        <w:rPr>
          <w:color w:val="000000"/>
          <w:sz w:val="22"/>
          <w:szCs w:val="22"/>
          <w:lang w:val="sr-Latn-ME"/>
        </w:rPr>
        <w:lastRenderedPageBreak/>
        <w:t>nije postojala značajno brojno veća stopa incidence za pacijente na terapiji rivaroksabanom u dozi od 20 mg jednom dnevno, u poređenju sa placebom. Sekundarni ishod bezbjednosti (obilna krvarenja ili klinički značajna krvarenja koja ni</w:t>
      </w:r>
      <w:r w:rsidR="00220D1A" w:rsidRPr="007D7545">
        <w:rPr>
          <w:color w:val="000000"/>
          <w:sz w:val="22"/>
          <w:szCs w:val="22"/>
          <w:lang w:val="sr-Latn-ME"/>
        </w:rPr>
        <w:t>je</w:t>
      </w:r>
      <w:r w:rsidRPr="007D7545">
        <w:rPr>
          <w:color w:val="000000"/>
          <w:sz w:val="22"/>
          <w:szCs w:val="22"/>
          <w:lang w:val="sr-Latn-ME"/>
        </w:rPr>
        <w:t xml:space="preserve">su klasifikovana kao obilna) je pokazao veće stope učestalosti za pacijente na terapiji rivaroksabanom u dozi od 20 mg jednom dnevno u poređenju sa placebom. </w:t>
      </w:r>
    </w:p>
    <w:p w14:paraId="27C59CF5" w14:textId="77777777" w:rsidR="001A73C4" w:rsidRPr="007D7545" w:rsidRDefault="001A73C4" w:rsidP="005D101E">
      <w:pPr>
        <w:ind w:right="5" w:hanging="10"/>
        <w:jc w:val="both"/>
        <w:rPr>
          <w:color w:val="000000"/>
          <w:sz w:val="22"/>
          <w:szCs w:val="22"/>
          <w:lang w:val="sr-Latn-ME"/>
        </w:rPr>
      </w:pPr>
    </w:p>
    <w:p w14:paraId="4E2D8635" w14:textId="77777777" w:rsidR="001E010E" w:rsidRPr="007D7545" w:rsidRDefault="001E010E" w:rsidP="002D70E0">
      <w:pPr>
        <w:keepNext/>
        <w:keepLines/>
        <w:ind w:left="-5" w:hanging="10"/>
        <w:jc w:val="both"/>
        <w:outlineLvl w:val="0"/>
        <w:rPr>
          <w:b/>
          <w:color w:val="000000"/>
          <w:sz w:val="22"/>
          <w:szCs w:val="22"/>
          <w:lang w:val="sr-Latn-ME"/>
        </w:rPr>
      </w:pPr>
      <w:r w:rsidRPr="007D7545">
        <w:rPr>
          <w:b/>
          <w:color w:val="000000"/>
          <w:sz w:val="22"/>
          <w:szCs w:val="22"/>
          <w:lang w:val="sr-Latn-ME"/>
        </w:rPr>
        <w:t xml:space="preserve">Tabela 8: Rezultati efikasnosti i bezbjednosti iz </w:t>
      </w:r>
      <w:r w:rsidRPr="007D7545">
        <w:rPr>
          <w:b/>
          <w:i/>
          <w:color w:val="000000"/>
          <w:sz w:val="22"/>
          <w:szCs w:val="22"/>
          <w:lang w:val="sr-Latn-ME"/>
        </w:rPr>
        <w:t xml:space="preserve">Einstein Extension </w:t>
      </w:r>
      <w:r w:rsidRPr="007D7545">
        <w:rPr>
          <w:b/>
          <w:color w:val="000000"/>
          <w:sz w:val="22"/>
          <w:szCs w:val="22"/>
          <w:lang w:val="sr-Latn-ME"/>
        </w:rPr>
        <w:t>studije faze III</w:t>
      </w:r>
    </w:p>
    <w:tbl>
      <w:tblPr>
        <w:tblStyle w:val="TableGrid2"/>
        <w:tblW w:w="5000" w:type="pct"/>
        <w:tblInd w:w="0" w:type="dxa"/>
        <w:tblCellMar>
          <w:top w:w="49" w:type="dxa"/>
          <w:left w:w="110" w:type="dxa"/>
          <w:right w:w="50" w:type="dxa"/>
        </w:tblCellMar>
        <w:tblLook w:val="04A0" w:firstRow="1" w:lastRow="0" w:firstColumn="1" w:lastColumn="0" w:noHBand="0" w:noVBand="1"/>
      </w:tblPr>
      <w:tblGrid>
        <w:gridCol w:w="3617"/>
        <w:gridCol w:w="2861"/>
        <w:gridCol w:w="2585"/>
      </w:tblGrid>
      <w:tr w:rsidR="001E010E" w:rsidRPr="005E7F36" w14:paraId="3CE52212"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43826BD5"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Populacija u studiji</w:t>
            </w:r>
          </w:p>
        </w:tc>
        <w:tc>
          <w:tcPr>
            <w:tcW w:w="0" w:type="auto"/>
            <w:gridSpan w:val="2"/>
            <w:tcBorders>
              <w:top w:val="single" w:sz="4" w:space="0" w:color="000000"/>
              <w:left w:val="single" w:sz="4" w:space="0" w:color="000000"/>
              <w:bottom w:val="single" w:sz="4" w:space="0" w:color="000000"/>
              <w:right w:val="single" w:sz="4" w:space="0" w:color="000000"/>
            </w:tcBorders>
          </w:tcPr>
          <w:p w14:paraId="7D6F9647"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1197 pacijenata koji su nastavili terapiju i prevenciju rekurentne venske tromboembolije</w:t>
            </w:r>
          </w:p>
        </w:tc>
      </w:tr>
      <w:tr w:rsidR="001E010E" w:rsidRPr="007D7545" w14:paraId="59D83398"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3D58E52E" w14:textId="77777777" w:rsidR="001E010E" w:rsidRPr="007D7545" w:rsidRDefault="001E010E" w:rsidP="005D101E">
            <w:pPr>
              <w:ind w:right="41"/>
              <w:rPr>
                <w:rFonts w:ascii="Times New Roman" w:hAnsi="Times New Roman"/>
                <w:color w:val="000000"/>
                <w:sz w:val="22"/>
                <w:szCs w:val="22"/>
                <w:lang w:val="sr-Latn-ME"/>
              </w:rPr>
            </w:pPr>
            <w:r w:rsidRPr="007D7545">
              <w:rPr>
                <w:b/>
                <w:color w:val="000000"/>
                <w:sz w:val="22"/>
                <w:szCs w:val="22"/>
                <w:lang w:val="sr-Latn-ME"/>
              </w:rPr>
              <w:t>Terapijska doza i dužina primjene</w:t>
            </w:r>
          </w:p>
        </w:tc>
        <w:tc>
          <w:tcPr>
            <w:tcW w:w="0" w:type="auto"/>
            <w:tcBorders>
              <w:top w:val="single" w:sz="4" w:space="0" w:color="000000"/>
              <w:left w:val="single" w:sz="4" w:space="0" w:color="000000"/>
              <w:bottom w:val="single" w:sz="4" w:space="0" w:color="000000"/>
              <w:right w:val="single" w:sz="4" w:space="0" w:color="000000"/>
            </w:tcBorders>
          </w:tcPr>
          <w:p w14:paraId="165CEAFB"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Rivaroksaban</w:t>
            </w:r>
            <w:r w:rsidRPr="007D7545">
              <w:rPr>
                <w:b/>
                <w:color w:val="000000"/>
                <w:sz w:val="22"/>
                <w:szCs w:val="22"/>
                <w:vertAlign w:val="superscript"/>
                <w:lang w:val="sr-Latn-ME"/>
              </w:rPr>
              <w:t>a</w:t>
            </w:r>
          </w:p>
          <w:p w14:paraId="05AF6DCA"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6 ili 12 mjeseci</w:t>
            </w:r>
          </w:p>
          <w:p w14:paraId="36138040"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N=602</w:t>
            </w:r>
          </w:p>
        </w:tc>
        <w:tc>
          <w:tcPr>
            <w:tcW w:w="0" w:type="auto"/>
            <w:tcBorders>
              <w:top w:val="single" w:sz="4" w:space="0" w:color="000000"/>
              <w:left w:val="single" w:sz="4" w:space="0" w:color="000000"/>
              <w:bottom w:val="single" w:sz="4" w:space="0" w:color="000000"/>
              <w:right w:val="single" w:sz="4" w:space="0" w:color="000000"/>
            </w:tcBorders>
          </w:tcPr>
          <w:p w14:paraId="252BF4FD"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Placebo</w:t>
            </w:r>
          </w:p>
          <w:p w14:paraId="22624A4E"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6 ili 12 mjeseci</w:t>
            </w:r>
          </w:p>
          <w:p w14:paraId="2FC95540" w14:textId="77777777" w:rsidR="001E010E" w:rsidRPr="007D7545" w:rsidRDefault="001E010E" w:rsidP="005D101E">
            <w:pPr>
              <w:rPr>
                <w:rFonts w:ascii="Times New Roman" w:hAnsi="Times New Roman"/>
                <w:color w:val="000000"/>
                <w:sz w:val="22"/>
                <w:szCs w:val="22"/>
                <w:lang w:val="sr-Latn-ME"/>
              </w:rPr>
            </w:pPr>
            <w:r w:rsidRPr="007D7545">
              <w:rPr>
                <w:b/>
                <w:color w:val="000000"/>
                <w:sz w:val="22"/>
                <w:szCs w:val="22"/>
                <w:lang w:val="sr-Latn-ME"/>
              </w:rPr>
              <w:t>N=594</w:t>
            </w:r>
          </w:p>
        </w:tc>
      </w:tr>
      <w:tr w:rsidR="001E010E" w:rsidRPr="007D7545" w14:paraId="6EE1A784"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564022A9"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Simptomatska rekurentna VTE*</w:t>
            </w:r>
          </w:p>
        </w:tc>
        <w:tc>
          <w:tcPr>
            <w:tcW w:w="0" w:type="auto"/>
            <w:tcBorders>
              <w:top w:val="single" w:sz="4" w:space="0" w:color="000000"/>
              <w:left w:val="single" w:sz="4" w:space="0" w:color="000000"/>
              <w:bottom w:val="single" w:sz="4" w:space="0" w:color="000000"/>
              <w:right w:val="single" w:sz="4" w:space="0" w:color="000000"/>
            </w:tcBorders>
          </w:tcPr>
          <w:p w14:paraId="757EA26E"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8</w:t>
            </w:r>
          </w:p>
          <w:p w14:paraId="162A4B8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(1,3%)</w:t>
            </w:r>
          </w:p>
        </w:tc>
        <w:tc>
          <w:tcPr>
            <w:tcW w:w="0" w:type="auto"/>
            <w:tcBorders>
              <w:top w:val="single" w:sz="4" w:space="0" w:color="000000"/>
              <w:left w:val="single" w:sz="4" w:space="0" w:color="000000"/>
              <w:bottom w:val="single" w:sz="4" w:space="0" w:color="000000"/>
              <w:right w:val="single" w:sz="4" w:space="0" w:color="000000"/>
            </w:tcBorders>
          </w:tcPr>
          <w:p w14:paraId="6FA02D5E"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42</w:t>
            </w:r>
          </w:p>
          <w:p w14:paraId="6EF9593F"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(7,1%)</w:t>
            </w:r>
          </w:p>
        </w:tc>
      </w:tr>
      <w:tr w:rsidR="001E010E" w:rsidRPr="007D7545" w14:paraId="54B9EBBF"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61E466DE" w14:textId="77777777" w:rsidR="001E010E" w:rsidRPr="007D7545" w:rsidRDefault="001E010E" w:rsidP="005D101E">
            <w:pPr>
              <w:ind w:right="64"/>
              <w:rPr>
                <w:rFonts w:ascii="Times New Roman" w:hAnsi="Times New Roman"/>
                <w:color w:val="000000"/>
                <w:sz w:val="22"/>
                <w:szCs w:val="22"/>
                <w:lang w:val="sr-Latn-ME"/>
              </w:rPr>
            </w:pPr>
            <w:r w:rsidRPr="007D7545">
              <w:rPr>
                <w:color w:val="000000"/>
                <w:sz w:val="22"/>
                <w:szCs w:val="22"/>
                <w:lang w:val="sr-Latn-ME"/>
              </w:rPr>
              <w:t xml:space="preserve">    Simptomatska rekurentna PE</w:t>
            </w:r>
          </w:p>
        </w:tc>
        <w:tc>
          <w:tcPr>
            <w:tcW w:w="0" w:type="auto"/>
            <w:tcBorders>
              <w:top w:val="single" w:sz="4" w:space="0" w:color="000000"/>
              <w:left w:val="single" w:sz="4" w:space="0" w:color="000000"/>
              <w:bottom w:val="single" w:sz="4" w:space="0" w:color="000000"/>
              <w:right w:val="single" w:sz="4" w:space="0" w:color="000000"/>
            </w:tcBorders>
          </w:tcPr>
          <w:p w14:paraId="124B2C7E"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w:t>
            </w:r>
          </w:p>
          <w:p w14:paraId="68F68914"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(0,3%)</w:t>
            </w:r>
          </w:p>
        </w:tc>
        <w:tc>
          <w:tcPr>
            <w:tcW w:w="0" w:type="auto"/>
            <w:tcBorders>
              <w:top w:val="single" w:sz="4" w:space="0" w:color="000000"/>
              <w:left w:val="single" w:sz="4" w:space="0" w:color="000000"/>
              <w:bottom w:val="single" w:sz="4" w:space="0" w:color="000000"/>
              <w:right w:val="single" w:sz="4" w:space="0" w:color="000000"/>
            </w:tcBorders>
          </w:tcPr>
          <w:p w14:paraId="54F5C404"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13</w:t>
            </w:r>
          </w:p>
          <w:p w14:paraId="736DC20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(2,2%)</w:t>
            </w:r>
          </w:p>
        </w:tc>
      </w:tr>
      <w:tr w:rsidR="001E010E" w:rsidRPr="007D7545" w14:paraId="4CEA147E" w14:textId="77777777" w:rsidTr="002D70E0">
        <w:tc>
          <w:tcPr>
            <w:tcW w:w="0" w:type="auto"/>
            <w:tcBorders>
              <w:top w:val="single" w:sz="4" w:space="0" w:color="000000"/>
              <w:left w:val="single" w:sz="4" w:space="0" w:color="000000"/>
              <w:bottom w:val="single" w:sz="4" w:space="0" w:color="000000"/>
              <w:right w:val="single" w:sz="4" w:space="0" w:color="000000"/>
            </w:tcBorders>
          </w:tcPr>
          <w:p w14:paraId="7B95F0CD"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 xml:space="preserve">    Simptomatska rekurentna TDV</w:t>
            </w:r>
          </w:p>
        </w:tc>
        <w:tc>
          <w:tcPr>
            <w:tcW w:w="0" w:type="auto"/>
            <w:tcBorders>
              <w:top w:val="single" w:sz="4" w:space="0" w:color="000000"/>
              <w:left w:val="single" w:sz="4" w:space="0" w:color="000000"/>
              <w:bottom w:val="single" w:sz="4" w:space="0" w:color="000000"/>
              <w:right w:val="single" w:sz="4" w:space="0" w:color="000000"/>
            </w:tcBorders>
          </w:tcPr>
          <w:p w14:paraId="4243D05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5</w:t>
            </w:r>
          </w:p>
          <w:p w14:paraId="3E9BD0B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(0,8%)</w:t>
            </w:r>
          </w:p>
        </w:tc>
        <w:tc>
          <w:tcPr>
            <w:tcW w:w="0" w:type="auto"/>
            <w:tcBorders>
              <w:top w:val="single" w:sz="4" w:space="0" w:color="000000"/>
              <w:left w:val="single" w:sz="4" w:space="0" w:color="000000"/>
              <w:bottom w:val="single" w:sz="4" w:space="0" w:color="000000"/>
              <w:right w:val="single" w:sz="4" w:space="0" w:color="000000"/>
            </w:tcBorders>
          </w:tcPr>
          <w:p w14:paraId="7AA246F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31</w:t>
            </w:r>
          </w:p>
          <w:p w14:paraId="3E89F0DD"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(5,2%)</w:t>
            </w:r>
          </w:p>
        </w:tc>
      </w:tr>
      <w:tr w:rsidR="001E010E" w:rsidRPr="007D7545" w14:paraId="50B12AD9" w14:textId="77777777" w:rsidTr="002D70E0">
        <w:tc>
          <w:tcPr>
            <w:tcW w:w="0" w:type="auto"/>
            <w:tcBorders>
              <w:top w:val="single" w:sz="4" w:space="0" w:color="000000"/>
              <w:left w:val="single" w:sz="4" w:space="0" w:color="000000"/>
              <w:bottom w:val="single" w:sz="4" w:space="0" w:color="000000"/>
              <w:right w:val="single" w:sz="4" w:space="0" w:color="000000"/>
            </w:tcBorders>
          </w:tcPr>
          <w:p w14:paraId="4B21072E" w14:textId="77777777" w:rsidR="001E010E" w:rsidRPr="007D7545" w:rsidRDefault="001E010E" w:rsidP="005D101E">
            <w:pPr>
              <w:ind w:left="10" w:right="40" w:hanging="10"/>
              <w:rPr>
                <w:rFonts w:ascii="Times New Roman" w:hAnsi="Times New Roman"/>
                <w:color w:val="000000"/>
                <w:sz w:val="22"/>
                <w:szCs w:val="22"/>
                <w:lang w:val="sr-Latn-ME"/>
              </w:rPr>
            </w:pPr>
            <w:r w:rsidRPr="007D7545">
              <w:rPr>
                <w:color w:val="000000"/>
                <w:sz w:val="22"/>
                <w:szCs w:val="22"/>
                <w:lang w:val="sr-Latn-ME"/>
              </w:rPr>
              <w:t xml:space="preserve">    PE sa smrtnim ishodom/smrt gde se PE ne može isključiti</w:t>
            </w:r>
          </w:p>
        </w:tc>
        <w:tc>
          <w:tcPr>
            <w:tcW w:w="0" w:type="auto"/>
            <w:tcBorders>
              <w:top w:val="single" w:sz="4" w:space="0" w:color="000000"/>
              <w:left w:val="single" w:sz="4" w:space="0" w:color="000000"/>
              <w:bottom w:val="single" w:sz="4" w:space="0" w:color="000000"/>
              <w:right w:val="single" w:sz="4" w:space="0" w:color="000000"/>
            </w:tcBorders>
          </w:tcPr>
          <w:p w14:paraId="4D1D4EA5"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w:t>
            </w:r>
          </w:p>
          <w:p w14:paraId="785EEF19"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(0,2%)</w:t>
            </w:r>
          </w:p>
        </w:tc>
        <w:tc>
          <w:tcPr>
            <w:tcW w:w="0" w:type="auto"/>
            <w:tcBorders>
              <w:top w:val="single" w:sz="4" w:space="0" w:color="000000"/>
              <w:left w:val="single" w:sz="4" w:space="0" w:color="000000"/>
              <w:bottom w:val="single" w:sz="4" w:space="0" w:color="000000"/>
              <w:right w:val="single" w:sz="4" w:space="0" w:color="000000"/>
            </w:tcBorders>
          </w:tcPr>
          <w:p w14:paraId="6D078625"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w:t>
            </w:r>
          </w:p>
          <w:p w14:paraId="54B22137"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(0,2%)</w:t>
            </w:r>
          </w:p>
        </w:tc>
      </w:tr>
      <w:tr w:rsidR="001E010E" w:rsidRPr="007D7545" w14:paraId="70F75E29" w14:textId="77777777" w:rsidTr="002D70E0">
        <w:tc>
          <w:tcPr>
            <w:tcW w:w="0" w:type="auto"/>
            <w:tcBorders>
              <w:top w:val="single" w:sz="4" w:space="0" w:color="000000"/>
              <w:left w:val="single" w:sz="4" w:space="0" w:color="000000"/>
              <w:bottom w:val="single" w:sz="4" w:space="0" w:color="000000"/>
              <w:right w:val="single" w:sz="4" w:space="0" w:color="000000"/>
            </w:tcBorders>
            <w:vAlign w:val="center"/>
          </w:tcPr>
          <w:p w14:paraId="37C5A7F1"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 xml:space="preserve">    Obilna krvarenja</w:t>
            </w:r>
          </w:p>
        </w:tc>
        <w:tc>
          <w:tcPr>
            <w:tcW w:w="0" w:type="auto"/>
            <w:tcBorders>
              <w:top w:val="single" w:sz="4" w:space="0" w:color="000000"/>
              <w:left w:val="single" w:sz="4" w:space="0" w:color="000000"/>
              <w:bottom w:val="single" w:sz="4" w:space="0" w:color="000000"/>
              <w:right w:val="single" w:sz="4" w:space="0" w:color="000000"/>
            </w:tcBorders>
          </w:tcPr>
          <w:p w14:paraId="34C88B9D"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4</w:t>
            </w:r>
          </w:p>
          <w:p w14:paraId="0CA0CF52"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(0,7%)</w:t>
            </w:r>
          </w:p>
        </w:tc>
        <w:tc>
          <w:tcPr>
            <w:tcW w:w="0" w:type="auto"/>
            <w:tcBorders>
              <w:top w:val="single" w:sz="4" w:space="0" w:color="000000"/>
              <w:left w:val="single" w:sz="4" w:space="0" w:color="000000"/>
              <w:bottom w:val="single" w:sz="4" w:space="0" w:color="000000"/>
              <w:right w:val="single" w:sz="4" w:space="0" w:color="000000"/>
            </w:tcBorders>
          </w:tcPr>
          <w:p w14:paraId="103E22A2"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w:t>
            </w:r>
          </w:p>
          <w:p w14:paraId="3AC349E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(0,0%)</w:t>
            </w:r>
          </w:p>
        </w:tc>
      </w:tr>
      <w:tr w:rsidR="001E010E" w:rsidRPr="007D7545" w14:paraId="5CBACEB9" w14:textId="77777777" w:rsidTr="002D70E0">
        <w:tc>
          <w:tcPr>
            <w:tcW w:w="0" w:type="auto"/>
            <w:tcBorders>
              <w:top w:val="single" w:sz="4" w:space="0" w:color="000000"/>
              <w:left w:val="single" w:sz="4" w:space="0" w:color="000000"/>
              <w:bottom w:val="single" w:sz="4" w:space="0" w:color="000000"/>
              <w:right w:val="single" w:sz="4" w:space="0" w:color="000000"/>
            </w:tcBorders>
          </w:tcPr>
          <w:p w14:paraId="5CE44806"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Klinički značajno krvarenje koje nije klasifikovano kao obilno</w:t>
            </w:r>
          </w:p>
        </w:tc>
        <w:tc>
          <w:tcPr>
            <w:tcW w:w="0" w:type="auto"/>
            <w:tcBorders>
              <w:top w:val="single" w:sz="4" w:space="0" w:color="000000"/>
              <w:left w:val="single" w:sz="4" w:space="0" w:color="000000"/>
              <w:bottom w:val="single" w:sz="4" w:space="0" w:color="000000"/>
              <w:right w:val="single" w:sz="4" w:space="0" w:color="000000"/>
            </w:tcBorders>
          </w:tcPr>
          <w:p w14:paraId="3CABF535"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32</w:t>
            </w:r>
          </w:p>
          <w:p w14:paraId="2BEAC2BA"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(5,4%)</w:t>
            </w:r>
          </w:p>
        </w:tc>
        <w:tc>
          <w:tcPr>
            <w:tcW w:w="0" w:type="auto"/>
            <w:tcBorders>
              <w:top w:val="single" w:sz="4" w:space="0" w:color="000000"/>
              <w:left w:val="single" w:sz="4" w:space="0" w:color="000000"/>
              <w:bottom w:val="single" w:sz="4" w:space="0" w:color="000000"/>
              <w:right w:val="single" w:sz="4" w:space="0" w:color="000000"/>
            </w:tcBorders>
          </w:tcPr>
          <w:p w14:paraId="683D368E"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7</w:t>
            </w:r>
          </w:p>
          <w:p w14:paraId="0F62CF63" w14:textId="77777777" w:rsidR="001E010E" w:rsidRPr="007D7545" w:rsidRDefault="001E010E" w:rsidP="005D101E">
            <w:pPr>
              <w:rPr>
                <w:rFonts w:ascii="Times New Roman" w:hAnsi="Times New Roman"/>
                <w:color w:val="000000"/>
                <w:sz w:val="22"/>
                <w:szCs w:val="22"/>
                <w:lang w:val="sr-Latn-ME"/>
              </w:rPr>
            </w:pPr>
            <w:r w:rsidRPr="007D7545">
              <w:rPr>
                <w:color w:val="000000"/>
                <w:sz w:val="22"/>
                <w:szCs w:val="22"/>
                <w:lang w:val="sr-Latn-ME"/>
              </w:rPr>
              <w:t>(1,2%)</w:t>
            </w:r>
          </w:p>
        </w:tc>
      </w:tr>
    </w:tbl>
    <w:p w14:paraId="05996D2C" w14:textId="77777777" w:rsidR="001E010E" w:rsidRPr="002D70E0" w:rsidRDefault="001E010E" w:rsidP="005D101E">
      <w:pPr>
        <w:ind w:left="10" w:hanging="10"/>
        <w:jc w:val="both"/>
        <w:rPr>
          <w:color w:val="000000"/>
          <w:sz w:val="20"/>
          <w:szCs w:val="22"/>
          <w:lang w:val="sr-Latn-ME"/>
        </w:rPr>
      </w:pPr>
      <w:r w:rsidRPr="002D70E0">
        <w:rPr>
          <w:color w:val="000000"/>
          <w:sz w:val="20"/>
          <w:szCs w:val="22"/>
          <w:lang w:val="sr-Latn-ME"/>
        </w:rPr>
        <w:t>a) Rivaroksaban u dozi od 20 mg jednom dnevno.</w:t>
      </w:r>
    </w:p>
    <w:p w14:paraId="69FDDBEB" w14:textId="7D324405" w:rsidR="001E010E" w:rsidRPr="002D70E0" w:rsidRDefault="001E010E" w:rsidP="005D101E">
      <w:pPr>
        <w:ind w:left="10" w:hanging="10"/>
        <w:jc w:val="both"/>
        <w:rPr>
          <w:color w:val="000000"/>
          <w:sz w:val="20"/>
          <w:szCs w:val="22"/>
          <w:lang w:val="sr-Latn-ME"/>
        </w:rPr>
      </w:pPr>
      <w:r w:rsidRPr="002D70E0">
        <w:rPr>
          <w:b/>
          <w:color w:val="000000"/>
          <w:sz w:val="20"/>
          <w:szCs w:val="22"/>
          <w:lang w:val="sr-Latn-ME"/>
        </w:rPr>
        <w:t xml:space="preserve">* </w:t>
      </w:r>
      <w:r w:rsidRPr="002D70E0">
        <w:rPr>
          <w:color w:val="000000"/>
          <w:sz w:val="20"/>
          <w:szCs w:val="22"/>
          <w:lang w:val="sr-Latn-ME"/>
        </w:rPr>
        <w:t>p &lt; 0,0001 (superiornost), odnos rizika: 0,185 (0,087 – 0,393)</w:t>
      </w:r>
    </w:p>
    <w:p w14:paraId="0C6867A9" w14:textId="77777777" w:rsidR="00220D1A" w:rsidRPr="007D7545" w:rsidRDefault="00220D1A" w:rsidP="005D101E">
      <w:pPr>
        <w:ind w:left="10" w:hanging="10"/>
        <w:jc w:val="both"/>
        <w:rPr>
          <w:color w:val="000000"/>
          <w:sz w:val="22"/>
          <w:szCs w:val="22"/>
          <w:lang w:val="sr-Latn-ME"/>
        </w:rPr>
      </w:pPr>
    </w:p>
    <w:p w14:paraId="4AEAA348" w14:textId="77777777" w:rsidR="001E010E" w:rsidRPr="007D7545" w:rsidRDefault="001E010E" w:rsidP="005D101E">
      <w:pPr>
        <w:ind w:left="10" w:hanging="10"/>
        <w:jc w:val="both"/>
        <w:rPr>
          <w:color w:val="000000"/>
          <w:sz w:val="22"/>
          <w:szCs w:val="22"/>
          <w:lang w:val="sr-Latn-ME"/>
        </w:rPr>
      </w:pPr>
      <w:r w:rsidRPr="007D7545">
        <w:rPr>
          <w:color w:val="000000"/>
          <w:sz w:val="22"/>
          <w:szCs w:val="22"/>
          <w:lang w:val="sr-Latn-ME"/>
        </w:rPr>
        <w:t xml:space="preserve">U </w:t>
      </w:r>
      <w:r w:rsidRPr="007D7545">
        <w:rPr>
          <w:i/>
          <w:color w:val="000000"/>
          <w:sz w:val="22"/>
          <w:szCs w:val="22"/>
          <w:lang w:val="sr-Latn-ME"/>
        </w:rPr>
        <w:t xml:space="preserve">Einstein Choice </w:t>
      </w:r>
      <w:r w:rsidRPr="007D7545">
        <w:rPr>
          <w:color w:val="000000"/>
          <w:sz w:val="22"/>
          <w:szCs w:val="22"/>
          <w:lang w:val="sr-Latn-ME"/>
        </w:rPr>
        <w:t>studiji (</w:t>
      </w:r>
      <w:r w:rsidRPr="007D7545">
        <w:rPr>
          <w:i/>
          <w:color w:val="000000"/>
          <w:sz w:val="22"/>
          <w:szCs w:val="22"/>
          <w:lang w:val="sr-Latn-ME"/>
        </w:rPr>
        <w:t>vidjeti Tabelu 9</w:t>
      </w:r>
      <w:r w:rsidRPr="007D7545">
        <w:rPr>
          <w:color w:val="000000"/>
          <w:sz w:val="22"/>
          <w:szCs w:val="22"/>
          <w:lang w:val="sr-Latn-ME"/>
        </w:rPr>
        <w:t>) terapije rivaroksabanom u dozi od 20 mg i rivaroksabanom u dozi od 10 mg su pokazale superiornost u pogledu primarnog ishoda efikasnosti u odnosu na acetilsalicilnu kiselinu u dozi od 100 mg. Glavni ishod bezbjednosti (obilna krvarenja) kod pacijenata na terapiji rivaroksabanom 20 mg i 10 mg jednom dnevno, je bio sličan onom kod pacijenata koji su bili na terapiji 100 mg acetilsalicilne kiseline.</w:t>
      </w:r>
    </w:p>
    <w:p w14:paraId="2686E3FD" w14:textId="77777777" w:rsidR="001E010E" w:rsidRPr="007D7545" w:rsidRDefault="001E010E" w:rsidP="005D101E">
      <w:pPr>
        <w:keepNext/>
        <w:keepLines/>
        <w:ind w:left="120" w:hanging="10"/>
        <w:outlineLvl w:val="0"/>
        <w:rPr>
          <w:b/>
          <w:color w:val="000000"/>
          <w:sz w:val="22"/>
          <w:szCs w:val="22"/>
          <w:lang w:val="sr-Latn-ME"/>
        </w:rPr>
      </w:pPr>
    </w:p>
    <w:p w14:paraId="1FE52ACB" w14:textId="1087C35C" w:rsidR="001E010E" w:rsidRPr="007D7545" w:rsidRDefault="001E010E" w:rsidP="002D70E0">
      <w:pPr>
        <w:keepNext/>
        <w:keepLines/>
        <w:ind w:left="120" w:hanging="10"/>
        <w:jc w:val="both"/>
        <w:outlineLvl w:val="0"/>
        <w:rPr>
          <w:b/>
          <w:color w:val="000000"/>
          <w:sz w:val="22"/>
          <w:szCs w:val="22"/>
          <w:lang w:val="sr-Latn-ME"/>
        </w:rPr>
      </w:pPr>
      <w:r w:rsidRPr="007D7545">
        <w:rPr>
          <w:b/>
          <w:color w:val="000000"/>
          <w:sz w:val="22"/>
          <w:szCs w:val="22"/>
          <w:lang w:val="sr-Latn-ME"/>
        </w:rPr>
        <w:t xml:space="preserve">Tabela 9: Rezultati efikasnosti i bezbjednosti iz </w:t>
      </w:r>
      <w:r w:rsidRPr="007D7545">
        <w:rPr>
          <w:b/>
          <w:i/>
          <w:color w:val="000000"/>
          <w:sz w:val="22"/>
          <w:szCs w:val="22"/>
          <w:lang w:val="sr-Latn-ME"/>
        </w:rPr>
        <w:t xml:space="preserve">Einstein Choice </w:t>
      </w:r>
      <w:r w:rsidRPr="007D7545">
        <w:rPr>
          <w:b/>
          <w:color w:val="000000"/>
          <w:sz w:val="22"/>
          <w:szCs w:val="22"/>
          <w:lang w:val="sr-Latn-ME"/>
        </w:rPr>
        <w:t>studije faze III</w:t>
      </w:r>
    </w:p>
    <w:tbl>
      <w:tblPr>
        <w:tblStyle w:val="TableGrid2"/>
        <w:tblW w:w="5000" w:type="pct"/>
        <w:tblInd w:w="0" w:type="dxa"/>
        <w:tblCellMar>
          <w:top w:w="49" w:type="dxa"/>
          <w:right w:w="50" w:type="dxa"/>
        </w:tblCellMar>
        <w:tblLook w:val="04A0" w:firstRow="1" w:lastRow="0" w:firstColumn="1" w:lastColumn="0" w:noHBand="0" w:noVBand="1"/>
      </w:tblPr>
      <w:tblGrid>
        <w:gridCol w:w="2645"/>
        <w:gridCol w:w="2086"/>
        <w:gridCol w:w="66"/>
        <w:gridCol w:w="2083"/>
        <w:gridCol w:w="66"/>
        <w:gridCol w:w="2052"/>
        <w:gridCol w:w="65"/>
      </w:tblGrid>
      <w:tr w:rsidR="001E010E" w:rsidRPr="005E7F36" w14:paraId="194953EE" w14:textId="77777777" w:rsidTr="002D70E0">
        <w:tc>
          <w:tcPr>
            <w:tcW w:w="0" w:type="auto"/>
            <w:gridSpan w:val="2"/>
            <w:tcBorders>
              <w:top w:val="single" w:sz="4" w:space="0" w:color="000000"/>
              <w:left w:val="single" w:sz="4" w:space="0" w:color="000000"/>
              <w:bottom w:val="single" w:sz="4" w:space="0" w:color="000000"/>
              <w:right w:val="nil"/>
            </w:tcBorders>
          </w:tcPr>
          <w:p w14:paraId="35A764F8" w14:textId="77777777" w:rsidR="001E010E" w:rsidRPr="007D7545" w:rsidRDefault="001E010E" w:rsidP="005D101E">
            <w:pPr>
              <w:ind w:left="106"/>
              <w:rPr>
                <w:rFonts w:ascii="Times New Roman" w:hAnsi="Times New Roman"/>
                <w:color w:val="000000"/>
                <w:sz w:val="22"/>
                <w:szCs w:val="22"/>
                <w:lang w:val="sr-Latn-ME"/>
              </w:rPr>
            </w:pPr>
            <w:r w:rsidRPr="007D7545">
              <w:rPr>
                <w:b/>
                <w:color w:val="000000"/>
                <w:sz w:val="22"/>
                <w:szCs w:val="22"/>
                <w:lang w:val="sr-Latn-ME"/>
              </w:rPr>
              <w:t>Populacija u studiji</w:t>
            </w:r>
          </w:p>
        </w:tc>
        <w:tc>
          <w:tcPr>
            <w:tcW w:w="0" w:type="auto"/>
            <w:tcBorders>
              <w:top w:val="single" w:sz="4" w:space="0" w:color="000000"/>
              <w:left w:val="nil"/>
              <w:bottom w:val="single" w:sz="4" w:space="0" w:color="000000"/>
              <w:right w:val="single" w:sz="4" w:space="0" w:color="000000"/>
            </w:tcBorders>
          </w:tcPr>
          <w:p w14:paraId="71D952E9" w14:textId="77777777" w:rsidR="001E010E" w:rsidRPr="007D7545" w:rsidRDefault="001E010E" w:rsidP="005D101E">
            <w:pPr>
              <w:rPr>
                <w:rFonts w:ascii="Times New Roman" w:hAnsi="Times New Roman"/>
                <w:color w:val="000000"/>
                <w:sz w:val="22"/>
                <w:szCs w:val="22"/>
                <w:lang w:val="sr-Latn-ME"/>
              </w:rPr>
            </w:pPr>
          </w:p>
        </w:tc>
        <w:tc>
          <w:tcPr>
            <w:tcW w:w="0" w:type="auto"/>
            <w:gridSpan w:val="4"/>
            <w:tcBorders>
              <w:top w:val="single" w:sz="4" w:space="0" w:color="000000"/>
              <w:left w:val="single" w:sz="4" w:space="0" w:color="000000"/>
              <w:bottom w:val="single" w:sz="4" w:space="0" w:color="000000"/>
              <w:right w:val="single" w:sz="4" w:space="0" w:color="000000"/>
            </w:tcBorders>
          </w:tcPr>
          <w:p w14:paraId="394EA629" w14:textId="1A6CC01E" w:rsidR="001E010E" w:rsidRPr="007D7545" w:rsidRDefault="001E010E" w:rsidP="005D101E">
            <w:pPr>
              <w:tabs>
                <w:tab w:val="left" w:pos="644"/>
              </w:tabs>
              <w:ind w:left="106"/>
              <w:rPr>
                <w:rFonts w:ascii="Times New Roman" w:hAnsi="Times New Roman"/>
                <w:color w:val="000000"/>
                <w:sz w:val="22"/>
                <w:szCs w:val="22"/>
                <w:lang w:val="sr-Latn-ME"/>
              </w:rPr>
            </w:pPr>
            <w:r w:rsidRPr="007D7545">
              <w:rPr>
                <w:b/>
                <w:color w:val="000000"/>
                <w:sz w:val="22"/>
                <w:szCs w:val="22"/>
                <w:lang w:val="sr-Latn-ME"/>
              </w:rPr>
              <w:t>3396 pacijenata koji su nastavili prevenciju rekurentne</w:t>
            </w:r>
            <w:r w:rsidRPr="007D7545">
              <w:rPr>
                <w:b/>
                <w:color w:val="000000"/>
                <w:sz w:val="22"/>
                <w:szCs w:val="22"/>
                <w:lang w:val="sr-Latn-ME"/>
              </w:rPr>
              <w:tab/>
              <w:t>venske tromboembolije</w:t>
            </w:r>
          </w:p>
        </w:tc>
      </w:tr>
      <w:tr w:rsidR="001E010E" w:rsidRPr="007D7545" w14:paraId="4214D340" w14:textId="77777777" w:rsidTr="002D70E0">
        <w:tc>
          <w:tcPr>
            <w:tcW w:w="0" w:type="auto"/>
            <w:tcBorders>
              <w:top w:val="single" w:sz="4" w:space="0" w:color="000000"/>
              <w:left w:val="single" w:sz="4" w:space="0" w:color="000000"/>
              <w:bottom w:val="single" w:sz="4" w:space="0" w:color="000000"/>
              <w:right w:val="single" w:sz="4" w:space="0" w:color="000000"/>
            </w:tcBorders>
          </w:tcPr>
          <w:p w14:paraId="2D258D8E" w14:textId="77777777" w:rsidR="001E010E" w:rsidRPr="007D7545" w:rsidRDefault="001E010E" w:rsidP="005D101E">
            <w:pPr>
              <w:ind w:left="106"/>
              <w:rPr>
                <w:rFonts w:ascii="Times New Roman" w:hAnsi="Times New Roman"/>
                <w:color w:val="000000"/>
                <w:sz w:val="22"/>
                <w:szCs w:val="22"/>
                <w:lang w:val="sr-Latn-ME"/>
              </w:rPr>
            </w:pPr>
            <w:r w:rsidRPr="007D7545">
              <w:rPr>
                <w:b/>
                <w:color w:val="000000"/>
                <w:sz w:val="22"/>
                <w:szCs w:val="22"/>
                <w:lang w:val="sr-Latn-ME"/>
              </w:rPr>
              <w:t>Terapijska doza</w:t>
            </w:r>
          </w:p>
        </w:tc>
        <w:tc>
          <w:tcPr>
            <w:tcW w:w="0" w:type="auto"/>
            <w:gridSpan w:val="2"/>
            <w:tcBorders>
              <w:top w:val="single" w:sz="4" w:space="0" w:color="000000"/>
              <w:left w:val="single" w:sz="4" w:space="0" w:color="000000"/>
              <w:bottom w:val="single" w:sz="4" w:space="0" w:color="000000"/>
              <w:right w:val="single" w:sz="4" w:space="0" w:color="000000"/>
            </w:tcBorders>
          </w:tcPr>
          <w:p w14:paraId="14B44DFD" w14:textId="77777777" w:rsidR="001E010E" w:rsidRPr="007D7545" w:rsidRDefault="001E010E" w:rsidP="005D101E">
            <w:pPr>
              <w:ind w:left="110"/>
              <w:jc w:val="center"/>
              <w:rPr>
                <w:rFonts w:ascii="Times New Roman" w:hAnsi="Times New Roman"/>
                <w:color w:val="000000"/>
                <w:sz w:val="22"/>
                <w:szCs w:val="22"/>
                <w:lang w:val="sr-Latn-ME"/>
              </w:rPr>
            </w:pPr>
            <w:r w:rsidRPr="007D7545">
              <w:rPr>
                <w:b/>
                <w:color w:val="000000"/>
                <w:sz w:val="22"/>
                <w:szCs w:val="22"/>
                <w:lang w:val="sr-Latn-ME"/>
              </w:rPr>
              <w:t>Rivaroksaban 20 mg jednom dnevno N=1107</w:t>
            </w:r>
          </w:p>
        </w:tc>
        <w:tc>
          <w:tcPr>
            <w:tcW w:w="0" w:type="auto"/>
            <w:gridSpan w:val="2"/>
            <w:tcBorders>
              <w:top w:val="single" w:sz="4" w:space="0" w:color="000000"/>
              <w:left w:val="single" w:sz="4" w:space="0" w:color="000000"/>
              <w:bottom w:val="single" w:sz="4" w:space="0" w:color="000000"/>
              <w:right w:val="single" w:sz="4" w:space="0" w:color="000000"/>
            </w:tcBorders>
          </w:tcPr>
          <w:p w14:paraId="6420AEBC" w14:textId="77777777" w:rsidR="001E010E" w:rsidRPr="007D7545" w:rsidRDefault="001E010E" w:rsidP="005D101E">
            <w:pPr>
              <w:ind w:left="106"/>
              <w:jc w:val="center"/>
              <w:rPr>
                <w:rFonts w:ascii="Times New Roman" w:hAnsi="Times New Roman"/>
                <w:color w:val="000000"/>
                <w:sz w:val="22"/>
                <w:szCs w:val="22"/>
                <w:lang w:val="sr-Latn-ME"/>
              </w:rPr>
            </w:pPr>
            <w:r w:rsidRPr="007D7545">
              <w:rPr>
                <w:b/>
                <w:color w:val="000000"/>
                <w:sz w:val="22"/>
                <w:szCs w:val="22"/>
                <w:lang w:val="sr-Latn-ME"/>
              </w:rPr>
              <w:t>Rivaroksaban 10 mg jednom dnevno N=1127</w:t>
            </w:r>
          </w:p>
          <w:p w14:paraId="54DC5B9B" w14:textId="77777777" w:rsidR="001E010E" w:rsidRPr="007D7545" w:rsidRDefault="001E010E" w:rsidP="005D101E">
            <w:pPr>
              <w:jc w:val="both"/>
              <w:rPr>
                <w:rFonts w:ascii="Times New Roman" w:hAnsi="Times New Roman"/>
                <w:color w:val="000000"/>
                <w:sz w:val="22"/>
                <w:szCs w:val="22"/>
                <w:lang w:val="sr-Latn-ME"/>
              </w:rPr>
            </w:pPr>
          </w:p>
        </w:tc>
        <w:tc>
          <w:tcPr>
            <w:tcW w:w="0" w:type="auto"/>
            <w:gridSpan w:val="2"/>
            <w:tcBorders>
              <w:top w:val="single" w:sz="4" w:space="0" w:color="000000"/>
              <w:left w:val="single" w:sz="4" w:space="0" w:color="000000"/>
              <w:bottom w:val="single" w:sz="4" w:space="0" w:color="000000"/>
              <w:right w:val="single" w:sz="4" w:space="0" w:color="000000"/>
            </w:tcBorders>
          </w:tcPr>
          <w:p w14:paraId="24B32612" w14:textId="77777777" w:rsidR="001E010E" w:rsidRPr="007D7545" w:rsidRDefault="001E010E" w:rsidP="005D101E">
            <w:pPr>
              <w:tabs>
                <w:tab w:val="center" w:pos="1246"/>
              </w:tabs>
              <w:jc w:val="center"/>
              <w:rPr>
                <w:rFonts w:ascii="Times New Roman" w:hAnsi="Times New Roman"/>
                <w:color w:val="000000"/>
                <w:sz w:val="22"/>
                <w:szCs w:val="22"/>
                <w:lang w:val="sr-Latn-ME"/>
              </w:rPr>
            </w:pPr>
            <w:r w:rsidRPr="007D7545">
              <w:rPr>
                <w:b/>
                <w:color w:val="000000"/>
                <w:sz w:val="22"/>
                <w:szCs w:val="22"/>
                <w:lang w:val="sr-Latn-ME"/>
              </w:rPr>
              <w:t>ASK 100 mg        jednom dnevno</w:t>
            </w:r>
            <w:r w:rsidRPr="007D7545">
              <w:rPr>
                <w:color w:val="000000"/>
                <w:sz w:val="22"/>
                <w:szCs w:val="22"/>
                <w:lang w:val="sr-Latn-ME"/>
              </w:rPr>
              <w:t xml:space="preserve"> </w:t>
            </w:r>
          </w:p>
          <w:p w14:paraId="07C85570" w14:textId="77777777" w:rsidR="001E010E" w:rsidRPr="007D7545" w:rsidRDefault="001E010E" w:rsidP="005D101E">
            <w:pPr>
              <w:tabs>
                <w:tab w:val="center" w:pos="1246"/>
              </w:tabs>
              <w:jc w:val="center"/>
              <w:rPr>
                <w:rFonts w:ascii="Times New Roman" w:hAnsi="Times New Roman"/>
                <w:color w:val="000000"/>
                <w:sz w:val="22"/>
                <w:szCs w:val="22"/>
                <w:lang w:val="sr-Latn-ME"/>
              </w:rPr>
            </w:pPr>
            <w:r w:rsidRPr="007D7545">
              <w:rPr>
                <w:b/>
                <w:color w:val="000000"/>
                <w:sz w:val="22"/>
                <w:szCs w:val="22"/>
                <w:lang w:val="sr-Latn-ME"/>
              </w:rPr>
              <w:t>N=1131</w:t>
            </w:r>
          </w:p>
          <w:p w14:paraId="2B825572" w14:textId="77777777" w:rsidR="001E010E" w:rsidRPr="007D7545" w:rsidRDefault="001E010E" w:rsidP="005D101E">
            <w:pPr>
              <w:jc w:val="both"/>
              <w:rPr>
                <w:rFonts w:ascii="Times New Roman" w:hAnsi="Times New Roman"/>
                <w:color w:val="000000"/>
                <w:sz w:val="22"/>
                <w:szCs w:val="22"/>
                <w:lang w:val="sr-Latn-ME"/>
              </w:rPr>
            </w:pPr>
          </w:p>
        </w:tc>
      </w:tr>
      <w:tr w:rsidR="001E010E" w:rsidRPr="007D7545" w14:paraId="04D18F82" w14:textId="77777777" w:rsidTr="002D70E0">
        <w:tc>
          <w:tcPr>
            <w:tcW w:w="0" w:type="auto"/>
            <w:tcBorders>
              <w:top w:val="single" w:sz="4" w:space="0" w:color="000000"/>
              <w:left w:val="single" w:sz="4" w:space="0" w:color="000000"/>
              <w:bottom w:val="single" w:sz="4" w:space="0" w:color="000000"/>
              <w:right w:val="single" w:sz="4" w:space="0" w:color="000000"/>
            </w:tcBorders>
          </w:tcPr>
          <w:p w14:paraId="33F91A1D"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 xml:space="preserve">Trajanje terapije medijana </w:t>
            </w:r>
          </w:p>
          <w:p w14:paraId="766B9888"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(interkvartilni raspon)</w:t>
            </w:r>
          </w:p>
        </w:tc>
        <w:tc>
          <w:tcPr>
            <w:tcW w:w="0" w:type="auto"/>
            <w:tcBorders>
              <w:top w:val="single" w:sz="4" w:space="0" w:color="000000"/>
              <w:left w:val="single" w:sz="4" w:space="0" w:color="000000"/>
              <w:bottom w:val="single" w:sz="4" w:space="0" w:color="000000"/>
              <w:right w:val="nil"/>
            </w:tcBorders>
          </w:tcPr>
          <w:p w14:paraId="18C79CFC"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349 [189-362] dana</w:t>
            </w:r>
          </w:p>
        </w:tc>
        <w:tc>
          <w:tcPr>
            <w:tcW w:w="0" w:type="auto"/>
            <w:tcBorders>
              <w:top w:val="single" w:sz="4" w:space="0" w:color="000000"/>
              <w:left w:val="nil"/>
              <w:bottom w:val="single" w:sz="4" w:space="0" w:color="000000"/>
              <w:right w:val="single" w:sz="4" w:space="0" w:color="000000"/>
            </w:tcBorders>
          </w:tcPr>
          <w:p w14:paraId="3CDE2186"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30B8F170"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353 [190-362] dana</w:t>
            </w:r>
          </w:p>
        </w:tc>
        <w:tc>
          <w:tcPr>
            <w:tcW w:w="0" w:type="auto"/>
            <w:tcBorders>
              <w:top w:val="single" w:sz="4" w:space="0" w:color="000000"/>
              <w:left w:val="nil"/>
              <w:bottom w:val="single" w:sz="4" w:space="0" w:color="000000"/>
              <w:right w:val="single" w:sz="4" w:space="0" w:color="000000"/>
            </w:tcBorders>
          </w:tcPr>
          <w:p w14:paraId="421334C6"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75DC56A9"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350 [186-362] dana</w:t>
            </w:r>
          </w:p>
        </w:tc>
        <w:tc>
          <w:tcPr>
            <w:tcW w:w="0" w:type="auto"/>
            <w:tcBorders>
              <w:top w:val="single" w:sz="4" w:space="0" w:color="000000"/>
              <w:left w:val="nil"/>
              <w:bottom w:val="single" w:sz="4" w:space="0" w:color="000000"/>
              <w:right w:val="single" w:sz="4" w:space="0" w:color="000000"/>
            </w:tcBorders>
          </w:tcPr>
          <w:p w14:paraId="20F57D38" w14:textId="77777777" w:rsidR="001E010E" w:rsidRPr="007D7545" w:rsidRDefault="001E010E" w:rsidP="005D101E">
            <w:pPr>
              <w:rPr>
                <w:rFonts w:ascii="Times New Roman" w:hAnsi="Times New Roman"/>
                <w:color w:val="000000"/>
                <w:sz w:val="22"/>
                <w:szCs w:val="22"/>
                <w:lang w:val="sr-Latn-ME"/>
              </w:rPr>
            </w:pPr>
          </w:p>
        </w:tc>
      </w:tr>
      <w:tr w:rsidR="001E010E" w:rsidRPr="007D7545" w14:paraId="448667E8" w14:textId="77777777" w:rsidTr="002D70E0">
        <w:tc>
          <w:tcPr>
            <w:tcW w:w="0" w:type="auto"/>
            <w:tcBorders>
              <w:top w:val="single" w:sz="4" w:space="0" w:color="000000"/>
              <w:left w:val="single" w:sz="4" w:space="0" w:color="000000"/>
              <w:bottom w:val="single" w:sz="4" w:space="0" w:color="000000"/>
              <w:right w:val="single" w:sz="4" w:space="0" w:color="000000"/>
            </w:tcBorders>
          </w:tcPr>
          <w:p w14:paraId="767B309C"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Simptomatska rekurentna VTE</w:t>
            </w:r>
          </w:p>
        </w:tc>
        <w:tc>
          <w:tcPr>
            <w:tcW w:w="0" w:type="auto"/>
            <w:tcBorders>
              <w:top w:val="single" w:sz="4" w:space="0" w:color="000000"/>
              <w:left w:val="single" w:sz="4" w:space="0" w:color="000000"/>
              <w:bottom w:val="single" w:sz="4" w:space="0" w:color="000000"/>
              <w:right w:val="nil"/>
            </w:tcBorders>
          </w:tcPr>
          <w:p w14:paraId="6F04CE53"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 xml:space="preserve">17 </w:t>
            </w:r>
          </w:p>
          <w:p w14:paraId="266C3785"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(1,5%)*</w:t>
            </w:r>
          </w:p>
        </w:tc>
        <w:tc>
          <w:tcPr>
            <w:tcW w:w="0" w:type="auto"/>
            <w:tcBorders>
              <w:top w:val="single" w:sz="4" w:space="0" w:color="000000"/>
              <w:left w:val="nil"/>
              <w:bottom w:val="single" w:sz="4" w:space="0" w:color="000000"/>
              <w:right w:val="single" w:sz="4" w:space="0" w:color="000000"/>
            </w:tcBorders>
          </w:tcPr>
          <w:p w14:paraId="209ABC6A"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6B3AF2D7"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13</w:t>
            </w:r>
          </w:p>
          <w:p w14:paraId="4F83151F" w14:textId="0801F240" w:rsidR="001E010E" w:rsidRPr="007D7545" w:rsidRDefault="001E010E" w:rsidP="005D101E">
            <w:pPr>
              <w:ind w:left="163"/>
              <w:rPr>
                <w:rFonts w:ascii="Times New Roman" w:hAnsi="Times New Roman"/>
                <w:color w:val="000000"/>
                <w:sz w:val="22"/>
                <w:szCs w:val="22"/>
                <w:lang w:val="sr-Latn-ME"/>
              </w:rPr>
            </w:pPr>
            <w:r w:rsidRPr="007D7545">
              <w:rPr>
                <w:color w:val="000000"/>
                <w:sz w:val="22"/>
                <w:szCs w:val="22"/>
                <w:lang w:val="sr-Latn-ME"/>
              </w:rPr>
              <w:t>(1,2%)*</w:t>
            </w:r>
            <w:r w:rsidR="001D4920" w:rsidRPr="007D7545">
              <w:rPr>
                <w:color w:val="000000"/>
                <w:sz w:val="22"/>
                <w:szCs w:val="22"/>
                <w:lang w:val="sr-Latn-ME"/>
              </w:rPr>
              <w:t>*</w:t>
            </w:r>
          </w:p>
        </w:tc>
        <w:tc>
          <w:tcPr>
            <w:tcW w:w="0" w:type="auto"/>
            <w:tcBorders>
              <w:top w:val="single" w:sz="4" w:space="0" w:color="000000"/>
              <w:left w:val="nil"/>
              <w:bottom w:val="single" w:sz="4" w:space="0" w:color="000000"/>
              <w:right w:val="single" w:sz="4" w:space="0" w:color="000000"/>
            </w:tcBorders>
          </w:tcPr>
          <w:p w14:paraId="72CE1934"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67A9E303"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 xml:space="preserve">50 </w:t>
            </w:r>
          </w:p>
          <w:p w14:paraId="7B76E57E" w14:textId="35144944"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(4,4%)</w:t>
            </w:r>
          </w:p>
        </w:tc>
        <w:tc>
          <w:tcPr>
            <w:tcW w:w="0" w:type="auto"/>
            <w:tcBorders>
              <w:top w:val="single" w:sz="4" w:space="0" w:color="000000"/>
              <w:left w:val="nil"/>
              <w:bottom w:val="single" w:sz="4" w:space="0" w:color="000000"/>
              <w:right w:val="single" w:sz="4" w:space="0" w:color="000000"/>
            </w:tcBorders>
          </w:tcPr>
          <w:p w14:paraId="1B4F1933" w14:textId="77777777" w:rsidR="001E010E" w:rsidRPr="007D7545" w:rsidRDefault="001E010E" w:rsidP="005D101E">
            <w:pPr>
              <w:rPr>
                <w:rFonts w:ascii="Times New Roman" w:hAnsi="Times New Roman"/>
                <w:color w:val="000000"/>
                <w:sz w:val="22"/>
                <w:szCs w:val="22"/>
                <w:lang w:val="sr-Latn-ME"/>
              </w:rPr>
            </w:pPr>
          </w:p>
        </w:tc>
      </w:tr>
      <w:tr w:rsidR="001E010E" w:rsidRPr="007D7545" w14:paraId="5A5DD8E5" w14:textId="77777777" w:rsidTr="002D70E0">
        <w:tc>
          <w:tcPr>
            <w:tcW w:w="0" w:type="auto"/>
            <w:tcBorders>
              <w:top w:val="single" w:sz="4" w:space="0" w:color="000000"/>
              <w:left w:val="single" w:sz="4" w:space="0" w:color="000000"/>
              <w:bottom w:val="single" w:sz="4" w:space="0" w:color="000000"/>
              <w:right w:val="single" w:sz="4" w:space="0" w:color="000000"/>
            </w:tcBorders>
          </w:tcPr>
          <w:p w14:paraId="734D19D4" w14:textId="77777777" w:rsidR="001E010E" w:rsidRPr="007D7545" w:rsidRDefault="001E010E" w:rsidP="005D101E">
            <w:pPr>
              <w:ind w:left="306" w:hanging="200"/>
              <w:rPr>
                <w:rFonts w:ascii="Times New Roman" w:hAnsi="Times New Roman"/>
                <w:color w:val="000000"/>
                <w:sz w:val="22"/>
                <w:szCs w:val="22"/>
                <w:lang w:val="sr-Latn-ME"/>
              </w:rPr>
            </w:pPr>
            <w:r w:rsidRPr="007D7545">
              <w:rPr>
                <w:color w:val="000000"/>
                <w:sz w:val="22"/>
                <w:szCs w:val="22"/>
                <w:lang w:val="sr-Latn-ME"/>
              </w:rPr>
              <w:t xml:space="preserve">    Simptomatska   rekurentna PE</w:t>
            </w:r>
          </w:p>
        </w:tc>
        <w:tc>
          <w:tcPr>
            <w:tcW w:w="0" w:type="auto"/>
            <w:tcBorders>
              <w:top w:val="single" w:sz="4" w:space="0" w:color="000000"/>
              <w:left w:val="single" w:sz="4" w:space="0" w:color="000000"/>
              <w:bottom w:val="single" w:sz="4" w:space="0" w:color="000000"/>
              <w:right w:val="nil"/>
            </w:tcBorders>
          </w:tcPr>
          <w:p w14:paraId="6FE4BF17" w14:textId="77777777" w:rsidR="001E010E" w:rsidRPr="007D7545" w:rsidRDefault="001E010E" w:rsidP="005D101E">
            <w:pPr>
              <w:ind w:left="110" w:right="1006"/>
              <w:rPr>
                <w:rFonts w:ascii="Times New Roman" w:hAnsi="Times New Roman"/>
                <w:color w:val="000000"/>
                <w:sz w:val="22"/>
                <w:szCs w:val="22"/>
                <w:lang w:val="sr-Latn-ME"/>
              </w:rPr>
            </w:pPr>
            <w:r w:rsidRPr="007D7545">
              <w:rPr>
                <w:color w:val="000000"/>
                <w:sz w:val="22"/>
                <w:szCs w:val="22"/>
                <w:lang w:val="sr-Latn-ME"/>
              </w:rPr>
              <w:t>6 (0,5%)</w:t>
            </w:r>
          </w:p>
        </w:tc>
        <w:tc>
          <w:tcPr>
            <w:tcW w:w="0" w:type="auto"/>
            <w:tcBorders>
              <w:top w:val="single" w:sz="4" w:space="0" w:color="000000"/>
              <w:left w:val="nil"/>
              <w:bottom w:val="single" w:sz="4" w:space="0" w:color="000000"/>
              <w:right w:val="single" w:sz="4" w:space="0" w:color="000000"/>
            </w:tcBorders>
          </w:tcPr>
          <w:p w14:paraId="3583D6E8"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1DD85E5F" w14:textId="77777777" w:rsidR="001E010E" w:rsidRPr="007D7545" w:rsidRDefault="001E010E" w:rsidP="005D101E">
            <w:pPr>
              <w:ind w:left="106" w:right="1006"/>
              <w:rPr>
                <w:rFonts w:ascii="Times New Roman" w:hAnsi="Times New Roman"/>
                <w:color w:val="000000"/>
                <w:sz w:val="22"/>
                <w:szCs w:val="22"/>
                <w:lang w:val="sr-Latn-ME"/>
              </w:rPr>
            </w:pPr>
            <w:r w:rsidRPr="007D7545">
              <w:rPr>
                <w:color w:val="000000"/>
                <w:sz w:val="22"/>
                <w:szCs w:val="22"/>
                <w:lang w:val="sr-Latn-ME"/>
              </w:rPr>
              <w:t>6 (0,5%)</w:t>
            </w:r>
          </w:p>
        </w:tc>
        <w:tc>
          <w:tcPr>
            <w:tcW w:w="0" w:type="auto"/>
            <w:tcBorders>
              <w:top w:val="single" w:sz="4" w:space="0" w:color="000000"/>
              <w:left w:val="nil"/>
              <w:bottom w:val="single" w:sz="4" w:space="0" w:color="000000"/>
              <w:right w:val="single" w:sz="4" w:space="0" w:color="000000"/>
            </w:tcBorders>
          </w:tcPr>
          <w:p w14:paraId="10A91F0F"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43192CEF"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19</w:t>
            </w:r>
          </w:p>
          <w:p w14:paraId="37DDA64A" w14:textId="77777777" w:rsidR="001E010E" w:rsidRPr="007D7545" w:rsidRDefault="001E010E" w:rsidP="005D101E">
            <w:pPr>
              <w:ind w:left="168"/>
              <w:rPr>
                <w:rFonts w:ascii="Times New Roman" w:hAnsi="Times New Roman"/>
                <w:color w:val="000000"/>
                <w:sz w:val="22"/>
                <w:szCs w:val="22"/>
                <w:lang w:val="sr-Latn-ME"/>
              </w:rPr>
            </w:pPr>
            <w:r w:rsidRPr="007D7545">
              <w:rPr>
                <w:color w:val="000000"/>
                <w:sz w:val="22"/>
                <w:szCs w:val="22"/>
                <w:lang w:val="sr-Latn-ME"/>
              </w:rPr>
              <w:t>(1,7%)</w:t>
            </w:r>
          </w:p>
        </w:tc>
        <w:tc>
          <w:tcPr>
            <w:tcW w:w="0" w:type="auto"/>
            <w:tcBorders>
              <w:top w:val="single" w:sz="4" w:space="0" w:color="000000"/>
              <w:left w:val="nil"/>
              <w:bottom w:val="single" w:sz="4" w:space="0" w:color="000000"/>
              <w:right w:val="single" w:sz="4" w:space="0" w:color="000000"/>
            </w:tcBorders>
          </w:tcPr>
          <w:p w14:paraId="4D413A13" w14:textId="77777777" w:rsidR="001E010E" w:rsidRPr="007D7545" w:rsidRDefault="001E010E" w:rsidP="005D101E">
            <w:pPr>
              <w:rPr>
                <w:rFonts w:ascii="Times New Roman" w:hAnsi="Times New Roman"/>
                <w:color w:val="000000"/>
                <w:sz w:val="22"/>
                <w:szCs w:val="22"/>
                <w:lang w:val="sr-Latn-ME"/>
              </w:rPr>
            </w:pPr>
          </w:p>
        </w:tc>
      </w:tr>
      <w:tr w:rsidR="001E010E" w:rsidRPr="007D7545" w14:paraId="55E4E51D" w14:textId="77777777" w:rsidTr="002D70E0">
        <w:tc>
          <w:tcPr>
            <w:tcW w:w="0" w:type="auto"/>
            <w:tcBorders>
              <w:top w:val="single" w:sz="4" w:space="0" w:color="000000"/>
              <w:left w:val="single" w:sz="4" w:space="0" w:color="000000"/>
              <w:bottom w:val="single" w:sz="4" w:space="0" w:color="000000"/>
              <w:right w:val="single" w:sz="4" w:space="0" w:color="000000"/>
            </w:tcBorders>
          </w:tcPr>
          <w:p w14:paraId="5D56BBE8" w14:textId="77777777" w:rsidR="001E010E" w:rsidRPr="007D7545" w:rsidRDefault="001E010E" w:rsidP="005D101E">
            <w:pPr>
              <w:ind w:left="306" w:hanging="200"/>
              <w:rPr>
                <w:rFonts w:ascii="Times New Roman" w:hAnsi="Times New Roman"/>
                <w:color w:val="000000"/>
                <w:sz w:val="22"/>
                <w:szCs w:val="22"/>
                <w:lang w:val="sr-Latn-ME"/>
              </w:rPr>
            </w:pPr>
            <w:r w:rsidRPr="007D7545">
              <w:rPr>
                <w:color w:val="000000"/>
                <w:sz w:val="22"/>
                <w:szCs w:val="22"/>
                <w:lang w:val="sr-Latn-ME"/>
              </w:rPr>
              <w:t xml:space="preserve">    Simptomatska rekurentna TDV</w:t>
            </w:r>
          </w:p>
        </w:tc>
        <w:tc>
          <w:tcPr>
            <w:tcW w:w="0" w:type="auto"/>
            <w:tcBorders>
              <w:top w:val="single" w:sz="4" w:space="0" w:color="000000"/>
              <w:left w:val="single" w:sz="4" w:space="0" w:color="000000"/>
              <w:bottom w:val="single" w:sz="4" w:space="0" w:color="000000"/>
              <w:right w:val="nil"/>
            </w:tcBorders>
          </w:tcPr>
          <w:p w14:paraId="637390A4" w14:textId="77777777" w:rsidR="001E010E" w:rsidRPr="007D7545" w:rsidRDefault="001E010E" w:rsidP="005D101E">
            <w:pPr>
              <w:ind w:left="110" w:right="1006"/>
              <w:rPr>
                <w:rFonts w:ascii="Times New Roman" w:hAnsi="Times New Roman"/>
                <w:color w:val="000000"/>
                <w:sz w:val="22"/>
                <w:szCs w:val="22"/>
                <w:lang w:val="sr-Latn-ME"/>
              </w:rPr>
            </w:pPr>
            <w:r w:rsidRPr="007D7545">
              <w:rPr>
                <w:color w:val="000000"/>
                <w:sz w:val="22"/>
                <w:szCs w:val="22"/>
                <w:lang w:val="sr-Latn-ME"/>
              </w:rPr>
              <w:t>9 (0,8%)</w:t>
            </w:r>
          </w:p>
        </w:tc>
        <w:tc>
          <w:tcPr>
            <w:tcW w:w="0" w:type="auto"/>
            <w:tcBorders>
              <w:top w:val="single" w:sz="4" w:space="0" w:color="000000"/>
              <w:left w:val="nil"/>
              <w:bottom w:val="single" w:sz="4" w:space="0" w:color="000000"/>
              <w:right w:val="single" w:sz="4" w:space="0" w:color="000000"/>
            </w:tcBorders>
          </w:tcPr>
          <w:p w14:paraId="6380C9DA"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5ECCAE13" w14:textId="77777777" w:rsidR="001E010E" w:rsidRPr="007D7545" w:rsidRDefault="001E010E" w:rsidP="005D101E">
            <w:pPr>
              <w:ind w:left="106" w:right="1006"/>
              <w:rPr>
                <w:rFonts w:ascii="Times New Roman" w:hAnsi="Times New Roman"/>
                <w:color w:val="000000"/>
                <w:sz w:val="22"/>
                <w:szCs w:val="22"/>
                <w:lang w:val="sr-Latn-ME"/>
              </w:rPr>
            </w:pPr>
            <w:r w:rsidRPr="007D7545">
              <w:rPr>
                <w:color w:val="000000"/>
                <w:sz w:val="22"/>
                <w:szCs w:val="22"/>
                <w:lang w:val="sr-Latn-ME"/>
              </w:rPr>
              <w:t>8 (0,7%)</w:t>
            </w:r>
          </w:p>
        </w:tc>
        <w:tc>
          <w:tcPr>
            <w:tcW w:w="0" w:type="auto"/>
            <w:tcBorders>
              <w:top w:val="single" w:sz="4" w:space="0" w:color="000000"/>
              <w:left w:val="nil"/>
              <w:bottom w:val="single" w:sz="4" w:space="0" w:color="000000"/>
              <w:right w:val="single" w:sz="4" w:space="0" w:color="000000"/>
            </w:tcBorders>
          </w:tcPr>
          <w:p w14:paraId="6D3EEEBC"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2259885A"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 xml:space="preserve">30 </w:t>
            </w:r>
          </w:p>
          <w:p w14:paraId="5FD0A774"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(2,7%)</w:t>
            </w:r>
          </w:p>
        </w:tc>
        <w:tc>
          <w:tcPr>
            <w:tcW w:w="0" w:type="auto"/>
            <w:tcBorders>
              <w:top w:val="single" w:sz="4" w:space="0" w:color="000000"/>
              <w:left w:val="nil"/>
              <w:bottom w:val="single" w:sz="4" w:space="0" w:color="000000"/>
              <w:right w:val="single" w:sz="4" w:space="0" w:color="000000"/>
            </w:tcBorders>
          </w:tcPr>
          <w:p w14:paraId="62B50746" w14:textId="77777777" w:rsidR="001E010E" w:rsidRPr="007D7545" w:rsidRDefault="001E010E" w:rsidP="005D101E">
            <w:pPr>
              <w:rPr>
                <w:rFonts w:ascii="Times New Roman" w:hAnsi="Times New Roman"/>
                <w:color w:val="000000"/>
                <w:sz w:val="22"/>
                <w:szCs w:val="22"/>
                <w:lang w:val="sr-Latn-ME"/>
              </w:rPr>
            </w:pPr>
          </w:p>
        </w:tc>
      </w:tr>
      <w:tr w:rsidR="001E010E" w:rsidRPr="007D7545" w14:paraId="34AE6623" w14:textId="77777777" w:rsidTr="002D70E0">
        <w:tc>
          <w:tcPr>
            <w:tcW w:w="0" w:type="auto"/>
            <w:tcBorders>
              <w:top w:val="single" w:sz="4" w:space="0" w:color="000000"/>
              <w:left w:val="single" w:sz="4" w:space="0" w:color="000000"/>
              <w:bottom w:val="single" w:sz="4" w:space="0" w:color="000000"/>
              <w:right w:val="single" w:sz="4" w:space="0" w:color="000000"/>
            </w:tcBorders>
          </w:tcPr>
          <w:p w14:paraId="49367DD3" w14:textId="77777777" w:rsidR="001E010E" w:rsidRPr="007D7545" w:rsidRDefault="001E010E" w:rsidP="005D101E">
            <w:pPr>
              <w:ind w:left="306" w:hanging="200"/>
              <w:rPr>
                <w:rFonts w:ascii="Times New Roman" w:hAnsi="Times New Roman"/>
                <w:color w:val="000000"/>
                <w:sz w:val="22"/>
                <w:szCs w:val="22"/>
                <w:lang w:val="sr-Latn-ME"/>
              </w:rPr>
            </w:pPr>
            <w:r w:rsidRPr="007D7545">
              <w:rPr>
                <w:color w:val="000000"/>
                <w:sz w:val="22"/>
                <w:szCs w:val="22"/>
                <w:lang w:val="sr-Latn-ME"/>
              </w:rPr>
              <w:t xml:space="preserve">    PE sa smrtnim ishodom/smrt gde se PE ne može isključiti</w:t>
            </w:r>
          </w:p>
        </w:tc>
        <w:tc>
          <w:tcPr>
            <w:tcW w:w="0" w:type="auto"/>
            <w:tcBorders>
              <w:top w:val="single" w:sz="4" w:space="0" w:color="000000"/>
              <w:left w:val="single" w:sz="4" w:space="0" w:color="000000"/>
              <w:bottom w:val="single" w:sz="4" w:space="0" w:color="000000"/>
              <w:right w:val="nil"/>
            </w:tcBorders>
          </w:tcPr>
          <w:p w14:paraId="4A85DDE5" w14:textId="77777777" w:rsidR="001E010E" w:rsidRPr="007D7545" w:rsidRDefault="001E010E" w:rsidP="005D101E">
            <w:pPr>
              <w:ind w:left="110" w:right="1006"/>
              <w:rPr>
                <w:rFonts w:ascii="Times New Roman" w:hAnsi="Times New Roman"/>
                <w:color w:val="000000"/>
                <w:sz w:val="22"/>
                <w:szCs w:val="22"/>
                <w:lang w:val="sr-Latn-ME"/>
              </w:rPr>
            </w:pPr>
            <w:r w:rsidRPr="007D7545">
              <w:rPr>
                <w:color w:val="000000"/>
                <w:sz w:val="22"/>
                <w:szCs w:val="22"/>
                <w:lang w:val="sr-Latn-ME"/>
              </w:rPr>
              <w:t>2 (0,2%)</w:t>
            </w:r>
          </w:p>
        </w:tc>
        <w:tc>
          <w:tcPr>
            <w:tcW w:w="0" w:type="auto"/>
            <w:tcBorders>
              <w:top w:val="single" w:sz="4" w:space="0" w:color="000000"/>
              <w:left w:val="nil"/>
              <w:bottom w:val="single" w:sz="4" w:space="0" w:color="000000"/>
              <w:right w:val="single" w:sz="4" w:space="0" w:color="000000"/>
            </w:tcBorders>
          </w:tcPr>
          <w:p w14:paraId="0C9E76A8"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363AC40D" w14:textId="77777777" w:rsidR="001E010E" w:rsidRPr="007D7545" w:rsidRDefault="001E010E" w:rsidP="005D101E">
            <w:pPr>
              <w:ind w:left="106" w:right="1006"/>
              <w:rPr>
                <w:rFonts w:ascii="Times New Roman" w:hAnsi="Times New Roman"/>
                <w:color w:val="000000"/>
                <w:sz w:val="22"/>
                <w:szCs w:val="22"/>
                <w:lang w:val="sr-Latn-ME"/>
              </w:rPr>
            </w:pPr>
            <w:r w:rsidRPr="007D7545">
              <w:rPr>
                <w:color w:val="000000"/>
                <w:sz w:val="22"/>
                <w:szCs w:val="22"/>
                <w:lang w:val="sr-Latn-ME"/>
              </w:rPr>
              <w:t>0 (0,0%)</w:t>
            </w:r>
          </w:p>
        </w:tc>
        <w:tc>
          <w:tcPr>
            <w:tcW w:w="0" w:type="auto"/>
            <w:tcBorders>
              <w:top w:val="single" w:sz="4" w:space="0" w:color="000000"/>
              <w:left w:val="nil"/>
              <w:bottom w:val="single" w:sz="4" w:space="0" w:color="000000"/>
              <w:right w:val="single" w:sz="4" w:space="0" w:color="000000"/>
            </w:tcBorders>
          </w:tcPr>
          <w:p w14:paraId="07800955"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55F2B6DA" w14:textId="77777777" w:rsidR="001E010E" w:rsidRPr="007D7545" w:rsidRDefault="001E010E" w:rsidP="005D101E">
            <w:pPr>
              <w:ind w:left="110" w:right="1006"/>
              <w:rPr>
                <w:rFonts w:ascii="Times New Roman" w:hAnsi="Times New Roman"/>
                <w:color w:val="000000"/>
                <w:sz w:val="22"/>
                <w:szCs w:val="22"/>
                <w:lang w:val="sr-Latn-ME"/>
              </w:rPr>
            </w:pPr>
            <w:r w:rsidRPr="007D7545">
              <w:rPr>
                <w:color w:val="000000"/>
                <w:sz w:val="22"/>
                <w:szCs w:val="22"/>
                <w:lang w:val="sr-Latn-ME"/>
              </w:rPr>
              <w:t>2 (0,2%)</w:t>
            </w:r>
          </w:p>
        </w:tc>
        <w:tc>
          <w:tcPr>
            <w:tcW w:w="0" w:type="auto"/>
            <w:tcBorders>
              <w:top w:val="single" w:sz="4" w:space="0" w:color="000000"/>
              <w:left w:val="nil"/>
              <w:bottom w:val="single" w:sz="4" w:space="0" w:color="000000"/>
              <w:right w:val="single" w:sz="4" w:space="0" w:color="000000"/>
            </w:tcBorders>
          </w:tcPr>
          <w:p w14:paraId="5B5DB324" w14:textId="77777777" w:rsidR="001E010E" w:rsidRPr="007D7545" w:rsidRDefault="001E010E" w:rsidP="005D101E">
            <w:pPr>
              <w:rPr>
                <w:rFonts w:ascii="Times New Roman" w:hAnsi="Times New Roman"/>
                <w:color w:val="000000"/>
                <w:sz w:val="22"/>
                <w:szCs w:val="22"/>
                <w:lang w:val="sr-Latn-ME"/>
              </w:rPr>
            </w:pPr>
          </w:p>
        </w:tc>
      </w:tr>
      <w:tr w:rsidR="001E010E" w:rsidRPr="007D7545" w14:paraId="604474D9" w14:textId="77777777" w:rsidTr="002D70E0">
        <w:tc>
          <w:tcPr>
            <w:tcW w:w="0" w:type="auto"/>
            <w:tcBorders>
              <w:top w:val="single" w:sz="4" w:space="0" w:color="000000"/>
              <w:left w:val="single" w:sz="4" w:space="0" w:color="000000"/>
              <w:bottom w:val="single" w:sz="4" w:space="0" w:color="000000"/>
              <w:right w:val="single" w:sz="4" w:space="0" w:color="000000"/>
            </w:tcBorders>
          </w:tcPr>
          <w:p w14:paraId="2191226F"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 xml:space="preserve">Simptomatska </w:t>
            </w:r>
          </w:p>
          <w:p w14:paraId="57E2CE5F" w14:textId="77777777" w:rsidR="001E010E" w:rsidRPr="007D7545" w:rsidRDefault="001E010E" w:rsidP="005D101E">
            <w:pPr>
              <w:ind w:left="106" w:right="58"/>
              <w:rPr>
                <w:rFonts w:ascii="Times New Roman" w:hAnsi="Times New Roman"/>
                <w:color w:val="000000"/>
                <w:sz w:val="22"/>
                <w:szCs w:val="22"/>
                <w:lang w:val="sr-Latn-ME"/>
              </w:rPr>
            </w:pPr>
            <w:r w:rsidRPr="007D7545">
              <w:rPr>
                <w:color w:val="000000"/>
                <w:sz w:val="22"/>
                <w:szCs w:val="22"/>
                <w:lang w:val="sr-Latn-ME"/>
              </w:rPr>
              <w:lastRenderedPageBreak/>
              <w:t>rekurentna VTE, infarkt miokarda, moždani udar ili sistemska embolija koja ne obuhvata CNS</w:t>
            </w:r>
          </w:p>
        </w:tc>
        <w:tc>
          <w:tcPr>
            <w:tcW w:w="0" w:type="auto"/>
            <w:tcBorders>
              <w:top w:val="single" w:sz="4" w:space="0" w:color="000000"/>
              <w:left w:val="single" w:sz="4" w:space="0" w:color="000000"/>
              <w:bottom w:val="single" w:sz="4" w:space="0" w:color="000000"/>
              <w:right w:val="nil"/>
            </w:tcBorders>
          </w:tcPr>
          <w:p w14:paraId="3313E861"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lastRenderedPageBreak/>
              <w:t>19 (1,7%)</w:t>
            </w:r>
          </w:p>
        </w:tc>
        <w:tc>
          <w:tcPr>
            <w:tcW w:w="0" w:type="auto"/>
            <w:tcBorders>
              <w:top w:val="single" w:sz="4" w:space="0" w:color="000000"/>
              <w:left w:val="nil"/>
              <w:bottom w:val="single" w:sz="4" w:space="0" w:color="000000"/>
              <w:right w:val="single" w:sz="4" w:space="0" w:color="000000"/>
            </w:tcBorders>
          </w:tcPr>
          <w:p w14:paraId="1DC6B139"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6A89A555"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18 (1,6%)</w:t>
            </w:r>
          </w:p>
        </w:tc>
        <w:tc>
          <w:tcPr>
            <w:tcW w:w="0" w:type="auto"/>
            <w:tcBorders>
              <w:top w:val="single" w:sz="4" w:space="0" w:color="000000"/>
              <w:left w:val="nil"/>
              <w:bottom w:val="single" w:sz="4" w:space="0" w:color="000000"/>
              <w:right w:val="single" w:sz="4" w:space="0" w:color="000000"/>
            </w:tcBorders>
          </w:tcPr>
          <w:p w14:paraId="3D988E9D"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20A3E39F"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56 (5,0%)</w:t>
            </w:r>
          </w:p>
        </w:tc>
        <w:tc>
          <w:tcPr>
            <w:tcW w:w="0" w:type="auto"/>
            <w:tcBorders>
              <w:top w:val="single" w:sz="4" w:space="0" w:color="000000"/>
              <w:left w:val="nil"/>
              <w:bottom w:val="single" w:sz="4" w:space="0" w:color="000000"/>
              <w:right w:val="single" w:sz="4" w:space="0" w:color="000000"/>
            </w:tcBorders>
          </w:tcPr>
          <w:p w14:paraId="4A600249" w14:textId="77777777" w:rsidR="001E010E" w:rsidRPr="007D7545" w:rsidRDefault="001E010E" w:rsidP="005D101E">
            <w:pPr>
              <w:rPr>
                <w:rFonts w:ascii="Times New Roman" w:hAnsi="Times New Roman"/>
                <w:color w:val="000000"/>
                <w:sz w:val="22"/>
                <w:szCs w:val="22"/>
                <w:lang w:val="sr-Latn-ME"/>
              </w:rPr>
            </w:pPr>
          </w:p>
        </w:tc>
      </w:tr>
      <w:tr w:rsidR="001E010E" w:rsidRPr="007D7545" w14:paraId="3DADD222" w14:textId="77777777" w:rsidTr="002D70E0">
        <w:tc>
          <w:tcPr>
            <w:tcW w:w="0" w:type="auto"/>
            <w:tcBorders>
              <w:top w:val="single" w:sz="4" w:space="0" w:color="000000"/>
              <w:left w:val="single" w:sz="4" w:space="0" w:color="000000"/>
              <w:bottom w:val="single" w:sz="4" w:space="0" w:color="000000"/>
              <w:right w:val="single" w:sz="4" w:space="0" w:color="000000"/>
            </w:tcBorders>
          </w:tcPr>
          <w:p w14:paraId="3D4389DD"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Obilna krvarenja</w:t>
            </w:r>
          </w:p>
        </w:tc>
        <w:tc>
          <w:tcPr>
            <w:tcW w:w="0" w:type="auto"/>
            <w:tcBorders>
              <w:top w:val="single" w:sz="4" w:space="0" w:color="000000"/>
              <w:left w:val="single" w:sz="4" w:space="0" w:color="000000"/>
              <w:bottom w:val="single" w:sz="4" w:space="0" w:color="000000"/>
              <w:right w:val="nil"/>
            </w:tcBorders>
          </w:tcPr>
          <w:p w14:paraId="630CC5BD" w14:textId="77777777" w:rsidR="001E010E" w:rsidRPr="007D7545" w:rsidRDefault="001E010E" w:rsidP="005D101E">
            <w:pPr>
              <w:ind w:left="110" w:right="1006"/>
              <w:rPr>
                <w:rFonts w:ascii="Times New Roman" w:hAnsi="Times New Roman"/>
                <w:color w:val="000000"/>
                <w:sz w:val="22"/>
                <w:szCs w:val="22"/>
                <w:lang w:val="sr-Latn-ME"/>
              </w:rPr>
            </w:pPr>
            <w:r w:rsidRPr="007D7545">
              <w:rPr>
                <w:color w:val="000000"/>
                <w:sz w:val="22"/>
                <w:szCs w:val="22"/>
                <w:lang w:val="sr-Latn-ME"/>
              </w:rPr>
              <w:t>6 (0,5%)</w:t>
            </w:r>
          </w:p>
        </w:tc>
        <w:tc>
          <w:tcPr>
            <w:tcW w:w="0" w:type="auto"/>
            <w:tcBorders>
              <w:top w:val="single" w:sz="4" w:space="0" w:color="000000"/>
              <w:left w:val="nil"/>
              <w:bottom w:val="single" w:sz="4" w:space="0" w:color="000000"/>
              <w:right w:val="single" w:sz="4" w:space="0" w:color="000000"/>
            </w:tcBorders>
          </w:tcPr>
          <w:p w14:paraId="7C0AD76C"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46F73C6D" w14:textId="77777777" w:rsidR="001E010E" w:rsidRPr="007D7545" w:rsidRDefault="001E010E" w:rsidP="005D101E">
            <w:pPr>
              <w:ind w:left="106" w:right="1006"/>
              <w:rPr>
                <w:rFonts w:ascii="Times New Roman" w:hAnsi="Times New Roman"/>
                <w:color w:val="000000"/>
                <w:sz w:val="22"/>
                <w:szCs w:val="22"/>
                <w:lang w:val="sr-Latn-ME"/>
              </w:rPr>
            </w:pPr>
            <w:r w:rsidRPr="007D7545">
              <w:rPr>
                <w:color w:val="000000"/>
                <w:sz w:val="22"/>
                <w:szCs w:val="22"/>
                <w:lang w:val="sr-Latn-ME"/>
              </w:rPr>
              <w:t>5 (0,4%)</w:t>
            </w:r>
          </w:p>
        </w:tc>
        <w:tc>
          <w:tcPr>
            <w:tcW w:w="0" w:type="auto"/>
            <w:tcBorders>
              <w:top w:val="single" w:sz="4" w:space="0" w:color="000000"/>
              <w:left w:val="nil"/>
              <w:bottom w:val="single" w:sz="4" w:space="0" w:color="000000"/>
              <w:right w:val="single" w:sz="4" w:space="0" w:color="000000"/>
            </w:tcBorders>
          </w:tcPr>
          <w:p w14:paraId="15D5F48C"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4C135542"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3 (0,3%)</w:t>
            </w:r>
          </w:p>
        </w:tc>
        <w:tc>
          <w:tcPr>
            <w:tcW w:w="0" w:type="auto"/>
            <w:tcBorders>
              <w:top w:val="single" w:sz="4" w:space="0" w:color="000000"/>
              <w:left w:val="nil"/>
              <w:bottom w:val="single" w:sz="4" w:space="0" w:color="000000"/>
              <w:right w:val="single" w:sz="4" w:space="0" w:color="000000"/>
            </w:tcBorders>
          </w:tcPr>
          <w:p w14:paraId="1CBA99DF" w14:textId="77777777" w:rsidR="001E010E" w:rsidRPr="007D7545" w:rsidRDefault="001E010E" w:rsidP="005D101E">
            <w:pPr>
              <w:rPr>
                <w:rFonts w:ascii="Times New Roman" w:hAnsi="Times New Roman"/>
                <w:color w:val="000000"/>
                <w:sz w:val="22"/>
                <w:szCs w:val="22"/>
                <w:lang w:val="sr-Latn-ME"/>
              </w:rPr>
            </w:pPr>
          </w:p>
        </w:tc>
      </w:tr>
      <w:tr w:rsidR="001E010E" w:rsidRPr="007D7545" w14:paraId="3DA00117" w14:textId="77777777" w:rsidTr="002D70E0">
        <w:tc>
          <w:tcPr>
            <w:tcW w:w="0" w:type="auto"/>
            <w:tcBorders>
              <w:top w:val="single" w:sz="4" w:space="0" w:color="000000"/>
              <w:left w:val="single" w:sz="4" w:space="0" w:color="000000"/>
              <w:bottom w:val="single" w:sz="4" w:space="0" w:color="000000"/>
              <w:right w:val="single" w:sz="4" w:space="0" w:color="000000"/>
            </w:tcBorders>
          </w:tcPr>
          <w:p w14:paraId="50633F30" w14:textId="0C6E6968" w:rsidR="001E010E" w:rsidRPr="007D7545" w:rsidRDefault="001E010E" w:rsidP="005D101E">
            <w:pPr>
              <w:ind w:left="106" w:right="59"/>
              <w:rPr>
                <w:rFonts w:ascii="Times New Roman" w:hAnsi="Times New Roman"/>
                <w:color w:val="000000"/>
                <w:sz w:val="22"/>
                <w:szCs w:val="22"/>
                <w:lang w:val="sr-Latn-ME"/>
              </w:rPr>
            </w:pPr>
            <w:r w:rsidRPr="007D7545">
              <w:rPr>
                <w:color w:val="000000"/>
                <w:sz w:val="22"/>
                <w:szCs w:val="22"/>
                <w:lang w:val="sr-Latn-ME"/>
              </w:rPr>
              <w:t>Klinički značajna krvarenja koja ni</w:t>
            </w:r>
            <w:r w:rsidR="00201D89" w:rsidRPr="007D7545">
              <w:rPr>
                <w:color w:val="000000"/>
                <w:sz w:val="22"/>
                <w:szCs w:val="22"/>
                <w:lang w:val="sr-Latn-ME"/>
              </w:rPr>
              <w:t>je</w:t>
            </w:r>
            <w:r w:rsidRPr="007D7545">
              <w:rPr>
                <w:color w:val="000000"/>
                <w:sz w:val="22"/>
                <w:szCs w:val="22"/>
                <w:lang w:val="sr-Latn-ME"/>
              </w:rPr>
              <w:t>su klasifikovana kao obilna</w:t>
            </w:r>
          </w:p>
        </w:tc>
        <w:tc>
          <w:tcPr>
            <w:tcW w:w="0" w:type="auto"/>
            <w:tcBorders>
              <w:top w:val="single" w:sz="4" w:space="0" w:color="000000"/>
              <w:left w:val="single" w:sz="4" w:space="0" w:color="000000"/>
              <w:bottom w:val="single" w:sz="4" w:space="0" w:color="000000"/>
              <w:right w:val="nil"/>
            </w:tcBorders>
          </w:tcPr>
          <w:p w14:paraId="0A7BF04E"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30 (2.7%)</w:t>
            </w:r>
          </w:p>
        </w:tc>
        <w:tc>
          <w:tcPr>
            <w:tcW w:w="0" w:type="auto"/>
            <w:tcBorders>
              <w:top w:val="single" w:sz="4" w:space="0" w:color="000000"/>
              <w:left w:val="nil"/>
              <w:bottom w:val="single" w:sz="4" w:space="0" w:color="000000"/>
              <w:right w:val="single" w:sz="4" w:space="0" w:color="000000"/>
            </w:tcBorders>
          </w:tcPr>
          <w:p w14:paraId="4FBE87F9"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5B7338AB"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22 (2.0%)</w:t>
            </w:r>
          </w:p>
        </w:tc>
        <w:tc>
          <w:tcPr>
            <w:tcW w:w="0" w:type="auto"/>
            <w:tcBorders>
              <w:top w:val="single" w:sz="4" w:space="0" w:color="000000"/>
              <w:left w:val="nil"/>
              <w:bottom w:val="single" w:sz="4" w:space="0" w:color="000000"/>
              <w:right w:val="single" w:sz="4" w:space="0" w:color="000000"/>
            </w:tcBorders>
          </w:tcPr>
          <w:p w14:paraId="6E51D076" w14:textId="77777777" w:rsidR="001E010E" w:rsidRPr="007D7545" w:rsidRDefault="001E010E" w:rsidP="005D101E">
            <w:pPr>
              <w:rPr>
                <w:rFonts w:ascii="Times New Roman" w:hAnsi="Times New Roman"/>
                <w:color w:val="000000"/>
                <w:sz w:val="22"/>
                <w:szCs w:val="22"/>
                <w:lang w:val="sr-Latn-ME"/>
              </w:rPr>
            </w:pPr>
          </w:p>
        </w:tc>
        <w:tc>
          <w:tcPr>
            <w:tcW w:w="0" w:type="auto"/>
            <w:tcBorders>
              <w:top w:val="single" w:sz="4" w:space="0" w:color="000000"/>
              <w:left w:val="single" w:sz="4" w:space="0" w:color="000000"/>
              <w:bottom w:val="single" w:sz="4" w:space="0" w:color="000000"/>
              <w:right w:val="nil"/>
            </w:tcBorders>
          </w:tcPr>
          <w:p w14:paraId="53B71EA0"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20 (1.8%)</w:t>
            </w:r>
          </w:p>
        </w:tc>
        <w:tc>
          <w:tcPr>
            <w:tcW w:w="0" w:type="auto"/>
            <w:tcBorders>
              <w:top w:val="single" w:sz="4" w:space="0" w:color="000000"/>
              <w:left w:val="nil"/>
              <w:bottom w:val="single" w:sz="4" w:space="0" w:color="000000"/>
              <w:right w:val="single" w:sz="4" w:space="0" w:color="000000"/>
            </w:tcBorders>
          </w:tcPr>
          <w:p w14:paraId="331EBF5C" w14:textId="77777777" w:rsidR="001E010E" w:rsidRPr="007D7545" w:rsidRDefault="001E010E" w:rsidP="005D101E">
            <w:pPr>
              <w:rPr>
                <w:rFonts w:ascii="Times New Roman" w:hAnsi="Times New Roman"/>
                <w:color w:val="000000"/>
                <w:sz w:val="22"/>
                <w:szCs w:val="22"/>
                <w:lang w:val="sr-Latn-ME"/>
              </w:rPr>
            </w:pPr>
          </w:p>
        </w:tc>
      </w:tr>
      <w:tr w:rsidR="001E010E" w:rsidRPr="007D7545" w14:paraId="47D295FD" w14:textId="77777777" w:rsidTr="002D70E0">
        <w:tc>
          <w:tcPr>
            <w:tcW w:w="0" w:type="auto"/>
            <w:tcBorders>
              <w:top w:val="single" w:sz="4" w:space="0" w:color="000000"/>
              <w:left w:val="single" w:sz="4" w:space="0" w:color="000000"/>
              <w:bottom w:val="single" w:sz="4" w:space="0" w:color="000000"/>
              <w:right w:val="single" w:sz="4" w:space="0" w:color="000000"/>
            </w:tcBorders>
          </w:tcPr>
          <w:p w14:paraId="3E56B2F0"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 xml:space="preserve">Simptomatska rekurentna VTE ili obilna krvarenja (ukupna klinička </w:t>
            </w:r>
          </w:p>
          <w:p w14:paraId="1F1B6407"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korist)</w:t>
            </w:r>
          </w:p>
        </w:tc>
        <w:tc>
          <w:tcPr>
            <w:tcW w:w="0" w:type="auto"/>
            <w:tcBorders>
              <w:top w:val="single" w:sz="4" w:space="0" w:color="000000"/>
              <w:left w:val="single" w:sz="4" w:space="0" w:color="000000"/>
              <w:bottom w:val="single" w:sz="4" w:space="0" w:color="000000"/>
              <w:right w:val="nil"/>
            </w:tcBorders>
          </w:tcPr>
          <w:p w14:paraId="78D914EA"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23 (2,1%)</w:t>
            </w:r>
            <w:r w:rsidRPr="007D7545">
              <w:rPr>
                <w:color w:val="000000"/>
                <w:sz w:val="22"/>
                <w:szCs w:val="22"/>
                <w:vertAlign w:val="superscript"/>
                <w:lang w:val="sr-Latn-ME"/>
              </w:rPr>
              <w:t>+</w:t>
            </w:r>
          </w:p>
        </w:tc>
        <w:tc>
          <w:tcPr>
            <w:tcW w:w="0" w:type="auto"/>
            <w:tcBorders>
              <w:top w:val="single" w:sz="4" w:space="0" w:color="000000"/>
              <w:left w:val="nil"/>
              <w:bottom w:val="single" w:sz="4" w:space="0" w:color="000000"/>
              <w:right w:val="single" w:sz="4" w:space="0" w:color="000000"/>
            </w:tcBorders>
          </w:tcPr>
          <w:p w14:paraId="3B0453F0" w14:textId="77777777" w:rsidR="001E010E" w:rsidRPr="007D7545" w:rsidRDefault="001E010E" w:rsidP="005D101E">
            <w:pPr>
              <w:rPr>
                <w:rFonts w:ascii="Times New Roman" w:hAnsi="Times New Roman"/>
                <w:color w:val="000000"/>
                <w:sz w:val="22"/>
                <w:szCs w:val="22"/>
                <w:lang w:val="sr-Latn-ME"/>
              </w:rPr>
            </w:pPr>
          </w:p>
        </w:tc>
        <w:tc>
          <w:tcPr>
            <w:tcW w:w="0" w:type="auto"/>
            <w:gridSpan w:val="2"/>
            <w:tcBorders>
              <w:top w:val="single" w:sz="4" w:space="0" w:color="000000"/>
              <w:left w:val="single" w:sz="4" w:space="0" w:color="000000"/>
              <w:bottom w:val="single" w:sz="4" w:space="0" w:color="000000"/>
              <w:right w:val="single" w:sz="4" w:space="0" w:color="000000"/>
            </w:tcBorders>
          </w:tcPr>
          <w:p w14:paraId="3014ECA4" w14:textId="77777777" w:rsidR="001E010E" w:rsidRPr="007D7545" w:rsidRDefault="001E010E" w:rsidP="005D101E">
            <w:pPr>
              <w:ind w:left="106"/>
              <w:rPr>
                <w:rFonts w:ascii="Times New Roman" w:hAnsi="Times New Roman"/>
                <w:color w:val="000000"/>
                <w:sz w:val="22"/>
                <w:szCs w:val="22"/>
                <w:lang w:val="sr-Latn-ME"/>
              </w:rPr>
            </w:pPr>
            <w:r w:rsidRPr="007D7545">
              <w:rPr>
                <w:color w:val="000000"/>
                <w:sz w:val="22"/>
                <w:szCs w:val="22"/>
                <w:lang w:val="sr-Latn-ME"/>
              </w:rPr>
              <w:t>17 (1,5%)</w:t>
            </w:r>
            <w:r w:rsidRPr="007D7545">
              <w:rPr>
                <w:color w:val="000000"/>
                <w:sz w:val="22"/>
                <w:szCs w:val="22"/>
                <w:vertAlign w:val="superscript"/>
                <w:lang w:val="sr-Latn-ME"/>
              </w:rPr>
              <w:t>++</w:t>
            </w:r>
          </w:p>
        </w:tc>
        <w:tc>
          <w:tcPr>
            <w:tcW w:w="0" w:type="auto"/>
            <w:gridSpan w:val="2"/>
            <w:tcBorders>
              <w:top w:val="single" w:sz="4" w:space="0" w:color="000000"/>
              <w:left w:val="single" w:sz="4" w:space="0" w:color="000000"/>
              <w:bottom w:val="single" w:sz="4" w:space="0" w:color="000000"/>
              <w:right w:val="single" w:sz="4" w:space="0" w:color="000000"/>
            </w:tcBorders>
          </w:tcPr>
          <w:p w14:paraId="2DC709E0" w14:textId="77777777" w:rsidR="001E010E" w:rsidRPr="007D7545" w:rsidRDefault="001E010E" w:rsidP="005D101E">
            <w:pPr>
              <w:ind w:left="110"/>
              <w:rPr>
                <w:rFonts w:ascii="Times New Roman" w:hAnsi="Times New Roman"/>
                <w:color w:val="000000"/>
                <w:sz w:val="22"/>
                <w:szCs w:val="22"/>
                <w:lang w:val="sr-Latn-ME"/>
              </w:rPr>
            </w:pPr>
            <w:r w:rsidRPr="007D7545">
              <w:rPr>
                <w:color w:val="000000"/>
                <w:sz w:val="22"/>
                <w:szCs w:val="22"/>
                <w:lang w:val="sr-Latn-ME"/>
              </w:rPr>
              <w:t>53 (4,7%)</w:t>
            </w:r>
          </w:p>
        </w:tc>
      </w:tr>
    </w:tbl>
    <w:p w14:paraId="74D0ECEA" w14:textId="77777777" w:rsidR="001E010E" w:rsidRPr="002D70E0" w:rsidRDefault="001E010E" w:rsidP="005D101E">
      <w:pPr>
        <w:ind w:left="142" w:hanging="142"/>
        <w:jc w:val="both"/>
        <w:rPr>
          <w:color w:val="000000"/>
          <w:sz w:val="20"/>
          <w:szCs w:val="22"/>
          <w:lang w:val="sr-Latn-ME"/>
        </w:rPr>
      </w:pPr>
      <w:r w:rsidRPr="002D70E0">
        <w:rPr>
          <w:color w:val="000000"/>
          <w:sz w:val="20"/>
          <w:szCs w:val="22"/>
          <w:lang w:val="sr-Latn-ME"/>
        </w:rPr>
        <w:t>* p&lt;0,001 (superiornost) rivaroksaban u dozi od 20 mg jednom dnevno u odnosu na ASK u dozi od 100 mg jednom dnevno; HR=0,34 (0,20-0,59).</w:t>
      </w:r>
    </w:p>
    <w:p w14:paraId="0E1DBD54" w14:textId="77777777" w:rsidR="001E010E" w:rsidRPr="002D70E0" w:rsidRDefault="001E010E" w:rsidP="005D101E">
      <w:pPr>
        <w:ind w:left="284" w:hanging="284"/>
        <w:jc w:val="both"/>
        <w:rPr>
          <w:color w:val="000000"/>
          <w:sz w:val="20"/>
          <w:szCs w:val="22"/>
          <w:lang w:val="sr-Latn-ME"/>
        </w:rPr>
      </w:pPr>
      <w:r w:rsidRPr="002D70E0">
        <w:rPr>
          <w:color w:val="000000"/>
          <w:sz w:val="20"/>
          <w:szCs w:val="22"/>
          <w:lang w:val="sr-Latn-ME"/>
        </w:rPr>
        <w:t>** p&lt;0,001 (superiornost) rivaroksaban u dozi od 10 mg jednom dnevno u odnosu na ASK u dozi od 100 mg jednom dnevno; HR=0,26 (0,14-0,47).</w:t>
      </w:r>
    </w:p>
    <w:p w14:paraId="25F4FDC8" w14:textId="77777777" w:rsidR="001E010E" w:rsidRPr="002D70E0" w:rsidRDefault="001E010E" w:rsidP="005D101E">
      <w:pPr>
        <w:ind w:left="284" w:hanging="284"/>
        <w:jc w:val="both"/>
        <w:rPr>
          <w:color w:val="000000"/>
          <w:sz w:val="20"/>
          <w:szCs w:val="22"/>
          <w:lang w:val="sr-Latn-ME"/>
        </w:rPr>
      </w:pPr>
      <w:r w:rsidRPr="002D70E0">
        <w:rPr>
          <w:color w:val="000000"/>
          <w:sz w:val="20"/>
          <w:szCs w:val="22"/>
          <w:vertAlign w:val="superscript"/>
          <w:lang w:val="sr-Latn-ME"/>
        </w:rPr>
        <w:t xml:space="preserve">+ </w:t>
      </w:r>
      <w:r w:rsidRPr="002D70E0">
        <w:rPr>
          <w:color w:val="000000"/>
          <w:sz w:val="20"/>
          <w:szCs w:val="22"/>
          <w:lang w:val="sr-Latn-ME"/>
        </w:rPr>
        <w:t>rivaroksaban u dozi od 20 mg jednom dnevno u odnosu na ASK u dozi od 100 mg jednom dnevno; HR=0,44 (0,27-0,71), p=0,0009 (nominalno).</w:t>
      </w:r>
    </w:p>
    <w:p w14:paraId="42B8B953" w14:textId="5912EF9A" w:rsidR="001E010E" w:rsidRPr="002D70E0" w:rsidRDefault="001E010E" w:rsidP="005D101E">
      <w:pPr>
        <w:ind w:left="284" w:hanging="284"/>
        <w:jc w:val="both"/>
        <w:rPr>
          <w:color w:val="000000"/>
          <w:sz w:val="20"/>
          <w:szCs w:val="22"/>
          <w:lang w:val="sr-Latn-ME"/>
        </w:rPr>
      </w:pPr>
      <w:r w:rsidRPr="002D70E0">
        <w:rPr>
          <w:color w:val="000000"/>
          <w:sz w:val="20"/>
          <w:szCs w:val="22"/>
          <w:vertAlign w:val="superscript"/>
          <w:lang w:val="sr-Latn-ME"/>
        </w:rPr>
        <w:t>++</w:t>
      </w:r>
      <w:r w:rsidRPr="002D70E0">
        <w:rPr>
          <w:color w:val="000000"/>
          <w:sz w:val="20"/>
          <w:szCs w:val="22"/>
          <w:lang w:val="sr-Latn-ME"/>
        </w:rPr>
        <w:t xml:space="preserve"> rivaroksaban u dozi od 20 mg jednom dnevno u odnosu na ASK u dozi od 100 mg jednom dnevno;</w:t>
      </w:r>
      <w:r w:rsidR="00201D89" w:rsidRPr="002D70E0">
        <w:rPr>
          <w:color w:val="000000"/>
          <w:sz w:val="20"/>
          <w:szCs w:val="22"/>
          <w:lang w:val="sr-Latn-ME"/>
        </w:rPr>
        <w:t xml:space="preserve"> </w:t>
      </w:r>
      <w:r w:rsidRPr="002D70E0">
        <w:rPr>
          <w:color w:val="000000"/>
          <w:sz w:val="20"/>
          <w:szCs w:val="22"/>
          <w:lang w:val="sr-Latn-ME"/>
        </w:rPr>
        <w:t>HR=0,32 (0,18-0,55), p=0,0001 (nominalno).</w:t>
      </w:r>
    </w:p>
    <w:p w14:paraId="43AA6C8F" w14:textId="77777777" w:rsidR="001E010E" w:rsidRPr="007D7545" w:rsidRDefault="001E010E" w:rsidP="005D101E">
      <w:pPr>
        <w:jc w:val="both"/>
        <w:rPr>
          <w:color w:val="000000"/>
          <w:sz w:val="22"/>
          <w:szCs w:val="22"/>
          <w:lang w:val="sr-Latn-ME"/>
        </w:rPr>
      </w:pPr>
    </w:p>
    <w:p w14:paraId="7C1387C2" w14:textId="4744F804" w:rsidR="001E010E" w:rsidRPr="007D7545" w:rsidRDefault="001E010E" w:rsidP="005D101E">
      <w:pPr>
        <w:jc w:val="both"/>
        <w:rPr>
          <w:color w:val="000000"/>
          <w:sz w:val="22"/>
          <w:szCs w:val="22"/>
          <w:lang w:val="sr-Latn-ME"/>
        </w:rPr>
      </w:pPr>
      <w:r w:rsidRPr="007D7545">
        <w:rPr>
          <w:color w:val="000000"/>
          <w:sz w:val="22"/>
          <w:szCs w:val="22"/>
          <w:lang w:val="sr-Latn-ME"/>
        </w:rPr>
        <w:t xml:space="preserve">Dodatno uz studije faze III - </w:t>
      </w:r>
      <w:r w:rsidRPr="007D7545">
        <w:rPr>
          <w:i/>
          <w:color w:val="000000"/>
          <w:sz w:val="22"/>
          <w:szCs w:val="22"/>
          <w:lang w:val="sr-Latn-ME"/>
        </w:rPr>
        <w:t xml:space="preserve">EINSTEIN </w:t>
      </w:r>
      <w:r w:rsidRPr="007D7545">
        <w:rPr>
          <w:color w:val="000000"/>
          <w:sz w:val="22"/>
          <w:szCs w:val="22"/>
          <w:lang w:val="sr-Latn-ME"/>
        </w:rPr>
        <w:t>program, sprovedeno je i prospektivno, neintervencijsko, otvoreno ispitivanje kohorti (XALIA), sa centralnom oc</w:t>
      </w:r>
      <w:r w:rsidR="008525E5" w:rsidRPr="007D7545">
        <w:rPr>
          <w:color w:val="000000"/>
          <w:sz w:val="22"/>
          <w:szCs w:val="22"/>
          <w:lang w:val="sr-Latn-ME"/>
        </w:rPr>
        <w:t>j</w:t>
      </w:r>
      <w:r w:rsidRPr="007D7545">
        <w:rPr>
          <w:color w:val="000000"/>
          <w:sz w:val="22"/>
          <w:szCs w:val="22"/>
          <w:lang w:val="sr-Latn-ME"/>
        </w:rPr>
        <w:t xml:space="preserve">enom ishoda koji su uključivali rekurentne VTE, obilna krvarenja i smrt. Bilo je uključeno 5142 pacijenta sa akutnom TDV kako bi se ispitala bezbjednost dugotrajne primjene rivaroksabana u odnosu na standardnu antikoagulantnu terapiju u kliničkoj praksi. </w:t>
      </w:r>
    </w:p>
    <w:p w14:paraId="144C0734" w14:textId="1CDFD954" w:rsidR="001E010E" w:rsidRPr="007D7545" w:rsidRDefault="001E010E" w:rsidP="005D101E">
      <w:pPr>
        <w:ind w:hanging="10"/>
        <w:jc w:val="both"/>
        <w:rPr>
          <w:color w:val="000000"/>
          <w:sz w:val="22"/>
          <w:szCs w:val="22"/>
          <w:lang w:val="sr-Latn-ME"/>
        </w:rPr>
      </w:pPr>
      <w:r w:rsidRPr="007D7545">
        <w:rPr>
          <w:color w:val="000000"/>
          <w:sz w:val="22"/>
          <w:szCs w:val="22"/>
          <w:lang w:val="sr-Latn-ME"/>
        </w:rPr>
        <w:t>Za rivaroksaban, stopa obilnih krvarenja je bila 0,7%, rekurentne VTE 1,4%, a smrtnosti usl</w:t>
      </w:r>
      <w:r w:rsidR="008525E5" w:rsidRPr="007D7545">
        <w:rPr>
          <w:color w:val="000000"/>
          <w:sz w:val="22"/>
          <w:szCs w:val="22"/>
          <w:lang w:val="sr-Latn-ME"/>
        </w:rPr>
        <w:t>j</w:t>
      </w:r>
      <w:r w:rsidRPr="007D7545">
        <w:rPr>
          <w:color w:val="000000"/>
          <w:sz w:val="22"/>
          <w:szCs w:val="22"/>
          <w:lang w:val="sr-Latn-ME"/>
        </w:rPr>
        <w:t xml:space="preserve">ed svih uzroka 0,5%. Bilo je razlika u početnim karakteristikama pacijenata, uključujući godine starosti, karcinom i poremećaj funkcije bubrega. Korišćena je unapred određena </w:t>
      </w:r>
      <w:r w:rsidRPr="007D7545">
        <w:rPr>
          <w:i/>
          <w:color w:val="000000"/>
          <w:sz w:val="22"/>
          <w:szCs w:val="22"/>
          <w:lang w:val="sr-Latn-ME"/>
        </w:rPr>
        <w:t xml:space="preserve">propensity score </w:t>
      </w:r>
      <w:r w:rsidRPr="007D7545">
        <w:rPr>
          <w:color w:val="000000"/>
          <w:sz w:val="22"/>
          <w:szCs w:val="22"/>
          <w:lang w:val="sr-Latn-ME"/>
        </w:rPr>
        <w:t xml:space="preserve">stratifikovana analiza u cilju uparivanja pacijenata prema sličnim početnim karakteristikama, ali rezidualni činioci (engl. </w:t>
      </w:r>
      <w:r w:rsidRPr="007D7545">
        <w:rPr>
          <w:i/>
          <w:color w:val="000000"/>
          <w:sz w:val="22"/>
          <w:szCs w:val="22"/>
          <w:lang w:val="sr-Latn-ME"/>
        </w:rPr>
        <w:t>residual confounding</w:t>
      </w:r>
      <w:r w:rsidRPr="007D7545">
        <w:rPr>
          <w:color w:val="000000"/>
          <w:sz w:val="22"/>
          <w:szCs w:val="22"/>
          <w:lang w:val="sr-Latn-ME"/>
        </w:rPr>
        <w:t>) mogu, uprkos tome, uticati na rezultate. Prilagođene vrijednosti HR za rivaroksaban i standardnu terapiju, bile su za obilna krvarenja 0,77 (95% CI 0,40-1,50), za ponovljene VTE 0,91 (95% CI 0,54-1,54), a za smrtnost zbog svih uzroka 0,51 (95% CI 0,24-1,07).</w:t>
      </w:r>
    </w:p>
    <w:p w14:paraId="43BD14C1" w14:textId="1368CD56" w:rsidR="001E010E" w:rsidRPr="007D7545" w:rsidRDefault="001E010E" w:rsidP="005D101E">
      <w:pPr>
        <w:ind w:hanging="10"/>
        <w:jc w:val="both"/>
        <w:rPr>
          <w:color w:val="000000"/>
          <w:sz w:val="22"/>
          <w:szCs w:val="22"/>
          <w:lang w:val="sr-Latn-ME"/>
        </w:rPr>
      </w:pPr>
      <w:r w:rsidRPr="007D7545">
        <w:rPr>
          <w:color w:val="000000"/>
          <w:sz w:val="22"/>
          <w:szCs w:val="22"/>
          <w:lang w:val="sr-Latn-ME"/>
        </w:rPr>
        <w:t>Ovi rezultati u kliničkoj praksi su u skladu sa ustanovljenim bezb</w:t>
      </w:r>
      <w:r w:rsidR="008525E5" w:rsidRPr="007D7545">
        <w:rPr>
          <w:color w:val="000000"/>
          <w:sz w:val="22"/>
          <w:szCs w:val="22"/>
          <w:lang w:val="sr-Latn-ME"/>
        </w:rPr>
        <w:t>j</w:t>
      </w:r>
      <w:r w:rsidRPr="007D7545">
        <w:rPr>
          <w:color w:val="000000"/>
          <w:sz w:val="22"/>
          <w:szCs w:val="22"/>
          <w:lang w:val="sr-Latn-ME"/>
        </w:rPr>
        <w:t>ednosnim profilom za ovu indikaciju.</w:t>
      </w:r>
    </w:p>
    <w:p w14:paraId="369A1411" w14:textId="657FEFDB" w:rsidR="003C17C5" w:rsidRPr="007D7545" w:rsidRDefault="003C17C5" w:rsidP="005D101E">
      <w:pPr>
        <w:ind w:hanging="10"/>
        <w:jc w:val="both"/>
        <w:rPr>
          <w:color w:val="000000"/>
          <w:sz w:val="22"/>
          <w:szCs w:val="22"/>
          <w:lang w:val="sr-Latn-ME"/>
        </w:rPr>
      </w:pPr>
    </w:p>
    <w:p w14:paraId="145AC496" w14:textId="77777777" w:rsidR="005528E4" w:rsidRPr="002D70E0" w:rsidRDefault="005528E4" w:rsidP="005D101E">
      <w:pPr>
        <w:ind w:hanging="11"/>
        <w:jc w:val="both"/>
        <w:rPr>
          <w:color w:val="000000"/>
          <w:sz w:val="22"/>
          <w:szCs w:val="22"/>
          <w:lang w:val="sr-Latn-ME" w:bidi="hr-HR"/>
        </w:rPr>
      </w:pPr>
      <w:r w:rsidRPr="002D70E0">
        <w:rPr>
          <w:color w:val="000000"/>
          <w:sz w:val="22"/>
          <w:szCs w:val="22"/>
          <w:lang w:val="sr-Latn-ME" w:bidi="hr-HR"/>
        </w:rPr>
        <w:t>U neintervencijskom ispitivanju nakon stavljanja lijeka u promet u više od 40 000 pacijenata bez karcinoma u anamnezi, iz četiri zemlje, rivaroksaban je primjenjivan za liječenje i prevenciju DVT-a i PE-a. Stopa događaja na 100 pacijent-godina za simptomatske/klinički uočljive VTE/tromboembolijske događaje koji su doveli do hospitalizacije kretala se u rasponu od 0,64 (95% CI 0,40 – 0,97) u Ujedinjenom Kraljevstvu do 2,30 (95% CI 2,11 – 2,51) u Njemačkoj. Stope događaja na 100 pacijent-godina za krvarenje koje je rezultiralo hospitalizacijom iznosile su 0,31 (95% CI 0,23 – 0,42) za intrakranijalno krvarenje, 0,89 (95% CI 0,67 – 1,17) za gastrointestinalno krvarenje, 0,44 (95% CI 0,26 – 0,74) za urogenitalno krvarenje i 0,41 (95% CI 0,31 - 0,54) za ostala krvarenja.</w:t>
      </w:r>
    </w:p>
    <w:p w14:paraId="79345A52" w14:textId="77777777" w:rsidR="005528E4" w:rsidRPr="002D70E0" w:rsidRDefault="005528E4" w:rsidP="005D101E">
      <w:pPr>
        <w:ind w:hanging="11"/>
        <w:jc w:val="both"/>
        <w:rPr>
          <w:color w:val="000000"/>
          <w:sz w:val="22"/>
          <w:szCs w:val="22"/>
          <w:lang w:val="sr-Latn-ME" w:bidi="hr-HR"/>
        </w:rPr>
      </w:pPr>
    </w:p>
    <w:p w14:paraId="47D2192A" w14:textId="77777777" w:rsidR="001E010E" w:rsidRPr="007D7545" w:rsidRDefault="001E010E" w:rsidP="005D101E">
      <w:pPr>
        <w:ind w:hanging="14"/>
        <w:jc w:val="both"/>
        <w:rPr>
          <w:color w:val="000000"/>
          <w:sz w:val="22"/>
          <w:szCs w:val="22"/>
          <w:u w:val="single"/>
          <w:lang w:val="sr-Latn-ME" w:bidi="hr-HR"/>
        </w:rPr>
      </w:pPr>
      <w:r w:rsidRPr="007D7545">
        <w:rPr>
          <w:color w:val="000000"/>
          <w:sz w:val="22"/>
          <w:szCs w:val="22"/>
          <w:u w:val="single"/>
          <w:lang w:val="sr-Latn-ME" w:bidi="hr-HR"/>
        </w:rPr>
        <w:t>Pacijenti sa visokorizičnim trostruko pozitivnim antifosfolipidnim sindromom</w:t>
      </w:r>
    </w:p>
    <w:p w14:paraId="621C2D0F" w14:textId="71E50C67" w:rsidR="001E010E" w:rsidRPr="007D7545" w:rsidRDefault="001E010E" w:rsidP="005D101E">
      <w:pPr>
        <w:ind w:hanging="14"/>
        <w:jc w:val="both"/>
        <w:rPr>
          <w:color w:val="000000"/>
          <w:sz w:val="22"/>
          <w:szCs w:val="22"/>
          <w:lang w:val="sr-Latn-ME"/>
        </w:rPr>
      </w:pPr>
      <w:r w:rsidRPr="007D7545">
        <w:rPr>
          <w:color w:val="000000"/>
          <w:sz w:val="22"/>
          <w:szCs w:val="22"/>
          <w:lang w:val="sr-Latn-ME"/>
        </w:rPr>
        <w:t>U randomizovanom, multicentričnom otvorenom ispitivanju sponzorisanom od strane ispitivača, sa sl</w:t>
      </w:r>
      <w:r w:rsidR="008525E5" w:rsidRPr="007D7545">
        <w:rPr>
          <w:color w:val="000000"/>
          <w:sz w:val="22"/>
          <w:szCs w:val="22"/>
          <w:lang w:val="sr-Latn-ME"/>
        </w:rPr>
        <w:t>ij</w:t>
      </w:r>
      <w:r w:rsidRPr="007D7545">
        <w:rPr>
          <w:color w:val="000000"/>
          <w:sz w:val="22"/>
          <w:szCs w:val="22"/>
          <w:lang w:val="sr-Latn-ME"/>
        </w:rPr>
        <w:t>epom proc</w:t>
      </w:r>
      <w:r w:rsidR="008525E5" w:rsidRPr="007D7545">
        <w:rPr>
          <w:color w:val="000000"/>
          <w:sz w:val="22"/>
          <w:szCs w:val="22"/>
          <w:lang w:val="sr-Latn-ME"/>
        </w:rPr>
        <w:t>j</w:t>
      </w:r>
      <w:r w:rsidRPr="007D7545">
        <w:rPr>
          <w:color w:val="000000"/>
          <w:sz w:val="22"/>
          <w:szCs w:val="22"/>
          <w:lang w:val="sr-Latn-ME"/>
        </w:rPr>
        <w:t>enom m</w:t>
      </w:r>
      <w:r w:rsidR="008525E5" w:rsidRPr="007D7545">
        <w:rPr>
          <w:color w:val="000000"/>
          <w:sz w:val="22"/>
          <w:szCs w:val="22"/>
          <w:lang w:val="sr-Latn-ME"/>
        </w:rPr>
        <w:t>j</w:t>
      </w:r>
      <w:r w:rsidRPr="007D7545">
        <w:rPr>
          <w:color w:val="000000"/>
          <w:sz w:val="22"/>
          <w:szCs w:val="22"/>
          <w:lang w:val="sr-Latn-ME"/>
        </w:rPr>
        <w:t>era ishoda, rivaroksaban je upoređivan sa varfarinom kod pacijenata koji u anamnezi imaju trombozu i kojima je dijagnostikovan antifosfolipidni sindrom, te imaju visok rizik od tromboembolijskih događaja (pozitivni na sva tri testa za antifosfolipidni sindrom: lupus antikoagulans, antikardiolipinska antit</w:t>
      </w:r>
      <w:r w:rsidR="00685DA7" w:rsidRPr="007D7545">
        <w:rPr>
          <w:color w:val="000000"/>
          <w:sz w:val="22"/>
          <w:szCs w:val="22"/>
          <w:lang w:val="sr-Latn-ME"/>
        </w:rPr>
        <w:t>ij</w:t>
      </w:r>
      <w:r w:rsidRPr="007D7545">
        <w:rPr>
          <w:color w:val="000000"/>
          <w:sz w:val="22"/>
          <w:szCs w:val="22"/>
          <w:lang w:val="sr-Latn-ME"/>
        </w:rPr>
        <w:t>ela i anti-beta2-glikoprotein-I antit</w:t>
      </w:r>
      <w:r w:rsidR="00685DA7" w:rsidRPr="007D7545">
        <w:rPr>
          <w:color w:val="000000"/>
          <w:sz w:val="22"/>
          <w:szCs w:val="22"/>
          <w:lang w:val="sr-Latn-ME"/>
        </w:rPr>
        <w:t>ij</w:t>
      </w:r>
      <w:r w:rsidRPr="007D7545">
        <w:rPr>
          <w:color w:val="000000"/>
          <w:sz w:val="22"/>
          <w:szCs w:val="22"/>
          <w:lang w:val="sr-Latn-ME"/>
        </w:rPr>
        <w:t>ela). Ispitivanje je nakon uključivanja 120 pacijenata završeno pr</w:t>
      </w:r>
      <w:r w:rsidR="00685DA7" w:rsidRPr="007D7545">
        <w:rPr>
          <w:color w:val="000000"/>
          <w:sz w:val="22"/>
          <w:szCs w:val="22"/>
          <w:lang w:val="sr-Latn-ME"/>
        </w:rPr>
        <w:t>ij</w:t>
      </w:r>
      <w:r w:rsidRPr="007D7545">
        <w:rPr>
          <w:color w:val="000000"/>
          <w:sz w:val="22"/>
          <w:szCs w:val="22"/>
          <w:lang w:val="sr-Latn-ME"/>
        </w:rPr>
        <w:t xml:space="preserve">evremeno zbog velikog broja događaja u grupi koja je primala rivaroksaban. Srednja vrijednost vremena praćenja iznosila je 569 dana. U grupu koja je primala 20 mg rivaroksabana randomizovano je 59 ispitanika (15 mg kod pacijenata sa klirensom kreatinina &lt;50 </w:t>
      </w:r>
      <w:r w:rsidR="00683FA1" w:rsidRPr="007D7545">
        <w:rPr>
          <w:color w:val="000000"/>
          <w:sz w:val="22"/>
          <w:szCs w:val="22"/>
          <w:lang w:val="sr-Latn-ME"/>
        </w:rPr>
        <w:t>ml</w:t>
      </w:r>
      <w:r w:rsidRPr="007D7545">
        <w:rPr>
          <w:color w:val="000000"/>
          <w:sz w:val="22"/>
          <w:szCs w:val="22"/>
          <w:lang w:val="sr-Latn-ME"/>
        </w:rPr>
        <w:t xml:space="preserve">/min),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w:t>
      </w:r>
      <w:r w:rsidRPr="007D7545">
        <w:rPr>
          <w:color w:val="000000"/>
          <w:sz w:val="22"/>
          <w:szCs w:val="22"/>
          <w:lang w:val="sr-Latn-ME"/>
        </w:rPr>
        <w:lastRenderedPageBreak/>
        <w:t>prijavljenih događaja. Kod 4 pacijenta (7%) iz grupe koja je primala rivaroksaban i 2 pacijenta (3 %) iz grupe koja je primala varfarin došlo je do obilnog krvarenja.</w:t>
      </w:r>
    </w:p>
    <w:p w14:paraId="6DF97941" w14:textId="77777777" w:rsidR="001E010E" w:rsidRPr="007D7545" w:rsidRDefault="001E010E" w:rsidP="005D101E">
      <w:pPr>
        <w:ind w:hanging="14"/>
        <w:jc w:val="both"/>
        <w:rPr>
          <w:color w:val="000000"/>
          <w:sz w:val="22"/>
          <w:szCs w:val="22"/>
          <w:u w:val="single"/>
          <w:lang w:val="sr-Latn-ME" w:bidi="hr-HR"/>
        </w:rPr>
      </w:pPr>
    </w:p>
    <w:p w14:paraId="16ADA688" w14:textId="77777777" w:rsidR="001E010E" w:rsidRPr="007D7545" w:rsidRDefault="001E010E" w:rsidP="005D101E">
      <w:pPr>
        <w:keepNext/>
        <w:keepLines/>
        <w:jc w:val="both"/>
        <w:outlineLvl w:val="1"/>
        <w:rPr>
          <w:color w:val="000000"/>
          <w:sz w:val="22"/>
          <w:szCs w:val="22"/>
          <w:u w:val="single" w:color="000000"/>
          <w:lang w:val="sr-Latn-ME"/>
        </w:rPr>
      </w:pPr>
      <w:r w:rsidRPr="007D7545">
        <w:rPr>
          <w:color w:val="000000"/>
          <w:sz w:val="22"/>
          <w:szCs w:val="22"/>
          <w:u w:val="single" w:color="000000"/>
          <w:lang w:val="sr-Latn-ME"/>
        </w:rPr>
        <w:t>Pedijatrijska populacija</w:t>
      </w:r>
    </w:p>
    <w:p w14:paraId="1EDA62E2" w14:textId="7A78888E" w:rsidR="001E010E" w:rsidRPr="007D7545" w:rsidRDefault="001E010E" w:rsidP="005D101E">
      <w:pPr>
        <w:ind w:hanging="10"/>
        <w:jc w:val="both"/>
        <w:rPr>
          <w:color w:val="000000"/>
          <w:sz w:val="22"/>
          <w:szCs w:val="22"/>
          <w:lang w:val="sr-Latn-ME"/>
        </w:rPr>
      </w:pPr>
      <w:r w:rsidRPr="007D7545">
        <w:rPr>
          <w:color w:val="000000"/>
          <w:sz w:val="22"/>
          <w:szCs w:val="22"/>
          <w:lang w:val="sr-Latn-ME"/>
        </w:rPr>
        <w:t>Evropska Agencija za ljekove je odobrila izostavljanje podnošenja rezultata ispitivanja sa rivaroksabanom u svim podgrupama pedijatrijske populacije za prevenciju tromboembolijskih događaja (</w:t>
      </w:r>
      <w:r w:rsidR="00955E5C" w:rsidRPr="007D7545">
        <w:rPr>
          <w:i/>
          <w:color w:val="000000"/>
          <w:sz w:val="22"/>
          <w:szCs w:val="22"/>
          <w:lang w:val="sr-Latn-ME"/>
        </w:rPr>
        <w:t>pogledati dio</w:t>
      </w:r>
      <w:r w:rsidRPr="007D7545">
        <w:rPr>
          <w:i/>
          <w:color w:val="000000"/>
          <w:sz w:val="22"/>
          <w:szCs w:val="22"/>
          <w:lang w:val="sr-Latn-ME"/>
        </w:rPr>
        <w:t xml:space="preserve"> 4.2 za informacije o upotrebi u pedijatriji</w:t>
      </w:r>
      <w:r w:rsidRPr="007D7545">
        <w:rPr>
          <w:color w:val="000000"/>
          <w:sz w:val="22"/>
          <w:szCs w:val="22"/>
          <w:lang w:val="sr-Latn-ME"/>
        </w:rPr>
        <w:t>).</w:t>
      </w:r>
    </w:p>
    <w:p w14:paraId="39C3E097" w14:textId="77777777" w:rsidR="001E010E" w:rsidRPr="007D7545" w:rsidRDefault="001E010E" w:rsidP="005D101E">
      <w:pPr>
        <w:rPr>
          <w:lang w:val="sr-Latn-ME"/>
        </w:rPr>
      </w:pPr>
    </w:p>
    <w:p w14:paraId="03ABB761" w14:textId="1CEFAE60" w:rsidR="0072020E" w:rsidRPr="007D7545" w:rsidRDefault="0072020E" w:rsidP="005D101E">
      <w:pPr>
        <w:tabs>
          <w:tab w:val="left" w:pos="540"/>
          <w:tab w:val="left" w:pos="569"/>
        </w:tabs>
        <w:jc w:val="both"/>
        <w:rPr>
          <w:b/>
          <w:bCs/>
          <w:sz w:val="22"/>
          <w:szCs w:val="22"/>
          <w:lang w:val="sr-Latn-ME"/>
        </w:rPr>
      </w:pPr>
      <w:r w:rsidRPr="007D7545">
        <w:rPr>
          <w:b/>
          <w:bCs/>
          <w:sz w:val="22"/>
          <w:szCs w:val="22"/>
          <w:lang w:val="sr-Latn-ME"/>
        </w:rPr>
        <w:t xml:space="preserve">5.2. </w:t>
      </w:r>
      <w:r w:rsidR="00480FB1" w:rsidRPr="007D7545">
        <w:rPr>
          <w:b/>
          <w:bCs/>
          <w:sz w:val="22"/>
          <w:szCs w:val="22"/>
          <w:lang w:val="sr-Latn-ME"/>
        </w:rPr>
        <w:tab/>
      </w:r>
      <w:r w:rsidRPr="007D7545">
        <w:rPr>
          <w:b/>
          <w:bCs/>
          <w:sz w:val="22"/>
          <w:szCs w:val="22"/>
          <w:lang w:val="sr-Latn-ME"/>
        </w:rPr>
        <w:t>Farmakokinetički podaci</w:t>
      </w:r>
      <w:r w:rsidR="003A7059" w:rsidRPr="007D7545">
        <w:rPr>
          <w:b/>
          <w:bCs/>
          <w:sz w:val="22"/>
          <w:szCs w:val="22"/>
          <w:lang w:val="sr-Latn-ME"/>
        </w:rPr>
        <w:t xml:space="preserve"> </w:t>
      </w:r>
    </w:p>
    <w:p w14:paraId="32015F62" w14:textId="77777777" w:rsidR="001A73C4" w:rsidRPr="007D7545" w:rsidRDefault="001A73C4" w:rsidP="005D101E">
      <w:pPr>
        <w:tabs>
          <w:tab w:val="left" w:pos="540"/>
          <w:tab w:val="left" w:pos="569"/>
        </w:tabs>
        <w:jc w:val="both"/>
        <w:rPr>
          <w:b/>
          <w:bCs/>
          <w:sz w:val="22"/>
          <w:szCs w:val="22"/>
          <w:lang w:val="sr-Latn-ME"/>
        </w:rPr>
      </w:pPr>
    </w:p>
    <w:p w14:paraId="22A21B47" w14:textId="77777777" w:rsidR="001E010E" w:rsidRPr="007D7545" w:rsidRDefault="001E010E" w:rsidP="005D101E">
      <w:pPr>
        <w:keepNext/>
        <w:keepLines/>
        <w:ind w:hanging="10"/>
        <w:jc w:val="both"/>
        <w:outlineLvl w:val="1"/>
        <w:rPr>
          <w:color w:val="000000"/>
          <w:sz w:val="22"/>
          <w:szCs w:val="22"/>
          <w:u w:val="single" w:color="000000"/>
          <w:lang w:val="sr-Latn-ME"/>
        </w:rPr>
      </w:pPr>
      <w:r w:rsidRPr="007D7545">
        <w:rPr>
          <w:color w:val="000000"/>
          <w:sz w:val="22"/>
          <w:szCs w:val="22"/>
          <w:u w:val="single" w:color="000000"/>
          <w:lang w:val="sr-Latn-ME"/>
        </w:rPr>
        <w:t>Resorpcija</w:t>
      </w:r>
    </w:p>
    <w:p w14:paraId="3FFD42D1" w14:textId="56257F86" w:rsidR="001E010E" w:rsidRPr="007D7545" w:rsidRDefault="001E010E" w:rsidP="005D101E">
      <w:pPr>
        <w:ind w:hanging="10"/>
        <w:jc w:val="both"/>
        <w:rPr>
          <w:color w:val="000000"/>
          <w:sz w:val="22"/>
          <w:szCs w:val="22"/>
          <w:lang w:val="sr-Latn-ME"/>
        </w:rPr>
      </w:pPr>
      <w:r w:rsidRPr="007D7545">
        <w:rPr>
          <w:color w:val="000000"/>
          <w:sz w:val="22"/>
          <w:szCs w:val="22"/>
          <w:lang w:val="sr-Latn-ME"/>
        </w:rPr>
        <w:t>Rivaroksaban se brzo resorbuje sa maksimalnom koncentracijom (C</w:t>
      </w:r>
      <w:r w:rsidRPr="007D7545">
        <w:rPr>
          <w:color w:val="000000"/>
          <w:sz w:val="22"/>
          <w:szCs w:val="22"/>
          <w:vertAlign w:val="subscript"/>
          <w:lang w:val="sr-Latn-ME"/>
        </w:rPr>
        <w:t>max</w:t>
      </w:r>
      <w:r w:rsidRPr="007D7545">
        <w:rPr>
          <w:color w:val="000000"/>
          <w:sz w:val="22"/>
          <w:szCs w:val="22"/>
          <w:lang w:val="sr-Latn-ME"/>
        </w:rPr>
        <w:t>) koja se postiže 2-4 sata posl</w:t>
      </w:r>
      <w:r w:rsidR="00685DA7" w:rsidRPr="007D7545">
        <w:rPr>
          <w:color w:val="000000"/>
          <w:sz w:val="22"/>
          <w:szCs w:val="22"/>
          <w:lang w:val="sr-Latn-ME"/>
        </w:rPr>
        <w:t>ij</w:t>
      </w:r>
      <w:r w:rsidRPr="007D7545">
        <w:rPr>
          <w:color w:val="000000"/>
          <w:sz w:val="22"/>
          <w:szCs w:val="22"/>
          <w:lang w:val="sr-Latn-ME"/>
        </w:rPr>
        <w:t xml:space="preserve">e uzimanja tablete. </w:t>
      </w:r>
    </w:p>
    <w:p w14:paraId="56E2EE74" w14:textId="77777777" w:rsidR="00685DA7" w:rsidRPr="007D7545" w:rsidRDefault="00685DA7" w:rsidP="005D101E">
      <w:pPr>
        <w:ind w:hanging="10"/>
        <w:jc w:val="both"/>
        <w:rPr>
          <w:color w:val="000000"/>
          <w:sz w:val="22"/>
          <w:szCs w:val="22"/>
          <w:lang w:val="sr-Latn-ME"/>
        </w:rPr>
      </w:pPr>
    </w:p>
    <w:p w14:paraId="382BD79E" w14:textId="13538950" w:rsidR="00685DA7" w:rsidRPr="007D7545" w:rsidRDefault="001E010E" w:rsidP="005D101E">
      <w:pPr>
        <w:ind w:hanging="10"/>
        <w:jc w:val="both"/>
        <w:rPr>
          <w:color w:val="000000"/>
          <w:sz w:val="22"/>
          <w:szCs w:val="22"/>
          <w:lang w:val="sr-Latn-ME"/>
        </w:rPr>
      </w:pPr>
      <w:r w:rsidRPr="007D7545">
        <w:rPr>
          <w:color w:val="000000"/>
          <w:sz w:val="22"/>
          <w:szCs w:val="22"/>
          <w:lang w:val="sr-Latn-ME"/>
        </w:rPr>
        <w:t>Resorpcija rivaroksabana nakon oralne primjene je skoro potpuna, a oralna bioraspoloživost je velika (80-100%) za dozu od 2,5 mg i 10 mg, bez obzira na uslove - natašte/posl</w:t>
      </w:r>
      <w:r w:rsidR="00685DA7" w:rsidRPr="007D7545">
        <w:rPr>
          <w:color w:val="000000"/>
          <w:sz w:val="22"/>
          <w:szCs w:val="22"/>
          <w:lang w:val="sr-Latn-ME"/>
        </w:rPr>
        <w:t>ij</w:t>
      </w:r>
      <w:r w:rsidRPr="007D7545">
        <w:rPr>
          <w:color w:val="000000"/>
          <w:sz w:val="22"/>
          <w:szCs w:val="22"/>
          <w:lang w:val="sr-Latn-ME"/>
        </w:rPr>
        <w:t>e obroka. Uzimanje lijeka sa hranom ne utiče na vrijednost PIK ili C</w:t>
      </w:r>
      <w:r w:rsidRPr="007D7545">
        <w:rPr>
          <w:color w:val="000000"/>
          <w:sz w:val="22"/>
          <w:szCs w:val="22"/>
          <w:vertAlign w:val="subscript"/>
          <w:lang w:val="sr-Latn-ME"/>
        </w:rPr>
        <w:t xml:space="preserve">max  </w:t>
      </w:r>
      <w:r w:rsidRPr="007D7545">
        <w:rPr>
          <w:color w:val="000000"/>
          <w:sz w:val="22"/>
          <w:szCs w:val="22"/>
          <w:lang w:val="sr-Latn-ME"/>
        </w:rPr>
        <w:t xml:space="preserve">rivaroksabana u dozi od 2,5 mg i 10 mg. Rivaroksaban tablete od 2,5 mg i 10 mg mogu se uzeti uz obrok ili nezavisno od njega. </w:t>
      </w:r>
    </w:p>
    <w:p w14:paraId="49BE0E04" w14:textId="77777777" w:rsidR="00685DA7" w:rsidRPr="007D7545" w:rsidRDefault="00685DA7" w:rsidP="005D101E">
      <w:pPr>
        <w:ind w:hanging="10"/>
        <w:jc w:val="both"/>
        <w:rPr>
          <w:color w:val="000000"/>
          <w:sz w:val="22"/>
          <w:szCs w:val="22"/>
          <w:lang w:val="sr-Latn-ME"/>
        </w:rPr>
      </w:pPr>
    </w:p>
    <w:p w14:paraId="71F92576" w14:textId="07785604" w:rsidR="001E010E" w:rsidRPr="007D7545" w:rsidRDefault="001E010E" w:rsidP="005D101E">
      <w:pPr>
        <w:ind w:hanging="10"/>
        <w:jc w:val="both"/>
        <w:rPr>
          <w:color w:val="000000"/>
          <w:sz w:val="22"/>
          <w:szCs w:val="22"/>
          <w:lang w:val="sr-Latn-ME"/>
        </w:rPr>
      </w:pPr>
      <w:r w:rsidRPr="007D7545">
        <w:rPr>
          <w:color w:val="000000"/>
          <w:sz w:val="22"/>
          <w:szCs w:val="22"/>
          <w:lang w:val="sr-Latn-ME"/>
        </w:rPr>
        <w:t>Farmakokinetika rivaroksabana je približno linearna u dozama do oko 15 mg, jednom dnevno. U većim dozama, resorpcija rivaroksabana je ograničena brzinom rastvaranja tablete, sa smanjenom bioraspoloživošću i smanjenjem brzine resorpcije sa povećanjem doze. Ovo je više izraženo kada se lijek uzima natašte nego kada se uzima posl</w:t>
      </w:r>
      <w:r w:rsidR="00685DA7" w:rsidRPr="007D7545">
        <w:rPr>
          <w:color w:val="000000"/>
          <w:sz w:val="22"/>
          <w:szCs w:val="22"/>
          <w:lang w:val="sr-Latn-ME"/>
        </w:rPr>
        <w:t>ij</w:t>
      </w:r>
      <w:r w:rsidRPr="007D7545">
        <w:rPr>
          <w:color w:val="000000"/>
          <w:sz w:val="22"/>
          <w:szCs w:val="22"/>
          <w:lang w:val="sr-Latn-ME"/>
        </w:rPr>
        <w:t>e obroka. Varijabilnost farmakokinetike rivaroksabana je srednje izražena, sa interindividualnom varijabilnošću (CV%) u opsegu od 30% do 40%, osim na dan hirurške intervencije i sl</w:t>
      </w:r>
      <w:r w:rsidR="00685DA7" w:rsidRPr="007D7545">
        <w:rPr>
          <w:color w:val="000000"/>
          <w:sz w:val="22"/>
          <w:szCs w:val="22"/>
          <w:lang w:val="sr-Latn-ME"/>
        </w:rPr>
        <w:t>j</w:t>
      </w:r>
      <w:r w:rsidRPr="007D7545">
        <w:rPr>
          <w:color w:val="000000"/>
          <w:sz w:val="22"/>
          <w:szCs w:val="22"/>
          <w:lang w:val="sr-Latn-ME"/>
        </w:rPr>
        <w:t>edećeg dana, kada je varijabilnost izloženosti lijeku velika (70%).</w:t>
      </w:r>
    </w:p>
    <w:p w14:paraId="4ECEC886" w14:textId="77777777" w:rsidR="00685DA7" w:rsidRPr="007D7545" w:rsidRDefault="00685DA7" w:rsidP="005D101E">
      <w:pPr>
        <w:ind w:hanging="10"/>
        <w:jc w:val="both"/>
        <w:rPr>
          <w:color w:val="000000"/>
          <w:sz w:val="22"/>
          <w:szCs w:val="22"/>
          <w:lang w:val="sr-Latn-ME"/>
        </w:rPr>
      </w:pPr>
    </w:p>
    <w:p w14:paraId="7E1F2264" w14:textId="3567AF98" w:rsidR="001E010E" w:rsidRPr="007D7545" w:rsidRDefault="001E010E" w:rsidP="005D101E">
      <w:pPr>
        <w:ind w:hanging="10"/>
        <w:jc w:val="both"/>
        <w:rPr>
          <w:color w:val="000000"/>
          <w:sz w:val="22"/>
          <w:szCs w:val="22"/>
          <w:lang w:val="sr-Latn-ME"/>
        </w:rPr>
      </w:pPr>
      <w:r w:rsidRPr="007D7545">
        <w:rPr>
          <w:color w:val="000000"/>
          <w:sz w:val="22"/>
          <w:szCs w:val="22"/>
          <w:lang w:val="sr-Latn-ME"/>
        </w:rPr>
        <w:t>Resorpcija rivaroksabana zavisi od mjesta njegovog oslobađanja u gastrointestinalnom traktu. Smanjenje od 29% i 56% srednje PIK vrijednosti, odnosno vrijednosti C</w:t>
      </w:r>
      <w:r w:rsidRPr="007D7545">
        <w:rPr>
          <w:color w:val="000000"/>
          <w:sz w:val="22"/>
          <w:szCs w:val="22"/>
          <w:vertAlign w:val="subscript"/>
          <w:lang w:val="sr-Latn-ME"/>
        </w:rPr>
        <w:t xml:space="preserve">max </w:t>
      </w:r>
      <w:r w:rsidR="00685DA7" w:rsidRPr="007D7545">
        <w:rPr>
          <w:color w:val="000000"/>
          <w:sz w:val="22"/>
          <w:szCs w:val="22"/>
          <w:lang w:val="sr-Latn-ME"/>
        </w:rPr>
        <w:t xml:space="preserve"> </w:t>
      </w:r>
      <w:r w:rsidRPr="007D7545">
        <w:rPr>
          <w:color w:val="000000"/>
          <w:sz w:val="22"/>
          <w:szCs w:val="22"/>
          <w:lang w:val="sr-Latn-ME"/>
        </w:rPr>
        <w:t>je uočeno u poređenju tablete i rivoraksaban granula koje se oslobađaju u proksimalnom d</w:t>
      </w:r>
      <w:r w:rsidR="00685DA7" w:rsidRPr="007D7545">
        <w:rPr>
          <w:color w:val="000000"/>
          <w:sz w:val="22"/>
          <w:szCs w:val="22"/>
          <w:lang w:val="sr-Latn-ME"/>
        </w:rPr>
        <w:t>ij</w:t>
      </w:r>
      <w:r w:rsidRPr="007D7545">
        <w:rPr>
          <w:color w:val="000000"/>
          <w:sz w:val="22"/>
          <w:szCs w:val="22"/>
          <w:lang w:val="sr-Latn-ME"/>
        </w:rPr>
        <w:t>elu tankog crijeva. Izloženost je dalje smanjena kada se rivoraksaban oslobađa u distalnom d</w:t>
      </w:r>
      <w:r w:rsidR="00685DA7" w:rsidRPr="007D7545">
        <w:rPr>
          <w:color w:val="000000"/>
          <w:sz w:val="22"/>
          <w:szCs w:val="22"/>
          <w:lang w:val="sr-Latn-ME"/>
        </w:rPr>
        <w:t>ij</w:t>
      </w:r>
      <w:r w:rsidRPr="007D7545">
        <w:rPr>
          <w:color w:val="000000"/>
          <w:sz w:val="22"/>
          <w:szCs w:val="22"/>
          <w:lang w:val="sr-Latn-ME"/>
        </w:rPr>
        <w:t>elu tankog crijeva ili u početnom d</w:t>
      </w:r>
      <w:r w:rsidR="00685DA7" w:rsidRPr="007D7545">
        <w:rPr>
          <w:color w:val="000000"/>
          <w:sz w:val="22"/>
          <w:szCs w:val="22"/>
          <w:lang w:val="sr-Latn-ME"/>
        </w:rPr>
        <w:t>ij</w:t>
      </w:r>
      <w:r w:rsidRPr="007D7545">
        <w:rPr>
          <w:color w:val="000000"/>
          <w:sz w:val="22"/>
          <w:szCs w:val="22"/>
          <w:lang w:val="sr-Latn-ME"/>
        </w:rPr>
        <w:t>elu kolona. Zbog toga, primjenu rivaroksabana distalno od želuca, treba izbjegavati, jer to vodi smanjenoj resorpciji i smanjenoj izloženosti rivaroksabanu.</w:t>
      </w:r>
    </w:p>
    <w:p w14:paraId="09A41977" w14:textId="77777777" w:rsidR="00685DA7" w:rsidRPr="007D7545" w:rsidRDefault="00685DA7" w:rsidP="005D101E">
      <w:pPr>
        <w:ind w:hanging="10"/>
        <w:jc w:val="both"/>
        <w:rPr>
          <w:color w:val="000000"/>
          <w:sz w:val="22"/>
          <w:szCs w:val="22"/>
          <w:lang w:val="sr-Latn-ME"/>
        </w:rPr>
      </w:pPr>
    </w:p>
    <w:p w14:paraId="0B77405B" w14:textId="467EC355" w:rsidR="001E010E" w:rsidRPr="007D7545" w:rsidRDefault="001E010E" w:rsidP="005D101E">
      <w:pPr>
        <w:ind w:hanging="10"/>
        <w:jc w:val="both"/>
        <w:rPr>
          <w:color w:val="000000"/>
          <w:sz w:val="22"/>
          <w:szCs w:val="22"/>
          <w:lang w:val="sr-Latn-ME"/>
        </w:rPr>
      </w:pPr>
      <w:r w:rsidRPr="007D7545">
        <w:rPr>
          <w:color w:val="000000"/>
          <w:sz w:val="22"/>
          <w:szCs w:val="22"/>
          <w:lang w:val="sr-Latn-ME"/>
        </w:rPr>
        <w:t>Vrijednosti parametara bioraspoloživosti (PIK i C</w:t>
      </w:r>
      <w:r w:rsidRPr="007D7545">
        <w:rPr>
          <w:color w:val="000000"/>
          <w:sz w:val="22"/>
          <w:szCs w:val="22"/>
          <w:vertAlign w:val="subscript"/>
          <w:lang w:val="sr-Latn-ME"/>
        </w:rPr>
        <w:t>max</w:t>
      </w:r>
      <w:r w:rsidRPr="007D7545">
        <w:rPr>
          <w:color w:val="000000"/>
          <w:sz w:val="22"/>
          <w:szCs w:val="22"/>
          <w:lang w:val="sr-Latn-ME"/>
        </w:rPr>
        <w:t>) bile su uporedive prilikom primjene 20 mg rivaroksabana uzetog oralno kao usitnjena tableta pomiješana sa kašom od jabuke ili suspendovanog u vodi i uzetog pomoću gastrične sonde, nakon čega je unijet tečni obrok, u odnosu na vrijednosti dobijene prilikom primjene c</w:t>
      </w:r>
      <w:r w:rsidR="00685DA7" w:rsidRPr="007D7545">
        <w:rPr>
          <w:color w:val="000000"/>
          <w:sz w:val="22"/>
          <w:szCs w:val="22"/>
          <w:lang w:val="sr-Latn-ME"/>
        </w:rPr>
        <w:t>ij</w:t>
      </w:r>
      <w:r w:rsidRPr="007D7545">
        <w:rPr>
          <w:color w:val="000000"/>
          <w:sz w:val="22"/>
          <w:szCs w:val="22"/>
          <w:lang w:val="sr-Latn-ME"/>
        </w:rPr>
        <w:t>ele tablete. Oslanjajući se na dozno-proporcionalni farmakokinetički profil rivaroksabana, rezultati bioraspoloživosti iz ove studije se v</w:t>
      </w:r>
      <w:r w:rsidR="00685DA7" w:rsidRPr="007D7545">
        <w:rPr>
          <w:color w:val="000000"/>
          <w:sz w:val="22"/>
          <w:szCs w:val="22"/>
          <w:lang w:val="sr-Latn-ME"/>
        </w:rPr>
        <w:t>j</w:t>
      </w:r>
      <w:r w:rsidRPr="007D7545">
        <w:rPr>
          <w:color w:val="000000"/>
          <w:sz w:val="22"/>
          <w:szCs w:val="22"/>
          <w:lang w:val="sr-Latn-ME"/>
        </w:rPr>
        <w:t xml:space="preserve">erovatno mogu </w:t>
      </w:r>
      <w:r w:rsidR="00683FA1" w:rsidRPr="007D7545">
        <w:rPr>
          <w:color w:val="000000"/>
          <w:sz w:val="22"/>
          <w:szCs w:val="22"/>
          <w:lang w:val="sr-Latn-ME"/>
        </w:rPr>
        <w:t>prim</w:t>
      </w:r>
      <w:r w:rsidR="00685DA7" w:rsidRPr="007D7545">
        <w:rPr>
          <w:color w:val="000000"/>
          <w:sz w:val="22"/>
          <w:szCs w:val="22"/>
          <w:lang w:val="sr-Latn-ME"/>
        </w:rPr>
        <w:t>i</w:t>
      </w:r>
      <w:r w:rsidR="00683FA1" w:rsidRPr="007D7545">
        <w:rPr>
          <w:color w:val="000000"/>
          <w:sz w:val="22"/>
          <w:szCs w:val="22"/>
          <w:lang w:val="sr-Latn-ME"/>
        </w:rPr>
        <w:t>jeni</w:t>
      </w:r>
      <w:r w:rsidRPr="007D7545">
        <w:rPr>
          <w:color w:val="000000"/>
          <w:sz w:val="22"/>
          <w:szCs w:val="22"/>
          <w:lang w:val="sr-Latn-ME"/>
        </w:rPr>
        <w:t xml:space="preserve">ti i na manje doze rivaroksabana.  </w:t>
      </w:r>
    </w:p>
    <w:p w14:paraId="3E6375DA" w14:textId="77777777" w:rsidR="00685DA7" w:rsidRPr="007D7545" w:rsidRDefault="00685DA7" w:rsidP="005D101E">
      <w:pPr>
        <w:ind w:hanging="10"/>
        <w:jc w:val="both"/>
        <w:rPr>
          <w:color w:val="000000"/>
          <w:sz w:val="22"/>
          <w:szCs w:val="22"/>
          <w:lang w:val="sr-Latn-ME"/>
        </w:rPr>
      </w:pPr>
    </w:p>
    <w:p w14:paraId="78EC976E" w14:textId="77777777" w:rsidR="001E010E" w:rsidRPr="007D7545" w:rsidRDefault="001E010E" w:rsidP="005D101E">
      <w:pPr>
        <w:keepNext/>
        <w:keepLines/>
        <w:ind w:hanging="10"/>
        <w:jc w:val="both"/>
        <w:outlineLvl w:val="1"/>
        <w:rPr>
          <w:color w:val="000000"/>
          <w:sz w:val="22"/>
          <w:szCs w:val="22"/>
          <w:u w:val="single" w:color="000000"/>
          <w:lang w:val="sr-Latn-ME"/>
        </w:rPr>
      </w:pPr>
      <w:r w:rsidRPr="007D7545">
        <w:rPr>
          <w:color w:val="000000"/>
          <w:sz w:val="22"/>
          <w:szCs w:val="22"/>
          <w:u w:val="single" w:color="000000"/>
          <w:lang w:val="sr-Latn-ME"/>
        </w:rPr>
        <w:t>Distribucija</w:t>
      </w:r>
    </w:p>
    <w:p w14:paraId="277A55E4" w14:textId="1B4B6894" w:rsidR="001E010E" w:rsidRPr="007D7545" w:rsidRDefault="001E010E" w:rsidP="005D101E">
      <w:pPr>
        <w:ind w:hanging="10"/>
        <w:jc w:val="both"/>
        <w:rPr>
          <w:color w:val="000000"/>
          <w:sz w:val="22"/>
          <w:szCs w:val="22"/>
          <w:lang w:val="sr-Latn-ME"/>
        </w:rPr>
      </w:pPr>
      <w:r w:rsidRPr="007D7545">
        <w:rPr>
          <w:color w:val="000000"/>
          <w:sz w:val="22"/>
          <w:szCs w:val="22"/>
          <w:lang w:val="sr-Latn-ME"/>
        </w:rPr>
        <w:t>Stepen vezivanja za proteine plazme kod ljudi je veliki i dostiže približno 92-95%, sa serumskim albuminima kao glavnim prenosiocima. Volumen distribucije je srednje veličine, sa V</w:t>
      </w:r>
      <w:r w:rsidRPr="007D7545">
        <w:rPr>
          <w:color w:val="000000"/>
          <w:sz w:val="22"/>
          <w:szCs w:val="22"/>
          <w:vertAlign w:val="subscript"/>
          <w:lang w:val="sr-Latn-ME"/>
        </w:rPr>
        <w:t xml:space="preserve">SS </w:t>
      </w:r>
      <w:r w:rsidRPr="007D7545">
        <w:rPr>
          <w:color w:val="000000"/>
          <w:sz w:val="22"/>
          <w:szCs w:val="22"/>
          <w:lang w:val="sr-Latn-ME"/>
        </w:rPr>
        <w:t>od približno 50 litara.</w:t>
      </w:r>
    </w:p>
    <w:p w14:paraId="36F7B23C" w14:textId="77777777" w:rsidR="00685DA7" w:rsidRPr="007D7545" w:rsidRDefault="00685DA7" w:rsidP="005D101E">
      <w:pPr>
        <w:ind w:hanging="10"/>
        <w:jc w:val="both"/>
        <w:rPr>
          <w:color w:val="000000"/>
          <w:sz w:val="22"/>
          <w:szCs w:val="22"/>
          <w:lang w:val="sr-Latn-ME"/>
        </w:rPr>
      </w:pPr>
    </w:p>
    <w:p w14:paraId="1B3DDA48" w14:textId="77777777" w:rsidR="001E010E" w:rsidRPr="007D7545" w:rsidRDefault="001E010E" w:rsidP="005D101E">
      <w:pPr>
        <w:keepNext/>
        <w:keepLines/>
        <w:ind w:hanging="10"/>
        <w:jc w:val="both"/>
        <w:outlineLvl w:val="1"/>
        <w:rPr>
          <w:color w:val="000000"/>
          <w:sz w:val="22"/>
          <w:szCs w:val="22"/>
          <w:u w:val="single" w:color="000000"/>
          <w:lang w:val="sr-Latn-ME"/>
        </w:rPr>
      </w:pPr>
      <w:r w:rsidRPr="007D7545">
        <w:rPr>
          <w:color w:val="000000"/>
          <w:sz w:val="22"/>
          <w:szCs w:val="22"/>
          <w:u w:val="single" w:color="000000"/>
          <w:lang w:val="sr-Latn-ME"/>
        </w:rPr>
        <w:t>Biotransformacija i eliminacija</w:t>
      </w:r>
    </w:p>
    <w:p w14:paraId="2EEBB674" w14:textId="25F3DC1C" w:rsidR="001E010E" w:rsidRPr="007D7545" w:rsidRDefault="001E010E" w:rsidP="005D101E">
      <w:pPr>
        <w:ind w:hanging="10"/>
        <w:jc w:val="both"/>
        <w:rPr>
          <w:color w:val="000000"/>
          <w:sz w:val="22"/>
          <w:szCs w:val="22"/>
          <w:lang w:val="sr-Latn-ME"/>
        </w:rPr>
      </w:pPr>
      <w:r w:rsidRPr="007D7545">
        <w:rPr>
          <w:color w:val="000000"/>
          <w:sz w:val="22"/>
          <w:szCs w:val="22"/>
          <w:lang w:val="sr-Latn-ME"/>
        </w:rPr>
        <w:t>Približno 2/3 un</w:t>
      </w:r>
      <w:r w:rsidR="00685DA7" w:rsidRPr="007D7545">
        <w:rPr>
          <w:color w:val="000000"/>
          <w:sz w:val="22"/>
          <w:szCs w:val="22"/>
          <w:lang w:val="sr-Latn-ME"/>
        </w:rPr>
        <w:t>ij</w:t>
      </w:r>
      <w:r w:rsidRPr="007D7545">
        <w:rPr>
          <w:color w:val="000000"/>
          <w:sz w:val="22"/>
          <w:szCs w:val="22"/>
          <w:lang w:val="sr-Latn-ME"/>
        </w:rPr>
        <w:t>ete doze rivaroksabana podl</w:t>
      </w:r>
      <w:r w:rsidR="00685DA7" w:rsidRPr="007D7545">
        <w:rPr>
          <w:color w:val="000000"/>
          <w:sz w:val="22"/>
          <w:szCs w:val="22"/>
          <w:lang w:val="sr-Latn-ME"/>
        </w:rPr>
        <w:t>ij</w:t>
      </w:r>
      <w:r w:rsidRPr="007D7545">
        <w:rPr>
          <w:color w:val="000000"/>
          <w:sz w:val="22"/>
          <w:szCs w:val="22"/>
          <w:lang w:val="sr-Latn-ME"/>
        </w:rPr>
        <w:t>eže metaboličkoj razgradnji, a zatim se polovina nastalih metabolita eliminiše putem bubrega, a polovina putem fecesa. Preostala 1/3 un</w:t>
      </w:r>
      <w:r w:rsidR="00685DA7" w:rsidRPr="007D7545">
        <w:rPr>
          <w:color w:val="000000"/>
          <w:sz w:val="22"/>
          <w:szCs w:val="22"/>
          <w:lang w:val="sr-Latn-ME"/>
        </w:rPr>
        <w:t>ij</w:t>
      </w:r>
      <w:r w:rsidRPr="007D7545">
        <w:rPr>
          <w:color w:val="000000"/>
          <w:sz w:val="22"/>
          <w:szCs w:val="22"/>
          <w:lang w:val="sr-Latn-ME"/>
        </w:rPr>
        <w:t>ete doze lijeka izlučuje se direktno preko bubrega, u neizmenjenom aktivnom obliku koji se može naći u urinu, pretežno kao posl</w:t>
      </w:r>
      <w:r w:rsidR="00685DA7" w:rsidRPr="007D7545">
        <w:rPr>
          <w:color w:val="000000"/>
          <w:sz w:val="22"/>
          <w:szCs w:val="22"/>
          <w:lang w:val="sr-Latn-ME"/>
        </w:rPr>
        <w:t>j</w:t>
      </w:r>
      <w:r w:rsidRPr="007D7545">
        <w:rPr>
          <w:color w:val="000000"/>
          <w:sz w:val="22"/>
          <w:szCs w:val="22"/>
          <w:lang w:val="sr-Latn-ME"/>
        </w:rPr>
        <w:t>edica aktivne renalne sekrecije.</w:t>
      </w:r>
    </w:p>
    <w:p w14:paraId="23C33FC2" w14:textId="4C608685" w:rsidR="001E010E" w:rsidRPr="007D7545" w:rsidRDefault="001E010E" w:rsidP="005D101E">
      <w:pPr>
        <w:ind w:hanging="10"/>
        <w:jc w:val="both"/>
        <w:rPr>
          <w:color w:val="000000"/>
          <w:sz w:val="22"/>
          <w:szCs w:val="22"/>
          <w:lang w:val="sr-Latn-ME"/>
        </w:rPr>
      </w:pPr>
      <w:r w:rsidRPr="007D7545">
        <w:rPr>
          <w:color w:val="000000"/>
          <w:sz w:val="22"/>
          <w:szCs w:val="22"/>
          <w:lang w:val="sr-Latn-ME"/>
        </w:rPr>
        <w:t>Rivaroksaban se metaboliše preko CYP3A4, CYP2J2 i CYP-nezavisnih mehanizama. Oksidativna razgradnja morfolinonskog d</w:t>
      </w:r>
      <w:r w:rsidR="00685DA7" w:rsidRPr="007D7545">
        <w:rPr>
          <w:color w:val="000000"/>
          <w:sz w:val="22"/>
          <w:szCs w:val="22"/>
          <w:lang w:val="sr-Latn-ME"/>
        </w:rPr>
        <w:t>ij</w:t>
      </w:r>
      <w:r w:rsidRPr="007D7545">
        <w:rPr>
          <w:color w:val="000000"/>
          <w:sz w:val="22"/>
          <w:szCs w:val="22"/>
          <w:lang w:val="sr-Latn-ME"/>
        </w:rPr>
        <w:t xml:space="preserve">ela molekula i hidroliza amidnih veza predstavljaju glavne puteve biotransformacije. Prema rezultatima </w:t>
      </w:r>
      <w:r w:rsidRPr="007D7545">
        <w:rPr>
          <w:i/>
          <w:color w:val="000000"/>
          <w:sz w:val="22"/>
          <w:szCs w:val="22"/>
          <w:lang w:val="sr-Latn-ME"/>
        </w:rPr>
        <w:t xml:space="preserve">in vitro </w:t>
      </w:r>
      <w:r w:rsidRPr="007D7545">
        <w:rPr>
          <w:color w:val="000000"/>
          <w:sz w:val="22"/>
          <w:szCs w:val="22"/>
          <w:lang w:val="sr-Latn-ME"/>
        </w:rPr>
        <w:t xml:space="preserve">studija, rivaroksaban je supstrat za transportne proteine P-gp (engl. </w:t>
      </w:r>
      <w:r w:rsidRPr="007D7545">
        <w:rPr>
          <w:i/>
          <w:color w:val="000000"/>
          <w:sz w:val="22"/>
          <w:szCs w:val="22"/>
          <w:lang w:val="sr-Latn-ME"/>
        </w:rPr>
        <w:t>P-glycoprotein</w:t>
      </w:r>
      <w:r w:rsidRPr="007D7545">
        <w:rPr>
          <w:color w:val="000000"/>
          <w:sz w:val="22"/>
          <w:szCs w:val="22"/>
          <w:lang w:val="sr-Latn-ME"/>
        </w:rPr>
        <w:t xml:space="preserve">) i Bcrp (engl. </w:t>
      </w:r>
      <w:r w:rsidRPr="007D7545">
        <w:rPr>
          <w:i/>
          <w:color w:val="000000"/>
          <w:sz w:val="22"/>
          <w:szCs w:val="22"/>
          <w:lang w:val="sr-Latn-ME"/>
        </w:rPr>
        <w:t>Breast cancer resistance protein</w:t>
      </w:r>
      <w:r w:rsidRPr="007D7545">
        <w:rPr>
          <w:color w:val="000000"/>
          <w:sz w:val="22"/>
          <w:szCs w:val="22"/>
          <w:lang w:val="sr-Latn-ME"/>
        </w:rPr>
        <w:t>).</w:t>
      </w:r>
    </w:p>
    <w:p w14:paraId="1471B11F" w14:textId="08186C4C" w:rsidR="001E010E" w:rsidRPr="007D7545" w:rsidRDefault="001E010E" w:rsidP="005D101E">
      <w:pPr>
        <w:ind w:hanging="10"/>
        <w:jc w:val="both"/>
        <w:rPr>
          <w:color w:val="000000"/>
          <w:sz w:val="22"/>
          <w:szCs w:val="22"/>
          <w:lang w:val="sr-Latn-ME"/>
        </w:rPr>
      </w:pPr>
      <w:r w:rsidRPr="007D7545">
        <w:rPr>
          <w:color w:val="000000"/>
          <w:sz w:val="22"/>
          <w:szCs w:val="22"/>
          <w:lang w:val="sr-Latn-ME"/>
        </w:rPr>
        <w:t>Neizm</w:t>
      </w:r>
      <w:r w:rsidR="001D16BC" w:rsidRPr="007D7545">
        <w:rPr>
          <w:color w:val="000000"/>
          <w:sz w:val="22"/>
          <w:szCs w:val="22"/>
          <w:lang w:val="sr-Latn-ME"/>
        </w:rPr>
        <w:t>ij</w:t>
      </w:r>
      <w:r w:rsidRPr="007D7545">
        <w:rPr>
          <w:color w:val="000000"/>
          <w:sz w:val="22"/>
          <w:szCs w:val="22"/>
          <w:lang w:val="sr-Latn-ME"/>
        </w:rPr>
        <w:t xml:space="preserve">enjeni rivaroksaban je najznačajnije jedinjenje u plazmi, bez prisustva drugih glavnih ili aktivnih metabolita. Sa sistemskim (ukupnim) klirensom od približno 10 </w:t>
      </w:r>
      <w:r w:rsidR="001D16BC" w:rsidRPr="007D7545">
        <w:rPr>
          <w:color w:val="000000"/>
          <w:sz w:val="22"/>
          <w:szCs w:val="22"/>
          <w:lang w:val="sr-Latn-ME"/>
        </w:rPr>
        <w:t>l</w:t>
      </w:r>
      <w:r w:rsidRPr="007D7545">
        <w:rPr>
          <w:color w:val="000000"/>
          <w:sz w:val="22"/>
          <w:szCs w:val="22"/>
          <w:lang w:val="sr-Latn-ME"/>
        </w:rPr>
        <w:t>/h, rivaroksaban se može svrstati u ljekove sa malim klirensom. Posl</w:t>
      </w:r>
      <w:r w:rsidR="001D16BC" w:rsidRPr="007D7545">
        <w:rPr>
          <w:color w:val="000000"/>
          <w:sz w:val="22"/>
          <w:szCs w:val="22"/>
          <w:lang w:val="sr-Latn-ME"/>
        </w:rPr>
        <w:t>ij</w:t>
      </w:r>
      <w:r w:rsidRPr="007D7545">
        <w:rPr>
          <w:color w:val="000000"/>
          <w:sz w:val="22"/>
          <w:szCs w:val="22"/>
          <w:lang w:val="sr-Latn-ME"/>
        </w:rPr>
        <w:t xml:space="preserve">e intravenske primjene doze od 1 mg, poluvrijeme eliminacije iznosi </w:t>
      </w:r>
      <w:r w:rsidRPr="007D7545">
        <w:rPr>
          <w:color w:val="000000"/>
          <w:sz w:val="22"/>
          <w:szCs w:val="22"/>
          <w:lang w:val="sr-Latn-ME"/>
        </w:rPr>
        <w:lastRenderedPageBreak/>
        <w:t>4,5 sata. Nakon oralne primjene</w:t>
      </w:r>
      <w:r w:rsidR="001D16BC" w:rsidRPr="007D7545">
        <w:rPr>
          <w:color w:val="000000"/>
          <w:sz w:val="22"/>
          <w:szCs w:val="22"/>
          <w:lang w:val="sr-Latn-ME"/>
        </w:rPr>
        <w:t>,</w:t>
      </w:r>
      <w:r w:rsidRPr="007D7545">
        <w:rPr>
          <w:color w:val="000000"/>
          <w:sz w:val="22"/>
          <w:szCs w:val="22"/>
          <w:lang w:val="sr-Latn-ME"/>
        </w:rPr>
        <w:t xml:space="preserve"> eliminacija zavisi od brzine resorpcije lijeka. Eliminacija rivaroksabana iz plazme se odvija sa terminalnim poluvremenom eliminacije od 5 do 9 sati kod </w:t>
      </w:r>
      <w:r w:rsidR="00683FA1" w:rsidRPr="007D7545">
        <w:rPr>
          <w:color w:val="000000"/>
          <w:sz w:val="22"/>
          <w:szCs w:val="22"/>
          <w:lang w:val="sr-Latn-ME"/>
        </w:rPr>
        <w:t>ml</w:t>
      </w:r>
      <w:r w:rsidRPr="007D7545">
        <w:rPr>
          <w:color w:val="000000"/>
          <w:sz w:val="22"/>
          <w:szCs w:val="22"/>
          <w:lang w:val="sr-Latn-ME"/>
        </w:rPr>
        <w:t>ađih osoba i sa terminalnim poluvremenom eliminacije od 11 do 13 sati kod starijih.</w:t>
      </w:r>
    </w:p>
    <w:p w14:paraId="34E396AC" w14:textId="77777777" w:rsidR="00685DA7" w:rsidRPr="007D7545" w:rsidRDefault="00685DA7" w:rsidP="005D101E">
      <w:pPr>
        <w:ind w:hanging="11"/>
        <w:jc w:val="both"/>
        <w:rPr>
          <w:color w:val="000000"/>
          <w:sz w:val="22"/>
          <w:szCs w:val="22"/>
          <w:lang w:val="sr-Latn-ME"/>
        </w:rPr>
      </w:pPr>
    </w:p>
    <w:p w14:paraId="68A4BC37" w14:textId="7EC05E03" w:rsidR="001E010E" w:rsidRPr="007D7545" w:rsidRDefault="001E010E" w:rsidP="005D101E">
      <w:pPr>
        <w:ind w:hanging="11"/>
        <w:jc w:val="both"/>
        <w:rPr>
          <w:color w:val="000000"/>
          <w:sz w:val="22"/>
          <w:szCs w:val="22"/>
          <w:lang w:val="sr-Latn-ME"/>
        </w:rPr>
      </w:pPr>
      <w:r w:rsidRPr="007D7545">
        <w:rPr>
          <w:color w:val="000000"/>
          <w:sz w:val="22"/>
          <w:szCs w:val="22"/>
          <w:lang w:val="sr-Latn-ME"/>
        </w:rPr>
        <w:t>Posebne grupe pacijenata</w:t>
      </w:r>
    </w:p>
    <w:p w14:paraId="12D56E8A" w14:textId="77777777" w:rsidR="001E010E" w:rsidRPr="007D7545" w:rsidRDefault="001E010E" w:rsidP="005D101E">
      <w:pPr>
        <w:keepNext/>
        <w:keepLines/>
        <w:ind w:hanging="11"/>
        <w:jc w:val="both"/>
        <w:outlineLvl w:val="1"/>
        <w:rPr>
          <w:color w:val="000000"/>
          <w:sz w:val="22"/>
          <w:szCs w:val="22"/>
          <w:u w:val="single" w:color="000000"/>
          <w:lang w:val="sr-Latn-ME"/>
        </w:rPr>
      </w:pPr>
    </w:p>
    <w:p w14:paraId="20FE4E78" w14:textId="77777777" w:rsidR="001E010E" w:rsidRPr="007D7545" w:rsidRDefault="001E010E" w:rsidP="005D101E">
      <w:pPr>
        <w:keepNext/>
        <w:keepLines/>
        <w:ind w:hanging="11"/>
        <w:jc w:val="both"/>
        <w:outlineLvl w:val="2"/>
        <w:rPr>
          <w:i/>
          <w:color w:val="000000"/>
          <w:sz w:val="22"/>
          <w:szCs w:val="22"/>
          <w:u w:val="single" w:color="000000"/>
          <w:lang w:val="sr-Latn-ME"/>
        </w:rPr>
      </w:pPr>
      <w:r w:rsidRPr="007D7545">
        <w:rPr>
          <w:i/>
          <w:color w:val="000000"/>
          <w:sz w:val="22"/>
          <w:szCs w:val="22"/>
          <w:u w:val="single" w:color="000000"/>
          <w:lang w:val="sr-Latn-ME"/>
        </w:rPr>
        <w:t>Pol</w:t>
      </w:r>
    </w:p>
    <w:p w14:paraId="57151D1F" w14:textId="7E32CC3B" w:rsidR="001E010E" w:rsidRPr="007D7545" w:rsidRDefault="001E010E" w:rsidP="005D101E">
      <w:pPr>
        <w:ind w:hanging="10"/>
        <w:jc w:val="both"/>
        <w:rPr>
          <w:color w:val="000000"/>
          <w:sz w:val="22"/>
          <w:szCs w:val="22"/>
          <w:lang w:val="sr-Latn-ME"/>
        </w:rPr>
      </w:pPr>
      <w:r w:rsidRPr="007D7545">
        <w:rPr>
          <w:color w:val="000000"/>
          <w:sz w:val="22"/>
          <w:szCs w:val="22"/>
          <w:lang w:val="sr-Latn-ME"/>
        </w:rPr>
        <w:t>Nema klinički značajnih razlika u farmakokinetici i farmakodinamici između pacijenata muškog i ženskog pola.</w:t>
      </w:r>
    </w:p>
    <w:p w14:paraId="7DD1EADE" w14:textId="77777777" w:rsidR="00685DA7" w:rsidRPr="007D7545" w:rsidRDefault="00685DA7" w:rsidP="005D101E">
      <w:pPr>
        <w:ind w:hanging="10"/>
        <w:jc w:val="both"/>
        <w:rPr>
          <w:color w:val="000000"/>
          <w:sz w:val="22"/>
          <w:szCs w:val="22"/>
          <w:lang w:val="sr-Latn-ME"/>
        </w:rPr>
      </w:pPr>
    </w:p>
    <w:p w14:paraId="600B0BB2" w14:textId="77777777" w:rsidR="001E010E" w:rsidRPr="007D7545" w:rsidRDefault="001E010E" w:rsidP="005D101E">
      <w:pPr>
        <w:keepNext/>
        <w:keepLines/>
        <w:ind w:hanging="10"/>
        <w:jc w:val="both"/>
        <w:outlineLvl w:val="2"/>
        <w:rPr>
          <w:i/>
          <w:color w:val="000000"/>
          <w:sz w:val="22"/>
          <w:szCs w:val="22"/>
          <w:u w:val="single" w:color="000000"/>
          <w:lang w:val="sr-Latn-ME"/>
        </w:rPr>
      </w:pPr>
      <w:r w:rsidRPr="007D7545">
        <w:rPr>
          <w:i/>
          <w:color w:val="000000"/>
          <w:sz w:val="22"/>
          <w:szCs w:val="22"/>
          <w:u w:val="single" w:color="000000"/>
          <w:lang w:val="sr-Latn-ME"/>
        </w:rPr>
        <w:t>Stariji pacijenti</w:t>
      </w:r>
    </w:p>
    <w:p w14:paraId="22CC98E9" w14:textId="6650D55E"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Kod starijih pacijenata, koncentracije u plazmi su veće nego kod </w:t>
      </w:r>
      <w:r w:rsidR="00683FA1" w:rsidRPr="007D7545">
        <w:rPr>
          <w:color w:val="000000"/>
          <w:sz w:val="22"/>
          <w:szCs w:val="22"/>
          <w:lang w:val="sr-Latn-ME"/>
        </w:rPr>
        <w:t>ml</w:t>
      </w:r>
      <w:r w:rsidRPr="007D7545">
        <w:rPr>
          <w:color w:val="000000"/>
          <w:sz w:val="22"/>
          <w:szCs w:val="22"/>
          <w:lang w:val="sr-Latn-ME"/>
        </w:rPr>
        <w:t>ađih, sa pros</w:t>
      </w:r>
      <w:r w:rsidR="001D16BC" w:rsidRPr="007D7545">
        <w:rPr>
          <w:color w:val="000000"/>
          <w:sz w:val="22"/>
          <w:szCs w:val="22"/>
          <w:lang w:val="sr-Latn-ME"/>
        </w:rPr>
        <w:t>j</w:t>
      </w:r>
      <w:r w:rsidRPr="007D7545">
        <w:rPr>
          <w:color w:val="000000"/>
          <w:sz w:val="22"/>
          <w:szCs w:val="22"/>
          <w:lang w:val="sr-Latn-ME"/>
        </w:rPr>
        <w:t>ečnim vrijednostima PIK-a koje su povećane približno 1,5 puta, pr</w:t>
      </w:r>
      <w:r w:rsidR="001D16BC" w:rsidRPr="007D7545">
        <w:rPr>
          <w:color w:val="000000"/>
          <w:sz w:val="22"/>
          <w:szCs w:val="22"/>
          <w:lang w:val="sr-Latn-ME"/>
        </w:rPr>
        <w:t>ij</w:t>
      </w:r>
      <w:r w:rsidRPr="007D7545">
        <w:rPr>
          <w:color w:val="000000"/>
          <w:sz w:val="22"/>
          <w:szCs w:val="22"/>
          <w:lang w:val="sr-Latn-ME"/>
        </w:rPr>
        <w:t>e svega zbog smanjenja (prividnog) ukupnog i renalnog klirensa. Nije potrebno bilo kakvo prilagođavanje doze.</w:t>
      </w:r>
    </w:p>
    <w:p w14:paraId="6F1FD08A" w14:textId="77777777" w:rsidR="00685DA7" w:rsidRPr="007D7545" w:rsidRDefault="00685DA7" w:rsidP="005D101E">
      <w:pPr>
        <w:ind w:hanging="10"/>
        <w:jc w:val="both"/>
        <w:rPr>
          <w:color w:val="000000"/>
          <w:sz w:val="22"/>
          <w:szCs w:val="22"/>
          <w:lang w:val="sr-Latn-ME"/>
        </w:rPr>
      </w:pPr>
    </w:p>
    <w:p w14:paraId="1E12F60B" w14:textId="1DAF29DB" w:rsidR="001E010E" w:rsidRPr="007D7545" w:rsidRDefault="001E010E" w:rsidP="005D101E">
      <w:pPr>
        <w:keepNext/>
        <w:keepLines/>
        <w:ind w:hanging="10"/>
        <w:jc w:val="both"/>
        <w:outlineLvl w:val="2"/>
        <w:rPr>
          <w:i/>
          <w:color w:val="000000"/>
          <w:sz w:val="22"/>
          <w:szCs w:val="22"/>
          <w:u w:val="single" w:color="000000"/>
          <w:lang w:val="sr-Latn-ME"/>
        </w:rPr>
      </w:pPr>
      <w:r w:rsidRPr="007D7545">
        <w:rPr>
          <w:i/>
          <w:color w:val="000000"/>
          <w:sz w:val="22"/>
          <w:szCs w:val="22"/>
          <w:u w:val="single" w:color="000000"/>
          <w:lang w:val="sr-Latn-ME"/>
        </w:rPr>
        <w:t>Različite kategorije prema t</w:t>
      </w:r>
      <w:r w:rsidR="001D16BC" w:rsidRPr="007D7545">
        <w:rPr>
          <w:i/>
          <w:color w:val="000000"/>
          <w:sz w:val="22"/>
          <w:szCs w:val="22"/>
          <w:u w:val="single" w:color="000000"/>
          <w:lang w:val="sr-Latn-ME"/>
        </w:rPr>
        <w:t>j</w:t>
      </w:r>
      <w:r w:rsidRPr="007D7545">
        <w:rPr>
          <w:i/>
          <w:color w:val="000000"/>
          <w:sz w:val="22"/>
          <w:szCs w:val="22"/>
          <w:u w:val="single" w:color="000000"/>
          <w:lang w:val="sr-Latn-ME"/>
        </w:rPr>
        <w:t>elesnoj masi</w:t>
      </w:r>
    </w:p>
    <w:p w14:paraId="5875BDD7" w14:textId="4B59111B" w:rsidR="001E010E" w:rsidRPr="007D7545" w:rsidRDefault="001E010E" w:rsidP="005D101E">
      <w:pPr>
        <w:ind w:hanging="10"/>
        <w:jc w:val="both"/>
        <w:rPr>
          <w:color w:val="000000"/>
          <w:sz w:val="22"/>
          <w:szCs w:val="22"/>
          <w:lang w:val="sr-Latn-ME"/>
        </w:rPr>
      </w:pPr>
      <w:r w:rsidRPr="007D7545">
        <w:rPr>
          <w:color w:val="000000"/>
          <w:sz w:val="22"/>
          <w:szCs w:val="22"/>
          <w:lang w:val="sr-Latn-ME"/>
        </w:rPr>
        <w:t>Ekstremne vrijednosti t</w:t>
      </w:r>
      <w:r w:rsidR="001D16BC" w:rsidRPr="007D7545">
        <w:rPr>
          <w:color w:val="000000"/>
          <w:sz w:val="22"/>
          <w:szCs w:val="22"/>
          <w:lang w:val="sr-Latn-ME"/>
        </w:rPr>
        <w:t>j</w:t>
      </w:r>
      <w:r w:rsidRPr="007D7545">
        <w:rPr>
          <w:color w:val="000000"/>
          <w:sz w:val="22"/>
          <w:szCs w:val="22"/>
          <w:lang w:val="sr-Latn-ME"/>
        </w:rPr>
        <w:t>elesne mase (&lt;50 kg ili &gt;120 kg) imaju mali uticaj na koncentracije rivaroksabana u plazmi (manje od 25%). Nije potrebno prilagođavanje doze.</w:t>
      </w:r>
    </w:p>
    <w:p w14:paraId="1198213C" w14:textId="77777777" w:rsidR="00685DA7" w:rsidRPr="007D7545" w:rsidRDefault="00685DA7" w:rsidP="005D101E">
      <w:pPr>
        <w:ind w:hanging="10"/>
        <w:jc w:val="both"/>
        <w:rPr>
          <w:color w:val="000000"/>
          <w:sz w:val="22"/>
          <w:szCs w:val="22"/>
          <w:lang w:val="sr-Latn-ME"/>
        </w:rPr>
      </w:pPr>
    </w:p>
    <w:p w14:paraId="3800C3A3" w14:textId="77777777" w:rsidR="001E010E" w:rsidRPr="007D7545" w:rsidRDefault="001E010E" w:rsidP="005D101E">
      <w:pPr>
        <w:keepNext/>
        <w:keepLines/>
        <w:ind w:hanging="10"/>
        <w:jc w:val="both"/>
        <w:outlineLvl w:val="2"/>
        <w:rPr>
          <w:i/>
          <w:color w:val="000000"/>
          <w:sz w:val="22"/>
          <w:szCs w:val="22"/>
          <w:u w:val="single" w:color="000000"/>
          <w:lang w:val="sr-Latn-ME"/>
        </w:rPr>
      </w:pPr>
      <w:r w:rsidRPr="007D7545">
        <w:rPr>
          <w:i/>
          <w:color w:val="000000"/>
          <w:sz w:val="22"/>
          <w:szCs w:val="22"/>
          <w:u w:val="single" w:color="000000"/>
          <w:lang w:val="sr-Latn-ME"/>
        </w:rPr>
        <w:t>Međuetničke razlike</w:t>
      </w:r>
    </w:p>
    <w:p w14:paraId="105E1896" w14:textId="2BFF5FF9" w:rsidR="001E010E" w:rsidRPr="007D7545" w:rsidRDefault="001E010E" w:rsidP="005D101E">
      <w:pPr>
        <w:ind w:hanging="10"/>
        <w:jc w:val="both"/>
        <w:rPr>
          <w:color w:val="000000"/>
          <w:sz w:val="22"/>
          <w:szCs w:val="22"/>
          <w:lang w:val="sr-Latn-ME"/>
        </w:rPr>
      </w:pPr>
      <w:r w:rsidRPr="007D7545">
        <w:rPr>
          <w:color w:val="000000"/>
          <w:sz w:val="22"/>
          <w:szCs w:val="22"/>
          <w:lang w:val="sr-Latn-ME"/>
        </w:rPr>
        <w:t>Ni</w:t>
      </w:r>
      <w:r w:rsidR="001D16BC" w:rsidRPr="007D7545">
        <w:rPr>
          <w:color w:val="000000"/>
          <w:sz w:val="22"/>
          <w:szCs w:val="22"/>
          <w:lang w:val="sr-Latn-ME"/>
        </w:rPr>
        <w:t>je</w:t>
      </w:r>
      <w:r w:rsidRPr="007D7545">
        <w:rPr>
          <w:color w:val="000000"/>
          <w:sz w:val="22"/>
          <w:szCs w:val="22"/>
          <w:lang w:val="sr-Latn-ME"/>
        </w:rPr>
        <w:t>su uočene klinički značajne međuetničke razlike između pacijenata b</w:t>
      </w:r>
      <w:r w:rsidR="001D16BC" w:rsidRPr="007D7545">
        <w:rPr>
          <w:color w:val="000000"/>
          <w:sz w:val="22"/>
          <w:szCs w:val="22"/>
          <w:lang w:val="sr-Latn-ME"/>
        </w:rPr>
        <w:t>ij</w:t>
      </w:r>
      <w:r w:rsidRPr="007D7545">
        <w:rPr>
          <w:color w:val="000000"/>
          <w:sz w:val="22"/>
          <w:szCs w:val="22"/>
          <w:lang w:val="sr-Latn-ME"/>
        </w:rPr>
        <w:t xml:space="preserve">ele rase, osoba crne rase </w:t>
      </w:r>
      <w:r w:rsidR="001D16BC" w:rsidRPr="007D7545">
        <w:rPr>
          <w:color w:val="000000"/>
          <w:sz w:val="22"/>
          <w:szCs w:val="22"/>
          <w:lang w:val="sr-Latn-ME"/>
        </w:rPr>
        <w:t xml:space="preserve">afroameričkih, latinoameričkih, japanskih i kineskih pacijenata </w:t>
      </w:r>
      <w:r w:rsidRPr="007D7545">
        <w:rPr>
          <w:color w:val="000000"/>
          <w:sz w:val="22"/>
          <w:szCs w:val="22"/>
          <w:lang w:val="sr-Latn-ME"/>
        </w:rPr>
        <w:t>u pogledu farmakokinetike ili farmakodinamike rivaroksabana.</w:t>
      </w:r>
    </w:p>
    <w:p w14:paraId="3EED5CA1" w14:textId="77777777" w:rsidR="00685DA7" w:rsidRPr="007D7545" w:rsidRDefault="00685DA7" w:rsidP="005D101E">
      <w:pPr>
        <w:ind w:hanging="10"/>
        <w:jc w:val="both"/>
        <w:rPr>
          <w:color w:val="000000"/>
          <w:sz w:val="22"/>
          <w:szCs w:val="22"/>
          <w:lang w:val="sr-Latn-ME"/>
        </w:rPr>
      </w:pPr>
    </w:p>
    <w:p w14:paraId="04E1FA34" w14:textId="77777777" w:rsidR="001E010E" w:rsidRPr="007D7545" w:rsidRDefault="001E010E" w:rsidP="005D101E">
      <w:pPr>
        <w:keepNext/>
        <w:keepLines/>
        <w:ind w:hanging="10"/>
        <w:outlineLvl w:val="2"/>
        <w:rPr>
          <w:i/>
          <w:color w:val="000000"/>
          <w:sz w:val="22"/>
          <w:szCs w:val="22"/>
          <w:u w:val="single" w:color="000000"/>
          <w:lang w:val="sr-Latn-ME"/>
        </w:rPr>
      </w:pPr>
      <w:r w:rsidRPr="007D7545">
        <w:rPr>
          <w:i/>
          <w:color w:val="000000"/>
          <w:sz w:val="22"/>
          <w:szCs w:val="22"/>
          <w:u w:val="single" w:color="000000"/>
          <w:lang w:val="sr-Latn-ME"/>
        </w:rPr>
        <w:t>Oštećena funkcija jetre</w:t>
      </w:r>
    </w:p>
    <w:p w14:paraId="6C4849D8" w14:textId="01CEAF6F"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Pacijenti sa cirozom i blagim oštećenjem funkcije jetre (klasifikovana kao </w:t>
      </w:r>
      <w:r w:rsidRPr="007D7545">
        <w:rPr>
          <w:i/>
          <w:color w:val="000000"/>
          <w:sz w:val="22"/>
          <w:szCs w:val="22"/>
          <w:lang w:val="sr-Latn-ME"/>
        </w:rPr>
        <w:t xml:space="preserve">Child Pugh </w:t>
      </w:r>
      <w:r w:rsidRPr="007D7545">
        <w:rPr>
          <w:color w:val="000000"/>
          <w:sz w:val="22"/>
          <w:szCs w:val="22"/>
          <w:lang w:val="sr-Latn-ME"/>
        </w:rPr>
        <w:t>tip</w:t>
      </w:r>
      <w:r w:rsidRPr="007D7545">
        <w:rPr>
          <w:i/>
          <w:color w:val="000000"/>
          <w:sz w:val="22"/>
          <w:szCs w:val="22"/>
          <w:lang w:val="sr-Latn-ME"/>
        </w:rPr>
        <w:t xml:space="preserve"> </w:t>
      </w:r>
      <w:r w:rsidRPr="007D7545">
        <w:rPr>
          <w:color w:val="000000"/>
          <w:sz w:val="22"/>
          <w:szCs w:val="22"/>
          <w:lang w:val="sr-Latn-ME"/>
        </w:rPr>
        <w:t>A) ispoljavaju male razlike u farmakokinetici rivaroksabana (u pros</w:t>
      </w:r>
      <w:r w:rsidR="00A10DEF" w:rsidRPr="007D7545">
        <w:rPr>
          <w:color w:val="000000"/>
          <w:sz w:val="22"/>
          <w:szCs w:val="22"/>
          <w:lang w:val="sr-Latn-ME"/>
        </w:rPr>
        <w:t>j</w:t>
      </w:r>
      <w:r w:rsidRPr="007D7545">
        <w:rPr>
          <w:color w:val="000000"/>
          <w:sz w:val="22"/>
          <w:szCs w:val="22"/>
          <w:lang w:val="sr-Latn-ME"/>
        </w:rPr>
        <w:t>eku, povećanje vrijednosti PIK-a rivaroksabana 1,2 puta), što je skoro uporedivo sa vrijednostima za odgovarajuće zdrave ispitanike u kontrolnoj grupi. Kod pacijenata sa cirozom i um</w:t>
      </w:r>
      <w:r w:rsidR="00A10DEF" w:rsidRPr="007D7545">
        <w:rPr>
          <w:color w:val="000000"/>
          <w:sz w:val="22"/>
          <w:szCs w:val="22"/>
          <w:lang w:val="sr-Latn-ME"/>
        </w:rPr>
        <w:t>j</w:t>
      </w:r>
      <w:r w:rsidRPr="007D7545">
        <w:rPr>
          <w:color w:val="000000"/>
          <w:sz w:val="22"/>
          <w:szCs w:val="22"/>
          <w:lang w:val="sr-Latn-ME"/>
        </w:rPr>
        <w:t xml:space="preserve">erenim oštećenjem funkcije jetre (klasifikovana kao </w:t>
      </w:r>
      <w:r w:rsidRPr="007D7545">
        <w:rPr>
          <w:i/>
          <w:color w:val="000000"/>
          <w:sz w:val="22"/>
          <w:szCs w:val="22"/>
          <w:lang w:val="sr-Latn-ME"/>
        </w:rPr>
        <w:t xml:space="preserve">Child Pugh </w:t>
      </w:r>
      <w:r w:rsidRPr="007D7545">
        <w:rPr>
          <w:color w:val="000000"/>
          <w:sz w:val="22"/>
          <w:szCs w:val="22"/>
          <w:lang w:val="sr-Latn-ME"/>
        </w:rPr>
        <w:t>tip</w:t>
      </w:r>
      <w:r w:rsidRPr="007D7545">
        <w:rPr>
          <w:i/>
          <w:color w:val="000000"/>
          <w:sz w:val="22"/>
          <w:szCs w:val="22"/>
          <w:lang w:val="sr-Latn-ME"/>
        </w:rPr>
        <w:t xml:space="preserve"> </w:t>
      </w:r>
      <w:r w:rsidRPr="007D7545">
        <w:rPr>
          <w:color w:val="000000"/>
          <w:sz w:val="22"/>
          <w:szCs w:val="22"/>
          <w:lang w:val="sr-Latn-ME"/>
        </w:rPr>
        <w:t>B), srednja vrijednost PIK-a rivaroksabana značajno je bila povećana (2,3 puta) u poređenju sa vrijednostima kod zdravih ispitanika. Vrijednost PIK-a slobodne frakcije lijeka bila je veća 2,6 puta. Kod ovih pacijenata, bila je manja i renalna eliminacija rivaroksabana, slično kao kod pacijenata sa um</w:t>
      </w:r>
      <w:r w:rsidR="00A10DEF" w:rsidRPr="007D7545">
        <w:rPr>
          <w:color w:val="000000"/>
          <w:sz w:val="22"/>
          <w:szCs w:val="22"/>
          <w:lang w:val="sr-Latn-ME"/>
        </w:rPr>
        <w:t>j</w:t>
      </w:r>
      <w:r w:rsidRPr="007D7545">
        <w:rPr>
          <w:color w:val="000000"/>
          <w:sz w:val="22"/>
          <w:szCs w:val="22"/>
          <w:lang w:val="sr-Latn-ME"/>
        </w:rPr>
        <w:t>erenim oštećenjem funkcije bubrega. Nema podataka za pacijente sa teškim oštećenjem funkcije jetre.</w:t>
      </w:r>
    </w:p>
    <w:p w14:paraId="2C45E313" w14:textId="71E60FA9" w:rsidR="001E010E" w:rsidRPr="007D7545" w:rsidRDefault="001E010E" w:rsidP="005D101E">
      <w:pPr>
        <w:ind w:hanging="10"/>
        <w:jc w:val="both"/>
        <w:rPr>
          <w:color w:val="000000"/>
          <w:sz w:val="22"/>
          <w:szCs w:val="22"/>
          <w:lang w:val="sr-Latn-ME"/>
        </w:rPr>
      </w:pPr>
      <w:r w:rsidRPr="007D7545">
        <w:rPr>
          <w:color w:val="000000"/>
          <w:sz w:val="22"/>
          <w:szCs w:val="22"/>
          <w:lang w:val="sr-Latn-ME"/>
        </w:rPr>
        <w:t>Inhibicija aktivnosti faktora Xa bila je povećana za faktor 2,6 kod pacijenata sa um</w:t>
      </w:r>
      <w:r w:rsidR="00A10DEF" w:rsidRPr="007D7545">
        <w:rPr>
          <w:color w:val="000000"/>
          <w:sz w:val="22"/>
          <w:szCs w:val="22"/>
          <w:lang w:val="sr-Latn-ME"/>
        </w:rPr>
        <w:t>j</w:t>
      </w:r>
      <w:r w:rsidRPr="007D7545">
        <w:rPr>
          <w:color w:val="000000"/>
          <w:sz w:val="22"/>
          <w:szCs w:val="22"/>
          <w:lang w:val="sr-Latn-ME"/>
        </w:rPr>
        <w:t>erenim oštećenjem funkcije jetre u poređenju sa zdravim dobrovoljcima; produženje PT je slično povećano za faktor 2,1. Pacijenti sa um</w:t>
      </w:r>
      <w:r w:rsidR="00A10DEF" w:rsidRPr="007D7545">
        <w:rPr>
          <w:color w:val="000000"/>
          <w:sz w:val="22"/>
          <w:szCs w:val="22"/>
          <w:lang w:val="sr-Latn-ME"/>
        </w:rPr>
        <w:t>j</w:t>
      </w:r>
      <w:r w:rsidRPr="007D7545">
        <w:rPr>
          <w:color w:val="000000"/>
          <w:sz w:val="22"/>
          <w:szCs w:val="22"/>
          <w:lang w:val="sr-Latn-ME"/>
        </w:rPr>
        <w:t>erenim oštećenjem funkcije jetre bili su os</w:t>
      </w:r>
      <w:r w:rsidR="00A10DEF" w:rsidRPr="007D7545">
        <w:rPr>
          <w:color w:val="000000"/>
          <w:sz w:val="22"/>
          <w:szCs w:val="22"/>
          <w:lang w:val="sr-Latn-ME"/>
        </w:rPr>
        <w:t>j</w:t>
      </w:r>
      <w:r w:rsidRPr="007D7545">
        <w:rPr>
          <w:color w:val="000000"/>
          <w:sz w:val="22"/>
          <w:szCs w:val="22"/>
          <w:lang w:val="sr-Latn-ME"/>
        </w:rPr>
        <w:t>etljiviji na dejstvo rivaroksabana, što je imalo za posl</w:t>
      </w:r>
      <w:r w:rsidR="00A10DEF" w:rsidRPr="007D7545">
        <w:rPr>
          <w:color w:val="000000"/>
          <w:sz w:val="22"/>
          <w:szCs w:val="22"/>
          <w:lang w:val="sr-Latn-ME"/>
        </w:rPr>
        <w:t>j</w:t>
      </w:r>
      <w:r w:rsidRPr="007D7545">
        <w:rPr>
          <w:color w:val="000000"/>
          <w:sz w:val="22"/>
          <w:szCs w:val="22"/>
          <w:lang w:val="sr-Latn-ME"/>
        </w:rPr>
        <w:t>edicu strmiji PK/PD odnos između koncentracije i PT.</w:t>
      </w:r>
    </w:p>
    <w:p w14:paraId="10251045" w14:textId="31514DA3"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Rivaroksaban je kontraindikovan kod pacijenata sa oboljenjem jetre koje je udruženo sa koagulopatijom i klinički značajnim rizikom od krvarenja, uključujući pacijente sa cirozom sa </w:t>
      </w:r>
      <w:r w:rsidRPr="007D7545">
        <w:rPr>
          <w:i/>
          <w:color w:val="000000"/>
          <w:sz w:val="22"/>
          <w:szCs w:val="22"/>
          <w:lang w:val="sr-Latn-ME"/>
        </w:rPr>
        <w:t xml:space="preserve">Child Pugh </w:t>
      </w:r>
      <w:r w:rsidRPr="007D7545">
        <w:rPr>
          <w:color w:val="000000"/>
          <w:sz w:val="22"/>
          <w:szCs w:val="22"/>
          <w:lang w:val="sr-Latn-ME"/>
        </w:rPr>
        <w:t>tip</w:t>
      </w:r>
      <w:r w:rsidRPr="007D7545">
        <w:rPr>
          <w:i/>
          <w:color w:val="000000"/>
          <w:sz w:val="22"/>
          <w:szCs w:val="22"/>
          <w:lang w:val="sr-Latn-ME"/>
        </w:rPr>
        <w:t xml:space="preserve"> </w:t>
      </w:r>
      <w:r w:rsidRPr="007D7545">
        <w:rPr>
          <w:color w:val="000000"/>
          <w:sz w:val="22"/>
          <w:szCs w:val="22"/>
          <w:lang w:val="sr-Latn-ME"/>
        </w:rPr>
        <w:t>B i C (</w:t>
      </w:r>
      <w:r w:rsidR="00955E5C" w:rsidRPr="007D7545">
        <w:rPr>
          <w:i/>
          <w:color w:val="000000"/>
          <w:sz w:val="22"/>
          <w:szCs w:val="22"/>
          <w:lang w:val="sr-Latn-ME"/>
        </w:rPr>
        <w:t>pogledati dio</w:t>
      </w:r>
      <w:r w:rsidRPr="007D7545">
        <w:rPr>
          <w:i/>
          <w:color w:val="000000"/>
          <w:sz w:val="22"/>
          <w:szCs w:val="22"/>
          <w:lang w:val="sr-Latn-ME"/>
        </w:rPr>
        <w:t xml:space="preserve"> 4.3</w:t>
      </w:r>
      <w:r w:rsidRPr="007D7545">
        <w:rPr>
          <w:color w:val="000000"/>
          <w:sz w:val="22"/>
          <w:szCs w:val="22"/>
          <w:lang w:val="sr-Latn-ME"/>
        </w:rPr>
        <w:t>).</w:t>
      </w:r>
    </w:p>
    <w:p w14:paraId="171C4647" w14:textId="77777777" w:rsidR="00685DA7" w:rsidRPr="007D7545" w:rsidRDefault="00685DA7" w:rsidP="005D101E">
      <w:pPr>
        <w:ind w:hanging="10"/>
        <w:jc w:val="both"/>
        <w:rPr>
          <w:color w:val="000000"/>
          <w:sz w:val="22"/>
          <w:szCs w:val="22"/>
          <w:lang w:val="sr-Latn-ME"/>
        </w:rPr>
      </w:pPr>
    </w:p>
    <w:p w14:paraId="78EDDBAA" w14:textId="77777777" w:rsidR="001E010E" w:rsidRPr="007D7545" w:rsidRDefault="001E010E" w:rsidP="005D101E">
      <w:pPr>
        <w:keepNext/>
        <w:keepLines/>
        <w:ind w:hanging="10"/>
        <w:outlineLvl w:val="2"/>
        <w:rPr>
          <w:i/>
          <w:color w:val="000000"/>
          <w:sz w:val="22"/>
          <w:szCs w:val="22"/>
          <w:u w:val="single" w:color="000000"/>
          <w:lang w:val="sr-Latn-ME"/>
        </w:rPr>
      </w:pPr>
      <w:r w:rsidRPr="007D7545">
        <w:rPr>
          <w:i/>
          <w:color w:val="000000"/>
          <w:sz w:val="22"/>
          <w:szCs w:val="22"/>
          <w:u w:val="single" w:color="000000"/>
          <w:lang w:val="sr-Latn-ME"/>
        </w:rPr>
        <w:t>Oštećena funkcija bubrega</w:t>
      </w:r>
      <w:r w:rsidRPr="007D7545">
        <w:rPr>
          <w:color w:val="000000"/>
          <w:sz w:val="22"/>
          <w:szCs w:val="22"/>
          <w:u w:color="000000"/>
          <w:lang w:val="sr-Latn-ME"/>
        </w:rPr>
        <w:t xml:space="preserve">      </w:t>
      </w:r>
    </w:p>
    <w:p w14:paraId="5810F63A" w14:textId="46D0AECA" w:rsidR="001E010E" w:rsidRPr="007D7545" w:rsidRDefault="001E010E" w:rsidP="005D101E">
      <w:pPr>
        <w:ind w:hanging="10"/>
        <w:jc w:val="both"/>
        <w:rPr>
          <w:color w:val="000000"/>
          <w:sz w:val="22"/>
          <w:szCs w:val="22"/>
          <w:lang w:val="sr-Latn-ME"/>
        </w:rPr>
      </w:pPr>
      <w:r w:rsidRPr="007D7545">
        <w:rPr>
          <w:color w:val="000000"/>
          <w:sz w:val="22"/>
          <w:szCs w:val="22"/>
          <w:lang w:val="sr-Latn-ME"/>
        </w:rPr>
        <w:t>Izloženost rivaroksabanu se povećava u korelaciji sa slabljenjem funkcije bubrega, koja je proc</w:t>
      </w:r>
      <w:r w:rsidR="00A10DEF" w:rsidRPr="007D7545">
        <w:rPr>
          <w:color w:val="000000"/>
          <w:sz w:val="22"/>
          <w:szCs w:val="22"/>
          <w:lang w:val="sr-Latn-ME"/>
        </w:rPr>
        <w:t>ij</w:t>
      </w:r>
      <w:r w:rsidRPr="007D7545">
        <w:rPr>
          <w:color w:val="000000"/>
          <w:sz w:val="22"/>
          <w:szCs w:val="22"/>
          <w:lang w:val="sr-Latn-ME"/>
        </w:rPr>
        <w:t xml:space="preserve">enjena na osnovu klirensa kreatinina. Kod osoba sa blagim (klirens kreatinina 50-80 </w:t>
      </w:r>
      <w:r w:rsidR="00683FA1" w:rsidRPr="007D7545">
        <w:rPr>
          <w:color w:val="000000"/>
          <w:sz w:val="22"/>
          <w:szCs w:val="22"/>
          <w:lang w:val="sr-Latn-ME"/>
        </w:rPr>
        <w:t>ml</w:t>
      </w:r>
      <w:r w:rsidRPr="007D7545">
        <w:rPr>
          <w:color w:val="000000"/>
          <w:sz w:val="22"/>
          <w:szCs w:val="22"/>
          <w:lang w:val="sr-Latn-ME"/>
        </w:rPr>
        <w:t>/min), um</w:t>
      </w:r>
      <w:r w:rsidR="00A10DEF" w:rsidRPr="007D7545">
        <w:rPr>
          <w:color w:val="000000"/>
          <w:sz w:val="22"/>
          <w:szCs w:val="22"/>
          <w:lang w:val="sr-Latn-ME"/>
        </w:rPr>
        <w:t>j</w:t>
      </w:r>
      <w:r w:rsidRPr="007D7545">
        <w:rPr>
          <w:color w:val="000000"/>
          <w:sz w:val="22"/>
          <w:szCs w:val="22"/>
          <w:lang w:val="sr-Latn-ME"/>
        </w:rPr>
        <w:t xml:space="preserve">erenim (klirens kreatinina 30-49 </w:t>
      </w:r>
      <w:r w:rsidR="00683FA1" w:rsidRPr="007D7545">
        <w:rPr>
          <w:color w:val="000000"/>
          <w:sz w:val="22"/>
          <w:szCs w:val="22"/>
          <w:lang w:val="sr-Latn-ME"/>
        </w:rPr>
        <w:t>ml</w:t>
      </w:r>
      <w:r w:rsidRPr="007D7545">
        <w:rPr>
          <w:color w:val="000000"/>
          <w:sz w:val="22"/>
          <w:szCs w:val="22"/>
          <w:lang w:val="sr-Latn-ME"/>
        </w:rPr>
        <w:t xml:space="preserve">/min) i teškim (klirens kreatinina 15-29 </w:t>
      </w:r>
      <w:r w:rsidR="00683FA1" w:rsidRPr="007D7545">
        <w:rPr>
          <w:color w:val="000000"/>
          <w:sz w:val="22"/>
          <w:szCs w:val="22"/>
          <w:lang w:val="sr-Latn-ME"/>
        </w:rPr>
        <w:t>ml</w:t>
      </w:r>
      <w:r w:rsidRPr="007D7545">
        <w:rPr>
          <w:color w:val="000000"/>
          <w:sz w:val="22"/>
          <w:szCs w:val="22"/>
          <w:lang w:val="sr-Latn-ME"/>
        </w:rPr>
        <w:t xml:space="preserve">/min) oštećenjem funkcije bubrega, koncentracije rivaroksabana u plazmi (PIK) bile su povećane 1,4; 1,5 odnosno 1,6 puta. Odgovarajuće povećanje farmakodinamskog odgovora bilo je više izraženo. Kod osoba sa blagim, umjerenim i teškim oštećenjem funkcije bubrega, ukupna inhibicija aktivnosti faktora Xa bila je povećana za faktor 1,5; 1,9 odnosno 2,0 u poređenju sa zdravim ispitanicima; produžavanje PT bilo je povećano u sličnoj mjeri, za faktor 1,3; 2,2 i 2,4. Nema podataka za pacijente sa klirensom kreatinina &lt; 15 </w:t>
      </w:r>
      <w:r w:rsidR="00683FA1" w:rsidRPr="007D7545">
        <w:rPr>
          <w:color w:val="000000"/>
          <w:sz w:val="22"/>
          <w:szCs w:val="22"/>
          <w:lang w:val="sr-Latn-ME"/>
        </w:rPr>
        <w:t>ml</w:t>
      </w:r>
      <w:r w:rsidRPr="007D7545">
        <w:rPr>
          <w:color w:val="000000"/>
          <w:sz w:val="22"/>
          <w:szCs w:val="22"/>
          <w:lang w:val="sr-Latn-ME"/>
        </w:rPr>
        <w:t>/min.</w:t>
      </w:r>
    </w:p>
    <w:p w14:paraId="1DC2F773" w14:textId="6C36177D" w:rsidR="001E010E" w:rsidRPr="007D7545" w:rsidRDefault="001E010E" w:rsidP="005D101E">
      <w:pPr>
        <w:ind w:hanging="10"/>
        <w:jc w:val="both"/>
        <w:rPr>
          <w:color w:val="000000"/>
          <w:sz w:val="22"/>
          <w:szCs w:val="22"/>
          <w:lang w:val="sr-Latn-ME"/>
        </w:rPr>
      </w:pPr>
      <w:r w:rsidRPr="007D7545">
        <w:rPr>
          <w:color w:val="000000"/>
          <w:sz w:val="22"/>
          <w:szCs w:val="22"/>
          <w:lang w:val="sr-Latn-ME"/>
        </w:rPr>
        <w:t>Ne očekuje se da se rivaroksaban gubi pri dijalizi zbog toga što se u velikoj m</w:t>
      </w:r>
      <w:r w:rsidR="007037C3" w:rsidRPr="007D7545">
        <w:rPr>
          <w:color w:val="000000"/>
          <w:sz w:val="22"/>
          <w:szCs w:val="22"/>
          <w:lang w:val="sr-Latn-ME"/>
        </w:rPr>
        <w:t>j</w:t>
      </w:r>
      <w:r w:rsidRPr="007D7545">
        <w:rPr>
          <w:color w:val="000000"/>
          <w:sz w:val="22"/>
          <w:szCs w:val="22"/>
          <w:lang w:val="sr-Latn-ME"/>
        </w:rPr>
        <w:t>eri vezuje za proteine plazme.</w:t>
      </w:r>
    </w:p>
    <w:p w14:paraId="5B9BAB3A" w14:textId="66947643" w:rsidR="001E010E" w:rsidRPr="007D7545" w:rsidRDefault="001E010E" w:rsidP="005D101E">
      <w:pPr>
        <w:ind w:hanging="10"/>
        <w:jc w:val="both"/>
        <w:rPr>
          <w:color w:val="000000"/>
          <w:sz w:val="22"/>
          <w:szCs w:val="22"/>
          <w:lang w:val="sr-Latn-ME"/>
        </w:rPr>
      </w:pPr>
      <w:r w:rsidRPr="007D7545">
        <w:rPr>
          <w:color w:val="000000"/>
          <w:sz w:val="22"/>
          <w:szCs w:val="22"/>
          <w:lang w:val="sr-Latn-ME"/>
        </w:rPr>
        <w:t xml:space="preserve">Ne preporučuje se primjena ovog lijeka kod pacijenata čiji je klirens kreatinina &lt; 15 </w:t>
      </w:r>
      <w:r w:rsidR="00683FA1" w:rsidRPr="007D7545">
        <w:rPr>
          <w:color w:val="000000"/>
          <w:sz w:val="22"/>
          <w:szCs w:val="22"/>
          <w:lang w:val="sr-Latn-ME"/>
        </w:rPr>
        <w:t>ml</w:t>
      </w:r>
      <w:r w:rsidRPr="007D7545">
        <w:rPr>
          <w:color w:val="000000"/>
          <w:sz w:val="22"/>
          <w:szCs w:val="22"/>
          <w:lang w:val="sr-Latn-ME"/>
        </w:rPr>
        <w:t>/min. Rivaroksaban se prim</w:t>
      </w:r>
      <w:r w:rsidR="007037C3" w:rsidRPr="007D7545">
        <w:rPr>
          <w:color w:val="000000"/>
          <w:sz w:val="22"/>
          <w:szCs w:val="22"/>
          <w:lang w:val="sr-Latn-ME"/>
        </w:rPr>
        <w:t>j</w:t>
      </w:r>
      <w:r w:rsidRPr="007D7545">
        <w:rPr>
          <w:color w:val="000000"/>
          <w:sz w:val="22"/>
          <w:szCs w:val="22"/>
          <w:lang w:val="sr-Latn-ME"/>
        </w:rPr>
        <w:t>enjuje uz m</w:t>
      </w:r>
      <w:r w:rsidR="007037C3" w:rsidRPr="007D7545">
        <w:rPr>
          <w:color w:val="000000"/>
          <w:sz w:val="22"/>
          <w:szCs w:val="22"/>
          <w:lang w:val="sr-Latn-ME"/>
        </w:rPr>
        <w:t>j</w:t>
      </w:r>
      <w:r w:rsidRPr="007D7545">
        <w:rPr>
          <w:color w:val="000000"/>
          <w:sz w:val="22"/>
          <w:szCs w:val="22"/>
          <w:lang w:val="sr-Latn-ME"/>
        </w:rPr>
        <w:t xml:space="preserve">ere opreza kod pacijenata sa klirensom kreatinina od 15-29 </w:t>
      </w:r>
      <w:r w:rsidR="00683FA1" w:rsidRPr="007D7545">
        <w:rPr>
          <w:color w:val="000000"/>
          <w:sz w:val="22"/>
          <w:szCs w:val="22"/>
          <w:lang w:val="sr-Latn-ME"/>
        </w:rPr>
        <w:t>ml</w:t>
      </w:r>
      <w:r w:rsidRPr="007D7545">
        <w:rPr>
          <w:color w:val="000000"/>
          <w:sz w:val="22"/>
          <w:szCs w:val="22"/>
          <w:lang w:val="sr-Latn-ME"/>
        </w:rPr>
        <w:t>/min (</w:t>
      </w:r>
      <w:r w:rsidR="00955E5C" w:rsidRPr="007D7545">
        <w:rPr>
          <w:i/>
          <w:color w:val="000000"/>
          <w:sz w:val="22"/>
          <w:szCs w:val="22"/>
          <w:lang w:val="sr-Latn-ME"/>
        </w:rPr>
        <w:t>pogledati dio</w:t>
      </w:r>
      <w:r w:rsidRPr="007D7545">
        <w:rPr>
          <w:i/>
          <w:color w:val="000000"/>
          <w:sz w:val="22"/>
          <w:szCs w:val="22"/>
          <w:lang w:val="sr-Latn-ME"/>
        </w:rPr>
        <w:t xml:space="preserve"> 4.4</w:t>
      </w:r>
      <w:r w:rsidRPr="007D7545">
        <w:rPr>
          <w:color w:val="000000"/>
          <w:sz w:val="22"/>
          <w:szCs w:val="22"/>
          <w:lang w:val="sr-Latn-ME"/>
        </w:rPr>
        <w:t>).</w:t>
      </w:r>
    </w:p>
    <w:p w14:paraId="0B9CB7B4" w14:textId="77777777" w:rsidR="00685DA7" w:rsidRPr="007D7545" w:rsidRDefault="00685DA7" w:rsidP="005D101E">
      <w:pPr>
        <w:ind w:hanging="10"/>
        <w:jc w:val="both"/>
        <w:rPr>
          <w:color w:val="000000"/>
          <w:sz w:val="22"/>
          <w:szCs w:val="22"/>
          <w:lang w:val="sr-Latn-ME"/>
        </w:rPr>
      </w:pPr>
    </w:p>
    <w:p w14:paraId="7E04AF9A" w14:textId="77777777" w:rsidR="001E010E" w:rsidRPr="007D7545" w:rsidRDefault="001E010E" w:rsidP="005D101E">
      <w:pPr>
        <w:keepNext/>
        <w:keepLines/>
        <w:ind w:hanging="10"/>
        <w:outlineLvl w:val="1"/>
        <w:rPr>
          <w:color w:val="000000"/>
          <w:sz w:val="22"/>
          <w:szCs w:val="22"/>
          <w:u w:val="single" w:color="000000"/>
          <w:lang w:val="sr-Latn-ME"/>
        </w:rPr>
      </w:pPr>
      <w:r w:rsidRPr="007D7545">
        <w:rPr>
          <w:color w:val="000000"/>
          <w:sz w:val="22"/>
          <w:szCs w:val="22"/>
          <w:u w:val="single" w:color="000000"/>
          <w:lang w:val="sr-Latn-ME"/>
        </w:rPr>
        <w:t>Farmakokinetički podaci kod pacijenata</w:t>
      </w:r>
    </w:p>
    <w:p w14:paraId="14D1977E" w14:textId="7F11AE6B" w:rsidR="001E010E" w:rsidRPr="007D7545" w:rsidRDefault="001E010E" w:rsidP="005D101E">
      <w:pPr>
        <w:ind w:hanging="10"/>
        <w:jc w:val="both"/>
        <w:rPr>
          <w:color w:val="000000"/>
          <w:sz w:val="22"/>
          <w:szCs w:val="22"/>
          <w:lang w:val="sr-Latn-ME"/>
        </w:rPr>
      </w:pPr>
      <w:r w:rsidRPr="007D7545">
        <w:rPr>
          <w:color w:val="000000"/>
          <w:sz w:val="22"/>
          <w:szCs w:val="22"/>
          <w:lang w:val="sr-Latn-ME"/>
        </w:rPr>
        <w:t>Kod pacijenata koji primaju rivaroksaban u dozi od 10 mg jednom dnevno za prevenciju VTE, geometrijska sredina koncentracije (90% interval pouzdanosti) 2 – 4 sata, odnosno oko 24 sata nakon primjene doze (što okvirno predstavlja maksimalnu i minimalnu koncentraciju tokom intervala doziranja), iznosila je 101 (7-273), odnosno 14 (4-51) mikrograma/</w:t>
      </w:r>
      <w:r w:rsidR="007037C3" w:rsidRPr="007D7545">
        <w:rPr>
          <w:color w:val="000000"/>
          <w:sz w:val="22"/>
          <w:szCs w:val="22"/>
          <w:lang w:val="sr-Latn-ME"/>
        </w:rPr>
        <w:t>l</w:t>
      </w:r>
      <w:r w:rsidRPr="007D7545">
        <w:rPr>
          <w:color w:val="000000"/>
          <w:sz w:val="22"/>
          <w:szCs w:val="22"/>
          <w:lang w:val="sr-Latn-ME"/>
        </w:rPr>
        <w:t>.</w:t>
      </w:r>
    </w:p>
    <w:p w14:paraId="2AADC1C0" w14:textId="77777777" w:rsidR="00685DA7" w:rsidRPr="007D7545" w:rsidRDefault="00685DA7" w:rsidP="005D101E">
      <w:pPr>
        <w:ind w:hanging="10"/>
        <w:jc w:val="both"/>
        <w:rPr>
          <w:color w:val="000000"/>
          <w:sz w:val="22"/>
          <w:szCs w:val="22"/>
          <w:lang w:val="sr-Latn-ME"/>
        </w:rPr>
      </w:pPr>
    </w:p>
    <w:p w14:paraId="47AD69A8" w14:textId="77777777" w:rsidR="001E010E" w:rsidRPr="007D7545" w:rsidRDefault="001E010E" w:rsidP="005D101E">
      <w:pPr>
        <w:keepNext/>
        <w:keepLines/>
        <w:ind w:hanging="10"/>
        <w:outlineLvl w:val="1"/>
        <w:rPr>
          <w:color w:val="000000"/>
          <w:sz w:val="22"/>
          <w:szCs w:val="22"/>
          <w:u w:val="single" w:color="000000"/>
          <w:lang w:val="sr-Latn-ME"/>
        </w:rPr>
      </w:pPr>
      <w:r w:rsidRPr="007D7545">
        <w:rPr>
          <w:color w:val="000000"/>
          <w:sz w:val="22"/>
          <w:szCs w:val="22"/>
          <w:u w:val="single" w:color="000000"/>
          <w:lang w:val="sr-Latn-ME"/>
        </w:rPr>
        <w:t>Farmakokinetičko/farmakodinamski odnos</w:t>
      </w:r>
    </w:p>
    <w:p w14:paraId="62BB244D" w14:textId="645D2C57" w:rsidR="001E010E" w:rsidRPr="007D7545" w:rsidRDefault="001E010E" w:rsidP="005D101E">
      <w:pPr>
        <w:ind w:hanging="10"/>
        <w:jc w:val="both"/>
        <w:rPr>
          <w:color w:val="000000"/>
          <w:sz w:val="22"/>
          <w:szCs w:val="22"/>
          <w:lang w:val="sr-Latn-ME"/>
        </w:rPr>
      </w:pPr>
      <w:r w:rsidRPr="007D7545">
        <w:rPr>
          <w:color w:val="000000"/>
          <w:sz w:val="22"/>
          <w:szCs w:val="22"/>
          <w:lang w:val="sr-Latn-ME"/>
        </w:rPr>
        <w:t>Ispitivan je farmakokinetičko/farmakodinamski (PK/PD) odnos između koncentracija rivaroksabana u plazmi i nekih ciljnih farmakodinamskih parametara (inhibicija faktora Xa, PT, aPTT, Heptest) posl</w:t>
      </w:r>
      <w:r w:rsidR="007037C3" w:rsidRPr="007D7545">
        <w:rPr>
          <w:color w:val="000000"/>
          <w:sz w:val="22"/>
          <w:szCs w:val="22"/>
          <w:lang w:val="sr-Latn-ME"/>
        </w:rPr>
        <w:t>ij</w:t>
      </w:r>
      <w:r w:rsidRPr="007D7545">
        <w:rPr>
          <w:color w:val="000000"/>
          <w:sz w:val="22"/>
          <w:szCs w:val="22"/>
          <w:lang w:val="sr-Latn-ME"/>
        </w:rPr>
        <w:t>e primjene širokog raspona doza (5-30 mg dva puta dnevno). Odnos između koncentracija rivaroksabana i aktivnosti faktora Xa najbolje se opisuje E</w:t>
      </w:r>
      <w:r w:rsidRPr="007D7545">
        <w:rPr>
          <w:color w:val="000000"/>
          <w:sz w:val="22"/>
          <w:szCs w:val="22"/>
          <w:vertAlign w:val="subscript"/>
          <w:lang w:val="sr-Latn-ME"/>
        </w:rPr>
        <w:t xml:space="preserve">max </w:t>
      </w:r>
      <w:r w:rsidRPr="007D7545">
        <w:rPr>
          <w:color w:val="000000"/>
          <w:sz w:val="22"/>
          <w:szCs w:val="22"/>
          <w:lang w:val="sr-Latn-ME"/>
        </w:rPr>
        <w:t xml:space="preserve">modelom. U principu, za PT, vrijednosti bolje opisuje linearni model (engl. </w:t>
      </w:r>
      <w:r w:rsidRPr="007D7545">
        <w:rPr>
          <w:i/>
          <w:color w:val="000000"/>
          <w:sz w:val="22"/>
          <w:szCs w:val="22"/>
          <w:lang w:val="sr-Latn-ME"/>
        </w:rPr>
        <w:t>linear intercept model</w:t>
      </w:r>
      <w:r w:rsidRPr="007D7545">
        <w:rPr>
          <w:color w:val="000000"/>
          <w:sz w:val="22"/>
          <w:szCs w:val="22"/>
          <w:lang w:val="sr-Latn-ME"/>
        </w:rPr>
        <w:t>). Nagib značajno varira u zavisnosti od toga koji je PT reagens u pitanju. Kada je korišćen Neoplastin PT, početna PT vrijednost bila je oko 13 s, a nagib je bio oko 3-4 s/(100 mikrograma/</w:t>
      </w:r>
      <w:r w:rsidR="007037C3" w:rsidRPr="007D7545">
        <w:rPr>
          <w:color w:val="000000"/>
          <w:sz w:val="22"/>
          <w:szCs w:val="22"/>
          <w:lang w:val="sr-Latn-ME"/>
        </w:rPr>
        <w:t>l</w:t>
      </w:r>
      <w:r w:rsidRPr="007D7545">
        <w:rPr>
          <w:color w:val="000000"/>
          <w:sz w:val="22"/>
          <w:szCs w:val="22"/>
          <w:lang w:val="sr-Latn-ME"/>
        </w:rPr>
        <w:t>). Rezultati PK/PD analize u studijama II i III faze bili su u skladu sa podacima dobijenim kod zdravih ispitanika. Kod pacijenata, na početne vrijednosti faktora Xa i PT uticala je hirurška intervencija, što je dovelo do razlike u nagibu odnosa koncentracija-PT između vrijednosti na dan posl</w:t>
      </w:r>
      <w:r w:rsidR="007037C3" w:rsidRPr="007D7545">
        <w:rPr>
          <w:color w:val="000000"/>
          <w:sz w:val="22"/>
          <w:szCs w:val="22"/>
          <w:lang w:val="sr-Latn-ME"/>
        </w:rPr>
        <w:t>ij</w:t>
      </w:r>
      <w:r w:rsidRPr="007D7545">
        <w:rPr>
          <w:color w:val="000000"/>
          <w:sz w:val="22"/>
          <w:szCs w:val="22"/>
          <w:lang w:val="sr-Latn-ME"/>
        </w:rPr>
        <w:t>e operacije i vrijednosti u stanju ravnoteže.</w:t>
      </w:r>
    </w:p>
    <w:p w14:paraId="749CB663" w14:textId="77777777" w:rsidR="00685DA7" w:rsidRPr="007D7545" w:rsidRDefault="00685DA7" w:rsidP="005D101E">
      <w:pPr>
        <w:ind w:hanging="10"/>
        <w:jc w:val="both"/>
        <w:rPr>
          <w:color w:val="000000"/>
          <w:sz w:val="22"/>
          <w:szCs w:val="22"/>
          <w:lang w:val="sr-Latn-ME"/>
        </w:rPr>
      </w:pPr>
    </w:p>
    <w:p w14:paraId="406C88BF" w14:textId="77777777" w:rsidR="001E010E" w:rsidRPr="007D7545" w:rsidRDefault="001E010E" w:rsidP="005D101E">
      <w:pPr>
        <w:keepNext/>
        <w:keepLines/>
        <w:ind w:hanging="14"/>
        <w:outlineLvl w:val="1"/>
        <w:rPr>
          <w:color w:val="000000"/>
          <w:sz w:val="22"/>
          <w:szCs w:val="22"/>
          <w:u w:val="single" w:color="000000"/>
          <w:lang w:val="sr-Latn-ME"/>
        </w:rPr>
      </w:pPr>
      <w:r w:rsidRPr="007D7545">
        <w:rPr>
          <w:color w:val="000000"/>
          <w:sz w:val="22"/>
          <w:szCs w:val="22"/>
          <w:u w:val="single" w:color="000000"/>
          <w:lang w:val="sr-Latn-ME"/>
        </w:rPr>
        <w:t>Pedijatrijska populacija</w:t>
      </w:r>
    </w:p>
    <w:p w14:paraId="6DA6B790" w14:textId="03D04F8B" w:rsidR="0072020E" w:rsidRPr="007D7545" w:rsidRDefault="001E010E" w:rsidP="005D101E">
      <w:pPr>
        <w:tabs>
          <w:tab w:val="left" w:pos="540"/>
          <w:tab w:val="left" w:pos="569"/>
        </w:tabs>
        <w:rPr>
          <w:bCs/>
          <w:sz w:val="22"/>
          <w:szCs w:val="22"/>
          <w:lang w:val="sr-Latn-ME"/>
        </w:rPr>
      </w:pPr>
      <w:r w:rsidRPr="007D7545">
        <w:rPr>
          <w:color w:val="000000"/>
          <w:sz w:val="22"/>
          <w:szCs w:val="22"/>
          <w:lang w:val="sr-Latn-ME"/>
        </w:rPr>
        <w:t>Za d</w:t>
      </w:r>
      <w:r w:rsidR="00E37340" w:rsidRPr="007D7545">
        <w:rPr>
          <w:color w:val="000000"/>
          <w:sz w:val="22"/>
          <w:szCs w:val="22"/>
          <w:lang w:val="sr-Latn-ME"/>
        </w:rPr>
        <w:t>j</w:t>
      </w:r>
      <w:r w:rsidRPr="007D7545">
        <w:rPr>
          <w:color w:val="000000"/>
          <w:sz w:val="22"/>
          <w:szCs w:val="22"/>
          <w:lang w:val="sr-Latn-ME"/>
        </w:rPr>
        <w:t>ecu i adolescente uzrasta do 18 godina ni</w:t>
      </w:r>
      <w:r w:rsidR="00E37340" w:rsidRPr="007D7545">
        <w:rPr>
          <w:color w:val="000000"/>
          <w:sz w:val="22"/>
          <w:szCs w:val="22"/>
          <w:lang w:val="sr-Latn-ME"/>
        </w:rPr>
        <w:t>je</w:t>
      </w:r>
      <w:r w:rsidRPr="007D7545">
        <w:rPr>
          <w:color w:val="000000"/>
          <w:sz w:val="22"/>
          <w:szCs w:val="22"/>
          <w:lang w:val="sr-Latn-ME"/>
        </w:rPr>
        <w:t>su ustanovljeni bezbjednost i efikasnost</w:t>
      </w:r>
      <w:r w:rsidR="001D4920" w:rsidRPr="007D7545">
        <w:rPr>
          <w:color w:val="000000"/>
          <w:sz w:val="22"/>
          <w:szCs w:val="22"/>
          <w:lang w:val="sr-Latn-ME"/>
        </w:rPr>
        <w:t xml:space="preserve"> za indikaciju primarna prevencija venske tromboembolije (VTE)</w:t>
      </w:r>
      <w:r w:rsidRPr="007D7545">
        <w:rPr>
          <w:color w:val="000000"/>
          <w:sz w:val="22"/>
          <w:szCs w:val="22"/>
          <w:lang w:val="sr-Latn-ME"/>
        </w:rPr>
        <w:t>.</w:t>
      </w:r>
    </w:p>
    <w:p w14:paraId="1AB4C2E1" w14:textId="77777777" w:rsidR="001E010E" w:rsidRPr="007D7545" w:rsidRDefault="001E010E" w:rsidP="005D101E">
      <w:pPr>
        <w:tabs>
          <w:tab w:val="left" w:pos="540"/>
          <w:tab w:val="left" w:pos="569"/>
        </w:tabs>
        <w:rPr>
          <w:b/>
          <w:bCs/>
          <w:sz w:val="22"/>
          <w:szCs w:val="22"/>
          <w:lang w:val="sr-Latn-ME"/>
        </w:rPr>
      </w:pPr>
    </w:p>
    <w:p w14:paraId="2FDCF96A" w14:textId="51A74FFF" w:rsidR="0072020E" w:rsidRPr="007D7545" w:rsidRDefault="0072020E" w:rsidP="005D101E">
      <w:pPr>
        <w:tabs>
          <w:tab w:val="left" w:pos="540"/>
          <w:tab w:val="left" w:pos="569"/>
        </w:tabs>
        <w:rPr>
          <w:b/>
          <w:bCs/>
          <w:sz w:val="22"/>
          <w:szCs w:val="22"/>
          <w:lang w:val="sr-Latn-ME"/>
        </w:rPr>
      </w:pPr>
      <w:r w:rsidRPr="007D7545">
        <w:rPr>
          <w:b/>
          <w:bCs/>
          <w:sz w:val="22"/>
          <w:szCs w:val="22"/>
          <w:lang w:val="sr-Latn-ME"/>
        </w:rPr>
        <w:t xml:space="preserve">5.3. </w:t>
      </w:r>
      <w:r w:rsidR="00480FB1" w:rsidRPr="007D7545">
        <w:rPr>
          <w:b/>
          <w:bCs/>
          <w:sz w:val="22"/>
          <w:szCs w:val="22"/>
          <w:lang w:val="sr-Latn-ME"/>
        </w:rPr>
        <w:tab/>
      </w:r>
      <w:r w:rsidRPr="007D7545">
        <w:rPr>
          <w:b/>
          <w:bCs/>
          <w:sz w:val="22"/>
          <w:szCs w:val="22"/>
          <w:lang w:val="sr-Latn-ME"/>
        </w:rPr>
        <w:t xml:space="preserve">Pretklinički podaci o bezbjednosti </w:t>
      </w:r>
    </w:p>
    <w:p w14:paraId="4B5912C7" w14:textId="77777777" w:rsidR="00836B35" w:rsidRPr="007D7545" w:rsidRDefault="00836B35" w:rsidP="005D101E">
      <w:pPr>
        <w:tabs>
          <w:tab w:val="left" w:pos="540"/>
          <w:tab w:val="left" w:pos="569"/>
        </w:tabs>
        <w:rPr>
          <w:bCs/>
          <w:sz w:val="22"/>
          <w:szCs w:val="22"/>
          <w:lang w:val="sr-Latn-ME"/>
        </w:rPr>
      </w:pPr>
    </w:p>
    <w:p w14:paraId="2B62CC4D" w14:textId="0706D069" w:rsidR="001E010E" w:rsidRPr="007D7545" w:rsidRDefault="001E010E" w:rsidP="005D101E">
      <w:pPr>
        <w:ind w:hanging="10"/>
        <w:jc w:val="both"/>
        <w:rPr>
          <w:color w:val="000000"/>
          <w:sz w:val="22"/>
          <w:szCs w:val="22"/>
          <w:lang w:val="sr-Latn-ME"/>
        </w:rPr>
      </w:pPr>
      <w:r w:rsidRPr="007D7545">
        <w:rPr>
          <w:color w:val="000000"/>
          <w:sz w:val="22"/>
          <w:szCs w:val="22"/>
          <w:lang w:val="sr-Latn-ME"/>
        </w:rPr>
        <w:t>Pretklinički podaci ni</w:t>
      </w:r>
      <w:r w:rsidR="00E37340" w:rsidRPr="007D7545">
        <w:rPr>
          <w:color w:val="000000"/>
          <w:sz w:val="22"/>
          <w:szCs w:val="22"/>
          <w:lang w:val="sr-Latn-ME"/>
        </w:rPr>
        <w:t>je</w:t>
      </w:r>
      <w:r w:rsidRPr="007D7545">
        <w:rPr>
          <w:color w:val="000000"/>
          <w:sz w:val="22"/>
          <w:szCs w:val="22"/>
          <w:lang w:val="sr-Latn-ME"/>
        </w:rPr>
        <w:t>su otkrili poseban rizik za ljude na osnovu standardnih pretkliničkih studija bezb</w:t>
      </w:r>
      <w:r w:rsidR="00E37340" w:rsidRPr="007D7545">
        <w:rPr>
          <w:color w:val="000000"/>
          <w:sz w:val="22"/>
          <w:szCs w:val="22"/>
          <w:lang w:val="sr-Latn-ME"/>
        </w:rPr>
        <w:t>j</w:t>
      </w:r>
      <w:r w:rsidRPr="007D7545">
        <w:rPr>
          <w:color w:val="000000"/>
          <w:sz w:val="22"/>
          <w:szCs w:val="22"/>
          <w:lang w:val="sr-Latn-ME"/>
        </w:rPr>
        <w:t>ednosne farmakologije, studija akutne toksičnosti, fototoksičnosti, genotoksičnosti, karcinogenog potencijala i reproduktivne toksičnosti.</w:t>
      </w:r>
    </w:p>
    <w:p w14:paraId="08446E35" w14:textId="30AF728C" w:rsidR="001E010E" w:rsidRPr="007D7545" w:rsidRDefault="001E010E" w:rsidP="005D101E">
      <w:pPr>
        <w:ind w:hanging="10"/>
        <w:jc w:val="both"/>
        <w:rPr>
          <w:color w:val="000000"/>
          <w:sz w:val="22"/>
          <w:szCs w:val="22"/>
          <w:lang w:val="sr-Latn-ME"/>
        </w:rPr>
      </w:pPr>
      <w:r w:rsidRPr="007D7545">
        <w:rPr>
          <w:color w:val="000000"/>
          <w:sz w:val="22"/>
          <w:szCs w:val="22"/>
          <w:lang w:val="sr-Latn-ME"/>
        </w:rPr>
        <w:t>Efekti dobijeni u studijama toksičnosti ponovljenih doza uglavnom su rezultat povećane farmakodinamske aktivnosti rivaroksabana. Kod pacova, prim</w:t>
      </w:r>
      <w:r w:rsidR="00E37340" w:rsidRPr="007D7545">
        <w:rPr>
          <w:color w:val="000000"/>
          <w:sz w:val="22"/>
          <w:szCs w:val="22"/>
          <w:lang w:val="sr-Latn-ME"/>
        </w:rPr>
        <w:t>i</w:t>
      </w:r>
      <w:r w:rsidRPr="007D7545">
        <w:rPr>
          <w:color w:val="000000"/>
          <w:sz w:val="22"/>
          <w:szCs w:val="22"/>
          <w:lang w:val="sr-Latn-ME"/>
        </w:rPr>
        <w:t>jećeno je povećanje nivoa IgG i IgA u plazmi pri klinički značajnim vrijednostima izloženosti.</w:t>
      </w:r>
    </w:p>
    <w:p w14:paraId="2561600A" w14:textId="77777777" w:rsidR="00E37340" w:rsidRPr="007D7545" w:rsidRDefault="00E37340" w:rsidP="005D101E">
      <w:pPr>
        <w:ind w:hanging="10"/>
        <w:jc w:val="both"/>
        <w:rPr>
          <w:color w:val="000000"/>
          <w:sz w:val="22"/>
          <w:szCs w:val="22"/>
          <w:lang w:val="sr-Latn-ME"/>
        </w:rPr>
      </w:pPr>
    </w:p>
    <w:p w14:paraId="44449EA0" w14:textId="56995B30" w:rsidR="001E010E" w:rsidRPr="007D7545" w:rsidRDefault="001E010E" w:rsidP="005D101E">
      <w:pPr>
        <w:ind w:hanging="10"/>
        <w:jc w:val="both"/>
        <w:rPr>
          <w:color w:val="000000"/>
          <w:sz w:val="22"/>
          <w:szCs w:val="22"/>
          <w:lang w:val="sr-Latn-ME"/>
        </w:rPr>
      </w:pPr>
      <w:r w:rsidRPr="007D7545">
        <w:rPr>
          <w:color w:val="000000"/>
          <w:sz w:val="22"/>
          <w:szCs w:val="22"/>
          <w:lang w:val="sr-Latn-ME"/>
        </w:rPr>
        <w:t>Kod pacova nije prim</w:t>
      </w:r>
      <w:r w:rsidR="00E37340" w:rsidRPr="007D7545">
        <w:rPr>
          <w:color w:val="000000"/>
          <w:sz w:val="22"/>
          <w:szCs w:val="22"/>
          <w:lang w:val="sr-Latn-ME"/>
        </w:rPr>
        <w:t>i</w:t>
      </w:r>
      <w:r w:rsidRPr="007D7545">
        <w:rPr>
          <w:color w:val="000000"/>
          <w:sz w:val="22"/>
          <w:szCs w:val="22"/>
          <w:lang w:val="sr-Latn-ME"/>
        </w:rPr>
        <w:t>jećen uticaj na plodnost ni kod mužjaka ni kod ženki. Studije na životinjama su pokazale reproduktivnu toksičnost koja je rezultat farmakološkog mehanizma dejstva rivaroksabana (npr. hemoragijske komplikacije). Embrio-fetalna toksičnost (gubitak posl</w:t>
      </w:r>
      <w:r w:rsidR="00E37340" w:rsidRPr="007D7545">
        <w:rPr>
          <w:color w:val="000000"/>
          <w:sz w:val="22"/>
          <w:szCs w:val="22"/>
          <w:lang w:val="sr-Latn-ME"/>
        </w:rPr>
        <w:t>ij</w:t>
      </w:r>
      <w:r w:rsidRPr="007D7545">
        <w:rPr>
          <w:color w:val="000000"/>
          <w:sz w:val="22"/>
          <w:szCs w:val="22"/>
          <w:lang w:val="sr-Latn-ME"/>
        </w:rPr>
        <w:t>e implantacije, usporena/uznapredovala osifikacija, multiple svi</w:t>
      </w:r>
      <w:r w:rsidR="00E37340" w:rsidRPr="007D7545">
        <w:rPr>
          <w:color w:val="000000"/>
          <w:sz w:val="22"/>
          <w:szCs w:val="22"/>
          <w:lang w:val="sr-Latn-ME"/>
        </w:rPr>
        <w:t>j</w:t>
      </w:r>
      <w:r w:rsidRPr="007D7545">
        <w:rPr>
          <w:color w:val="000000"/>
          <w:sz w:val="22"/>
          <w:szCs w:val="22"/>
          <w:lang w:val="sr-Latn-ME"/>
        </w:rPr>
        <w:t>etle mrlje na jetri) i povećana učestalost uobičajenih malformacija, kao i promjene na placenti, zapažene su pri klinički značajnim koncentracijama lijeka u plazmi. U studijama pre- i postnatalnog razvoja na pacovima, prim</w:t>
      </w:r>
      <w:r w:rsidR="00E37340" w:rsidRPr="007D7545">
        <w:rPr>
          <w:color w:val="000000"/>
          <w:sz w:val="22"/>
          <w:szCs w:val="22"/>
          <w:lang w:val="sr-Latn-ME"/>
        </w:rPr>
        <w:t>i</w:t>
      </w:r>
      <w:r w:rsidRPr="007D7545">
        <w:rPr>
          <w:color w:val="000000"/>
          <w:sz w:val="22"/>
          <w:szCs w:val="22"/>
          <w:lang w:val="sr-Latn-ME"/>
        </w:rPr>
        <w:t>jećena je smanjena sposobnost preživljavanja okota u dozama koje su bile toksične za majke.</w:t>
      </w:r>
    </w:p>
    <w:p w14:paraId="386C46D5" w14:textId="77777777" w:rsidR="00747652" w:rsidRPr="007D7545" w:rsidRDefault="00747652" w:rsidP="005D101E">
      <w:pPr>
        <w:ind w:hanging="10"/>
        <w:jc w:val="both"/>
        <w:rPr>
          <w:color w:val="000000"/>
          <w:sz w:val="22"/>
          <w:szCs w:val="22"/>
          <w:lang w:val="sr-Latn-ME"/>
        </w:rPr>
      </w:pPr>
    </w:p>
    <w:p w14:paraId="333229C5" w14:textId="77777777" w:rsidR="00396DFD" w:rsidRPr="007D7545" w:rsidRDefault="00396DFD" w:rsidP="005D101E">
      <w:pPr>
        <w:tabs>
          <w:tab w:val="left" w:pos="540"/>
          <w:tab w:val="left" w:pos="569"/>
        </w:tabs>
        <w:rPr>
          <w:b/>
          <w:bCs/>
          <w:sz w:val="22"/>
          <w:szCs w:val="22"/>
          <w:lang w:val="sr-Latn-ME"/>
        </w:rPr>
      </w:pPr>
    </w:p>
    <w:p w14:paraId="26793D5D" w14:textId="77777777" w:rsidR="0072020E" w:rsidRPr="007D7545" w:rsidRDefault="0072020E" w:rsidP="005D101E">
      <w:pPr>
        <w:tabs>
          <w:tab w:val="left" w:pos="540"/>
          <w:tab w:val="left" w:pos="569"/>
        </w:tabs>
        <w:rPr>
          <w:b/>
          <w:bCs/>
          <w:sz w:val="22"/>
          <w:szCs w:val="22"/>
          <w:lang w:val="sr-Latn-ME"/>
        </w:rPr>
      </w:pPr>
      <w:r w:rsidRPr="007D7545">
        <w:rPr>
          <w:b/>
          <w:bCs/>
          <w:sz w:val="22"/>
          <w:szCs w:val="22"/>
          <w:lang w:val="sr-Latn-ME"/>
        </w:rPr>
        <w:t xml:space="preserve">6. </w:t>
      </w:r>
      <w:r w:rsidR="00480FB1" w:rsidRPr="007D7545">
        <w:rPr>
          <w:b/>
          <w:bCs/>
          <w:sz w:val="22"/>
          <w:szCs w:val="22"/>
          <w:lang w:val="sr-Latn-ME"/>
        </w:rPr>
        <w:tab/>
      </w:r>
      <w:r w:rsidRPr="007D7545">
        <w:rPr>
          <w:b/>
          <w:bCs/>
          <w:sz w:val="22"/>
          <w:szCs w:val="22"/>
          <w:lang w:val="sr-Latn-ME"/>
        </w:rPr>
        <w:t>FARMACEUTSKI PODACI</w:t>
      </w:r>
    </w:p>
    <w:p w14:paraId="1433E79D" w14:textId="77777777" w:rsidR="00836B35" w:rsidRPr="007D7545" w:rsidRDefault="00836B35" w:rsidP="005D101E">
      <w:pPr>
        <w:tabs>
          <w:tab w:val="left" w:pos="540"/>
          <w:tab w:val="left" w:pos="569"/>
        </w:tabs>
        <w:rPr>
          <w:bCs/>
          <w:sz w:val="22"/>
          <w:szCs w:val="22"/>
          <w:lang w:val="sr-Latn-ME"/>
        </w:rPr>
      </w:pPr>
    </w:p>
    <w:p w14:paraId="264928CF" w14:textId="77777777" w:rsidR="0072020E" w:rsidRPr="007D7545" w:rsidRDefault="0072020E" w:rsidP="005D101E">
      <w:pPr>
        <w:tabs>
          <w:tab w:val="left" w:pos="540"/>
          <w:tab w:val="left" w:pos="569"/>
        </w:tabs>
        <w:rPr>
          <w:b/>
          <w:bCs/>
          <w:sz w:val="22"/>
          <w:szCs w:val="22"/>
          <w:lang w:val="sr-Latn-ME"/>
        </w:rPr>
      </w:pPr>
      <w:r w:rsidRPr="007D7545">
        <w:rPr>
          <w:b/>
          <w:bCs/>
          <w:sz w:val="22"/>
          <w:szCs w:val="22"/>
          <w:lang w:val="sr-Latn-ME"/>
        </w:rPr>
        <w:t xml:space="preserve">6.1. </w:t>
      </w:r>
      <w:r w:rsidR="00480FB1" w:rsidRPr="007D7545">
        <w:rPr>
          <w:b/>
          <w:bCs/>
          <w:sz w:val="22"/>
          <w:szCs w:val="22"/>
          <w:lang w:val="sr-Latn-ME"/>
        </w:rPr>
        <w:tab/>
      </w:r>
      <w:r w:rsidRPr="007D7545">
        <w:rPr>
          <w:b/>
          <w:bCs/>
          <w:sz w:val="22"/>
          <w:szCs w:val="22"/>
          <w:lang w:val="sr-Latn-ME"/>
        </w:rPr>
        <w:t>Lista pomoćnih supstanci</w:t>
      </w:r>
      <w:r w:rsidR="002E0135" w:rsidRPr="007D7545">
        <w:rPr>
          <w:b/>
          <w:bCs/>
          <w:sz w:val="22"/>
          <w:szCs w:val="22"/>
          <w:lang w:val="sr-Latn-ME"/>
        </w:rPr>
        <w:t xml:space="preserve"> (ekscipijenasa)</w:t>
      </w:r>
    </w:p>
    <w:p w14:paraId="4D50100E" w14:textId="77777777" w:rsidR="001E010E" w:rsidRPr="007D7545" w:rsidRDefault="001E010E" w:rsidP="005D101E">
      <w:pPr>
        <w:ind w:left="14" w:hanging="14"/>
        <w:jc w:val="both"/>
        <w:rPr>
          <w:i/>
          <w:color w:val="000000"/>
          <w:sz w:val="22"/>
          <w:szCs w:val="22"/>
          <w:lang w:val="sr-Latn-ME"/>
        </w:rPr>
      </w:pPr>
    </w:p>
    <w:p w14:paraId="7D83A9B1" w14:textId="294B6AE1" w:rsidR="001E010E" w:rsidRPr="007D7545" w:rsidRDefault="001E010E" w:rsidP="005D101E">
      <w:pPr>
        <w:ind w:left="14" w:hanging="14"/>
        <w:jc w:val="both"/>
        <w:rPr>
          <w:i/>
          <w:color w:val="000000"/>
          <w:sz w:val="22"/>
          <w:szCs w:val="22"/>
          <w:lang w:val="sr-Latn-ME"/>
        </w:rPr>
      </w:pPr>
      <w:r w:rsidRPr="007D7545">
        <w:rPr>
          <w:i/>
          <w:color w:val="000000"/>
          <w:sz w:val="22"/>
          <w:szCs w:val="22"/>
          <w:lang w:val="sr-Latn-ME"/>
        </w:rPr>
        <w:t>Jezgro tablete:</w:t>
      </w:r>
    </w:p>
    <w:p w14:paraId="3F11F505" w14:textId="77777777" w:rsidR="001E010E" w:rsidRPr="007D7545" w:rsidRDefault="001E010E" w:rsidP="005D101E">
      <w:pPr>
        <w:ind w:left="14" w:hanging="14"/>
        <w:jc w:val="both"/>
        <w:rPr>
          <w:color w:val="000000"/>
          <w:sz w:val="22"/>
          <w:szCs w:val="22"/>
          <w:lang w:val="sr-Latn-ME"/>
        </w:rPr>
      </w:pPr>
      <w:r w:rsidRPr="007D7545">
        <w:rPr>
          <w:color w:val="000000"/>
          <w:sz w:val="22"/>
          <w:szCs w:val="22"/>
          <w:lang w:val="sr-Latn-ME"/>
        </w:rPr>
        <w:t>Natrijum laurilsulfat</w:t>
      </w:r>
    </w:p>
    <w:p w14:paraId="2EF19543" w14:textId="77777777" w:rsidR="001E010E" w:rsidRPr="007D7545" w:rsidRDefault="001E010E" w:rsidP="005D101E">
      <w:pPr>
        <w:ind w:left="14" w:hanging="14"/>
        <w:rPr>
          <w:color w:val="000000"/>
          <w:sz w:val="22"/>
          <w:szCs w:val="22"/>
          <w:lang w:val="sr-Latn-ME"/>
        </w:rPr>
      </w:pPr>
      <w:r w:rsidRPr="007D7545">
        <w:rPr>
          <w:color w:val="000000"/>
          <w:sz w:val="22"/>
          <w:szCs w:val="22"/>
          <w:lang w:val="sr-Latn-ME"/>
        </w:rPr>
        <w:t>Laktoza monohidrat</w:t>
      </w:r>
    </w:p>
    <w:p w14:paraId="04F7FA05" w14:textId="77777777" w:rsidR="001E010E" w:rsidRPr="007D7545" w:rsidRDefault="001E010E" w:rsidP="005D101E">
      <w:pPr>
        <w:ind w:left="14" w:hanging="14"/>
        <w:rPr>
          <w:color w:val="000000"/>
          <w:sz w:val="22"/>
          <w:szCs w:val="22"/>
          <w:lang w:val="sr-Latn-ME"/>
        </w:rPr>
      </w:pPr>
      <w:r w:rsidRPr="007D7545">
        <w:rPr>
          <w:color w:val="000000"/>
          <w:sz w:val="22"/>
          <w:szCs w:val="22"/>
          <w:lang w:val="sr-Latn-ME"/>
        </w:rPr>
        <w:t xml:space="preserve">Celuloza, mikrokristalna </w:t>
      </w:r>
    </w:p>
    <w:p w14:paraId="383F3AA7" w14:textId="77777777" w:rsidR="001E010E" w:rsidRPr="007D7545" w:rsidRDefault="001E010E" w:rsidP="005D101E">
      <w:pPr>
        <w:ind w:left="14" w:hanging="14"/>
        <w:jc w:val="both"/>
        <w:rPr>
          <w:color w:val="000000"/>
          <w:sz w:val="22"/>
          <w:szCs w:val="22"/>
          <w:lang w:val="sr-Latn-ME"/>
        </w:rPr>
      </w:pPr>
      <w:r w:rsidRPr="007D7545">
        <w:rPr>
          <w:color w:val="000000"/>
          <w:sz w:val="22"/>
          <w:szCs w:val="22"/>
          <w:lang w:val="sr-Latn-ME"/>
        </w:rPr>
        <w:t>Magnezijum stearat</w:t>
      </w:r>
    </w:p>
    <w:p w14:paraId="6CB9F248" w14:textId="77777777" w:rsidR="001E010E" w:rsidRPr="007D7545" w:rsidRDefault="001E010E" w:rsidP="005D101E">
      <w:pPr>
        <w:ind w:left="11" w:right="6" w:hanging="11"/>
        <w:jc w:val="both"/>
        <w:rPr>
          <w:color w:val="000000"/>
          <w:sz w:val="22"/>
          <w:szCs w:val="22"/>
          <w:lang w:val="sr-Latn-ME"/>
        </w:rPr>
      </w:pPr>
      <w:r w:rsidRPr="007D7545">
        <w:rPr>
          <w:color w:val="000000"/>
          <w:sz w:val="22"/>
          <w:szCs w:val="22"/>
          <w:lang w:val="sr-Latn-ME"/>
        </w:rPr>
        <w:t>Skrob preželatinizovani</w:t>
      </w:r>
    </w:p>
    <w:p w14:paraId="3490974A" w14:textId="77777777" w:rsidR="001E010E" w:rsidRPr="007D7545" w:rsidRDefault="001E010E" w:rsidP="005D101E">
      <w:pPr>
        <w:ind w:left="11" w:right="6" w:hanging="11"/>
        <w:jc w:val="both"/>
        <w:rPr>
          <w:color w:val="000000"/>
          <w:sz w:val="22"/>
          <w:szCs w:val="22"/>
          <w:lang w:val="sr-Latn-ME"/>
        </w:rPr>
      </w:pPr>
      <w:r w:rsidRPr="007D7545">
        <w:rPr>
          <w:color w:val="000000"/>
          <w:sz w:val="22"/>
          <w:szCs w:val="22"/>
          <w:lang w:val="sr-Latn-ME"/>
        </w:rPr>
        <w:t>Povidon K30</w:t>
      </w:r>
    </w:p>
    <w:p w14:paraId="2A08B159" w14:textId="77777777" w:rsidR="001E010E" w:rsidRPr="007D7545" w:rsidRDefault="001E010E" w:rsidP="005D101E">
      <w:pPr>
        <w:ind w:left="11" w:right="6" w:hanging="11"/>
        <w:jc w:val="both"/>
        <w:rPr>
          <w:color w:val="000000"/>
          <w:sz w:val="22"/>
          <w:szCs w:val="22"/>
          <w:lang w:val="sr-Latn-ME"/>
        </w:rPr>
      </w:pPr>
      <w:r w:rsidRPr="007D7545">
        <w:rPr>
          <w:color w:val="000000"/>
          <w:sz w:val="22"/>
          <w:szCs w:val="22"/>
          <w:lang w:val="sr-Latn-ME"/>
        </w:rPr>
        <w:t xml:space="preserve">Krospovidon </w:t>
      </w:r>
    </w:p>
    <w:p w14:paraId="2A887767" w14:textId="77777777" w:rsidR="001E010E" w:rsidRPr="007D7545" w:rsidRDefault="001E010E" w:rsidP="005D101E">
      <w:pPr>
        <w:ind w:left="11" w:right="6" w:hanging="11"/>
        <w:jc w:val="both"/>
        <w:rPr>
          <w:color w:val="000000"/>
          <w:sz w:val="22"/>
          <w:szCs w:val="22"/>
          <w:lang w:val="sr-Latn-ME"/>
        </w:rPr>
      </w:pPr>
    </w:p>
    <w:p w14:paraId="50597C9D" w14:textId="77777777" w:rsidR="001E010E" w:rsidRPr="007D7545" w:rsidRDefault="001E010E" w:rsidP="005D101E">
      <w:pPr>
        <w:ind w:left="14" w:hanging="14"/>
        <w:jc w:val="both"/>
        <w:rPr>
          <w:color w:val="000000"/>
          <w:sz w:val="22"/>
          <w:szCs w:val="22"/>
          <w:lang w:val="sr-Latn-ME"/>
        </w:rPr>
      </w:pPr>
      <w:r w:rsidRPr="007D7545">
        <w:rPr>
          <w:i/>
          <w:color w:val="000000"/>
          <w:sz w:val="22"/>
          <w:szCs w:val="22"/>
          <w:lang w:val="sr-Latn-ME"/>
        </w:rPr>
        <w:t>Film obloga tablete:</w:t>
      </w:r>
      <w:r w:rsidRPr="007D7545">
        <w:rPr>
          <w:color w:val="000000"/>
          <w:sz w:val="22"/>
          <w:szCs w:val="22"/>
          <w:lang w:val="sr-Latn-ME"/>
        </w:rPr>
        <w:t xml:space="preserve"> </w:t>
      </w:r>
    </w:p>
    <w:p w14:paraId="140E76D8" w14:textId="77777777" w:rsidR="001E010E" w:rsidRPr="007D7545" w:rsidRDefault="001E010E" w:rsidP="005D101E">
      <w:pPr>
        <w:ind w:left="14" w:hanging="14"/>
        <w:jc w:val="both"/>
        <w:rPr>
          <w:color w:val="000000"/>
          <w:sz w:val="22"/>
          <w:szCs w:val="22"/>
          <w:lang w:val="sr-Latn-ME"/>
        </w:rPr>
      </w:pPr>
      <w:r w:rsidRPr="007D7545">
        <w:rPr>
          <w:i/>
          <w:color w:val="000000"/>
          <w:sz w:val="22"/>
          <w:szCs w:val="22"/>
          <w:lang w:val="sr-Latn-ME"/>
        </w:rPr>
        <w:t xml:space="preserve">Opadry 03F240043 pink, </w:t>
      </w:r>
      <w:r w:rsidRPr="007D7545">
        <w:rPr>
          <w:color w:val="000000"/>
          <w:sz w:val="22"/>
          <w:szCs w:val="22"/>
          <w:lang w:val="sr-Latn-ME"/>
        </w:rPr>
        <w:t>sastava:</w:t>
      </w:r>
    </w:p>
    <w:p w14:paraId="09F1EDDA" w14:textId="77777777" w:rsidR="001E010E" w:rsidRPr="007D7545" w:rsidRDefault="001E010E" w:rsidP="005D101E">
      <w:pPr>
        <w:ind w:left="14" w:hanging="14"/>
        <w:jc w:val="both"/>
        <w:rPr>
          <w:color w:val="000000"/>
          <w:sz w:val="22"/>
          <w:szCs w:val="22"/>
          <w:lang w:val="sr-Latn-ME"/>
        </w:rPr>
      </w:pPr>
      <w:r w:rsidRPr="007D7545">
        <w:rPr>
          <w:color w:val="000000"/>
          <w:sz w:val="22"/>
          <w:szCs w:val="22"/>
          <w:lang w:val="sr-Latn-ME"/>
        </w:rPr>
        <w:t xml:space="preserve">Hipromeloza (E464) </w:t>
      </w:r>
    </w:p>
    <w:p w14:paraId="213E6C36" w14:textId="77777777" w:rsidR="001E010E" w:rsidRPr="007D7545" w:rsidRDefault="001E010E" w:rsidP="005D101E">
      <w:pPr>
        <w:ind w:left="14" w:hanging="14"/>
        <w:jc w:val="both"/>
        <w:rPr>
          <w:color w:val="000000"/>
          <w:sz w:val="22"/>
          <w:szCs w:val="22"/>
          <w:lang w:val="sr-Latn-ME"/>
        </w:rPr>
      </w:pPr>
      <w:r w:rsidRPr="007D7545">
        <w:rPr>
          <w:color w:val="000000"/>
          <w:sz w:val="22"/>
          <w:szCs w:val="22"/>
          <w:lang w:val="sr-Latn-ME"/>
        </w:rPr>
        <w:lastRenderedPageBreak/>
        <w:t xml:space="preserve">Titan dioksid (E171) </w:t>
      </w:r>
    </w:p>
    <w:p w14:paraId="72CA06F1" w14:textId="77777777" w:rsidR="001E010E" w:rsidRPr="007D7545" w:rsidRDefault="001E010E" w:rsidP="005D101E">
      <w:pPr>
        <w:ind w:left="14" w:hanging="14"/>
        <w:jc w:val="both"/>
        <w:rPr>
          <w:color w:val="000000"/>
          <w:sz w:val="22"/>
          <w:szCs w:val="22"/>
          <w:lang w:val="sr-Latn-ME"/>
        </w:rPr>
      </w:pPr>
      <w:r w:rsidRPr="007D7545">
        <w:rPr>
          <w:color w:val="000000"/>
          <w:sz w:val="22"/>
          <w:szCs w:val="22"/>
          <w:lang w:val="sr-Latn-ME"/>
        </w:rPr>
        <w:t>Makrogol 4000 (E1521)</w:t>
      </w:r>
    </w:p>
    <w:p w14:paraId="4B7935A6" w14:textId="2422593E" w:rsidR="001E010E" w:rsidRPr="007D7545" w:rsidRDefault="001E010E" w:rsidP="005D101E">
      <w:pPr>
        <w:ind w:left="14" w:hanging="14"/>
        <w:jc w:val="both"/>
        <w:rPr>
          <w:color w:val="000000"/>
          <w:sz w:val="22"/>
          <w:szCs w:val="22"/>
          <w:lang w:val="sr-Latn-ME"/>
        </w:rPr>
      </w:pPr>
      <w:r w:rsidRPr="007D7545">
        <w:rPr>
          <w:color w:val="000000"/>
          <w:sz w:val="22"/>
          <w:szCs w:val="22"/>
          <w:lang w:val="sr-Latn-ME"/>
        </w:rPr>
        <w:t>Gvožđe</w:t>
      </w:r>
      <w:r w:rsidR="00237FEA" w:rsidRPr="007D7545">
        <w:rPr>
          <w:color w:val="000000"/>
          <w:sz w:val="22"/>
          <w:szCs w:val="22"/>
          <w:lang w:val="sr-Latn-ME"/>
        </w:rPr>
        <w:t xml:space="preserve"> </w:t>
      </w:r>
      <w:r w:rsidRPr="007D7545">
        <w:rPr>
          <w:color w:val="000000"/>
          <w:sz w:val="22"/>
          <w:szCs w:val="22"/>
          <w:lang w:val="sr-Latn-ME"/>
        </w:rPr>
        <w:t>(III)</w:t>
      </w:r>
      <w:r w:rsidR="00237FEA" w:rsidRPr="007D7545">
        <w:rPr>
          <w:color w:val="000000"/>
          <w:sz w:val="22"/>
          <w:szCs w:val="22"/>
          <w:lang w:val="sr-Latn-ME"/>
        </w:rPr>
        <w:t xml:space="preserve"> </w:t>
      </w:r>
      <w:r w:rsidRPr="007D7545">
        <w:rPr>
          <w:color w:val="000000"/>
          <w:sz w:val="22"/>
          <w:szCs w:val="22"/>
          <w:lang w:val="sr-Latn-ME"/>
        </w:rPr>
        <w:t>oksid, crveni (E172).</w:t>
      </w:r>
    </w:p>
    <w:p w14:paraId="5FAF5E92" w14:textId="77777777" w:rsidR="0072020E" w:rsidRPr="007D7545" w:rsidRDefault="0072020E" w:rsidP="005D101E">
      <w:pPr>
        <w:tabs>
          <w:tab w:val="left" w:pos="540"/>
          <w:tab w:val="left" w:pos="569"/>
        </w:tabs>
        <w:rPr>
          <w:bCs/>
          <w:sz w:val="22"/>
          <w:szCs w:val="22"/>
          <w:lang w:val="sr-Latn-ME"/>
        </w:rPr>
      </w:pPr>
    </w:p>
    <w:p w14:paraId="65CBEAEB" w14:textId="05E7385B" w:rsidR="0072020E" w:rsidRPr="007D7545" w:rsidRDefault="0072020E" w:rsidP="005D101E">
      <w:pPr>
        <w:tabs>
          <w:tab w:val="left" w:pos="540"/>
          <w:tab w:val="left" w:pos="569"/>
        </w:tabs>
        <w:rPr>
          <w:b/>
          <w:bCs/>
          <w:sz w:val="22"/>
          <w:szCs w:val="22"/>
          <w:lang w:val="sr-Latn-ME"/>
        </w:rPr>
      </w:pPr>
      <w:r w:rsidRPr="007D7545">
        <w:rPr>
          <w:b/>
          <w:bCs/>
          <w:sz w:val="22"/>
          <w:szCs w:val="22"/>
          <w:lang w:val="sr-Latn-ME"/>
        </w:rPr>
        <w:t xml:space="preserve">6.2. </w:t>
      </w:r>
      <w:r w:rsidR="00480FB1" w:rsidRPr="007D7545">
        <w:rPr>
          <w:b/>
          <w:bCs/>
          <w:sz w:val="22"/>
          <w:szCs w:val="22"/>
          <w:lang w:val="sr-Latn-ME"/>
        </w:rPr>
        <w:tab/>
      </w:r>
      <w:r w:rsidRPr="007D7545">
        <w:rPr>
          <w:b/>
          <w:bCs/>
          <w:sz w:val="22"/>
          <w:szCs w:val="22"/>
          <w:lang w:val="sr-Latn-ME"/>
        </w:rPr>
        <w:t>Inkompatibilnost</w:t>
      </w:r>
      <w:r w:rsidR="002846DB" w:rsidRPr="007D7545">
        <w:rPr>
          <w:b/>
          <w:bCs/>
          <w:sz w:val="22"/>
          <w:szCs w:val="22"/>
          <w:lang w:val="sr-Latn-ME"/>
        </w:rPr>
        <w:t>i</w:t>
      </w:r>
    </w:p>
    <w:p w14:paraId="1269A15A" w14:textId="77777777" w:rsidR="001E010E" w:rsidRPr="007D7545" w:rsidRDefault="001E010E" w:rsidP="005D101E">
      <w:pPr>
        <w:tabs>
          <w:tab w:val="left" w:pos="540"/>
          <w:tab w:val="left" w:pos="569"/>
        </w:tabs>
        <w:rPr>
          <w:b/>
          <w:bCs/>
          <w:sz w:val="22"/>
          <w:szCs w:val="22"/>
          <w:lang w:val="sr-Latn-ME"/>
        </w:rPr>
      </w:pPr>
    </w:p>
    <w:p w14:paraId="5B001814" w14:textId="657AEDFB" w:rsidR="0072020E" w:rsidRPr="007D7545" w:rsidRDefault="001E010E" w:rsidP="005D101E">
      <w:pPr>
        <w:ind w:left="9" w:right="5" w:hanging="10"/>
        <w:jc w:val="both"/>
        <w:rPr>
          <w:color w:val="000000"/>
          <w:sz w:val="22"/>
          <w:szCs w:val="22"/>
          <w:lang w:val="sr-Latn-ME"/>
        </w:rPr>
      </w:pPr>
      <w:r w:rsidRPr="007D7545">
        <w:rPr>
          <w:color w:val="000000"/>
          <w:sz w:val="22"/>
          <w:szCs w:val="22"/>
          <w:lang w:val="sr-Latn-ME"/>
        </w:rPr>
        <w:t>Nije prim</w:t>
      </w:r>
      <w:r w:rsidR="005577FF" w:rsidRPr="007D7545">
        <w:rPr>
          <w:color w:val="000000"/>
          <w:sz w:val="22"/>
          <w:szCs w:val="22"/>
          <w:lang w:val="sr-Latn-ME"/>
        </w:rPr>
        <w:t>j</w:t>
      </w:r>
      <w:r w:rsidRPr="007D7545">
        <w:rPr>
          <w:color w:val="000000"/>
          <w:sz w:val="22"/>
          <w:szCs w:val="22"/>
          <w:lang w:val="sr-Latn-ME"/>
        </w:rPr>
        <w:t>enl</w:t>
      </w:r>
      <w:r w:rsidR="005577FF" w:rsidRPr="007D7545">
        <w:rPr>
          <w:color w:val="000000"/>
          <w:sz w:val="22"/>
          <w:szCs w:val="22"/>
          <w:lang w:val="sr-Latn-ME"/>
        </w:rPr>
        <w:t>j</w:t>
      </w:r>
      <w:r w:rsidRPr="007D7545">
        <w:rPr>
          <w:color w:val="000000"/>
          <w:sz w:val="22"/>
          <w:szCs w:val="22"/>
          <w:lang w:val="sr-Latn-ME"/>
        </w:rPr>
        <w:t>ivo.</w:t>
      </w:r>
    </w:p>
    <w:p w14:paraId="54F32C83" w14:textId="77777777" w:rsidR="005D101E" w:rsidRPr="007D7545" w:rsidRDefault="005D101E" w:rsidP="005D101E">
      <w:pPr>
        <w:tabs>
          <w:tab w:val="left" w:pos="540"/>
          <w:tab w:val="left" w:pos="569"/>
        </w:tabs>
        <w:rPr>
          <w:b/>
          <w:bCs/>
          <w:sz w:val="22"/>
          <w:szCs w:val="22"/>
          <w:lang w:val="sr-Latn-ME"/>
        </w:rPr>
      </w:pPr>
    </w:p>
    <w:p w14:paraId="765BFF26" w14:textId="5349E56B" w:rsidR="001E010E" w:rsidRPr="007D7545" w:rsidRDefault="0072020E" w:rsidP="005D101E">
      <w:pPr>
        <w:tabs>
          <w:tab w:val="left" w:pos="540"/>
          <w:tab w:val="left" w:pos="569"/>
        </w:tabs>
        <w:rPr>
          <w:b/>
          <w:bCs/>
          <w:sz w:val="22"/>
          <w:szCs w:val="22"/>
          <w:lang w:val="sr-Latn-ME"/>
        </w:rPr>
      </w:pPr>
      <w:r w:rsidRPr="007D7545">
        <w:rPr>
          <w:b/>
          <w:bCs/>
          <w:sz w:val="22"/>
          <w:szCs w:val="22"/>
          <w:lang w:val="sr-Latn-ME"/>
        </w:rPr>
        <w:t>6.3.</w:t>
      </w:r>
      <w:r w:rsidR="00C05DF8" w:rsidRPr="007D7545">
        <w:rPr>
          <w:b/>
          <w:bCs/>
          <w:sz w:val="22"/>
          <w:szCs w:val="22"/>
          <w:lang w:val="sr-Latn-ME"/>
        </w:rPr>
        <w:t xml:space="preserve"> </w:t>
      </w:r>
      <w:r w:rsidR="00480FB1" w:rsidRPr="007D7545">
        <w:rPr>
          <w:b/>
          <w:bCs/>
          <w:sz w:val="22"/>
          <w:szCs w:val="22"/>
          <w:lang w:val="sr-Latn-ME"/>
        </w:rPr>
        <w:tab/>
      </w:r>
      <w:r w:rsidRPr="007D7545">
        <w:rPr>
          <w:b/>
          <w:bCs/>
          <w:sz w:val="22"/>
          <w:szCs w:val="22"/>
          <w:lang w:val="sr-Latn-ME"/>
        </w:rPr>
        <w:t>Rok upotrebe</w:t>
      </w:r>
    </w:p>
    <w:p w14:paraId="3CA696DB" w14:textId="77777777" w:rsidR="001E010E" w:rsidRPr="007D7545" w:rsidRDefault="001E010E" w:rsidP="005D101E">
      <w:pPr>
        <w:tabs>
          <w:tab w:val="left" w:pos="540"/>
          <w:tab w:val="left" w:pos="569"/>
        </w:tabs>
        <w:rPr>
          <w:b/>
          <w:bCs/>
          <w:sz w:val="22"/>
          <w:szCs w:val="22"/>
          <w:lang w:val="sr-Latn-ME"/>
        </w:rPr>
      </w:pPr>
    </w:p>
    <w:p w14:paraId="0CE3BA7A" w14:textId="3BAF662C" w:rsidR="001E010E" w:rsidRPr="007D7545" w:rsidRDefault="009E03E4" w:rsidP="005D101E">
      <w:pPr>
        <w:ind w:left="9" w:right="5" w:hanging="10"/>
        <w:jc w:val="both"/>
        <w:rPr>
          <w:color w:val="000000"/>
          <w:sz w:val="22"/>
          <w:szCs w:val="22"/>
          <w:lang w:val="sr-Latn-ME"/>
        </w:rPr>
      </w:pPr>
      <w:r w:rsidRPr="007D7545">
        <w:rPr>
          <w:color w:val="000000"/>
          <w:sz w:val="22"/>
          <w:szCs w:val="22"/>
          <w:lang w:val="sr-Latn-ME"/>
        </w:rPr>
        <w:t>3 godine</w:t>
      </w:r>
    </w:p>
    <w:p w14:paraId="3650AAA6" w14:textId="77777777" w:rsidR="005D101E" w:rsidRPr="007D7545" w:rsidRDefault="005D101E" w:rsidP="005D101E">
      <w:pPr>
        <w:tabs>
          <w:tab w:val="left" w:pos="540"/>
          <w:tab w:val="left" w:pos="569"/>
        </w:tabs>
        <w:rPr>
          <w:b/>
          <w:bCs/>
          <w:sz w:val="22"/>
          <w:szCs w:val="22"/>
          <w:lang w:val="sr-Latn-ME"/>
        </w:rPr>
      </w:pPr>
    </w:p>
    <w:p w14:paraId="601228D5" w14:textId="35311072" w:rsidR="0072020E" w:rsidRPr="007D7545" w:rsidRDefault="0072020E" w:rsidP="005D101E">
      <w:pPr>
        <w:tabs>
          <w:tab w:val="left" w:pos="540"/>
          <w:tab w:val="left" w:pos="569"/>
        </w:tabs>
        <w:rPr>
          <w:b/>
          <w:bCs/>
          <w:sz w:val="22"/>
          <w:szCs w:val="22"/>
          <w:lang w:val="sr-Latn-ME"/>
        </w:rPr>
      </w:pPr>
      <w:r w:rsidRPr="007D7545">
        <w:rPr>
          <w:b/>
          <w:bCs/>
          <w:sz w:val="22"/>
          <w:szCs w:val="22"/>
          <w:lang w:val="sr-Latn-ME"/>
        </w:rPr>
        <w:t xml:space="preserve">6.4. </w:t>
      </w:r>
      <w:r w:rsidR="00480FB1" w:rsidRPr="007D7545">
        <w:rPr>
          <w:b/>
          <w:bCs/>
          <w:sz w:val="22"/>
          <w:szCs w:val="22"/>
          <w:lang w:val="sr-Latn-ME"/>
        </w:rPr>
        <w:tab/>
      </w:r>
      <w:r w:rsidRPr="007D7545">
        <w:rPr>
          <w:b/>
          <w:bCs/>
          <w:sz w:val="22"/>
          <w:szCs w:val="22"/>
          <w:lang w:val="sr-Latn-ME"/>
        </w:rPr>
        <w:t>Posebne mjere upozorenja pri čuvanju</w:t>
      </w:r>
      <w:r w:rsidR="00F8570A" w:rsidRPr="007D7545">
        <w:rPr>
          <w:b/>
          <w:bCs/>
          <w:sz w:val="22"/>
          <w:szCs w:val="22"/>
          <w:lang w:val="sr-Latn-ME"/>
        </w:rPr>
        <w:t xml:space="preserve"> lijeka</w:t>
      </w:r>
    </w:p>
    <w:p w14:paraId="5B22B655" w14:textId="77777777" w:rsidR="001E010E" w:rsidRPr="007D7545" w:rsidRDefault="001E010E" w:rsidP="005D101E">
      <w:pPr>
        <w:tabs>
          <w:tab w:val="left" w:pos="540"/>
          <w:tab w:val="left" w:pos="569"/>
        </w:tabs>
        <w:rPr>
          <w:b/>
          <w:bCs/>
          <w:sz w:val="22"/>
          <w:szCs w:val="22"/>
          <w:lang w:val="sr-Latn-ME"/>
        </w:rPr>
      </w:pPr>
    </w:p>
    <w:p w14:paraId="33B566C5" w14:textId="00E9EE9D" w:rsidR="00EC2532" w:rsidRPr="007D7545" w:rsidRDefault="001E010E" w:rsidP="005D101E">
      <w:pPr>
        <w:ind w:left="-5" w:right="1556" w:hanging="10"/>
        <w:rPr>
          <w:color w:val="000000"/>
          <w:sz w:val="22"/>
          <w:szCs w:val="22"/>
          <w:lang w:val="sr-Latn-ME"/>
        </w:rPr>
      </w:pPr>
      <w:r w:rsidRPr="007D7545">
        <w:rPr>
          <w:color w:val="000000"/>
          <w:sz w:val="22"/>
          <w:szCs w:val="22"/>
          <w:lang w:val="sr-Latn-ME"/>
        </w:rPr>
        <w:t>Lijek ne zahtijeva posebne temperaturne uslove čuvanja.</w:t>
      </w:r>
    </w:p>
    <w:p w14:paraId="44365CB9" w14:textId="77777777" w:rsidR="00C93087" w:rsidRPr="007D7545" w:rsidRDefault="00C93087" w:rsidP="005D101E">
      <w:pPr>
        <w:tabs>
          <w:tab w:val="left" w:pos="540"/>
          <w:tab w:val="left" w:pos="569"/>
        </w:tabs>
        <w:rPr>
          <w:b/>
          <w:bCs/>
          <w:sz w:val="22"/>
          <w:szCs w:val="22"/>
          <w:lang w:val="sr-Latn-ME"/>
        </w:rPr>
      </w:pPr>
    </w:p>
    <w:p w14:paraId="513462EA" w14:textId="11C16B19" w:rsidR="0072020E" w:rsidRPr="007D7545" w:rsidRDefault="0072020E" w:rsidP="005D101E">
      <w:pPr>
        <w:tabs>
          <w:tab w:val="left" w:pos="540"/>
          <w:tab w:val="left" w:pos="569"/>
        </w:tabs>
        <w:rPr>
          <w:b/>
          <w:bCs/>
          <w:sz w:val="22"/>
          <w:szCs w:val="22"/>
          <w:lang w:val="sr-Latn-ME"/>
        </w:rPr>
      </w:pPr>
      <w:r w:rsidRPr="007D7545">
        <w:rPr>
          <w:b/>
          <w:bCs/>
          <w:sz w:val="22"/>
          <w:szCs w:val="22"/>
          <w:lang w:val="sr-Latn-ME"/>
        </w:rPr>
        <w:t xml:space="preserve">6.5. </w:t>
      </w:r>
      <w:r w:rsidR="00480FB1" w:rsidRPr="007D7545">
        <w:rPr>
          <w:b/>
          <w:bCs/>
          <w:sz w:val="22"/>
          <w:szCs w:val="22"/>
          <w:lang w:val="sr-Latn-ME"/>
        </w:rPr>
        <w:tab/>
      </w:r>
      <w:r w:rsidR="002846DB" w:rsidRPr="007D7545">
        <w:rPr>
          <w:b/>
          <w:bCs/>
          <w:sz w:val="22"/>
          <w:szCs w:val="22"/>
          <w:lang w:val="sr-Latn-ME"/>
        </w:rPr>
        <w:t xml:space="preserve">Vrsta i sadržaj </w:t>
      </w:r>
      <w:r w:rsidR="00F8570A" w:rsidRPr="007D7545">
        <w:rPr>
          <w:b/>
          <w:bCs/>
          <w:sz w:val="22"/>
          <w:szCs w:val="22"/>
          <w:lang w:val="sr-Latn-ME"/>
        </w:rPr>
        <w:t>pakovanja</w:t>
      </w:r>
      <w:r w:rsidR="00C06864" w:rsidRPr="007D7545">
        <w:rPr>
          <w:b/>
          <w:bCs/>
          <w:sz w:val="22"/>
          <w:szCs w:val="22"/>
          <w:lang w:val="sr-Latn-ME"/>
        </w:rPr>
        <w:t xml:space="preserve"> </w:t>
      </w:r>
    </w:p>
    <w:p w14:paraId="04287174" w14:textId="77777777" w:rsidR="001E010E" w:rsidRPr="007D7545" w:rsidRDefault="001E010E" w:rsidP="005D101E">
      <w:pPr>
        <w:tabs>
          <w:tab w:val="left" w:pos="540"/>
          <w:tab w:val="left" w:pos="569"/>
        </w:tabs>
        <w:rPr>
          <w:b/>
          <w:bCs/>
          <w:sz w:val="22"/>
          <w:szCs w:val="22"/>
          <w:lang w:val="sr-Latn-ME"/>
        </w:rPr>
      </w:pPr>
    </w:p>
    <w:p w14:paraId="34850ED1" w14:textId="4D86E6D8" w:rsidR="001E010E" w:rsidRPr="007D7545" w:rsidRDefault="00007C5F">
      <w:pPr>
        <w:autoSpaceDE w:val="0"/>
        <w:autoSpaceDN w:val="0"/>
        <w:ind w:left="10" w:right="3" w:hanging="11"/>
        <w:jc w:val="both"/>
        <w:rPr>
          <w:color w:val="000000"/>
          <w:sz w:val="22"/>
          <w:szCs w:val="22"/>
          <w:lang w:val="sr-Latn-ME"/>
        </w:rPr>
      </w:pPr>
      <w:r w:rsidRPr="007D7545">
        <w:rPr>
          <w:i/>
          <w:color w:val="000000"/>
          <w:sz w:val="22"/>
          <w:szCs w:val="22"/>
          <w:lang w:val="sr-Latn-ME"/>
        </w:rPr>
        <w:t>Trombocen</w:t>
      </w:r>
      <w:r w:rsidR="001E010E" w:rsidRPr="007D7545">
        <w:rPr>
          <w:i/>
          <w:color w:val="000000"/>
          <w:sz w:val="22"/>
          <w:szCs w:val="22"/>
          <w:lang w:val="sr-Latn-ME"/>
        </w:rPr>
        <w:t>, film tablet</w:t>
      </w:r>
      <w:r w:rsidR="00C94D38" w:rsidRPr="007D7545">
        <w:rPr>
          <w:i/>
          <w:color w:val="000000"/>
          <w:sz w:val="22"/>
          <w:szCs w:val="22"/>
          <w:lang w:val="sr-Latn-ME"/>
        </w:rPr>
        <w:t>a</w:t>
      </w:r>
      <w:r w:rsidR="001E010E" w:rsidRPr="007D7545">
        <w:rPr>
          <w:i/>
          <w:color w:val="000000"/>
          <w:sz w:val="22"/>
          <w:szCs w:val="22"/>
          <w:lang w:val="sr-Latn-ME"/>
        </w:rPr>
        <w:t xml:space="preserve">, </w:t>
      </w:r>
      <w:r w:rsidR="00237FEA" w:rsidRPr="007D7545">
        <w:rPr>
          <w:i/>
          <w:color w:val="000000"/>
          <w:sz w:val="22"/>
          <w:szCs w:val="22"/>
          <w:lang w:val="sr-Latn-ME"/>
        </w:rPr>
        <w:t>10x</w:t>
      </w:r>
      <w:r w:rsidR="001E010E" w:rsidRPr="007D7545">
        <w:rPr>
          <w:i/>
          <w:color w:val="000000"/>
          <w:sz w:val="22"/>
          <w:szCs w:val="22"/>
          <w:lang w:val="sr-Latn-ME"/>
        </w:rPr>
        <w:t>10 mg</w:t>
      </w:r>
    </w:p>
    <w:p w14:paraId="6F96334D" w14:textId="74D9BAD6" w:rsidR="001E010E" w:rsidRPr="007D7545" w:rsidRDefault="001E010E" w:rsidP="002D70E0">
      <w:pPr>
        <w:keepNext/>
        <w:keepLines/>
        <w:ind w:left="-5" w:hanging="11"/>
        <w:jc w:val="both"/>
        <w:outlineLvl w:val="1"/>
        <w:rPr>
          <w:color w:val="000000"/>
          <w:sz w:val="22"/>
          <w:szCs w:val="22"/>
          <w:u w:color="000000"/>
          <w:lang w:val="sr-Latn-ME"/>
        </w:rPr>
      </w:pPr>
      <w:r w:rsidRPr="007D7545">
        <w:rPr>
          <w:color w:val="000000"/>
          <w:sz w:val="22"/>
          <w:szCs w:val="22"/>
          <w:u w:color="000000"/>
          <w:lang w:val="sr-Latn-ME"/>
        </w:rPr>
        <w:t xml:space="preserve">Unutrašnje pakovanje lijeka je PVC/PVdC-Aluminijumski blister. Jedan blister sadrži </w:t>
      </w:r>
      <w:r w:rsidR="00C94D38" w:rsidRPr="007D7545">
        <w:rPr>
          <w:color w:val="000000"/>
          <w:sz w:val="22"/>
          <w:szCs w:val="22"/>
          <w:u w:color="000000"/>
          <w:lang w:val="sr-Latn-ME"/>
        </w:rPr>
        <w:t>10</w:t>
      </w:r>
      <w:r w:rsidRPr="007D7545">
        <w:rPr>
          <w:color w:val="000000"/>
          <w:sz w:val="22"/>
          <w:szCs w:val="22"/>
          <w:u w:color="000000"/>
          <w:lang w:val="sr-Latn-ME"/>
        </w:rPr>
        <w:t xml:space="preserve"> film tableta. </w:t>
      </w:r>
    </w:p>
    <w:p w14:paraId="703B06D5" w14:textId="78F39254" w:rsidR="001E010E" w:rsidRPr="007D7545" w:rsidRDefault="001E010E">
      <w:pPr>
        <w:ind w:left="10" w:right="3" w:hanging="10"/>
        <w:jc w:val="both"/>
        <w:rPr>
          <w:color w:val="000000"/>
          <w:sz w:val="22"/>
          <w:szCs w:val="22"/>
          <w:lang w:val="sr-Latn-ME"/>
        </w:rPr>
      </w:pPr>
      <w:r w:rsidRPr="007D7545">
        <w:rPr>
          <w:color w:val="000000"/>
          <w:sz w:val="22"/>
          <w:szCs w:val="22"/>
          <w:lang w:val="sr-Latn-ME"/>
        </w:rPr>
        <w:t xml:space="preserve">Spoljašnje pakovanje je složiva kartonska kutija u kojoj se nalazi </w:t>
      </w:r>
      <w:r w:rsidR="00237FEA" w:rsidRPr="007D7545">
        <w:rPr>
          <w:color w:val="000000"/>
          <w:sz w:val="22"/>
          <w:szCs w:val="22"/>
          <w:lang w:val="sr-Latn-ME"/>
        </w:rPr>
        <w:t xml:space="preserve">1 </w:t>
      </w:r>
      <w:r w:rsidRPr="007D7545">
        <w:rPr>
          <w:color w:val="000000"/>
          <w:sz w:val="22"/>
          <w:szCs w:val="22"/>
          <w:lang w:val="sr-Latn-ME"/>
        </w:rPr>
        <w:t xml:space="preserve">blister sa </w:t>
      </w:r>
      <w:r w:rsidR="00237FEA" w:rsidRPr="007D7545">
        <w:rPr>
          <w:color w:val="000000"/>
          <w:sz w:val="22"/>
          <w:szCs w:val="22"/>
          <w:lang w:val="sr-Latn-ME"/>
        </w:rPr>
        <w:t>10</w:t>
      </w:r>
      <w:r w:rsidRPr="007D7545">
        <w:rPr>
          <w:color w:val="000000"/>
          <w:sz w:val="22"/>
          <w:szCs w:val="22"/>
          <w:lang w:val="sr-Latn-ME"/>
        </w:rPr>
        <w:t xml:space="preserve"> film tableta (ukupno 10 film tableta) i Uputstvo za lijek.</w:t>
      </w:r>
    </w:p>
    <w:p w14:paraId="33418FA3" w14:textId="77777777" w:rsidR="004D5A74" w:rsidRPr="007D7545" w:rsidRDefault="004D5A74">
      <w:pPr>
        <w:ind w:left="10" w:right="3" w:hanging="10"/>
        <w:jc w:val="both"/>
        <w:rPr>
          <w:color w:val="000000"/>
          <w:sz w:val="22"/>
          <w:szCs w:val="22"/>
          <w:lang w:val="sr-Latn-ME"/>
        </w:rPr>
      </w:pPr>
    </w:p>
    <w:p w14:paraId="23820EF2" w14:textId="428B8AFE" w:rsidR="001E010E" w:rsidRPr="007D7545" w:rsidRDefault="00007C5F" w:rsidP="002D70E0">
      <w:pPr>
        <w:keepNext/>
        <w:keepLines/>
        <w:jc w:val="both"/>
        <w:outlineLvl w:val="1"/>
        <w:rPr>
          <w:i/>
          <w:color w:val="000000"/>
          <w:sz w:val="22"/>
          <w:szCs w:val="22"/>
          <w:u w:color="000000"/>
          <w:lang w:val="sr-Latn-ME"/>
        </w:rPr>
      </w:pPr>
      <w:r w:rsidRPr="007D7545">
        <w:rPr>
          <w:i/>
          <w:color w:val="000000"/>
          <w:sz w:val="22"/>
          <w:szCs w:val="22"/>
          <w:u w:color="000000"/>
          <w:lang w:val="sr-Latn-ME"/>
        </w:rPr>
        <w:t>Trombocen</w:t>
      </w:r>
      <w:r w:rsidR="001E010E" w:rsidRPr="007D7545">
        <w:rPr>
          <w:i/>
          <w:color w:val="000000"/>
          <w:sz w:val="22"/>
          <w:szCs w:val="22"/>
          <w:u w:color="000000"/>
          <w:lang w:val="sr-Latn-ME"/>
        </w:rPr>
        <w:t>, film tablet</w:t>
      </w:r>
      <w:r w:rsidR="00C94D38" w:rsidRPr="007D7545">
        <w:rPr>
          <w:i/>
          <w:color w:val="000000"/>
          <w:sz w:val="22"/>
          <w:szCs w:val="22"/>
          <w:u w:color="000000"/>
          <w:lang w:val="sr-Latn-ME"/>
        </w:rPr>
        <w:t>a,</w:t>
      </w:r>
      <w:r w:rsidR="00237FEA" w:rsidRPr="007D7545">
        <w:rPr>
          <w:i/>
          <w:color w:val="000000"/>
          <w:sz w:val="22"/>
          <w:szCs w:val="22"/>
          <w:u w:color="000000"/>
          <w:lang w:val="sr-Latn-ME"/>
        </w:rPr>
        <w:t xml:space="preserve"> 30x</w:t>
      </w:r>
      <w:r w:rsidR="001E010E" w:rsidRPr="007D7545">
        <w:rPr>
          <w:i/>
          <w:color w:val="000000"/>
          <w:sz w:val="22"/>
          <w:szCs w:val="22"/>
          <w:u w:color="000000"/>
          <w:lang w:val="sr-Latn-ME"/>
        </w:rPr>
        <w:t>10 mg</w:t>
      </w:r>
    </w:p>
    <w:p w14:paraId="4F840D3D" w14:textId="2316CF7D" w:rsidR="001E010E" w:rsidRPr="007D7545" w:rsidRDefault="001E010E" w:rsidP="002D70E0">
      <w:pPr>
        <w:keepNext/>
        <w:keepLines/>
        <w:jc w:val="both"/>
        <w:outlineLvl w:val="1"/>
        <w:rPr>
          <w:color w:val="000000"/>
          <w:sz w:val="22"/>
          <w:szCs w:val="22"/>
          <w:u w:color="000000"/>
          <w:lang w:val="sr-Latn-ME"/>
        </w:rPr>
      </w:pPr>
      <w:r w:rsidRPr="007D7545">
        <w:rPr>
          <w:color w:val="000000"/>
          <w:sz w:val="22"/>
          <w:szCs w:val="22"/>
          <w:u w:color="000000"/>
          <w:lang w:val="sr-Latn-ME"/>
        </w:rPr>
        <w:t>Unutrašnje pakovanje lijeka je PVC//PVdC</w:t>
      </w:r>
      <w:r w:rsidR="00237FEA" w:rsidRPr="007D7545">
        <w:rPr>
          <w:color w:val="000000"/>
          <w:sz w:val="22"/>
          <w:szCs w:val="22"/>
          <w:u w:color="000000"/>
          <w:lang w:val="sr-Latn-ME"/>
        </w:rPr>
        <w:t xml:space="preserve"> </w:t>
      </w:r>
      <w:r w:rsidRPr="007D7545">
        <w:rPr>
          <w:color w:val="000000"/>
          <w:sz w:val="22"/>
          <w:szCs w:val="22"/>
          <w:u w:color="000000"/>
          <w:lang w:val="sr-Latn-ME"/>
        </w:rPr>
        <w:t>-</w:t>
      </w:r>
      <w:r w:rsidR="00237FEA" w:rsidRPr="007D7545">
        <w:rPr>
          <w:color w:val="000000"/>
          <w:sz w:val="22"/>
          <w:szCs w:val="22"/>
          <w:u w:color="000000"/>
          <w:lang w:val="sr-Latn-ME"/>
        </w:rPr>
        <w:t xml:space="preserve"> </w:t>
      </w:r>
      <w:r w:rsidRPr="007D7545">
        <w:rPr>
          <w:color w:val="000000"/>
          <w:sz w:val="22"/>
          <w:szCs w:val="22"/>
          <w:u w:color="000000"/>
          <w:lang w:val="sr-Latn-ME"/>
        </w:rPr>
        <w:t xml:space="preserve">Aluminijumski blister. Jedan blister sadrži </w:t>
      </w:r>
      <w:r w:rsidR="00237FEA" w:rsidRPr="007D7545">
        <w:rPr>
          <w:color w:val="000000"/>
          <w:sz w:val="22"/>
          <w:szCs w:val="22"/>
          <w:u w:color="000000"/>
          <w:lang w:val="sr-Latn-ME"/>
        </w:rPr>
        <w:t xml:space="preserve">30 </w:t>
      </w:r>
      <w:r w:rsidRPr="007D7545">
        <w:rPr>
          <w:color w:val="000000"/>
          <w:sz w:val="22"/>
          <w:szCs w:val="22"/>
          <w:u w:color="000000"/>
          <w:lang w:val="sr-Latn-ME"/>
        </w:rPr>
        <w:t xml:space="preserve">film tableta. </w:t>
      </w:r>
    </w:p>
    <w:p w14:paraId="61C3928F" w14:textId="565C1D6D" w:rsidR="0072020E" w:rsidRPr="007D7545" w:rsidRDefault="001E010E">
      <w:pPr>
        <w:ind w:left="10" w:right="3" w:hanging="10"/>
        <w:jc w:val="both"/>
        <w:rPr>
          <w:color w:val="000000"/>
          <w:sz w:val="22"/>
          <w:szCs w:val="22"/>
          <w:lang w:val="sr-Latn-ME"/>
        </w:rPr>
      </w:pPr>
      <w:r w:rsidRPr="007D7545">
        <w:rPr>
          <w:color w:val="000000"/>
          <w:sz w:val="22"/>
          <w:szCs w:val="22"/>
          <w:lang w:val="sr-Latn-ME"/>
        </w:rPr>
        <w:t xml:space="preserve">Spoljašnje pakovanje je složiva kartonska kutija u kojoj se nalaze </w:t>
      </w:r>
      <w:r w:rsidR="00237FEA" w:rsidRPr="007D7545">
        <w:rPr>
          <w:color w:val="000000"/>
          <w:sz w:val="22"/>
          <w:szCs w:val="22"/>
          <w:lang w:val="sr-Latn-ME"/>
        </w:rPr>
        <w:t>3</w:t>
      </w:r>
      <w:r w:rsidRPr="007D7545">
        <w:rPr>
          <w:color w:val="000000"/>
          <w:sz w:val="22"/>
          <w:szCs w:val="22"/>
          <w:lang w:val="sr-Latn-ME"/>
        </w:rPr>
        <w:t xml:space="preserve"> blistera sa po </w:t>
      </w:r>
      <w:r w:rsidR="00237FEA" w:rsidRPr="007D7545">
        <w:rPr>
          <w:color w:val="000000"/>
          <w:sz w:val="22"/>
          <w:szCs w:val="22"/>
          <w:lang w:val="sr-Latn-ME"/>
        </w:rPr>
        <w:t>10</w:t>
      </w:r>
      <w:r w:rsidRPr="007D7545">
        <w:rPr>
          <w:color w:val="000000"/>
          <w:sz w:val="22"/>
          <w:szCs w:val="22"/>
          <w:lang w:val="sr-Latn-ME"/>
        </w:rPr>
        <w:t xml:space="preserve"> film tableta (ukupno 30 film tableta) i Uputstvo za lijek.</w:t>
      </w:r>
    </w:p>
    <w:p w14:paraId="26E1C76D" w14:textId="77777777" w:rsidR="00C93087" w:rsidRPr="007D7545" w:rsidRDefault="00C93087">
      <w:pPr>
        <w:ind w:left="10" w:right="3" w:hanging="10"/>
        <w:jc w:val="both"/>
        <w:rPr>
          <w:color w:val="000000"/>
          <w:sz w:val="22"/>
          <w:szCs w:val="22"/>
          <w:lang w:val="sr-Latn-ME"/>
        </w:rPr>
      </w:pPr>
    </w:p>
    <w:p w14:paraId="26DA52D7" w14:textId="77777777" w:rsidR="002846DB" w:rsidRPr="007D7545" w:rsidRDefault="0072020E" w:rsidP="002D70E0">
      <w:pPr>
        <w:tabs>
          <w:tab w:val="left" w:pos="540"/>
          <w:tab w:val="left" w:pos="569"/>
        </w:tabs>
        <w:jc w:val="both"/>
        <w:rPr>
          <w:b/>
          <w:bCs/>
          <w:sz w:val="22"/>
          <w:szCs w:val="22"/>
          <w:lang w:val="sr-Latn-ME"/>
        </w:rPr>
      </w:pPr>
      <w:r w:rsidRPr="007D7545">
        <w:rPr>
          <w:b/>
          <w:bCs/>
          <w:sz w:val="22"/>
          <w:szCs w:val="22"/>
          <w:lang w:val="sr-Latn-ME"/>
        </w:rPr>
        <w:t xml:space="preserve">6.6. </w:t>
      </w:r>
      <w:r w:rsidR="00480FB1" w:rsidRPr="007D7545">
        <w:rPr>
          <w:b/>
          <w:bCs/>
          <w:sz w:val="22"/>
          <w:szCs w:val="22"/>
          <w:lang w:val="sr-Latn-ME"/>
        </w:rPr>
        <w:tab/>
      </w:r>
      <w:r w:rsidRPr="007D7545">
        <w:rPr>
          <w:b/>
          <w:bCs/>
          <w:color w:val="000000"/>
          <w:sz w:val="22"/>
          <w:szCs w:val="22"/>
          <w:lang w:val="sr-Latn-ME"/>
        </w:rPr>
        <w:t>Posebne mjere opreza pri odlaganju materijala koji treba odbaciti nakon primjene lijeka</w:t>
      </w:r>
      <w:r w:rsidRPr="007D7545">
        <w:rPr>
          <w:b/>
          <w:bCs/>
          <w:sz w:val="22"/>
          <w:szCs w:val="22"/>
          <w:lang w:val="sr-Latn-ME"/>
        </w:rPr>
        <w:t xml:space="preserve"> </w:t>
      </w:r>
      <w:r w:rsidR="00310F03" w:rsidRPr="007D7545">
        <w:rPr>
          <w:b/>
          <w:bCs/>
          <w:sz w:val="22"/>
          <w:szCs w:val="22"/>
          <w:lang w:val="sr-Latn-ME"/>
        </w:rPr>
        <w:t>(i druga uputs</w:t>
      </w:r>
      <w:r w:rsidR="004109FA" w:rsidRPr="007D7545">
        <w:rPr>
          <w:b/>
          <w:bCs/>
          <w:sz w:val="22"/>
          <w:szCs w:val="22"/>
          <w:lang w:val="sr-Latn-ME"/>
        </w:rPr>
        <w:t>t</w:t>
      </w:r>
      <w:r w:rsidR="00310F03" w:rsidRPr="007D7545">
        <w:rPr>
          <w:b/>
          <w:bCs/>
          <w:sz w:val="22"/>
          <w:szCs w:val="22"/>
          <w:lang w:val="sr-Latn-ME"/>
        </w:rPr>
        <w:t xml:space="preserve">va za rukovanje lijekom) </w:t>
      </w:r>
    </w:p>
    <w:p w14:paraId="43DB7883" w14:textId="77777777" w:rsidR="001E010E" w:rsidRPr="007D7545" w:rsidRDefault="001E010E">
      <w:pPr>
        <w:ind w:left="11" w:right="6" w:hanging="11"/>
        <w:jc w:val="both"/>
        <w:rPr>
          <w:color w:val="000000"/>
          <w:sz w:val="22"/>
          <w:szCs w:val="22"/>
          <w:lang w:val="sr-Latn-ME"/>
        </w:rPr>
      </w:pPr>
    </w:p>
    <w:p w14:paraId="7E248104" w14:textId="3DD8DE78" w:rsidR="001E010E" w:rsidRPr="007D7545" w:rsidRDefault="001E010E">
      <w:pPr>
        <w:ind w:left="11" w:right="6" w:hanging="11"/>
        <w:jc w:val="both"/>
        <w:rPr>
          <w:color w:val="000000"/>
          <w:sz w:val="22"/>
          <w:szCs w:val="22"/>
          <w:lang w:val="sr-Latn-ME"/>
        </w:rPr>
      </w:pPr>
      <w:r w:rsidRPr="007D7545">
        <w:rPr>
          <w:color w:val="000000"/>
          <w:sz w:val="22"/>
          <w:szCs w:val="22"/>
          <w:lang w:val="sr-Latn-ME"/>
        </w:rPr>
        <w:t>Svu neiskorišćenu količinu lijeka ili otpadnog materijala nakon njegove upotrebe treba ukloniti u skladu sa važećim propisima.</w:t>
      </w:r>
    </w:p>
    <w:p w14:paraId="0530B0F3" w14:textId="414CB500" w:rsidR="0072020E" w:rsidRPr="007D7545" w:rsidRDefault="0072020E" w:rsidP="005D101E">
      <w:pPr>
        <w:tabs>
          <w:tab w:val="left" w:pos="540"/>
          <w:tab w:val="left" w:pos="569"/>
        </w:tabs>
        <w:rPr>
          <w:bCs/>
          <w:sz w:val="22"/>
          <w:szCs w:val="22"/>
          <w:lang w:val="sr-Latn-ME"/>
        </w:rPr>
      </w:pPr>
    </w:p>
    <w:p w14:paraId="36C8A27C" w14:textId="77777777" w:rsidR="00237FEA" w:rsidRPr="007D7545" w:rsidRDefault="00237FEA" w:rsidP="005D101E">
      <w:pPr>
        <w:tabs>
          <w:tab w:val="left" w:pos="540"/>
          <w:tab w:val="left" w:pos="569"/>
        </w:tabs>
        <w:rPr>
          <w:bCs/>
          <w:sz w:val="22"/>
          <w:szCs w:val="22"/>
          <w:lang w:val="sr-Latn-ME"/>
        </w:rPr>
      </w:pPr>
    </w:p>
    <w:p w14:paraId="38010763" w14:textId="03945F03" w:rsidR="00F8570A" w:rsidRPr="007D7545" w:rsidRDefault="0072020E" w:rsidP="005D101E">
      <w:pPr>
        <w:tabs>
          <w:tab w:val="left" w:pos="540"/>
          <w:tab w:val="left" w:pos="569"/>
        </w:tabs>
        <w:rPr>
          <w:b/>
          <w:bCs/>
          <w:sz w:val="22"/>
          <w:szCs w:val="22"/>
          <w:lang w:val="sr-Latn-ME"/>
        </w:rPr>
      </w:pPr>
      <w:r w:rsidRPr="007D7545">
        <w:rPr>
          <w:b/>
          <w:bCs/>
          <w:sz w:val="22"/>
          <w:szCs w:val="22"/>
          <w:lang w:val="sr-Latn-ME"/>
        </w:rPr>
        <w:t xml:space="preserve">7. </w:t>
      </w:r>
      <w:r w:rsidR="00480FB1" w:rsidRPr="007D7545">
        <w:rPr>
          <w:b/>
          <w:bCs/>
          <w:sz w:val="22"/>
          <w:szCs w:val="22"/>
          <w:lang w:val="sr-Latn-ME"/>
        </w:rPr>
        <w:tab/>
      </w:r>
      <w:r w:rsidRPr="007D7545">
        <w:rPr>
          <w:b/>
          <w:bCs/>
          <w:sz w:val="22"/>
          <w:szCs w:val="22"/>
          <w:lang w:val="sr-Latn-ME"/>
        </w:rPr>
        <w:t>NOSILAC DOZVOLE</w:t>
      </w:r>
      <w:r w:rsidR="00483928" w:rsidRPr="007D7545">
        <w:rPr>
          <w:b/>
          <w:bCs/>
          <w:sz w:val="22"/>
          <w:szCs w:val="22"/>
          <w:lang w:val="sr-Latn-ME"/>
        </w:rPr>
        <w:t xml:space="preserve"> </w:t>
      </w:r>
    </w:p>
    <w:p w14:paraId="6E0DAC7C" w14:textId="77777777" w:rsidR="0020128C" w:rsidRPr="007D7545" w:rsidRDefault="0020128C" w:rsidP="005D101E">
      <w:pPr>
        <w:tabs>
          <w:tab w:val="left" w:pos="540"/>
          <w:tab w:val="left" w:pos="569"/>
        </w:tabs>
        <w:rPr>
          <w:b/>
          <w:bCs/>
          <w:sz w:val="22"/>
          <w:szCs w:val="22"/>
          <w:lang w:val="sr-Latn-ME"/>
        </w:rPr>
      </w:pPr>
    </w:p>
    <w:p w14:paraId="27051E47" w14:textId="77777777" w:rsidR="0020128C" w:rsidRPr="007D7545" w:rsidRDefault="0020128C" w:rsidP="005D101E">
      <w:pPr>
        <w:tabs>
          <w:tab w:val="left" w:pos="284"/>
        </w:tabs>
        <w:jc w:val="both"/>
        <w:rPr>
          <w:sz w:val="22"/>
          <w:szCs w:val="22"/>
          <w:lang w:val="sr-Latn-ME"/>
        </w:rPr>
      </w:pPr>
      <w:r w:rsidRPr="007D7545">
        <w:rPr>
          <w:sz w:val="22"/>
          <w:szCs w:val="22"/>
          <w:lang w:val="sr-Latn-ME"/>
        </w:rPr>
        <w:t>HEMOFARM AD VRŠAC PJ PODGORICA</w:t>
      </w:r>
    </w:p>
    <w:p w14:paraId="39CB0205" w14:textId="20CE232C" w:rsidR="0020128C" w:rsidRPr="007D7545" w:rsidRDefault="0020128C" w:rsidP="005D101E">
      <w:pPr>
        <w:tabs>
          <w:tab w:val="left" w:pos="284"/>
        </w:tabs>
        <w:jc w:val="both"/>
        <w:rPr>
          <w:sz w:val="22"/>
          <w:szCs w:val="22"/>
          <w:lang w:val="sr-Latn-ME"/>
        </w:rPr>
      </w:pPr>
      <w:r w:rsidRPr="007D7545">
        <w:rPr>
          <w:sz w:val="22"/>
          <w:szCs w:val="22"/>
          <w:lang w:val="sr-Latn-ME"/>
        </w:rPr>
        <w:t>8 marta 55A,</w:t>
      </w:r>
      <w:r w:rsidR="00237FEA" w:rsidRPr="007D7545">
        <w:rPr>
          <w:sz w:val="22"/>
          <w:szCs w:val="22"/>
          <w:lang w:val="sr-Latn-ME"/>
        </w:rPr>
        <w:t xml:space="preserve"> </w:t>
      </w:r>
      <w:r w:rsidRPr="007D7545">
        <w:rPr>
          <w:sz w:val="22"/>
          <w:szCs w:val="22"/>
          <w:lang w:val="sr-Latn-ME"/>
        </w:rPr>
        <w:t>Podgorica,</w:t>
      </w:r>
      <w:r w:rsidR="00237FEA" w:rsidRPr="007D7545">
        <w:rPr>
          <w:sz w:val="22"/>
          <w:szCs w:val="22"/>
          <w:lang w:val="sr-Latn-ME"/>
        </w:rPr>
        <w:t xml:space="preserve"> </w:t>
      </w:r>
      <w:r w:rsidRPr="007D7545">
        <w:rPr>
          <w:sz w:val="22"/>
          <w:szCs w:val="22"/>
          <w:lang w:val="sr-Latn-ME"/>
        </w:rPr>
        <w:t>Crna Gora</w:t>
      </w:r>
    </w:p>
    <w:p w14:paraId="1A8521C8" w14:textId="77777777" w:rsidR="00C61BE0" w:rsidRPr="007D7545" w:rsidRDefault="00C61BE0" w:rsidP="005D101E">
      <w:pPr>
        <w:tabs>
          <w:tab w:val="left" w:pos="540"/>
          <w:tab w:val="left" w:pos="569"/>
        </w:tabs>
        <w:rPr>
          <w:bCs/>
          <w:sz w:val="22"/>
          <w:szCs w:val="22"/>
          <w:lang w:val="sr-Latn-ME"/>
        </w:rPr>
      </w:pPr>
    </w:p>
    <w:p w14:paraId="006DADB5" w14:textId="77777777" w:rsidR="00C37FD7" w:rsidRPr="007D7545" w:rsidRDefault="00C37FD7" w:rsidP="005D101E">
      <w:pPr>
        <w:tabs>
          <w:tab w:val="left" w:pos="540"/>
          <w:tab w:val="left" w:pos="569"/>
        </w:tabs>
        <w:rPr>
          <w:bCs/>
          <w:sz w:val="22"/>
          <w:szCs w:val="22"/>
          <w:lang w:val="sr-Latn-ME"/>
        </w:rPr>
      </w:pPr>
    </w:p>
    <w:p w14:paraId="0AADA723" w14:textId="77777777" w:rsidR="0072020E" w:rsidRPr="007D7545" w:rsidRDefault="0072020E" w:rsidP="005D101E">
      <w:pPr>
        <w:tabs>
          <w:tab w:val="left" w:pos="540"/>
          <w:tab w:val="left" w:pos="569"/>
        </w:tabs>
        <w:rPr>
          <w:b/>
          <w:bCs/>
          <w:sz w:val="22"/>
          <w:szCs w:val="22"/>
          <w:lang w:val="sr-Latn-ME"/>
        </w:rPr>
      </w:pPr>
      <w:r w:rsidRPr="007D7545">
        <w:rPr>
          <w:b/>
          <w:bCs/>
          <w:sz w:val="22"/>
          <w:szCs w:val="22"/>
          <w:lang w:val="sr-Latn-ME"/>
        </w:rPr>
        <w:t xml:space="preserve">8. </w:t>
      </w:r>
      <w:r w:rsidR="00480FB1" w:rsidRPr="007D7545">
        <w:rPr>
          <w:b/>
          <w:bCs/>
          <w:sz w:val="22"/>
          <w:szCs w:val="22"/>
          <w:lang w:val="sr-Latn-ME"/>
        </w:rPr>
        <w:tab/>
      </w:r>
      <w:r w:rsidRPr="007D7545">
        <w:rPr>
          <w:b/>
          <w:bCs/>
          <w:sz w:val="22"/>
          <w:szCs w:val="22"/>
          <w:lang w:val="sr-Latn-ME"/>
        </w:rPr>
        <w:t>BROJ DOZVOLE</w:t>
      </w:r>
      <w:r w:rsidR="008A6D43" w:rsidRPr="007D7545">
        <w:rPr>
          <w:b/>
          <w:bCs/>
          <w:sz w:val="22"/>
          <w:szCs w:val="22"/>
          <w:lang w:val="sr-Latn-ME"/>
        </w:rPr>
        <w:t xml:space="preserve"> ZA STAVLJANJE LIJEKA U PROMET</w:t>
      </w:r>
    </w:p>
    <w:p w14:paraId="42F1ADE7" w14:textId="77777777" w:rsidR="0072020E" w:rsidRPr="007D7545" w:rsidRDefault="0072020E" w:rsidP="005D101E">
      <w:pPr>
        <w:tabs>
          <w:tab w:val="left" w:pos="540"/>
          <w:tab w:val="left" w:pos="569"/>
        </w:tabs>
        <w:rPr>
          <w:bCs/>
          <w:sz w:val="22"/>
          <w:szCs w:val="22"/>
          <w:lang w:val="sr-Latn-ME"/>
        </w:rPr>
      </w:pPr>
    </w:p>
    <w:p w14:paraId="4CA94122" w14:textId="7750A2B7" w:rsidR="00F45F77" w:rsidRPr="007D7545" w:rsidRDefault="00BA4A9C" w:rsidP="005D101E">
      <w:pPr>
        <w:tabs>
          <w:tab w:val="left" w:pos="540"/>
          <w:tab w:val="left" w:pos="569"/>
        </w:tabs>
        <w:rPr>
          <w:bCs/>
          <w:sz w:val="22"/>
          <w:szCs w:val="22"/>
          <w:lang w:val="sr-Latn-ME"/>
        </w:rPr>
      </w:pPr>
      <w:r w:rsidRPr="007D7545">
        <w:rPr>
          <w:bCs/>
          <w:sz w:val="22"/>
          <w:szCs w:val="22"/>
          <w:lang w:val="sr-Latn-ME"/>
        </w:rPr>
        <w:t>Trombocen</w:t>
      </w:r>
      <w:r w:rsidR="000531DA" w:rsidRPr="007D7545">
        <w:rPr>
          <w:bCs/>
          <w:sz w:val="22"/>
          <w:szCs w:val="22"/>
          <w:lang w:val="sr-Latn-ME"/>
        </w:rPr>
        <w:t>, film tableta, 10mg, 10 film tableta:</w:t>
      </w:r>
      <w:r w:rsidR="00494C0F" w:rsidRPr="007D7545">
        <w:rPr>
          <w:bCs/>
          <w:sz w:val="22"/>
          <w:szCs w:val="22"/>
          <w:lang w:val="sr-Latn-ME"/>
        </w:rPr>
        <w:t xml:space="preserve"> 2030/24/623 - 8288</w:t>
      </w:r>
    </w:p>
    <w:p w14:paraId="6BE69F4F" w14:textId="5F43CBF1" w:rsidR="000531DA" w:rsidRPr="007D7545" w:rsidRDefault="00BA4A9C" w:rsidP="005D101E">
      <w:pPr>
        <w:tabs>
          <w:tab w:val="left" w:pos="540"/>
          <w:tab w:val="left" w:pos="569"/>
        </w:tabs>
        <w:rPr>
          <w:bCs/>
          <w:sz w:val="22"/>
          <w:szCs w:val="22"/>
          <w:lang w:val="sr-Latn-ME"/>
        </w:rPr>
      </w:pPr>
      <w:r w:rsidRPr="007D7545">
        <w:rPr>
          <w:bCs/>
          <w:sz w:val="22"/>
          <w:szCs w:val="22"/>
          <w:lang w:val="sr-Latn-ME"/>
        </w:rPr>
        <w:t>Trombocen</w:t>
      </w:r>
      <w:r w:rsidR="000531DA" w:rsidRPr="007D7545">
        <w:rPr>
          <w:bCs/>
          <w:sz w:val="22"/>
          <w:szCs w:val="22"/>
          <w:lang w:val="sr-Latn-ME"/>
        </w:rPr>
        <w:t>, film tableta, 10mg, 30 film tableta:</w:t>
      </w:r>
      <w:r w:rsidR="00494C0F" w:rsidRPr="007D7545">
        <w:rPr>
          <w:bCs/>
          <w:sz w:val="22"/>
          <w:szCs w:val="22"/>
          <w:lang w:val="sr-Latn-ME"/>
        </w:rPr>
        <w:t xml:space="preserve"> </w:t>
      </w:r>
      <w:r w:rsidR="00DE547D" w:rsidRPr="007D7545">
        <w:rPr>
          <w:bCs/>
          <w:sz w:val="22"/>
          <w:szCs w:val="22"/>
          <w:lang w:val="sr-Latn-ME"/>
        </w:rPr>
        <w:t>2030/24/622 - 8289</w:t>
      </w:r>
    </w:p>
    <w:p w14:paraId="1B582161" w14:textId="28407607" w:rsidR="00237FEA" w:rsidRPr="007D7545" w:rsidRDefault="00237FEA" w:rsidP="005D101E">
      <w:pPr>
        <w:tabs>
          <w:tab w:val="left" w:pos="540"/>
          <w:tab w:val="left" w:pos="569"/>
        </w:tabs>
        <w:rPr>
          <w:bCs/>
          <w:sz w:val="22"/>
          <w:szCs w:val="22"/>
          <w:lang w:val="sr-Latn-ME"/>
        </w:rPr>
      </w:pPr>
    </w:p>
    <w:p w14:paraId="4BFCA4D6" w14:textId="77777777" w:rsidR="00C93087" w:rsidRPr="007D7545" w:rsidRDefault="00C93087" w:rsidP="005D101E">
      <w:pPr>
        <w:tabs>
          <w:tab w:val="left" w:pos="540"/>
          <w:tab w:val="left" w:pos="569"/>
        </w:tabs>
        <w:rPr>
          <w:bCs/>
          <w:sz w:val="22"/>
          <w:szCs w:val="22"/>
          <w:lang w:val="sr-Latn-ME"/>
        </w:rPr>
      </w:pPr>
    </w:p>
    <w:p w14:paraId="14349F27" w14:textId="77777777" w:rsidR="0072020E" w:rsidRPr="007D7545" w:rsidRDefault="0072020E" w:rsidP="002D70E0">
      <w:pPr>
        <w:tabs>
          <w:tab w:val="left" w:pos="540"/>
          <w:tab w:val="left" w:pos="569"/>
        </w:tabs>
        <w:jc w:val="both"/>
        <w:rPr>
          <w:b/>
          <w:bCs/>
          <w:sz w:val="22"/>
          <w:szCs w:val="22"/>
          <w:lang w:val="sr-Latn-ME"/>
        </w:rPr>
      </w:pPr>
      <w:r w:rsidRPr="007D7545">
        <w:rPr>
          <w:b/>
          <w:bCs/>
          <w:sz w:val="22"/>
          <w:szCs w:val="22"/>
          <w:lang w:val="sr-Latn-ME"/>
        </w:rPr>
        <w:t xml:space="preserve">9. </w:t>
      </w:r>
      <w:r w:rsidR="00480FB1" w:rsidRPr="007D7545">
        <w:rPr>
          <w:b/>
          <w:bCs/>
          <w:sz w:val="22"/>
          <w:szCs w:val="22"/>
          <w:lang w:val="sr-Latn-ME"/>
        </w:rPr>
        <w:tab/>
      </w:r>
      <w:r w:rsidRPr="007D7545">
        <w:rPr>
          <w:b/>
          <w:bCs/>
          <w:sz w:val="22"/>
          <w:szCs w:val="22"/>
          <w:lang w:val="sr-Latn-ME"/>
        </w:rPr>
        <w:t xml:space="preserve">DATUM </w:t>
      </w:r>
      <w:r w:rsidR="00C05DF8" w:rsidRPr="007D7545">
        <w:rPr>
          <w:b/>
          <w:bCs/>
          <w:sz w:val="22"/>
          <w:szCs w:val="22"/>
          <w:lang w:val="sr-Latn-ME"/>
        </w:rPr>
        <w:t xml:space="preserve">PRVE </w:t>
      </w:r>
      <w:r w:rsidR="008A6D43" w:rsidRPr="007D7545">
        <w:rPr>
          <w:b/>
          <w:bCs/>
          <w:sz w:val="22"/>
          <w:szCs w:val="22"/>
          <w:lang w:val="sr-Latn-ME"/>
        </w:rPr>
        <w:t>DOZVOLE</w:t>
      </w:r>
      <w:r w:rsidR="00C05DF8" w:rsidRPr="007D7545">
        <w:rPr>
          <w:b/>
          <w:bCs/>
          <w:sz w:val="22"/>
          <w:szCs w:val="22"/>
          <w:lang w:val="sr-Latn-ME"/>
        </w:rPr>
        <w:t>/OBNOVE DOZVOLE</w:t>
      </w:r>
      <w:r w:rsidR="008A6D43" w:rsidRPr="007D7545">
        <w:rPr>
          <w:b/>
          <w:bCs/>
          <w:sz w:val="22"/>
          <w:szCs w:val="22"/>
          <w:lang w:val="sr-Latn-ME"/>
        </w:rPr>
        <w:t xml:space="preserve"> ZA STAVLJANJE LIJEKA U PROMET</w:t>
      </w:r>
    </w:p>
    <w:p w14:paraId="41CA60ED" w14:textId="77777777" w:rsidR="0072020E" w:rsidRPr="007D7545" w:rsidRDefault="0072020E" w:rsidP="005D101E">
      <w:pPr>
        <w:tabs>
          <w:tab w:val="left" w:pos="540"/>
          <w:tab w:val="left" w:pos="569"/>
        </w:tabs>
        <w:rPr>
          <w:bCs/>
          <w:sz w:val="22"/>
          <w:szCs w:val="22"/>
          <w:lang w:val="sr-Latn-ME"/>
        </w:rPr>
      </w:pPr>
    </w:p>
    <w:p w14:paraId="109814AD" w14:textId="12F22B68" w:rsidR="00237FEA" w:rsidRPr="007D7545" w:rsidRDefault="00396578" w:rsidP="005D101E">
      <w:pPr>
        <w:tabs>
          <w:tab w:val="left" w:pos="540"/>
          <w:tab w:val="left" w:pos="569"/>
        </w:tabs>
        <w:rPr>
          <w:bCs/>
          <w:sz w:val="22"/>
          <w:szCs w:val="22"/>
          <w:lang w:val="sr-Latn-ME"/>
        </w:rPr>
      </w:pPr>
      <w:r w:rsidRPr="007D7545">
        <w:rPr>
          <w:bCs/>
          <w:sz w:val="22"/>
          <w:szCs w:val="22"/>
          <w:lang w:val="sr-Latn-ME"/>
        </w:rPr>
        <w:t>15.02.2024. godine</w:t>
      </w:r>
    </w:p>
    <w:p w14:paraId="625AB925" w14:textId="4236C699" w:rsidR="00692758" w:rsidRPr="007D7545" w:rsidRDefault="00692758" w:rsidP="005D101E">
      <w:pPr>
        <w:tabs>
          <w:tab w:val="left" w:pos="540"/>
          <w:tab w:val="left" w:pos="569"/>
        </w:tabs>
        <w:rPr>
          <w:bCs/>
          <w:sz w:val="22"/>
          <w:szCs w:val="22"/>
          <w:lang w:val="sr-Latn-ME"/>
        </w:rPr>
      </w:pPr>
    </w:p>
    <w:p w14:paraId="4A6DC3E2" w14:textId="77777777" w:rsidR="00692758" w:rsidRPr="007D7545" w:rsidRDefault="00692758" w:rsidP="005D101E">
      <w:pPr>
        <w:tabs>
          <w:tab w:val="left" w:pos="540"/>
          <w:tab w:val="left" w:pos="569"/>
        </w:tabs>
        <w:rPr>
          <w:bCs/>
          <w:sz w:val="22"/>
          <w:szCs w:val="22"/>
          <w:lang w:val="sr-Latn-ME"/>
        </w:rPr>
      </w:pPr>
    </w:p>
    <w:p w14:paraId="5AF40ABF" w14:textId="77777777" w:rsidR="003F6A59" w:rsidRPr="007D7545" w:rsidRDefault="0072020E" w:rsidP="005D101E">
      <w:pPr>
        <w:tabs>
          <w:tab w:val="left" w:pos="540"/>
          <w:tab w:val="left" w:pos="569"/>
        </w:tabs>
        <w:ind w:left="540" w:hanging="540"/>
        <w:rPr>
          <w:bCs/>
          <w:sz w:val="22"/>
          <w:szCs w:val="22"/>
          <w:lang w:val="sr-Latn-ME"/>
        </w:rPr>
      </w:pPr>
      <w:r w:rsidRPr="007D7545">
        <w:rPr>
          <w:b/>
          <w:bCs/>
          <w:sz w:val="22"/>
          <w:szCs w:val="22"/>
          <w:lang w:val="sr-Latn-ME"/>
        </w:rPr>
        <w:t xml:space="preserve">10. </w:t>
      </w:r>
      <w:r w:rsidR="00480FB1" w:rsidRPr="007D7545">
        <w:rPr>
          <w:b/>
          <w:bCs/>
          <w:sz w:val="22"/>
          <w:szCs w:val="22"/>
          <w:lang w:val="sr-Latn-ME"/>
        </w:rPr>
        <w:tab/>
      </w:r>
      <w:r w:rsidR="002846DB" w:rsidRPr="007D7545">
        <w:rPr>
          <w:b/>
          <w:bCs/>
          <w:sz w:val="22"/>
          <w:szCs w:val="22"/>
          <w:lang w:val="sr-Latn-ME"/>
        </w:rPr>
        <w:t>D</w:t>
      </w:r>
      <w:r w:rsidR="00EC2532" w:rsidRPr="007D7545">
        <w:rPr>
          <w:b/>
          <w:bCs/>
          <w:sz w:val="22"/>
          <w:szCs w:val="22"/>
          <w:lang w:val="sr-Latn-ME"/>
        </w:rPr>
        <w:t xml:space="preserve">ATUM REVIZIJE TEKSTA </w:t>
      </w:r>
    </w:p>
    <w:p w14:paraId="3ED30B81" w14:textId="14AC9196" w:rsidR="003F6A59" w:rsidRPr="007D7545" w:rsidRDefault="003F6A59" w:rsidP="005D101E">
      <w:pPr>
        <w:rPr>
          <w:sz w:val="22"/>
          <w:szCs w:val="22"/>
          <w:lang w:val="sr-Latn-ME"/>
        </w:rPr>
      </w:pPr>
    </w:p>
    <w:p w14:paraId="3B59F113" w14:textId="4B49B535" w:rsidR="00692758" w:rsidRPr="007D7545" w:rsidRDefault="005E7F36" w:rsidP="005D101E">
      <w:pPr>
        <w:rPr>
          <w:sz w:val="22"/>
          <w:szCs w:val="22"/>
          <w:lang w:val="sr-Latn-ME"/>
        </w:rPr>
      </w:pPr>
      <w:r>
        <w:rPr>
          <w:sz w:val="22"/>
          <w:szCs w:val="22"/>
          <w:lang w:val="sr-Latn-ME"/>
        </w:rPr>
        <w:t>Oktobar</w:t>
      </w:r>
      <w:bookmarkStart w:id="0" w:name="_GoBack"/>
      <w:bookmarkEnd w:id="0"/>
      <w:r w:rsidR="00692758" w:rsidRPr="007D7545">
        <w:rPr>
          <w:sz w:val="22"/>
          <w:szCs w:val="22"/>
          <w:lang w:val="sr-Latn-ME"/>
        </w:rPr>
        <w:t>, 2024. godine</w:t>
      </w:r>
    </w:p>
    <w:sectPr w:rsidR="00692758" w:rsidRPr="007D7545"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70722" w14:textId="77777777" w:rsidR="00FF6932" w:rsidRDefault="00FF6932">
      <w:r>
        <w:separator/>
      </w:r>
    </w:p>
  </w:endnote>
  <w:endnote w:type="continuationSeparator" w:id="0">
    <w:p w14:paraId="3B03C97A" w14:textId="77777777" w:rsidR="00FF6932" w:rsidRDefault="00FF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87" w:usb1="08070000" w:usb2="00000010" w:usb3="00000000" w:csb0="0002000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202D" w14:textId="45F36A15" w:rsidR="005D101E" w:rsidRPr="00B23F69" w:rsidRDefault="005D101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E7F36">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E7F36">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1BBEA" w14:textId="77777777" w:rsidR="00FF6932" w:rsidRDefault="00FF6932">
      <w:r>
        <w:separator/>
      </w:r>
    </w:p>
  </w:footnote>
  <w:footnote w:type="continuationSeparator" w:id="0">
    <w:p w14:paraId="45117331" w14:textId="77777777" w:rsidR="00FF6932" w:rsidRDefault="00FF6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5pt;height:13.5pt;visibility:visible" o:bullet="t">
        <v:imagedata r:id="rId1" o:title="BT_1000x858px"/>
      </v:shape>
    </w:pict>
  </w:numPicBullet>
  <w:abstractNum w:abstractNumId="0" w15:restartNumberingAfterBreak="0">
    <w:nsid w:val="05257ED7"/>
    <w:multiLevelType w:val="hybridMultilevel"/>
    <w:tmpl w:val="C02CF3AE"/>
    <w:lvl w:ilvl="0" w:tplc="1CB48A68">
      <w:start w:val="7"/>
      <w:numFmt w:val="decimal"/>
      <w:lvlText w:val="%1."/>
      <w:lvlJc w:val="left"/>
      <w:pPr>
        <w:ind w:left="2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E38566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7E40E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242B4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AB45D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AB891F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8FAFFF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95655B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37C72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1916AF"/>
    <w:multiLevelType w:val="hybridMultilevel"/>
    <w:tmpl w:val="B7FA902C"/>
    <w:lvl w:ilvl="0" w:tplc="78C0EB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BAA2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96C1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51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4CD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06DC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78AD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67A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DAEC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C8129D"/>
    <w:multiLevelType w:val="hybridMultilevel"/>
    <w:tmpl w:val="802A5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21075"/>
    <w:multiLevelType w:val="hybridMultilevel"/>
    <w:tmpl w:val="F37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AA85C3B"/>
    <w:multiLevelType w:val="hybridMultilevel"/>
    <w:tmpl w:val="361C186E"/>
    <w:lvl w:ilvl="0" w:tplc="93F23DA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62A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7643B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7C41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27C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18CF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044A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0C57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FEBE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4E86C41"/>
    <w:multiLevelType w:val="hybridMultilevel"/>
    <w:tmpl w:val="8D5A48AE"/>
    <w:lvl w:ilvl="0" w:tplc="C620570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A868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A4D4D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443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EE63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4AEB5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28FD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7A185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E3F5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B570A09"/>
    <w:multiLevelType w:val="hybridMultilevel"/>
    <w:tmpl w:val="4244A1CE"/>
    <w:lvl w:ilvl="0" w:tplc="F92813DE">
      <w:start w:val="1"/>
      <w:numFmt w:val="lowerLetter"/>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66844">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34B7CA">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7EBCC8">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567DBA">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0CDC32">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C8CA86">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5230E6">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94970A">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2D30351"/>
    <w:multiLevelType w:val="hybridMultilevel"/>
    <w:tmpl w:val="F75299DC"/>
    <w:lvl w:ilvl="0" w:tplc="0F860D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520E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8689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C88C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54F9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823E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9044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A628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609E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AF78DE"/>
    <w:multiLevelType w:val="hybridMultilevel"/>
    <w:tmpl w:val="4DD8D054"/>
    <w:lvl w:ilvl="0" w:tplc="AD7863FE">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B003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2AA9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FAC5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CE2A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C8C7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70E1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EC27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12DA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75727"/>
    <w:multiLevelType w:val="hybridMultilevel"/>
    <w:tmpl w:val="7B560956"/>
    <w:lvl w:ilvl="0" w:tplc="839A21D8">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2A6D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C15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2AC5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74D6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CAC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DADD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14BB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28B2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7"/>
  </w:num>
  <w:num w:numId="3">
    <w:abstractNumId w:val="4"/>
  </w:num>
  <w:num w:numId="4">
    <w:abstractNumId w:val="15"/>
  </w:num>
  <w:num w:numId="5">
    <w:abstractNumId w:val="9"/>
  </w:num>
  <w:num w:numId="6">
    <w:abstractNumId w:val="5"/>
  </w:num>
  <w:num w:numId="7">
    <w:abstractNumId w:val="13"/>
  </w:num>
  <w:num w:numId="8">
    <w:abstractNumId w:val="8"/>
  </w:num>
  <w:num w:numId="9">
    <w:abstractNumId w:val="11"/>
  </w:num>
  <w:num w:numId="10">
    <w:abstractNumId w:val="19"/>
  </w:num>
  <w:num w:numId="11">
    <w:abstractNumId w:val="10"/>
  </w:num>
  <w:num w:numId="12">
    <w:abstractNumId w:val="1"/>
  </w:num>
  <w:num w:numId="13">
    <w:abstractNumId w:val="16"/>
  </w:num>
  <w:num w:numId="14">
    <w:abstractNumId w:val="12"/>
  </w:num>
  <w:num w:numId="15">
    <w:abstractNumId w:val="6"/>
  </w:num>
  <w:num w:numId="16">
    <w:abstractNumId w:val="14"/>
  </w:num>
  <w:num w:numId="17">
    <w:abstractNumId w:val="20"/>
  </w:num>
  <w:num w:numId="18">
    <w:abstractNumId w:val="18"/>
  </w:num>
  <w:num w:numId="19">
    <w:abstractNumId w:val="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C5F"/>
    <w:rsid w:val="000176CA"/>
    <w:rsid w:val="00033469"/>
    <w:rsid w:val="00036FA0"/>
    <w:rsid w:val="0003793F"/>
    <w:rsid w:val="00041CCB"/>
    <w:rsid w:val="00045130"/>
    <w:rsid w:val="00047CD1"/>
    <w:rsid w:val="000531DA"/>
    <w:rsid w:val="00057E35"/>
    <w:rsid w:val="00075E28"/>
    <w:rsid w:val="00076726"/>
    <w:rsid w:val="00080303"/>
    <w:rsid w:val="00083D02"/>
    <w:rsid w:val="000A2EA9"/>
    <w:rsid w:val="000A3F58"/>
    <w:rsid w:val="000A4CB6"/>
    <w:rsid w:val="000B7579"/>
    <w:rsid w:val="000D2343"/>
    <w:rsid w:val="000D3449"/>
    <w:rsid w:val="000D425A"/>
    <w:rsid w:val="000D60CC"/>
    <w:rsid w:val="000D7C4F"/>
    <w:rsid w:val="000E2084"/>
    <w:rsid w:val="000E6F55"/>
    <w:rsid w:val="000F18A6"/>
    <w:rsid w:val="000F77FA"/>
    <w:rsid w:val="00107949"/>
    <w:rsid w:val="00107BF7"/>
    <w:rsid w:val="001212EC"/>
    <w:rsid w:val="00126F53"/>
    <w:rsid w:val="0014766D"/>
    <w:rsid w:val="001536CC"/>
    <w:rsid w:val="001975D0"/>
    <w:rsid w:val="001A3FBA"/>
    <w:rsid w:val="001A5518"/>
    <w:rsid w:val="001A73C4"/>
    <w:rsid w:val="001B1C6A"/>
    <w:rsid w:val="001C1263"/>
    <w:rsid w:val="001C1417"/>
    <w:rsid w:val="001D16BC"/>
    <w:rsid w:val="001D4920"/>
    <w:rsid w:val="001E010E"/>
    <w:rsid w:val="001E390B"/>
    <w:rsid w:val="001F42FB"/>
    <w:rsid w:val="001F5A75"/>
    <w:rsid w:val="001F719A"/>
    <w:rsid w:val="00200D98"/>
    <w:rsid w:val="0020128C"/>
    <w:rsid w:val="00201D89"/>
    <w:rsid w:val="002031B3"/>
    <w:rsid w:val="0020339A"/>
    <w:rsid w:val="00215931"/>
    <w:rsid w:val="00220D1A"/>
    <w:rsid w:val="00224C91"/>
    <w:rsid w:val="00227BDB"/>
    <w:rsid w:val="0023449F"/>
    <w:rsid w:val="00234CB1"/>
    <w:rsid w:val="002352F8"/>
    <w:rsid w:val="00237FEA"/>
    <w:rsid w:val="002510A5"/>
    <w:rsid w:val="00254A0A"/>
    <w:rsid w:val="00266046"/>
    <w:rsid w:val="00272D72"/>
    <w:rsid w:val="002846DB"/>
    <w:rsid w:val="00284CCD"/>
    <w:rsid w:val="002A0D38"/>
    <w:rsid w:val="002C6637"/>
    <w:rsid w:val="002D2262"/>
    <w:rsid w:val="002D70E0"/>
    <w:rsid w:val="002E0135"/>
    <w:rsid w:val="002E37A5"/>
    <w:rsid w:val="00310F03"/>
    <w:rsid w:val="0032053E"/>
    <w:rsid w:val="003247D2"/>
    <w:rsid w:val="00333756"/>
    <w:rsid w:val="003365DB"/>
    <w:rsid w:val="003445C1"/>
    <w:rsid w:val="00351781"/>
    <w:rsid w:val="00355B61"/>
    <w:rsid w:val="00362686"/>
    <w:rsid w:val="00371510"/>
    <w:rsid w:val="00383D62"/>
    <w:rsid w:val="00396578"/>
    <w:rsid w:val="00396DFD"/>
    <w:rsid w:val="003A4735"/>
    <w:rsid w:val="003A7059"/>
    <w:rsid w:val="003B70E4"/>
    <w:rsid w:val="003B7A36"/>
    <w:rsid w:val="003C17AB"/>
    <w:rsid w:val="003C17C5"/>
    <w:rsid w:val="003C7823"/>
    <w:rsid w:val="003D53ED"/>
    <w:rsid w:val="003E1DCC"/>
    <w:rsid w:val="003F11A1"/>
    <w:rsid w:val="003F6A59"/>
    <w:rsid w:val="004065C8"/>
    <w:rsid w:val="00407838"/>
    <w:rsid w:val="004109FA"/>
    <w:rsid w:val="00411B4B"/>
    <w:rsid w:val="0041533C"/>
    <w:rsid w:val="00415BEE"/>
    <w:rsid w:val="00421D66"/>
    <w:rsid w:val="004254E9"/>
    <w:rsid w:val="00427F85"/>
    <w:rsid w:val="00436F42"/>
    <w:rsid w:val="004378B4"/>
    <w:rsid w:val="0044651A"/>
    <w:rsid w:val="00451314"/>
    <w:rsid w:val="00452E9D"/>
    <w:rsid w:val="004534C7"/>
    <w:rsid w:val="004614CC"/>
    <w:rsid w:val="004671AA"/>
    <w:rsid w:val="00471DF8"/>
    <w:rsid w:val="00480FB1"/>
    <w:rsid w:val="004818B3"/>
    <w:rsid w:val="00483928"/>
    <w:rsid w:val="00490BFB"/>
    <w:rsid w:val="00494C0F"/>
    <w:rsid w:val="004A1C70"/>
    <w:rsid w:val="004C331F"/>
    <w:rsid w:val="004C5A3F"/>
    <w:rsid w:val="004D41DE"/>
    <w:rsid w:val="004D5A74"/>
    <w:rsid w:val="004D5FBE"/>
    <w:rsid w:val="004D6103"/>
    <w:rsid w:val="004E3BCE"/>
    <w:rsid w:val="004E70AD"/>
    <w:rsid w:val="004F0E97"/>
    <w:rsid w:val="004F17E2"/>
    <w:rsid w:val="00501DD1"/>
    <w:rsid w:val="00515C21"/>
    <w:rsid w:val="00530BD7"/>
    <w:rsid w:val="00545CD2"/>
    <w:rsid w:val="005476F3"/>
    <w:rsid w:val="005528E4"/>
    <w:rsid w:val="005577FF"/>
    <w:rsid w:val="00572527"/>
    <w:rsid w:val="00573E40"/>
    <w:rsid w:val="00576348"/>
    <w:rsid w:val="005A0B2E"/>
    <w:rsid w:val="005A23D2"/>
    <w:rsid w:val="005A36CB"/>
    <w:rsid w:val="005A7C13"/>
    <w:rsid w:val="005B49B8"/>
    <w:rsid w:val="005C0741"/>
    <w:rsid w:val="005C5EF4"/>
    <w:rsid w:val="005D101E"/>
    <w:rsid w:val="005E2E0B"/>
    <w:rsid w:val="005E67AD"/>
    <w:rsid w:val="005E7A7D"/>
    <w:rsid w:val="005E7F36"/>
    <w:rsid w:val="00602457"/>
    <w:rsid w:val="00622C7A"/>
    <w:rsid w:val="00627F17"/>
    <w:rsid w:val="00644FC3"/>
    <w:rsid w:val="00646974"/>
    <w:rsid w:val="00646BD1"/>
    <w:rsid w:val="006561C2"/>
    <w:rsid w:val="00671CB3"/>
    <w:rsid w:val="00674BAF"/>
    <w:rsid w:val="00681E2C"/>
    <w:rsid w:val="00682200"/>
    <w:rsid w:val="00683FA1"/>
    <w:rsid w:val="00685DA7"/>
    <w:rsid w:val="00690F42"/>
    <w:rsid w:val="00692758"/>
    <w:rsid w:val="00692BF6"/>
    <w:rsid w:val="006A1351"/>
    <w:rsid w:val="006A1497"/>
    <w:rsid w:val="006A2AAA"/>
    <w:rsid w:val="006B0BD1"/>
    <w:rsid w:val="006B5404"/>
    <w:rsid w:val="006D17A6"/>
    <w:rsid w:val="006D20A5"/>
    <w:rsid w:val="006D37BF"/>
    <w:rsid w:val="006D47A2"/>
    <w:rsid w:val="006E0B64"/>
    <w:rsid w:val="006F55E2"/>
    <w:rsid w:val="00702E22"/>
    <w:rsid w:val="007037C3"/>
    <w:rsid w:val="0072020E"/>
    <w:rsid w:val="00724A78"/>
    <w:rsid w:val="007412BE"/>
    <w:rsid w:val="00747652"/>
    <w:rsid w:val="00751CBE"/>
    <w:rsid w:val="00754902"/>
    <w:rsid w:val="00777DF9"/>
    <w:rsid w:val="00786071"/>
    <w:rsid w:val="007A1499"/>
    <w:rsid w:val="007A3ECB"/>
    <w:rsid w:val="007C79CE"/>
    <w:rsid w:val="007D7545"/>
    <w:rsid w:val="007D7BB3"/>
    <w:rsid w:val="007E31E9"/>
    <w:rsid w:val="007F1717"/>
    <w:rsid w:val="007F48E1"/>
    <w:rsid w:val="00812CB3"/>
    <w:rsid w:val="00824AB9"/>
    <w:rsid w:val="0083485F"/>
    <w:rsid w:val="00836B35"/>
    <w:rsid w:val="00837F3C"/>
    <w:rsid w:val="00843BDE"/>
    <w:rsid w:val="008525E5"/>
    <w:rsid w:val="00863665"/>
    <w:rsid w:val="0087588C"/>
    <w:rsid w:val="008953DE"/>
    <w:rsid w:val="0089705C"/>
    <w:rsid w:val="008A3D3C"/>
    <w:rsid w:val="008A6D43"/>
    <w:rsid w:val="008B21D2"/>
    <w:rsid w:val="008B491E"/>
    <w:rsid w:val="008B54E7"/>
    <w:rsid w:val="008C1A28"/>
    <w:rsid w:val="008C2E98"/>
    <w:rsid w:val="008E138A"/>
    <w:rsid w:val="008E49BD"/>
    <w:rsid w:val="008E53E9"/>
    <w:rsid w:val="008E5771"/>
    <w:rsid w:val="008F4ACF"/>
    <w:rsid w:val="00906544"/>
    <w:rsid w:val="00924166"/>
    <w:rsid w:val="0093158E"/>
    <w:rsid w:val="00940B9B"/>
    <w:rsid w:val="00940E90"/>
    <w:rsid w:val="00953573"/>
    <w:rsid w:val="00955E5C"/>
    <w:rsid w:val="0095676E"/>
    <w:rsid w:val="00956983"/>
    <w:rsid w:val="00963CF0"/>
    <w:rsid w:val="00964BB1"/>
    <w:rsid w:val="009775D9"/>
    <w:rsid w:val="00997175"/>
    <w:rsid w:val="009A1847"/>
    <w:rsid w:val="009B062A"/>
    <w:rsid w:val="009B50B7"/>
    <w:rsid w:val="009C0BC1"/>
    <w:rsid w:val="009D309A"/>
    <w:rsid w:val="009E03E4"/>
    <w:rsid w:val="009E39FB"/>
    <w:rsid w:val="009E7C6F"/>
    <w:rsid w:val="009F1793"/>
    <w:rsid w:val="009F2D23"/>
    <w:rsid w:val="009F6550"/>
    <w:rsid w:val="00A01D69"/>
    <w:rsid w:val="00A02335"/>
    <w:rsid w:val="00A10DEF"/>
    <w:rsid w:val="00A17F83"/>
    <w:rsid w:val="00A233CC"/>
    <w:rsid w:val="00A46C9A"/>
    <w:rsid w:val="00A55EED"/>
    <w:rsid w:val="00A619F3"/>
    <w:rsid w:val="00A62A73"/>
    <w:rsid w:val="00A80036"/>
    <w:rsid w:val="00A85A33"/>
    <w:rsid w:val="00A87FF6"/>
    <w:rsid w:val="00AA0A3B"/>
    <w:rsid w:val="00AA2763"/>
    <w:rsid w:val="00AA33B6"/>
    <w:rsid w:val="00AA7D39"/>
    <w:rsid w:val="00AB0777"/>
    <w:rsid w:val="00AB50CA"/>
    <w:rsid w:val="00AB6D64"/>
    <w:rsid w:val="00AC53CE"/>
    <w:rsid w:val="00AD2193"/>
    <w:rsid w:val="00AF19F4"/>
    <w:rsid w:val="00AF2AC7"/>
    <w:rsid w:val="00AF74CE"/>
    <w:rsid w:val="00B2013E"/>
    <w:rsid w:val="00B208DB"/>
    <w:rsid w:val="00B23F69"/>
    <w:rsid w:val="00B4685C"/>
    <w:rsid w:val="00B60619"/>
    <w:rsid w:val="00B66A70"/>
    <w:rsid w:val="00B67366"/>
    <w:rsid w:val="00B70968"/>
    <w:rsid w:val="00B80EE1"/>
    <w:rsid w:val="00B84135"/>
    <w:rsid w:val="00B96443"/>
    <w:rsid w:val="00BA0387"/>
    <w:rsid w:val="00BA4A9C"/>
    <w:rsid w:val="00BB5502"/>
    <w:rsid w:val="00BB6090"/>
    <w:rsid w:val="00BC0470"/>
    <w:rsid w:val="00BC5F83"/>
    <w:rsid w:val="00BD0968"/>
    <w:rsid w:val="00BE48F6"/>
    <w:rsid w:val="00C04D34"/>
    <w:rsid w:val="00C056C5"/>
    <w:rsid w:val="00C05DF8"/>
    <w:rsid w:val="00C06864"/>
    <w:rsid w:val="00C10F54"/>
    <w:rsid w:val="00C13E8A"/>
    <w:rsid w:val="00C23D8D"/>
    <w:rsid w:val="00C37AA3"/>
    <w:rsid w:val="00C37FD7"/>
    <w:rsid w:val="00C43419"/>
    <w:rsid w:val="00C44CF3"/>
    <w:rsid w:val="00C61BE0"/>
    <w:rsid w:val="00C6707E"/>
    <w:rsid w:val="00C70B0E"/>
    <w:rsid w:val="00C773CA"/>
    <w:rsid w:val="00C83785"/>
    <w:rsid w:val="00C93087"/>
    <w:rsid w:val="00C94C0D"/>
    <w:rsid w:val="00C94D38"/>
    <w:rsid w:val="00CA1FEB"/>
    <w:rsid w:val="00CD0771"/>
    <w:rsid w:val="00CD4F85"/>
    <w:rsid w:val="00CD6F02"/>
    <w:rsid w:val="00CE21A9"/>
    <w:rsid w:val="00CE246D"/>
    <w:rsid w:val="00CF07A0"/>
    <w:rsid w:val="00CF3E03"/>
    <w:rsid w:val="00D0082A"/>
    <w:rsid w:val="00D119DE"/>
    <w:rsid w:val="00D21455"/>
    <w:rsid w:val="00D33EE3"/>
    <w:rsid w:val="00D47634"/>
    <w:rsid w:val="00D50776"/>
    <w:rsid w:val="00D709B3"/>
    <w:rsid w:val="00D74CD2"/>
    <w:rsid w:val="00D75100"/>
    <w:rsid w:val="00D966CA"/>
    <w:rsid w:val="00DA2ED6"/>
    <w:rsid w:val="00DB1D55"/>
    <w:rsid w:val="00DB76B8"/>
    <w:rsid w:val="00DC2EA1"/>
    <w:rsid w:val="00DC68A9"/>
    <w:rsid w:val="00DD4827"/>
    <w:rsid w:val="00DD485A"/>
    <w:rsid w:val="00DD6AAF"/>
    <w:rsid w:val="00DE3F5C"/>
    <w:rsid w:val="00DE547D"/>
    <w:rsid w:val="00DF1D20"/>
    <w:rsid w:val="00DF5874"/>
    <w:rsid w:val="00E10329"/>
    <w:rsid w:val="00E21324"/>
    <w:rsid w:val="00E246B9"/>
    <w:rsid w:val="00E31FEA"/>
    <w:rsid w:val="00E3675A"/>
    <w:rsid w:val="00E37340"/>
    <w:rsid w:val="00E375D8"/>
    <w:rsid w:val="00E42690"/>
    <w:rsid w:val="00E45169"/>
    <w:rsid w:val="00E47787"/>
    <w:rsid w:val="00E5066A"/>
    <w:rsid w:val="00E51C30"/>
    <w:rsid w:val="00E64180"/>
    <w:rsid w:val="00E647C0"/>
    <w:rsid w:val="00E7235D"/>
    <w:rsid w:val="00E74AEE"/>
    <w:rsid w:val="00E868E5"/>
    <w:rsid w:val="00E9237A"/>
    <w:rsid w:val="00E939FA"/>
    <w:rsid w:val="00EA5765"/>
    <w:rsid w:val="00EA6129"/>
    <w:rsid w:val="00EB57AC"/>
    <w:rsid w:val="00EB717A"/>
    <w:rsid w:val="00EC2532"/>
    <w:rsid w:val="00ED7812"/>
    <w:rsid w:val="00EF33EA"/>
    <w:rsid w:val="00EF3B86"/>
    <w:rsid w:val="00F10B48"/>
    <w:rsid w:val="00F317E9"/>
    <w:rsid w:val="00F34554"/>
    <w:rsid w:val="00F35B68"/>
    <w:rsid w:val="00F45F77"/>
    <w:rsid w:val="00F5167F"/>
    <w:rsid w:val="00F5172B"/>
    <w:rsid w:val="00F52258"/>
    <w:rsid w:val="00F57CCD"/>
    <w:rsid w:val="00F8570A"/>
    <w:rsid w:val="00F91C7B"/>
    <w:rsid w:val="00FB04A1"/>
    <w:rsid w:val="00FC1AAC"/>
    <w:rsid w:val="00FC4ECD"/>
    <w:rsid w:val="00FD223D"/>
    <w:rsid w:val="00FD2442"/>
    <w:rsid w:val="00FE39DF"/>
    <w:rsid w:val="00FF1948"/>
    <w:rsid w:val="00FF3EDF"/>
    <w:rsid w:val="00FF5F82"/>
    <w:rsid w:val="00FF693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0F7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E01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uiPriority w:val="9"/>
    <w:unhideWhenUsed/>
    <w:qFormat/>
    <w:rsid w:val="001E010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1E010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uiPriority w:val="99"/>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1E010E"/>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rsid w:val="001E010E"/>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rsid w:val="001E010E"/>
    <w:rPr>
      <w:rFonts w:asciiTheme="majorHAnsi" w:eastAsiaTheme="majorEastAsia" w:hAnsiTheme="majorHAnsi" w:cstheme="majorBidi"/>
      <w:i/>
      <w:iCs/>
      <w:color w:val="2E74B5" w:themeColor="accent1" w:themeShade="BF"/>
      <w:sz w:val="24"/>
      <w:szCs w:val="24"/>
      <w:lang w:val="en-US" w:eastAsia="en-US"/>
    </w:rPr>
  </w:style>
  <w:style w:type="table" w:customStyle="1" w:styleId="TableGrid">
    <w:name w:val="TableGrid"/>
    <w:rsid w:val="001E010E"/>
    <w:rPr>
      <w:rFonts w:ascii="Calibri" w:hAnsi="Calibri"/>
      <w:sz w:val="22"/>
      <w:szCs w:val="22"/>
      <w:lang w:val="en-US" w:eastAsia="en-US"/>
    </w:rPr>
    <w:tblPr>
      <w:tblCellMar>
        <w:top w:w="0" w:type="dxa"/>
        <w:left w:w="0" w:type="dxa"/>
        <w:bottom w:w="0" w:type="dxa"/>
        <w:right w:w="0" w:type="dxa"/>
      </w:tblCellMar>
    </w:tblPr>
  </w:style>
  <w:style w:type="table" w:customStyle="1" w:styleId="TableGrid1">
    <w:name w:val="TableGrid1"/>
    <w:rsid w:val="001E010E"/>
    <w:rPr>
      <w:rFonts w:ascii="Calibri" w:hAnsi="Calibri"/>
      <w:sz w:val="22"/>
      <w:szCs w:val="22"/>
      <w:lang w:val="en-US" w:eastAsia="en-US"/>
    </w:rPr>
    <w:tblPr>
      <w:tblCellMar>
        <w:top w:w="0" w:type="dxa"/>
        <w:left w:w="0" w:type="dxa"/>
        <w:bottom w:w="0" w:type="dxa"/>
        <w:right w:w="0" w:type="dxa"/>
      </w:tblCellMar>
    </w:tblPr>
  </w:style>
  <w:style w:type="table" w:styleId="TableGrid0">
    <w:name w:val="Table Grid"/>
    <w:basedOn w:val="TableNormal"/>
    <w:uiPriority w:val="39"/>
    <w:rsid w:val="001E010E"/>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E010E"/>
  </w:style>
  <w:style w:type="character" w:customStyle="1" w:styleId="Heading2Char">
    <w:name w:val="Heading 2 Char"/>
    <w:link w:val="Heading2"/>
    <w:uiPriority w:val="9"/>
    <w:rsid w:val="001E010E"/>
    <w:rPr>
      <w:rFonts w:ascii="Arial" w:hAnsi="Arial" w:cs="Arial"/>
      <w:i/>
      <w:iCs/>
      <w:color w:val="999999"/>
      <w:sz w:val="18"/>
      <w:szCs w:val="24"/>
      <w:lang w:val="en-US" w:eastAsia="en-US"/>
    </w:rPr>
  </w:style>
  <w:style w:type="table" w:customStyle="1" w:styleId="TableGrid2">
    <w:name w:val="TableGrid2"/>
    <w:rsid w:val="001E010E"/>
    <w:rPr>
      <w:rFonts w:ascii="Calibri" w:hAnsi="Calibri"/>
      <w:sz w:val="22"/>
      <w:szCs w:val="22"/>
      <w:lang w:val="en-US" w:eastAsia="en-US"/>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1E010E"/>
    <w:rPr>
      <w:sz w:val="24"/>
      <w:szCs w:val="24"/>
      <w:lang w:val="en-US" w:eastAsia="en-US"/>
    </w:rPr>
  </w:style>
  <w:style w:type="character" w:customStyle="1" w:styleId="CommentSubjectChar">
    <w:name w:val="Comment Subject Char"/>
    <w:basedOn w:val="CommentTextChar"/>
    <w:link w:val="CommentSubject"/>
    <w:uiPriority w:val="99"/>
    <w:semiHidden/>
    <w:rsid w:val="001E010E"/>
    <w:rPr>
      <w:b/>
      <w:bCs/>
      <w:lang w:val="en-US" w:eastAsia="en-US"/>
    </w:rPr>
  </w:style>
  <w:style w:type="character" w:customStyle="1" w:styleId="BalloonTextChar">
    <w:name w:val="Balloon Text Char"/>
    <w:basedOn w:val="DefaultParagraphFont"/>
    <w:link w:val="BalloonText"/>
    <w:uiPriority w:val="99"/>
    <w:semiHidden/>
    <w:rsid w:val="001E010E"/>
    <w:rPr>
      <w:rFonts w:ascii="Tahoma" w:hAnsi="Tahoma" w:cs="Tahoma"/>
      <w:sz w:val="16"/>
      <w:szCs w:val="16"/>
      <w:lang w:val="en-US" w:eastAsia="en-US"/>
    </w:rPr>
  </w:style>
  <w:style w:type="table" w:customStyle="1" w:styleId="TableGrid10">
    <w:name w:val="Table Grid1"/>
    <w:basedOn w:val="TableNormal"/>
    <w:next w:val="TableGrid0"/>
    <w:uiPriority w:val="39"/>
    <w:rsid w:val="001E010E"/>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010E"/>
    <w:rPr>
      <w:color w:val="000000"/>
      <w:sz w:val="22"/>
      <w:szCs w:val="22"/>
      <w:lang w:val="en-US" w:eastAsia="en-US"/>
    </w:rPr>
  </w:style>
  <w:style w:type="paragraph" w:styleId="ListParagraph">
    <w:name w:val="List Paragraph"/>
    <w:basedOn w:val="Normal"/>
    <w:uiPriority w:val="34"/>
    <w:qFormat/>
    <w:rsid w:val="00B20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78F01-7AF1-4B22-A8E2-D73851325470}">
  <ds:schemaRefs>
    <ds:schemaRef ds:uri="http://schemas.microsoft.com/sharepoint/v3/contenttype/forms"/>
  </ds:schemaRefs>
</ds:datastoreItem>
</file>

<file path=customXml/itemProps2.xml><?xml version="1.0" encoding="utf-8"?>
<ds:datastoreItem xmlns:ds="http://schemas.openxmlformats.org/officeDocument/2006/customXml" ds:itemID="{86CEC250-298C-4101-B34E-A3E8F63C0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A2485-E226-4876-B8F1-9FB0714E5973}">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14CF4982-6995-4C0E-AF9A-EED9C292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11683</Words>
  <Characters>66596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78123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19</cp:revision>
  <cp:lastPrinted>2023-02-09T08:16:00Z</cp:lastPrinted>
  <dcterms:created xsi:type="dcterms:W3CDTF">2024-02-15T10:01:00Z</dcterms:created>
  <dcterms:modified xsi:type="dcterms:W3CDTF">2024-10-10T11:46:00Z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