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411C" w14:textId="77777777" w:rsidR="001A5518" w:rsidRPr="00245459" w:rsidRDefault="001A5518" w:rsidP="005342F3">
      <w:pPr>
        <w:jc w:val="both"/>
        <w:rPr>
          <w:b/>
          <w:bCs/>
          <w:i/>
          <w:iCs/>
          <w:sz w:val="22"/>
          <w:szCs w:val="22"/>
          <w:u w:val="single"/>
          <w:lang w:val="sr-Latn-ME"/>
        </w:rPr>
      </w:pPr>
    </w:p>
    <w:p w14:paraId="00DB9E3A" w14:textId="77777777" w:rsidR="00F91C7B" w:rsidRPr="00245459" w:rsidRDefault="00F91C7B" w:rsidP="005342F3">
      <w:pPr>
        <w:jc w:val="both"/>
        <w:rPr>
          <w:b/>
          <w:bCs/>
          <w:i/>
          <w:iCs/>
          <w:sz w:val="22"/>
          <w:szCs w:val="22"/>
          <w:u w:val="single"/>
          <w:lang w:val="sr-Latn-ME"/>
        </w:rPr>
      </w:pPr>
    </w:p>
    <w:p w14:paraId="0451BC63" w14:textId="77777777" w:rsidR="002510A5" w:rsidRPr="00245459" w:rsidRDefault="002510A5" w:rsidP="005342F3">
      <w:pPr>
        <w:jc w:val="center"/>
        <w:rPr>
          <w:b/>
          <w:bCs/>
          <w:iCs/>
          <w:sz w:val="22"/>
          <w:szCs w:val="22"/>
          <w:u w:val="single"/>
          <w:lang w:val="sr-Latn-ME"/>
        </w:rPr>
      </w:pPr>
      <w:r w:rsidRPr="00245459">
        <w:rPr>
          <w:b/>
          <w:bCs/>
          <w:iCs/>
          <w:sz w:val="22"/>
          <w:szCs w:val="22"/>
          <w:u w:val="single"/>
          <w:lang w:val="sr-Latn-ME"/>
        </w:rPr>
        <w:t>SAŽETAK KARAKTERISTIKA LIJEKA</w:t>
      </w:r>
    </w:p>
    <w:p w14:paraId="4EB4E6F9" w14:textId="77777777" w:rsidR="002510A5" w:rsidRPr="00245459" w:rsidRDefault="002510A5" w:rsidP="005342F3">
      <w:pPr>
        <w:jc w:val="both"/>
        <w:rPr>
          <w:b/>
          <w:bCs/>
          <w:i/>
          <w:iCs/>
          <w:sz w:val="22"/>
          <w:szCs w:val="22"/>
          <w:u w:val="single"/>
          <w:lang w:val="sr-Latn-ME"/>
        </w:rPr>
      </w:pPr>
    </w:p>
    <w:p w14:paraId="7AAEFBCF" w14:textId="77777777" w:rsidR="003C17AB" w:rsidRPr="00245459" w:rsidRDefault="003C17AB" w:rsidP="005342F3">
      <w:pPr>
        <w:tabs>
          <w:tab w:val="left" w:pos="540"/>
          <w:tab w:val="left" w:pos="569"/>
        </w:tabs>
        <w:jc w:val="both"/>
        <w:rPr>
          <w:noProof/>
          <w:sz w:val="22"/>
          <w:szCs w:val="22"/>
          <w:lang w:val="sr-Latn-ME"/>
        </w:rPr>
      </w:pPr>
    </w:p>
    <w:p w14:paraId="25FF3680" w14:textId="77777777" w:rsidR="00C37FD7" w:rsidRPr="00245459" w:rsidRDefault="00C37FD7" w:rsidP="005342F3">
      <w:pPr>
        <w:tabs>
          <w:tab w:val="left" w:pos="540"/>
          <w:tab w:val="left" w:pos="569"/>
        </w:tabs>
        <w:jc w:val="both"/>
        <w:rPr>
          <w:bCs/>
          <w:sz w:val="22"/>
          <w:szCs w:val="22"/>
          <w:lang w:val="sr-Latn-ME"/>
        </w:rPr>
      </w:pPr>
    </w:p>
    <w:p w14:paraId="4ADAA18B"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1.</w:t>
      </w:r>
      <w:r w:rsidR="00F5167F" w:rsidRPr="00245459">
        <w:rPr>
          <w:b/>
          <w:bCs/>
          <w:sz w:val="22"/>
          <w:szCs w:val="22"/>
          <w:lang w:val="sr-Latn-ME"/>
        </w:rPr>
        <w:tab/>
      </w:r>
      <w:r w:rsidR="002846DB" w:rsidRPr="00245459">
        <w:rPr>
          <w:b/>
          <w:bCs/>
          <w:sz w:val="22"/>
          <w:szCs w:val="22"/>
          <w:lang w:val="sr-Latn-ME"/>
        </w:rPr>
        <w:t xml:space="preserve">NAZIV </w:t>
      </w:r>
      <w:r w:rsidRPr="00245459">
        <w:rPr>
          <w:b/>
          <w:bCs/>
          <w:sz w:val="22"/>
          <w:szCs w:val="22"/>
          <w:lang w:val="sr-Latn-ME"/>
        </w:rPr>
        <w:t>LIJEKA</w:t>
      </w:r>
    </w:p>
    <w:p w14:paraId="4074318E" w14:textId="77777777" w:rsidR="00EC2532" w:rsidRPr="00245459" w:rsidRDefault="00EC2532" w:rsidP="005342F3">
      <w:pPr>
        <w:jc w:val="both"/>
        <w:rPr>
          <w:sz w:val="22"/>
          <w:szCs w:val="22"/>
          <w:lang w:val="sr-Latn-ME"/>
        </w:rPr>
      </w:pPr>
    </w:p>
    <w:p w14:paraId="79076652" w14:textId="53A8BB27" w:rsidR="000D425A" w:rsidRPr="00245459" w:rsidRDefault="000D0C9F" w:rsidP="005342F3">
      <w:pPr>
        <w:jc w:val="both"/>
        <w:rPr>
          <w:sz w:val="22"/>
          <w:szCs w:val="22"/>
          <w:lang w:val="sr-Latn-ME"/>
        </w:rPr>
      </w:pPr>
      <w:r w:rsidRPr="00245459">
        <w:rPr>
          <w:bCs/>
          <w:sz w:val="22"/>
          <w:szCs w:val="22"/>
          <w:lang w:val="sr-Latn-ME"/>
        </w:rPr>
        <w:t>Singulair</w:t>
      </w:r>
      <w:r w:rsidR="00563BF0" w:rsidRPr="00245459">
        <w:rPr>
          <w:bCs/>
          <w:sz w:val="22"/>
          <w:szCs w:val="22"/>
          <w:lang w:val="sr-Latn-ME"/>
        </w:rPr>
        <w:t>,</w:t>
      </w:r>
      <w:r w:rsidR="00563BF0" w:rsidRPr="00245459">
        <w:rPr>
          <w:b/>
          <w:bCs/>
          <w:sz w:val="22"/>
          <w:szCs w:val="22"/>
          <w:lang w:val="sr-Latn-ME"/>
        </w:rPr>
        <w:t xml:space="preserve"> </w:t>
      </w:r>
      <w:r w:rsidRPr="00245459">
        <w:rPr>
          <w:sz w:val="22"/>
          <w:szCs w:val="22"/>
          <w:lang w:val="sr-Latn-ME"/>
        </w:rPr>
        <w:t>10 mg</w:t>
      </w:r>
      <w:r w:rsidR="00563BF0" w:rsidRPr="00245459">
        <w:rPr>
          <w:sz w:val="22"/>
          <w:szCs w:val="22"/>
          <w:lang w:val="sr-Latn-ME"/>
        </w:rPr>
        <w:t>,</w:t>
      </w:r>
      <w:r w:rsidRPr="00245459">
        <w:rPr>
          <w:sz w:val="22"/>
          <w:szCs w:val="22"/>
          <w:lang w:val="sr-Latn-ME"/>
        </w:rPr>
        <w:t xml:space="preserve"> film tableta</w:t>
      </w:r>
    </w:p>
    <w:p w14:paraId="414CD151" w14:textId="77777777" w:rsidR="000D0C9F" w:rsidRPr="00245459" w:rsidRDefault="000D0C9F" w:rsidP="005342F3">
      <w:pPr>
        <w:jc w:val="both"/>
        <w:rPr>
          <w:sz w:val="22"/>
          <w:szCs w:val="22"/>
          <w:lang w:val="sr-Latn-ME"/>
        </w:rPr>
      </w:pPr>
    </w:p>
    <w:p w14:paraId="2BED451C" w14:textId="5B27A3DA" w:rsidR="006D20A5" w:rsidRPr="00245459" w:rsidRDefault="006D20A5" w:rsidP="005342F3">
      <w:pPr>
        <w:jc w:val="both"/>
        <w:rPr>
          <w:sz w:val="22"/>
          <w:szCs w:val="22"/>
          <w:lang w:val="sr-Latn-ME"/>
        </w:rPr>
      </w:pPr>
      <w:r w:rsidRPr="00245459">
        <w:rPr>
          <w:sz w:val="22"/>
          <w:szCs w:val="22"/>
          <w:lang w:val="sr-Latn-ME"/>
        </w:rPr>
        <w:t>INN:</w:t>
      </w:r>
      <w:r w:rsidR="000D0C9F" w:rsidRPr="00245459">
        <w:rPr>
          <w:sz w:val="22"/>
          <w:szCs w:val="22"/>
          <w:lang w:val="sr-Latn-ME"/>
        </w:rPr>
        <w:t xml:space="preserve"> montelukast</w:t>
      </w:r>
    </w:p>
    <w:p w14:paraId="48811D9C" w14:textId="77777777" w:rsidR="006D20A5" w:rsidRPr="00245459" w:rsidRDefault="006D20A5" w:rsidP="005342F3">
      <w:pPr>
        <w:jc w:val="both"/>
        <w:rPr>
          <w:bCs/>
          <w:sz w:val="22"/>
          <w:szCs w:val="22"/>
          <w:lang w:val="sr-Latn-ME"/>
        </w:rPr>
      </w:pPr>
    </w:p>
    <w:p w14:paraId="1C59CCBB" w14:textId="77777777" w:rsidR="00530BD7" w:rsidRPr="00245459" w:rsidRDefault="00530BD7" w:rsidP="005342F3">
      <w:pPr>
        <w:jc w:val="both"/>
        <w:rPr>
          <w:bCs/>
          <w:sz w:val="22"/>
          <w:szCs w:val="22"/>
          <w:lang w:val="sr-Latn-ME"/>
        </w:rPr>
      </w:pPr>
    </w:p>
    <w:p w14:paraId="3C0FDA5B"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2. </w:t>
      </w:r>
      <w:r w:rsidR="00F5167F" w:rsidRPr="00245459">
        <w:rPr>
          <w:b/>
          <w:bCs/>
          <w:sz w:val="22"/>
          <w:szCs w:val="22"/>
          <w:lang w:val="sr-Latn-ME"/>
        </w:rPr>
        <w:tab/>
      </w:r>
      <w:r w:rsidRPr="00245459">
        <w:rPr>
          <w:b/>
          <w:bCs/>
          <w:sz w:val="22"/>
          <w:szCs w:val="22"/>
          <w:lang w:val="sr-Latn-ME"/>
        </w:rPr>
        <w:t>KVALITATIVNI I KVANTITATIVNI SASTAV</w:t>
      </w:r>
    </w:p>
    <w:p w14:paraId="4738A648" w14:textId="77777777" w:rsidR="005A0B2E" w:rsidRPr="00245459" w:rsidRDefault="005A0B2E" w:rsidP="005342F3">
      <w:pPr>
        <w:jc w:val="both"/>
        <w:rPr>
          <w:sz w:val="22"/>
          <w:szCs w:val="22"/>
          <w:lang w:val="sr-Latn-ME"/>
        </w:rPr>
      </w:pPr>
    </w:p>
    <w:p w14:paraId="6AB4D2F0" w14:textId="512EEA70" w:rsidR="000D0C9F" w:rsidRPr="00245459" w:rsidRDefault="000D0C9F" w:rsidP="005342F3">
      <w:pPr>
        <w:jc w:val="both"/>
        <w:rPr>
          <w:sz w:val="22"/>
          <w:szCs w:val="22"/>
          <w:lang w:val="sr-Latn-ME"/>
        </w:rPr>
      </w:pPr>
      <w:r w:rsidRPr="00245459">
        <w:rPr>
          <w:sz w:val="22"/>
          <w:szCs w:val="22"/>
          <w:lang w:val="sr-Latn-ME"/>
        </w:rPr>
        <w:t>Jedna film tableta sadrži 10 mg montelukasta u obliku montelukast</w:t>
      </w:r>
      <w:r w:rsidR="00563BF0" w:rsidRPr="00245459">
        <w:rPr>
          <w:sz w:val="22"/>
          <w:szCs w:val="22"/>
          <w:lang w:val="sr-Latn-ME"/>
        </w:rPr>
        <w:t xml:space="preserve"> </w:t>
      </w:r>
      <w:r w:rsidRPr="00245459">
        <w:rPr>
          <w:sz w:val="22"/>
          <w:szCs w:val="22"/>
          <w:lang w:val="sr-Latn-ME"/>
        </w:rPr>
        <w:t>natrijuma.</w:t>
      </w:r>
    </w:p>
    <w:p w14:paraId="2996B1B1" w14:textId="77777777" w:rsidR="0045615F" w:rsidRPr="00245459" w:rsidRDefault="0045615F" w:rsidP="005342F3">
      <w:pPr>
        <w:jc w:val="both"/>
        <w:rPr>
          <w:sz w:val="22"/>
          <w:szCs w:val="22"/>
          <w:u w:val="single"/>
          <w:lang w:val="sr-Latn-ME"/>
        </w:rPr>
      </w:pPr>
    </w:p>
    <w:p w14:paraId="6C7F4CA0" w14:textId="52628BB6" w:rsidR="00563BF0" w:rsidRPr="00245459" w:rsidRDefault="000D0C9F" w:rsidP="005342F3">
      <w:pPr>
        <w:jc w:val="both"/>
        <w:rPr>
          <w:i/>
          <w:sz w:val="22"/>
          <w:szCs w:val="22"/>
          <w:lang w:val="sr-Latn-ME"/>
        </w:rPr>
      </w:pPr>
      <w:r w:rsidRPr="00245459">
        <w:rPr>
          <w:sz w:val="22"/>
          <w:szCs w:val="22"/>
          <w:u w:val="single"/>
          <w:lang w:val="sr-Latn-ME"/>
        </w:rPr>
        <w:t>Pomoćne supstance sa potvrđenim dejstvom:</w:t>
      </w:r>
      <w:r w:rsidRPr="00245459">
        <w:rPr>
          <w:i/>
          <w:sz w:val="22"/>
          <w:szCs w:val="22"/>
          <w:lang w:val="sr-Latn-ME"/>
        </w:rPr>
        <w:t xml:space="preserve"> </w:t>
      </w:r>
    </w:p>
    <w:p w14:paraId="360D30C2" w14:textId="61C58767" w:rsidR="000D0C9F" w:rsidRPr="00245459" w:rsidRDefault="000D0C9F" w:rsidP="005342F3">
      <w:pPr>
        <w:jc w:val="both"/>
        <w:rPr>
          <w:sz w:val="22"/>
          <w:szCs w:val="22"/>
          <w:lang w:val="sr-Latn-ME"/>
        </w:rPr>
      </w:pPr>
      <w:r w:rsidRPr="00245459">
        <w:rPr>
          <w:sz w:val="22"/>
          <w:szCs w:val="22"/>
          <w:lang w:val="sr-Latn-ME"/>
        </w:rPr>
        <w:t>Ovaj lijek sadrži 89,3 mg laktoze monohidrata po tableti.</w:t>
      </w:r>
    </w:p>
    <w:p w14:paraId="16237E66" w14:textId="33F824D0" w:rsidR="000D0C9F" w:rsidRPr="00245459" w:rsidRDefault="000D0C9F" w:rsidP="005342F3">
      <w:pPr>
        <w:jc w:val="both"/>
        <w:rPr>
          <w:sz w:val="22"/>
          <w:szCs w:val="22"/>
          <w:lang w:val="sr-Latn-ME"/>
        </w:rPr>
      </w:pPr>
    </w:p>
    <w:p w14:paraId="634FEE19" w14:textId="1144C418" w:rsidR="0003793F" w:rsidRPr="00245459" w:rsidRDefault="0003793F" w:rsidP="005342F3">
      <w:pPr>
        <w:jc w:val="both"/>
        <w:rPr>
          <w:sz w:val="22"/>
          <w:szCs w:val="22"/>
          <w:lang w:val="sr-Latn-ME"/>
        </w:rPr>
      </w:pPr>
      <w:r w:rsidRPr="00245459">
        <w:rPr>
          <w:sz w:val="22"/>
          <w:szCs w:val="22"/>
          <w:lang w:val="sr-Latn-ME"/>
        </w:rPr>
        <w:t>Za spisak svih ekscipijenasa, pogledati dio 6.1.</w:t>
      </w:r>
    </w:p>
    <w:p w14:paraId="0C6E1C09" w14:textId="77777777" w:rsidR="0003793F" w:rsidRPr="00245459" w:rsidRDefault="0003793F" w:rsidP="005342F3">
      <w:pPr>
        <w:jc w:val="both"/>
        <w:rPr>
          <w:sz w:val="22"/>
          <w:szCs w:val="22"/>
          <w:lang w:val="sr-Latn-ME"/>
        </w:rPr>
      </w:pPr>
    </w:p>
    <w:p w14:paraId="77364EC5" w14:textId="77777777" w:rsidR="00C37FD7" w:rsidRPr="00245459" w:rsidRDefault="00C37FD7" w:rsidP="005342F3">
      <w:pPr>
        <w:jc w:val="both"/>
        <w:rPr>
          <w:sz w:val="22"/>
          <w:szCs w:val="22"/>
          <w:lang w:val="sr-Latn-ME"/>
        </w:rPr>
      </w:pPr>
    </w:p>
    <w:p w14:paraId="7978E309"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3. </w:t>
      </w:r>
      <w:r w:rsidR="00F5167F" w:rsidRPr="00245459">
        <w:rPr>
          <w:b/>
          <w:bCs/>
          <w:sz w:val="22"/>
          <w:szCs w:val="22"/>
          <w:lang w:val="sr-Latn-ME"/>
        </w:rPr>
        <w:tab/>
      </w:r>
      <w:r w:rsidRPr="00245459">
        <w:rPr>
          <w:b/>
          <w:bCs/>
          <w:sz w:val="22"/>
          <w:szCs w:val="22"/>
          <w:lang w:val="sr-Latn-ME"/>
        </w:rPr>
        <w:t>FARMACEUTSKI OBLIK</w:t>
      </w:r>
      <w:r w:rsidR="009F2D23" w:rsidRPr="00245459">
        <w:rPr>
          <w:b/>
          <w:bCs/>
          <w:sz w:val="22"/>
          <w:szCs w:val="22"/>
          <w:lang w:val="sr-Latn-ME"/>
        </w:rPr>
        <w:t xml:space="preserve"> </w:t>
      </w:r>
    </w:p>
    <w:p w14:paraId="2DAAB9B2" w14:textId="77777777" w:rsidR="00411B4B" w:rsidRPr="00245459" w:rsidRDefault="00411B4B" w:rsidP="005342F3">
      <w:pPr>
        <w:jc w:val="both"/>
        <w:rPr>
          <w:bCs/>
          <w:sz w:val="22"/>
          <w:szCs w:val="22"/>
          <w:lang w:val="sr-Latn-ME"/>
        </w:rPr>
      </w:pPr>
    </w:p>
    <w:p w14:paraId="3669DC23" w14:textId="77777777" w:rsidR="000D0C9F" w:rsidRPr="00245459" w:rsidRDefault="000D0C9F" w:rsidP="005342F3">
      <w:pPr>
        <w:jc w:val="both"/>
        <w:rPr>
          <w:sz w:val="22"/>
          <w:szCs w:val="22"/>
          <w:lang w:val="sr-Latn-ME"/>
        </w:rPr>
      </w:pPr>
      <w:r w:rsidRPr="00245459">
        <w:rPr>
          <w:sz w:val="22"/>
          <w:szCs w:val="22"/>
          <w:lang w:val="sr-Latn-ME"/>
        </w:rPr>
        <w:t>Film tableta.</w:t>
      </w:r>
    </w:p>
    <w:p w14:paraId="162F0275" w14:textId="59018922" w:rsidR="000D0C9F" w:rsidRPr="00245459" w:rsidRDefault="00015E32" w:rsidP="005342F3">
      <w:pPr>
        <w:jc w:val="both"/>
        <w:rPr>
          <w:sz w:val="22"/>
          <w:szCs w:val="22"/>
          <w:lang w:val="sr-Latn-ME"/>
        </w:rPr>
      </w:pPr>
      <w:r w:rsidRPr="00245459">
        <w:rPr>
          <w:sz w:val="22"/>
          <w:szCs w:val="22"/>
          <w:lang w:val="sr-Latn-ME"/>
        </w:rPr>
        <w:t>Č</w:t>
      </w:r>
      <w:r w:rsidR="004508E2" w:rsidRPr="00245459">
        <w:rPr>
          <w:sz w:val="22"/>
          <w:szCs w:val="22"/>
          <w:lang w:val="sr-Latn-ME"/>
        </w:rPr>
        <w:t>e</w:t>
      </w:r>
      <w:r w:rsidRPr="00245459">
        <w:rPr>
          <w:sz w:val="22"/>
          <w:szCs w:val="22"/>
          <w:lang w:val="sr-Latn-ME"/>
        </w:rPr>
        <w:t>tvrtastog oblika, zaobljenih ivica</w:t>
      </w:r>
      <w:r w:rsidR="007223CF" w:rsidRPr="00245459">
        <w:rPr>
          <w:sz w:val="22"/>
          <w:szCs w:val="22"/>
          <w:lang w:val="sr-Latn-ME"/>
        </w:rPr>
        <w:t xml:space="preserve"> film tablete bež boje</w:t>
      </w:r>
      <w:r w:rsidR="000D0C9F" w:rsidRPr="00245459">
        <w:rPr>
          <w:sz w:val="22"/>
          <w:szCs w:val="22"/>
          <w:lang w:val="sr-Latn-ME"/>
        </w:rPr>
        <w:t>, veličine 7.9 mm x 7.9 mm, sa utisnut</w:t>
      </w:r>
      <w:r w:rsidR="007223CF" w:rsidRPr="00245459">
        <w:rPr>
          <w:sz w:val="22"/>
          <w:szCs w:val="22"/>
          <w:lang w:val="sr-Latn-ME"/>
        </w:rPr>
        <w:t>o</w:t>
      </w:r>
      <w:r w:rsidR="000D0C9F" w:rsidRPr="00245459">
        <w:rPr>
          <w:sz w:val="22"/>
          <w:szCs w:val="22"/>
          <w:lang w:val="sr-Latn-ME"/>
        </w:rPr>
        <w:t>m</w:t>
      </w:r>
      <w:r w:rsidR="007223CF" w:rsidRPr="00245459">
        <w:rPr>
          <w:sz w:val="22"/>
          <w:szCs w:val="22"/>
          <w:lang w:val="sr-Latn-ME"/>
        </w:rPr>
        <w:t xml:space="preserve"> oznakom</w:t>
      </w:r>
      <w:r w:rsidR="000D0C9F" w:rsidRPr="00245459">
        <w:rPr>
          <w:sz w:val="22"/>
          <w:szCs w:val="22"/>
          <w:lang w:val="sr-Latn-ME"/>
        </w:rPr>
        <w:t xml:space="preserve"> </w:t>
      </w:r>
      <w:r w:rsidR="007223CF" w:rsidRPr="00245459">
        <w:rPr>
          <w:sz w:val="22"/>
          <w:szCs w:val="22"/>
          <w:lang w:val="sr-Latn-ME"/>
        </w:rPr>
        <w:t>„</w:t>
      </w:r>
      <w:r w:rsidR="000D0C9F" w:rsidRPr="00245459">
        <w:rPr>
          <w:sz w:val="22"/>
          <w:szCs w:val="22"/>
          <w:lang w:val="sr-Latn-ME"/>
        </w:rPr>
        <w:t>SINGULAIR</w:t>
      </w:r>
      <w:r w:rsidR="007223CF" w:rsidRPr="00245459">
        <w:rPr>
          <w:sz w:val="22"/>
          <w:szCs w:val="22"/>
          <w:lang w:val="sr-Latn-ME"/>
        </w:rPr>
        <w:t>“</w:t>
      </w:r>
      <w:r w:rsidR="000D0C9F" w:rsidRPr="00245459">
        <w:rPr>
          <w:sz w:val="22"/>
          <w:szCs w:val="22"/>
          <w:lang w:val="sr-Latn-ME"/>
        </w:rPr>
        <w:t xml:space="preserve"> na jednoj strani, i </w:t>
      </w:r>
      <w:r w:rsidR="007223CF" w:rsidRPr="00245459">
        <w:rPr>
          <w:sz w:val="22"/>
          <w:szCs w:val="22"/>
          <w:lang w:val="sr-Latn-ME"/>
        </w:rPr>
        <w:t>„</w:t>
      </w:r>
      <w:r w:rsidR="000D0C9F" w:rsidRPr="00245459">
        <w:rPr>
          <w:sz w:val="22"/>
          <w:szCs w:val="22"/>
          <w:lang w:val="sr-Latn-ME"/>
        </w:rPr>
        <w:t>MSD 117</w:t>
      </w:r>
      <w:r w:rsidR="007223CF" w:rsidRPr="00245459">
        <w:rPr>
          <w:sz w:val="22"/>
          <w:szCs w:val="22"/>
          <w:lang w:val="sr-Latn-ME"/>
        </w:rPr>
        <w:t>“</w:t>
      </w:r>
      <w:r w:rsidR="000D0C9F" w:rsidRPr="00245459">
        <w:rPr>
          <w:sz w:val="22"/>
          <w:szCs w:val="22"/>
          <w:lang w:val="sr-Latn-ME"/>
        </w:rPr>
        <w:t xml:space="preserve"> na drugoj</w:t>
      </w:r>
      <w:r w:rsidR="007223CF" w:rsidRPr="00245459">
        <w:rPr>
          <w:sz w:val="22"/>
          <w:szCs w:val="22"/>
          <w:lang w:val="sr-Latn-ME"/>
        </w:rPr>
        <w:t xml:space="preserve"> strani</w:t>
      </w:r>
      <w:r w:rsidR="000D0C9F" w:rsidRPr="00245459">
        <w:rPr>
          <w:sz w:val="22"/>
          <w:szCs w:val="22"/>
          <w:lang w:val="sr-Latn-ME"/>
        </w:rPr>
        <w:t>.</w:t>
      </w:r>
    </w:p>
    <w:p w14:paraId="09A2AB06" w14:textId="5888BF26" w:rsidR="00EC2532" w:rsidRPr="00245459" w:rsidRDefault="00EC2532" w:rsidP="005342F3">
      <w:pPr>
        <w:jc w:val="both"/>
        <w:rPr>
          <w:bCs/>
          <w:sz w:val="22"/>
          <w:szCs w:val="22"/>
          <w:lang w:val="sr-Latn-ME"/>
        </w:rPr>
      </w:pPr>
    </w:p>
    <w:p w14:paraId="111A081F" w14:textId="77777777" w:rsidR="00245459" w:rsidRPr="00245459" w:rsidRDefault="00245459" w:rsidP="005342F3">
      <w:pPr>
        <w:jc w:val="both"/>
        <w:rPr>
          <w:bCs/>
          <w:sz w:val="22"/>
          <w:szCs w:val="22"/>
          <w:lang w:val="sr-Latn-ME"/>
        </w:rPr>
      </w:pPr>
    </w:p>
    <w:p w14:paraId="4087B1FD"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4. </w:t>
      </w:r>
      <w:r w:rsidR="00480FB1" w:rsidRPr="00245459">
        <w:rPr>
          <w:b/>
          <w:bCs/>
          <w:sz w:val="22"/>
          <w:szCs w:val="22"/>
          <w:lang w:val="sr-Latn-ME"/>
        </w:rPr>
        <w:tab/>
      </w:r>
      <w:r w:rsidRPr="00245459">
        <w:rPr>
          <w:b/>
          <w:bCs/>
          <w:sz w:val="22"/>
          <w:szCs w:val="22"/>
          <w:lang w:val="sr-Latn-ME"/>
        </w:rPr>
        <w:t>KLINIČKI PODACI</w:t>
      </w:r>
    </w:p>
    <w:p w14:paraId="30C40237" w14:textId="77777777" w:rsidR="00CD6F02" w:rsidRPr="00245459" w:rsidRDefault="00CD6F02" w:rsidP="005342F3">
      <w:pPr>
        <w:tabs>
          <w:tab w:val="left" w:pos="540"/>
          <w:tab w:val="left" w:pos="569"/>
        </w:tabs>
        <w:jc w:val="both"/>
        <w:rPr>
          <w:bCs/>
          <w:sz w:val="22"/>
          <w:szCs w:val="22"/>
          <w:lang w:val="sr-Latn-ME"/>
        </w:rPr>
      </w:pPr>
    </w:p>
    <w:p w14:paraId="6A95C082"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4.1. </w:t>
      </w:r>
      <w:r w:rsidR="00480FB1" w:rsidRPr="00245459">
        <w:rPr>
          <w:b/>
          <w:bCs/>
          <w:sz w:val="22"/>
          <w:szCs w:val="22"/>
          <w:lang w:val="sr-Latn-ME"/>
        </w:rPr>
        <w:tab/>
      </w:r>
      <w:r w:rsidRPr="00245459">
        <w:rPr>
          <w:b/>
          <w:bCs/>
          <w:sz w:val="22"/>
          <w:szCs w:val="22"/>
          <w:lang w:val="sr-Latn-ME"/>
        </w:rPr>
        <w:t>Terapijske indikacije</w:t>
      </w:r>
    </w:p>
    <w:p w14:paraId="0E0734D7" w14:textId="7C9E404A" w:rsidR="00411B4B" w:rsidRPr="00245459" w:rsidRDefault="00411B4B" w:rsidP="005342F3">
      <w:pPr>
        <w:tabs>
          <w:tab w:val="left" w:pos="540"/>
          <w:tab w:val="left" w:pos="569"/>
        </w:tabs>
        <w:jc w:val="both"/>
        <w:rPr>
          <w:bCs/>
          <w:sz w:val="22"/>
          <w:szCs w:val="22"/>
          <w:lang w:val="sr-Latn-ME"/>
        </w:rPr>
      </w:pPr>
    </w:p>
    <w:p w14:paraId="721CCB5C" w14:textId="54FC0BAE" w:rsidR="000D0C9F" w:rsidRPr="00245459" w:rsidRDefault="007223CF" w:rsidP="005342F3">
      <w:pPr>
        <w:jc w:val="both"/>
        <w:rPr>
          <w:sz w:val="22"/>
          <w:szCs w:val="22"/>
          <w:lang w:val="sr-Latn-ME"/>
        </w:rPr>
      </w:pPr>
      <w:r w:rsidRPr="00245459">
        <w:rPr>
          <w:bCs/>
          <w:sz w:val="22"/>
          <w:szCs w:val="22"/>
          <w:lang w:val="sr-Latn-ME"/>
        </w:rPr>
        <w:t xml:space="preserve">Lijek </w:t>
      </w:r>
      <w:r w:rsidR="000D0C9F" w:rsidRPr="00245459">
        <w:rPr>
          <w:bCs/>
          <w:sz w:val="22"/>
          <w:szCs w:val="22"/>
          <w:lang w:val="sr-Latn-ME"/>
        </w:rPr>
        <w:t>Singulair</w:t>
      </w:r>
      <w:r w:rsidR="000D0C9F" w:rsidRPr="00245459">
        <w:rPr>
          <w:sz w:val="22"/>
          <w:szCs w:val="22"/>
          <w:lang w:val="sr-Latn-ME"/>
        </w:rPr>
        <w:t xml:space="preserve"> je indikovan u liječenju astme, kao dopunska terapija kod pacijenata sa blagom do umjerenom perzistentnom astmom koj</w:t>
      </w:r>
      <w:r w:rsidR="004373AD" w:rsidRPr="00245459">
        <w:rPr>
          <w:sz w:val="22"/>
          <w:szCs w:val="22"/>
          <w:lang w:val="sr-Latn-ME"/>
        </w:rPr>
        <w:t>i</w:t>
      </w:r>
      <w:r w:rsidR="000D0C9F" w:rsidRPr="00245459">
        <w:rPr>
          <w:sz w:val="22"/>
          <w:szCs w:val="22"/>
          <w:lang w:val="sr-Latn-ME"/>
        </w:rPr>
        <w:t xml:space="preserve"> nije</w:t>
      </w:r>
      <w:r w:rsidR="004373AD" w:rsidRPr="00245459">
        <w:rPr>
          <w:sz w:val="22"/>
          <w:szCs w:val="22"/>
          <w:lang w:val="sr-Latn-ME"/>
        </w:rPr>
        <w:t>su</w:t>
      </w:r>
      <w:r w:rsidR="000D0C9F" w:rsidRPr="00245459">
        <w:rPr>
          <w:sz w:val="22"/>
          <w:szCs w:val="22"/>
          <w:lang w:val="sr-Latn-ME"/>
        </w:rPr>
        <w:t xml:space="preserve"> adekvatno kontrolisan</w:t>
      </w:r>
      <w:r w:rsidR="004373AD" w:rsidRPr="00245459">
        <w:rPr>
          <w:sz w:val="22"/>
          <w:szCs w:val="22"/>
          <w:lang w:val="sr-Latn-ME"/>
        </w:rPr>
        <w:t>i</w:t>
      </w:r>
      <w:r w:rsidR="000D0C9F" w:rsidRPr="00245459">
        <w:rPr>
          <w:sz w:val="22"/>
          <w:szCs w:val="22"/>
          <w:lang w:val="sr-Latn-ME"/>
        </w:rPr>
        <w:t xml:space="preserve"> inhalacionim kortikosteroidima, i kod koj</w:t>
      </w:r>
      <w:r w:rsidR="004373AD" w:rsidRPr="00245459">
        <w:rPr>
          <w:sz w:val="22"/>
          <w:szCs w:val="22"/>
          <w:lang w:val="sr-Latn-ME"/>
        </w:rPr>
        <w:t>ih</w:t>
      </w:r>
      <w:r w:rsidR="000D0C9F" w:rsidRPr="00245459">
        <w:rPr>
          <w:sz w:val="22"/>
          <w:szCs w:val="22"/>
          <w:lang w:val="sr-Latn-ME"/>
        </w:rPr>
        <w:t xml:space="preserve"> </w:t>
      </w:r>
      <w:r w:rsidRPr="00245459">
        <w:rPr>
          <w:sz w:val="22"/>
          <w:szCs w:val="22"/>
          <w:lang w:val="sr-Latn-ME"/>
        </w:rPr>
        <w:t xml:space="preserve">primjena </w:t>
      </w:r>
      <w:r w:rsidR="000D0C9F" w:rsidRPr="00245459">
        <w:rPr>
          <w:sz w:val="22"/>
          <w:szCs w:val="22"/>
          <w:lang w:val="sr-Latn-ME"/>
        </w:rPr>
        <w:t>kratkodjelujući</w:t>
      </w:r>
      <w:r w:rsidRPr="00245459">
        <w:rPr>
          <w:sz w:val="22"/>
          <w:szCs w:val="22"/>
          <w:lang w:val="sr-Latn-ME"/>
        </w:rPr>
        <w:t>h</w:t>
      </w:r>
      <w:r w:rsidR="000D0C9F" w:rsidRPr="00245459">
        <w:rPr>
          <w:sz w:val="22"/>
          <w:szCs w:val="22"/>
          <w:lang w:val="sr-Latn-ME"/>
        </w:rPr>
        <w:t xml:space="preserve"> β-agonist</w:t>
      </w:r>
      <w:r w:rsidRPr="00245459">
        <w:rPr>
          <w:sz w:val="22"/>
          <w:szCs w:val="22"/>
          <w:lang w:val="sr-Latn-ME"/>
        </w:rPr>
        <w:t>a</w:t>
      </w:r>
      <w:r w:rsidR="000D0C9F" w:rsidRPr="00245459">
        <w:rPr>
          <w:sz w:val="22"/>
          <w:szCs w:val="22"/>
          <w:lang w:val="sr-Latn-ME"/>
        </w:rPr>
        <w:t xml:space="preserve"> </w:t>
      </w:r>
      <w:r w:rsidR="004373AD" w:rsidRPr="00245459">
        <w:rPr>
          <w:sz w:val="22"/>
          <w:szCs w:val="22"/>
          <w:lang w:val="sr-Latn-ME"/>
        </w:rPr>
        <w:t xml:space="preserve">„po potrebi“ </w:t>
      </w:r>
      <w:r w:rsidR="000D0C9F" w:rsidRPr="00245459">
        <w:rPr>
          <w:sz w:val="22"/>
          <w:szCs w:val="22"/>
          <w:lang w:val="sr-Latn-ME"/>
        </w:rPr>
        <w:t>ne obezbjeđuj</w:t>
      </w:r>
      <w:r w:rsidRPr="00245459">
        <w:rPr>
          <w:sz w:val="22"/>
          <w:szCs w:val="22"/>
          <w:lang w:val="sr-Latn-ME"/>
        </w:rPr>
        <w:t>e</w:t>
      </w:r>
      <w:r w:rsidR="000D0C9F" w:rsidRPr="00245459">
        <w:rPr>
          <w:sz w:val="22"/>
          <w:szCs w:val="22"/>
          <w:lang w:val="sr-Latn-ME"/>
        </w:rPr>
        <w:t xml:space="preserve"> </w:t>
      </w:r>
      <w:r w:rsidRPr="00245459">
        <w:rPr>
          <w:sz w:val="22"/>
          <w:szCs w:val="22"/>
          <w:lang w:val="sr-Latn-ME"/>
        </w:rPr>
        <w:t xml:space="preserve">odgovarajuću </w:t>
      </w:r>
      <w:r w:rsidR="000D0C9F" w:rsidRPr="00245459">
        <w:rPr>
          <w:sz w:val="22"/>
          <w:szCs w:val="22"/>
          <w:lang w:val="sr-Latn-ME"/>
        </w:rPr>
        <w:t xml:space="preserve">kliničku kontrolu astme. </w:t>
      </w:r>
    </w:p>
    <w:p w14:paraId="55B27AC3" w14:textId="0A9F4D17" w:rsidR="000D0C9F" w:rsidRPr="00245459" w:rsidRDefault="007223CF" w:rsidP="005342F3">
      <w:pPr>
        <w:jc w:val="both"/>
        <w:rPr>
          <w:sz w:val="22"/>
          <w:szCs w:val="22"/>
          <w:lang w:val="sr-Latn-ME"/>
        </w:rPr>
      </w:pPr>
      <w:r w:rsidRPr="00245459">
        <w:rPr>
          <w:sz w:val="22"/>
          <w:szCs w:val="22"/>
          <w:lang w:val="sr-Latn-ME"/>
        </w:rPr>
        <w:t>Kod ovih astmatičnih pacijenata kod kojih je indikivona primjena montelukasta u terapiji astme, ovaj lijek takođe može olakšati simptome sezonskog alergijskog rinitisa.</w:t>
      </w:r>
    </w:p>
    <w:p w14:paraId="4C632C78" w14:textId="77777777" w:rsidR="000D0C9F" w:rsidRPr="00245459" w:rsidRDefault="000D0C9F" w:rsidP="005342F3">
      <w:pPr>
        <w:jc w:val="both"/>
        <w:rPr>
          <w:sz w:val="22"/>
          <w:szCs w:val="22"/>
          <w:lang w:val="sr-Latn-ME"/>
        </w:rPr>
      </w:pPr>
    </w:p>
    <w:p w14:paraId="13ADC4FF" w14:textId="77777777" w:rsidR="000D0C9F" w:rsidRPr="00245459" w:rsidRDefault="000D0C9F" w:rsidP="005342F3">
      <w:pPr>
        <w:jc w:val="both"/>
        <w:rPr>
          <w:sz w:val="22"/>
          <w:szCs w:val="22"/>
          <w:lang w:val="sr-Latn-ME"/>
        </w:rPr>
      </w:pPr>
      <w:r w:rsidRPr="00245459">
        <w:rPr>
          <w:bCs/>
          <w:sz w:val="22"/>
          <w:szCs w:val="22"/>
          <w:lang w:val="sr-Latn-ME"/>
        </w:rPr>
        <w:t>Singulair</w:t>
      </w:r>
      <w:r w:rsidRPr="00245459">
        <w:rPr>
          <w:sz w:val="22"/>
          <w:szCs w:val="22"/>
          <w:lang w:val="sr-Latn-ME"/>
        </w:rPr>
        <w:t xml:space="preserve"> je takođe indikovan u profilaksi astme kod koje je predominantna komponenta bronhokonstrikcija izazvana </w:t>
      </w:r>
      <w:r w:rsidRPr="00245459">
        <w:rPr>
          <w:sz w:val="22"/>
          <w:szCs w:val="22"/>
          <w:lang w:val="sr-Latn-ME" w:eastAsia="sr-Latn-CS"/>
        </w:rPr>
        <w:t>fizičkim</w:t>
      </w:r>
      <w:r w:rsidRPr="00245459">
        <w:rPr>
          <w:sz w:val="22"/>
          <w:szCs w:val="22"/>
          <w:lang w:val="sr-Latn-ME"/>
        </w:rPr>
        <w:t xml:space="preserve"> naporom (vježbanjem). </w:t>
      </w:r>
    </w:p>
    <w:p w14:paraId="5E154C4B" w14:textId="77777777" w:rsidR="000D0C9F" w:rsidRPr="00245459" w:rsidRDefault="000D0C9F" w:rsidP="005342F3">
      <w:pPr>
        <w:tabs>
          <w:tab w:val="left" w:pos="540"/>
          <w:tab w:val="left" w:pos="569"/>
        </w:tabs>
        <w:jc w:val="both"/>
        <w:rPr>
          <w:bCs/>
          <w:sz w:val="22"/>
          <w:szCs w:val="22"/>
          <w:lang w:val="sr-Latn-ME"/>
        </w:rPr>
      </w:pPr>
    </w:p>
    <w:p w14:paraId="4582C803"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4.2. </w:t>
      </w:r>
      <w:r w:rsidR="00480FB1" w:rsidRPr="00245459">
        <w:rPr>
          <w:b/>
          <w:bCs/>
          <w:sz w:val="22"/>
          <w:szCs w:val="22"/>
          <w:lang w:val="sr-Latn-ME"/>
        </w:rPr>
        <w:tab/>
      </w:r>
      <w:r w:rsidRPr="00245459">
        <w:rPr>
          <w:b/>
          <w:bCs/>
          <w:sz w:val="22"/>
          <w:szCs w:val="22"/>
          <w:lang w:val="sr-Latn-ME"/>
        </w:rPr>
        <w:t>Doziranje i način primjene</w:t>
      </w:r>
    </w:p>
    <w:p w14:paraId="454005DD" w14:textId="77777777" w:rsidR="0072020E" w:rsidRPr="00245459" w:rsidRDefault="0072020E" w:rsidP="005342F3">
      <w:pPr>
        <w:tabs>
          <w:tab w:val="left" w:pos="540"/>
          <w:tab w:val="left" w:pos="569"/>
        </w:tabs>
        <w:jc w:val="both"/>
        <w:rPr>
          <w:bCs/>
          <w:sz w:val="22"/>
          <w:szCs w:val="22"/>
          <w:lang w:val="sr-Latn-ME"/>
        </w:rPr>
      </w:pPr>
    </w:p>
    <w:p w14:paraId="2A9B0D08" w14:textId="6458F5F0" w:rsidR="00452E9D" w:rsidRPr="00245459" w:rsidRDefault="00452E9D" w:rsidP="005342F3">
      <w:pPr>
        <w:tabs>
          <w:tab w:val="left" w:pos="540"/>
          <w:tab w:val="left" w:pos="569"/>
        </w:tabs>
        <w:jc w:val="both"/>
        <w:rPr>
          <w:bCs/>
          <w:sz w:val="22"/>
          <w:szCs w:val="22"/>
          <w:u w:val="single"/>
          <w:lang w:val="sr-Latn-ME"/>
        </w:rPr>
      </w:pPr>
      <w:r w:rsidRPr="00245459">
        <w:rPr>
          <w:bCs/>
          <w:sz w:val="22"/>
          <w:szCs w:val="22"/>
          <w:u w:val="single"/>
          <w:lang w:val="sr-Latn-ME"/>
        </w:rPr>
        <w:t>Doziranje</w:t>
      </w:r>
    </w:p>
    <w:p w14:paraId="617BC425" w14:textId="31AFDE0A" w:rsidR="000D0C9F" w:rsidRPr="00245459" w:rsidRDefault="000D0C9F" w:rsidP="005342F3">
      <w:pPr>
        <w:jc w:val="both"/>
        <w:rPr>
          <w:sz w:val="22"/>
          <w:szCs w:val="22"/>
          <w:lang w:val="sr-Latn-ME"/>
        </w:rPr>
      </w:pPr>
      <w:r w:rsidRPr="00245459">
        <w:rPr>
          <w:sz w:val="22"/>
          <w:szCs w:val="22"/>
          <w:lang w:val="sr-Latn-ME"/>
        </w:rPr>
        <w:t xml:space="preserve">Preporučena doza za odrasle pacijente i adolescente </w:t>
      </w:r>
      <w:r w:rsidR="007223CF" w:rsidRPr="00245459">
        <w:rPr>
          <w:sz w:val="22"/>
          <w:szCs w:val="22"/>
          <w:lang w:val="sr-Latn-ME"/>
        </w:rPr>
        <w:t xml:space="preserve">uzrasta </w:t>
      </w:r>
      <w:r w:rsidRPr="00245459">
        <w:rPr>
          <w:sz w:val="22"/>
          <w:szCs w:val="22"/>
          <w:lang w:val="sr-Latn-ME"/>
        </w:rPr>
        <w:t>15</w:t>
      </w:r>
      <w:r w:rsidR="007223CF" w:rsidRPr="00245459">
        <w:rPr>
          <w:sz w:val="22"/>
          <w:szCs w:val="22"/>
          <w:lang w:val="sr-Latn-ME"/>
        </w:rPr>
        <w:t xml:space="preserve"> i više </w:t>
      </w:r>
      <w:r w:rsidRPr="00245459">
        <w:rPr>
          <w:sz w:val="22"/>
          <w:szCs w:val="22"/>
          <w:lang w:val="sr-Latn-ME"/>
        </w:rPr>
        <w:t xml:space="preserve"> godina, </w:t>
      </w:r>
      <w:r w:rsidR="007223CF" w:rsidRPr="00245459">
        <w:rPr>
          <w:sz w:val="22"/>
          <w:szCs w:val="22"/>
          <w:lang w:val="sr-Latn-ME"/>
        </w:rPr>
        <w:t xml:space="preserve">koji imaju astmu ili astmu udruženu sa </w:t>
      </w:r>
      <w:r w:rsidRPr="00245459">
        <w:rPr>
          <w:sz w:val="22"/>
          <w:szCs w:val="22"/>
          <w:lang w:val="sr-Latn-ME"/>
        </w:rPr>
        <w:t>sezonskim alergijskim rinitisom, je jedna tableta od 10 mg dnevno, koju treba uzeti uveče.</w:t>
      </w:r>
    </w:p>
    <w:p w14:paraId="6420996E" w14:textId="77777777" w:rsidR="000D0C9F" w:rsidRPr="00245459" w:rsidRDefault="000D0C9F" w:rsidP="005342F3">
      <w:pPr>
        <w:jc w:val="both"/>
        <w:rPr>
          <w:sz w:val="22"/>
          <w:szCs w:val="22"/>
          <w:lang w:val="sr-Latn-ME"/>
        </w:rPr>
      </w:pPr>
    </w:p>
    <w:p w14:paraId="51AAF092" w14:textId="77777777" w:rsidR="000D0C9F" w:rsidRPr="00245459" w:rsidRDefault="000D0C9F" w:rsidP="005342F3">
      <w:pPr>
        <w:jc w:val="both"/>
        <w:rPr>
          <w:sz w:val="22"/>
          <w:szCs w:val="22"/>
          <w:lang w:val="sr-Latn-ME"/>
        </w:rPr>
      </w:pPr>
      <w:r w:rsidRPr="00245459">
        <w:rPr>
          <w:sz w:val="22"/>
          <w:szCs w:val="22"/>
          <w:u w:val="single"/>
          <w:lang w:val="sr-Latn-ME"/>
        </w:rPr>
        <w:t>Opšte preporuke</w:t>
      </w:r>
      <w:r w:rsidRPr="00245459">
        <w:rPr>
          <w:sz w:val="22"/>
          <w:szCs w:val="22"/>
          <w:lang w:val="sr-Latn-ME"/>
        </w:rPr>
        <w:t xml:space="preserve"> </w:t>
      </w:r>
    </w:p>
    <w:p w14:paraId="083C7CD0" w14:textId="42E5EBD7" w:rsidR="007223CF" w:rsidRPr="00245459" w:rsidRDefault="000D0C9F" w:rsidP="005342F3">
      <w:pPr>
        <w:jc w:val="both"/>
        <w:rPr>
          <w:sz w:val="22"/>
          <w:szCs w:val="22"/>
          <w:lang w:val="sr-Latn-ME"/>
        </w:rPr>
      </w:pPr>
      <w:r w:rsidRPr="00245459">
        <w:rPr>
          <w:sz w:val="22"/>
          <w:szCs w:val="22"/>
          <w:lang w:val="sr-Latn-ME"/>
        </w:rPr>
        <w:t xml:space="preserve">Terapijsko dejstvo lijeka </w:t>
      </w:r>
      <w:r w:rsidRPr="00245459">
        <w:rPr>
          <w:bCs/>
          <w:sz w:val="22"/>
          <w:szCs w:val="22"/>
          <w:lang w:val="sr-Latn-ME"/>
        </w:rPr>
        <w:t xml:space="preserve">Singulair </w:t>
      </w:r>
      <w:r w:rsidRPr="00245459">
        <w:rPr>
          <w:sz w:val="22"/>
          <w:szCs w:val="22"/>
          <w:lang w:val="sr-Latn-ME"/>
        </w:rPr>
        <w:t xml:space="preserve">na parametre koji pokazuju kontrolu astme pojavljuje se </w:t>
      </w:r>
      <w:r w:rsidR="007223CF" w:rsidRPr="00245459">
        <w:rPr>
          <w:sz w:val="22"/>
          <w:szCs w:val="22"/>
          <w:lang w:val="sr-Latn-ME"/>
        </w:rPr>
        <w:t xml:space="preserve">u toku </w:t>
      </w:r>
      <w:r w:rsidRPr="00245459">
        <w:rPr>
          <w:sz w:val="22"/>
          <w:szCs w:val="22"/>
          <w:lang w:val="sr-Latn-ME"/>
        </w:rPr>
        <w:t xml:space="preserve">jednog dana. Lijek </w:t>
      </w:r>
      <w:r w:rsidRPr="00245459">
        <w:rPr>
          <w:bCs/>
          <w:sz w:val="22"/>
          <w:szCs w:val="22"/>
          <w:lang w:val="sr-Latn-ME"/>
        </w:rPr>
        <w:t>Singulair</w:t>
      </w:r>
      <w:r w:rsidR="007223CF" w:rsidRPr="00245459">
        <w:rPr>
          <w:bCs/>
          <w:sz w:val="22"/>
          <w:szCs w:val="22"/>
          <w:lang w:val="sr-Latn-ME"/>
        </w:rPr>
        <w:t xml:space="preserve"> tablete</w:t>
      </w:r>
      <w:r w:rsidRPr="00245459">
        <w:rPr>
          <w:bCs/>
          <w:sz w:val="22"/>
          <w:szCs w:val="22"/>
          <w:lang w:val="sr-Latn-ME"/>
        </w:rPr>
        <w:t xml:space="preserve"> </w:t>
      </w:r>
      <w:r w:rsidRPr="00245459">
        <w:rPr>
          <w:sz w:val="22"/>
          <w:szCs w:val="22"/>
          <w:lang w:val="sr-Latn-ME"/>
        </w:rPr>
        <w:t xml:space="preserve">se može uzimati sa ili bez hrane. </w:t>
      </w:r>
    </w:p>
    <w:p w14:paraId="25DBE230" w14:textId="16C46AA8" w:rsidR="000D0C9F" w:rsidRPr="00245459" w:rsidRDefault="000D0C9F" w:rsidP="005342F3">
      <w:pPr>
        <w:jc w:val="both"/>
        <w:rPr>
          <w:sz w:val="22"/>
          <w:szCs w:val="22"/>
          <w:lang w:val="sr-Latn-ME"/>
        </w:rPr>
      </w:pPr>
      <w:r w:rsidRPr="00245459">
        <w:rPr>
          <w:sz w:val="22"/>
          <w:szCs w:val="22"/>
          <w:lang w:val="sr-Latn-ME"/>
        </w:rPr>
        <w:t xml:space="preserve">Pacijente treba savjetovati da nastave sa uzimanjem lijeka </w:t>
      </w:r>
      <w:r w:rsidRPr="00245459">
        <w:rPr>
          <w:bCs/>
          <w:sz w:val="22"/>
          <w:szCs w:val="22"/>
          <w:lang w:val="sr-Latn-ME"/>
        </w:rPr>
        <w:t xml:space="preserve">Singulair </w:t>
      </w:r>
      <w:r w:rsidRPr="00245459">
        <w:rPr>
          <w:sz w:val="22"/>
          <w:szCs w:val="22"/>
          <w:lang w:val="sr-Latn-ME"/>
        </w:rPr>
        <w:t>čak i kada je njihova astma pod kontrolom, baš kao i tokom perioda pogoršanja astme. Lijek Singulair se ne smije uzimati istovremeno sa drugim ljekovima koji sadrže istu aktivnu supstancu, montelukast.</w:t>
      </w:r>
    </w:p>
    <w:p w14:paraId="7F811A69" w14:textId="77777777" w:rsidR="000D0C9F" w:rsidRPr="00245459" w:rsidRDefault="000D0C9F" w:rsidP="005342F3">
      <w:pPr>
        <w:jc w:val="both"/>
        <w:rPr>
          <w:sz w:val="22"/>
          <w:szCs w:val="22"/>
          <w:lang w:val="sr-Latn-ME"/>
        </w:rPr>
      </w:pPr>
    </w:p>
    <w:p w14:paraId="16DF1938" w14:textId="00ED15A7" w:rsidR="000D0C9F" w:rsidRPr="00245459" w:rsidRDefault="000D0C9F" w:rsidP="005342F3">
      <w:pPr>
        <w:pStyle w:val="Header"/>
        <w:tabs>
          <w:tab w:val="left" w:pos="284"/>
        </w:tabs>
        <w:jc w:val="both"/>
        <w:rPr>
          <w:sz w:val="22"/>
          <w:szCs w:val="22"/>
          <w:lang w:val="sr-Latn-ME"/>
        </w:rPr>
      </w:pPr>
      <w:r w:rsidRPr="00245459">
        <w:rPr>
          <w:sz w:val="22"/>
          <w:szCs w:val="22"/>
          <w:lang w:val="sr-Latn-ME"/>
        </w:rPr>
        <w:lastRenderedPageBreak/>
        <w:t xml:space="preserve">Nije potrebno </w:t>
      </w:r>
      <w:r w:rsidR="007223CF" w:rsidRPr="00245459">
        <w:rPr>
          <w:sz w:val="22"/>
          <w:szCs w:val="22"/>
          <w:lang w:val="sr-Latn-ME"/>
        </w:rPr>
        <w:t xml:space="preserve">prilagođavanje </w:t>
      </w:r>
      <w:r w:rsidRPr="00245459">
        <w:rPr>
          <w:sz w:val="22"/>
          <w:szCs w:val="22"/>
          <w:lang w:val="sr-Latn-ME"/>
        </w:rPr>
        <w:t xml:space="preserve">doze kod </w:t>
      </w:r>
      <w:r w:rsidR="007223CF" w:rsidRPr="00245459">
        <w:rPr>
          <w:sz w:val="22"/>
          <w:szCs w:val="22"/>
          <w:lang w:val="sr-Latn-ME"/>
        </w:rPr>
        <w:t xml:space="preserve">starijih pacijenata, </w:t>
      </w:r>
      <w:r w:rsidRPr="00245459">
        <w:rPr>
          <w:sz w:val="22"/>
          <w:szCs w:val="22"/>
          <w:lang w:val="sr-Latn-ME"/>
        </w:rPr>
        <w:t>pacijenata sa bubrežnom insuficijencijom ili blag</w:t>
      </w:r>
      <w:r w:rsidR="007223CF" w:rsidRPr="00245459">
        <w:rPr>
          <w:sz w:val="22"/>
          <w:szCs w:val="22"/>
          <w:lang w:val="sr-Latn-ME"/>
        </w:rPr>
        <w:t>i</w:t>
      </w:r>
      <w:r w:rsidRPr="00245459">
        <w:rPr>
          <w:sz w:val="22"/>
          <w:szCs w:val="22"/>
          <w:lang w:val="sr-Latn-ME"/>
        </w:rPr>
        <w:t>m do umjeren</w:t>
      </w:r>
      <w:r w:rsidR="007223CF" w:rsidRPr="00245459">
        <w:rPr>
          <w:sz w:val="22"/>
          <w:szCs w:val="22"/>
          <w:lang w:val="sr-Latn-ME"/>
        </w:rPr>
        <w:t>i</w:t>
      </w:r>
      <w:r w:rsidRPr="00245459">
        <w:rPr>
          <w:sz w:val="22"/>
          <w:szCs w:val="22"/>
          <w:lang w:val="sr-Latn-ME"/>
        </w:rPr>
        <w:t xml:space="preserve">m </w:t>
      </w:r>
      <w:r w:rsidR="007223CF" w:rsidRPr="00245459">
        <w:rPr>
          <w:sz w:val="22"/>
          <w:szCs w:val="22"/>
          <w:lang w:val="sr-Latn-ME"/>
        </w:rPr>
        <w:t>o</w:t>
      </w:r>
      <w:r w:rsidR="004373AD" w:rsidRPr="00245459">
        <w:rPr>
          <w:sz w:val="22"/>
          <w:szCs w:val="22"/>
          <w:lang w:val="sr-Latn-ME"/>
        </w:rPr>
        <w:t>š</w:t>
      </w:r>
      <w:r w:rsidR="007223CF" w:rsidRPr="00245459">
        <w:rPr>
          <w:sz w:val="22"/>
          <w:szCs w:val="22"/>
          <w:lang w:val="sr-Latn-ME"/>
        </w:rPr>
        <w:t xml:space="preserve">tećenjem funkcije </w:t>
      </w:r>
      <w:r w:rsidRPr="00245459">
        <w:rPr>
          <w:sz w:val="22"/>
          <w:szCs w:val="22"/>
          <w:lang w:val="sr-Latn-ME"/>
        </w:rPr>
        <w:t>jetre. Nema podataka koji se odnose na</w:t>
      </w:r>
      <w:r w:rsidR="007223CF" w:rsidRPr="00245459">
        <w:rPr>
          <w:sz w:val="22"/>
          <w:szCs w:val="22"/>
          <w:lang w:val="sr-Latn-ME"/>
        </w:rPr>
        <w:t xml:space="preserve"> primjenu lijeka kod</w:t>
      </w:r>
      <w:r w:rsidRPr="00245459">
        <w:rPr>
          <w:sz w:val="22"/>
          <w:szCs w:val="22"/>
          <w:lang w:val="sr-Latn-ME"/>
        </w:rPr>
        <w:t xml:space="preserve"> pacijen</w:t>
      </w:r>
      <w:r w:rsidR="007223CF" w:rsidRPr="00245459">
        <w:rPr>
          <w:sz w:val="22"/>
          <w:szCs w:val="22"/>
          <w:lang w:val="sr-Latn-ME"/>
        </w:rPr>
        <w:t>a</w:t>
      </w:r>
      <w:r w:rsidRPr="00245459">
        <w:rPr>
          <w:sz w:val="22"/>
          <w:szCs w:val="22"/>
          <w:lang w:val="sr-Latn-ME"/>
        </w:rPr>
        <w:t>t</w:t>
      </w:r>
      <w:r w:rsidR="007223CF" w:rsidRPr="00245459">
        <w:rPr>
          <w:sz w:val="22"/>
          <w:szCs w:val="22"/>
          <w:lang w:val="sr-Latn-ME"/>
        </w:rPr>
        <w:t>a</w:t>
      </w:r>
      <w:r w:rsidRPr="00245459">
        <w:rPr>
          <w:sz w:val="22"/>
          <w:szCs w:val="22"/>
          <w:lang w:val="sr-Latn-ME"/>
        </w:rPr>
        <w:t xml:space="preserve"> sa tešk</w:t>
      </w:r>
      <w:r w:rsidR="007223CF" w:rsidRPr="00245459">
        <w:rPr>
          <w:sz w:val="22"/>
          <w:szCs w:val="22"/>
          <w:lang w:val="sr-Latn-ME"/>
        </w:rPr>
        <w:t>i</w:t>
      </w:r>
      <w:r w:rsidRPr="00245459">
        <w:rPr>
          <w:sz w:val="22"/>
          <w:szCs w:val="22"/>
          <w:lang w:val="sr-Latn-ME"/>
        </w:rPr>
        <w:t xml:space="preserve">m </w:t>
      </w:r>
      <w:r w:rsidR="007223CF" w:rsidRPr="00245459">
        <w:rPr>
          <w:sz w:val="22"/>
          <w:szCs w:val="22"/>
          <w:lang w:val="sr-Latn-ME"/>
        </w:rPr>
        <w:t xml:space="preserve">oštećenjem </w:t>
      </w:r>
      <w:r w:rsidRPr="00245459">
        <w:rPr>
          <w:sz w:val="22"/>
          <w:szCs w:val="22"/>
          <w:lang w:val="sr-Latn-ME"/>
        </w:rPr>
        <w:t>jetre. Ista doza lijeka se primjenjuje kod pacijenata muškog i ženskog pola.</w:t>
      </w:r>
    </w:p>
    <w:p w14:paraId="07D7428D" w14:textId="77777777" w:rsidR="000D0C9F" w:rsidRPr="00245459" w:rsidRDefault="000D0C9F" w:rsidP="005342F3">
      <w:pPr>
        <w:jc w:val="both"/>
        <w:rPr>
          <w:sz w:val="22"/>
          <w:szCs w:val="22"/>
          <w:lang w:val="sr-Latn-ME"/>
        </w:rPr>
      </w:pPr>
    </w:p>
    <w:p w14:paraId="6820E074" w14:textId="77777777" w:rsidR="000D0C9F" w:rsidRPr="00245459" w:rsidRDefault="000D0C9F" w:rsidP="005342F3">
      <w:pPr>
        <w:jc w:val="both"/>
        <w:rPr>
          <w:iCs/>
          <w:sz w:val="22"/>
          <w:szCs w:val="22"/>
          <w:u w:val="single"/>
          <w:lang w:val="sr-Latn-ME" w:eastAsia="sr-Latn-CS"/>
        </w:rPr>
      </w:pPr>
      <w:r w:rsidRPr="00245459">
        <w:rPr>
          <w:iCs/>
          <w:sz w:val="22"/>
          <w:szCs w:val="22"/>
          <w:u w:val="single"/>
          <w:lang w:val="sr-Latn-ME" w:eastAsia="sr-Latn-CS"/>
        </w:rPr>
        <w:t xml:space="preserve">Terapija lijekom </w:t>
      </w:r>
      <w:r w:rsidRPr="00245459">
        <w:rPr>
          <w:sz w:val="22"/>
          <w:szCs w:val="22"/>
          <w:u w:val="single"/>
          <w:lang w:val="sr-Latn-ME"/>
        </w:rPr>
        <w:t xml:space="preserve">Singulair </w:t>
      </w:r>
      <w:r w:rsidRPr="00245459">
        <w:rPr>
          <w:iCs/>
          <w:sz w:val="22"/>
          <w:szCs w:val="22"/>
          <w:u w:val="single"/>
          <w:lang w:val="sr-Latn-ME" w:eastAsia="sr-Latn-CS"/>
        </w:rPr>
        <w:t>u odnosu na druge ljekove  za  terapiju  astme:</w:t>
      </w:r>
    </w:p>
    <w:p w14:paraId="504FBC0C" w14:textId="1CAED0CA" w:rsidR="000D0C9F" w:rsidRPr="00245459" w:rsidRDefault="000D0C9F" w:rsidP="005342F3">
      <w:pPr>
        <w:jc w:val="both"/>
        <w:rPr>
          <w:sz w:val="22"/>
          <w:szCs w:val="22"/>
          <w:lang w:val="sr-Latn-ME"/>
        </w:rPr>
      </w:pPr>
      <w:r w:rsidRPr="00245459">
        <w:rPr>
          <w:bCs/>
          <w:sz w:val="22"/>
          <w:szCs w:val="22"/>
          <w:lang w:val="sr-Latn-ME"/>
        </w:rPr>
        <w:t xml:space="preserve">Singulair </w:t>
      </w:r>
      <w:r w:rsidRPr="00245459">
        <w:rPr>
          <w:sz w:val="22"/>
          <w:szCs w:val="22"/>
          <w:lang w:val="sr-Latn-ME"/>
        </w:rPr>
        <w:t xml:space="preserve">se može dodati već postojećem </w:t>
      </w:r>
      <w:r w:rsidR="007223CF" w:rsidRPr="00245459">
        <w:rPr>
          <w:sz w:val="22"/>
          <w:szCs w:val="22"/>
          <w:lang w:val="sr-Latn-ME"/>
        </w:rPr>
        <w:t xml:space="preserve">terapijskom režimu </w:t>
      </w:r>
      <w:r w:rsidRPr="00245459">
        <w:rPr>
          <w:sz w:val="22"/>
          <w:szCs w:val="22"/>
          <w:lang w:val="sr-Latn-ME"/>
        </w:rPr>
        <w:t>pacijenta.</w:t>
      </w:r>
    </w:p>
    <w:p w14:paraId="4F7C5D27" w14:textId="77777777" w:rsidR="000D0C9F" w:rsidRPr="00245459" w:rsidRDefault="000D0C9F" w:rsidP="005342F3">
      <w:pPr>
        <w:jc w:val="both"/>
        <w:rPr>
          <w:i/>
          <w:iCs/>
          <w:sz w:val="22"/>
          <w:szCs w:val="22"/>
          <w:lang w:val="sr-Latn-ME"/>
        </w:rPr>
      </w:pPr>
      <w:r w:rsidRPr="00245459">
        <w:rPr>
          <w:i/>
          <w:iCs/>
          <w:sz w:val="22"/>
          <w:szCs w:val="22"/>
          <w:lang w:val="sr-Latn-ME"/>
        </w:rPr>
        <w:t>Inhalacioni kortikosteroidi:</w:t>
      </w:r>
    </w:p>
    <w:p w14:paraId="710E7649" w14:textId="48902ED0" w:rsidR="000D0C9F" w:rsidRPr="00245459" w:rsidRDefault="007223CF" w:rsidP="005342F3">
      <w:pPr>
        <w:jc w:val="both"/>
        <w:rPr>
          <w:sz w:val="22"/>
          <w:szCs w:val="22"/>
          <w:lang w:val="sr-Latn-ME"/>
        </w:rPr>
      </w:pPr>
      <w:r w:rsidRPr="00245459">
        <w:rPr>
          <w:iCs/>
          <w:sz w:val="22"/>
          <w:szCs w:val="22"/>
          <w:lang w:val="sr-Latn-ME"/>
        </w:rPr>
        <w:t>Terapija lijekom</w:t>
      </w:r>
      <w:r w:rsidRPr="00245459">
        <w:rPr>
          <w:i/>
          <w:sz w:val="22"/>
          <w:szCs w:val="22"/>
          <w:lang w:val="sr-Latn-ME"/>
        </w:rPr>
        <w:t xml:space="preserve"> </w:t>
      </w:r>
      <w:r w:rsidR="000D0C9F" w:rsidRPr="00245459">
        <w:rPr>
          <w:bCs/>
          <w:sz w:val="22"/>
          <w:szCs w:val="22"/>
          <w:lang w:val="sr-Latn-ME"/>
        </w:rPr>
        <w:t xml:space="preserve">Singulair </w:t>
      </w:r>
      <w:r w:rsidR="000D0C9F" w:rsidRPr="00245459">
        <w:rPr>
          <w:sz w:val="22"/>
          <w:szCs w:val="22"/>
          <w:lang w:val="sr-Latn-ME"/>
        </w:rPr>
        <w:t>se može koristiti kao dodatna terapija</w:t>
      </w:r>
      <w:r w:rsidR="000F7173" w:rsidRPr="00245459">
        <w:rPr>
          <w:sz w:val="22"/>
          <w:szCs w:val="22"/>
          <w:lang w:val="sr-Latn-ME"/>
        </w:rPr>
        <w:t>,</w:t>
      </w:r>
      <w:r w:rsidR="000D0C9F" w:rsidRPr="00245459">
        <w:rPr>
          <w:sz w:val="22"/>
          <w:szCs w:val="22"/>
          <w:lang w:val="sr-Latn-ME"/>
        </w:rPr>
        <w:t xml:space="preserve"> kada</w:t>
      </w:r>
      <w:r w:rsidR="000F7173" w:rsidRPr="00245459">
        <w:rPr>
          <w:sz w:val="22"/>
          <w:szCs w:val="22"/>
          <w:lang w:val="sr-Latn-ME"/>
        </w:rPr>
        <w:t xml:space="preserve"> primjena</w:t>
      </w:r>
      <w:r w:rsidR="000D0C9F" w:rsidRPr="00245459">
        <w:rPr>
          <w:sz w:val="22"/>
          <w:szCs w:val="22"/>
          <w:lang w:val="sr-Latn-ME"/>
        </w:rPr>
        <w:t xml:space="preserve"> inhalacioni</w:t>
      </w:r>
      <w:r w:rsidR="000F7173" w:rsidRPr="00245459">
        <w:rPr>
          <w:sz w:val="22"/>
          <w:szCs w:val="22"/>
          <w:lang w:val="sr-Latn-ME"/>
        </w:rPr>
        <w:t>h</w:t>
      </w:r>
      <w:r w:rsidR="000D0C9F" w:rsidRPr="00245459">
        <w:rPr>
          <w:sz w:val="22"/>
          <w:szCs w:val="22"/>
          <w:lang w:val="sr-Latn-ME"/>
        </w:rPr>
        <w:t xml:space="preserve"> kortikosteroid</w:t>
      </w:r>
      <w:r w:rsidR="000F7173" w:rsidRPr="00245459">
        <w:rPr>
          <w:sz w:val="22"/>
          <w:szCs w:val="22"/>
          <w:lang w:val="sr-Latn-ME"/>
        </w:rPr>
        <w:t>a</w:t>
      </w:r>
      <w:r w:rsidR="000D0C9F" w:rsidRPr="00245459">
        <w:rPr>
          <w:sz w:val="22"/>
          <w:szCs w:val="22"/>
          <w:lang w:val="sr-Latn-ME"/>
        </w:rPr>
        <w:t xml:space="preserve"> i kratkodjelujući</w:t>
      </w:r>
      <w:r w:rsidR="000F7173" w:rsidRPr="00245459">
        <w:rPr>
          <w:sz w:val="22"/>
          <w:szCs w:val="22"/>
          <w:lang w:val="sr-Latn-ME"/>
        </w:rPr>
        <w:t>h</w:t>
      </w:r>
      <w:r w:rsidR="000D0C9F" w:rsidRPr="00245459">
        <w:rPr>
          <w:sz w:val="22"/>
          <w:szCs w:val="22"/>
          <w:lang w:val="sr-Latn-ME"/>
        </w:rPr>
        <w:t xml:space="preserve"> β-agonist</w:t>
      </w:r>
      <w:r w:rsidR="000F7173" w:rsidRPr="00245459">
        <w:rPr>
          <w:sz w:val="22"/>
          <w:szCs w:val="22"/>
          <w:lang w:val="sr-Latn-ME"/>
        </w:rPr>
        <w:t xml:space="preserve">a „po potrebi“ </w:t>
      </w:r>
      <w:r w:rsidR="000D0C9F" w:rsidRPr="00245459">
        <w:rPr>
          <w:sz w:val="22"/>
          <w:szCs w:val="22"/>
          <w:lang w:val="sr-Latn-ME"/>
        </w:rPr>
        <w:t>ne obezbjeđuj</w:t>
      </w:r>
      <w:r w:rsidR="000F7173" w:rsidRPr="00245459">
        <w:rPr>
          <w:sz w:val="22"/>
          <w:szCs w:val="22"/>
          <w:lang w:val="sr-Latn-ME"/>
        </w:rPr>
        <w:t>e</w:t>
      </w:r>
      <w:r w:rsidR="000D0C9F" w:rsidRPr="00245459">
        <w:rPr>
          <w:sz w:val="22"/>
          <w:szCs w:val="22"/>
          <w:lang w:val="sr-Latn-ME"/>
        </w:rPr>
        <w:t xml:space="preserve"> </w:t>
      </w:r>
      <w:r w:rsidR="000F7173" w:rsidRPr="00245459">
        <w:rPr>
          <w:sz w:val="22"/>
          <w:szCs w:val="22"/>
          <w:lang w:val="sr-Latn-ME"/>
        </w:rPr>
        <w:t xml:space="preserve">odgovarajuću </w:t>
      </w:r>
      <w:r w:rsidR="000D0C9F" w:rsidRPr="00245459">
        <w:rPr>
          <w:sz w:val="22"/>
          <w:szCs w:val="22"/>
          <w:lang w:val="sr-Latn-ME"/>
        </w:rPr>
        <w:t>kliničku kontrolu</w:t>
      </w:r>
      <w:r w:rsidR="000F7173" w:rsidRPr="00245459">
        <w:rPr>
          <w:sz w:val="22"/>
          <w:szCs w:val="22"/>
          <w:lang w:val="sr-Latn-ME"/>
        </w:rPr>
        <w:t xml:space="preserve"> astme</w:t>
      </w:r>
      <w:r w:rsidR="000D0C9F" w:rsidRPr="00245459">
        <w:rPr>
          <w:sz w:val="22"/>
          <w:szCs w:val="22"/>
          <w:lang w:val="sr-Latn-ME"/>
        </w:rPr>
        <w:t xml:space="preserve">. </w:t>
      </w:r>
      <w:r w:rsidR="000F7173" w:rsidRPr="00245459">
        <w:rPr>
          <w:sz w:val="22"/>
          <w:szCs w:val="22"/>
          <w:lang w:val="sr-Latn-ME"/>
        </w:rPr>
        <w:t xml:space="preserve">Inhalacioni kortikosteroid ne smije naglo biti zamijenjen lijekom Singulair </w:t>
      </w:r>
      <w:r w:rsidR="000D0C9F" w:rsidRPr="00245459">
        <w:rPr>
          <w:sz w:val="22"/>
          <w:szCs w:val="22"/>
          <w:lang w:val="sr-Latn-ME"/>
        </w:rPr>
        <w:t xml:space="preserve">(vidjeti </w:t>
      </w:r>
      <w:r w:rsidR="00D930A1" w:rsidRPr="00245459">
        <w:rPr>
          <w:sz w:val="22"/>
          <w:szCs w:val="22"/>
          <w:lang w:val="sr-Latn-ME"/>
        </w:rPr>
        <w:t xml:space="preserve">dio </w:t>
      </w:r>
      <w:r w:rsidR="000D0C9F" w:rsidRPr="00245459">
        <w:rPr>
          <w:sz w:val="22"/>
          <w:szCs w:val="22"/>
          <w:lang w:val="sr-Latn-ME"/>
        </w:rPr>
        <w:t>4.4).</w:t>
      </w:r>
    </w:p>
    <w:p w14:paraId="52DCB58C" w14:textId="77777777" w:rsidR="000D0C9F" w:rsidRPr="00245459" w:rsidRDefault="000D0C9F" w:rsidP="005342F3">
      <w:pPr>
        <w:jc w:val="both"/>
        <w:rPr>
          <w:i/>
          <w:sz w:val="22"/>
          <w:szCs w:val="22"/>
          <w:lang w:val="sr-Latn-ME"/>
        </w:rPr>
      </w:pPr>
    </w:p>
    <w:p w14:paraId="782D8C67" w14:textId="77777777" w:rsidR="000D0C9F" w:rsidRPr="00245459" w:rsidRDefault="000D0C9F" w:rsidP="005342F3">
      <w:pPr>
        <w:jc w:val="both"/>
        <w:rPr>
          <w:i/>
          <w:iCs/>
          <w:sz w:val="22"/>
          <w:szCs w:val="22"/>
          <w:lang w:val="sr-Latn-ME"/>
        </w:rPr>
      </w:pPr>
      <w:r w:rsidRPr="00245459">
        <w:rPr>
          <w:i/>
          <w:iCs/>
          <w:sz w:val="22"/>
          <w:szCs w:val="22"/>
          <w:lang w:val="sr-Latn-ME"/>
        </w:rPr>
        <w:t>Pedijatrijska populacija</w:t>
      </w:r>
    </w:p>
    <w:p w14:paraId="067055BD" w14:textId="5A6ACE1E" w:rsidR="000D0C9F" w:rsidRPr="00245459" w:rsidRDefault="000D0C9F" w:rsidP="005342F3">
      <w:pPr>
        <w:jc w:val="both"/>
        <w:rPr>
          <w:sz w:val="22"/>
          <w:szCs w:val="22"/>
          <w:lang w:val="sr-Latn-ME"/>
        </w:rPr>
      </w:pPr>
      <w:r w:rsidRPr="00245459">
        <w:rPr>
          <w:sz w:val="22"/>
          <w:szCs w:val="22"/>
          <w:lang w:val="sr-Latn-ME"/>
        </w:rPr>
        <w:t>Nemojte davati</w:t>
      </w:r>
      <w:r w:rsidR="000F7173" w:rsidRPr="00245459">
        <w:rPr>
          <w:sz w:val="22"/>
          <w:szCs w:val="22"/>
          <w:lang w:val="sr-Latn-ME"/>
        </w:rPr>
        <w:t xml:space="preserve"> lijek Singulair, 10 mg, film tablete,</w:t>
      </w:r>
      <w:r w:rsidRPr="00245459">
        <w:rPr>
          <w:sz w:val="22"/>
          <w:szCs w:val="22"/>
          <w:lang w:val="sr-Latn-ME"/>
        </w:rPr>
        <w:t xml:space="preserve"> djeci mlađoj od 15 godina</w:t>
      </w:r>
      <w:r w:rsidR="000F7173" w:rsidRPr="00245459">
        <w:rPr>
          <w:sz w:val="22"/>
          <w:szCs w:val="22"/>
          <w:lang w:val="sr-Latn-ME"/>
        </w:rPr>
        <w:t xml:space="preserve">. </w:t>
      </w:r>
      <w:r w:rsidRPr="00245459">
        <w:rPr>
          <w:sz w:val="22"/>
          <w:szCs w:val="22"/>
          <w:lang w:val="sr-Latn-ME"/>
        </w:rPr>
        <w:t xml:space="preserve"> </w:t>
      </w:r>
      <w:r w:rsidR="000F7173" w:rsidRPr="00245459">
        <w:rPr>
          <w:sz w:val="22"/>
          <w:szCs w:val="22"/>
          <w:lang w:val="sr-Latn-ME"/>
        </w:rPr>
        <w:t>B</w:t>
      </w:r>
      <w:r w:rsidRPr="00245459">
        <w:rPr>
          <w:sz w:val="22"/>
          <w:szCs w:val="22"/>
          <w:lang w:val="sr-Latn-ME"/>
        </w:rPr>
        <w:t>ezbjednost i efikasnost lijeka</w:t>
      </w:r>
      <w:r w:rsidR="000F7173" w:rsidRPr="00245459">
        <w:rPr>
          <w:sz w:val="22"/>
          <w:szCs w:val="22"/>
          <w:lang w:val="sr-Latn-ME"/>
        </w:rPr>
        <w:t xml:space="preserve"> Singulair, 10 mg, film tablete,</w:t>
      </w:r>
      <w:r w:rsidRPr="00245459">
        <w:rPr>
          <w:sz w:val="22"/>
          <w:szCs w:val="22"/>
          <w:lang w:val="sr-Latn-ME"/>
        </w:rPr>
        <w:t xml:space="preserve"> nije ispitivan</w:t>
      </w:r>
      <w:r w:rsidR="000F7173" w:rsidRPr="00245459">
        <w:rPr>
          <w:sz w:val="22"/>
          <w:szCs w:val="22"/>
          <w:lang w:val="sr-Latn-ME"/>
        </w:rPr>
        <w:t>a</w:t>
      </w:r>
      <w:r w:rsidRPr="00245459">
        <w:rPr>
          <w:sz w:val="22"/>
          <w:szCs w:val="22"/>
          <w:lang w:val="sr-Latn-ME"/>
        </w:rPr>
        <w:t xml:space="preserve"> kod djece mlađe od 15 godina starosti.</w:t>
      </w:r>
    </w:p>
    <w:p w14:paraId="1E95F320" w14:textId="77777777" w:rsidR="000D0C9F" w:rsidRPr="00245459" w:rsidRDefault="000D0C9F" w:rsidP="005342F3">
      <w:pPr>
        <w:jc w:val="both"/>
        <w:rPr>
          <w:sz w:val="22"/>
          <w:szCs w:val="22"/>
          <w:lang w:val="sr-Latn-ME"/>
        </w:rPr>
      </w:pPr>
    </w:p>
    <w:p w14:paraId="799CE6B1" w14:textId="4E724344" w:rsidR="000D0C9F" w:rsidRPr="00245459" w:rsidRDefault="000D0C9F" w:rsidP="005342F3">
      <w:pPr>
        <w:jc w:val="both"/>
        <w:rPr>
          <w:sz w:val="22"/>
          <w:szCs w:val="22"/>
          <w:lang w:val="sr-Latn-ME"/>
        </w:rPr>
      </w:pPr>
      <w:r w:rsidRPr="00245459">
        <w:rPr>
          <w:sz w:val="22"/>
          <w:szCs w:val="22"/>
          <w:lang w:val="sr-Latn-ME"/>
        </w:rPr>
        <w:t xml:space="preserve">Tablete za žvakanje od 5 mg namijenjene su </w:t>
      </w:r>
      <w:r w:rsidR="000F7173" w:rsidRPr="00245459">
        <w:rPr>
          <w:sz w:val="22"/>
          <w:szCs w:val="22"/>
          <w:lang w:val="sr-Latn-ME"/>
        </w:rPr>
        <w:t xml:space="preserve">za djecu </w:t>
      </w:r>
      <w:r w:rsidRPr="00245459">
        <w:rPr>
          <w:sz w:val="22"/>
          <w:szCs w:val="22"/>
          <w:lang w:val="sr-Latn-ME"/>
        </w:rPr>
        <w:t>uzrasta od 6 do 14 godina (sve do punih 15 godina).</w:t>
      </w:r>
    </w:p>
    <w:p w14:paraId="413937CD" w14:textId="77777777" w:rsidR="000D0C9F" w:rsidRPr="00245459" w:rsidRDefault="000D0C9F" w:rsidP="005342F3">
      <w:pPr>
        <w:jc w:val="both"/>
        <w:rPr>
          <w:sz w:val="22"/>
          <w:szCs w:val="22"/>
          <w:lang w:val="sr-Latn-ME"/>
        </w:rPr>
      </w:pPr>
      <w:r w:rsidRPr="00245459">
        <w:rPr>
          <w:sz w:val="22"/>
          <w:szCs w:val="22"/>
          <w:lang w:val="sr-Latn-ME"/>
        </w:rPr>
        <w:t>Tablete za žvakanje od 4 mg su namijenjene za djecu uzrasta od 2 do 5 godina (sve do punih 6 godina).</w:t>
      </w:r>
    </w:p>
    <w:p w14:paraId="4B1E922F" w14:textId="77777777" w:rsidR="000D0C9F" w:rsidRPr="00245459" w:rsidRDefault="000D0C9F" w:rsidP="005342F3">
      <w:pPr>
        <w:jc w:val="both"/>
        <w:rPr>
          <w:sz w:val="22"/>
          <w:szCs w:val="22"/>
          <w:lang w:val="sr-Latn-ME"/>
        </w:rPr>
      </w:pPr>
      <w:r w:rsidRPr="00245459">
        <w:rPr>
          <w:sz w:val="22"/>
          <w:szCs w:val="22"/>
          <w:lang w:val="sr-Latn-ME"/>
        </w:rPr>
        <w:t>Granule od 4 mg su namijenjene za djecu uzrasta od 6 mjeseci do 5 godina (sve do punih 6 godina).</w:t>
      </w:r>
    </w:p>
    <w:p w14:paraId="7CFF1955" w14:textId="77777777" w:rsidR="000D0C9F" w:rsidRPr="00245459" w:rsidRDefault="000D0C9F" w:rsidP="005342F3">
      <w:pPr>
        <w:tabs>
          <w:tab w:val="left" w:pos="540"/>
          <w:tab w:val="left" w:pos="569"/>
        </w:tabs>
        <w:jc w:val="both"/>
        <w:rPr>
          <w:bCs/>
          <w:sz w:val="22"/>
          <w:szCs w:val="22"/>
          <w:u w:val="single"/>
          <w:lang w:val="sr-Latn-ME"/>
        </w:rPr>
      </w:pPr>
    </w:p>
    <w:p w14:paraId="194FC214" w14:textId="77777777" w:rsidR="00452E9D" w:rsidRPr="00245459" w:rsidRDefault="00452E9D" w:rsidP="005342F3">
      <w:pPr>
        <w:tabs>
          <w:tab w:val="left" w:pos="540"/>
          <w:tab w:val="left" w:pos="569"/>
        </w:tabs>
        <w:jc w:val="both"/>
        <w:rPr>
          <w:bCs/>
          <w:sz w:val="22"/>
          <w:szCs w:val="22"/>
          <w:u w:val="single"/>
          <w:lang w:val="sr-Latn-ME"/>
        </w:rPr>
      </w:pPr>
      <w:r w:rsidRPr="00245459">
        <w:rPr>
          <w:bCs/>
          <w:sz w:val="22"/>
          <w:szCs w:val="22"/>
          <w:u w:val="single"/>
          <w:lang w:val="sr-Latn-ME"/>
        </w:rPr>
        <w:t>Način primjene</w:t>
      </w:r>
    </w:p>
    <w:p w14:paraId="3FFD4BBD"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Lijek je namijenjen za oralnu upotrebu.</w:t>
      </w:r>
    </w:p>
    <w:p w14:paraId="3B7CDB7E" w14:textId="77777777" w:rsidR="000D0C9F" w:rsidRPr="00245459" w:rsidRDefault="000D0C9F" w:rsidP="005342F3">
      <w:pPr>
        <w:tabs>
          <w:tab w:val="left" w:pos="540"/>
          <w:tab w:val="left" w:pos="569"/>
        </w:tabs>
        <w:jc w:val="both"/>
        <w:rPr>
          <w:bCs/>
          <w:sz w:val="22"/>
          <w:szCs w:val="22"/>
          <w:lang w:val="sr-Latn-ME"/>
        </w:rPr>
      </w:pPr>
    </w:p>
    <w:p w14:paraId="437B8E32"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4.3. </w:t>
      </w:r>
      <w:r w:rsidR="00480FB1" w:rsidRPr="00245459">
        <w:rPr>
          <w:b/>
          <w:bCs/>
          <w:sz w:val="22"/>
          <w:szCs w:val="22"/>
          <w:lang w:val="sr-Latn-ME"/>
        </w:rPr>
        <w:tab/>
      </w:r>
      <w:r w:rsidRPr="00245459">
        <w:rPr>
          <w:b/>
          <w:bCs/>
          <w:sz w:val="22"/>
          <w:szCs w:val="22"/>
          <w:lang w:val="sr-Latn-ME"/>
        </w:rPr>
        <w:t>Kontraindikacije</w:t>
      </w:r>
    </w:p>
    <w:p w14:paraId="760AF664" w14:textId="0A78F679" w:rsidR="0072020E" w:rsidRPr="00245459" w:rsidRDefault="0072020E" w:rsidP="005342F3">
      <w:pPr>
        <w:tabs>
          <w:tab w:val="left" w:pos="540"/>
          <w:tab w:val="left" w:pos="569"/>
        </w:tabs>
        <w:jc w:val="both"/>
        <w:rPr>
          <w:bCs/>
          <w:sz w:val="22"/>
          <w:szCs w:val="22"/>
          <w:lang w:val="sr-Latn-ME"/>
        </w:rPr>
      </w:pPr>
    </w:p>
    <w:p w14:paraId="5D942352" w14:textId="40719FA9" w:rsidR="000D0C9F" w:rsidRPr="00245459" w:rsidRDefault="000D0C9F" w:rsidP="005342F3">
      <w:pPr>
        <w:tabs>
          <w:tab w:val="left" w:pos="540"/>
          <w:tab w:val="left" w:pos="569"/>
        </w:tabs>
        <w:jc w:val="both"/>
        <w:rPr>
          <w:sz w:val="22"/>
          <w:szCs w:val="22"/>
          <w:lang w:val="sr-Latn-ME"/>
        </w:rPr>
      </w:pPr>
      <w:r w:rsidRPr="00245459">
        <w:rPr>
          <w:sz w:val="22"/>
          <w:szCs w:val="22"/>
          <w:lang w:val="sr-Latn-ME"/>
        </w:rPr>
        <w:t>Preosjetljivost na aktivnu supstancu ili bilo koji od pomoćnih sastojaka, koji su navedeni u dijelu 6.1.</w:t>
      </w:r>
    </w:p>
    <w:p w14:paraId="6207000B" w14:textId="77777777" w:rsidR="000D0C9F" w:rsidRPr="00245459" w:rsidRDefault="000D0C9F" w:rsidP="005342F3">
      <w:pPr>
        <w:tabs>
          <w:tab w:val="left" w:pos="540"/>
          <w:tab w:val="left" w:pos="569"/>
        </w:tabs>
        <w:jc w:val="both"/>
        <w:rPr>
          <w:bCs/>
          <w:sz w:val="22"/>
          <w:szCs w:val="22"/>
          <w:lang w:val="sr-Latn-ME"/>
        </w:rPr>
      </w:pPr>
    </w:p>
    <w:p w14:paraId="1D9B5F8E" w14:textId="77777777"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 xml:space="preserve">4.4. </w:t>
      </w:r>
      <w:r w:rsidR="00480FB1" w:rsidRPr="00245459">
        <w:rPr>
          <w:b/>
          <w:bCs/>
          <w:sz w:val="22"/>
          <w:szCs w:val="22"/>
          <w:lang w:val="sr-Latn-ME"/>
        </w:rPr>
        <w:tab/>
      </w:r>
      <w:r w:rsidRPr="00245459">
        <w:rPr>
          <w:b/>
          <w:bCs/>
          <w:sz w:val="22"/>
          <w:szCs w:val="22"/>
          <w:lang w:val="sr-Latn-ME"/>
        </w:rPr>
        <w:t>Posebna upozorenja i mjere opreza pri upotrebi lijeka</w:t>
      </w:r>
    </w:p>
    <w:p w14:paraId="6CAD7C90" w14:textId="161B34FD" w:rsidR="0072020E" w:rsidRPr="00245459" w:rsidRDefault="0072020E" w:rsidP="005342F3">
      <w:pPr>
        <w:tabs>
          <w:tab w:val="left" w:pos="540"/>
          <w:tab w:val="left" w:pos="569"/>
        </w:tabs>
        <w:jc w:val="both"/>
        <w:rPr>
          <w:bCs/>
          <w:sz w:val="22"/>
          <w:szCs w:val="22"/>
          <w:lang w:val="sr-Latn-ME"/>
        </w:rPr>
      </w:pPr>
    </w:p>
    <w:p w14:paraId="3DF0F49A" w14:textId="7EF54D04" w:rsidR="000D0C9F" w:rsidRPr="00245459" w:rsidRDefault="000D0C9F" w:rsidP="005342F3">
      <w:pPr>
        <w:jc w:val="both"/>
        <w:rPr>
          <w:sz w:val="22"/>
          <w:szCs w:val="22"/>
          <w:lang w:val="sr-Latn-ME"/>
        </w:rPr>
      </w:pPr>
      <w:r w:rsidRPr="00245459">
        <w:rPr>
          <w:sz w:val="22"/>
          <w:szCs w:val="22"/>
          <w:lang w:val="sr-Latn-ME"/>
        </w:rPr>
        <w:t>Pacijente treba savjetovati da nikada ne koriste montelukast u terapiji akutnog napada astme i da za ovu svrhu imaju spremne odgovarajuće ljekove</w:t>
      </w:r>
      <w:r w:rsidR="000F7173" w:rsidRPr="00245459">
        <w:rPr>
          <w:sz w:val="22"/>
          <w:szCs w:val="22"/>
          <w:lang w:val="sr-Latn-ME"/>
        </w:rPr>
        <w:t>, namijenjene za ovu svrhu</w:t>
      </w:r>
      <w:r w:rsidRPr="00245459">
        <w:rPr>
          <w:sz w:val="22"/>
          <w:szCs w:val="22"/>
          <w:lang w:val="sr-Latn-ME"/>
        </w:rPr>
        <w:t xml:space="preserve">. </w:t>
      </w:r>
      <w:r w:rsidR="000F7173" w:rsidRPr="00245459">
        <w:rPr>
          <w:sz w:val="22"/>
          <w:szCs w:val="22"/>
          <w:lang w:val="sr-Latn-ME"/>
        </w:rPr>
        <w:t xml:space="preserve">Kada </w:t>
      </w:r>
      <w:r w:rsidRPr="00245459">
        <w:rPr>
          <w:sz w:val="22"/>
          <w:szCs w:val="22"/>
          <w:lang w:val="sr-Latn-ME"/>
        </w:rPr>
        <w:t xml:space="preserve">se javi akutni napad, </w:t>
      </w:r>
      <w:r w:rsidR="000F7173" w:rsidRPr="00245459">
        <w:rPr>
          <w:sz w:val="22"/>
          <w:szCs w:val="22"/>
          <w:lang w:val="sr-Latn-ME"/>
        </w:rPr>
        <w:t xml:space="preserve">mora se </w:t>
      </w:r>
      <w:r w:rsidRPr="00245459">
        <w:rPr>
          <w:sz w:val="22"/>
          <w:szCs w:val="22"/>
          <w:lang w:val="sr-Latn-ME"/>
        </w:rPr>
        <w:t xml:space="preserve">upotrijebiti kratkodjelujući inhalacioni β-agonist. Pacijenti treba </w:t>
      </w:r>
      <w:r w:rsidR="000F7173" w:rsidRPr="00245459">
        <w:rPr>
          <w:sz w:val="22"/>
          <w:szCs w:val="22"/>
          <w:lang w:val="sr-Latn-ME"/>
        </w:rPr>
        <w:t xml:space="preserve">što prije da konsultuju ljekara </w:t>
      </w:r>
      <w:r w:rsidRPr="00245459">
        <w:rPr>
          <w:sz w:val="22"/>
          <w:szCs w:val="22"/>
          <w:lang w:val="sr-Latn-ME"/>
        </w:rPr>
        <w:t xml:space="preserve">ukoliko im </w:t>
      </w:r>
      <w:r w:rsidR="000F7173" w:rsidRPr="00245459">
        <w:rPr>
          <w:sz w:val="22"/>
          <w:szCs w:val="22"/>
          <w:lang w:val="sr-Latn-ME"/>
        </w:rPr>
        <w:t>je potrebno</w:t>
      </w:r>
      <w:r w:rsidRPr="00245459">
        <w:rPr>
          <w:sz w:val="22"/>
          <w:szCs w:val="22"/>
          <w:lang w:val="sr-Latn-ME"/>
        </w:rPr>
        <w:t xml:space="preserve"> </w:t>
      </w:r>
      <w:r w:rsidR="000F7173" w:rsidRPr="00245459">
        <w:rPr>
          <w:sz w:val="22"/>
          <w:szCs w:val="22"/>
          <w:lang w:val="sr-Latn-ME"/>
        </w:rPr>
        <w:t xml:space="preserve">da više puta inhaliraju </w:t>
      </w:r>
      <w:r w:rsidRPr="00245459">
        <w:rPr>
          <w:sz w:val="22"/>
          <w:szCs w:val="22"/>
          <w:lang w:val="sr-Latn-ME"/>
        </w:rPr>
        <w:t>kratkodjelujuć</w:t>
      </w:r>
      <w:r w:rsidR="000F7173" w:rsidRPr="00245459">
        <w:rPr>
          <w:sz w:val="22"/>
          <w:szCs w:val="22"/>
          <w:lang w:val="sr-Latn-ME"/>
        </w:rPr>
        <w:t>e</w:t>
      </w:r>
      <w:r w:rsidRPr="00245459">
        <w:rPr>
          <w:sz w:val="22"/>
          <w:szCs w:val="22"/>
          <w:lang w:val="sr-Latn-ME"/>
        </w:rPr>
        <w:t xml:space="preserve"> β-agonist</w:t>
      </w:r>
      <w:r w:rsidR="000F7173" w:rsidRPr="00245459">
        <w:rPr>
          <w:sz w:val="22"/>
          <w:szCs w:val="22"/>
          <w:lang w:val="sr-Latn-ME"/>
        </w:rPr>
        <w:t>e</w:t>
      </w:r>
      <w:r w:rsidRPr="00245459">
        <w:rPr>
          <w:sz w:val="22"/>
          <w:szCs w:val="22"/>
          <w:lang w:val="sr-Latn-ME"/>
        </w:rPr>
        <w:t xml:space="preserve"> nego što je </w:t>
      </w:r>
      <w:r w:rsidR="000F7173" w:rsidRPr="00245459">
        <w:rPr>
          <w:sz w:val="22"/>
          <w:szCs w:val="22"/>
          <w:lang w:val="sr-Latn-ME"/>
        </w:rPr>
        <w:t xml:space="preserve">to </w:t>
      </w:r>
      <w:r w:rsidRPr="00245459">
        <w:rPr>
          <w:sz w:val="22"/>
          <w:szCs w:val="22"/>
          <w:lang w:val="sr-Latn-ME"/>
        </w:rPr>
        <w:t xml:space="preserve">uobičajeno. </w:t>
      </w:r>
    </w:p>
    <w:p w14:paraId="5FE4850B" w14:textId="77777777" w:rsidR="000D0C9F" w:rsidRPr="00245459" w:rsidRDefault="000D0C9F" w:rsidP="005342F3">
      <w:pPr>
        <w:jc w:val="both"/>
        <w:rPr>
          <w:sz w:val="22"/>
          <w:szCs w:val="22"/>
          <w:lang w:val="sr-Latn-ME"/>
        </w:rPr>
      </w:pPr>
      <w:r w:rsidRPr="00245459">
        <w:rPr>
          <w:sz w:val="22"/>
          <w:szCs w:val="22"/>
          <w:lang w:val="sr-Latn-ME"/>
        </w:rPr>
        <w:t xml:space="preserve">  </w:t>
      </w:r>
    </w:p>
    <w:p w14:paraId="5CD0F3AD" w14:textId="77777777" w:rsidR="000D0C9F" w:rsidRPr="00245459" w:rsidRDefault="000D0C9F" w:rsidP="005342F3">
      <w:pPr>
        <w:pStyle w:val="Header"/>
        <w:tabs>
          <w:tab w:val="left" w:pos="284"/>
        </w:tabs>
        <w:jc w:val="both"/>
        <w:rPr>
          <w:sz w:val="22"/>
          <w:szCs w:val="22"/>
          <w:lang w:val="sr-Latn-ME" w:eastAsia="sr-Latn-CS"/>
        </w:rPr>
      </w:pPr>
      <w:r w:rsidRPr="00245459">
        <w:rPr>
          <w:sz w:val="22"/>
          <w:szCs w:val="22"/>
          <w:lang w:val="sr-Latn-ME" w:eastAsia="sr-Latn-CS"/>
        </w:rPr>
        <w:t xml:space="preserve">Inhalacioni ili oralni kortikosteroidi ne smiju biti naglo zamijenjeni montelukastom. </w:t>
      </w:r>
    </w:p>
    <w:p w14:paraId="57211747" w14:textId="77777777" w:rsidR="000D0C9F" w:rsidRPr="00245459" w:rsidRDefault="000D0C9F" w:rsidP="005342F3">
      <w:pPr>
        <w:jc w:val="both"/>
        <w:rPr>
          <w:sz w:val="22"/>
          <w:szCs w:val="22"/>
          <w:lang w:val="sr-Latn-ME"/>
        </w:rPr>
      </w:pPr>
    </w:p>
    <w:p w14:paraId="2B86DA0F" w14:textId="751A3C39" w:rsidR="000D0C9F" w:rsidRPr="00245459" w:rsidRDefault="000D0C9F" w:rsidP="005342F3">
      <w:pPr>
        <w:jc w:val="both"/>
        <w:rPr>
          <w:sz w:val="22"/>
          <w:szCs w:val="22"/>
          <w:lang w:val="sr-Latn-ME"/>
        </w:rPr>
      </w:pPr>
      <w:r w:rsidRPr="00245459">
        <w:rPr>
          <w:sz w:val="22"/>
          <w:szCs w:val="22"/>
          <w:lang w:val="sr-Latn-ME"/>
        </w:rPr>
        <w:t xml:space="preserve">Nema podataka koji pokazuju da doza oralnih kortikosteroida može biti smanjena kada se montelukast </w:t>
      </w:r>
      <w:r w:rsidR="000F7173" w:rsidRPr="00245459">
        <w:rPr>
          <w:sz w:val="22"/>
          <w:szCs w:val="22"/>
          <w:lang w:val="sr-Latn-ME"/>
        </w:rPr>
        <w:t xml:space="preserve">primjenjuje </w:t>
      </w:r>
      <w:r w:rsidRPr="00245459">
        <w:rPr>
          <w:sz w:val="22"/>
          <w:szCs w:val="22"/>
          <w:lang w:val="sr-Latn-ME"/>
        </w:rPr>
        <w:t>istovremeno.</w:t>
      </w:r>
    </w:p>
    <w:p w14:paraId="6F682E10" w14:textId="77777777" w:rsidR="000D0C9F" w:rsidRPr="00245459" w:rsidRDefault="000D0C9F" w:rsidP="005342F3">
      <w:pPr>
        <w:jc w:val="both"/>
        <w:rPr>
          <w:sz w:val="22"/>
          <w:szCs w:val="22"/>
          <w:lang w:val="sr-Latn-ME"/>
        </w:rPr>
      </w:pPr>
    </w:p>
    <w:p w14:paraId="0ABC19FF" w14:textId="7A9DBAF7" w:rsidR="000D0C9F" w:rsidRPr="00245459" w:rsidRDefault="000D0C9F" w:rsidP="005342F3">
      <w:pPr>
        <w:jc w:val="both"/>
        <w:rPr>
          <w:sz w:val="22"/>
          <w:szCs w:val="22"/>
          <w:lang w:val="sr-Latn-ME"/>
        </w:rPr>
      </w:pPr>
      <w:r w:rsidRPr="00245459">
        <w:rPr>
          <w:sz w:val="22"/>
          <w:szCs w:val="22"/>
          <w:lang w:val="sr-Latn-ME"/>
        </w:rPr>
        <w:t xml:space="preserve">U rijetkim slučajevima, kod pacijenata na terapiji antiastmatičnim ljekovima, uključujući montelukast, može se javiti sistemska eozinofilija koju ponekad prate klinički znaci vaskulitisa, koji odgovaraju </w:t>
      </w:r>
      <w:r w:rsidRPr="00245459">
        <w:rPr>
          <w:i/>
          <w:iCs/>
          <w:sz w:val="22"/>
          <w:szCs w:val="22"/>
          <w:lang w:val="sr-Latn-ME"/>
        </w:rPr>
        <w:t>Churg-Strauss</w:t>
      </w:r>
      <w:r w:rsidRPr="00245459">
        <w:rPr>
          <w:sz w:val="22"/>
          <w:szCs w:val="22"/>
          <w:lang w:val="sr-Latn-ME"/>
        </w:rPr>
        <w:t xml:space="preserve"> sindromu, stanju koje se često liječi sistemskom primjenom kortikosteroida. Ovakvi slučajevi su ponekad bili udruženi sa smanjenjem ili ukidanjem terapije oralnim kortikosteroidima. Iako uzročno poslijedična veza sa antagoni</w:t>
      </w:r>
      <w:r w:rsidR="000F7173" w:rsidRPr="00245459">
        <w:rPr>
          <w:sz w:val="22"/>
          <w:szCs w:val="22"/>
          <w:lang w:val="sr-Latn-ME"/>
        </w:rPr>
        <w:t>stima</w:t>
      </w:r>
      <w:r w:rsidRPr="00245459">
        <w:rPr>
          <w:sz w:val="22"/>
          <w:szCs w:val="22"/>
          <w:lang w:val="sr-Latn-ME"/>
        </w:rPr>
        <w:t xml:space="preserve"> leukotrijensk</w:t>
      </w:r>
      <w:r w:rsidR="000F7173" w:rsidRPr="00245459">
        <w:rPr>
          <w:sz w:val="22"/>
          <w:szCs w:val="22"/>
          <w:lang w:val="sr-Latn-ME"/>
        </w:rPr>
        <w:t>ih</w:t>
      </w:r>
      <w:r w:rsidRPr="00245459">
        <w:rPr>
          <w:sz w:val="22"/>
          <w:szCs w:val="22"/>
          <w:lang w:val="sr-Latn-ME"/>
        </w:rPr>
        <w:t xml:space="preserve"> receptora još nije u</w:t>
      </w:r>
      <w:r w:rsidR="000F7173" w:rsidRPr="00245459">
        <w:rPr>
          <w:sz w:val="22"/>
          <w:szCs w:val="22"/>
          <w:lang w:val="sr-Latn-ME"/>
        </w:rPr>
        <w:t>tvrđena</w:t>
      </w:r>
      <w:r w:rsidRPr="00245459">
        <w:rPr>
          <w:sz w:val="22"/>
          <w:szCs w:val="22"/>
          <w:lang w:val="sr-Latn-ME"/>
        </w:rPr>
        <w:t xml:space="preserve">, ljekari treba da obrate pažnju na eozinofiliju, osip sa simptomima vaskulitisa, pogoršanje plućnih simptoma, kardiološke komplikacije i/ili neuropatiju, kada se pojave kod njihovih pacijenata. </w:t>
      </w:r>
      <w:r w:rsidRPr="00245459">
        <w:rPr>
          <w:sz w:val="22"/>
          <w:szCs w:val="22"/>
          <w:lang w:val="sr-Latn-ME" w:eastAsia="sr-Latn-CS"/>
        </w:rPr>
        <w:t>Pacijente kod kojih se razviju ovi simptomi treba ponovo pregledati i odrediti odgovarajuću terapiju.</w:t>
      </w:r>
    </w:p>
    <w:p w14:paraId="6D3DFA9D" w14:textId="77777777" w:rsidR="000D0C9F" w:rsidRPr="00245459" w:rsidRDefault="000D0C9F" w:rsidP="005342F3">
      <w:pPr>
        <w:jc w:val="both"/>
        <w:rPr>
          <w:sz w:val="22"/>
          <w:szCs w:val="22"/>
          <w:lang w:val="sr-Latn-ME"/>
        </w:rPr>
      </w:pPr>
    </w:p>
    <w:p w14:paraId="7DC454F7" w14:textId="21031402" w:rsidR="000D0C9F" w:rsidRPr="00245459" w:rsidRDefault="000F7173" w:rsidP="005342F3">
      <w:pPr>
        <w:jc w:val="both"/>
        <w:rPr>
          <w:sz w:val="22"/>
          <w:szCs w:val="22"/>
          <w:lang w:val="sr-Latn-ME"/>
        </w:rPr>
      </w:pPr>
      <w:r w:rsidRPr="00245459">
        <w:rPr>
          <w:sz w:val="22"/>
          <w:szCs w:val="22"/>
          <w:lang w:val="sr-Latn-ME"/>
        </w:rPr>
        <w:t xml:space="preserve">Terapija </w:t>
      </w:r>
      <w:r w:rsidR="000D0C9F" w:rsidRPr="00245459">
        <w:rPr>
          <w:sz w:val="22"/>
          <w:szCs w:val="22"/>
          <w:lang w:val="sr-Latn-ME"/>
        </w:rPr>
        <w:t xml:space="preserve">montelukastom ne mijenja potrebu pacijenata sa astmom osjetljivom na aspirin da izbjegavaju uzimanje </w:t>
      </w:r>
      <w:r w:rsidRPr="00245459">
        <w:rPr>
          <w:sz w:val="22"/>
          <w:szCs w:val="22"/>
          <w:lang w:val="sr-Latn-ME"/>
        </w:rPr>
        <w:t xml:space="preserve">acetilsalicilne kiseline </w:t>
      </w:r>
      <w:r w:rsidR="000D0C9F" w:rsidRPr="00245459">
        <w:rPr>
          <w:sz w:val="22"/>
          <w:szCs w:val="22"/>
          <w:lang w:val="sr-Latn-ME"/>
        </w:rPr>
        <w:t>i ostalih nesteroidnih antiinflamatornih ljekova.</w:t>
      </w:r>
    </w:p>
    <w:p w14:paraId="5E535D2A" w14:textId="59FBA84F" w:rsidR="00D613BC" w:rsidRPr="00245459" w:rsidDel="00D613BC" w:rsidRDefault="00D613BC" w:rsidP="005342F3">
      <w:pPr>
        <w:tabs>
          <w:tab w:val="left" w:pos="540"/>
          <w:tab w:val="left" w:pos="569"/>
        </w:tabs>
        <w:jc w:val="both"/>
        <w:rPr>
          <w:bCs/>
          <w:sz w:val="22"/>
          <w:szCs w:val="22"/>
          <w:lang w:val="sr-Latn-ME"/>
        </w:rPr>
      </w:pPr>
    </w:p>
    <w:tbl>
      <w:tblPr>
        <w:tblStyle w:val="TableGrid"/>
        <w:tblW w:w="0" w:type="auto"/>
        <w:tblInd w:w="0" w:type="dxa"/>
        <w:tblLook w:val="04A0" w:firstRow="1" w:lastRow="0" w:firstColumn="1" w:lastColumn="0" w:noHBand="0" w:noVBand="1"/>
      </w:tblPr>
      <w:tblGrid>
        <w:gridCol w:w="9061"/>
      </w:tblGrid>
      <w:tr w:rsidR="00D613BC" w:rsidRPr="00245459" w14:paraId="499CA45A" w14:textId="77777777" w:rsidTr="002E4651">
        <w:tc>
          <w:tcPr>
            <w:tcW w:w="9061" w:type="dxa"/>
            <w:tcBorders>
              <w:top w:val="single" w:sz="4" w:space="0" w:color="auto"/>
              <w:left w:val="single" w:sz="4" w:space="0" w:color="auto"/>
              <w:bottom w:val="single" w:sz="4" w:space="0" w:color="auto"/>
              <w:right w:val="single" w:sz="4" w:space="0" w:color="auto"/>
            </w:tcBorders>
            <w:hideMark/>
          </w:tcPr>
          <w:p w14:paraId="3F2A0207" w14:textId="77777777" w:rsidR="00D613BC" w:rsidRPr="00956DB3" w:rsidRDefault="00D613BC" w:rsidP="00FE590B">
            <w:pPr>
              <w:jc w:val="both"/>
              <w:rPr>
                <w:b/>
                <w:bCs/>
                <w:sz w:val="22"/>
                <w:szCs w:val="22"/>
                <w:lang w:val="sr-Latn-ME" w:eastAsia="en-GB"/>
              </w:rPr>
            </w:pPr>
            <w:r w:rsidRPr="00956DB3">
              <w:rPr>
                <w:b/>
                <w:bCs/>
                <w:sz w:val="22"/>
                <w:szCs w:val="22"/>
                <w:lang w:val="sr-Latn-ME" w:eastAsia="en-GB"/>
              </w:rPr>
              <w:t xml:space="preserve">Neuropsihijatrijski događaji, kao što su bihejvioralne promjene, depresija i suicidalnost, su prijavljene u svim starosnim grupama pacijenata koji su uzimali montekulakst (vidjeti dio 4.8). Simptomi mogu biti ozbiljni i mogu da se nastave ukoliko se terapija ne prekine. Zbog toga bi trebalo obustaviti primjenu montelukasta ukoliko tokom trajanja terapije dođe do pojave nuropsihijatrijskih simptoma. Posavjetujte pacijente i/ili njegovatelje da obrate pažnju na </w:t>
            </w:r>
            <w:r w:rsidRPr="00956DB3">
              <w:rPr>
                <w:b/>
                <w:bCs/>
                <w:sz w:val="22"/>
                <w:szCs w:val="22"/>
                <w:lang w:val="sr-Latn-ME" w:eastAsia="en-GB"/>
              </w:rPr>
              <w:lastRenderedPageBreak/>
              <w:t>pojavu neuropsihijatrijskih događaja i kažite im da obavijeste svog ljekara ukoliko se jave ove promjene u ponašanju.</w:t>
            </w:r>
          </w:p>
        </w:tc>
      </w:tr>
    </w:tbl>
    <w:p w14:paraId="5743BBB6" w14:textId="0302A14C" w:rsidR="002B4749" w:rsidRPr="00245459" w:rsidRDefault="002B4749" w:rsidP="005342F3">
      <w:pPr>
        <w:tabs>
          <w:tab w:val="left" w:pos="540"/>
          <w:tab w:val="left" w:pos="569"/>
        </w:tabs>
        <w:jc w:val="both"/>
        <w:rPr>
          <w:bCs/>
          <w:sz w:val="22"/>
          <w:szCs w:val="22"/>
          <w:lang w:val="sr-Latn-ME"/>
        </w:rPr>
      </w:pPr>
    </w:p>
    <w:p w14:paraId="2DCD4B60" w14:textId="68C87FBB" w:rsidR="00BF76CD" w:rsidRPr="00245459" w:rsidRDefault="00BF76CD" w:rsidP="00BF76CD">
      <w:pPr>
        <w:tabs>
          <w:tab w:val="left" w:pos="540"/>
          <w:tab w:val="left" w:pos="569"/>
        </w:tabs>
        <w:jc w:val="both"/>
        <w:rPr>
          <w:bCs/>
          <w:sz w:val="22"/>
          <w:szCs w:val="22"/>
          <w:lang w:val="sr-Latn-ME"/>
        </w:rPr>
      </w:pPr>
      <w:r w:rsidRPr="00245459">
        <w:rPr>
          <w:bCs/>
          <w:sz w:val="22"/>
          <w:szCs w:val="22"/>
          <w:u w:val="single"/>
          <w:lang w:val="sr-Latn-ME"/>
        </w:rPr>
        <w:t>Laktoza</w:t>
      </w:r>
    </w:p>
    <w:p w14:paraId="37D165E9" w14:textId="0CCFF178" w:rsidR="00BF76CD" w:rsidRPr="00245459" w:rsidRDefault="00BF76CD" w:rsidP="00BF76CD">
      <w:pPr>
        <w:tabs>
          <w:tab w:val="left" w:pos="540"/>
          <w:tab w:val="left" w:pos="569"/>
        </w:tabs>
        <w:jc w:val="both"/>
        <w:rPr>
          <w:bCs/>
          <w:sz w:val="22"/>
          <w:szCs w:val="22"/>
          <w:lang w:val="sr-Latn-ME"/>
        </w:rPr>
      </w:pPr>
      <w:r w:rsidRPr="00245459">
        <w:rPr>
          <w:bCs/>
          <w:sz w:val="22"/>
          <w:szCs w:val="22"/>
          <w:lang w:val="sr-Latn-ME"/>
        </w:rPr>
        <w:t>Pacijenti sa rijetkim naslednim oboljenjem intolerancije na galaktozu, nedostatkom laktaze ili glukozno-galaktoznom malapsorpcijom, ne smiju koristiti ovaj lijek.</w:t>
      </w:r>
    </w:p>
    <w:p w14:paraId="773F72C8" w14:textId="77777777" w:rsidR="00BF76CD" w:rsidRPr="00245459" w:rsidRDefault="00BF76CD" w:rsidP="00BF76CD">
      <w:pPr>
        <w:tabs>
          <w:tab w:val="left" w:pos="540"/>
          <w:tab w:val="left" w:pos="569"/>
        </w:tabs>
        <w:jc w:val="both"/>
        <w:rPr>
          <w:bCs/>
          <w:sz w:val="22"/>
          <w:szCs w:val="22"/>
          <w:lang w:val="sr-Latn-ME"/>
        </w:rPr>
      </w:pPr>
    </w:p>
    <w:p w14:paraId="58236C60" w14:textId="77777777" w:rsidR="00BF76CD" w:rsidRPr="00245459" w:rsidRDefault="00BF76CD" w:rsidP="00BF76CD">
      <w:pPr>
        <w:tabs>
          <w:tab w:val="left" w:pos="540"/>
          <w:tab w:val="left" w:pos="569"/>
        </w:tabs>
        <w:jc w:val="both"/>
        <w:rPr>
          <w:bCs/>
          <w:sz w:val="22"/>
          <w:szCs w:val="22"/>
          <w:u w:val="single"/>
          <w:lang w:val="sr-Latn-ME"/>
        </w:rPr>
      </w:pPr>
      <w:r w:rsidRPr="00245459">
        <w:rPr>
          <w:bCs/>
          <w:sz w:val="22"/>
          <w:szCs w:val="22"/>
          <w:u w:val="single"/>
          <w:lang w:val="sr-Latn-ME"/>
        </w:rPr>
        <w:t>Natrijum</w:t>
      </w:r>
    </w:p>
    <w:p w14:paraId="104EF46C" w14:textId="6ED90C96" w:rsidR="00A92A9F" w:rsidRPr="00245459" w:rsidRDefault="00BF76CD" w:rsidP="00BF76CD">
      <w:pPr>
        <w:tabs>
          <w:tab w:val="left" w:pos="540"/>
          <w:tab w:val="left" w:pos="569"/>
        </w:tabs>
        <w:jc w:val="both"/>
        <w:rPr>
          <w:bCs/>
          <w:sz w:val="22"/>
          <w:szCs w:val="22"/>
          <w:lang w:val="sr-Latn-ME"/>
        </w:rPr>
      </w:pPr>
      <w:r w:rsidRPr="00245459">
        <w:rPr>
          <w:bCs/>
          <w:sz w:val="22"/>
          <w:szCs w:val="22"/>
          <w:lang w:val="sr-Latn-ME"/>
        </w:rPr>
        <w:t xml:space="preserve">Ovaj lijek sadrži manje od 1 mmol (23 mg) natrijuma po tableti, odnosno suštinski je </w:t>
      </w:r>
      <w:r w:rsidR="00A92A9F" w:rsidRPr="00245459">
        <w:rPr>
          <w:bCs/>
          <w:sz w:val="22"/>
          <w:szCs w:val="22"/>
          <w:lang w:val="sr-Latn-ME"/>
        </w:rPr>
        <w:t>„</w:t>
      </w:r>
      <w:r w:rsidRPr="00245459">
        <w:rPr>
          <w:bCs/>
          <w:sz w:val="22"/>
          <w:szCs w:val="22"/>
          <w:lang w:val="sr-Latn-ME"/>
        </w:rPr>
        <w:t>bez natrijuma</w:t>
      </w:r>
      <w:r w:rsidR="00A92A9F" w:rsidRPr="00245459">
        <w:rPr>
          <w:bCs/>
          <w:sz w:val="22"/>
          <w:szCs w:val="22"/>
          <w:lang w:val="sr-Latn-ME"/>
        </w:rPr>
        <w:t>“</w:t>
      </w:r>
      <w:r w:rsidRPr="00245459">
        <w:rPr>
          <w:bCs/>
          <w:sz w:val="22"/>
          <w:szCs w:val="22"/>
          <w:lang w:val="sr-Latn-ME"/>
        </w:rPr>
        <w:t>.</w:t>
      </w:r>
    </w:p>
    <w:p w14:paraId="373EDA70" w14:textId="77777777" w:rsidR="00876776" w:rsidRPr="00245459" w:rsidRDefault="00876776" w:rsidP="005342F3">
      <w:pPr>
        <w:tabs>
          <w:tab w:val="left" w:pos="540"/>
          <w:tab w:val="left" w:pos="569"/>
        </w:tabs>
        <w:jc w:val="both"/>
        <w:rPr>
          <w:bCs/>
          <w:sz w:val="22"/>
          <w:szCs w:val="22"/>
          <w:lang w:val="sr-Latn-ME"/>
        </w:rPr>
      </w:pPr>
    </w:p>
    <w:p w14:paraId="654CAD99" w14:textId="331A096F" w:rsidR="00411B4B" w:rsidRPr="00245459" w:rsidRDefault="00411B4B" w:rsidP="005342F3">
      <w:pPr>
        <w:tabs>
          <w:tab w:val="left" w:pos="540"/>
          <w:tab w:val="left" w:pos="569"/>
        </w:tabs>
        <w:jc w:val="both"/>
        <w:rPr>
          <w:b/>
          <w:bCs/>
          <w:sz w:val="22"/>
          <w:szCs w:val="22"/>
          <w:lang w:val="sr-Latn-ME"/>
        </w:rPr>
      </w:pPr>
      <w:r w:rsidRPr="00245459">
        <w:rPr>
          <w:b/>
          <w:bCs/>
          <w:sz w:val="22"/>
          <w:szCs w:val="22"/>
          <w:lang w:val="sr-Latn-ME"/>
        </w:rPr>
        <w:t>4.5.</w:t>
      </w:r>
      <w:r w:rsidR="00A31F97" w:rsidRPr="00245459">
        <w:rPr>
          <w:b/>
          <w:bCs/>
          <w:sz w:val="22"/>
          <w:szCs w:val="22"/>
          <w:lang w:val="sr-Latn-ME"/>
        </w:rPr>
        <w:t xml:space="preserve"> </w:t>
      </w:r>
      <w:r w:rsidRPr="00245459">
        <w:rPr>
          <w:b/>
          <w:bCs/>
          <w:sz w:val="22"/>
          <w:szCs w:val="22"/>
          <w:lang w:val="sr-Latn-ME"/>
        </w:rPr>
        <w:t>Interakcije sa drugim ljekovima i druge vrste interakcija</w:t>
      </w:r>
    </w:p>
    <w:p w14:paraId="49ACAA2A" w14:textId="69F0E1CD" w:rsidR="0072020E" w:rsidRPr="00245459" w:rsidRDefault="0072020E" w:rsidP="005342F3">
      <w:pPr>
        <w:tabs>
          <w:tab w:val="left" w:pos="540"/>
          <w:tab w:val="left" w:pos="569"/>
        </w:tabs>
        <w:jc w:val="both"/>
        <w:rPr>
          <w:bCs/>
          <w:sz w:val="22"/>
          <w:szCs w:val="22"/>
          <w:lang w:val="sr-Latn-ME"/>
        </w:rPr>
      </w:pPr>
    </w:p>
    <w:p w14:paraId="59265012" w14:textId="34635063" w:rsidR="000D0C9F" w:rsidRPr="00245459" w:rsidRDefault="000D0C9F" w:rsidP="005342F3">
      <w:pPr>
        <w:jc w:val="both"/>
        <w:rPr>
          <w:sz w:val="22"/>
          <w:szCs w:val="22"/>
          <w:lang w:val="sr-Latn-ME"/>
        </w:rPr>
      </w:pPr>
      <w:r w:rsidRPr="00245459">
        <w:rPr>
          <w:sz w:val="22"/>
          <w:szCs w:val="22"/>
          <w:lang w:val="sr-Latn-ME"/>
        </w:rPr>
        <w:t xml:space="preserve">Montelukast se može </w:t>
      </w:r>
      <w:r w:rsidR="00EF5165" w:rsidRPr="00245459">
        <w:rPr>
          <w:sz w:val="22"/>
          <w:szCs w:val="22"/>
          <w:lang w:val="sr-Latn-ME"/>
        </w:rPr>
        <w:t xml:space="preserve">primjenjivati </w:t>
      </w:r>
      <w:r w:rsidRPr="00245459">
        <w:rPr>
          <w:sz w:val="22"/>
          <w:szCs w:val="22"/>
          <w:lang w:val="sr-Latn-ME"/>
        </w:rPr>
        <w:t xml:space="preserve">sa ostalim lijekovima </w:t>
      </w:r>
      <w:r w:rsidR="00EF5165" w:rsidRPr="00245459">
        <w:rPr>
          <w:sz w:val="22"/>
          <w:szCs w:val="22"/>
          <w:lang w:val="sr-Latn-ME"/>
        </w:rPr>
        <w:t xml:space="preserve">koji se rutinski koriste </w:t>
      </w:r>
      <w:r w:rsidRPr="00245459">
        <w:rPr>
          <w:sz w:val="22"/>
          <w:szCs w:val="22"/>
          <w:lang w:val="sr-Latn-ME"/>
        </w:rPr>
        <w:t>u profilaksi i hroničnom liječenju astme. U istraživanjima interakcija između lijekova, preporučena klinička doza montelukasta nije imala klinički značajne efekte na farmakokinetiku sljedećih ljekova: teofilina, prednizona, prednizolona, oralnih kontraceptiva (etinil estradiol/noretindron 35/1), terfenadina, digoksina i varfarina.</w:t>
      </w:r>
    </w:p>
    <w:p w14:paraId="2DDAB8B4" w14:textId="77777777" w:rsidR="000D0C9F" w:rsidRPr="00245459" w:rsidRDefault="000D0C9F" w:rsidP="005342F3">
      <w:pPr>
        <w:jc w:val="both"/>
        <w:rPr>
          <w:sz w:val="22"/>
          <w:szCs w:val="22"/>
          <w:lang w:val="sr-Latn-ME"/>
        </w:rPr>
      </w:pPr>
    </w:p>
    <w:p w14:paraId="3AEC9607" w14:textId="7B1A7FF6" w:rsidR="000D0C9F" w:rsidRPr="00245459" w:rsidRDefault="000D0C9F" w:rsidP="005342F3">
      <w:pPr>
        <w:jc w:val="both"/>
        <w:rPr>
          <w:sz w:val="22"/>
          <w:szCs w:val="22"/>
          <w:lang w:val="sr-Latn-ME"/>
        </w:rPr>
      </w:pPr>
      <w:r w:rsidRPr="00245459">
        <w:rPr>
          <w:sz w:val="22"/>
          <w:szCs w:val="22"/>
          <w:lang w:val="sr-Latn-ME"/>
        </w:rPr>
        <w:t>Površina ispod krive</w:t>
      </w:r>
      <w:r w:rsidR="0036081D" w:rsidRPr="00245459">
        <w:rPr>
          <w:sz w:val="22"/>
          <w:szCs w:val="22"/>
          <w:lang w:val="sr-Latn-ME"/>
        </w:rPr>
        <w:t xml:space="preserve"> </w:t>
      </w:r>
      <w:r w:rsidRPr="00245459">
        <w:rPr>
          <w:sz w:val="22"/>
          <w:szCs w:val="22"/>
          <w:lang w:val="sr-Latn-ME"/>
        </w:rPr>
        <w:t xml:space="preserve">(PIK) za montelukast </w:t>
      </w:r>
      <w:r w:rsidR="00EF5165" w:rsidRPr="00245459">
        <w:rPr>
          <w:sz w:val="22"/>
          <w:szCs w:val="22"/>
          <w:lang w:val="sr-Latn-ME"/>
        </w:rPr>
        <w:t xml:space="preserve">je </w:t>
      </w:r>
      <w:r w:rsidRPr="00245459">
        <w:rPr>
          <w:sz w:val="22"/>
          <w:szCs w:val="22"/>
          <w:lang w:val="sr-Latn-ME"/>
        </w:rPr>
        <w:t>smanj</w:t>
      </w:r>
      <w:r w:rsidR="00EF5165" w:rsidRPr="00245459">
        <w:rPr>
          <w:sz w:val="22"/>
          <w:szCs w:val="22"/>
          <w:lang w:val="sr-Latn-ME"/>
        </w:rPr>
        <w:t>ena</w:t>
      </w:r>
      <w:r w:rsidRPr="00245459">
        <w:rPr>
          <w:sz w:val="22"/>
          <w:szCs w:val="22"/>
          <w:lang w:val="sr-Latn-ME"/>
        </w:rPr>
        <w:t xml:space="preserve"> </w:t>
      </w:r>
      <w:r w:rsidR="00EF5165" w:rsidRPr="00245459">
        <w:rPr>
          <w:sz w:val="22"/>
          <w:szCs w:val="22"/>
          <w:lang w:val="sr-Latn-ME"/>
        </w:rPr>
        <w:t>za</w:t>
      </w:r>
      <w:r w:rsidRPr="00245459">
        <w:rPr>
          <w:sz w:val="22"/>
          <w:szCs w:val="22"/>
          <w:lang w:val="sr-Latn-ME"/>
        </w:rPr>
        <w:t xml:space="preserve"> o</w:t>
      </w:r>
      <w:r w:rsidR="00EF5165" w:rsidRPr="00245459">
        <w:rPr>
          <w:sz w:val="22"/>
          <w:szCs w:val="22"/>
          <w:lang w:val="sr-Latn-ME"/>
        </w:rPr>
        <w:t>ko</w:t>
      </w:r>
      <w:r w:rsidRPr="00245459">
        <w:rPr>
          <w:sz w:val="22"/>
          <w:szCs w:val="22"/>
          <w:lang w:val="sr-Latn-ME"/>
        </w:rPr>
        <w:t xml:space="preserve"> 40% kod </w:t>
      </w:r>
      <w:r w:rsidR="00EF5165" w:rsidRPr="00245459">
        <w:rPr>
          <w:sz w:val="22"/>
          <w:szCs w:val="22"/>
          <w:lang w:val="sr-Latn-ME"/>
        </w:rPr>
        <w:t xml:space="preserve">pacijenata </w:t>
      </w:r>
      <w:r w:rsidRPr="00245459">
        <w:rPr>
          <w:sz w:val="22"/>
          <w:szCs w:val="22"/>
          <w:lang w:val="sr-Latn-ME"/>
        </w:rPr>
        <w:t>koj</w:t>
      </w:r>
      <w:r w:rsidR="00EF5165" w:rsidRPr="00245459">
        <w:rPr>
          <w:sz w:val="22"/>
          <w:szCs w:val="22"/>
          <w:lang w:val="sr-Latn-ME"/>
        </w:rPr>
        <w:t>ima</w:t>
      </w:r>
      <w:r w:rsidRPr="00245459">
        <w:rPr>
          <w:sz w:val="22"/>
          <w:szCs w:val="22"/>
          <w:lang w:val="sr-Latn-ME"/>
        </w:rPr>
        <w:t xml:space="preserve"> s</w:t>
      </w:r>
      <w:r w:rsidR="00EF5165" w:rsidRPr="00245459">
        <w:rPr>
          <w:sz w:val="22"/>
          <w:szCs w:val="22"/>
          <w:lang w:val="sr-Latn-ME"/>
        </w:rPr>
        <w:t>e</w:t>
      </w:r>
      <w:r w:rsidRPr="00245459">
        <w:rPr>
          <w:sz w:val="22"/>
          <w:szCs w:val="22"/>
          <w:lang w:val="sr-Latn-ME"/>
        </w:rPr>
        <w:t xml:space="preserve"> istovremeno </w:t>
      </w:r>
      <w:r w:rsidR="00EF5165" w:rsidRPr="00245459">
        <w:rPr>
          <w:sz w:val="22"/>
          <w:szCs w:val="22"/>
          <w:lang w:val="sr-Latn-ME"/>
        </w:rPr>
        <w:t xml:space="preserve">daje </w:t>
      </w:r>
      <w:r w:rsidRPr="00245459">
        <w:rPr>
          <w:sz w:val="22"/>
          <w:szCs w:val="22"/>
          <w:lang w:val="sr-Latn-ME"/>
        </w:rPr>
        <w:t xml:space="preserve">fenobarbital. </w:t>
      </w:r>
      <w:r w:rsidR="009264CE" w:rsidRPr="00245459">
        <w:rPr>
          <w:sz w:val="22"/>
          <w:szCs w:val="22"/>
          <w:lang w:val="sr-Latn-ME"/>
        </w:rPr>
        <w:t xml:space="preserve">S obzirom na to da </w:t>
      </w:r>
      <w:r w:rsidRPr="00245459">
        <w:rPr>
          <w:sz w:val="22"/>
          <w:szCs w:val="22"/>
          <w:lang w:val="sr-Latn-ME"/>
        </w:rPr>
        <w:t xml:space="preserve">se montelukast metaboliše </w:t>
      </w:r>
      <w:r w:rsidR="009264CE" w:rsidRPr="00245459">
        <w:rPr>
          <w:sz w:val="22"/>
          <w:szCs w:val="22"/>
          <w:lang w:val="sr-Latn-ME"/>
        </w:rPr>
        <w:t xml:space="preserve">posredstvom </w:t>
      </w:r>
      <w:r w:rsidRPr="00245459">
        <w:rPr>
          <w:sz w:val="22"/>
          <w:szCs w:val="22"/>
          <w:lang w:val="sr-Latn-ME"/>
        </w:rPr>
        <w:t xml:space="preserve">CYP 3A4, 2C8 i 2C9, </w:t>
      </w:r>
      <w:r w:rsidR="009264CE" w:rsidRPr="00245459">
        <w:rPr>
          <w:sz w:val="22"/>
          <w:szCs w:val="22"/>
          <w:lang w:val="sr-Latn-ME"/>
        </w:rPr>
        <w:t xml:space="preserve">posebnu pažnju treba obratiti kod djece kod koje </w:t>
      </w:r>
      <w:r w:rsidRPr="00245459">
        <w:rPr>
          <w:sz w:val="22"/>
          <w:szCs w:val="22"/>
          <w:lang w:val="sr-Latn-ME"/>
        </w:rPr>
        <w:t xml:space="preserve">se montelukast daje </w:t>
      </w:r>
      <w:r w:rsidR="009264CE" w:rsidRPr="00245459">
        <w:rPr>
          <w:sz w:val="22"/>
          <w:szCs w:val="22"/>
          <w:lang w:val="sr-Latn-ME"/>
        </w:rPr>
        <w:t xml:space="preserve">uporedo </w:t>
      </w:r>
      <w:r w:rsidRPr="00245459">
        <w:rPr>
          <w:sz w:val="22"/>
          <w:szCs w:val="22"/>
          <w:lang w:val="sr-Latn-ME"/>
        </w:rPr>
        <w:t>sa induktorima CYP 3A4, 2C8 i 2C9 kao što su fenitoin, fenobarbital i rifampicin.</w:t>
      </w:r>
    </w:p>
    <w:p w14:paraId="775D73B1" w14:textId="77777777" w:rsidR="004C44B5" w:rsidRPr="00245459" w:rsidRDefault="004C44B5" w:rsidP="005342F3">
      <w:pPr>
        <w:jc w:val="both"/>
        <w:rPr>
          <w:i/>
          <w:sz w:val="22"/>
          <w:szCs w:val="22"/>
          <w:lang w:val="sr-Latn-ME"/>
        </w:rPr>
      </w:pPr>
    </w:p>
    <w:p w14:paraId="543F7E24" w14:textId="17C4C6AA" w:rsidR="000D0C9F" w:rsidRPr="00245459" w:rsidRDefault="009264CE" w:rsidP="005342F3">
      <w:pPr>
        <w:jc w:val="both"/>
        <w:rPr>
          <w:sz w:val="22"/>
          <w:szCs w:val="22"/>
          <w:lang w:val="sr-Latn-ME"/>
        </w:rPr>
      </w:pPr>
      <w:r w:rsidRPr="00245459">
        <w:rPr>
          <w:i/>
          <w:sz w:val="22"/>
          <w:szCs w:val="22"/>
          <w:lang w:val="sr-Latn-ME"/>
        </w:rPr>
        <w:t>I</w:t>
      </w:r>
      <w:r w:rsidR="000D0C9F" w:rsidRPr="00245459">
        <w:rPr>
          <w:i/>
          <w:sz w:val="22"/>
          <w:szCs w:val="22"/>
          <w:lang w:val="sr-Latn-ME"/>
        </w:rPr>
        <w:t>n vitro</w:t>
      </w:r>
      <w:r w:rsidRPr="00245459">
        <w:rPr>
          <w:i/>
          <w:sz w:val="22"/>
          <w:szCs w:val="22"/>
          <w:lang w:val="sr-Latn-ME"/>
        </w:rPr>
        <w:t xml:space="preserve"> </w:t>
      </w:r>
      <w:r w:rsidRPr="00245459">
        <w:rPr>
          <w:iCs/>
          <w:sz w:val="22"/>
          <w:szCs w:val="22"/>
          <w:lang w:val="sr-Latn-ME"/>
        </w:rPr>
        <w:t>studije</w:t>
      </w:r>
      <w:r w:rsidR="000D0C9F" w:rsidRPr="00245459">
        <w:rPr>
          <w:sz w:val="22"/>
          <w:szCs w:val="22"/>
          <w:lang w:val="sr-Latn-ME"/>
        </w:rPr>
        <w:t xml:space="preserve"> su pokazal</w:t>
      </w:r>
      <w:r w:rsidRPr="00245459">
        <w:rPr>
          <w:sz w:val="22"/>
          <w:szCs w:val="22"/>
          <w:lang w:val="sr-Latn-ME"/>
        </w:rPr>
        <w:t>e</w:t>
      </w:r>
      <w:r w:rsidR="000D0C9F" w:rsidRPr="00245459">
        <w:rPr>
          <w:sz w:val="22"/>
          <w:szCs w:val="22"/>
          <w:lang w:val="sr-Latn-ME"/>
        </w:rPr>
        <w:t xml:space="preserve"> da je montelukast snažan inhibitor</w:t>
      </w:r>
      <w:r w:rsidRPr="00245459">
        <w:rPr>
          <w:sz w:val="22"/>
          <w:szCs w:val="22"/>
          <w:lang w:val="sr-Latn-ME"/>
        </w:rPr>
        <w:t xml:space="preserve"> enzima</w:t>
      </w:r>
      <w:r w:rsidR="000D0C9F" w:rsidRPr="00245459">
        <w:rPr>
          <w:sz w:val="22"/>
          <w:szCs w:val="22"/>
          <w:lang w:val="sr-Latn-ME"/>
        </w:rPr>
        <w:t xml:space="preserve"> CYP 2C8. Međutim, podaci </w:t>
      </w:r>
      <w:r w:rsidRPr="00245459">
        <w:rPr>
          <w:sz w:val="22"/>
          <w:szCs w:val="22"/>
          <w:lang w:val="sr-Latn-ME"/>
        </w:rPr>
        <w:t xml:space="preserve">o kliničkoj interakciji ljekova koji se odnose na </w:t>
      </w:r>
      <w:r w:rsidR="000D0C9F" w:rsidRPr="00245459">
        <w:rPr>
          <w:sz w:val="22"/>
          <w:szCs w:val="22"/>
          <w:lang w:val="sr-Latn-ME"/>
        </w:rPr>
        <w:t>montelukast i rosiglitiazon (</w:t>
      </w:r>
      <w:r w:rsidRPr="00245459">
        <w:rPr>
          <w:sz w:val="22"/>
          <w:szCs w:val="22"/>
          <w:lang w:val="sr-Latn-ME"/>
        </w:rPr>
        <w:t xml:space="preserve">predstavnik ljekova </w:t>
      </w:r>
      <w:r w:rsidR="000D0C9F" w:rsidRPr="00245459">
        <w:rPr>
          <w:color w:val="000000"/>
          <w:sz w:val="22"/>
          <w:szCs w:val="22"/>
          <w:lang w:val="sr-Latn-ME"/>
        </w:rPr>
        <w:t>koji se metaboliš</w:t>
      </w:r>
      <w:r w:rsidRPr="00245459">
        <w:rPr>
          <w:color w:val="000000"/>
          <w:sz w:val="22"/>
          <w:szCs w:val="22"/>
          <w:lang w:val="sr-Latn-ME"/>
        </w:rPr>
        <w:t>u</w:t>
      </w:r>
      <w:r w:rsidR="000D0C9F" w:rsidRPr="00245459">
        <w:rPr>
          <w:color w:val="000000"/>
          <w:sz w:val="22"/>
          <w:szCs w:val="22"/>
          <w:lang w:val="sr-Latn-ME"/>
        </w:rPr>
        <w:t xml:space="preserve"> </w:t>
      </w:r>
      <w:r w:rsidRPr="00245459">
        <w:rPr>
          <w:color w:val="000000"/>
          <w:sz w:val="22"/>
          <w:szCs w:val="22"/>
          <w:lang w:val="sr-Latn-ME"/>
        </w:rPr>
        <w:t xml:space="preserve">posredstvom </w:t>
      </w:r>
      <w:r w:rsidR="000D0C9F" w:rsidRPr="00245459">
        <w:rPr>
          <w:color w:val="000000"/>
          <w:sz w:val="22"/>
          <w:szCs w:val="22"/>
          <w:lang w:val="sr-Latn-ME"/>
        </w:rPr>
        <w:t>CYP 2C8</w:t>
      </w:r>
      <w:r w:rsidR="000D0C9F" w:rsidRPr="00245459">
        <w:rPr>
          <w:sz w:val="22"/>
          <w:szCs w:val="22"/>
          <w:lang w:val="sr-Latn-ME"/>
        </w:rPr>
        <w:t xml:space="preserve">) pokazali su </w:t>
      </w:r>
      <w:r w:rsidR="000D0C9F" w:rsidRPr="00245459">
        <w:rPr>
          <w:color w:val="000000"/>
          <w:sz w:val="22"/>
          <w:szCs w:val="22"/>
          <w:lang w:val="sr-Latn-ME"/>
        </w:rPr>
        <w:t xml:space="preserve">da montelukast ne inhibira </w:t>
      </w:r>
      <w:r w:rsidR="000D0C9F" w:rsidRPr="00245459">
        <w:rPr>
          <w:sz w:val="22"/>
          <w:szCs w:val="22"/>
          <w:lang w:val="sr-Latn-ME"/>
        </w:rPr>
        <w:t>CYP 2C8</w:t>
      </w:r>
      <w:r w:rsidRPr="00245459">
        <w:rPr>
          <w:sz w:val="22"/>
          <w:szCs w:val="22"/>
          <w:lang w:val="sr-Latn-ME"/>
        </w:rPr>
        <w:t xml:space="preserve"> </w:t>
      </w:r>
      <w:r w:rsidRPr="00245459">
        <w:rPr>
          <w:i/>
          <w:iCs/>
          <w:sz w:val="22"/>
          <w:szCs w:val="22"/>
          <w:lang w:val="sr-Latn-ME"/>
        </w:rPr>
        <w:t>in vivo</w:t>
      </w:r>
      <w:r w:rsidR="000D0C9F" w:rsidRPr="00245459">
        <w:rPr>
          <w:i/>
          <w:sz w:val="22"/>
          <w:szCs w:val="22"/>
          <w:lang w:val="sr-Latn-ME"/>
        </w:rPr>
        <w:t>.</w:t>
      </w:r>
      <w:r w:rsidR="000D0C9F" w:rsidRPr="00245459">
        <w:rPr>
          <w:sz w:val="22"/>
          <w:szCs w:val="22"/>
          <w:lang w:val="sr-Latn-ME"/>
        </w:rPr>
        <w:t xml:space="preserve"> Zbog toga se ne očekuje da</w:t>
      </w:r>
      <w:r w:rsidRPr="00245459">
        <w:rPr>
          <w:sz w:val="22"/>
          <w:szCs w:val="22"/>
          <w:lang w:val="sr-Latn-ME"/>
        </w:rPr>
        <w:t xml:space="preserve"> će</w:t>
      </w:r>
      <w:r w:rsidR="000D0C9F" w:rsidRPr="00245459">
        <w:rPr>
          <w:sz w:val="22"/>
          <w:szCs w:val="22"/>
          <w:lang w:val="sr-Latn-ME"/>
        </w:rPr>
        <w:t xml:space="preserve"> montelukast značajno da </w:t>
      </w:r>
      <w:r w:rsidRPr="00245459">
        <w:rPr>
          <w:sz w:val="22"/>
          <w:szCs w:val="22"/>
          <w:lang w:val="sr-Latn-ME"/>
        </w:rPr>
        <w:t xml:space="preserve">utiče na </w:t>
      </w:r>
      <w:r w:rsidR="000D0C9F" w:rsidRPr="00245459">
        <w:rPr>
          <w:sz w:val="22"/>
          <w:szCs w:val="22"/>
          <w:lang w:val="sr-Latn-ME"/>
        </w:rPr>
        <w:t xml:space="preserve">metabolizam ljekova </w:t>
      </w:r>
      <w:r w:rsidRPr="00245459">
        <w:rPr>
          <w:sz w:val="22"/>
          <w:szCs w:val="22"/>
          <w:lang w:val="sr-Latn-ME"/>
        </w:rPr>
        <w:t xml:space="preserve">u čijem metabolizmu učestvuje novaj enzim </w:t>
      </w:r>
      <w:r w:rsidR="000D0C9F" w:rsidRPr="00245459">
        <w:rPr>
          <w:sz w:val="22"/>
          <w:szCs w:val="22"/>
          <w:lang w:val="sr-Latn-ME"/>
        </w:rPr>
        <w:t>(n</w:t>
      </w:r>
      <w:r w:rsidRPr="00245459">
        <w:rPr>
          <w:sz w:val="22"/>
          <w:szCs w:val="22"/>
          <w:lang w:val="sr-Latn-ME"/>
        </w:rPr>
        <w:t xml:space="preserve">pr. </w:t>
      </w:r>
      <w:r w:rsidR="000D0C9F" w:rsidRPr="00245459">
        <w:rPr>
          <w:sz w:val="22"/>
          <w:szCs w:val="22"/>
          <w:lang w:val="sr-Latn-ME"/>
        </w:rPr>
        <w:t xml:space="preserve">paklitaksel, rosiglitiazon i repaglinid).  </w:t>
      </w:r>
    </w:p>
    <w:p w14:paraId="22D7025F" w14:textId="77777777" w:rsidR="000D0C9F" w:rsidRPr="00245459" w:rsidRDefault="000D0C9F" w:rsidP="005342F3">
      <w:pPr>
        <w:jc w:val="both"/>
        <w:rPr>
          <w:sz w:val="22"/>
          <w:szCs w:val="22"/>
          <w:lang w:val="sr-Latn-ME"/>
        </w:rPr>
      </w:pPr>
    </w:p>
    <w:p w14:paraId="2D82C171" w14:textId="5CCAA481" w:rsidR="000D0C9F" w:rsidRPr="00245459" w:rsidRDefault="009264CE" w:rsidP="005342F3">
      <w:pPr>
        <w:tabs>
          <w:tab w:val="center" w:pos="4536"/>
          <w:tab w:val="right" w:pos="9072"/>
        </w:tabs>
        <w:jc w:val="both"/>
        <w:rPr>
          <w:sz w:val="22"/>
          <w:szCs w:val="22"/>
          <w:lang w:val="sr-Latn-ME"/>
        </w:rPr>
      </w:pPr>
      <w:r w:rsidRPr="00245459">
        <w:rPr>
          <w:i/>
          <w:sz w:val="22"/>
          <w:szCs w:val="22"/>
          <w:lang w:val="sr-Latn-ME"/>
        </w:rPr>
        <w:t>I</w:t>
      </w:r>
      <w:r w:rsidR="000D0C9F" w:rsidRPr="00245459">
        <w:rPr>
          <w:i/>
          <w:sz w:val="22"/>
          <w:szCs w:val="22"/>
          <w:lang w:val="sr-Latn-ME"/>
        </w:rPr>
        <w:t>n vitro</w:t>
      </w:r>
      <w:r w:rsidR="000D0C9F" w:rsidRPr="00245459">
        <w:rPr>
          <w:sz w:val="22"/>
          <w:szCs w:val="22"/>
          <w:lang w:val="sr-Latn-ME"/>
        </w:rPr>
        <w:t xml:space="preserve"> </w:t>
      </w:r>
      <w:r w:rsidRPr="00245459">
        <w:rPr>
          <w:sz w:val="22"/>
          <w:szCs w:val="22"/>
          <w:lang w:val="sr-Latn-ME"/>
        </w:rPr>
        <w:t xml:space="preserve">studije </w:t>
      </w:r>
      <w:r w:rsidR="000D0C9F" w:rsidRPr="00245459">
        <w:rPr>
          <w:sz w:val="22"/>
          <w:szCs w:val="22"/>
          <w:lang w:val="sr-Latn-ME"/>
        </w:rPr>
        <w:t>su pokazal</w:t>
      </w:r>
      <w:r w:rsidRPr="00245459">
        <w:rPr>
          <w:sz w:val="22"/>
          <w:szCs w:val="22"/>
          <w:lang w:val="sr-Latn-ME"/>
        </w:rPr>
        <w:t>e</w:t>
      </w:r>
      <w:r w:rsidR="000D0C9F" w:rsidRPr="00245459">
        <w:rPr>
          <w:sz w:val="22"/>
          <w:szCs w:val="22"/>
          <w:lang w:val="sr-Latn-ME"/>
        </w:rPr>
        <w:t xml:space="preserve"> da je montelukast supstrat enzima CYP 2C8, a u manj</w:t>
      </w:r>
      <w:r w:rsidRPr="00245459">
        <w:rPr>
          <w:sz w:val="22"/>
          <w:szCs w:val="22"/>
          <w:lang w:val="sr-Latn-ME"/>
        </w:rPr>
        <w:t>oj</w:t>
      </w:r>
      <w:r w:rsidR="000D0C9F" w:rsidRPr="00245459">
        <w:rPr>
          <w:sz w:val="22"/>
          <w:szCs w:val="22"/>
          <w:lang w:val="sr-Latn-ME"/>
        </w:rPr>
        <w:t xml:space="preserve"> </w:t>
      </w:r>
      <w:r w:rsidRPr="00245459">
        <w:rPr>
          <w:sz w:val="22"/>
          <w:szCs w:val="22"/>
          <w:lang w:val="sr-Latn-ME"/>
        </w:rPr>
        <w:t xml:space="preserve"> </w:t>
      </w:r>
      <w:r w:rsidR="000D0C9F" w:rsidRPr="00245459">
        <w:rPr>
          <w:sz w:val="22"/>
          <w:szCs w:val="22"/>
          <w:lang w:val="sr-Latn-ME"/>
        </w:rPr>
        <w:t>mjeri i enzima 2C9 i 3A4. U kliničko</w:t>
      </w:r>
      <w:r w:rsidRPr="00245459">
        <w:rPr>
          <w:sz w:val="22"/>
          <w:szCs w:val="22"/>
          <w:lang w:val="sr-Latn-ME"/>
        </w:rPr>
        <w:t>m</w:t>
      </w:r>
      <w:r w:rsidR="000D0C9F" w:rsidRPr="00245459">
        <w:rPr>
          <w:sz w:val="22"/>
          <w:szCs w:val="22"/>
          <w:lang w:val="sr-Latn-ME"/>
        </w:rPr>
        <w:t xml:space="preserve"> </w:t>
      </w:r>
      <w:r w:rsidRPr="00245459">
        <w:rPr>
          <w:sz w:val="22"/>
          <w:szCs w:val="22"/>
          <w:lang w:val="sr-Latn-ME"/>
        </w:rPr>
        <w:t xml:space="preserve">ispitivanju </w:t>
      </w:r>
      <w:r w:rsidR="000D0C9F" w:rsidRPr="00245459">
        <w:rPr>
          <w:sz w:val="22"/>
          <w:szCs w:val="22"/>
          <w:lang w:val="sr-Latn-ME"/>
        </w:rPr>
        <w:t>interakcija</w:t>
      </w:r>
      <w:r w:rsidRPr="00245459">
        <w:rPr>
          <w:sz w:val="22"/>
          <w:szCs w:val="22"/>
          <w:lang w:val="sr-Latn-ME"/>
        </w:rPr>
        <w:t xml:space="preserve"> ljekova,</w:t>
      </w:r>
      <w:r w:rsidR="000D0C9F" w:rsidRPr="00245459">
        <w:rPr>
          <w:sz w:val="22"/>
          <w:szCs w:val="22"/>
          <w:lang w:val="sr-Latn-ME"/>
        </w:rPr>
        <w:t xml:space="preserve"> u kojoj su ispitivani montelukast i gemfibrozil (inhibitor i CYP 2C8 i 2C9), gemfibrozil je povećao sistemsku izloženost montelukastu 4,4 puta. </w:t>
      </w:r>
      <w:r w:rsidRPr="00245459">
        <w:rPr>
          <w:sz w:val="22"/>
          <w:szCs w:val="22"/>
          <w:lang w:val="sr-Latn-ME"/>
        </w:rPr>
        <w:t>Pri istovremenoj primjeni sa gemfibrozilom ili drugim snažnim inhibitorima CYP 2C8, n</w:t>
      </w:r>
      <w:r w:rsidR="000D0C9F" w:rsidRPr="00245459">
        <w:rPr>
          <w:sz w:val="22"/>
          <w:szCs w:val="22"/>
          <w:lang w:val="sr-Latn-ME"/>
        </w:rPr>
        <w:t>ije potrebno prilagođav</w:t>
      </w:r>
      <w:r w:rsidRPr="00245459">
        <w:rPr>
          <w:sz w:val="22"/>
          <w:szCs w:val="22"/>
          <w:lang w:val="sr-Latn-ME"/>
        </w:rPr>
        <w:t xml:space="preserve">ati </w:t>
      </w:r>
      <w:r w:rsidR="000D0C9F" w:rsidRPr="00245459">
        <w:rPr>
          <w:sz w:val="22"/>
          <w:szCs w:val="22"/>
          <w:lang w:val="sr-Latn-ME"/>
        </w:rPr>
        <w:t xml:space="preserve"> </w:t>
      </w:r>
      <w:r w:rsidR="0094589D" w:rsidRPr="00245459">
        <w:rPr>
          <w:sz w:val="22"/>
          <w:szCs w:val="22"/>
          <w:lang w:val="sr-Latn-ME"/>
        </w:rPr>
        <w:t xml:space="preserve">uobičajenu </w:t>
      </w:r>
      <w:r w:rsidR="000D0C9F" w:rsidRPr="00245459">
        <w:rPr>
          <w:sz w:val="22"/>
          <w:szCs w:val="22"/>
          <w:lang w:val="sr-Latn-ME"/>
        </w:rPr>
        <w:t>doz</w:t>
      </w:r>
      <w:r w:rsidRPr="00245459">
        <w:rPr>
          <w:sz w:val="22"/>
          <w:szCs w:val="22"/>
          <w:lang w:val="sr-Latn-ME"/>
        </w:rPr>
        <w:t>u</w:t>
      </w:r>
      <w:r w:rsidR="000D0C9F" w:rsidRPr="00245459">
        <w:rPr>
          <w:sz w:val="22"/>
          <w:szCs w:val="22"/>
          <w:lang w:val="sr-Latn-ME"/>
        </w:rPr>
        <w:t xml:space="preserve"> montelukasta, ali ljekar treba da </w:t>
      </w:r>
      <w:r w:rsidR="0094589D" w:rsidRPr="00245459">
        <w:rPr>
          <w:sz w:val="22"/>
          <w:szCs w:val="22"/>
          <w:lang w:val="sr-Latn-ME"/>
        </w:rPr>
        <w:t xml:space="preserve">ima na umu </w:t>
      </w:r>
      <w:r w:rsidR="000D0C9F" w:rsidRPr="00245459">
        <w:rPr>
          <w:sz w:val="22"/>
          <w:szCs w:val="22"/>
          <w:lang w:val="sr-Latn-ME"/>
        </w:rPr>
        <w:t xml:space="preserve">mogućnost povećanja </w:t>
      </w:r>
      <w:r w:rsidR="0094589D" w:rsidRPr="00245459">
        <w:rPr>
          <w:sz w:val="22"/>
          <w:szCs w:val="22"/>
          <w:lang w:val="sr-Latn-ME"/>
        </w:rPr>
        <w:t xml:space="preserve">ispoljavanja </w:t>
      </w:r>
      <w:r w:rsidR="000D0C9F" w:rsidRPr="00245459">
        <w:rPr>
          <w:sz w:val="22"/>
          <w:szCs w:val="22"/>
          <w:lang w:val="sr-Latn-ME"/>
        </w:rPr>
        <w:t xml:space="preserve">neželjenih reakcija. </w:t>
      </w:r>
    </w:p>
    <w:p w14:paraId="0185B681" w14:textId="77777777" w:rsidR="004C44B5" w:rsidRPr="00245459" w:rsidRDefault="004C44B5" w:rsidP="005342F3">
      <w:pPr>
        <w:tabs>
          <w:tab w:val="center" w:pos="4536"/>
          <w:tab w:val="right" w:pos="9072"/>
        </w:tabs>
        <w:jc w:val="both"/>
        <w:rPr>
          <w:sz w:val="22"/>
          <w:szCs w:val="22"/>
          <w:lang w:val="sr-Latn-ME"/>
        </w:rPr>
      </w:pPr>
    </w:p>
    <w:p w14:paraId="0C43D81B" w14:textId="1F725DD0" w:rsidR="000D0C9F" w:rsidRPr="00245459" w:rsidRDefault="000D0C9F" w:rsidP="005342F3">
      <w:pPr>
        <w:tabs>
          <w:tab w:val="center" w:pos="4536"/>
          <w:tab w:val="right" w:pos="9072"/>
        </w:tabs>
        <w:jc w:val="both"/>
        <w:rPr>
          <w:sz w:val="22"/>
          <w:szCs w:val="22"/>
          <w:lang w:val="sr-Latn-ME"/>
        </w:rPr>
      </w:pPr>
      <w:r w:rsidRPr="00245459">
        <w:rPr>
          <w:sz w:val="22"/>
          <w:szCs w:val="22"/>
          <w:lang w:val="sr-Latn-ME"/>
        </w:rPr>
        <w:t xml:space="preserve">Na osnovu </w:t>
      </w:r>
      <w:r w:rsidRPr="00245459">
        <w:rPr>
          <w:i/>
          <w:sz w:val="22"/>
          <w:szCs w:val="22"/>
          <w:lang w:val="sr-Latn-ME"/>
        </w:rPr>
        <w:t>in vitro</w:t>
      </w:r>
      <w:r w:rsidRPr="00245459">
        <w:rPr>
          <w:sz w:val="22"/>
          <w:szCs w:val="22"/>
          <w:lang w:val="sr-Latn-ME"/>
        </w:rPr>
        <w:t xml:space="preserve"> podataka, ne očekuju se klinički značajne interakcije sa manje potentnim inhibitorima CYP 2C8 (npr. trimetoprim). Prilikom istovremene primjene montelukasta sa itrakonazolom, </w:t>
      </w:r>
      <w:r w:rsidR="0094589D" w:rsidRPr="00245459">
        <w:rPr>
          <w:sz w:val="22"/>
          <w:szCs w:val="22"/>
          <w:lang w:val="sr-Latn-ME"/>
        </w:rPr>
        <w:t xml:space="preserve">snažnim </w:t>
      </w:r>
      <w:r w:rsidRPr="00245459">
        <w:rPr>
          <w:sz w:val="22"/>
          <w:szCs w:val="22"/>
          <w:lang w:val="sr-Latn-ME"/>
        </w:rPr>
        <w:t>inhibitorom CYP 3A4, nije došlo do značajnog povećanja sistems</w:t>
      </w:r>
      <w:r w:rsidR="004508E2" w:rsidRPr="00245459">
        <w:rPr>
          <w:sz w:val="22"/>
          <w:szCs w:val="22"/>
          <w:lang w:val="sr-Latn-ME"/>
        </w:rPr>
        <w:t>k</w:t>
      </w:r>
      <w:r w:rsidRPr="00245459">
        <w:rPr>
          <w:sz w:val="22"/>
          <w:szCs w:val="22"/>
          <w:lang w:val="sr-Latn-ME"/>
        </w:rPr>
        <w:t>e izloženosti montelukastu.</w:t>
      </w:r>
    </w:p>
    <w:p w14:paraId="59136C15" w14:textId="77777777" w:rsidR="000D0C9F" w:rsidRPr="00245459" w:rsidRDefault="000D0C9F" w:rsidP="005342F3">
      <w:pPr>
        <w:tabs>
          <w:tab w:val="left" w:pos="540"/>
          <w:tab w:val="left" w:pos="569"/>
        </w:tabs>
        <w:jc w:val="both"/>
        <w:rPr>
          <w:bCs/>
          <w:sz w:val="22"/>
          <w:szCs w:val="22"/>
          <w:lang w:val="sr-Latn-ME"/>
        </w:rPr>
      </w:pPr>
    </w:p>
    <w:p w14:paraId="0008DB90" w14:textId="77777777" w:rsidR="0072020E" w:rsidRPr="00245459" w:rsidRDefault="0072020E" w:rsidP="005342F3">
      <w:pPr>
        <w:tabs>
          <w:tab w:val="left" w:pos="540"/>
          <w:tab w:val="left" w:pos="569"/>
        </w:tabs>
        <w:jc w:val="both"/>
        <w:rPr>
          <w:b/>
          <w:sz w:val="22"/>
          <w:szCs w:val="22"/>
          <w:lang w:val="sr-Latn-ME"/>
        </w:rPr>
      </w:pPr>
      <w:r w:rsidRPr="00245459">
        <w:rPr>
          <w:b/>
          <w:bCs/>
          <w:sz w:val="22"/>
          <w:szCs w:val="22"/>
          <w:lang w:val="sr-Latn-ME"/>
        </w:rPr>
        <w:t xml:space="preserve">4.6. </w:t>
      </w:r>
      <w:r w:rsidR="00480FB1" w:rsidRPr="00245459">
        <w:rPr>
          <w:b/>
          <w:bCs/>
          <w:sz w:val="22"/>
          <w:szCs w:val="22"/>
          <w:lang w:val="sr-Latn-ME"/>
        </w:rPr>
        <w:tab/>
      </w:r>
      <w:r w:rsidR="006D20A5" w:rsidRPr="00245459">
        <w:rPr>
          <w:b/>
          <w:sz w:val="22"/>
          <w:szCs w:val="22"/>
          <w:lang w:val="sr-Latn-ME"/>
        </w:rPr>
        <w:t>Plodnost, trudnoća i dojenje</w:t>
      </w:r>
    </w:p>
    <w:p w14:paraId="6EDBCFAB" w14:textId="77777777" w:rsidR="002031B3" w:rsidRPr="00245459" w:rsidRDefault="002031B3" w:rsidP="005342F3">
      <w:pPr>
        <w:tabs>
          <w:tab w:val="left" w:pos="540"/>
          <w:tab w:val="left" w:pos="569"/>
        </w:tabs>
        <w:jc w:val="both"/>
        <w:rPr>
          <w:sz w:val="22"/>
          <w:szCs w:val="22"/>
          <w:u w:val="single"/>
          <w:lang w:val="sr-Latn-ME"/>
        </w:rPr>
      </w:pPr>
    </w:p>
    <w:p w14:paraId="0980829F" w14:textId="77777777" w:rsidR="007A3ECB" w:rsidRPr="00245459" w:rsidRDefault="007A3ECB" w:rsidP="005342F3">
      <w:pPr>
        <w:tabs>
          <w:tab w:val="left" w:pos="540"/>
          <w:tab w:val="left" w:pos="569"/>
        </w:tabs>
        <w:jc w:val="both"/>
        <w:rPr>
          <w:sz w:val="22"/>
          <w:szCs w:val="22"/>
          <w:u w:val="single"/>
          <w:lang w:val="sr-Latn-ME"/>
        </w:rPr>
      </w:pPr>
      <w:r w:rsidRPr="00245459">
        <w:rPr>
          <w:sz w:val="22"/>
          <w:szCs w:val="22"/>
          <w:u w:val="single"/>
          <w:lang w:val="sr-Latn-ME"/>
        </w:rPr>
        <w:t>Trudnoća</w:t>
      </w:r>
    </w:p>
    <w:p w14:paraId="5FBCAE87" w14:textId="77777777" w:rsidR="000D0C9F" w:rsidRPr="00245459" w:rsidRDefault="000D0C9F">
      <w:pPr>
        <w:jc w:val="both"/>
        <w:rPr>
          <w:sz w:val="22"/>
          <w:szCs w:val="22"/>
          <w:lang w:val="sr-Latn-ME"/>
        </w:rPr>
      </w:pPr>
      <w:r w:rsidRPr="00245459">
        <w:rPr>
          <w:sz w:val="22"/>
          <w:szCs w:val="22"/>
          <w:lang w:val="sr-Latn-ME"/>
        </w:rPr>
        <w:t>Ispitivanja na životinjama nijesu pokazala štetno dejstvo lijeka u trudnoći niti štetan efekat na razvoj embriona/fetusa.</w:t>
      </w:r>
    </w:p>
    <w:p w14:paraId="37042A89" w14:textId="1EB1C7BD" w:rsidR="00D613BC" w:rsidRPr="00956DB3" w:rsidRDefault="00E43E19" w:rsidP="00E43E19">
      <w:pPr>
        <w:jc w:val="both"/>
        <w:rPr>
          <w:spacing w:val="-1"/>
          <w:sz w:val="22"/>
          <w:szCs w:val="22"/>
          <w:lang w:val="sr-Latn-ME"/>
        </w:rPr>
      </w:pPr>
      <w:r w:rsidRPr="00956DB3">
        <w:rPr>
          <w:spacing w:val="-1"/>
          <w:sz w:val="22"/>
          <w:szCs w:val="22"/>
          <w:lang w:val="sr-Latn-ME"/>
        </w:rPr>
        <w:t>P</w:t>
      </w:r>
      <w:r w:rsidR="00D613BC" w:rsidRPr="00956DB3">
        <w:rPr>
          <w:spacing w:val="-1"/>
          <w:sz w:val="22"/>
          <w:szCs w:val="22"/>
          <w:lang w:val="sr-Latn-ME"/>
        </w:rPr>
        <w:t>rospektivn</w:t>
      </w:r>
      <w:r w:rsidRPr="00956DB3">
        <w:rPr>
          <w:spacing w:val="-1"/>
          <w:sz w:val="22"/>
          <w:szCs w:val="22"/>
          <w:lang w:val="sr-Latn-ME"/>
        </w:rPr>
        <w:t>e</w:t>
      </w:r>
      <w:r w:rsidR="00D613BC" w:rsidRPr="00956DB3">
        <w:rPr>
          <w:spacing w:val="-1"/>
          <w:sz w:val="22"/>
          <w:szCs w:val="22"/>
          <w:lang w:val="sr-Latn-ME"/>
        </w:rPr>
        <w:t xml:space="preserve"> i retrospektivn</w:t>
      </w:r>
      <w:r w:rsidRPr="00956DB3">
        <w:rPr>
          <w:spacing w:val="-1"/>
          <w:sz w:val="22"/>
          <w:szCs w:val="22"/>
          <w:lang w:val="sr-Latn-ME"/>
        </w:rPr>
        <w:t>e</w:t>
      </w:r>
      <w:r w:rsidR="00D613BC" w:rsidRPr="00956DB3">
        <w:rPr>
          <w:spacing w:val="-1"/>
          <w:sz w:val="22"/>
          <w:szCs w:val="22"/>
          <w:lang w:val="sr-Latn-ME"/>
        </w:rPr>
        <w:t xml:space="preserve"> kohortn</w:t>
      </w:r>
      <w:r w:rsidRPr="00956DB3">
        <w:rPr>
          <w:spacing w:val="-1"/>
          <w:sz w:val="22"/>
          <w:szCs w:val="22"/>
          <w:lang w:val="sr-Latn-ME"/>
        </w:rPr>
        <w:t>e</w:t>
      </w:r>
      <w:r w:rsidR="00D613BC" w:rsidRPr="00956DB3">
        <w:rPr>
          <w:spacing w:val="-1"/>
          <w:sz w:val="22"/>
          <w:szCs w:val="22"/>
          <w:lang w:val="sr-Latn-ME"/>
        </w:rPr>
        <w:t xml:space="preserve"> studij</w:t>
      </w:r>
      <w:r w:rsidRPr="00956DB3">
        <w:rPr>
          <w:spacing w:val="-1"/>
          <w:sz w:val="22"/>
          <w:szCs w:val="22"/>
          <w:lang w:val="sr-Latn-ME"/>
        </w:rPr>
        <w:t>e</w:t>
      </w:r>
      <w:r w:rsidR="00D613BC" w:rsidRPr="00956DB3">
        <w:rPr>
          <w:spacing w:val="-1"/>
          <w:sz w:val="22"/>
          <w:szCs w:val="22"/>
          <w:lang w:val="sr-Latn-ME"/>
        </w:rPr>
        <w:t xml:space="preserve"> </w:t>
      </w:r>
      <w:r w:rsidRPr="00956DB3">
        <w:rPr>
          <w:spacing w:val="-1"/>
          <w:sz w:val="22"/>
          <w:szCs w:val="22"/>
          <w:lang w:val="sr-Latn-ME"/>
        </w:rPr>
        <w:t xml:space="preserve">primjene </w:t>
      </w:r>
      <w:r w:rsidR="00D613BC" w:rsidRPr="00956DB3">
        <w:rPr>
          <w:spacing w:val="-1"/>
          <w:sz w:val="22"/>
          <w:szCs w:val="22"/>
          <w:lang w:val="sr-Latn-ME"/>
        </w:rPr>
        <w:t xml:space="preserve">montelukasta </w:t>
      </w:r>
      <w:r w:rsidRPr="00956DB3">
        <w:rPr>
          <w:spacing w:val="-1"/>
          <w:sz w:val="22"/>
          <w:szCs w:val="22"/>
          <w:lang w:val="sr-Latn-ME"/>
        </w:rPr>
        <w:t>u trudnoći</w:t>
      </w:r>
      <w:r w:rsidR="00D613BC" w:rsidRPr="00956DB3">
        <w:rPr>
          <w:spacing w:val="-1"/>
          <w:sz w:val="22"/>
          <w:szCs w:val="22"/>
          <w:lang w:val="sr-Latn-ME"/>
        </w:rPr>
        <w:t xml:space="preserve"> </w:t>
      </w:r>
      <w:r w:rsidRPr="00956DB3">
        <w:rPr>
          <w:spacing w:val="-1"/>
          <w:sz w:val="22"/>
          <w:szCs w:val="22"/>
          <w:lang w:val="sr-Latn-ME"/>
        </w:rPr>
        <w:t xml:space="preserve">koje su ispitivale pojavu velikih urođenih mana </w:t>
      </w:r>
      <w:r w:rsidR="00D613BC" w:rsidRPr="00956DB3">
        <w:rPr>
          <w:spacing w:val="-1"/>
          <w:sz w:val="22"/>
          <w:szCs w:val="22"/>
          <w:lang w:val="sr-Latn-ME"/>
        </w:rPr>
        <w:t>ni</w:t>
      </w:r>
      <w:r w:rsidRPr="00956DB3">
        <w:rPr>
          <w:spacing w:val="-1"/>
          <w:sz w:val="22"/>
          <w:szCs w:val="22"/>
          <w:lang w:val="sr-Latn-ME"/>
        </w:rPr>
        <w:t>je</w:t>
      </w:r>
      <w:r w:rsidR="00D613BC" w:rsidRPr="00956DB3">
        <w:rPr>
          <w:spacing w:val="-1"/>
          <w:sz w:val="22"/>
          <w:szCs w:val="22"/>
          <w:lang w:val="sr-Latn-ME"/>
        </w:rPr>
        <w:t xml:space="preserve">su ustanovile rizik povezan sa </w:t>
      </w:r>
      <w:r w:rsidRPr="00956DB3">
        <w:rPr>
          <w:spacing w:val="-1"/>
          <w:sz w:val="22"/>
          <w:szCs w:val="22"/>
          <w:lang w:val="sr-Latn-ME"/>
        </w:rPr>
        <w:t xml:space="preserve">primjenom </w:t>
      </w:r>
      <w:r w:rsidR="00D613BC" w:rsidRPr="00956DB3">
        <w:rPr>
          <w:spacing w:val="-1"/>
          <w:sz w:val="22"/>
          <w:szCs w:val="22"/>
          <w:lang w:val="sr-Latn-ME"/>
        </w:rPr>
        <w:t>lijek</w:t>
      </w:r>
      <w:r w:rsidRPr="00956DB3">
        <w:rPr>
          <w:spacing w:val="-1"/>
          <w:sz w:val="22"/>
          <w:szCs w:val="22"/>
          <w:lang w:val="sr-Latn-ME"/>
        </w:rPr>
        <w:t>a</w:t>
      </w:r>
      <w:r w:rsidR="00D613BC" w:rsidRPr="00956DB3">
        <w:rPr>
          <w:spacing w:val="-1"/>
          <w:sz w:val="22"/>
          <w:szCs w:val="22"/>
          <w:lang w:val="sr-Latn-ME"/>
        </w:rPr>
        <w:t xml:space="preserve">. Dostupne studije imaju metodološka ograničenja, koja uključuju malu veličinu uzorka, retrospektivno prikupljanje podataka u nekim slučajevima i </w:t>
      </w:r>
      <w:r w:rsidRPr="00956DB3">
        <w:rPr>
          <w:spacing w:val="-1"/>
          <w:sz w:val="22"/>
          <w:szCs w:val="22"/>
          <w:lang w:val="sr-Latn-ME"/>
        </w:rPr>
        <w:t xml:space="preserve">nedoslednost u kontrolnim </w:t>
      </w:r>
      <w:r w:rsidR="00D613BC" w:rsidRPr="00956DB3">
        <w:rPr>
          <w:spacing w:val="-1"/>
          <w:sz w:val="22"/>
          <w:szCs w:val="22"/>
          <w:lang w:val="sr-Latn-ME"/>
        </w:rPr>
        <w:t>grupa</w:t>
      </w:r>
      <w:r w:rsidRPr="00956DB3">
        <w:rPr>
          <w:spacing w:val="-1"/>
          <w:sz w:val="22"/>
          <w:szCs w:val="22"/>
          <w:lang w:val="sr-Latn-ME"/>
        </w:rPr>
        <w:t>ma</w:t>
      </w:r>
      <w:r w:rsidR="00D613BC" w:rsidRPr="00956DB3">
        <w:rPr>
          <w:spacing w:val="-1"/>
          <w:sz w:val="22"/>
          <w:szCs w:val="22"/>
          <w:lang w:val="sr-Latn-ME"/>
        </w:rPr>
        <w:t>.</w:t>
      </w:r>
    </w:p>
    <w:p w14:paraId="2B3DB0F2" w14:textId="77777777" w:rsidR="00E43E19" w:rsidRPr="00956DB3" w:rsidRDefault="00E43E19" w:rsidP="00E43E19">
      <w:pPr>
        <w:jc w:val="both"/>
        <w:rPr>
          <w:sz w:val="22"/>
          <w:szCs w:val="22"/>
          <w:lang w:val="sr-Latn-ME"/>
        </w:rPr>
      </w:pPr>
    </w:p>
    <w:p w14:paraId="4A18C88A" w14:textId="5F0029CE" w:rsidR="000D0C9F" w:rsidRPr="00245459" w:rsidRDefault="00E43E19">
      <w:pPr>
        <w:jc w:val="both"/>
        <w:rPr>
          <w:sz w:val="22"/>
          <w:szCs w:val="22"/>
          <w:lang w:val="sr-Latn-ME"/>
        </w:rPr>
      </w:pPr>
      <w:r w:rsidRPr="00245459">
        <w:rPr>
          <w:bCs/>
          <w:sz w:val="22"/>
          <w:szCs w:val="22"/>
          <w:lang w:val="sr-Latn-ME"/>
        </w:rPr>
        <w:t>Montelukast</w:t>
      </w:r>
      <w:r w:rsidR="000D0C9F" w:rsidRPr="00245459">
        <w:rPr>
          <w:bCs/>
          <w:sz w:val="22"/>
          <w:szCs w:val="22"/>
          <w:lang w:val="sr-Latn-ME"/>
        </w:rPr>
        <w:t xml:space="preserve"> </w:t>
      </w:r>
      <w:r w:rsidR="0094589D" w:rsidRPr="00245459">
        <w:rPr>
          <w:bCs/>
          <w:sz w:val="22"/>
          <w:szCs w:val="22"/>
          <w:lang w:val="sr-Latn-ME"/>
        </w:rPr>
        <w:t xml:space="preserve">se može uzimati </w:t>
      </w:r>
      <w:r w:rsidR="000D0C9F" w:rsidRPr="00245459">
        <w:rPr>
          <w:sz w:val="22"/>
          <w:szCs w:val="22"/>
          <w:lang w:val="sr-Latn-ME"/>
        </w:rPr>
        <w:t xml:space="preserve">tokom trudnoće samo ako se procijeni da je </w:t>
      </w:r>
      <w:r w:rsidR="00A65FA7" w:rsidRPr="00245459">
        <w:rPr>
          <w:sz w:val="22"/>
          <w:szCs w:val="22"/>
          <w:lang w:val="sr-Latn-ME"/>
        </w:rPr>
        <w:t>primjena</w:t>
      </w:r>
      <w:r w:rsidR="0094589D" w:rsidRPr="00245459">
        <w:rPr>
          <w:sz w:val="22"/>
          <w:szCs w:val="22"/>
          <w:lang w:val="sr-Latn-ME"/>
        </w:rPr>
        <w:t xml:space="preserve"> </w:t>
      </w:r>
      <w:r w:rsidR="000D0C9F" w:rsidRPr="00245459">
        <w:rPr>
          <w:sz w:val="22"/>
          <w:szCs w:val="22"/>
          <w:lang w:val="sr-Latn-ME"/>
        </w:rPr>
        <w:t>ovog lijeka apsolutno neophodna.</w:t>
      </w:r>
    </w:p>
    <w:p w14:paraId="7464F29F" w14:textId="77777777" w:rsidR="000D0C9F" w:rsidRPr="00245459" w:rsidRDefault="000D0C9F" w:rsidP="005342F3">
      <w:pPr>
        <w:tabs>
          <w:tab w:val="left" w:pos="540"/>
          <w:tab w:val="left" w:pos="569"/>
        </w:tabs>
        <w:jc w:val="both"/>
        <w:rPr>
          <w:sz w:val="22"/>
          <w:szCs w:val="22"/>
          <w:u w:val="single"/>
          <w:lang w:val="sr-Latn-ME"/>
        </w:rPr>
      </w:pPr>
    </w:p>
    <w:p w14:paraId="38F9FF2D" w14:textId="77777777" w:rsidR="0072020E" w:rsidRPr="00245459" w:rsidRDefault="007A3ECB" w:rsidP="005342F3">
      <w:pPr>
        <w:tabs>
          <w:tab w:val="left" w:pos="540"/>
          <w:tab w:val="left" w:pos="569"/>
        </w:tabs>
        <w:jc w:val="both"/>
        <w:rPr>
          <w:b/>
          <w:bCs/>
          <w:sz w:val="22"/>
          <w:szCs w:val="22"/>
          <w:lang w:val="sr-Latn-ME"/>
        </w:rPr>
      </w:pPr>
      <w:r w:rsidRPr="00245459">
        <w:rPr>
          <w:sz w:val="22"/>
          <w:szCs w:val="22"/>
          <w:u w:val="single"/>
          <w:lang w:val="sr-Latn-ME"/>
        </w:rPr>
        <w:t xml:space="preserve">Dojenje </w:t>
      </w:r>
    </w:p>
    <w:p w14:paraId="1D9549EC" w14:textId="5DB7030A" w:rsidR="000D0C9F" w:rsidRPr="00245459" w:rsidRDefault="000D0C9F" w:rsidP="005342F3">
      <w:pPr>
        <w:jc w:val="both"/>
        <w:rPr>
          <w:sz w:val="22"/>
          <w:szCs w:val="22"/>
          <w:lang w:val="sr-Latn-ME"/>
        </w:rPr>
      </w:pPr>
      <w:r w:rsidRPr="00245459">
        <w:rPr>
          <w:sz w:val="22"/>
          <w:szCs w:val="22"/>
          <w:lang w:val="sr-Latn-ME"/>
        </w:rPr>
        <w:t xml:space="preserve">Ispitivanja na </w:t>
      </w:r>
      <w:r w:rsidR="0094589D" w:rsidRPr="00245459">
        <w:rPr>
          <w:sz w:val="22"/>
          <w:szCs w:val="22"/>
          <w:lang w:val="sr-Latn-ME"/>
        </w:rPr>
        <w:t xml:space="preserve">ženkama </w:t>
      </w:r>
      <w:r w:rsidRPr="00245459">
        <w:rPr>
          <w:sz w:val="22"/>
          <w:szCs w:val="22"/>
          <w:lang w:val="sr-Latn-ME"/>
        </w:rPr>
        <w:t>pacov</w:t>
      </w:r>
      <w:r w:rsidR="0094589D" w:rsidRPr="00245459">
        <w:rPr>
          <w:sz w:val="22"/>
          <w:szCs w:val="22"/>
          <w:lang w:val="sr-Latn-ME"/>
        </w:rPr>
        <w:t>a</w:t>
      </w:r>
      <w:r w:rsidRPr="00245459">
        <w:rPr>
          <w:sz w:val="22"/>
          <w:szCs w:val="22"/>
          <w:lang w:val="sr-Latn-ME"/>
        </w:rPr>
        <w:t xml:space="preserve"> su pokazala da se montelukast izlučuje mlijek</w:t>
      </w:r>
      <w:r w:rsidR="00CA7E0D" w:rsidRPr="00245459">
        <w:rPr>
          <w:sz w:val="22"/>
          <w:szCs w:val="22"/>
          <w:lang w:val="sr-Latn-ME"/>
        </w:rPr>
        <w:t>om</w:t>
      </w:r>
      <w:r w:rsidRPr="00245459">
        <w:rPr>
          <w:sz w:val="22"/>
          <w:szCs w:val="22"/>
          <w:lang w:val="sr-Latn-ME"/>
        </w:rPr>
        <w:t xml:space="preserve"> ženki pacova (vidjeti dio 5.3). Nije poznato da li se montelukast ili njegovi metaboliti izlučuju human</w:t>
      </w:r>
      <w:r w:rsidR="00CA7E0D" w:rsidRPr="00245459">
        <w:rPr>
          <w:sz w:val="22"/>
          <w:szCs w:val="22"/>
          <w:lang w:val="sr-Latn-ME"/>
        </w:rPr>
        <w:t>i</w:t>
      </w:r>
      <w:r w:rsidRPr="00245459">
        <w:rPr>
          <w:sz w:val="22"/>
          <w:szCs w:val="22"/>
          <w:lang w:val="sr-Latn-ME"/>
        </w:rPr>
        <w:t>m mlijek.</w:t>
      </w:r>
    </w:p>
    <w:p w14:paraId="03419E15" w14:textId="77777777" w:rsidR="000D0C9F" w:rsidRPr="00245459" w:rsidRDefault="000D0C9F" w:rsidP="005342F3">
      <w:pPr>
        <w:jc w:val="both"/>
        <w:rPr>
          <w:sz w:val="22"/>
          <w:szCs w:val="22"/>
          <w:lang w:val="sr-Latn-ME"/>
        </w:rPr>
      </w:pPr>
    </w:p>
    <w:p w14:paraId="17F7EEEA" w14:textId="3E3A3009" w:rsidR="000D0C9F" w:rsidRPr="00245459" w:rsidRDefault="0094589D" w:rsidP="00FE590B">
      <w:pPr>
        <w:tabs>
          <w:tab w:val="left" w:pos="540"/>
          <w:tab w:val="left" w:pos="569"/>
        </w:tabs>
        <w:jc w:val="both"/>
        <w:rPr>
          <w:sz w:val="22"/>
          <w:szCs w:val="22"/>
          <w:lang w:val="sr-Latn-ME"/>
        </w:rPr>
      </w:pPr>
      <w:r w:rsidRPr="00245459">
        <w:rPr>
          <w:bCs/>
          <w:sz w:val="22"/>
          <w:szCs w:val="22"/>
          <w:lang w:val="sr-Latn-ME"/>
        </w:rPr>
        <w:lastRenderedPageBreak/>
        <w:t xml:space="preserve">Lijek </w:t>
      </w:r>
      <w:r w:rsidR="000D0C9F" w:rsidRPr="00245459">
        <w:rPr>
          <w:bCs/>
          <w:sz w:val="22"/>
          <w:szCs w:val="22"/>
          <w:lang w:val="sr-Latn-ME"/>
        </w:rPr>
        <w:t xml:space="preserve">Singulair </w:t>
      </w:r>
      <w:r w:rsidRPr="00245459">
        <w:rPr>
          <w:bCs/>
          <w:sz w:val="22"/>
          <w:szCs w:val="22"/>
          <w:lang w:val="sr-Latn-ME"/>
        </w:rPr>
        <w:t xml:space="preserve">mogu uzimati dojilje </w:t>
      </w:r>
      <w:r w:rsidR="000D0C9F" w:rsidRPr="00245459">
        <w:rPr>
          <w:sz w:val="22"/>
          <w:szCs w:val="22"/>
          <w:lang w:val="sr-Latn-ME"/>
        </w:rPr>
        <w:t xml:space="preserve">samo ako se procijeni da je </w:t>
      </w:r>
      <w:r w:rsidRPr="00245459">
        <w:rPr>
          <w:sz w:val="22"/>
          <w:szCs w:val="22"/>
          <w:lang w:val="sr-Latn-ME"/>
        </w:rPr>
        <w:t xml:space="preserve">uzimanje </w:t>
      </w:r>
      <w:r w:rsidR="000D0C9F" w:rsidRPr="00245459">
        <w:rPr>
          <w:sz w:val="22"/>
          <w:szCs w:val="22"/>
          <w:lang w:val="sr-Latn-ME"/>
        </w:rPr>
        <w:t>ovog lijeka apsolutno neophodn</w:t>
      </w:r>
      <w:r w:rsidR="004508E2" w:rsidRPr="00245459">
        <w:rPr>
          <w:sz w:val="22"/>
          <w:szCs w:val="22"/>
          <w:lang w:val="sr-Latn-ME"/>
        </w:rPr>
        <w:t>o</w:t>
      </w:r>
      <w:r w:rsidR="000D0C9F" w:rsidRPr="00245459">
        <w:rPr>
          <w:sz w:val="22"/>
          <w:szCs w:val="22"/>
          <w:lang w:val="sr-Latn-ME"/>
        </w:rPr>
        <w:t>.</w:t>
      </w:r>
    </w:p>
    <w:p w14:paraId="008C73E1" w14:textId="77777777" w:rsidR="0094589D" w:rsidRPr="00245459" w:rsidRDefault="0094589D" w:rsidP="005342F3">
      <w:pPr>
        <w:tabs>
          <w:tab w:val="left" w:pos="540"/>
          <w:tab w:val="left" w:pos="569"/>
        </w:tabs>
        <w:ind w:left="540" w:hanging="540"/>
        <w:jc w:val="both"/>
        <w:rPr>
          <w:b/>
          <w:bCs/>
          <w:sz w:val="22"/>
          <w:szCs w:val="22"/>
          <w:lang w:val="sr-Latn-ME"/>
        </w:rPr>
      </w:pPr>
    </w:p>
    <w:p w14:paraId="665A489C" w14:textId="77777777" w:rsidR="0072020E" w:rsidRPr="00245459" w:rsidRDefault="0072020E" w:rsidP="005342F3">
      <w:pPr>
        <w:tabs>
          <w:tab w:val="left" w:pos="540"/>
          <w:tab w:val="left" w:pos="569"/>
        </w:tabs>
        <w:ind w:left="540" w:hanging="540"/>
        <w:jc w:val="both"/>
        <w:rPr>
          <w:b/>
          <w:bCs/>
          <w:sz w:val="22"/>
          <w:szCs w:val="22"/>
          <w:lang w:val="sr-Latn-ME"/>
        </w:rPr>
      </w:pPr>
      <w:r w:rsidRPr="00245459">
        <w:rPr>
          <w:b/>
          <w:bCs/>
          <w:sz w:val="22"/>
          <w:szCs w:val="22"/>
          <w:lang w:val="sr-Latn-ME"/>
        </w:rPr>
        <w:t xml:space="preserve">4.7. </w:t>
      </w:r>
      <w:r w:rsidR="00480FB1" w:rsidRPr="00245459">
        <w:rPr>
          <w:b/>
          <w:bCs/>
          <w:sz w:val="22"/>
          <w:szCs w:val="22"/>
          <w:lang w:val="sr-Latn-ME"/>
        </w:rPr>
        <w:tab/>
      </w:r>
      <w:r w:rsidRPr="00245459">
        <w:rPr>
          <w:b/>
          <w:bCs/>
          <w:sz w:val="22"/>
          <w:szCs w:val="22"/>
          <w:lang w:val="sr-Latn-ME"/>
        </w:rPr>
        <w:t xml:space="preserve">Uticaj na </w:t>
      </w:r>
      <w:r w:rsidR="002031B3" w:rsidRPr="00245459">
        <w:rPr>
          <w:b/>
          <w:bCs/>
          <w:sz w:val="22"/>
          <w:szCs w:val="22"/>
          <w:lang w:val="sr-Latn-ME"/>
        </w:rPr>
        <w:t xml:space="preserve">sposobnost </w:t>
      </w:r>
      <w:r w:rsidR="00F34554" w:rsidRPr="00245459">
        <w:rPr>
          <w:b/>
          <w:bCs/>
          <w:sz w:val="22"/>
          <w:szCs w:val="22"/>
          <w:lang w:val="sr-Latn-ME"/>
        </w:rPr>
        <w:t>upravljanja vozili</w:t>
      </w:r>
      <w:r w:rsidRPr="00245459">
        <w:rPr>
          <w:b/>
          <w:bCs/>
          <w:sz w:val="22"/>
          <w:szCs w:val="22"/>
          <w:lang w:val="sr-Latn-ME"/>
        </w:rPr>
        <w:t>m</w:t>
      </w:r>
      <w:r w:rsidR="00F34554" w:rsidRPr="00245459">
        <w:rPr>
          <w:b/>
          <w:bCs/>
          <w:sz w:val="22"/>
          <w:szCs w:val="22"/>
          <w:lang w:val="sr-Latn-ME"/>
        </w:rPr>
        <w:t>a</w:t>
      </w:r>
      <w:r w:rsidRPr="00245459">
        <w:rPr>
          <w:b/>
          <w:bCs/>
          <w:sz w:val="22"/>
          <w:szCs w:val="22"/>
          <w:lang w:val="sr-Latn-ME"/>
        </w:rPr>
        <w:t xml:space="preserve"> i </w:t>
      </w:r>
      <w:r w:rsidR="000D3449" w:rsidRPr="00245459">
        <w:rPr>
          <w:b/>
          <w:bCs/>
          <w:sz w:val="22"/>
          <w:szCs w:val="22"/>
          <w:lang w:val="sr-Latn-ME"/>
        </w:rPr>
        <w:t xml:space="preserve">rukovanje </w:t>
      </w:r>
      <w:r w:rsidRPr="00245459">
        <w:rPr>
          <w:b/>
          <w:bCs/>
          <w:sz w:val="22"/>
          <w:szCs w:val="22"/>
          <w:lang w:val="sr-Latn-ME"/>
        </w:rPr>
        <w:t>mašinama</w:t>
      </w:r>
    </w:p>
    <w:p w14:paraId="78F6B722" w14:textId="77777777" w:rsidR="0094589D" w:rsidRPr="00245459" w:rsidRDefault="0094589D" w:rsidP="005342F3">
      <w:pPr>
        <w:jc w:val="both"/>
        <w:rPr>
          <w:sz w:val="22"/>
          <w:szCs w:val="22"/>
          <w:lang w:val="sr-Latn-ME"/>
        </w:rPr>
      </w:pPr>
    </w:p>
    <w:p w14:paraId="4B31A7CC" w14:textId="50FC902A" w:rsidR="000D0C9F" w:rsidRPr="00245459" w:rsidRDefault="0094589D" w:rsidP="005342F3">
      <w:pPr>
        <w:jc w:val="both"/>
        <w:rPr>
          <w:sz w:val="22"/>
          <w:szCs w:val="22"/>
          <w:lang w:val="sr-Latn-ME"/>
        </w:rPr>
      </w:pPr>
      <w:r w:rsidRPr="00245459">
        <w:rPr>
          <w:sz w:val="22"/>
          <w:szCs w:val="22"/>
          <w:lang w:val="sr-Latn-ME"/>
        </w:rPr>
        <w:t xml:space="preserve">Lijek </w:t>
      </w:r>
      <w:r w:rsidR="000D0C9F" w:rsidRPr="00245459">
        <w:rPr>
          <w:sz w:val="22"/>
          <w:szCs w:val="22"/>
          <w:lang w:val="sr-Latn-ME"/>
        </w:rPr>
        <w:t>Singulair nema ili ima zanemarljivo mali uticaj na sposobnost upravljanja vozilima ili rukovanja mašinama. Međutim, pojedinci su prijavljivali pospanost ili vrtoglavicu.</w:t>
      </w:r>
    </w:p>
    <w:p w14:paraId="30A07C96" w14:textId="77777777" w:rsidR="0072020E" w:rsidRPr="00245459" w:rsidRDefault="0072020E" w:rsidP="005342F3">
      <w:pPr>
        <w:tabs>
          <w:tab w:val="left" w:pos="540"/>
          <w:tab w:val="left" w:pos="569"/>
        </w:tabs>
        <w:jc w:val="both"/>
        <w:rPr>
          <w:b/>
          <w:bCs/>
          <w:sz w:val="22"/>
          <w:szCs w:val="22"/>
          <w:lang w:val="sr-Latn-ME"/>
        </w:rPr>
      </w:pPr>
    </w:p>
    <w:p w14:paraId="66ECBE36" w14:textId="71E8723A" w:rsidR="00245459"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4.8. </w:t>
      </w:r>
      <w:r w:rsidR="00480FB1" w:rsidRPr="00245459">
        <w:rPr>
          <w:b/>
          <w:bCs/>
          <w:sz w:val="22"/>
          <w:szCs w:val="22"/>
          <w:lang w:val="sr-Latn-ME"/>
        </w:rPr>
        <w:tab/>
      </w:r>
      <w:r w:rsidRPr="00245459">
        <w:rPr>
          <w:b/>
          <w:bCs/>
          <w:sz w:val="22"/>
          <w:szCs w:val="22"/>
          <w:lang w:val="sr-Latn-ME"/>
        </w:rPr>
        <w:t>Neželjena dejstva</w:t>
      </w:r>
    </w:p>
    <w:p w14:paraId="1768C502" w14:textId="77777777" w:rsidR="00C613C8" w:rsidRPr="00245459" w:rsidRDefault="00C613C8" w:rsidP="00956DB3">
      <w:pPr>
        <w:tabs>
          <w:tab w:val="left" w:pos="540"/>
          <w:tab w:val="left" w:pos="569"/>
        </w:tabs>
        <w:jc w:val="both"/>
        <w:rPr>
          <w:rFonts w:eastAsia="Calibri"/>
          <w:sz w:val="22"/>
          <w:szCs w:val="22"/>
          <w:u w:val="single"/>
          <w:lang w:val="sr-Latn-ME"/>
        </w:rPr>
      </w:pPr>
    </w:p>
    <w:p w14:paraId="48C276CE" w14:textId="77777777" w:rsidR="000D0C9F" w:rsidRPr="00245459" w:rsidRDefault="000D0C9F" w:rsidP="005342F3">
      <w:pPr>
        <w:jc w:val="both"/>
        <w:rPr>
          <w:sz w:val="22"/>
          <w:szCs w:val="22"/>
          <w:lang w:val="sr-Latn-ME"/>
        </w:rPr>
      </w:pPr>
      <w:r w:rsidRPr="00245459">
        <w:rPr>
          <w:sz w:val="22"/>
          <w:szCs w:val="22"/>
          <w:lang w:val="sr-Latn-ME"/>
        </w:rPr>
        <w:t>Montelukast je procjenjivan u sljedećim kliničkim ispitivanjima:</w:t>
      </w:r>
    </w:p>
    <w:p w14:paraId="6754A97B" w14:textId="4E2A40FE" w:rsidR="000D0C9F" w:rsidRPr="00245459" w:rsidRDefault="000D0C9F" w:rsidP="005342F3">
      <w:pPr>
        <w:numPr>
          <w:ilvl w:val="0"/>
          <w:numId w:val="12"/>
        </w:numPr>
        <w:tabs>
          <w:tab w:val="left" w:pos="284"/>
        </w:tabs>
        <w:jc w:val="both"/>
        <w:rPr>
          <w:sz w:val="22"/>
          <w:szCs w:val="22"/>
          <w:lang w:val="sr-Latn-ME"/>
        </w:rPr>
      </w:pPr>
      <w:r w:rsidRPr="00245459">
        <w:rPr>
          <w:sz w:val="22"/>
          <w:szCs w:val="22"/>
          <w:lang w:val="sr-Latn-ME"/>
        </w:rPr>
        <w:t>film tablete od 10 mg, kod otprilike 4000 odraslih i adolescenata sa astmom, starosti 15 godina i starijih</w:t>
      </w:r>
      <w:r w:rsidR="00C613C8" w:rsidRPr="00245459">
        <w:rPr>
          <w:sz w:val="22"/>
          <w:szCs w:val="22"/>
          <w:lang w:val="sr-Latn-ME"/>
        </w:rPr>
        <w:t>,</w:t>
      </w:r>
    </w:p>
    <w:p w14:paraId="35F6BC0F" w14:textId="04338CEE" w:rsidR="000D0C9F" w:rsidRPr="00245459" w:rsidRDefault="000D0C9F" w:rsidP="005342F3">
      <w:pPr>
        <w:numPr>
          <w:ilvl w:val="0"/>
          <w:numId w:val="12"/>
        </w:numPr>
        <w:tabs>
          <w:tab w:val="left" w:pos="284"/>
        </w:tabs>
        <w:jc w:val="both"/>
        <w:rPr>
          <w:sz w:val="22"/>
          <w:szCs w:val="22"/>
          <w:lang w:val="sr-Latn-ME"/>
        </w:rPr>
      </w:pPr>
      <w:r w:rsidRPr="00245459">
        <w:rPr>
          <w:sz w:val="22"/>
          <w:szCs w:val="22"/>
          <w:lang w:val="sr-Latn-ME"/>
        </w:rPr>
        <w:t>film tablete od 10 mg, kod otprilike 400 odraslih i adolescenata sa astmom sa sezonskim alergijskim rinitisom, starosti 15 godina i starijih</w:t>
      </w:r>
      <w:r w:rsidR="003C25E2" w:rsidRPr="00245459">
        <w:rPr>
          <w:sz w:val="22"/>
          <w:szCs w:val="22"/>
          <w:lang w:val="sr-Latn-ME"/>
        </w:rPr>
        <w:t>,</w:t>
      </w:r>
    </w:p>
    <w:p w14:paraId="55996643" w14:textId="48B228A1" w:rsidR="000D0C9F" w:rsidRPr="00245459" w:rsidRDefault="000D0C9F" w:rsidP="00015E32">
      <w:pPr>
        <w:pStyle w:val="ListParagraph"/>
        <w:numPr>
          <w:ilvl w:val="0"/>
          <w:numId w:val="12"/>
        </w:numPr>
        <w:tabs>
          <w:tab w:val="left" w:pos="284"/>
        </w:tabs>
        <w:jc w:val="both"/>
        <w:rPr>
          <w:sz w:val="22"/>
          <w:szCs w:val="22"/>
          <w:lang w:val="sr-Latn-ME"/>
        </w:rPr>
      </w:pPr>
      <w:r w:rsidRPr="00245459">
        <w:rPr>
          <w:sz w:val="22"/>
          <w:szCs w:val="22"/>
          <w:lang w:val="sr-Latn-ME"/>
        </w:rPr>
        <w:t>tablete za žvakanje od 5 mg, kod otprilike 1750 pedijatrijskih astmatičnih pacijenata</w:t>
      </w:r>
      <w:r w:rsidR="0094589D" w:rsidRPr="00245459">
        <w:rPr>
          <w:sz w:val="22"/>
          <w:szCs w:val="22"/>
          <w:lang w:val="sr-Latn-ME"/>
        </w:rPr>
        <w:t xml:space="preserve"> sa astmom</w:t>
      </w:r>
      <w:r w:rsidRPr="00245459">
        <w:rPr>
          <w:sz w:val="22"/>
          <w:szCs w:val="22"/>
          <w:lang w:val="sr-Latn-ME"/>
        </w:rPr>
        <w:t>, starosti 6 do 14 godina</w:t>
      </w:r>
      <w:r w:rsidR="003C25E2" w:rsidRPr="00245459">
        <w:rPr>
          <w:sz w:val="22"/>
          <w:szCs w:val="22"/>
          <w:lang w:val="sr-Latn-ME"/>
        </w:rPr>
        <w:t>.</w:t>
      </w:r>
      <w:r w:rsidRPr="00245459">
        <w:rPr>
          <w:sz w:val="22"/>
          <w:szCs w:val="22"/>
          <w:lang w:val="sr-Latn-ME"/>
        </w:rPr>
        <w:t xml:space="preserve"> </w:t>
      </w:r>
    </w:p>
    <w:p w14:paraId="78F4F7DF" w14:textId="77777777" w:rsidR="000D0C9F" w:rsidRPr="00245459" w:rsidRDefault="000D0C9F" w:rsidP="005342F3">
      <w:pPr>
        <w:jc w:val="both"/>
        <w:rPr>
          <w:sz w:val="22"/>
          <w:szCs w:val="22"/>
          <w:lang w:val="sr-Latn-ME"/>
        </w:rPr>
      </w:pPr>
    </w:p>
    <w:p w14:paraId="68D6168D" w14:textId="68300A50" w:rsidR="000D0C9F" w:rsidRPr="00245459" w:rsidRDefault="0094589D" w:rsidP="005342F3">
      <w:pPr>
        <w:jc w:val="both"/>
        <w:rPr>
          <w:sz w:val="22"/>
          <w:szCs w:val="22"/>
          <w:lang w:val="sr-Latn-ME"/>
        </w:rPr>
      </w:pPr>
      <w:r w:rsidRPr="00245459">
        <w:rPr>
          <w:sz w:val="22"/>
          <w:szCs w:val="22"/>
          <w:lang w:val="sr-Latn-ME"/>
        </w:rPr>
        <w:t xml:space="preserve">Kod pacijenata liječenih montelukastom sljedeće, sa lijekom povezane, neželjene reakcije u kliničkim studijama su prijavljivanje </w:t>
      </w:r>
      <w:r w:rsidR="000D0C9F" w:rsidRPr="00245459">
        <w:rPr>
          <w:sz w:val="22"/>
          <w:szCs w:val="22"/>
          <w:lang w:val="sr-Latn-ME"/>
        </w:rPr>
        <w:t>čest</w:t>
      </w:r>
      <w:r w:rsidR="00C613C8" w:rsidRPr="00245459">
        <w:rPr>
          <w:sz w:val="22"/>
          <w:szCs w:val="22"/>
          <w:lang w:val="sr-Latn-ME"/>
        </w:rPr>
        <w:t>o</w:t>
      </w:r>
      <w:r w:rsidR="000D0C9F" w:rsidRPr="00245459">
        <w:rPr>
          <w:sz w:val="22"/>
          <w:szCs w:val="22"/>
          <w:lang w:val="sr-Latn-ME"/>
        </w:rPr>
        <w:t xml:space="preserve"> (</w:t>
      </w:r>
      <w:r w:rsidR="000D0C9F" w:rsidRPr="00245459">
        <w:rPr>
          <w:sz w:val="22"/>
          <w:szCs w:val="22"/>
          <w:lang w:val="sr-Latn-ME"/>
        </w:rPr>
        <w:sym w:font="Symbol" w:char="F0B3"/>
      </w:r>
      <w:r w:rsidR="000D0C9F" w:rsidRPr="00245459">
        <w:rPr>
          <w:sz w:val="22"/>
          <w:szCs w:val="22"/>
          <w:lang w:val="sr-Latn-ME"/>
        </w:rPr>
        <w:t xml:space="preserve"> 1/100</w:t>
      </w:r>
      <w:r w:rsidR="00C613C8" w:rsidRPr="00245459">
        <w:rPr>
          <w:sz w:val="22"/>
          <w:szCs w:val="22"/>
          <w:lang w:val="sr-Latn-ME"/>
        </w:rPr>
        <w:t xml:space="preserve"> do</w:t>
      </w:r>
      <w:r w:rsidR="000D0C9F" w:rsidRPr="00245459">
        <w:rPr>
          <w:sz w:val="22"/>
          <w:szCs w:val="22"/>
          <w:lang w:val="sr-Latn-ME"/>
        </w:rPr>
        <w:t xml:space="preserve"> &lt; 1/10), i sa većom incidencom nego kod pacijenata </w:t>
      </w:r>
      <w:r w:rsidRPr="00245459">
        <w:rPr>
          <w:sz w:val="22"/>
          <w:szCs w:val="22"/>
          <w:lang w:val="sr-Latn-ME"/>
        </w:rPr>
        <w:t xml:space="preserve">koji su izimali </w:t>
      </w:r>
      <w:r w:rsidR="000D0C9F" w:rsidRPr="00245459">
        <w:rPr>
          <w:sz w:val="22"/>
          <w:szCs w:val="22"/>
          <w:lang w:val="sr-Latn-ME"/>
        </w:rPr>
        <w:t>placebo:</w:t>
      </w:r>
    </w:p>
    <w:p w14:paraId="04624374" w14:textId="00ED7306" w:rsidR="000D0C9F" w:rsidRPr="00245459" w:rsidRDefault="000D0C9F" w:rsidP="005342F3">
      <w:pPr>
        <w:spacing w:after="200" w:line="276" w:lineRule="auto"/>
        <w:jc w:val="both"/>
        <w:rPr>
          <w:rFonts w:eastAsia="Calibri"/>
          <w:sz w:val="22"/>
          <w:szCs w:val="22"/>
          <w:u w:val="single"/>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680" w:type="dxa"/>
        </w:tblCellMar>
        <w:tblLook w:val="01E0" w:firstRow="1" w:lastRow="1" w:firstColumn="1" w:lastColumn="1" w:noHBand="0" w:noVBand="0"/>
      </w:tblPr>
      <w:tblGrid>
        <w:gridCol w:w="2952"/>
        <w:gridCol w:w="2952"/>
        <w:gridCol w:w="3163"/>
      </w:tblGrid>
      <w:tr w:rsidR="000D0C9F" w:rsidRPr="00245459" w14:paraId="7F9BD59E" w14:textId="77777777" w:rsidTr="00015E32">
        <w:trPr>
          <w:jc w:val="center"/>
        </w:trPr>
        <w:tc>
          <w:tcPr>
            <w:tcW w:w="2952" w:type="dxa"/>
            <w:shd w:val="clear" w:color="auto" w:fill="auto"/>
            <w:vAlign w:val="center"/>
          </w:tcPr>
          <w:p w14:paraId="47E0ED30" w14:textId="5E9FE140" w:rsidR="000D0C9F" w:rsidRPr="00245459" w:rsidRDefault="00757BAC">
            <w:pPr>
              <w:jc w:val="both"/>
              <w:rPr>
                <w:sz w:val="22"/>
                <w:szCs w:val="22"/>
                <w:lang w:val="sr-Latn-ME"/>
              </w:rPr>
            </w:pPr>
            <w:r w:rsidRPr="00245459">
              <w:rPr>
                <w:b/>
                <w:sz w:val="22"/>
                <w:szCs w:val="22"/>
                <w:lang w:val="sr-Latn-ME"/>
              </w:rPr>
              <w:t>MedDRA k</w:t>
            </w:r>
            <w:r w:rsidR="000D0C9F" w:rsidRPr="00245459">
              <w:rPr>
                <w:b/>
                <w:sz w:val="22"/>
                <w:szCs w:val="22"/>
                <w:lang w:val="sr-Latn-ME"/>
              </w:rPr>
              <w:t>las</w:t>
            </w:r>
            <w:r w:rsidRPr="00245459">
              <w:rPr>
                <w:b/>
                <w:sz w:val="22"/>
                <w:szCs w:val="22"/>
                <w:lang w:val="sr-Latn-ME"/>
              </w:rPr>
              <w:t>ifikacij</w:t>
            </w:r>
            <w:r w:rsidR="004508E2" w:rsidRPr="00245459">
              <w:rPr>
                <w:b/>
                <w:sz w:val="22"/>
                <w:szCs w:val="22"/>
                <w:lang w:val="sr-Latn-ME"/>
              </w:rPr>
              <w:t>a</w:t>
            </w:r>
            <w:r w:rsidR="000D0C9F" w:rsidRPr="00245459">
              <w:rPr>
                <w:b/>
                <w:sz w:val="22"/>
                <w:szCs w:val="22"/>
                <w:lang w:val="sr-Latn-ME"/>
              </w:rPr>
              <w:t xml:space="preserve"> </w:t>
            </w:r>
            <w:r w:rsidR="00C613C8" w:rsidRPr="00245459">
              <w:rPr>
                <w:b/>
                <w:sz w:val="22"/>
                <w:szCs w:val="22"/>
                <w:lang w:val="sr-Latn-ME" w:eastAsia="sr-Latn-CS"/>
              </w:rPr>
              <w:t>sistema organa</w:t>
            </w:r>
          </w:p>
        </w:tc>
        <w:tc>
          <w:tcPr>
            <w:tcW w:w="2952" w:type="dxa"/>
            <w:shd w:val="clear" w:color="auto" w:fill="auto"/>
            <w:vAlign w:val="center"/>
          </w:tcPr>
          <w:p w14:paraId="1AF83088" w14:textId="3FFBB424" w:rsidR="000D0C9F" w:rsidRPr="00245459" w:rsidRDefault="000D0C9F" w:rsidP="00015E32">
            <w:pPr>
              <w:rPr>
                <w:b/>
                <w:sz w:val="22"/>
                <w:szCs w:val="22"/>
                <w:lang w:val="sr-Latn-ME"/>
              </w:rPr>
            </w:pPr>
            <w:r w:rsidRPr="00245459">
              <w:rPr>
                <w:b/>
                <w:sz w:val="22"/>
                <w:szCs w:val="22"/>
                <w:lang w:val="sr-Latn-ME" w:eastAsia="sr-Latn-CS"/>
              </w:rPr>
              <w:t xml:space="preserve">Odrasli i adolescenti od 15 godina i stariji </w:t>
            </w:r>
            <w:r w:rsidRPr="00245459">
              <w:rPr>
                <w:b/>
                <w:sz w:val="22"/>
                <w:szCs w:val="22"/>
                <w:lang w:val="sr-Latn-ME"/>
              </w:rPr>
              <w:t>(dvije</w:t>
            </w:r>
            <w:r w:rsidR="00C613C8" w:rsidRPr="00245459">
              <w:rPr>
                <w:b/>
                <w:sz w:val="22"/>
                <w:szCs w:val="22"/>
                <w:lang w:val="sr-Latn-ME"/>
              </w:rPr>
              <w:t xml:space="preserve"> studije u trajanju od 12 nedjelja;</w:t>
            </w:r>
            <w:r w:rsidRPr="00245459">
              <w:rPr>
                <w:b/>
                <w:sz w:val="22"/>
                <w:szCs w:val="22"/>
                <w:lang w:val="sr-Latn-ME"/>
              </w:rPr>
              <w:t xml:space="preserve"> </w:t>
            </w:r>
            <w:r w:rsidR="00C613C8" w:rsidRPr="00245459">
              <w:rPr>
                <w:b/>
                <w:sz w:val="22"/>
                <w:szCs w:val="22"/>
                <w:lang w:val="sr-Latn-ME"/>
              </w:rPr>
              <w:t xml:space="preserve"> </w:t>
            </w:r>
            <w:r w:rsidRPr="00245459">
              <w:rPr>
                <w:b/>
                <w:sz w:val="22"/>
                <w:szCs w:val="22"/>
                <w:lang w:val="sr-Latn-ME"/>
              </w:rPr>
              <w:t>n=795)</w:t>
            </w:r>
          </w:p>
        </w:tc>
        <w:tc>
          <w:tcPr>
            <w:tcW w:w="3163" w:type="dxa"/>
            <w:shd w:val="clear" w:color="auto" w:fill="auto"/>
            <w:vAlign w:val="center"/>
          </w:tcPr>
          <w:p w14:paraId="3E6A845C" w14:textId="77777777" w:rsidR="000D0C9F" w:rsidRPr="00245459" w:rsidRDefault="000D0C9F" w:rsidP="00015E32">
            <w:pPr>
              <w:rPr>
                <w:b/>
                <w:sz w:val="22"/>
                <w:szCs w:val="22"/>
                <w:lang w:val="sr-Latn-ME"/>
              </w:rPr>
            </w:pPr>
            <w:r w:rsidRPr="00245459">
              <w:rPr>
                <w:b/>
                <w:sz w:val="22"/>
                <w:szCs w:val="22"/>
                <w:lang w:val="sr-Latn-ME"/>
              </w:rPr>
              <w:t>Pedijatrijski pacijenti</w:t>
            </w:r>
          </w:p>
          <w:p w14:paraId="176484AE" w14:textId="77777777" w:rsidR="000D0C9F" w:rsidRPr="00245459" w:rsidRDefault="000D0C9F" w:rsidP="00015E32">
            <w:pPr>
              <w:rPr>
                <w:b/>
                <w:sz w:val="22"/>
                <w:szCs w:val="22"/>
                <w:lang w:val="sr-Latn-ME"/>
              </w:rPr>
            </w:pPr>
            <w:r w:rsidRPr="00245459">
              <w:rPr>
                <w:b/>
                <w:sz w:val="22"/>
                <w:szCs w:val="22"/>
                <w:lang w:val="sr-Latn-ME"/>
              </w:rPr>
              <w:t xml:space="preserve">starosti 6 do 14 godina </w:t>
            </w:r>
          </w:p>
          <w:p w14:paraId="0642D717" w14:textId="363A9B6D" w:rsidR="000D0C9F" w:rsidRPr="00245459" w:rsidRDefault="000D0C9F" w:rsidP="00015E32">
            <w:pPr>
              <w:rPr>
                <w:b/>
                <w:sz w:val="22"/>
                <w:szCs w:val="22"/>
                <w:lang w:val="sr-Latn-ME"/>
              </w:rPr>
            </w:pPr>
            <w:r w:rsidRPr="00245459">
              <w:rPr>
                <w:b/>
                <w:sz w:val="22"/>
                <w:szCs w:val="22"/>
                <w:lang w:val="sr-Latn-ME"/>
              </w:rPr>
              <w:t xml:space="preserve">(jedna </w:t>
            </w:r>
            <w:r w:rsidR="00C613C8" w:rsidRPr="00245459">
              <w:rPr>
                <w:b/>
                <w:sz w:val="22"/>
                <w:szCs w:val="22"/>
                <w:lang w:val="sr-Latn-ME"/>
              </w:rPr>
              <w:t xml:space="preserve">studija u trajanju od 8 nedjelja; </w:t>
            </w:r>
            <w:r w:rsidRPr="00245459">
              <w:rPr>
                <w:b/>
                <w:sz w:val="22"/>
                <w:szCs w:val="22"/>
                <w:lang w:val="sr-Latn-ME"/>
              </w:rPr>
              <w:t>n=201)</w:t>
            </w:r>
          </w:p>
          <w:p w14:paraId="4D423298" w14:textId="01696FFB" w:rsidR="000D0C9F" w:rsidRPr="00245459" w:rsidRDefault="000D0C9F" w:rsidP="00015E32">
            <w:pPr>
              <w:rPr>
                <w:b/>
                <w:sz w:val="22"/>
                <w:szCs w:val="22"/>
                <w:lang w:val="sr-Latn-ME"/>
              </w:rPr>
            </w:pPr>
            <w:r w:rsidRPr="00245459">
              <w:rPr>
                <w:b/>
                <w:sz w:val="22"/>
                <w:szCs w:val="22"/>
                <w:lang w:val="sr-Latn-ME"/>
              </w:rPr>
              <w:t>(dvije</w:t>
            </w:r>
            <w:r w:rsidR="00C613C8" w:rsidRPr="00245459">
              <w:rPr>
                <w:b/>
                <w:sz w:val="22"/>
                <w:szCs w:val="22"/>
                <w:lang w:val="sr-Latn-ME"/>
              </w:rPr>
              <w:t xml:space="preserve"> studije u trajanju od 56 nedjelja;</w:t>
            </w:r>
            <w:r w:rsidRPr="00245459">
              <w:rPr>
                <w:b/>
                <w:sz w:val="22"/>
                <w:szCs w:val="22"/>
                <w:lang w:val="sr-Latn-ME"/>
              </w:rPr>
              <w:t xml:space="preserve"> n=615)</w:t>
            </w:r>
          </w:p>
        </w:tc>
      </w:tr>
      <w:tr w:rsidR="000D0C9F" w:rsidRPr="00245459" w14:paraId="20871FFB" w14:textId="77777777" w:rsidTr="00015E32">
        <w:trPr>
          <w:jc w:val="center"/>
        </w:trPr>
        <w:tc>
          <w:tcPr>
            <w:tcW w:w="2952" w:type="dxa"/>
            <w:shd w:val="clear" w:color="auto" w:fill="auto"/>
            <w:vAlign w:val="center"/>
          </w:tcPr>
          <w:p w14:paraId="185F1DE4" w14:textId="77777777" w:rsidR="000D0C9F" w:rsidRPr="00245459" w:rsidRDefault="000D0C9F" w:rsidP="005342F3">
            <w:pPr>
              <w:jc w:val="both"/>
              <w:rPr>
                <w:b/>
                <w:sz w:val="22"/>
                <w:szCs w:val="22"/>
                <w:lang w:val="sr-Latn-ME"/>
              </w:rPr>
            </w:pPr>
            <w:r w:rsidRPr="00245459">
              <w:rPr>
                <w:b/>
                <w:sz w:val="22"/>
                <w:szCs w:val="22"/>
                <w:lang w:val="sr-Latn-ME"/>
              </w:rPr>
              <w:t>Poremećaji nervnog sistema</w:t>
            </w:r>
          </w:p>
          <w:p w14:paraId="140A6150" w14:textId="77777777" w:rsidR="000D0C9F" w:rsidRPr="00245459" w:rsidRDefault="000D0C9F" w:rsidP="005342F3">
            <w:pPr>
              <w:jc w:val="both"/>
              <w:rPr>
                <w:sz w:val="22"/>
                <w:szCs w:val="22"/>
                <w:lang w:val="sr-Latn-ME"/>
              </w:rPr>
            </w:pPr>
          </w:p>
        </w:tc>
        <w:tc>
          <w:tcPr>
            <w:tcW w:w="2952" w:type="dxa"/>
            <w:shd w:val="clear" w:color="auto" w:fill="auto"/>
            <w:vAlign w:val="center"/>
          </w:tcPr>
          <w:p w14:paraId="6D43F75A" w14:textId="77777777" w:rsidR="000D0C9F" w:rsidRPr="00245459" w:rsidRDefault="000D0C9F" w:rsidP="005342F3">
            <w:pPr>
              <w:jc w:val="both"/>
              <w:rPr>
                <w:sz w:val="22"/>
                <w:szCs w:val="22"/>
                <w:lang w:val="sr-Latn-ME"/>
              </w:rPr>
            </w:pPr>
            <w:r w:rsidRPr="00245459">
              <w:rPr>
                <w:sz w:val="22"/>
                <w:szCs w:val="22"/>
                <w:lang w:val="sr-Latn-ME"/>
              </w:rPr>
              <w:t>glavobolja</w:t>
            </w:r>
          </w:p>
        </w:tc>
        <w:tc>
          <w:tcPr>
            <w:tcW w:w="3163" w:type="dxa"/>
            <w:shd w:val="clear" w:color="auto" w:fill="auto"/>
            <w:vAlign w:val="center"/>
          </w:tcPr>
          <w:p w14:paraId="637527DC" w14:textId="77777777" w:rsidR="000D0C9F" w:rsidRPr="00245459" w:rsidRDefault="000D0C9F" w:rsidP="005342F3">
            <w:pPr>
              <w:jc w:val="both"/>
              <w:rPr>
                <w:sz w:val="22"/>
                <w:szCs w:val="22"/>
                <w:lang w:val="sr-Latn-ME"/>
              </w:rPr>
            </w:pPr>
            <w:r w:rsidRPr="00245459">
              <w:rPr>
                <w:sz w:val="22"/>
                <w:szCs w:val="22"/>
                <w:lang w:val="sr-Latn-ME"/>
              </w:rPr>
              <w:t>glavobolja</w:t>
            </w:r>
          </w:p>
        </w:tc>
      </w:tr>
      <w:tr w:rsidR="000D0C9F" w:rsidRPr="00245459" w14:paraId="3719FFE7" w14:textId="77777777" w:rsidTr="00015E32">
        <w:trPr>
          <w:jc w:val="center"/>
        </w:trPr>
        <w:tc>
          <w:tcPr>
            <w:tcW w:w="2952" w:type="dxa"/>
            <w:shd w:val="clear" w:color="auto" w:fill="auto"/>
            <w:vAlign w:val="center"/>
          </w:tcPr>
          <w:p w14:paraId="62306197" w14:textId="7ECC6A0B" w:rsidR="000D0C9F" w:rsidRPr="00245459" w:rsidRDefault="002C5FFF" w:rsidP="005342F3">
            <w:pPr>
              <w:jc w:val="both"/>
              <w:rPr>
                <w:b/>
                <w:sz w:val="22"/>
                <w:szCs w:val="22"/>
                <w:lang w:val="sr-Latn-ME"/>
              </w:rPr>
            </w:pPr>
            <w:r w:rsidRPr="00245459">
              <w:rPr>
                <w:b/>
                <w:sz w:val="22"/>
                <w:szCs w:val="22"/>
                <w:lang w:val="sr-Latn-ME"/>
              </w:rPr>
              <w:t>Gastrointenstinalni poremećaji</w:t>
            </w:r>
            <w:r w:rsidR="000D0C9F" w:rsidRPr="00245459">
              <w:rPr>
                <w:b/>
                <w:sz w:val="22"/>
                <w:szCs w:val="22"/>
                <w:lang w:val="sr-Latn-ME"/>
              </w:rPr>
              <w:t>trakta</w:t>
            </w:r>
          </w:p>
          <w:p w14:paraId="751CC2C8" w14:textId="77777777" w:rsidR="000D0C9F" w:rsidRPr="00245459" w:rsidRDefault="000D0C9F" w:rsidP="005342F3">
            <w:pPr>
              <w:jc w:val="both"/>
              <w:rPr>
                <w:sz w:val="22"/>
                <w:szCs w:val="22"/>
                <w:lang w:val="sr-Latn-ME"/>
              </w:rPr>
            </w:pPr>
          </w:p>
        </w:tc>
        <w:tc>
          <w:tcPr>
            <w:tcW w:w="2952" w:type="dxa"/>
            <w:shd w:val="clear" w:color="auto" w:fill="auto"/>
            <w:vAlign w:val="center"/>
          </w:tcPr>
          <w:p w14:paraId="6B696632" w14:textId="2B925547" w:rsidR="000D0C9F" w:rsidRPr="00245459" w:rsidRDefault="0094589D" w:rsidP="005342F3">
            <w:pPr>
              <w:jc w:val="both"/>
              <w:rPr>
                <w:sz w:val="22"/>
                <w:szCs w:val="22"/>
                <w:lang w:val="sr-Latn-ME"/>
              </w:rPr>
            </w:pPr>
            <w:r w:rsidRPr="00245459">
              <w:rPr>
                <w:sz w:val="22"/>
                <w:szCs w:val="22"/>
                <w:lang w:val="sr-Latn-ME"/>
              </w:rPr>
              <w:t>abdominalni bol</w:t>
            </w:r>
          </w:p>
        </w:tc>
        <w:tc>
          <w:tcPr>
            <w:tcW w:w="3163" w:type="dxa"/>
            <w:shd w:val="clear" w:color="auto" w:fill="auto"/>
            <w:vAlign w:val="center"/>
          </w:tcPr>
          <w:p w14:paraId="4582699A" w14:textId="77777777" w:rsidR="000D0C9F" w:rsidRPr="00245459" w:rsidRDefault="000D0C9F" w:rsidP="005342F3">
            <w:pPr>
              <w:jc w:val="both"/>
              <w:rPr>
                <w:sz w:val="22"/>
                <w:szCs w:val="22"/>
                <w:lang w:val="sr-Latn-ME"/>
              </w:rPr>
            </w:pPr>
          </w:p>
        </w:tc>
      </w:tr>
    </w:tbl>
    <w:p w14:paraId="70F187BE" w14:textId="77777777" w:rsidR="007B3448" w:rsidRPr="00245459" w:rsidRDefault="007B3448" w:rsidP="005342F3">
      <w:pPr>
        <w:spacing w:after="200" w:line="276" w:lineRule="auto"/>
        <w:jc w:val="both"/>
        <w:rPr>
          <w:rFonts w:eastAsia="Calibri"/>
          <w:sz w:val="22"/>
          <w:szCs w:val="22"/>
          <w:u w:val="single"/>
          <w:lang w:val="sr-Latn-ME"/>
        </w:rPr>
      </w:pPr>
    </w:p>
    <w:p w14:paraId="6B6B6B6B" w14:textId="7DA340D3" w:rsidR="000D0C9F" w:rsidRPr="00245459" w:rsidRDefault="00757BAC" w:rsidP="005342F3">
      <w:pPr>
        <w:jc w:val="both"/>
        <w:rPr>
          <w:sz w:val="22"/>
          <w:szCs w:val="22"/>
          <w:lang w:val="sr-Latn-ME"/>
        </w:rPr>
      </w:pPr>
      <w:r w:rsidRPr="00245459">
        <w:rPr>
          <w:sz w:val="22"/>
          <w:szCs w:val="22"/>
          <w:lang w:val="sr-Latn-ME"/>
        </w:rPr>
        <w:t>U toku dugotrajnog liječenja</w:t>
      </w:r>
      <w:r w:rsidR="000D0C9F" w:rsidRPr="00245459">
        <w:rPr>
          <w:sz w:val="22"/>
          <w:szCs w:val="22"/>
          <w:lang w:val="sr-Latn-ME"/>
        </w:rPr>
        <w:t xml:space="preserve">, u kliničkim ispitivanjima sa ograničenim brojem pacijenata, u trajanju do dvije godine </w:t>
      </w:r>
      <w:r w:rsidRPr="00245459">
        <w:rPr>
          <w:sz w:val="22"/>
          <w:szCs w:val="22"/>
          <w:lang w:val="sr-Latn-ME"/>
        </w:rPr>
        <w:t xml:space="preserve">kod odraslih pacijenata, </w:t>
      </w:r>
      <w:r w:rsidR="000D0C9F" w:rsidRPr="00245459">
        <w:rPr>
          <w:sz w:val="22"/>
          <w:szCs w:val="22"/>
          <w:lang w:val="sr-Latn-ME"/>
        </w:rPr>
        <w:t xml:space="preserve">i do 12 mjeseci </w:t>
      </w:r>
      <w:r w:rsidRPr="00245459">
        <w:rPr>
          <w:sz w:val="22"/>
          <w:szCs w:val="22"/>
          <w:lang w:val="sr-Latn-ME"/>
        </w:rPr>
        <w:t xml:space="preserve">kod pedijatrijskih pacijenata </w:t>
      </w:r>
      <w:r w:rsidR="000D0C9F" w:rsidRPr="00245459">
        <w:rPr>
          <w:sz w:val="22"/>
          <w:szCs w:val="22"/>
          <w:lang w:val="sr-Latn-ME"/>
        </w:rPr>
        <w:t>starosti 6 do 14 godina, bezbjednosni profil se nije mijenjao.</w:t>
      </w:r>
    </w:p>
    <w:p w14:paraId="1304D545" w14:textId="77777777" w:rsidR="000D0C9F" w:rsidRPr="00245459" w:rsidRDefault="000D0C9F" w:rsidP="005342F3">
      <w:pPr>
        <w:jc w:val="both"/>
        <w:rPr>
          <w:sz w:val="22"/>
          <w:szCs w:val="22"/>
          <w:lang w:val="sr-Latn-ME"/>
        </w:rPr>
      </w:pPr>
    </w:p>
    <w:p w14:paraId="3B767309" w14:textId="77777777" w:rsidR="000D0C9F" w:rsidRPr="00245459" w:rsidRDefault="000D0C9F" w:rsidP="005342F3">
      <w:pPr>
        <w:spacing w:before="120" w:after="120"/>
        <w:jc w:val="both"/>
        <w:rPr>
          <w:sz w:val="22"/>
          <w:szCs w:val="22"/>
          <w:lang w:val="sr-Latn-ME"/>
        </w:rPr>
      </w:pPr>
      <w:r w:rsidRPr="00245459">
        <w:rPr>
          <w:b/>
          <w:sz w:val="22"/>
          <w:szCs w:val="22"/>
          <w:lang w:val="sr-Latn-ME"/>
        </w:rPr>
        <w:t>Tabelarni prikaz neželjenih reakcija</w:t>
      </w:r>
    </w:p>
    <w:p w14:paraId="4FE0500A" w14:textId="76011719" w:rsidR="000D0C9F" w:rsidRPr="00245459" w:rsidRDefault="000D0C9F" w:rsidP="00F17597">
      <w:pPr>
        <w:pStyle w:val="Header"/>
        <w:tabs>
          <w:tab w:val="left" w:pos="284"/>
        </w:tabs>
        <w:jc w:val="both"/>
        <w:rPr>
          <w:sz w:val="22"/>
          <w:szCs w:val="22"/>
          <w:lang w:val="sr-Latn-ME" w:eastAsia="sr-Latn-CS"/>
        </w:rPr>
      </w:pPr>
      <w:r w:rsidRPr="00245459">
        <w:rPr>
          <w:sz w:val="22"/>
          <w:szCs w:val="22"/>
          <w:lang w:val="sr-Latn-ME"/>
        </w:rPr>
        <w:t xml:space="preserve">Neželjene reakcije prijavljene tokom post-marketinškog praćenja su razvrstane </w:t>
      </w:r>
      <w:r w:rsidR="009C3113" w:rsidRPr="00245459">
        <w:rPr>
          <w:sz w:val="22"/>
          <w:szCs w:val="22"/>
          <w:lang w:val="sr-Latn-ME"/>
        </w:rPr>
        <w:t>sistem</w:t>
      </w:r>
      <w:r w:rsidR="00757BAC" w:rsidRPr="00245459">
        <w:rPr>
          <w:sz w:val="22"/>
          <w:szCs w:val="22"/>
          <w:lang w:val="sr-Latn-ME"/>
        </w:rPr>
        <w:t>im</w:t>
      </w:r>
      <w:r w:rsidR="009C3113" w:rsidRPr="00245459">
        <w:rPr>
          <w:sz w:val="22"/>
          <w:szCs w:val="22"/>
          <w:lang w:val="sr-Latn-ME"/>
        </w:rPr>
        <w:t>a organa</w:t>
      </w:r>
      <w:r w:rsidR="00757BAC" w:rsidRPr="00245459">
        <w:rPr>
          <w:sz w:val="22"/>
          <w:szCs w:val="22"/>
          <w:lang w:val="sr-Latn-ME"/>
        </w:rPr>
        <w:t xml:space="preserve"> u tabeli ispod.</w:t>
      </w:r>
      <w:r w:rsidRPr="00245459">
        <w:rPr>
          <w:sz w:val="22"/>
          <w:szCs w:val="22"/>
          <w:lang w:val="sr-Latn-ME"/>
        </w:rPr>
        <w:t xml:space="preserve"> </w:t>
      </w:r>
      <w:r w:rsidR="00757BAC" w:rsidRPr="00245459">
        <w:rPr>
          <w:sz w:val="22"/>
          <w:szCs w:val="22"/>
          <w:lang w:val="sr-Latn-ME"/>
        </w:rPr>
        <w:t>K</w:t>
      </w:r>
      <w:r w:rsidRPr="00245459">
        <w:rPr>
          <w:sz w:val="22"/>
          <w:szCs w:val="22"/>
          <w:lang w:val="sr-Latn-ME"/>
        </w:rPr>
        <w:t>ategorije učestalosti su određene na osnovu relevantnih kliničkih studija</w:t>
      </w:r>
      <w:r w:rsidRPr="00245459">
        <w:rPr>
          <w:sz w:val="22"/>
          <w:szCs w:val="22"/>
          <w:lang w:val="sr-Latn-ME" w:eastAsia="sr-Latn-CS"/>
        </w:rPr>
        <w:t>.</w:t>
      </w:r>
    </w:p>
    <w:p w14:paraId="6CA75620" w14:textId="77777777" w:rsidR="006F0D17" w:rsidRPr="00245459" w:rsidRDefault="006F0D17" w:rsidP="00F17597">
      <w:pPr>
        <w:pStyle w:val="Header"/>
        <w:tabs>
          <w:tab w:val="left" w:pos="284"/>
        </w:tabs>
        <w:jc w:val="both"/>
        <w:rPr>
          <w:rFonts w:eastAsia="Calibri"/>
          <w:lang w:val="sr-Latn-ME"/>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4214"/>
        <w:gridCol w:w="2454"/>
      </w:tblGrid>
      <w:tr w:rsidR="000D0C9F" w:rsidRPr="00245459" w14:paraId="5DA6F0AD" w14:textId="77777777" w:rsidTr="00015E32">
        <w:trPr>
          <w:jc w:val="center"/>
        </w:trPr>
        <w:tc>
          <w:tcPr>
            <w:tcW w:w="3294" w:type="dxa"/>
            <w:shd w:val="clear" w:color="auto" w:fill="auto"/>
          </w:tcPr>
          <w:p w14:paraId="18655039" w14:textId="22E02048" w:rsidR="000D0C9F" w:rsidRPr="00245459" w:rsidRDefault="00757BAC" w:rsidP="005342F3">
            <w:pPr>
              <w:jc w:val="both"/>
              <w:rPr>
                <w:b/>
                <w:sz w:val="22"/>
                <w:szCs w:val="22"/>
                <w:lang w:val="sr-Latn-ME"/>
              </w:rPr>
            </w:pPr>
            <w:r w:rsidRPr="00245459">
              <w:rPr>
                <w:b/>
                <w:sz w:val="22"/>
                <w:szCs w:val="22"/>
                <w:lang w:val="sr-Latn-ME"/>
              </w:rPr>
              <w:t>MedDRA k</w:t>
            </w:r>
            <w:r w:rsidR="00A123F1" w:rsidRPr="00245459">
              <w:rPr>
                <w:b/>
                <w:sz w:val="22"/>
                <w:szCs w:val="22"/>
                <w:lang w:val="sr-Latn-ME"/>
              </w:rPr>
              <w:t>las</w:t>
            </w:r>
            <w:r w:rsidRPr="00245459">
              <w:rPr>
                <w:b/>
                <w:sz w:val="22"/>
                <w:szCs w:val="22"/>
                <w:lang w:val="sr-Latn-ME"/>
              </w:rPr>
              <w:t>ifikacij</w:t>
            </w:r>
            <w:r w:rsidR="00A123F1" w:rsidRPr="00245459">
              <w:rPr>
                <w:b/>
                <w:sz w:val="22"/>
                <w:szCs w:val="22"/>
                <w:lang w:val="sr-Latn-ME"/>
              </w:rPr>
              <w:t>a sistema organa</w:t>
            </w:r>
          </w:p>
        </w:tc>
        <w:tc>
          <w:tcPr>
            <w:tcW w:w="4214" w:type="dxa"/>
            <w:shd w:val="clear" w:color="auto" w:fill="auto"/>
          </w:tcPr>
          <w:p w14:paraId="01C36172" w14:textId="77777777" w:rsidR="000D0C9F" w:rsidRPr="00245459" w:rsidRDefault="000D0C9F" w:rsidP="005342F3">
            <w:pPr>
              <w:jc w:val="both"/>
              <w:rPr>
                <w:b/>
                <w:sz w:val="22"/>
                <w:szCs w:val="22"/>
                <w:lang w:val="sr-Latn-ME"/>
              </w:rPr>
            </w:pPr>
            <w:r w:rsidRPr="00245459">
              <w:rPr>
                <w:b/>
                <w:sz w:val="22"/>
                <w:szCs w:val="22"/>
                <w:lang w:val="sr-Latn-ME"/>
              </w:rPr>
              <w:t>Neželjena reakcija</w:t>
            </w:r>
          </w:p>
        </w:tc>
        <w:tc>
          <w:tcPr>
            <w:tcW w:w="2454" w:type="dxa"/>
            <w:shd w:val="clear" w:color="auto" w:fill="auto"/>
          </w:tcPr>
          <w:p w14:paraId="3F7DF182" w14:textId="77777777" w:rsidR="000D0C9F" w:rsidRPr="00245459" w:rsidRDefault="000D0C9F" w:rsidP="005342F3">
            <w:pPr>
              <w:jc w:val="both"/>
              <w:rPr>
                <w:b/>
                <w:sz w:val="22"/>
                <w:szCs w:val="22"/>
                <w:lang w:val="sr-Latn-ME"/>
              </w:rPr>
            </w:pPr>
            <w:r w:rsidRPr="00245459">
              <w:rPr>
                <w:b/>
                <w:sz w:val="22"/>
                <w:szCs w:val="22"/>
                <w:lang w:val="sr-Latn-ME"/>
              </w:rPr>
              <w:t>Kategorija učestalosti*</w:t>
            </w:r>
          </w:p>
        </w:tc>
      </w:tr>
      <w:tr w:rsidR="000D0C9F" w:rsidRPr="00245459" w14:paraId="1E2FF0C8" w14:textId="77777777" w:rsidTr="00015E32">
        <w:trPr>
          <w:jc w:val="center"/>
        </w:trPr>
        <w:tc>
          <w:tcPr>
            <w:tcW w:w="3294" w:type="dxa"/>
            <w:shd w:val="clear" w:color="auto" w:fill="auto"/>
          </w:tcPr>
          <w:p w14:paraId="686C15A1" w14:textId="77777777" w:rsidR="000D0C9F" w:rsidRPr="00245459" w:rsidRDefault="000D0C9F" w:rsidP="005342F3">
            <w:pPr>
              <w:jc w:val="both"/>
              <w:rPr>
                <w:sz w:val="22"/>
                <w:szCs w:val="22"/>
                <w:lang w:val="sr-Latn-ME"/>
              </w:rPr>
            </w:pPr>
            <w:r w:rsidRPr="00245459">
              <w:rPr>
                <w:sz w:val="22"/>
                <w:szCs w:val="22"/>
                <w:lang w:val="sr-Latn-ME"/>
              </w:rPr>
              <w:t>Infekcije i infestacije</w:t>
            </w:r>
          </w:p>
        </w:tc>
        <w:tc>
          <w:tcPr>
            <w:tcW w:w="4214" w:type="dxa"/>
            <w:shd w:val="clear" w:color="auto" w:fill="auto"/>
          </w:tcPr>
          <w:p w14:paraId="1586BA33" w14:textId="77777777" w:rsidR="000D0C9F" w:rsidRPr="00245459" w:rsidRDefault="000D0C9F" w:rsidP="005342F3">
            <w:pPr>
              <w:jc w:val="both"/>
              <w:rPr>
                <w:sz w:val="22"/>
                <w:szCs w:val="22"/>
                <w:lang w:val="sr-Latn-ME"/>
              </w:rPr>
            </w:pPr>
            <w:r w:rsidRPr="00245459">
              <w:rPr>
                <w:sz w:val="22"/>
                <w:szCs w:val="22"/>
                <w:lang w:val="sr-Latn-ME"/>
              </w:rPr>
              <w:t>Infekcije gornjih disajnih puteva†</w:t>
            </w:r>
          </w:p>
        </w:tc>
        <w:tc>
          <w:tcPr>
            <w:tcW w:w="2454" w:type="dxa"/>
            <w:shd w:val="clear" w:color="auto" w:fill="auto"/>
          </w:tcPr>
          <w:p w14:paraId="6CA201E7" w14:textId="77777777" w:rsidR="000D0C9F" w:rsidRPr="00245459" w:rsidRDefault="000D0C9F" w:rsidP="005342F3">
            <w:pPr>
              <w:jc w:val="both"/>
              <w:rPr>
                <w:sz w:val="22"/>
                <w:szCs w:val="22"/>
                <w:lang w:val="sr-Latn-ME"/>
              </w:rPr>
            </w:pPr>
            <w:r w:rsidRPr="00245459">
              <w:rPr>
                <w:sz w:val="22"/>
                <w:szCs w:val="22"/>
                <w:lang w:val="sr-Latn-ME"/>
              </w:rPr>
              <w:t>Veoma često</w:t>
            </w:r>
          </w:p>
        </w:tc>
      </w:tr>
      <w:tr w:rsidR="00414737" w:rsidRPr="00245459" w14:paraId="5F82035C" w14:textId="77777777" w:rsidTr="00015E32">
        <w:trPr>
          <w:jc w:val="center"/>
        </w:trPr>
        <w:tc>
          <w:tcPr>
            <w:tcW w:w="3294" w:type="dxa"/>
            <w:vMerge w:val="restart"/>
            <w:shd w:val="clear" w:color="auto" w:fill="auto"/>
          </w:tcPr>
          <w:p w14:paraId="3034F7DB" w14:textId="41CBC81E" w:rsidR="00414737" w:rsidRPr="00245459" w:rsidRDefault="00414737">
            <w:pPr>
              <w:jc w:val="both"/>
              <w:rPr>
                <w:sz w:val="22"/>
                <w:szCs w:val="22"/>
                <w:lang w:val="sr-Latn-ME"/>
              </w:rPr>
            </w:pPr>
            <w:r w:rsidRPr="00245459">
              <w:rPr>
                <w:sz w:val="22"/>
                <w:szCs w:val="22"/>
                <w:lang w:val="sr-Latn-ME"/>
              </w:rPr>
              <w:t xml:space="preserve">Poremećaji </w:t>
            </w:r>
            <w:r w:rsidR="001B161A" w:rsidRPr="00245459">
              <w:rPr>
                <w:sz w:val="22"/>
                <w:szCs w:val="22"/>
                <w:lang w:val="sr-Latn-ME"/>
              </w:rPr>
              <w:t>krvi i</w:t>
            </w:r>
            <w:r w:rsidRPr="00245459">
              <w:rPr>
                <w:sz w:val="22"/>
                <w:szCs w:val="22"/>
                <w:lang w:val="sr-Latn-ME"/>
              </w:rPr>
              <w:t xml:space="preserve"> limfnog sistema</w:t>
            </w:r>
          </w:p>
        </w:tc>
        <w:tc>
          <w:tcPr>
            <w:tcW w:w="4214" w:type="dxa"/>
            <w:shd w:val="clear" w:color="auto" w:fill="auto"/>
          </w:tcPr>
          <w:p w14:paraId="7B15662B" w14:textId="77777777" w:rsidR="00414737" w:rsidRPr="00245459" w:rsidRDefault="00414737" w:rsidP="005342F3">
            <w:pPr>
              <w:jc w:val="both"/>
              <w:rPr>
                <w:sz w:val="22"/>
                <w:szCs w:val="22"/>
                <w:lang w:val="sr-Latn-ME"/>
              </w:rPr>
            </w:pPr>
            <w:r w:rsidRPr="00245459">
              <w:rPr>
                <w:sz w:val="22"/>
                <w:szCs w:val="22"/>
                <w:lang w:val="sr-Latn-ME"/>
              </w:rPr>
              <w:t>Pojačana sklonost ka krvarenju</w:t>
            </w:r>
          </w:p>
        </w:tc>
        <w:tc>
          <w:tcPr>
            <w:tcW w:w="2454" w:type="dxa"/>
            <w:shd w:val="clear" w:color="auto" w:fill="auto"/>
          </w:tcPr>
          <w:p w14:paraId="7EFD891C" w14:textId="77777777" w:rsidR="00414737" w:rsidRPr="00245459" w:rsidRDefault="00414737" w:rsidP="005342F3">
            <w:pPr>
              <w:jc w:val="both"/>
              <w:rPr>
                <w:sz w:val="22"/>
                <w:szCs w:val="22"/>
                <w:lang w:val="sr-Latn-ME"/>
              </w:rPr>
            </w:pPr>
            <w:r w:rsidRPr="00245459">
              <w:rPr>
                <w:sz w:val="22"/>
                <w:szCs w:val="22"/>
                <w:lang w:val="sr-Latn-ME"/>
              </w:rPr>
              <w:t xml:space="preserve">Rijetko </w:t>
            </w:r>
          </w:p>
        </w:tc>
      </w:tr>
      <w:tr w:rsidR="00414737" w:rsidRPr="00245459" w14:paraId="5ECA8D85" w14:textId="77777777" w:rsidTr="00015E32">
        <w:trPr>
          <w:jc w:val="center"/>
        </w:trPr>
        <w:tc>
          <w:tcPr>
            <w:tcW w:w="3294" w:type="dxa"/>
            <w:vMerge/>
            <w:shd w:val="clear" w:color="auto" w:fill="auto"/>
          </w:tcPr>
          <w:p w14:paraId="01BC20DD" w14:textId="77777777" w:rsidR="00414737" w:rsidRPr="00245459" w:rsidRDefault="00414737" w:rsidP="005342F3">
            <w:pPr>
              <w:jc w:val="both"/>
              <w:rPr>
                <w:sz w:val="22"/>
                <w:szCs w:val="22"/>
                <w:lang w:val="sr-Latn-ME"/>
              </w:rPr>
            </w:pPr>
          </w:p>
        </w:tc>
        <w:tc>
          <w:tcPr>
            <w:tcW w:w="4214" w:type="dxa"/>
            <w:shd w:val="clear" w:color="auto" w:fill="auto"/>
          </w:tcPr>
          <w:p w14:paraId="29457F1A" w14:textId="175F5CDF" w:rsidR="00414737" w:rsidRPr="00245459" w:rsidRDefault="00414737" w:rsidP="005342F3">
            <w:pPr>
              <w:jc w:val="both"/>
              <w:rPr>
                <w:sz w:val="22"/>
                <w:szCs w:val="22"/>
                <w:lang w:val="sr-Latn-ME"/>
              </w:rPr>
            </w:pPr>
            <w:r w:rsidRPr="00245459">
              <w:rPr>
                <w:sz w:val="22"/>
                <w:szCs w:val="22"/>
                <w:lang w:val="sr-Latn-ME"/>
              </w:rPr>
              <w:t>Trombocitopenija</w:t>
            </w:r>
          </w:p>
        </w:tc>
        <w:tc>
          <w:tcPr>
            <w:tcW w:w="2454" w:type="dxa"/>
            <w:shd w:val="clear" w:color="auto" w:fill="auto"/>
          </w:tcPr>
          <w:p w14:paraId="6A29C07E" w14:textId="37031BE3" w:rsidR="00414737" w:rsidRPr="00245459" w:rsidRDefault="00414737" w:rsidP="005342F3">
            <w:pPr>
              <w:jc w:val="both"/>
              <w:rPr>
                <w:sz w:val="22"/>
                <w:szCs w:val="22"/>
                <w:lang w:val="sr-Latn-ME"/>
              </w:rPr>
            </w:pPr>
            <w:r w:rsidRPr="00245459">
              <w:rPr>
                <w:sz w:val="22"/>
                <w:szCs w:val="22"/>
                <w:lang w:val="sr-Latn-ME"/>
              </w:rPr>
              <w:t>Veoma rijetko</w:t>
            </w:r>
          </w:p>
        </w:tc>
      </w:tr>
      <w:tr w:rsidR="000D0C9F" w:rsidRPr="00245459" w14:paraId="27C9CF51" w14:textId="77777777" w:rsidTr="00015E32">
        <w:trPr>
          <w:trHeight w:val="520"/>
          <w:jc w:val="center"/>
        </w:trPr>
        <w:tc>
          <w:tcPr>
            <w:tcW w:w="3294" w:type="dxa"/>
            <w:vMerge w:val="restart"/>
            <w:shd w:val="clear" w:color="auto" w:fill="auto"/>
          </w:tcPr>
          <w:p w14:paraId="19C7DAEF" w14:textId="0B4329EC" w:rsidR="000D0C9F" w:rsidRPr="00245459" w:rsidRDefault="002C5FFF" w:rsidP="005342F3">
            <w:pPr>
              <w:jc w:val="both"/>
              <w:rPr>
                <w:sz w:val="22"/>
                <w:szCs w:val="22"/>
                <w:lang w:val="sr-Latn-ME"/>
              </w:rPr>
            </w:pPr>
            <w:r w:rsidRPr="00245459">
              <w:rPr>
                <w:sz w:val="22"/>
                <w:szCs w:val="22"/>
                <w:lang w:val="sr-Latn-ME"/>
              </w:rPr>
              <w:t>Poremećaji imunskog sistema</w:t>
            </w:r>
          </w:p>
        </w:tc>
        <w:tc>
          <w:tcPr>
            <w:tcW w:w="4214" w:type="dxa"/>
            <w:shd w:val="clear" w:color="auto" w:fill="auto"/>
          </w:tcPr>
          <w:p w14:paraId="2326B5A1" w14:textId="77777777" w:rsidR="000D0C9F" w:rsidRPr="00245459" w:rsidRDefault="000D0C9F" w:rsidP="005342F3">
            <w:pPr>
              <w:jc w:val="both"/>
              <w:rPr>
                <w:sz w:val="22"/>
                <w:szCs w:val="22"/>
                <w:lang w:val="sr-Latn-ME"/>
              </w:rPr>
            </w:pPr>
            <w:r w:rsidRPr="00245459">
              <w:rPr>
                <w:sz w:val="22"/>
                <w:szCs w:val="22"/>
                <w:lang w:val="sr-Latn-ME"/>
              </w:rPr>
              <w:t>Reakcije preosjetljivosti uključujući anafilaksu</w:t>
            </w:r>
          </w:p>
        </w:tc>
        <w:tc>
          <w:tcPr>
            <w:tcW w:w="2454" w:type="dxa"/>
            <w:shd w:val="clear" w:color="auto" w:fill="auto"/>
          </w:tcPr>
          <w:p w14:paraId="1F129AD0" w14:textId="77777777" w:rsidR="000D0C9F" w:rsidRPr="00245459" w:rsidRDefault="000D0C9F" w:rsidP="005342F3">
            <w:pPr>
              <w:jc w:val="both"/>
              <w:rPr>
                <w:sz w:val="22"/>
                <w:szCs w:val="22"/>
                <w:lang w:val="sr-Latn-ME"/>
              </w:rPr>
            </w:pPr>
            <w:r w:rsidRPr="00245459">
              <w:rPr>
                <w:sz w:val="22"/>
                <w:szCs w:val="22"/>
                <w:lang w:val="sr-Latn-ME"/>
              </w:rPr>
              <w:t xml:space="preserve">Povremeno </w:t>
            </w:r>
          </w:p>
        </w:tc>
      </w:tr>
      <w:tr w:rsidR="000D0C9F" w:rsidRPr="00245459" w14:paraId="4CFFA460" w14:textId="77777777" w:rsidTr="00015E32">
        <w:trPr>
          <w:trHeight w:val="127"/>
          <w:jc w:val="center"/>
        </w:trPr>
        <w:tc>
          <w:tcPr>
            <w:tcW w:w="3294" w:type="dxa"/>
            <w:vMerge/>
            <w:shd w:val="clear" w:color="auto" w:fill="auto"/>
          </w:tcPr>
          <w:p w14:paraId="04232148" w14:textId="77777777" w:rsidR="000D0C9F" w:rsidRPr="00245459" w:rsidRDefault="000D0C9F" w:rsidP="005342F3">
            <w:pPr>
              <w:jc w:val="both"/>
              <w:rPr>
                <w:b/>
                <w:sz w:val="22"/>
                <w:szCs w:val="22"/>
                <w:lang w:val="sr-Latn-ME"/>
              </w:rPr>
            </w:pPr>
          </w:p>
        </w:tc>
        <w:tc>
          <w:tcPr>
            <w:tcW w:w="4214" w:type="dxa"/>
            <w:shd w:val="clear" w:color="auto" w:fill="auto"/>
          </w:tcPr>
          <w:p w14:paraId="52C08C3D" w14:textId="77777777" w:rsidR="000D0C9F" w:rsidRPr="00245459" w:rsidRDefault="000D0C9F" w:rsidP="005342F3">
            <w:pPr>
              <w:jc w:val="both"/>
              <w:rPr>
                <w:sz w:val="22"/>
                <w:szCs w:val="22"/>
                <w:lang w:val="sr-Latn-ME"/>
              </w:rPr>
            </w:pPr>
            <w:r w:rsidRPr="00245459">
              <w:rPr>
                <w:sz w:val="22"/>
                <w:szCs w:val="22"/>
                <w:lang w:val="sr-Latn-ME"/>
              </w:rPr>
              <w:t>Hepatička eozinofilna infiltracija</w:t>
            </w:r>
          </w:p>
        </w:tc>
        <w:tc>
          <w:tcPr>
            <w:tcW w:w="2454" w:type="dxa"/>
            <w:shd w:val="clear" w:color="auto" w:fill="auto"/>
          </w:tcPr>
          <w:p w14:paraId="3FD0EC22"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6E79065C" w14:textId="77777777" w:rsidTr="00015E32">
        <w:trPr>
          <w:trHeight w:val="85"/>
          <w:jc w:val="center"/>
        </w:trPr>
        <w:tc>
          <w:tcPr>
            <w:tcW w:w="3294" w:type="dxa"/>
            <w:vMerge w:val="restart"/>
            <w:shd w:val="clear" w:color="auto" w:fill="auto"/>
          </w:tcPr>
          <w:p w14:paraId="0651D06B" w14:textId="77777777" w:rsidR="000D0C9F" w:rsidRPr="00245459" w:rsidRDefault="000D0C9F" w:rsidP="005342F3">
            <w:pPr>
              <w:jc w:val="both"/>
              <w:rPr>
                <w:sz w:val="22"/>
                <w:szCs w:val="22"/>
                <w:lang w:val="sr-Latn-ME"/>
              </w:rPr>
            </w:pPr>
            <w:r w:rsidRPr="00245459">
              <w:rPr>
                <w:sz w:val="22"/>
                <w:szCs w:val="22"/>
                <w:lang w:val="sr-Latn-ME"/>
              </w:rPr>
              <w:t>Psihijatrijski poremećaji</w:t>
            </w:r>
          </w:p>
        </w:tc>
        <w:tc>
          <w:tcPr>
            <w:tcW w:w="4214" w:type="dxa"/>
            <w:shd w:val="clear" w:color="auto" w:fill="auto"/>
          </w:tcPr>
          <w:p w14:paraId="0BB54EAC" w14:textId="75CD7BBB" w:rsidR="000D0C9F" w:rsidRPr="00245459" w:rsidRDefault="000D0C9F" w:rsidP="005342F3">
            <w:pPr>
              <w:jc w:val="both"/>
              <w:rPr>
                <w:sz w:val="22"/>
                <w:szCs w:val="22"/>
                <w:lang w:val="sr-Latn-ME"/>
              </w:rPr>
            </w:pPr>
            <w:r w:rsidRPr="00245459">
              <w:rPr>
                <w:sz w:val="22"/>
                <w:szCs w:val="22"/>
                <w:lang w:val="sr-Latn-ME"/>
              </w:rPr>
              <w:t xml:space="preserve">Poremećaji sna uključujući noćne more, nesanicu, somnambulizam, uznemirenost, </w:t>
            </w:r>
            <w:r w:rsidRPr="00245459">
              <w:rPr>
                <w:sz w:val="22"/>
                <w:szCs w:val="22"/>
                <w:lang w:val="sr-Latn-ME"/>
              </w:rPr>
              <w:lastRenderedPageBreak/>
              <w:t>agitaciju uz agresivno i</w:t>
            </w:r>
            <w:r w:rsidR="00757BAC" w:rsidRPr="00245459">
              <w:rPr>
                <w:sz w:val="22"/>
                <w:szCs w:val="22"/>
                <w:lang w:val="sr-Latn-ME"/>
              </w:rPr>
              <w:t>li</w:t>
            </w:r>
            <w:r w:rsidRPr="00245459">
              <w:rPr>
                <w:sz w:val="22"/>
                <w:szCs w:val="22"/>
                <w:lang w:val="sr-Latn-ME"/>
              </w:rPr>
              <w:t xml:space="preserve"> neprijateljsko ponašanje, depresija, psihomotorna hiperaktivnost (uključujući iritabilnost, </w:t>
            </w:r>
            <w:r w:rsidR="004C44B5" w:rsidRPr="00245459">
              <w:rPr>
                <w:sz w:val="22"/>
                <w:szCs w:val="22"/>
                <w:lang w:val="sr-Latn-ME"/>
              </w:rPr>
              <w:t>nemir</w:t>
            </w:r>
            <w:r w:rsidRPr="00245459">
              <w:rPr>
                <w:sz w:val="22"/>
                <w:szCs w:val="22"/>
                <w:lang w:val="sr-Latn-ME"/>
              </w:rPr>
              <w:t>, tremor</w:t>
            </w:r>
            <w:r w:rsidRPr="00245459">
              <w:rPr>
                <w:sz w:val="22"/>
                <w:szCs w:val="22"/>
                <w:vertAlign w:val="superscript"/>
                <w:lang w:val="sr-Latn-ME"/>
              </w:rPr>
              <w:t>§</w:t>
            </w:r>
            <w:r w:rsidRPr="00245459">
              <w:rPr>
                <w:sz w:val="22"/>
                <w:szCs w:val="22"/>
                <w:lang w:val="sr-Latn-ME"/>
              </w:rPr>
              <w:t>)</w:t>
            </w:r>
          </w:p>
        </w:tc>
        <w:tc>
          <w:tcPr>
            <w:tcW w:w="2454" w:type="dxa"/>
            <w:shd w:val="clear" w:color="auto" w:fill="auto"/>
          </w:tcPr>
          <w:p w14:paraId="4597DFFF" w14:textId="77777777" w:rsidR="000D0C9F" w:rsidRPr="00245459" w:rsidRDefault="000D0C9F" w:rsidP="005342F3">
            <w:pPr>
              <w:jc w:val="both"/>
              <w:rPr>
                <w:sz w:val="22"/>
                <w:szCs w:val="22"/>
                <w:lang w:val="sr-Latn-ME"/>
              </w:rPr>
            </w:pPr>
            <w:r w:rsidRPr="00245459">
              <w:rPr>
                <w:sz w:val="22"/>
                <w:szCs w:val="22"/>
                <w:lang w:val="sr-Latn-ME"/>
              </w:rPr>
              <w:lastRenderedPageBreak/>
              <w:t xml:space="preserve">Povremeno </w:t>
            </w:r>
          </w:p>
        </w:tc>
      </w:tr>
      <w:tr w:rsidR="000D0C9F" w:rsidRPr="00245459" w14:paraId="0A967BC5" w14:textId="77777777" w:rsidTr="00015E32">
        <w:trPr>
          <w:trHeight w:val="85"/>
          <w:jc w:val="center"/>
        </w:trPr>
        <w:tc>
          <w:tcPr>
            <w:tcW w:w="3294" w:type="dxa"/>
            <w:vMerge/>
            <w:shd w:val="clear" w:color="auto" w:fill="auto"/>
          </w:tcPr>
          <w:p w14:paraId="33F5F7A0" w14:textId="77777777" w:rsidR="000D0C9F" w:rsidRPr="00245459" w:rsidRDefault="000D0C9F" w:rsidP="005342F3">
            <w:pPr>
              <w:jc w:val="both"/>
              <w:rPr>
                <w:sz w:val="22"/>
                <w:szCs w:val="22"/>
                <w:lang w:val="sr-Latn-ME"/>
              </w:rPr>
            </w:pPr>
          </w:p>
        </w:tc>
        <w:tc>
          <w:tcPr>
            <w:tcW w:w="4214" w:type="dxa"/>
            <w:shd w:val="clear" w:color="auto" w:fill="auto"/>
          </w:tcPr>
          <w:p w14:paraId="7E2986DE" w14:textId="25614124" w:rsidR="000D0C9F" w:rsidRPr="00245459" w:rsidRDefault="000D0C9F" w:rsidP="005342F3">
            <w:pPr>
              <w:jc w:val="both"/>
              <w:rPr>
                <w:sz w:val="22"/>
                <w:szCs w:val="22"/>
                <w:lang w:val="sr-Latn-ME"/>
              </w:rPr>
            </w:pPr>
            <w:r w:rsidRPr="00245459">
              <w:rPr>
                <w:sz w:val="22"/>
                <w:szCs w:val="22"/>
                <w:lang w:val="sr-Latn-ME"/>
              </w:rPr>
              <w:t xml:space="preserve">Poremećaj pažnje, </w:t>
            </w:r>
            <w:r w:rsidR="00757BAC" w:rsidRPr="00245459">
              <w:rPr>
                <w:sz w:val="22"/>
                <w:szCs w:val="22"/>
                <w:lang w:val="sr-Latn-ME"/>
              </w:rPr>
              <w:t xml:space="preserve">poremećaj pamćenja, </w:t>
            </w:r>
            <w:r w:rsidR="001B161A" w:rsidRPr="00245459">
              <w:rPr>
                <w:sz w:val="22"/>
                <w:szCs w:val="22"/>
                <w:lang w:val="sr-Latn-ME"/>
              </w:rPr>
              <w:t>nekontrolisani mišićni pokreti (</w:t>
            </w:r>
            <w:r w:rsidR="00421935" w:rsidRPr="00245459">
              <w:rPr>
                <w:sz w:val="22"/>
                <w:szCs w:val="22"/>
                <w:lang w:val="sr-Latn-ME"/>
              </w:rPr>
              <w:t>tikovi</w:t>
            </w:r>
            <w:r w:rsidR="001B161A" w:rsidRPr="00245459">
              <w:rPr>
                <w:sz w:val="22"/>
                <w:szCs w:val="22"/>
                <w:lang w:val="sr-Latn-ME"/>
              </w:rPr>
              <w:t>)</w:t>
            </w:r>
          </w:p>
        </w:tc>
        <w:tc>
          <w:tcPr>
            <w:tcW w:w="2454" w:type="dxa"/>
            <w:shd w:val="clear" w:color="auto" w:fill="auto"/>
          </w:tcPr>
          <w:p w14:paraId="1A27F95F" w14:textId="77777777" w:rsidR="000D0C9F" w:rsidRPr="00245459" w:rsidRDefault="000D0C9F" w:rsidP="005342F3">
            <w:pPr>
              <w:jc w:val="both"/>
              <w:rPr>
                <w:sz w:val="22"/>
                <w:szCs w:val="22"/>
                <w:lang w:val="sr-Latn-ME"/>
              </w:rPr>
            </w:pPr>
            <w:r w:rsidRPr="00245459">
              <w:rPr>
                <w:sz w:val="22"/>
                <w:szCs w:val="22"/>
                <w:lang w:val="sr-Latn-ME"/>
              </w:rPr>
              <w:t xml:space="preserve">Rijetko </w:t>
            </w:r>
          </w:p>
        </w:tc>
      </w:tr>
      <w:tr w:rsidR="000D0C9F" w:rsidRPr="00245459" w14:paraId="7CDE4C6B" w14:textId="77777777" w:rsidTr="00015E32">
        <w:trPr>
          <w:trHeight w:val="85"/>
          <w:jc w:val="center"/>
        </w:trPr>
        <w:tc>
          <w:tcPr>
            <w:tcW w:w="3294" w:type="dxa"/>
            <w:vMerge/>
            <w:shd w:val="clear" w:color="auto" w:fill="auto"/>
          </w:tcPr>
          <w:p w14:paraId="4A16E844" w14:textId="77777777" w:rsidR="000D0C9F" w:rsidRPr="00245459" w:rsidRDefault="000D0C9F" w:rsidP="005342F3">
            <w:pPr>
              <w:jc w:val="both"/>
              <w:rPr>
                <w:sz w:val="22"/>
                <w:szCs w:val="22"/>
                <w:lang w:val="sr-Latn-ME"/>
              </w:rPr>
            </w:pPr>
          </w:p>
        </w:tc>
        <w:tc>
          <w:tcPr>
            <w:tcW w:w="4214" w:type="dxa"/>
            <w:shd w:val="clear" w:color="auto" w:fill="auto"/>
          </w:tcPr>
          <w:p w14:paraId="6BD95F47" w14:textId="0AB399C8" w:rsidR="000D0C9F" w:rsidRPr="00245459" w:rsidRDefault="00B17077" w:rsidP="005342F3">
            <w:pPr>
              <w:jc w:val="both"/>
              <w:rPr>
                <w:sz w:val="22"/>
                <w:szCs w:val="22"/>
                <w:lang w:val="sr-Latn-ME"/>
              </w:rPr>
            </w:pPr>
            <w:r w:rsidRPr="00245459">
              <w:rPr>
                <w:sz w:val="22"/>
                <w:szCs w:val="22"/>
                <w:lang w:val="sr-Latn-ME"/>
              </w:rPr>
              <w:t>Halucinacije,</w:t>
            </w:r>
            <w:r w:rsidR="004C44B5" w:rsidRPr="00245459">
              <w:rPr>
                <w:sz w:val="22"/>
                <w:szCs w:val="22"/>
                <w:lang w:val="sr-Latn-ME"/>
              </w:rPr>
              <w:t xml:space="preserve"> </w:t>
            </w:r>
            <w:r w:rsidRPr="00245459">
              <w:rPr>
                <w:sz w:val="22"/>
                <w:szCs w:val="22"/>
                <w:lang w:val="sr-Latn-ME"/>
              </w:rPr>
              <w:t>dezorjentacija, suicidalne misli i ponašanje (suicidalnost), opsesivno-kompulzivni simptomi, disfemija</w:t>
            </w:r>
          </w:p>
        </w:tc>
        <w:tc>
          <w:tcPr>
            <w:tcW w:w="2454" w:type="dxa"/>
            <w:shd w:val="clear" w:color="auto" w:fill="auto"/>
          </w:tcPr>
          <w:p w14:paraId="0D291A30"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05AB55BC" w14:textId="77777777" w:rsidTr="00015E32">
        <w:trPr>
          <w:jc w:val="center"/>
        </w:trPr>
        <w:tc>
          <w:tcPr>
            <w:tcW w:w="3294" w:type="dxa"/>
            <w:shd w:val="clear" w:color="auto" w:fill="auto"/>
          </w:tcPr>
          <w:p w14:paraId="7726B2C8" w14:textId="77777777" w:rsidR="000D0C9F" w:rsidRPr="00245459" w:rsidRDefault="000D0C9F" w:rsidP="005342F3">
            <w:pPr>
              <w:jc w:val="both"/>
              <w:rPr>
                <w:sz w:val="22"/>
                <w:szCs w:val="22"/>
                <w:lang w:val="sr-Latn-ME"/>
              </w:rPr>
            </w:pPr>
            <w:r w:rsidRPr="00245459">
              <w:rPr>
                <w:sz w:val="22"/>
                <w:szCs w:val="22"/>
                <w:lang w:val="sr-Latn-ME"/>
              </w:rPr>
              <w:t>Poremećaji nervnog sistema</w:t>
            </w:r>
          </w:p>
        </w:tc>
        <w:tc>
          <w:tcPr>
            <w:tcW w:w="4214" w:type="dxa"/>
            <w:shd w:val="clear" w:color="auto" w:fill="auto"/>
          </w:tcPr>
          <w:p w14:paraId="22A5A40F" w14:textId="77777777" w:rsidR="000D0C9F" w:rsidRPr="00245459" w:rsidRDefault="000D0C9F" w:rsidP="00015E32">
            <w:pPr>
              <w:rPr>
                <w:sz w:val="22"/>
                <w:szCs w:val="22"/>
                <w:lang w:val="sr-Latn-ME"/>
              </w:rPr>
            </w:pPr>
            <w:r w:rsidRPr="00245459">
              <w:rPr>
                <w:sz w:val="22"/>
                <w:szCs w:val="22"/>
                <w:lang w:val="sr-Latn-ME"/>
              </w:rPr>
              <w:t>Vrtoglavica, pospanost, parestezija/hipoestezija, konvulzija</w:t>
            </w:r>
          </w:p>
        </w:tc>
        <w:tc>
          <w:tcPr>
            <w:tcW w:w="2454" w:type="dxa"/>
            <w:shd w:val="clear" w:color="auto" w:fill="auto"/>
          </w:tcPr>
          <w:p w14:paraId="4793A199" w14:textId="77777777" w:rsidR="000D0C9F" w:rsidRPr="00245459" w:rsidRDefault="000D0C9F" w:rsidP="005342F3">
            <w:pPr>
              <w:jc w:val="both"/>
              <w:rPr>
                <w:sz w:val="22"/>
                <w:szCs w:val="22"/>
                <w:lang w:val="sr-Latn-ME"/>
              </w:rPr>
            </w:pPr>
            <w:r w:rsidRPr="00245459">
              <w:rPr>
                <w:sz w:val="22"/>
                <w:szCs w:val="22"/>
                <w:lang w:val="sr-Latn-ME"/>
              </w:rPr>
              <w:t xml:space="preserve">Povremeno </w:t>
            </w:r>
          </w:p>
        </w:tc>
      </w:tr>
      <w:tr w:rsidR="000D0C9F" w:rsidRPr="00245459" w14:paraId="0850F51D" w14:textId="77777777" w:rsidTr="00015E32">
        <w:trPr>
          <w:jc w:val="center"/>
        </w:trPr>
        <w:tc>
          <w:tcPr>
            <w:tcW w:w="3294" w:type="dxa"/>
            <w:shd w:val="clear" w:color="auto" w:fill="auto"/>
          </w:tcPr>
          <w:p w14:paraId="1904B709" w14:textId="77777777" w:rsidR="000D0C9F" w:rsidRPr="00245459" w:rsidRDefault="000D0C9F" w:rsidP="005342F3">
            <w:pPr>
              <w:jc w:val="both"/>
              <w:rPr>
                <w:sz w:val="22"/>
                <w:szCs w:val="22"/>
                <w:lang w:val="sr-Latn-ME"/>
              </w:rPr>
            </w:pPr>
            <w:r w:rsidRPr="00245459">
              <w:rPr>
                <w:sz w:val="22"/>
                <w:szCs w:val="22"/>
                <w:lang w:val="sr-Latn-ME"/>
              </w:rPr>
              <w:t>Kardiološki poremećaji</w:t>
            </w:r>
          </w:p>
        </w:tc>
        <w:tc>
          <w:tcPr>
            <w:tcW w:w="4214" w:type="dxa"/>
            <w:shd w:val="clear" w:color="auto" w:fill="auto"/>
          </w:tcPr>
          <w:p w14:paraId="64EE8E69" w14:textId="77777777" w:rsidR="000D0C9F" w:rsidRPr="00245459" w:rsidRDefault="000D0C9F" w:rsidP="005342F3">
            <w:pPr>
              <w:jc w:val="both"/>
              <w:rPr>
                <w:sz w:val="22"/>
                <w:szCs w:val="22"/>
                <w:lang w:val="sr-Latn-ME"/>
              </w:rPr>
            </w:pPr>
            <w:r w:rsidRPr="00245459">
              <w:rPr>
                <w:sz w:val="22"/>
                <w:szCs w:val="22"/>
                <w:lang w:val="sr-Latn-ME"/>
              </w:rPr>
              <w:t>Palpitacije</w:t>
            </w:r>
          </w:p>
        </w:tc>
        <w:tc>
          <w:tcPr>
            <w:tcW w:w="2454" w:type="dxa"/>
            <w:shd w:val="clear" w:color="auto" w:fill="auto"/>
          </w:tcPr>
          <w:p w14:paraId="2EDA508D" w14:textId="77777777" w:rsidR="000D0C9F" w:rsidRPr="00245459" w:rsidRDefault="000D0C9F" w:rsidP="005342F3">
            <w:pPr>
              <w:jc w:val="both"/>
              <w:rPr>
                <w:sz w:val="22"/>
                <w:szCs w:val="22"/>
                <w:lang w:val="sr-Latn-ME"/>
              </w:rPr>
            </w:pPr>
            <w:r w:rsidRPr="00245459">
              <w:rPr>
                <w:sz w:val="22"/>
                <w:szCs w:val="22"/>
                <w:lang w:val="sr-Latn-ME"/>
              </w:rPr>
              <w:t xml:space="preserve">Rijetko </w:t>
            </w:r>
          </w:p>
        </w:tc>
      </w:tr>
      <w:tr w:rsidR="000D0C9F" w:rsidRPr="00245459" w14:paraId="59DB47A5" w14:textId="77777777" w:rsidTr="00015E32">
        <w:trPr>
          <w:trHeight w:val="128"/>
          <w:jc w:val="center"/>
        </w:trPr>
        <w:tc>
          <w:tcPr>
            <w:tcW w:w="3294" w:type="dxa"/>
            <w:vMerge w:val="restart"/>
            <w:shd w:val="clear" w:color="auto" w:fill="auto"/>
          </w:tcPr>
          <w:p w14:paraId="24D7FC61" w14:textId="6CF9D7A8" w:rsidR="000D0C9F" w:rsidRPr="00245459" w:rsidRDefault="000D0C9F" w:rsidP="005342F3">
            <w:pPr>
              <w:jc w:val="both"/>
              <w:rPr>
                <w:sz w:val="22"/>
                <w:szCs w:val="22"/>
                <w:lang w:val="sr-Latn-ME"/>
              </w:rPr>
            </w:pPr>
            <w:r w:rsidRPr="00245459">
              <w:rPr>
                <w:sz w:val="22"/>
                <w:szCs w:val="22"/>
                <w:lang w:val="sr-Latn-ME"/>
              </w:rPr>
              <w:t>Respiratorni, torakalni i medi</w:t>
            </w:r>
            <w:r w:rsidR="001B161A" w:rsidRPr="00245459">
              <w:rPr>
                <w:sz w:val="22"/>
                <w:szCs w:val="22"/>
                <w:lang w:val="sr-Latn-ME"/>
              </w:rPr>
              <w:t>j</w:t>
            </w:r>
            <w:r w:rsidRPr="00245459">
              <w:rPr>
                <w:sz w:val="22"/>
                <w:szCs w:val="22"/>
                <w:lang w:val="sr-Latn-ME"/>
              </w:rPr>
              <w:t>astinalni poremećaji</w:t>
            </w:r>
          </w:p>
        </w:tc>
        <w:tc>
          <w:tcPr>
            <w:tcW w:w="4214" w:type="dxa"/>
            <w:shd w:val="clear" w:color="auto" w:fill="auto"/>
          </w:tcPr>
          <w:p w14:paraId="0CF9DA7A" w14:textId="77777777" w:rsidR="000D0C9F" w:rsidRPr="00245459" w:rsidRDefault="000D0C9F" w:rsidP="005342F3">
            <w:pPr>
              <w:jc w:val="both"/>
              <w:rPr>
                <w:sz w:val="22"/>
                <w:szCs w:val="22"/>
                <w:lang w:val="sr-Latn-ME"/>
              </w:rPr>
            </w:pPr>
            <w:r w:rsidRPr="00245459">
              <w:rPr>
                <w:sz w:val="22"/>
                <w:szCs w:val="22"/>
                <w:lang w:val="sr-Latn-ME"/>
              </w:rPr>
              <w:t>Epistaksa</w:t>
            </w:r>
          </w:p>
        </w:tc>
        <w:tc>
          <w:tcPr>
            <w:tcW w:w="2454" w:type="dxa"/>
            <w:shd w:val="clear" w:color="auto" w:fill="auto"/>
          </w:tcPr>
          <w:p w14:paraId="683F2780" w14:textId="77777777" w:rsidR="000D0C9F" w:rsidRPr="00245459" w:rsidRDefault="000D0C9F" w:rsidP="005342F3">
            <w:pPr>
              <w:jc w:val="both"/>
              <w:rPr>
                <w:sz w:val="22"/>
                <w:szCs w:val="22"/>
                <w:lang w:val="sr-Latn-ME"/>
              </w:rPr>
            </w:pPr>
            <w:r w:rsidRPr="00245459">
              <w:rPr>
                <w:sz w:val="22"/>
                <w:szCs w:val="22"/>
                <w:lang w:val="sr-Latn-ME"/>
              </w:rPr>
              <w:t xml:space="preserve">Povremeno </w:t>
            </w:r>
          </w:p>
        </w:tc>
      </w:tr>
      <w:tr w:rsidR="000D0C9F" w:rsidRPr="00245459" w14:paraId="709536CC" w14:textId="77777777" w:rsidTr="00015E32">
        <w:trPr>
          <w:trHeight w:val="127"/>
          <w:jc w:val="center"/>
        </w:trPr>
        <w:tc>
          <w:tcPr>
            <w:tcW w:w="3294" w:type="dxa"/>
            <w:vMerge/>
            <w:shd w:val="clear" w:color="auto" w:fill="auto"/>
          </w:tcPr>
          <w:p w14:paraId="4C585F3B" w14:textId="77777777" w:rsidR="000D0C9F" w:rsidRPr="00245459" w:rsidRDefault="000D0C9F" w:rsidP="005342F3">
            <w:pPr>
              <w:jc w:val="both"/>
              <w:rPr>
                <w:sz w:val="22"/>
                <w:szCs w:val="22"/>
                <w:lang w:val="sr-Latn-ME"/>
              </w:rPr>
            </w:pPr>
          </w:p>
        </w:tc>
        <w:tc>
          <w:tcPr>
            <w:tcW w:w="4214" w:type="dxa"/>
            <w:shd w:val="clear" w:color="auto" w:fill="auto"/>
          </w:tcPr>
          <w:p w14:paraId="754A2F8D" w14:textId="0CEB75E5" w:rsidR="000D0C9F" w:rsidRPr="00245459" w:rsidRDefault="000D0C9F">
            <w:pPr>
              <w:jc w:val="both"/>
              <w:rPr>
                <w:sz w:val="22"/>
                <w:szCs w:val="22"/>
                <w:lang w:val="sr-Latn-ME"/>
              </w:rPr>
            </w:pPr>
            <w:r w:rsidRPr="00245459">
              <w:rPr>
                <w:sz w:val="22"/>
                <w:szCs w:val="22"/>
                <w:lang w:val="sr-Latn-ME"/>
              </w:rPr>
              <w:t>Churg-Strauss Sindrom (CSS) (vid</w:t>
            </w:r>
            <w:r w:rsidR="001B161A" w:rsidRPr="00245459">
              <w:rPr>
                <w:sz w:val="22"/>
                <w:szCs w:val="22"/>
                <w:lang w:val="sr-Latn-ME"/>
              </w:rPr>
              <w:t>jeti</w:t>
            </w:r>
            <w:r w:rsidRPr="00245459">
              <w:rPr>
                <w:sz w:val="22"/>
                <w:szCs w:val="22"/>
                <w:lang w:val="sr-Latn-ME"/>
              </w:rPr>
              <w:t xml:space="preserve"> </w:t>
            </w:r>
            <w:r w:rsidR="001B161A" w:rsidRPr="00245459">
              <w:rPr>
                <w:sz w:val="22"/>
                <w:szCs w:val="22"/>
                <w:lang w:val="sr-Latn-ME"/>
              </w:rPr>
              <w:t xml:space="preserve">dio </w:t>
            </w:r>
            <w:r w:rsidRPr="00245459">
              <w:rPr>
                <w:sz w:val="22"/>
                <w:szCs w:val="22"/>
                <w:lang w:val="sr-Latn-ME"/>
              </w:rPr>
              <w:t>4.4)</w:t>
            </w:r>
          </w:p>
        </w:tc>
        <w:tc>
          <w:tcPr>
            <w:tcW w:w="2454" w:type="dxa"/>
            <w:shd w:val="clear" w:color="auto" w:fill="auto"/>
          </w:tcPr>
          <w:p w14:paraId="3A0F1B40"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73FB6480" w14:textId="77777777" w:rsidTr="00015E32">
        <w:trPr>
          <w:trHeight w:val="127"/>
          <w:jc w:val="center"/>
        </w:trPr>
        <w:tc>
          <w:tcPr>
            <w:tcW w:w="3294" w:type="dxa"/>
            <w:vMerge/>
            <w:shd w:val="clear" w:color="auto" w:fill="auto"/>
          </w:tcPr>
          <w:p w14:paraId="27641411" w14:textId="77777777" w:rsidR="000D0C9F" w:rsidRPr="00245459" w:rsidRDefault="000D0C9F" w:rsidP="005342F3">
            <w:pPr>
              <w:jc w:val="both"/>
              <w:rPr>
                <w:sz w:val="22"/>
                <w:szCs w:val="22"/>
                <w:lang w:val="sr-Latn-ME"/>
              </w:rPr>
            </w:pPr>
          </w:p>
        </w:tc>
        <w:tc>
          <w:tcPr>
            <w:tcW w:w="4214" w:type="dxa"/>
            <w:shd w:val="clear" w:color="auto" w:fill="auto"/>
          </w:tcPr>
          <w:p w14:paraId="45628FA4" w14:textId="77777777" w:rsidR="000D0C9F" w:rsidRPr="00245459" w:rsidRDefault="000D0C9F" w:rsidP="005342F3">
            <w:pPr>
              <w:jc w:val="both"/>
              <w:rPr>
                <w:sz w:val="22"/>
                <w:szCs w:val="22"/>
                <w:lang w:val="sr-Latn-ME"/>
              </w:rPr>
            </w:pPr>
            <w:r w:rsidRPr="00245459">
              <w:rPr>
                <w:sz w:val="22"/>
                <w:szCs w:val="22"/>
                <w:lang w:val="sr-Latn-ME"/>
              </w:rPr>
              <w:t>Pulmonarna eozinofilija</w:t>
            </w:r>
          </w:p>
        </w:tc>
        <w:tc>
          <w:tcPr>
            <w:tcW w:w="2454" w:type="dxa"/>
            <w:shd w:val="clear" w:color="auto" w:fill="auto"/>
          </w:tcPr>
          <w:p w14:paraId="712D5AA5"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55B7665C" w14:textId="77777777" w:rsidTr="00015E32">
        <w:trPr>
          <w:trHeight w:val="128"/>
          <w:jc w:val="center"/>
        </w:trPr>
        <w:tc>
          <w:tcPr>
            <w:tcW w:w="3294" w:type="dxa"/>
            <w:vMerge w:val="restart"/>
            <w:shd w:val="clear" w:color="auto" w:fill="auto"/>
          </w:tcPr>
          <w:p w14:paraId="0E4B6662" w14:textId="77777777" w:rsidR="000D0C9F" w:rsidRPr="00245459" w:rsidRDefault="000D0C9F" w:rsidP="005342F3">
            <w:pPr>
              <w:jc w:val="both"/>
              <w:rPr>
                <w:sz w:val="22"/>
                <w:szCs w:val="22"/>
                <w:lang w:val="sr-Latn-ME"/>
              </w:rPr>
            </w:pPr>
            <w:r w:rsidRPr="00245459">
              <w:rPr>
                <w:sz w:val="22"/>
                <w:szCs w:val="22"/>
                <w:lang w:val="sr-Latn-ME"/>
              </w:rPr>
              <w:t>Gastrointestinalni poremećaji</w:t>
            </w:r>
          </w:p>
        </w:tc>
        <w:tc>
          <w:tcPr>
            <w:tcW w:w="4214" w:type="dxa"/>
            <w:shd w:val="clear" w:color="auto" w:fill="auto"/>
          </w:tcPr>
          <w:p w14:paraId="7DA37605" w14:textId="77777777" w:rsidR="000D0C9F" w:rsidRPr="00245459" w:rsidRDefault="000D0C9F" w:rsidP="005342F3">
            <w:pPr>
              <w:jc w:val="both"/>
              <w:rPr>
                <w:sz w:val="22"/>
                <w:szCs w:val="22"/>
                <w:lang w:val="sr-Latn-ME"/>
              </w:rPr>
            </w:pPr>
            <w:r w:rsidRPr="00245459">
              <w:rPr>
                <w:sz w:val="22"/>
                <w:szCs w:val="22"/>
                <w:lang w:val="sr-Latn-ME"/>
              </w:rPr>
              <w:t>Dijareja‡, nauzeja‡, povraćanje‡</w:t>
            </w:r>
          </w:p>
        </w:tc>
        <w:tc>
          <w:tcPr>
            <w:tcW w:w="2454" w:type="dxa"/>
            <w:shd w:val="clear" w:color="auto" w:fill="auto"/>
          </w:tcPr>
          <w:p w14:paraId="02F39568" w14:textId="77777777" w:rsidR="000D0C9F" w:rsidRPr="00245459" w:rsidRDefault="000D0C9F" w:rsidP="005342F3">
            <w:pPr>
              <w:jc w:val="both"/>
              <w:rPr>
                <w:sz w:val="22"/>
                <w:szCs w:val="22"/>
                <w:lang w:val="sr-Latn-ME"/>
              </w:rPr>
            </w:pPr>
            <w:r w:rsidRPr="00245459">
              <w:rPr>
                <w:sz w:val="22"/>
                <w:szCs w:val="22"/>
                <w:lang w:val="sr-Latn-ME"/>
              </w:rPr>
              <w:t xml:space="preserve">Često </w:t>
            </w:r>
          </w:p>
        </w:tc>
      </w:tr>
      <w:tr w:rsidR="000D0C9F" w:rsidRPr="00245459" w14:paraId="65D7D9D3" w14:textId="77777777" w:rsidTr="00015E32">
        <w:trPr>
          <w:trHeight w:val="127"/>
          <w:jc w:val="center"/>
        </w:trPr>
        <w:tc>
          <w:tcPr>
            <w:tcW w:w="3294" w:type="dxa"/>
            <w:vMerge/>
            <w:shd w:val="clear" w:color="auto" w:fill="auto"/>
          </w:tcPr>
          <w:p w14:paraId="77DEBE5F" w14:textId="77777777" w:rsidR="000D0C9F" w:rsidRPr="00245459" w:rsidRDefault="000D0C9F" w:rsidP="005342F3">
            <w:pPr>
              <w:jc w:val="both"/>
              <w:rPr>
                <w:sz w:val="22"/>
                <w:szCs w:val="22"/>
                <w:lang w:val="sr-Latn-ME"/>
              </w:rPr>
            </w:pPr>
          </w:p>
        </w:tc>
        <w:tc>
          <w:tcPr>
            <w:tcW w:w="4214" w:type="dxa"/>
            <w:shd w:val="clear" w:color="auto" w:fill="auto"/>
          </w:tcPr>
          <w:p w14:paraId="373A4962" w14:textId="77777777" w:rsidR="000D0C9F" w:rsidRPr="00245459" w:rsidRDefault="000D0C9F" w:rsidP="005342F3">
            <w:pPr>
              <w:jc w:val="both"/>
              <w:rPr>
                <w:sz w:val="22"/>
                <w:szCs w:val="22"/>
                <w:lang w:val="sr-Latn-ME"/>
              </w:rPr>
            </w:pPr>
            <w:r w:rsidRPr="00245459">
              <w:rPr>
                <w:sz w:val="22"/>
                <w:szCs w:val="22"/>
                <w:lang w:val="sr-Latn-ME"/>
              </w:rPr>
              <w:t>Suvoća usta, dispepsija</w:t>
            </w:r>
          </w:p>
        </w:tc>
        <w:tc>
          <w:tcPr>
            <w:tcW w:w="2454" w:type="dxa"/>
            <w:shd w:val="clear" w:color="auto" w:fill="auto"/>
          </w:tcPr>
          <w:p w14:paraId="521E0CA4" w14:textId="77777777" w:rsidR="000D0C9F" w:rsidRPr="00245459" w:rsidRDefault="000D0C9F" w:rsidP="005342F3">
            <w:pPr>
              <w:jc w:val="both"/>
              <w:rPr>
                <w:sz w:val="22"/>
                <w:szCs w:val="22"/>
                <w:lang w:val="sr-Latn-ME"/>
              </w:rPr>
            </w:pPr>
            <w:r w:rsidRPr="00245459">
              <w:rPr>
                <w:sz w:val="22"/>
                <w:szCs w:val="22"/>
                <w:lang w:val="sr-Latn-ME"/>
              </w:rPr>
              <w:t>Povremeno</w:t>
            </w:r>
          </w:p>
        </w:tc>
      </w:tr>
      <w:tr w:rsidR="000D0C9F" w:rsidRPr="00245459" w14:paraId="2E0209DD" w14:textId="77777777" w:rsidTr="00015E32">
        <w:trPr>
          <w:trHeight w:val="128"/>
          <w:jc w:val="center"/>
        </w:trPr>
        <w:tc>
          <w:tcPr>
            <w:tcW w:w="3294" w:type="dxa"/>
            <w:vMerge w:val="restart"/>
            <w:shd w:val="clear" w:color="auto" w:fill="auto"/>
          </w:tcPr>
          <w:p w14:paraId="24CC6339" w14:textId="77777777" w:rsidR="000D0C9F" w:rsidRPr="00245459" w:rsidRDefault="000D0C9F" w:rsidP="005342F3">
            <w:pPr>
              <w:jc w:val="both"/>
              <w:rPr>
                <w:sz w:val="22"/>
                <w:szCs w:val="22"/>
                <w:lang w:val="sr-Latn-ME"/>
              </w:rPr>
            </w:pPr>
            <w:r w:rsidRPr="00245459">
              <w:rPr>
                <w:sz w:val="22"/>
                <w:szCs w:val="22"/>
                <w:lang w:val="sr-Latn-ME"/>
              </w:rPr>
              <w:t>Hepatobilijarni poremećaji</w:t>
            </w:r>
          </w:p>
        </w:tc>
        <w:tc>
          <w:tcPr>
            <w:tcW w:w="4214" w:type="dxa"/>
            <w:shd w:val="clear" w:color="auto" w:fill="auto"/>
          </w:tcPr>
          <w:p w14:paraId="500746F1" w14:textId="6710AD91" w:rsidR="000D0C9F" w:rsidRPr="00245459" w:rsidRDefault="000D0C9F" w:rsidP="005342F3">
            <w:pPr>
              <w:jc w:val="both"/>
              <w:rPr>
                <w:sz w:val="22"/>
                <w:szCs w:val="22"/>
                <w:highlight w:val="yellow"/>
                <w:lang w:val="sr-Latn-ME"/>
              </w:rPr>
            </w:pPr>
            <w:r w:rsidRPr="00245459">
              <w:rPr>
                <w:sz w:val="22"/>
                <w:szCs w:val="22"/>
                <w:lang w:val="sr-Latn-ME"/>
              </w:rPr>
              <w:t>Povišeni nivoi transaminaza</w:t>
            </w:r>
            <w:r w:rsidR="00757BAC" w:rsidRPr="00245459">
              <w:rPr>
                <w:sz w:val="22"/>
                <w:szCs w:val="22"/>
                <w:lang w:val="sr-Latn-ME"/>
              </w:rPr>
              <w:t xml:space="preserve"> </w:t>
            </w:r>
            <w:r w:rsidR="006F0D17" w:rsidRPr="00245459">
              <w:rPr>
                <w:sz w:val="22"/>
                <w:szCs w:val="22"/>
                <w:lang w:val="sr-Latn-ME"/>
              </w:rPr>
              <w:t>u serumu</w:t>
            </w:r>
            <w:r w:rsidRPr="00245459">
              <w:rPr>
                <w:sz w:val="22"/>
                <w:szCs w:val="22"/>
                <w:lang w:val="sr-Latn-ME"/>
              </w:rPr>
              <w:t xml:space="preserve"> (ALT, AST)</w:t>
            </w:r>
          </w:p>
        </w:tc>
        <w:tc>
          <w:tcPr>
            <w:tcW w:w="2454" w:type="dxa"/>
            <w:shd w:val="clear" w:color="auto" w:fill="auto"/>
          </w:tcPr>
          <w:p w14:paraId="42395F19" w14:textId="77777777" w:rsidR="000D0C9F" w:rsidRPr="00245459" w:rsidRDefault="000D0C9F" w:rsidP="005342F3">
            <w:pPr>
              <w:jc w:val="both"/>
              <w:rPr>
                <w:sz w:val="22"/>
                <w:szCs w:val="22"/>
                <w:lang w:val="sr-Latn-ME"/>
              </w:rPr>
            </w:pPr>
            <w:r w:rsidRPr="00245459">
              <w:rPr>
                <w:sz w:val="22"/>
                <w:szCs w:val="22"/>
                <w:lang w:val="sr-Latn-ME"/>
              </w:rPr>
              <w:t xml:space="preserve">Često </w:t>
            </w:r>
          </w:p>
        </w:tc>
      </w:tr>
      <w:tr w:rsidR="000D0C9F" w:rsidRPr="00245459" w14:paraId="5F5E4E71" w14:textId="77777777" w:rsidTr="00015E32">
        <w:trPr>
          <w:trHeight w:val="127"/>
          <w:jc w:val="center"/>
        </w:trPr>
        <w:tc>
          <w:tcPr>
            <w:tcW w:w="3294" w:type="dxa"/>
            <w:vMerge/>
            <w:shd w:val="clear" w:color="auto" w:fill="auto"/>
          </w:tcPr>
          <w:p w14:paraId="1F413D93" w14:textId="77777777" w:rsidR="000D0C9F" w:rsidRPr="00245459" w:rsidRDefault="000D0C9F" w:rsidP="005342F3">
            <w:pPr>
              <w:jc w:val="both"/>
              <w:rPr>
                <w:sz w:val="22"/>
                <w:szCs w:val="22"/>
                <w:lang w:val="sr-Latn-ME"/>
              </w:rPr>
            </w:pPr>
          </w:p>
        </w:tc>
        <w:tc>
          <w:tcPr>
            <w:tcW w:w="4214" w:type="dxa"/>
            <w:shd w:val="clear" w:color="auto" w:fill="auto"/>
          </w:tcPr>
          <w:p w14:paraId="24E40586" w14:textId="77777777" w:rsidR="000D0C9F" w:rsidRPr="00245459" w:rsidRDefault="000D0C9F" w:rsidP="005342F3">
            <w:pPr>
              <w:jc w:val="both"/>
              <w:rPr>
                <w:sz w:val="22"/>
                <w:szCs w:val="22"/>
                <w:lang w:val="sr-Latn-ME"/>
              </w:rPr>
            </w:pPr>
            <w:r w:rsidRPr="00245459">
              <w:rPr>
                <w:sz w:val="22"/>
                <w:szCs w:val="22"/>
                <w:lang w:val="sr-Latn-ME"/>
              </w:rPr>
              <w:t>Hepatitis (uključujući holestazni, hepatocelularni hepatitis i oštećenja jetre mješovitog tipa)</w:t>
            </w:r>
          </w:p>
        </w:tc>
        <w:tc>
          <w:tcPr>
            <w:tcW w:w="2454" w:type="dxa"/>
            <w:shd w:val="clear" w:color="auto" w:fill="auto"/>
          </w:tcPr>
          <w:p w14:paraId="5AB4A657"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7E851E91" w14:textId="77777777" w:rsidTr="00015E32">
        <w:trPr>
          <w:trHeight w:val="66"/>
          <w:jc w:val="center"/>
        </w:trPr>
        <w:tc>
          <w:tcPr>
            <w:tcW w:w="3294" w:type="dxa"/>
            <w:vMerge w:val="restart"/>
            <w:shd w:val="clear" w:color="auto" w:fill="auto"/>
          </w:tcPr>
          <w:p w14:paraId="3FF4220A" w14:textId="1F0CC105" w:rsidR="000D0C9F" w:rsidRPr="00245459" w:rsidRDefault="000D0C9F" w:rsidP="005342F3">
            <w:pPr>
              <w:jc w:val="both"/>
              <w:rPr>
                <w:sz w:val="22"/>
                <w:szCs w:val="22"/>
                <w:lang w:val="sr-Latn-ME"/>
              </w:rPr>
            </w:pPr>
            <w:r w:rsidRPr="00245459">
              <w:rPr>
                <w:sz w:val="22"/>
                <w:szCs w:val="22"/>
                <w:lang w:val="sr-Latn-ME"/>
              </w:rPr>
              <w:t>Poremećaji kože i potkožnog tkiva</w:t>
            </w:r>
          </w:p>
        </w:tc>
        <w:tc>
          <w:tcPr>
            <w:tcW w:w="4214" w:type="dxa"/>
            <w:shd w:val="clear" w:color="auto" w:fill="auto"/>
          </w:tcPr>
          <w:p w14:paraId="13CA9D12" w14:textId="77777777" w:rsidR="000D0C9F" w:rsidRPr="00245459" w:rsidRDefault="000D0C9F" w:rsidP="005342F3">
            <w:pPr>
              <w:jc w:val="both"/>
              <w:rPr>
                <w:sz w:val="22"/>
                <w:szCs w:val="22"/>
                <w:lang w:val="sr-Latn-ME"/>
              </w:rPr>
            </w:pPr>
            <w:r w:rsidRPr="00245459">
              <w:rPr>
                <w:sz w:val="22"/>
                <w:szCs w:val="22"/>
                <w:lang w:val="sr-Latn-ME"/>
              </w:rPr>
              <w:t>Osip‡</w:t>
            </w:r>
          </w:p>
        </w:tc>
        <w:tc>
          <w:tcPr>
            <w:tcW w:w="2454" w:type="dxa"/>
            <w:shd w:val="clear" w:color="auto" w:fill="auto"/>
          </w:tcPr>
          <w:p w14:paraId="5EF8814C" w14:textId="77777777" w:rsidR="000D0C9F" w:rsidRPr="00245459" w:rsidRDefault="000D0C9F" w:rsidP="005342F3">
            <w:pPr>
              <w:jc w:val="both"/>
              <w:rPr>
                <w:sz w:val="22"/>
                <w:szCs w:val="22"/>
                <w:lang w:val="sr-Latn-ME"/>
              </w:rPr>
            </w:pPr>
            <w:r w:rsidRPr="00245459">
              <w:rPr>
                <w:sz w:val="22"/>
                <w:szCs w:val="22"/>
                <w:lang w:val="sr-Latn-ME"/>
              </w:rPr>
              <w:t xml:space="preserve">Često </w:t>
            </w:r>
          </w:p>
        </w:tc>
      </w:tr>
      <w:tr w:rsidR="000D0C9F" w:rsidRPr="00245459" w14:paraId="2357DAC6" w14:textId="77777777" w:rsidTr="00015E32">
        <w:trPr>
          <w:trHeight w:val="63"/>
          <w:jc w:val="center"/>
        </w:trPr>
        <w:tc>
          <w:tcPr>
            <w:tcW w:w="3294" w:type="dxa"/>
            <w:vMerge/>
            <w:shd w:val="clear" w:color="auto" w:fill="auto"/>
          </w:tcPr>
          <w:p w14:paraId="53F29856" w14:textId="77777777" w:rsidR="000D0C9F" w:rsidRPr="00245459" w:rsidRDefault="000D0C9F" w:rsidP="005342F3">
            <w:pPr>
              <w:jc w:val="both"/>
              <w:rPr>
                <w:sz w:val="22"/>
                <w:szCs w:val="22"/>
                <w:lang w:val="sr-Latn-ME"/>
              </w:rPr>
            </w:pPr>
          </w:p>
        </w:tc>
        <w:tc>
          <w:tcPr>
            <w:tcW w:w="4214" w:type="dxa"/>
            <w:shd w:val="clear" w:color="auto" w:fill="auto"/>
          </w:tcPr>
          <w:p w14:paraId="1CCAF83B" w14:textId="77777777" w:rsidR="000D0C9F" w:rsidRPr="00245459" w:rsidRDefault="000D0C9F" w:rsidP="005342F3">
            <w:pPr>
              <w:jc w:val="both"/>
              <w:rPr>
                <w:sz w:val="22"/>
                <w:szCs w:val="22"/>
                <w:lang w:val="sr-Latn-ME"/>
              </w:rPr>
            </w:pPr>
            <w:r w:rsidRPr="00245459">
              <w:rPr>
                <w:sz w:val="22"/>
                <w:szCs w:val="22"/>
                <w:lang w:val="sr-Latn-ME"/>
              </w:rPr>
              <w:t>Pojava modrica, urtikarija, svrab</w:t>
            </w:r>
          </w:p>
        </w:tc>
        <w:tc>
          <w:tcPr>
            <w:tcW w:w="2454" w:type="dxa"/>
            <w:shd w:val="clear" w:color="auto" w:fill="auto"/>
          </w:tcPr>
          <w:p w14:paraId="31A1B2DF" w14:textId="77777777" w:rsidR="000D0C9F" w:rsidRPr="00245459" w:rsidRDefault="000D0C9F" w:rsidP="005342F3">
            <w:pPr>
              <w:jc w:val="both"/>
              <w:rPr>
                <w:sz w:val="22"/>
                <w:szCs w:val="22"/>
                <w:lang w:val="sr-Latn-ME"/>
              </w:rPr>
            </w:pPr>
            <w:r w:rsidRPr="00245459">
              <w:rPr>
                <w:sz w:val="22"/>
                <w:szCs w:val="22"/>
                <w:lang w:val="sr-Latn-ME"/>
              </w:rPr>
              <w:t xml:space="preserve">Povremeno </w:t>
            </w:r>
          </w:p>
        </w:tc>
      </w:tr>
      <w:tr w:rsidR="000D0C9F" w:rsidRPr="00245459" w14:paraId="24196DA8" w14:textId="77777777" w:rsidTr="00015E32">
        <w:trPr>
          <w:trHeight w:val="63"/>
          <w:jc w:val="center"/>
        </w:trPr>
        <w:tc>
          <w:tcPr>
            <w:tcW w:w="3294" w:type="dxa"/>
            <w:vMerge/>
            <w:shd w:val="clear" w:color="auto" w:fill="auto"/>
          </w:tcPr>
          <w:p w14:paraId="7C709586" w14:textId="77777777" w:rsidR="000D0C9F" w:rsidRPr="00245459" w:rsidRDefault="000D0C9F" w:rsidP="005342F3">
            <w:pPr>
              <w:jc w:val="both"/>
              <w:rPr>
                <w:sz w:val="22"/>
                <w:szCs w:val="22"/>
                <w:lang w:val="sr-Latn-ME"/>
              </w:rPr>
            </w:pPr>
          </w:p>
        </w:tc>
        <w:tc>
          <w:tcPr>
            <w:tcW w:w="4214" w:type="dxa"/>
            <w:shd w:val="clear" w:color="auto" w:fill="auto"/>
          </w:tcPr>
          <w:p w14:paraId="06252D58" w14:textId="77777777" w:rsidR="000D0C9F" w:rsidRPr="00245459" w:rsidRDefault="000D0C9F" w:rsidP="005342F3">
            <w:pPr>
              <w:jc w:val="both"/>
              <w:rPr>
                <w:sz w:val="22"/>
                <w:szCs w:val="22"/>
                <w:lang w:val="sr-Latn-ME"/>
              </w:rPr>
            </w:pPr>
            <w:r w:rsidRPr="00245459">
              <w:rPr>
                <w:sz w:val="22"/>
                <w:szCs w:val="22"/>
                <w:lang w:val="sr-Latn-ME"/>
              </w:rPr>
              <w:t>Angioedem</w:t>
            </w:r>
          </w:p>
        </w:tc>
        <w:tc>
          <w:tcPr>
            <w:tcW w:w="2454" w:type="dxa"/>
            <w:shd w:val="clear" w:color="auto" w:fill="auto"/>
          </w:tcPr>
          <w:p w14:paraId="5B493F97" w14:textId="77777777" w:rsidR="000D0C9F" w:rsidRPr="00245459" w:rsidRDefault="000D0C9F" w:rsidP="005342F3">
            <w:pPr>
              <w:jc w:val="both"/>
              <w:rPr>
                <w:sz w:val="22"/>
                <w:szCs w:val="22"/>
                <w:lang w:val="sr-Latn-ME"/>
              </w:rPr>
            </w:pPr>
            <w:r w:rsidRPr="00245459">
              <w:rPr>
                <w:sz w:val="22"/>
                <w:szCs w:val="22"/>
                <w:lang w:val="sr-Latn-ME"/>
              </w:rPr>
              <w:t xml:space="preserve">Rijetko </w:t>
            </w:r>
          </w:p>
        </w:tc>
      </w:tr>
      <w:tr w:rsidR="000D0C9F" w:rsidRPr="00245459" w14:paraId="10D55C5C" w14:textId="77777777" w:rsidTr="00015E32">
        <w:trPr>
          <w:trHeight w:val="63"/>
          <w:jc w:val="center"/>
        </w:trPr>
        <w:tc>
          <w:tcPr>
            <w:tcW w:w="3294" w:type="dxa"/>
            <w:vMerge/>
            <w:shd w:val="clear" w:color="auto" w:fill="auto"/>
          </w:tcPr>
          <w:p w14:paraId="7E908BC9" w14:textId="77777777" w:rsidR="000D0C9F" w:rsidRPr="00245459" w:rsidRDefault="000D0C9F" w:rsidP="005342F3">
            <w:pPr>
              <w:jc w:val="both"/>
              <w:rPr>
                <w:sz w:val="22"/>
                <w:szCs w:val="22"/>
                <w:lang w:val="sr-Latn-ME"/>
              </w:rPr>
            </w:pPr>
          </w:p>
        </w:tc>
        <w:tc>
          <w:tcPr>
            <w:tcW w:w="4214" w:type="dxa"/>
            <w:shd w:val="clear" w:color="auto" w:fill="auto"/>
          </w:tcPr>
          <w:p w14:paraId="0A4FA259" w14:textId="4755A679" w:rsidR="000D0C9F" w:rsidRPr="00245459" w:rsidRDefault="002C5FFF" w:rsidP="005342F3">
            <w:pPr>
              <w:jc w:val="both"/>
              <w:rPr>
                <w:sz w:val="22"/>
                <w:szCs w:val="22"/>
                <w:lang w:val="sr-Latn-ME"/>
              </w:rPr>
            </w:pPr>
            <w:r w:rsidRPr="00245459">
              <w:rPr>
                <w:sz w:val="22"/>
                <w:szCs w:val="22"/>
                <w:lang w:val="sr-Latn-ME"/>
              </w:rPr>
              <w:t>N</w:t>
            </w:r>
            <w:r w:rsidR="001B161A" w:rsidRPr="00245459">
              <w:rPr>
                <w:sz w:val="22"/>
                <w:szCs w:val="22"/>
                <w:lang w:val="sr-Latn-ME"/>
              </w:rPr>
              <w:t>odozni eritem, multiformni eritem</w:t>
            </w:r>
          </w:p>
        </w:tc>
        <w:tc>
          <w:tcPr>
            <w:tcW w:w="2454" w:type="dxa"/>
            <w:shd w:val="clear" w:color="auto" w:fill="auto"/>
          </w:tcPr>
          <w:p w14:paraId="2C13DB6B" w14:textId="77777777" w:rsidR="000D0C9F" w:rsidRPr="00245459" w:rsidRDefault="000D0C9F" w:rsidP="005342F3">
            <w:pPr>
              <w:jc w:val="both"/>
              <w:rPr>
                <w:sz w:val="22"/>
                <w:szCs w:val="22"/>
                <w:lang w:val="sr-Latn-ME"/>
              </w:rPr>
            </w:pPr>
            <w:r w:rsidRPr="00245459">
              <w:rPr>
                <w:sz w:val="22"/>
                <w:szCs w:val="22"/>
                <w:lang w:val="sr-Latn-ME"/>
              </w:rPr>
              <w:t>Veoma rijetko</w:t>
            </w:r>
          </w:p>
        </w:tc>
      </w:tr>
      <w:tr w:rsidR="000D0C9F" w:rsidRPr="00245459" w14:paraId="00069A20" w14:textId="77777777" w:rsidTr="00015E32">
        <w:trPr>
          <w:jc w:val="center"/>
        </w:trPr>
        <w:tc>
          <w:tcPr>
            <w:tcW w:w="3294" w:type="dxa"/>
            <w:shd w:val="clear" w:color="auto" w:fill="auto"/>
          </w:tcPr>
          <w:p w14:paraId="6444E9A5" w14:textId="3BE038A3" w:rsidR="000D0C9F" w:rsidRPr="00245459" w:rsidRDefault="000D0C9F" w:rsidP="005342F3">
            <w:pPr>
              <w:jc w:val="both"/>
              <w:rPr>
                <w:sz w:val="22"/>
                <w:szCs w:val="22"/>
                <w:lang w:val="sr-Latn-ME"/>
              </w:rPr>
            </w:pPr>
            <w:r w:rsidRPr="00245459">
              <w:rPr>
                <w:sz w:val="22"/>
                <w:szCs w:val="22"/>
                <w:lang w:val="sr-Latn-ME"/>
              </w:rPr>
              <w:t>Poremećaji mišićno-</w:t>
            </w:r>
            <w:r w:rsidR="002C5FFF" w:rsidRPr="00245459">
              <w:rPr>
                <w:sz w:val="22"/>
                <w:szCs w:val="22"/>
                <w:lang w:val="sr-Latn-ME"/>
              </w:rPr>
              <w:t>koštanog</w:t>
            </w:r>
            <w:r w:rsidRPr="00245459">
              <w:rPr>
                <w:sz w:val="22"/>
                <w:szCs w:val="22"/>
                <w:lang w:val="sr-Latn-ME"/>
              </w:rPr>
              <w:t xml:space="preserve"> sistema i vezivnog tkiva</w:t>
            </w:r>
          </w:p>
        </w:tc>
        <w:tc>
          <w:tcPr>
            <w:tcW w:w="4214" w:type="dxa"/>
            <w:shd w:val="clear" w:color="auto" w:fill="auto"/>
          </w:tcPr>
          <w:p w14:paraId="42C44FEF" w14:textId="77777777" w:rsidR="000D0C9F" w:rsidRPr="00245459" w:rsidRDefault="000D0C9F" w:rsidP="005342F3">
            <w:pPr>
              <w:jc w:val="both"/>
              <w:rPr>
                <w:sz w:val="22"/>
                <w:szCs w:val="22"/>
                <w:lang w:val="sr-Latn-ME"/>
              </w:rPr>
            </w:pPr>
            <w:r w:rsidRPr="00245459">
              <w:rPr>
                <w:sz w:val="22"/>
                <w:szCs w:val="22"/>
                <w:lang w:val="sr-Latn-ME"/>
              </w:rPr>
              <w:t>Artralgija, mialgija, uključujući mišićne grčeve</w:t>
            </w:r>
          </w:p>
        </w:tc>
        <w:tc>
          <w:tcPr>
            <w:tcW w:w="2454" w:type="dxa"/>
            <w:shd w:val="clear" w:color="auto" w:fill="auto"/>
          </w:tcPr>
          <w:p w14:paraId="003B5A5F" w14:textId="77777777" w:rsidR="000D0C9F" w:rsidRPr="00245459" w:rsidRDefault="000D0C9F" w:rsidP="005342F3">
            <w:pPr>
              <w:jc w:val="both"/>
              <w:rPr>
                <w:sz w:val="22"/>
                <w:szCs w:val="22"/>
                <w:lang w:val="sr-Latn-ME"/>
              </w:rPr>
            </w:pPr>
            <w:r w:rsidRPr="00245459">
              <w:rPr>
                <w:sz w:val="22"/>
                <w:szCs w:val="22"/>
                <w:lang w:val="sr-Latn-ME"/>
              </w:rPr>
              <w:t>Povremeno</w:t>
            </w:r>
          </w:p>
        </w:tc>
      </w:tr>
      <w:tr w:rsidR="00E01200" w:rsidRPr="00245459" w14:paraId="505A472F" w14:textId="77777777" w:rsidTr="00015E32">
        <w:trPr>
          <w:jc w:val="center"/>
        </w:trPr>
        <w:tc>
          <w:tcPr>
            <w:tcW w:w="3294" w:type="dxa"/>
            <w:shd w:val="clear" w:color="auto" w:fill="auto"/>
          </w:tcPr>
          <w:p w14:paraId="7F4AC3B2" w14:textId="70164F64" w:rsidR="00E01200" w:rsidRPr="00245459" w:rsidRDefault="00E01200" w:rsidP="005342F3">
            <w:pPr>
              <w:jc w:val="both"/>
              <w:rPr>
                <w:sz w:val="22"/>
                <w:szCs w:val="22"/>
                <w:lang w:val="sr-Latn-ME"/>
              </w:rPr>
            </w:pPr>
            <w:r w:rsidRPr="00245459">
              <w:rPr>
                <w:sz w:val="22"/>
                <w:szCs w:val="22"/>
                <w:lang w:val="sr-Latn-ME"/>
              </w:rPr>
              <w:t>Poremećaji bubrega i urinarnog sistema</w:t>
            </w:r>
            <w:r w:rsidRPr="00245459" w:rsidDel="009A0FF5">
              <w:rPr>
                <w:szCs w:val="22"/>
                <w:lang w:val="sr-Latn-ME"/>
              </w:rPr>
              <w:t xml:space="preserve"> </w:t>
            </w:r>
          </w:p>
        </w:tc>
        <w:tc>
          <w:tcPr>
            <w:tcW w:w="4214" w:type="dxa"/>
            <w:shd w:val="clear" w:color="auto" w:fill="auto"/>
          </w:tcPr>
          <w:p w14:paraId="724281C4" w14:textId="22F09F20" w:rsidR="00E01200" w:rsidRPr="00245459" w:rsidRDefault="00E01200" w:rsidP="005342F3">
            <w:pPr>
              <w:jc w:val="both"/>
              <w:rPr>
                <w:sz w:val="22"/>
                <w:szCs w:val="22"/>
                <w:lang w:val="sr-Latn-ME"/>
              </w:rPr>
            </w:pPr>
            <w:r w:rsidRPr="00245459">
              <w:rPr>
                <w:sz w:val="22"/>
                <w:szCs w:val="22"/>
                <w:lang w:val="sr-Latn-ME"/>
              </w:rPr>
              <w:t>Enureza kod djece</w:t>
            </w:r>
          </w:p>
        </w:tc>
        <w:tc>
          <w:tcPr>
            <w:tcW w:w="2454" w:type="dxa"/>
            <w:shd w:val="clear" w:color="auto" w:fill="auto"/>
          </w:tcPr>
          <w:p w14:paraId="7C793103" w14:textId="3EA1309A" w:rsidR="00E01200" w:rsidRPr="00245459" w:rsidRDefault="00E01200" w:rsidP="005342F3">
            <w:pPr>
              <w:jc w:val="both"/>
              <w:rPr>
                <w:sz w:val="22"/>
                <w:szCs w:val="22"/>
                <w:lang w:val="sr-Latn-ME"/>
              </w:rPr>
            </w:pPr>
            <w:r w:rsidRPr="00245459">
              <w:rPr>
                <w:sz w:val="22"/>
                <w:szCs w:val="22"/>
                <w:lang w:val="sr-Latn-ME"/>
              </w:rPr>
              <w:t>Povremeno</w:t>
            </w:r>
          </w:p>
        </w:tc>
      </w:tr>
      <w:tr w:rsidR="000D0C9F" w:rsidRPr="00245459" w14:paraId="31AF9819" w14:textId="77777777" w:rsidTr="00015E32">
        <w:trPr>
          <w:trHeight w:val="128"/>
          <w:jc w:val="center"/>
        </w:trPr>
        <w:tc>
          <w:tcPr>
            <w:tcW w:w="3294" w:type="dxa"/>
            <w:vMerge w:val="restart"/>
            <w:shd w:val="clear" w:color="auto" w:fill="auto"/>
          </w:tcPr>
          <w:p w14:paraId="1853662A" w14:textId="77777777" w:rsidR="000D0C9F" w:rsidRPr="00245459" w:rsidRDefault="000D0C9F" w:rsidP="005342F3">
            <w:pPr>
              <w:jc w:val="both"/>
              <w:rPr>
                <w:sz w:val="22"/>
                <w:szCs w:val="22"/>
                <w:lang w:val="sr-Latn-ME"/>
              </w:rPr>
            </w:pPr>
            <w:r w:rsidRPr="00245459">
              <w:rPr>
                <w:sz w:val="22"/>
                <w:szCs w:val="22"/>
                <w:lang w:val="sr-Latn-ME"/>
              </w:rPr>
              <w:t>Opšti poremećaji i reakcije na mjestu primjene</w:t>
            </w:r>
          </w:p>
        </w:tc>
        <w:tc>
          <w:tcPr>
            <w:tcW w:w="4214" w:type="dxa"/>
            <w:shd w:val="clear" w:color="auto" w:fill="auto"/>
          </w:tcPr>
          <w:p w14:paraId="5283255F" w14:textId="77777777" w:rsidR="000D0C9F" w:rsidRPr="00245459" w:rsidRDefault="000D0C9F" w:rsidP="005342F3">
            <w:pPr>
              <w:jc w:val="both"/>
              <w:rPr>
                <w:sz w:val="22"/>
                <w:szCs w:val="22"/>
                <w:lang w:val="sr-Latn-ME"/>
              </w:rPr>
            </w:pPr>
            <w:r w:rsidRPr="00245459">
              <w:rPr>
                <w:sz w:val="22"/>
                <w:szCs w:val="22"/>
                <w:lang w:val="sr-Latn-ME"/>
              </w:rPr>
              <w:t>Pireksija‡</w:t>
            </w:r>
          </w:p>
        </w:tc>
        <w:tc>
          <w:tcPr>
            <w:tcW w:w="2454" w:type="dxa"/>
            <w:shd w:val="clear" w:color="auto" w:fill="auto"/>
          </w:tcPr>
          <w:p w14:paraId="0C3D95FC" w14:textId="77777777" w:rsidR="000D0C9F" w:rsidRPr="00245459" w:rsidRDefault="000D0C9F" w:rsidP="005342F3">
            <w:pPr>
              <w:jc w:val="both"/>
              <w:rPr>
                <w:sz w:val="22"/>
                <w:szCs w:val="22"/>
                <w:lang w:val="sr-Latn-ME"/>
              </w:rPr>
            </w:pPr>
            <w:r w:rsidRPr="00245459">
              <w:rPr>
                <w:sz w:val="22"/>
                <w:szCs w:val="22"/>
                <w:lang w:val="sr-Latn-ME"/>
              </w:rPr>
              <w:t xml:space="preserve">Često </w:t>
            </w:r>
          </w:p>
        </w:tc>
      </w:tr>
      <w:tr w:rsidR="000D0C9F" w:rsidRPr="00245459" w14:paraId="713AAD0A" w14:textId="77777777" w:rsidTr="00015E32">
        <w:trPr>
          <w:trHeight w:val="127"/>
          <w:jc w:val="center"/>
        </w:trPr>
        <w:tc>
          <w:tcPr>
            <w:tcW w:w="3294" w:type="dxa"/>
            <w:vMerge/>
            <w:shd w:val="clear" w:color="auto" w:fill="auto"/>
          </w:tcPr>
          <w:p w14:paraId="386ACFB9" w14:textId="77777777" w:rsidR="000D0C9F" w:rsidRPr="00245459" w:rsidRDefault="000D0C9F" w:rsidP="005342F3">
            <w:pPr>
              <w:jc w:val="both"/>
              <w:rPr>
                <w:sz w:val="22"/>
                <w:szCs w:val="22"/>
                <w:lang w:val="sr-Latn-ME"/>
              </w:rPr>
            </w:pPr>
          </w:p>
        </w:tc>
        <w:tc>
          <w:tcPr>
            <w:tcW w:w="4214" w:type="dxa"/>
            <w:shd w:val="clear" w:color="auto" w:fill="auto"/>
          </w:tcPr>
          <w:p w14:paraId="74AFC179" w14:textId="77777777" w:rsidR="000D0C9F" w:rsidRPr="00245459" w:rsidRDefault="000D0C9F" w:rsidP="005342F3">
            <w:pPr>
              <w:jc w:val="both"/>
              <w:rPr>
                <w:sz w:val="22"/>
                <w:szCs w:val="22"/>
                <w:lang w:val="sr-Latn-ME"/>
              </w:rPr>
            </w:pPr>
            <w:r w:rsidRPr="00245459">
              <w:rPr>
                <w:sz w:val="22"/>
                <w:szCs w:val="22"/>
                <w:lang w:val="sr-Latn-ME"/>
              </w:rPr>
              <w:t>Astenija/zamor, opšta slabost, edem</w:t>
            </w:r>
          </w:p>
        </w:tc>
        <w:tc>
          <w:tcPr>
            <w:tcW w:w="2454" w:type="dxa"/>
            <w:shd w:val="clear" w:color="auto" w:fill="auto"/>
          </w:tcPr>
          <w:p w14:paraId="159E33EC" w14:textId="77777777" w:rsidR="000D0C9F" w:rsidRPr="00245459" w:rsidRDefault="000D0C9F" w:rsidP="005342F3">
            <w:pPr>
              <w:jc w:val="both"/>
              <w:rPr>
                <w:sz w:val="22"/>
                <w:szCs w:val="22"/>
                <w:lang w:val="sr-Latn-ME"/>
              </w:rPr>
            </w:pPr>
            <w:r w:rsidRPr="00245459">
              <w:rPr>
                <w:sz w:val="22"/>
                <w:szCs w:val="22"/>
                <w:lang w:val="sr-Latn-ME"/>
              </w:rPr>
              <w:t xml:space="preserve">Povremeno </w:t>
            </w:r>
          </w:p>
        </w:tc>
      </w:tr>
      <w:tr w:rsidR="000D0C9F" w:rsidRPr="00245459" w14:paraId="465FDD17" w14:textId="77777777" w:rsidTr="00015E32">
        <w:trPr>
          <w:jc w:val="center"/>
        </w:trPr>
        <w:tc>
          <w:tcPr>
            <w:tcW w:w="9962" w:type="dxa"/>
            <w:gridSpan w:val="3"/>
            <w:shd w:val="clear" w:color="auto" w:fill="auto"/>
          </w:tcPr>
          <w:p w14:paraId="730D3D55" w14:textId="0ECAE28B" w:rsidR="000D0C9F" w:rsidRPr="00245459" w:rsidRDefault="000D0C9F" w:rsidP="005342F3">
            <w:pPr>
              <w:pStyle w:val="Header"/>
              <w:tabs>
                <w:tab w:val="left" w:pos="284"/>
              </w:tabs>
              <w:jc w:val="both"/>
              <w:rPr>
                <w:i/>
                <w:sz w:val="22"/>
                <w:szCs w:val="22"/>
                <w:lang w:val="sr-Latn-ME"/>
              </w:rPr>
            </w:pPr>
            <w:r w:rsidRPr="00245459">
              <w:rPr>
                <w:i/>
                <w:sz w:val="22"/>
                <w:szCs w:val="22"/>
                <w:lang w:val="sr-Latn-ME"/>
              </w:rPr>
              <w:t xml:space="preserve">*Kategorije učestalosti su definisane za svaku neželjenu reakciju koja je prijavljena u bazi podataka odgovarajućih kliničkih istraživanja. </w:t>
            </w:r>
            <w:r w:rsidRPr="00245459">
              <w:rPr>
                <w:i/>
                <w:sz w:val="22"/>
                <w:szCs w:val="22"/>
                <w:lang w:val="sr-Latn-ME"/>
              </w:rPr>
              <w:sym w:font="Symbol" w:char="F05B"/>
            </w:r>
            <w:r w:rsidRPr="00245459">
              <w:rPr>
                <w:i/>
                <w:sz w:val="22"/>
                <w:szCs w:val="22"/>
                <w:lang w:val="sr-Latn-ME"/>
              </w:rPr>
              <w:t>Veoma čest</w:t>
            </w:r>
            <w:r w:rsidR="001B161A" w:rsidRPr="00245459">
              <w:rPr>
                <w:i/>
                <w:sz w:val="22"/>
                <w:szCs w:val="22"/>
                <w:lang w:val="sr-Latn-ME"/>
              </w:rPr>
              <w:t>o</w:t>
            </w:r>
            <w:r w:rsidRPr="00245459">
              <w:rPr>
                <w:i/>
                <w:sz w:val="22"/>
                <w:szCs w:val="22"/>
                <w:lang w:val="sr-Latn-ME"/>
              </w:rPr>
              <w:t>, (≥10), Čest</w:t>
            </w:r>
            <w:r w:rsidR="001B161A" w:rsidRPr="00245459">
              <w:rPr>
                <w:i/>
                <w:sz w:val="22"/>
                <w:szCs w:val="22"/>
                <w:lang w:val="sr-Latn-ME"/>
              </w:rPr>
              <w:t>o</w:t>
            </w:r>
            <w:r w:rsidRPr="00245459">
              <w:rPr>
                <w:i/>
                <w:sz w:val="22"/>
                <w:szCs w:val="22"/>
                <w:lang w:val="sr-Latn-ME"/>
              </w:rPr>
              <w:t xml:space="preserve"> (</w:t>
            </w:r>
            <w:r w:rsidRPr="00245459">
              <w:rPr>
                <w:i/>
                <w:sz w:val="22"/>
                <w:szCs w:val="22"/>
                <w:lang w:val="sr-Latn-ME"/>
              </w:rPr>
              <w:sym w:font="Symbol" w:char="F0B3"/>
            </w:r>
            <w:r w:rsidRPr="00245459">
              <w:rPr>
                <w:i/>
                <w:sz w:val="22"/>
                <w:szCs w:val="22"/>
                <w:lang w:val="sr-Latn-ME"/>
              </w:rPr>
              <w:t>1/100</w:t>
            </w:r>
            <w:r w:rsidR="001B161A" w:rsidRPr="00245459">
              <w:rPr>
                <w:i/>
                <w:sz w:val="22"/>
                <w:szCs w:val="22"/>
                <w:lang w:val="sr-Latn-ME"/>
              </w:rPr>
              <w:t xml:space="preserve"> do</w:t>
            </w:r>
            <w:r w:rsidRPr="00245459">
              <w:rPr>
                <w:i/>
                <w:sz w:val="22"/>
                <w:szCs w:val="22"/>
                <w:lang w:val="sr-Latn-ME"/>
              </w:rPr>
              <w:t xml:space="preserve"> </w:t>
            </w:r>
            <w:r w:rsidRPr="00245459">
              <w:rPr>
                <w:i/>
                <w:sz w:val="22"/>
                <w:szCs w:val="22"/>
                <w:lang w:val="sr-Latn-ME"/>
              </w:rPr>
              <w:sym w:font="Symbol" w:char="F03C"/>
            </w:r>
            <w:r w:rsidRPr="00245459">
              <w:rPr>
                <w:i/>
                <w:sz w:val="22"/>
                <w:szCs w:val="22"/>
                <w:lang w:val="sr-Latn-ME"/>
              </w:rPr>
              <w:t>1/10), povremen</w:t>
            </w:r>
            <w:r w:rsidR="001B161A" w:rsidRPr="00245459">
              <w:rPr>
                <w:i/>
                <w:sz w:val="22"/>
                <w:szCs w:val="22"/>
                <w:lang w:val="sr-Latn-ME"/>
              </w:rPr>
              <w:t>o</w:t>
            </w:r>
            <w:r w:rsidRPr="00245459">
              <w:rPr>
                <w:i/>
                <w:sz w:val="22"/>
                <w:szCs w:val="22"/>
                <w:lang w:val="sr-Latn-ME"/>
              </w:rPr>
              <w:t xml:space="preserve"> (</w:t>
            </w:r>
            <w:r w:rsidRPr="00245459">
              <w:rPr>
                <w:i/>
                <w:sz w:val="22"/>
                <w:szCs w:val="22"/>
                <w:lang w:val="sr-Latn-ME"/>
              </w:rPr>
              <w:sym w:font="Symbol" w:char="F0B3"/>
            </w:r>
            <w:r w:rsidRPr="00245459">
              <w:rPr>
                <w:i/>
                <w:sz w:val="22"/>
                <w:szCs w:val="22"/>
                <w:lang w:val="sr-Latn-ME"/>
              </w:rPr>
              <w:t>1/1000</w:t>
            </w:r>
            <w:r w:rsidR="00E23E8E" w:rsidRPr="00245459">
              <w:rPr>
                <w:i/>
                <w:sz w:val="22"/>
                <w:szCs w:val="22"/>
                <w:lang w:val="sr-Latn-ME"/>
              </w:rPr>
              <w:t xml:space="preserve"> do</w:t>
            </w:r>
            <w:r w:rsidRPr="00245459">
              <w:rPr>
                <w:i/>
                <w:sz w:val="22"/>
                <w:szCs w:val="22"/>
                <w:lang w:val="sr-Latn-ME"/>
              </w:rPr>
              <w:t xml:space="preserve"> </w:t>
            </w:r>
            <w:r w:rsidRPr="00245459">
              <w:rPr>
                <w:i/>
                <w:sz w:val="22"/>
                <w:szCs w:val="22"/>
                <w:lang w:val="sr-Latn-ME"/>
              </w:rPr>
              <w:sym w:font="Symbol" w:char="F03C"/>
            </w:r>
            <w:r w:rsidRPr="00245459">
              <w:rPr>
                <w:i/>
                <w:sz w:val="22"/>
                <w:szCs w:val="22"/>
                <w:lang w:val="sr-Latn-ME"/>
              </w:rPr>
              <w:t>1/100), rijetk</w:t>
            </w:r>
            <w:r w:rsidR="001B161A" w:rsidRPr="00245459">
              <w:rPr>
                <w:i/>
                <w:sz w:val="22"/>
                <w:szCs w:val="22"/>
                <w:lang w:val="sr-Latn-ME"/>
              </w:rPr>
              <w:t>o</w:t>
            </w:r>
            <w:r w:rsidRPr="00245459">
              <w:rPr>
                <w:i/>
                <w:sz w:val="22"/>
                <w:szCs w:val="22"/>
                <w:lang w:val="sr-Latn-ME"/>
              </w:rPr>
              <w:t xml:space="preserve"> (</w:t>
            </w:r>
            <w:r w:rsidRPr="00245459">
              <w:rPr>
                <w:i/>
                <w:sz w:val="22"/>
                <w:szCs w:val="22"/>
                <w:lang w:val="sr-Latn-ME"/>
              </w:rPr>
              <w:sym w:font="Symbol" w:char="F0B3"/>
            </w:r>
            <w:r w:rsidRPr="00245459">
              <w:rPr>
                <w:i/>
                <w:sz w:val="22"/>
                <w:szCs w:val="22"/>
                <w:lang w:val="sr-Latn-ME"/>
              </w:rPr>
              <w:t>1/10.000</w:t>
            </w:r>
            <w:r w:rsidR="00E23E8E" w:rsidRPr="00245459">
              <w:rPr>
                <w:i/>
                <w:sz w:val="22"/>
                <w:szCs w:val="22"/>
                <w:lang w:val="sr-Latn-ME"/>
              </w:rPr>
              <w:t xml:space="preserve"> do</w:t>
            </w:r>
            <w:r w:rsidRPr="00245459">
              <w:rPr>
                <w:i/>
                <w:sz w:val="22"/>
                <w:szCs w:val="22"/>
                <w:lang w:val="sr-Latn-ME"/>
              </w:rPr>
              <w:t xml:space="preserve"> </w:t>
            </w:r>
            <w:r w:rsidRPr="00245459">
              <w:rPr>
                <w:i/>
                <w:sz w:val="22"/>
                <w:szCs w:val="22"/>
                <w:lang w:val="sr-Latn-ME"/>
              </w:rPr>
              <w:sym w:font="Symbol" w:char="F03C"/>
            </w:r>
            <w:r w:rsidRPr="00245459">
              <w:rPr>
                <w:i/>
                <w:sz w:val="22"/>
                <w:szCs w:val="22"/>
                <w:lang w:val="sr-Latn-ME"/>
              </w:rPr>
              <w:t>1/1000), veoma rijetk</w:t>
            </w:r>
            <w:r w:rsidR="001B161A" w:rsidRPr="00245459">
              <w:rPr>
                <w:i/>
                <w:sz w:val="22"/>
                <w:szCs w:val="22"/>
                <w:lang w:val="sr-Latn-ME"/>
              </w:rPr>
              <w:t>o</w:t>
            </w:r>
            <w:r w:rsidRPr="00245459">
              <w:rPr>
                <w:i/>
                <w:sz w:val="22"/>
                <w:szCs w:val="22"/>
                <w:lang w:val="sr-Latn-ME"/>
              </w:rPr>
              <w:t xml:space="preserve"> (</w:t>
            </w:r>
            <w:r w:rsidRPr="00245459">
              <w:rPr>
                <w:i/>
                <w:sz w:val="22"/>
                <w:szCs w:val="22"/>
                <w:lang w:val="sr-Latn-ME"/>
              </w:rPr>
              <w:sym w:font="Symbol" w:char="F03C"/>
            </w:r>
            <w:r w:rsidRPr="00245459">
              <w:rPr>
                <w:i/>
                <w:sz w:val="22"/>
                <w:szCs w:val="22"/>
                <w:lang w:val="sr-Latn-ME"/>
              </w:rPr>
              <w:t>1/10.000 uključujući i sporadične slučajeve)</w:t>
            </w:r>
          </w:p>
          <w:p w14:paraId="5DF6EAE0" w14:textId="77777777" w:rsidR="000D0C9F" w:rsidRPr="00245459" w:rsidRDefault="000D0C9F" w:rsidP="005342F3">
            <w:pPr>
              <w:pStyle w:val="Header"/>
              <w:tabs>
                <w:tab w:val="left" w:pos="284"/>
              </w:tabs>
              <w:jc w:val="both"/>
              <w:rPr>
                <w:i/>
                <w:sz w:val="22"/>
                <w:szCs w:val="22"/>
                <w:lang w:val="sr-Latn-ME"/>
              </w:rPr>
            </w:pPr>
          </w:p>
          <w:p w14:paraId="649D7D19" w14:textId="05DF7E9A" w:rsidR="000D0C9F" w:rsidRPr="00245459" w:rsidRDefault="000D0C9F" w:rsidP="005342F3">
            <w:pPr>
              <w:pStyle w:val="Header"/>
              <w:tabs>
                <w:tab w:val="left" w:pos="284"/>
              </w:tabs>
              <w:jc w:val="both"/>
              <w:rPr>
                <w:sz w:val="22"/>
                <w:szCs w:val="22"/>
                <w:lang w:val="sr-Latn-ME"/>
              </w:rPr>
            </w:pPr>
            <w:r w:rsidRPr="00245459">
              <w:rPr>
                <w:sz w:val="22"/>
                <w:szCs w:val="22"/>
                <w:lang w:val="sr-Latn-ME"/>
              </w:rPr>
              <w:t>† Ove neželjene reakcije prijavljene "veoma čest</w:t>
            </w:r>
            <w:r w:rsidR="001B161A" w:rsidRPr="00245459">
              <w:rPr>
                <w:sz w:val="22"/>
                <w:szCs w:val="22"/>
                <w:lang w:val="sr-Latn-ME"/>
              </w:rPr>
              <w:t>o</w:t>
            </w:r>
            <w:r w:rsidRPr="00245459">
              <w:rPr>
                <w:sz w:val="22"/>
                <w:szCs w:val="22"/>
                <w:lang w:val="sr-Latn-ME"/>
              </w:rPr>
              <w:t>" kod pacijenata koji su dobijali montelukast, prijavljene su i "veoma čest</w:t>
            </w:r>
            <w:r w:rsidR="001B161A" w:rsidRPr="00245459">
              <w:rPr>
                <w:sz w:val="22"/>
                <w:szCs w:val="22"/>
                <w:lang w:val="sr-Latn-ME"/>
              </w:rPr>
              <w:t>o</w:t>
            </w:r>
            <w:r w:rsidRPr="00245459">
              <w:rPr>
                <w:sz w:val="22"/>
                <w:szCs w:val="22"/>
                <w:lang w:val="sr-Latn-ME"/>
              </w:rPr>
              <w:t>" kod pacijenata koji su dobijali placebo u kliničkim studijama.</w:t>
            </w:r>
          </w:p>
          <w:p w14:paraId="08D50D3D" w14:textId="77777777" w:rsidR="000D0C9F" w:rsidRPr="00245459" w:rsidRDefault="000D0C9F" w:rsidP="005342F3">
            <w:pPr>
              <w:pStyle w:val="Header"/>
              <w:tabs>
                <w:tab w:val="left" w:pos="284"/>
              </w:tabs>
              <w:jc w:val="both"/>
              <w:rPr>
                <w:sz w:val="22"/>
                <w:szCs w:val="22"/>
                <w:lang w:val="sr-Latn-ME"/>
              </w:rPr>
            </w:pPr>
          </w:p>
          <w:p w14:paraId="706998E0" w14:textId="29D01395" w:rsidR="000D0C9F" w:rsidRPr="00245459" w:rsidRDefault="000D0C9F" w:rsidP="005342F3">
            <w:pPr>
              <w:pStyle w:val="Header"/>
              <w:tabs>
                <w:tab w:val="left" w:pos="284"/>
              </w:tabs>
              <w:jc w:val="both"/>
              <w:rPr>
                <w:sz w:val="22"/>
                <w:szCs w:val="22"/>
                <w:lang w:val="sr-Latn-ME"/>
              </w:rPr>
            </w:pPr>
            <w:r w:rsidRPr="00245459">
              <w:rPr>
                <w:sz w:val="22"/>
                <w:szCs w:val="22"/>
                <w:lang w:val="sr-Latn-ME"/>
              </w:rPr>
              <w:t>‡ Ove neželjene reakcije prijavljene "čest</w:t>
            </w:r>
            <w:r w:rsidR="001B161A" w:rsidRPr="00245459">
              <w:rPr>
                <w:sz w:val="22"/>
                <w:szCs w:val="22"/>
                <w:lang w:val="sr-Latn-ME"/>
              </w:rPr>
              <w:t>o</w:t>
            </w:r>
            <w:r w:rsidRPr="00245459">
              <w:rPr>
                <w:sz w:val="22"/>
                <w:szCs w:val="22"/>
                <w:lang w:val="sr-Latn-ME"/>
              </w:rPr>
              <w:t>" kod pacijenata koji su dobijali montelukast, prijavljene su i  "čest</w:t>
            </w:r>
            <w:r w:rsidR="001B161A" w:rsidRPr="00245459">
              <w:rPr>
                <w:sz w:val="22"/>
                <w:szCs w:val="22"/>
                <w:lang w:val="sr-Latn-ME"/>
              </w:rPr>
              <w:t>o</w:t>
            </w:r>
            <w:r w:rsidRPr="00245459">
              <w:rPr>
                <w:sz w:val="22"/>
                <w:szCs w:val="22"/>
                <w:lang w:val="sr-Latn-ME"/>
              </w:rPr>
              <w:t>" kod pacijenata koji su dobijali placebo u kliničkim studijama.</w:t>
            </w:r>
          </w:p>
          <w:p w14:paraId="1E1AC0AA" w14:textId="77777777" w:rsidR="000D0C9F" w:rsidRPr="00245459" w:rsidRDefault="000D0C9F" w:rsidP="005342F3">
            <w:pPr>
              <w:jc w:val="both"/>
              <w:rPr>
                <w:sz w:val="22"/>
                <w:szCs w:val="22"/>
                <w:lang w:val="sr-Latn-ME"/>
              </w:rPr>
            </w:pPr>
            <w:r w:rsidRPr="00245459">
              <w:rPr>
                <w:sz w:val="22"/>
                <w:szCs w:val="22"/>
                <w:lang w:val="sr-Latn-ME"/>
              </w:rPr>
              <w:t>§ Kategorija učestalosti: rijetka</w:t>
            </w:r>
          </w:p>
          <w:p w14:paraId="035DF3D5" w14:textId="77777777" w:rsidR="000D0C9F" w:rsidRPr="00245459" w:rsidRDefault="000D0C9F" w:rsidP="005342F3">
            <w:pPr>
              <w:jc w:val="both"/>
              <w:rPr>
                <w:sz w:val="22"/>
                <w:szCs w:val="22"/>
                <w:lang w:val="sr-Latn-ME"/>
              </w:rPr>
            </w:pPr>
          </w:p>
        </w:tc>
      </w:tr>
    </w:tbl>
    <w:p w14:paraId="18127D80" w14:textId="77777777" w:rsidR="000D0C9F" w:rsidRPr="00245459" w:rsidRDefault="000D0C9F" w:rsidP="005342F3">
      <w:pPr>
        <w:spacing w:after="200" w:line="276" w:lineRule="auto"/>
        <w:jc w:val="both"/>
        <w:rPr>
          <w:rFonts w:eastAsia="Calibri"/>
          <w:sz w:val="22"/>
          <w:szCs w:val="22"/>
          <w:u w:val="single"/>
          <w:lang w:val="sr-Latn-ME"/>
        </w:rPr>
      </w:pPr>
    </w:p>
    <w:p w14:paraId="5834E24F" w14:textId="5F4FF26D" w:rsidR="00577FC6" w:rsidRPr="00245459" w:rsidRDefault="005A23D2" w:rsidP="005342F3">
      <w:pPr>
        <w:spacing w:after="200" w:line="276" w:lineRule="auto"/>
        <w:jc w:val="both"/>
        <w:rPr>
          <w:rFonts w:eastAsia="Calibri"/>
          <w:sz w:val="22"/>
          <w:szCs w:val="22"/>
          <w:u w:val="single"/>
          <w:lang w:val="sr-Latn-ME"/>
        </w:rPr>
      </w:pPr>
      <w:r w:rsidRPr="00245459">
        <w:rPr>
          <w:rFonts w:eastAsia="Calibri"/>
          <w:sz w:val="22"/>
          <w:szCs w:val="22"/>
          <w:u w:val="single"/>
          <w:lang w:val="sr-Latn-ME"/>
        </w:rPr>
        <w:t>Prijavljivanje sumnji na neželjena dejstva</w:t>
      </w:r>
    </w:p>
    <w:p w14:paraId="73D4B7FC" w14:textId="77777777" w:rsidR="00577FC6" w:rsidRPr="00245459" w:rsidRDefault="00577FC6" w:rsidP="00577FC6">
      <w:pPr>
        <w:spacing w:after="200"/>
        <w:jc w:val="both"/>
        <w:rPr>
          <w:rFonts w:eastAsia="Calibri"/>
          <w:sz w:val="22"/>
          <w:szCs w:val="22"/>
          <w:lang w:val="sr-Latn-ME"/>
        </w:rPr>
      </w:pPr>
      <w:r w:rsidRPr="00245459">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2A32726" w14:textId="7777777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t xml:space="preserve">Institut za ljekove i medicinska sredstva </w:t>
      </w:r>
    </w:p>
    <w:p w14:paraId="0821A62A" w14:textId="7777777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t>Odjeljenje za farmakovigilancu</w:t>
      </w:r>
    </w:p>
    <w:p w14:paraId="0DF04611" w14:textId="7777777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t>Bulevar Ivana Crnojevića 64a, 81000 Podgorica</w:t>
      </w:r>
    </w:p>
    <w:p w14:paraId="55BCC57A" w14:textId="77777777" w:rsidR="00577FC6" w:rsidRPr="00245459" w:rsidRDefault="00577FC6" w:rsidP="00577FC6">
      <w:pPr>
        <w:pStyle w:val="NoSpacing"/>
        <w:rPr>
          <w:rFonts w:eastAsia="Calibri"/>
          <w:sz w:val="22"/>
          <w:szCs w:val="22"/>
          <w:lang w:val="sr-Latn-ME"/>
        </w:rPr>
      </w:pPr>
      <w:bookmarkStart w:id="0" w:name="_GoBack"/>
      <w:bookmarkEnd w:id="0"/>
    </w:p>
    <w:p w14:paraId="45F0C837" w14:textId="7777777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lastRenderedPageBreak/>
        <w:t>tel: +382 (0) 20 310 280</w:t>
      </w:r>
    </w:p>
    <w:p w14:paraId="413DB93A" w14:textId="7777777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t>fax: +382 (0) 20 310 581</w:t>
      </w:r>
    </w:p>
    <w:p w14:paraId="77F7B857" w14:textId="77777777" w:rsidR="00577FC6" w:rsidRPr="00245459" w:rsidRDefault="00617A9C" w:rsidP="00577FC6">
      <w:pPr>
        <w:pStyle w:val="NoSpacing"/>
        <w:jc w:val="both"/>
        <w:rPr>
          <w:rFonts w:eastAsia="Calibri"/>
          <w:sz w:val="22"/>
          <w:szCs w:val="22"/>
          <w:lang w:val="sr-Latn-ME"/>
        </w:rPr>
      </w:pPr>
      <w:hyperlink r:id="rId9" w:history="1">
        <w:r w:rsidR="00577FC6" w:rsidRPr="00245459">
          <w:rPr>
            <w:rStyle w:val="Hyperlink"/>
            <w:rFonts w:eastAsia="Calibri"/>
            <w:sz w:val="22"/>
            <w:szCs w:val="22"/>
            <w:lang w:val="sr-Latn-ME"/>
          </w:rPr>
          <w:t>www.cinmed.me</w:t>
        </w:r>
      </w:hyperlink>
    </w:p>
    <w:p w14:paraId="7567CC60" w14:textId="77777777" w:rsidR="00577FC6" w:rsidRPr="00245459" w:rsidRDefault="00617A9C" w:rsidP="00577FC6">
      <w:pPr>
        <w:pStyle w:val="NoSpacing"/>
        <w:jc w:val="both"/>
        <w:rPr>
          <w:rFonts w:eastAsia="Calibri"/>
          <w:color w:val="0000FF"/>
          <w:sz w:val="22"/>
          <w:szCs w:val="22"/>
          <w:u w:val="single"/>
          <w:lang w:val="sr-Latn-ME"/>
        </w:rPr>
      </w:pPr>
      <w:hyperlink r:id="rId10" w:history="1">
        <w:r w:rsidR="00577FC6" w:rsidRPr="00245459">
          <w:rPr>
            <w:rStyle w:val="Hyperlink"/>
            <w:rFonts w:eastAsia="Calibri"/>
            <w:sz w:val="22"/>
            <w:szCs w:val="22"/>
            <w:lang w:val="sr-Latn-ME"/>
          </w:rPr>
          <w:t>nezeljenadejstva@cinmed.me</w:t>
        </w:r>
      </w:hyperlink>
    </w:p>
    <w:p w14:paraId="2A1878EF" w14:textId="20B473D7" w:rsidR="00577FC6" w:rsidRPr="00245459" w:rsidRDefault="00577FC6" w:rsidP="00577FC6">
      <w:pPr>
        <w:pStyle w:val="NoSpacing"/>
        <w:jc w:val="both"/>
        <w:rPr>
          <w:rFonts w:eastAsia="Calibri"/>
          <w:sz w:val="22"/>
          <w:szCs w:val="22"/>
          <w:lang w:val="sr-Latn-ME"/>
        </w:rPr>
      </w:pPr>
      <w:r w:rsidRPr="00245459">
        <w:rPr>
          <w:rFonts w:eastAsia="Calibri"/>
          <w:sz w:val="22"/>
          <w:szCs w:val="22"/>
          <w:lang w:val="sr-Latn-ME"/>
        </w:rPr>
        <w:t>putem IS zdravstvene zaštite</w:t>
      </w:r>
    </w:p>
    <w:p w14:paraId="60AFAD98" w14:textId="77777777" w:rsidR="00A65FA7" w:rsidRPr="00245459" w:rsidRDefault="00A65FA7" w:rsidP="00A65FA7">
      <w:pPr>
        <w:rPr>
          <w:sz w:val="22"/>
          <w:szCs w:val="22"/>
          <w:lang w:val="sr-Latn-ME"/>
        </w:rPr>
      </w:pPr>
      <w:r w:rsidRPr="00245459">
        <w:rPr>
          <w:sz w:val="22"/>
          <w:szCs w:val="22"/>
          <w:lang w:val="sr-Latn-ME"/>
        </w:rPr>
        <w:t>QR kod za online prijavu sumnje na neželjeno dejstvo lijeka:</w:t>
      </w:r>
    </w:p>
    <w:p w14:paraId="4EA38FF0" w14:textId="77777777" w:rsidR="00A65FA7" w:rsidRPr="00245459" w:rsidRDefault="00A65FA7" w:rsidP="00A65FA7">
      <w:pPr>
        <w:rPr>
          <w:sz w:val="22"/>
          <w:szCs w:val="22"/>
          <w:lang w:val="sr-Latn-ME"/>
        </w:rPr>
      </w:pPr>
    </w:p>
    <w:p w14:paraId="45CCCADC" w14:textId="73D5BD5B" w:rsidR="00A65FA7" w:rsidRPr="00245459" w:rsidRDefault="00A65FA7" w:rsidP="00A65FA7">
      <w:pPr>
        <w:pStyle w:val="NoSpacing"/>
        <w:jc w:val="both"/>
        <w:rPr>
          <w:rFonts w:eastAsia="Calibri"/>
          <w:sz w:val="22"/>
          <w:szCs w:val="22"/>
          <w:lang w:val="sr-Latn-ME"/>
        </w:rPr>
      </w:pPr>
      <w:r w:rsidRPr="00956DB3">
        <w:rPr>
          <w:noProof/>
        </w:rPr>
        <w:drawing>
          <wp:inline distT="0" distB="0" distL="0" distR="0" wp14:anchorId="69CE3DB9" wp14:editId="2822D12D">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4D7DD9F" w14:textId="77777777" w:rsidR="00577FC6" w:rsidRPr="00245459" w:rsidRDefault="00577FC6" w:rsidP="005342F3">
      <w:pPr>
        <w:spacing w:after="200"/>
        <w:jc w:val="both"/>
        <w:rPr>
          <w:rFonts w:eastAsia="Calibri"/>
          <w:sz w:val="22"/>
          <w:szCs w:val="22"/>
          <w:lang w:val="sr-Latn-ME"/>
        </w:rPr>
      </w:pPr>
    </w:p>
    <w:p w14:paraId="0CD0BBEE" w14:textId="047BF0ED" w:rsidR="00CD6F02"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4.9. </w:t>
      </w:r>
      <w:r w:rsidR="00480FB1" w:rsidRPr="00245459">
        <w:rPr>
          <w:b/>
          <w:bCs/>
          <w:sz w:val="22"/>
          <w:szCs w:val="22"/>
          <w:lang w:val="sr-Latn-ME"/>
        </w:rPr>
        <w:tab/>
      </w:r>
      <w:r w:rsidRPr="00245459">
        <w:rPr>
          <w:b/>
          <w:bCs/>
          <w:sz w:val="22"/>
          <w:szCs w:val="22"/>
          <w:lang w:val="sr-Latn-ME"/>
        </w:rPr>
        <w:t>Predoziranje</w:t>
      </w:r>
      <w:r w:rsidR="002846DB" w:rsidRPr="00245459">
        <w:rPr>
          <w:b/>
          <w:bCs/>
          <w:sz w:val="22"/>
          <w:szCs w:val="22"/>
          <w:lang w:val="sr-Latn-ME"/>
        </w:rPr>
        <w:t xml:space="preserve"> </w:t>
      </w:r>
    </w:p>
    <w:p w14:paraId="21D677C3" w14:textId="77777777" w:rsidR="003D0F7B" w:rsidRPr="00245459" w:rsidRDefault="003D0F7B" w:rsidP="005342F3">
      <w:pPr>
        <w:tabs>
          <w:tab w:val="left" w:pos="540"/>
          <w:tab w:val="left" w:pos="569"/>
        </w:tabs>
        <w:jc w:val="both"/>
        <w:rPr>
          <w:b/>
          <w:bCs/>
          <w:sz w:val="22"/>
          <w:szCs w:val="22"/>
          <w:lang w:val="sr-Latn-ME"/>
        </w:rPr>
      </w:pPr>
    </w:p>
    <w:p w14:paraId="5A71149F" w14:textId="652FBE04" w:rsidR="000D0C9F" w:rsidRPr="00245459" w:rsidRDefault="000D0C9F" w:rsidP="005342F3">
      <w:pPr>
        <w:jc w:val="both"/>
        <w:rPr>
          <w:sz w:val="22"/>
          <w:szCs w:val="22"/>
          <w:lang w:val="sr-Latn-ME"/>
        </w:rPr>
      </w:pPr>
      <w:r w:rsidRPr="00245459">
        <w:rPr>
          <w:sz w:val="22"/>
          <w:szCs w:val="22"/>
          <w:lang w:val="sr-Latn-ME"/>
        </w:rPr>
        <w:t>Kod ispitivanja hroničnih slučajeva astme, montelukast je primjenjiv</w:t>
      </w:r>
      <w:r w:rsidR="003D0F7B" w:rsidRPr="00245459">
        <w:rPr>
          <w:sz w:val="22"/>
          <w:szCs w:val="22"/>
          <w:lang w:val="sr-Latn-ME"/>
        </w:rPr>
        <w:t>an</w:t>
      </w:r>
      <w:r w:rsidRPr="00245459">
        <w:rPr>
          <w:sz w:val="22"/>
          <w:szCs w:val="22"/>
          <w:lang w:val="sr-Latn-ME"/>
        </w:rPr>
        <w:t xml:space="preserve"> u doz</w:t>
      </w:r>
      <w:r w:rsidR="00757BAC" w:rsidRPr="00245459">
        <w:rPr>
          <w:sz w:val="22"/>
          <w:szCs w:val="22"/>
          <w:lang w:val="sr-Latn-ME"/>
        </w:rPr>
        <w:t>i</w:t>
      </w:r>
      <w:r w:rsidRPr="00245459">
        <w:rPr>
          <w:sz w:val="22"/>
          <w:szCs w:val="22"/>
          <w:lang w:val="sr-Latn-ME"/>
        </w:rPr>
        <w:t xml:space="preserve"> </w:t>
      </w:r>
      <w:r w:rsidR="00757BAC" w:rsidRPr="00245459">
        <w:rPr>
          <w:sz w:val="22"/>
          <w:szCs w:val="22"/>
          <w:lang w:val="sr-Latn-ME"/>
        </w:rPr>
        <w:t xml:space="preserve">do </w:t>
      </w:r>
      <w:r w:rsidRPr="00245459">
        <w:rPr>
          <w:sz w:val="22"/>
          <w:szCs w:val="22"/>
          <w:lang w:val="sr-Latn-ME"/>
        </w:rPr>
        <w:t xml:space="preserve">200 mg/dan, </w:t>
      </w:r>
      <w:r w:rsidR="00757BAC" w:rsidRPr="00245459">
        <w:rPr>
          <w:sz w:val="22"/>
          <w:szCs w:val="22"/>
          <w:lang w:val="sr-Latn-ME"/>
        </w:rPr>
        <w:t xml:space="preserve">kod odraslih pacijenata, </w:t>
      </w:r>
      <w:r w:rsidRPr="00245459">
        <w:rPr>
          <w:sz w:val="22"/>
          <w:szCs w:val="22"/>
          <w:lang w:val="sr-Latn-ME"/>
        </w:rPr>
        <w:t>tokom 22 nedjelje, a u kratk</w:t>
      </w:r>
      <w:r w:rsidR="00757BAC" w:rsidRPr="00245459">
        <w:rPr>
          <w:sz w:val="22"/>
          <w:szCs w:val="22"/>
          <w:lang w:val="sr-Latn-ME"/>
        </w:rPr>
        <w:t>otrajnim</w:t>
      </w:r>
      <w:r w:rsidRPr="00245459">
        <w:rPr>
          <w:sz w:val="22"/>
          <w:szCs w:val="22"/>
          <w:lang w:val="sr-Latn-ME"/>
        </w:rPr>
        <w:t xml:space="preserve"> ispitivanjima, montelukast se primjenjivao u dozi do 900 mg/dan, tokom jedne nedjelje, bez klinički značajnih neželjenih reakcija.</w:t>
      </w:r>
    </w:p>
    <w:p w14:paraId="3F31029C" w14:textId="77777777" w:rsidR="000D0C9F" w:rsidRPr="00245459" w:rsidRDefault="000D0C9F" w:rsidP="005342F3">
      <w:pPr>
        <w:jc w:val="both"/>
        <w:rPr>
          <w:sz w:val="22"/>
          <w:szCs w:val="22"/>
          <w:lang w:val="sr-Latn-ME"/>
        </w:rPr>
      </w:pPr>
    </w:p>
    <w:p w14:paraId="563DF542" w14:textId="170157B5" w:rsidR="000D0C9F" w:rsidRPr="00245459" w:rsidRDefault="000D0C9F" w:rsidP="005342F3">
      <w:pPr>
        <w:jc w:val="both"/>
        <w:rPr>
          <w:sz w:val="22"/>
          <w:szCs w:val="22"/>
          <w:lang w:val="sr-Latn-ME"/>
        </w:rPr>
      </w:pPr>
      <w:r w:rsidRPr="00245459">
        <w:rPr>
          <w:sz w:val="22"/>
          <w:szCs w:val="22"/>
          <w:lang w:val="sr-Latn-ME"/>
        </w:rPr>
        <w:t>Postoje izvještaji o akutno</w:t>
      </w:r>
      <w:r w:rsidR="00757BAC" w:rsidRPr="00245459">
        <w:rPr>
          <w:sz w:val="22"/>
          <w:szCs w:val="22"/>
          <w:lang w:val="sr-Latn-ME"/>
        </w:rPr>
        <w:t>m</w:t>
      </w:r>
      <w:r w:rsidRPr="00245459">
        <w:rPr>
          <w:sz w:val="22"/>
          <w:szCs w:val="22"/>
          <w:lang w:val="sr-Latn-ME"/>
        </w:rPr>
        <w:t xml:space="preserve"> predozira</w:t>
      </w:r>
      <w:r w:rsidR="00757BAC" w:rsidRPr="00245459">
        <w:rPr>
          <w:sz w:val="22"/>
          <w:szCs w:val="22"/>
          <w:lang w:val="sr-Latn-ME"/>
        </w:rPr>
        <w:t>nju</w:t>
      </w:r>
      <w:r w:rsidRPr="00245459">
        <w:rPr>
          <w:sz w:val="22"/>
          <w:szCs w:val="22"/>
          <w:lang w:val="sr-Latn-ME"/>
        </w:rPr>
        <w:t xml:space="preserve"> montelukastom</w:t>
      </w:r>
      <w:r w:rsidR="00757BAC" w:rsidRPr="00245459">
        <w:rPr>
          <w:sz w:val="22"/>
          <w:szCs w:val="22"/>
          <w:lang w:val="sr-Latn-ME"/>
        </w:rPr>
        <w:t>, koji su dobijeni na osnovu postmarketinškog iskustva i kliničkih ispitivanja</w:t>
      </w:r>
      <w:r w:rsidRPr="00245459">
        <w:rPr>
          <w:sz w:val="22"/>
          <w:szCs w:val="22"/>
          <w:lang w:val="sr-Latn-ME"/>
        </w:rPr>
        <w:t>. Ov</w:t>
      </w:r>
      <w:r w:rsidR="00757BAC" w:rsidRPr="00245459">
        <w:rPr>
          <w:sz w:val="22"/>
          <w:szCs w:val="22"/>
          <w:lang w:val="sr-Latn-ME"/>
        </w:rPr>
        <w:t>im</w:t>
      </w:r>
      <w:r w:rsidRPr="00245459">
        <w:rPr>
          <w:sz w:val="22"/>
          <w:szCs w:val="22"/>
          <w:lang w:val="sr-Latn-ME"/>
        </w:rPr>
        <w:t xml:space="preserve"> izvještaj</w:t>
      </w:r>
      <w:r w:rsidR="00757BAC" w:rsidRPr="00245459">
        <w:rPr>
          <w:sz w:val="22"/>
          <w:szCs w:val="22"/>
          <w:lang w:val="sr-Latn-ME"/>
        </w:rPr>
        <w:t>ima bili su obuhvaćeni</w:t>
      </w:r>
      <w:r w:rsidRPr="00245459">
        <w:rPr>
          <w:sz w:val="22"/>
          <w:szCs w:val="22"/>
          <w:lang w:val="sr-Latn-ME"/>
        </w:rPr>
        <w:t xml:space="preserve"> odrasli i djec</w:t>
      </w:r>
      <w:r w:rsidR="00757BAC" w:rsidRPr="00245459">
        <w:rPr>
          <w:sz w:val="22"/>
          <w:szCs w:val="22"/>
          <w:lang w:val="sr-Latn-ME"/>
        </w:rPr>
        <w:t>a</w:t>
      </w:r>
      <w:r w:rsidRPr="00245459">
        <w:rPr>
          <w:sz w:val="22"/>
          <w:szCs w:val="22"/>
          <w:lang w:val="sr-Latn-ME"/>
        </w:rPr>
        <w:t xml:space="preserve"> </w:t>
      </w:r>
      <w:r w:rsidR="00757BAC" w:rsidRPr="00245459">
        <w:rPr>
          <w:sz w:val="22"/>
          <w:szCs w:val="22"/>
          <w:lang w:val="sr-Latn-ME"/>
        </w:rPr>
        <w:t xml:space="preserve">koji su uzimali doze do </w:t>
      </w:r>
      <w:r w:rsidRPr="00245459">
        <w:rPr>
          <w:sz w:val="22"/>
          <w:szCs w:val="22"/>
          <w:lang w:val="sr-Latn-ME"/>
        </w:rPr>
        <w:t>1000 miligrama (o</w:t>
      </w:r>
      <w:r w:rsidR="00757BAC" w:rsidRPr="00245459">
        <w:rPr>
          <w:sz w:val="22"/>
          <w:szCs w:val="22"/>
          <w:lang w:val="sr-Latn-ME"/>
        </w:rPr>
        <w:t>ko</w:t>
      </w:r>
      <w:r w:rsidRPr="00245459">
        <w:rPr>
          <w:sz w:val="22"/>
          <w:szCs w:val="22"/>
          <w:lang w:val="sr-Latn-ME"/>
        </w:rPr>
        <w:t xml:space="preserve"> 61 mg/kg kod djeteta </w:t>
      </w:r>
      <w:r w:rsidR="00757BAC" w:rsidRPr="00245459">
        <w:rPr>
          <w:sz w:val="22"/>
          <w:szCs w:val="22"/>
          <w:lang w:val="sr-Latn-ME"/>
        </w:rPr>
        <w:t xml:space="preserve">starosti </w:t>
      </w:r>
      <w:r w:rsidRPr="00245459">
        <w:rPr>
          <w:sz w:val="22"/>
          <w:szCs w:val="22"/>
          <w:lang w:val="sr-Latn-ME"/>
        </w:rPr>
        <w:t xml:space="preserve">42 mjeseca). Dobijeni klinički i laboratorijski nalazi bili su konzistentni sa bezbjednosnim profilom kod odraslih i pedijatrijskih pacijenata. Nije bilo neželjenih reakcija u većini prijavljenih slučajeva predoziranja. </w:t>
      </w:r>
    </w:p>
    <w:p w14:paraId="21F6D5F8" w14:textId="77777777" w:rsidR="000D0C9F" w:rsidRPr="00245459" w:rsidRDefault="000D0C9F" w:rsidP="005342F3">
      <w:pPr>
        <w:jc w:val="both"/>
        <w:rPr>
          <w:sz w:val="22"/>
          <w:szCs w:val="22"/>
          <w:lang w:val="sr-Latn-ME"/>
        </w:rPr>
      </w:pPr>
    </w:p>
    <w:p w14:paraId="157B61A4" w14:textId="77777777" w:rsidR="000D0C9F" w:rsidRPr="00245459" w:rsidRDefault="000D0C9F" w:rsidP="005342F3">
      <w:pPr>
        <w:jc w:val="both"/>
        <w:rPr>
          <w:sz w:val="22"/>
          <w:szCs w:val="22"/>
          <w:u w:val="single"/>
          <w:lang w:val="sr-Latn-ME"/>
        </w:rPr>
      </w:pPr>
      <w:r w:rsidRPr="00245459">
        <w:rPr>
          <w:sz w:val="22"/>
          <w:szCs w:val="22"/>
          <w:u w:val="single"/>
          <w:lang w:val="sr-Latn-ME"/>
        </w:rPr>
        <w:t>Simptomi predoziranja</w:t>
      </w:r>
    </w:p>
    <w:p w14:paraId="395D7C30" w14:textId="1801CA25" w:rsidR="000D0C9F" w:rsidRPr="00245459" w:rsidRDefault="000D0C9F" w:rsidP="005342F3">
      <w:pPr>
        <w:jc w:val="both"/>
        <w:rPr>
          <w:sz w:val="22"/>
          <w:szCs w:val="22"/>
          <w:lang w:val="sr-Latn-ME"/>
        </w:rPr>
      </w:pPr>
      <w:r w:rsidRPr="00245459">
        <w:rPr>
          <w:sz w:val="22"/>
          <w:szCs w:val="22"/>
          <w:lang w:val="sr-Latn-ME"/>
        </w:rPr>
        <w:t>Neželjene reakcije koje su se najčešće pojavljivale su bile konzistentne sa bezbjednosnim profilom montelukasta i uključivale su abdominalni bol, somnolenciju, žeđ, gla</w:t>
      </w:r>
      <w:r w:rsidR="003D0F7B" w:rsidRPr="00245459">
        <w:rPr>
          <w:sz w:val="22"/>
          <w:szCs w:val="22"/>
          <w:lang w:val="sr-Latn-ME"/>
        </w:rPr>
        <w:t>vo</w:t>
      </w:r>
      <w:r w:rsidRPr="00245459">
        <w:rPr>
          <w:sz w:val="22"/>
          <w:szCs w:val="22"/>
          <w:lang w:val="sr-Latn-ME"/>
        </w:rPr>
        <w:t>bolju, povraćanje i psihomotornu hiperaktivnost.</w:t>
      </w:r>
    </w:p>
    <w:p w14:paraId="52720C56" w14:textId="77777777" w:rsidR="000D0C9F" w:rsidRPr="00245459" w:rsidRDefault="000D0C9F" w:rsidP="005342F3">
      <w:pPr>
        <w:jc w:val="both"/>
        <w:rPr>
          <w:sz w:val="22"/>
          <w:szCs w:val="22"/>
          <w:u w:val="single"/>
          <w:lang w:val="sr-Latn-ME"/>
        </w:rPr>
      </w:pPr>
    </w:p>
    <w:p w14:paraId="7C502358" w14:textId="77777777" w:rsidR="000D0C9F" w:rsidRPr="00245459" w:rsidRDefault="000D0C9F" w:rsidP="005342F3">
      <w:pPr>
        <w:jc w:val="both"/>
        <w:rPr>
          <w:sz w:val="22"/>
          <w:szCs w:val="22"/>
          <w:u w:val="single"/>
          <w:lang w:val="sr-Latn-ME"/>
        </w:rPr>
      </w:pPr>
      <w:r w:rsidRPr="00245459">
        <w:rPr>
          <w:sz w:val="22"/>
          <w:szCs w:val="22"/>
          <w:u w:val="single"/>
          <w:lang w:val="sr-Latn-ME"/>
        </w:rPr>
        <w:t>Terapija predoziranja</w:t>
      </w:r>
    </w:p>
    <w:p w14:paraId="36966A75" w14:textId="56F9CCAF" w:rsidR="000D0C9F" w:rsidRPr="00245459" w:rsidRDefault="000D0C9F" w:rsidP="005342F3">
      <w:pPr>
        <w:jc w:val="both"/>
        <w:rPr>
          <w:sz w:val="22"/>
          <w:szCs w:val="22"/>
          <w:lang w:val="sr-Latn-ME"/>
        </w:rPr>
      </w:pPr>
      <w:r w:rsidRPr="00245459">
        <w:rPr>
          <w:sz w:val="22"/>
          <w:szCs w:val="22"/>
          <w:lang w:val="sr-Latn-ME"/>
        </w:rPr>
        <w:t xml:space="preserve">Nijesu dostupni specifični podaci o terapiji predoziranja montelukastom. Nije poznato da li je montelukast moguće </w:t>
      </w:r>
      <w:r w:rsidR="00444990" w:rsidRPr="00245459">
        <w:rPr>
          <w:sz w:val="22"/>
          <w:szCs w:val="22"/>
          <w:lang w:val="sr-Latn-ME"/>
        </w:rPr>
        <w:t>ukloniti  hemodijalizom ili peritonealnom dijalizom</w:t>
      </w:r>
      <w:r w:rsidR="0036081D" w:rsidRPr="00245459">
        <w:rPr>
          <w:sz w:val="22"/>
          <w:szCs w:val="22"/>
          <w:lang w:val="sr-Latn-ME"/>
        </w:rPr>
        <w:t>.</w:t>
      </w:r>
    </w:p>
    <w:p w14:paraId="583A8817" w14:textId="0801C561" w:rsidR="00227BDB" w:rsidRDefault="00227BDB" w:rsidP="005342F3">
      <w:pPr>
        <w:tabs>
          <w:tab w:val="left" w:pos="540"/>
          <w:tab w:val="left" w:pos="569"/>
        </w:tabs>
        <w:jc w:val="both"/>
        <w:rPr>
          <w:b/>
          <w:bCs/>
          <w:sz w:val="22"/>
          <w:szCs w:val="22"/>
          <w:lang w:val="sr-Latn-ME"/>
        </w:rPr>
      </w:pPr>
    </w:p>
    <w:p w14:paraId="46FDC28D" w14:textId="77777777" w:rsidR="00245459" w:rsidRPr="00245459" w:rsidRDefault="00245459" w:rsidP="005342F3">
      <w:pPr>
        <w:tabs>
          <w:tab w:val="left" w:pos="540"/>
          <w:tab w:val="left" w:pos="569"/>
        </w:tabs>
        <w:jc w:val="both"/>
        <w:rPr>
          <w:b/>
          <w:bCs/>
          <w:sz w:val="22"/>
          <w:szCs w:val="22"/>
          <w:lang w:val="sr-Latn-ME"/>
        </w:rPr>
      </w:pPr>
    </w:p>
    <w:p w14:paraId="5883CE0B"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5. </w:t>
      </w:r>
      <w:r w:rsidR="00480FB1" w:rsidRPr="00245459">
        <w:rPr>
          <w:b/>
          <w:bCs/>
          <w:sz w:val="22"/>
          <w:szCs w:val="22"/>
          <w:lang w:val="sr-Latn-ME"/>
        </w:rPr>
        <w:tab/>
      </w:r>
      <w:r w:rsidRPr="00245459">
        <w:rPr>
          <w:b/>
          <w:bCs/>
          <w:sz w:val="22"/>
          <w:szCs w:val="22"/>
          <w:lang w:val="sr-Latn-ME"/>
        </w:rPr>
        <w:t>FARMAKOLOŠK</w:t>
      </w:r>
      <w:r w:rsidR="000D425A" w:rsidRPr="00245459">
        <w:rPr>
          <w:b/>
          <w:bCs/>
          <w:sz w:val="22"/>
          <w:szCs w:val="22"/>
          <w:lang w:val="sr-Latn-ME"/>
        </w:rPr>
        <w:t>I</w:t>
      </w:r>
      <w:r w:rsidRPr="00245459">
        <w:rPr>
          <w:b/>
          <w:bCs/>
          <w:sz w:val="22"/>
          <w:szCs w:val="22"/>
          <w:lang w:val="sr-Latn-ME"/>
        </w:rPr>
        <w:t xml:space="preserve"> PODACI</w:t>
      </w:r>
    </w:p>
    <w:p w14:paraId="53846738" w14:textId="77777777" w:rsidR="0072020E" w:rsidRPr="00245459" w:rsidRDefault="0072020E" w:rsidP="005342F3">
      <w:pPr>
        <w:tabs>
          <w:tab w:val="left" w:pos="540"/>
          <w:tab w:val="left" w:pos="569"/>
        </w:tabs>
        <w:jc w:val="both"/>
        <w:rPr>
          <w:b/>
          <w:bCs/>
          <w:sz w:val="22"/>
          <w:szCs w:val="22"/>
          <w:lang w:val="sr-Latn-ME"/>
        </w:rPr>
      </w:pPr>
    </w:p>
    <w:p w14:paraId="1978A66A"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5.1. </w:t>
      </w:r>
      <w:r w:rsidR="00480FB1" w:rsidRPr="00245459">
        <w:rPr>
          <w:b/>
          <w:bCs/>
          <w:sz w:val="22"/>
          <w:szCs w:val="22"/>
          <w:lang w:val="sr-Latn-ME"/>
        </w:rPr>
        <w:tab/>
      </w:r>
      <w:r w:rsidRPr="00245459">
        <w:rPr>
          <w:b/>
          <w:bCs/>
          <w:sz w:val="22"/>
          <w:szCs w:val="22"/>
          <w:lang w:val="sr-Latn-ME"/>
        </w:rPr>
        <w:t>Farmakodinamski podaci</w:t>
      </w:r>
      <w:r w:rsidR="003A7059" w:rsidRPr="00245459">
        <w:rPr>
          <w:b/>
          <w:bCs/>
          <w:sz w:val="22"/>
          <w:szCs w:val="22"/>
          <w:lang w:val="sr-Latn-ME"/>
        </w:rPr>
        <w:t xml:space="preserve"> </w:t>
      </w:r>
    </w:p>
    <w:p w14:paraId="4494E688" w14:textId="77777777" w:rsidR="00F45F77" w:rsidRPr="00245459" w:rsidRDefault="00F45F77" w:rsidP="005342F3">
      <w:pPr>
        <w:tabs>
          <w:tab w:val="left" w:pos="540"/>
          <w:tab w:val="left" w:pos="569"/>
        </w:tabs>
        <w:jc w:val="both"/>
        <w:rPr>
          <w:b/>
          <w:bCs/>
          <w:sz w:val="22"/>
          <w:szCs w:val="22"/>
          <w:lang w:val="sr-Latn-ME"/>
        </w:rPr>
      </w:pPr>
    </w:p>
    <w:p w14:paraId="1F5CC7D3" w14:textId="30C09C49" w:rsidR="0072020E" w:rsidRPr="00245459" w:rsidRDefault="0072020E" w:rsidP="005342F3">
      <w:pPr>
        <w:tabs>
          <w:tab w:val="left" w:pos="540"/>
          <w:tab w:val="left" w:pos="569"/>
        </w:tabs>
        <w:jc w:val="both"/>
        <w:rPr>
          <w:bCs/>
          <w:sz w:val="22"/>
          <w:szCs w:val="22"/>
          <w:lang w:val="sr-Latn-ME"/>
        </w:rPr>
      </w:pPr>
      <w:r w:rsidRPr="00245459">
        <w:rPr>
          <w:bCs/>
          <w:sz w:val="22"/>
          <w:szCs w:val="22"/>
          <w:lang w:val="sr-Latn-ME"/>
        </w:rPr>
        <w:t>Farmakoterapijska grupa:</w:t>
      </w:r>
      <w:r w:rsidR="000D0C9F" w:rsidRPr="00245459">
        <w:rPr>
          <w:bCs/>
          <w:sz w:val="22"/>
          <w:szCs w:val="22"/>
          <w:lang w:val="sr-Latn-ME"/>
        </w:rPr>
        <w:t xml:space="preserve"> </w:t>
      </w:r>
      <w:r w:rsidR="000D0C9F" w:rsidRPr="00245459">
        <w:rPr>
          <w:sz w:val="22"/>
          <w:szCs w:val="22"/>
          <w:lang w:val="sr-Latn-ME"/>
        </w:rPr>
        <w:t>antagonista leukotrijenskih receptora</w:t>
      </w:r>
    </w:p>
    <w:p w14:paraId="456AAA04" w14:textId="77777777" w:rsidR="0072020E" w:rsidRPr="00245459" w:rsidRDefault="0072020E" w:rsidP="005342F3">
      <w:pPr>
        <w:tabs>
          <w:tab w:val="left" w:pos="540"/>
          <w:tab w:val="left" w:pos="569"/>
        </w:tabs>
        <w:jc w:val="both"/>
        <w:rPr>
          <w:bCs/>
          <w:sz w:val="22"/>
          <w:szCs w:val="22"/>
          <w:lang w:val="sr-Latn-ME"/>
        </w:rPr>
      </w:pPr>
    </w:p>
    <w:p w14:paraId="2809366B" w14:textId="4AF1F6F5" w:rsidR="0072020E" w:rsidRPr="00245459" w:rsidRDefault="0072020E" w:rsidP="005342F3">
      <w:pPr>
        <w:tabs>
          <w:tab w:val="left" w:pos="540"/>
          <w:tab w:val="left" w:pos="569"/>
        </w:tabs>
        <w:jc w:val="both"/>
        <w:rPr>
          <w:bCs/>
          <w:sz w:val="22"/>
          <w:szCs w:val="22"/>
          <w:lang w:val="sr-Latn-ME"/>
        </w:rPr>
      </w:pPr>
      <w:r w:rsidRPr="00245459">
        <w:rPr>
          <w:bCs/>
          <w:sz w:val="22"/>
          <w:szCs w:val="22"/>
          <w:lang w:val="sr-Latn-ME"/>
        </w:rPr>
        <w:t>ATC kod:</w:t>
      </w:r>
      <w:r w:rsidR="000D0C9F" w:rsidRPr="00245459">
        <w:rPr>
          <w:bCs/>
          <w:sz w:val="22"/>
          <w:szCs w:val="22"/>
          <w:lang w:val="sr-Latn-ME"/>
        </w:rPr>
        <w:t xml:space="preserve"> </w:t>
      </w:r>
      <w:r w:rsidR="000D0C9F" w:rsidRPr="00245459">
        <w:rPr>
          <w:sz w:val="22"/>
          <w:szCs w:val="22"/>
          <w:lang w:val="sr-Latn-ME"/>
        </w:rPr>
        <w:t>R03DC03</w:t>
      </w:r>
    </w:p>
    <w:p w14:paraId="04796DFB" w14:textId="08D8C4AB" w:rsidR="002E37A5" w:rsidRPr="00245459" w:rsidRDefault="002E37A5" w:rsidP="005342F3">
      <w:pPr>
        <w:tabs>
          <w:tab w:val="left" w:pos="540"/>
          <w:tab w:val="left" w:pos="569"/>
        </w:tabs>
        <w:jc w:val="both"/>
        <w:rPr>
          <w:b/>
          <w:bCs/>
          <w:sz w:val="22"/>
          <w:szCs w:val="22"/>
          <w:lang w:val="sr-Latn-ME"/>
        </w:rPr>
      </w:pPr>
    </w:p>
    <w:p w14:paraId="61E2AC40" w14:textId="77777777" w:rsidR="000D0C9F" w:rsidRPr="00245459" w:rsidRDefault="000D0C9F" w:rsidP="005342F3">
      <w:pPr>
        <w:jc w:val="both"/>
        <w:rPr>
          <w:sz w:val="22"/>
          <w:szCs w:val="22"/>
          <w:u w:val="single"/>
          <w:lang w:val="sr-Latn-ME"/>
        </w:rPr>
      </w:pPr>
      <w:r w:rsidRPr="00245459">
        <w:rPr>
          <w:sz w:val="22"/>
          <w:szCs w:val="22"/>
          <w:u w:val="single"/>
          <w:lang w:val="sr-Latn-ME"/>
        </w:rPr>
        <w:t>Mehanizam dejstva</w:t>
      </w:r>
    </w:p>
    <w:p w14:paraId="4F59D85F" w14:textId="7D7305EA" w:rsidR="000D0C9F" w:rsidRPr="00245459" w:rsidRDefault="000D0C9F" w:rsidP="005342F3">
      <w:pPr>
        <w:jc w:val="both"/>
        <w:rPr>
          <w:sz w:val="22"/>
          <w:szCs w:val="22"/>
          <w:lang w:val="sr-Latn-ME"/>
        </w:rPr>
      </w:pPr>
      <w:r w:rsidRPr="00245459">
        <w:rPr>
          <w:sz w:val="22"/>
          <w:szCs w:val="22"/>
          <w:lang w:val="sr-Latn-ME"/>
        </w:rPr>
        <w:t>Cisteinil leukotrijeni (LTC</w:t>
      </w:r>
      <w:r w:rsidRPr="00245459">
        <w:rPr>
          <w:sz w:val="22"/>
          <w:szCs w:val="22"/>
          <w:vertAlign w:val="subscript"/>
          <w:lang w:val="sr-Latn-ME"/>
        </w:rPr>
        <w:t>4</w:t>
      </w:r>
      <w:r w:rsidRPr="00245459">
        <w:rPr>
          <w:sz w:val="22"/>
          <w:szCs w:val="22"/>
          <w:lang w:val="sr-Latn-ME"/>
        </w:rPr>
        <w:t>, LTD</w:t>
      </w:r>
      <w:r w:rsidRPr="00245459">
        <w:rPr>
          <w:sz w:val="22"/>
          <w:szCs w:val="22"/>
          <w:vertAlign w:val="subscript"/>
          <w:lang w:val="sr-Latn-ME"/>
        </w:rPr>
        <w:t>4</w:t>
      </w:r>
      <w:r w:rsidRPr="00245459">
        <w:rPr>
          <w:sz w:val="22"/>
          <w:szCs w:val="22"/>
          <w:lang w:val="sr-Latn-ME"/>
        </w:rPr>
        <w:t>, LTE</w:t>
      </w:r>
      <w:r w:rsidRPr="00245459">
        <w:rPr>
          <w:sz w:val="22"/>
          <w:szCs w:val="22"/>
          <w:vertAlign w:val="subscript"/>
          <w:lang w:val="sr-Latn-ME"/>
        </w:rPr>
        <w:t>4</w:t>
      </w:r>
      <w:r w:rsidRPr="00245459">
        <w:rPr>
          <w:sz w:val="22"/>
          <w:szCs w:val="22"/>
          <w:lang w:val="sr-Latn-ME"/>
        </w:rPr>
        <w:t>) su snažni inflamatorni eiko</w:t>
      </w:r>
      <w:r w:rsidR="00E822E9" w:rsidRPr="00245459">
        <w:rPr>
          <w:sz w:val="22"/>
          <w:szCs w:val="22"/>
          <w:lang w:val="sr-Latn-ME"/>
        </w:rPr>
        <w:t>z</w:t>
      </w:r>
      <w:r w:rsidRPr="00245459">
        <w:rPr>
          <w:sz w:val="22"/>
          <w:szCs w:val="22"/>
          <w:lang w:val="sr-Latn-ME"/>
        </w:rPr>
        <w:t>anoidi koji se oslobađaju iz različitih ćelija, uključujući mastocite i eozinofile. Ovi važni proastmatični medijatori vezuju se za cisteinil leukotrijenske receptore (CysLT). CysLt tip-1 (CysLT</w:t>
      </w:r>
      <w:r w:rsidRPr="00245459">
        <w:rPr>
          <w:sz w:val="22"/>
          <w:szCs w:val="22"/>
          <w:vertAlign w:val="subscript"/>
          <w:lang w:val="sr-Latn-ME"/>
        </w:rPr>
        <w:t>1</w:t>
      </w:r>
      <w:r w:rsidRPr="00245459">
        <w:rPr>
          <w:sz w:val="22"/>
          <w:szCs w:val="22"/>
          <w:lang w:val="sr-Latn-ME"/>
        </w:rPr>
        <w:t>) receptor pronađen je kod ljudi, u disajnim putevima (uključujući glatke mišićne ćelije i makrofage disajnih puteva) i u drugim proinflamatornim ćelijama (uključujući eozinofile i određene matične ćelije mijeloidne loze). CysLTs su povezani sa patofiziologijom astme i alergijskog rinitisa. Kod astme, u dejstva posredovana leukotrijenima spadaju bronhokonstrikcija, mukozna sekrecija, vaskularna permeabilnost i mobilizacija eozinofila. Kod alergijskog rinitisa, CysLTs se oslobađaju iz nazalne mukoze nakon izlaganja alergenu, tokom reakcija kako rane tako i kasne faze i udruženi su sa simptomima alergijskog rinitisa. Pokazano je da intranazalna izloženost CysLTs povećava rezistenciju nazalnih disajnih puteva, kao i simptome nazalne opstrukcije.</w:t>
      </w:r>
    </w:p>
    <w:p w14:paraId="44CE92FF" w14:textId="77777777" w:rsidR="000D0C9F" w:rsidRPr="00245459" w:rsidRDefault="000D0C9F" w:rsidP="005342F3">
      <w:pPr>
        <w:pStyle w:val="Header"/>
        <w:tabs>
          <w:tab w:val="left" w:pos="284"/>
        </w:tabs>
        <w:jc w:val="both"/>
        <w:rPr>
          <w:sz w:val="22"/>
          <w:szCs w:val="22"/>
          <w:u w:val="single"/>
          <w:lang w:val="sr-Latn-ME"/>
        </w:rPr>
      </w:pPr>
      <w:r w:rsidRPr="00245459">
        <w:rPr>
          <w:sz w:val="22"/>
          <w:szCs w:val="22"/>
          <w:u w:val="single"/>
          <w:lang w:val="sr-Latn-ME"/>
        </w:rPr>
        <w:lastRenderedPageBreak/>
        <w:t>Farmakodinamski efekti</w:t>
      </w:r>
    </w:p>
    <w:p w14:paraId="43EA1C59" w14:textId="6DFEDF2A" w:rsidR="000D0C9F" w:rsidRPr="00245459" w:rsidRDefault="000D0C9F" w:rsidP="005342F3">
      <w:pPr>
        <w:pStyle w:val="Header"/>
        <w:tabs>
          <w:tab w:val="left" w:pos="284"/>
        </w:tabs>
        <w:jc w:val="both"/>
        <w:rPr>
          <w:sz w:val="22"/>
          <w:szCs w:val="22"/>
          <w:lang w:val="sr-Latn-ME" w:eastAsia="sr-Latn-CS"/>
        </w:rPr>
      </w:pPr>
      <w:r w:rsidRPr="00245459">
        <w:rPr>
          <w:sz w:val="22"/>
          <w:szCs w:val="22"/>
          <w:lang w:val="sr-Latn-ME"/>
        </w:rPr>
        <w:t>Montelukast predstavlja supstancu aktivnu nakon oralne primjene koja se visokim afinitetom i selektivnošću vezuje za CysLT</w:t>
      </w:r>
      <w:r w:rsidRPr="00245459">
        <w:rPr>
          <w:sz w:val="22"/>
          <w:szCs w:val="22"/>
          <w:vertAlign w:val="subscript"/>
          <w:lang w:val="sr-Latn-ME"/>
        </w:rPr>
        <w:t>1</w:t>
      </w:r>
      <w:r w:rsidRPr="00245459">
        <w:rPr>
          <w:sz w:val="22"/>
          <w:szCs w:val="22"/>
          <w:lang w:val="sr-Latn-ME"/>
        </w:rPr>
        <w:t xml:space="preserve"> receptor. U kliničkim studijama je pokazano da montelukast inhibira bronhokonstrikciju nastalu usljed inhalacije LTD</w:t>
      </w:r>
      <w:r w:rsidRPr="00245459">
        <w:rPr>
          <w:sz w:val="22"/>
          <w:szCs w:val="22"/>
          <w:vertAlign w:val="subscript"/>
          <w:lang w:val="sr-Latn-ME"/>
        </w:rPr>
        <w:t>4</w:t>
      </w:r>
      <w:r w:rsidRPr="00245459">
        <w:rPr>
          <w:sz w:val="22"/>
          <w:szCs w:val="22"/>
          <w:lang w:val="sr-Latn-ME"/>
        </w:rPr>
        <w:t>, i to u malim dozama kao što je doza od 5 mg. Bronhodilatacija nastaje u roku od 2 sata od oralno primjenjenog lijeka. Bronhodilatatorni efek</w:t>
      </w:r>
      <w:r w:rsidR="00E822E9" w:rsidRPr="00245459">
        <w:rPr>
          <w:sz w:val="22"/>
          <w:szCs w:val="22"/>
          <w:lang w:val="sr-Latn-ME"/>
        </w:rPr>
        <w:t>a</w:t>
      </w:r>
      <w:r w:rsidRPr="00245459">
        <w:rPr>
          <w:sz w:val="22"/>
          <w:szCs w:val="22"/>
          <w:lang w:val="sr-Latn-ME"/>
        </w:rPr>
        <w:t xml:space="preserve">t prouzrokovan </w:t>
      </w:r>
      <w:r w:rsidRPr="00245459">
        <w:rPr>
          <w:sz w:val="22"/>
          <w:szCs w:val="22"/>
          <w:lang w:val="sr-Latn-ME" w:eastAsia="sr-Latn-CS"/>
        </w:rPr>
        <w:t>β-agonistom je aditivan na efekat montelukasta. Liječenje montelukastom inhibira i ranu i kasnu fazu bronhokonstrikcije izazvanu antigenima. Montelukast je, u poređenju sa placebom, smanjio broj eozinofila u perifernoj krvi kod odraslih i pedijatrijskih pacijenata. U posebnoj studiji je pokazano da montelukast značajno smanjuje broj eozinofila u disajnim putevima (mjereno u sputumu) i perifernoj krvi pri čemu se poboljšava klinička kontrola astme.</w:t>
      </w:r>
    </w:p>
    <w:p w14:paraId="074E68C3" w14:textId="77777777" w:rsidR="000D0C9F" w:rsidRPr="00245459" w:rsidRDefault="000D0C9F" w:rsidP="005342F3">
      <w:pPr>
        <w:pStyle w:val="Header"/>
        <w:tabs>
          <w:tab w:val="left" w:pos="284"/>
        </w:tabs>
        <w:jc w:val="both"/>
        <w:rPr>
          <w:sz w:val="22"/>
          <w:szCs w:val="22"/>
          <w:lang w:val="sr-Latn-ME" w:eastAsia="sr-Latn-CS"/>
        </w:rPr>
      </w:pPr>
    </w:p>
    <w:p w14:paraId="6615BFED" w14:textId="77777777" w:rsidR="000D0C9F" w:rsidRPr="00245459" w:rsidRDefault="000D0C9F" w:rsidP="005342F3">
      <w:pPr>
        <w:pStyle w:val="Header"/>
        <w:tabs>
          <w:tab w:val="left" w:pos="284"/>
        </w:tabs>
        <w:jc w:val="both"/>
        <w:rPr>
          <w:sz w:val="22"/>
          <w:szCs w:val="22"/>
          <w:u w:val="single"/>
          <w:lang w:val="sr-Latn-ME" w:eastAsia="sr-Latn-CS"/>
        </w:rPr>
      </w:pPr>
      <w:r w:rsidRPr="00245459">
        <w:rPr>
          <w:sz w:val="22"/>
          <w:szCs w:val="22"/>
          <w:u w:val="single"/>
          <w:lang w:val="sr-Latn-ME" w:eastAsia="sr-Latn-CS"/>
        </w:rPr>
        <w:t>Klinička efikasnost i bezbednost</w:t>
      </w:r>
    </w:p>
    <w:p w14:paraId="6B70E50D" w14:textId="7DB58051" w:rsidR="000D0C9F" w:rsidRPr="00245459" w:rsidRDefault="000D0C9F" w:rsidP="005342F3">
      <w:pPr>
        <w:pStyle w:val="Header"/>
        <w:tabs>
          <w:tab w:val="left" w:pos="284"/>
        </w:tabs>
        <w:jc w:val="both"/>
        <w:rPr>
          <w:sz w:val="22"/>
          <w:szCs w:val="22"/>
          <w:lang w:val="sr-Latn-ME" w:eastAsia="sr-Latn-CS"/>
        </w:rPr>
      </w:pPr>
      <w:r w:rsidRPr="00245459">
        <w:rPr>
          <w:sz w:val="22"/>
          <w:szCs w:val="22"/>
          <w:lang w:val="sr-Latn-ME" w:eastAsia="sr-Latn-CS"/>
        </w:rPr>
        <w:t>U studijama koje su sprovedene na odraslim pacijentima montelukast, u dozi od 10 mg jednom dnevno, u poređenju sa placebom, je pokazao značajno poboljšanje u jutarnjem FEV</w:t>
      </w:r>
      <w:r w:rsidRPr="00245459">
        <w:rPr>
          <w:sz w:val="22"/>
          <w:szCs w:val="22"/>
          <w:vertAlign w:val="subscript"/>
          <w:lang w:val="sr-Latn-ME" w:eastAsia="sr-Latn-CS"/>
        </w:rPr>
        <w:t>1</w:t>
      </w:r>
      <w:r w:rsidRPr="00245459">
        <w:rPr>
          <w:sz w:val="22"/>
          <w:szCs w:val="22"/>
          <w:lang w:val="sr-Latn-ME" w:eastAsia="sr-Latn-CS"/>
        </w:rPr>
        <w:t xml:space="preserve"> (10.4% </w:t>
      </w:r>
      <w:r w:rsidR="00F0222A" w:rsidRPr="00245459">
        <w:rPr>
          <w:sz w:val="22"/>
          <w:szCs w:val="22"/>
          <w:lang w:val="sr-Latn-ME" w:eastAsia="sr-Latn-CS"/>
        </w:rPr>
        <w:t xml:space="preserve">naspram </w:t>
      </w:r>
      <w:r w:rsidRPr="00245459">
        <w:rPr>
          <w:sz w:val="22"/>
          <w:szCs w:val="22"/>
          <w:lang w:val="sr-Latn-ME" w:eastAsia="sr-Latn-CS"/>
        </w:rPr>
        <w:t>2.7%, u odnosu na početne</w:t>
      </w:r>
      <w:r w:rsidR="002C5FFF" w:rsidRPr="00245459">
        <w:rPr>
          <w:sz w:val="22"/>
          <w:szCs w:val="22"/>
          <w:lang w:val="sr-Latn-ME" w:eastAsia="sr-Latn-CS"/>
        </w:rPr>
        <w:t xml:space="preserve"> vrijednosti</w:t>
      </w:r>
      <w:r w:rsidRPr="00245459">
        <w:rPr>
          <w:sz w:val="22"/>
          <w:szCs w:val="22"/>
          <w:lang w:val="sr-Latn-ME" w:eastAsia="sr-Latn-CS"/>
        </w:rPr>
        <w:t xml:space="preserve">), </w:t>
      </w:r>
      <w:r w:rsidRPr="00245459">
        <w:rPr>
          <w:i/>
          <w:sz w:val="22"/>
          <w:szCs w:val="22"/>
          <w:lang w:val="sr-Latn-ME" w:eastAsia="sr-Latn-CS"/>
        </w:rPr>
        <w:t>AM peak expiratory flow rate</w:t>
      </w:r>
      <w:r w:rsidRPr="00245459">
        <w:rPr>
          <w:sz w:val="22"/>
          <w:szCs w:val="22"/>
          <w:lang w:val="sr-Latn-ME" w:eastAsia="sr-Latn-CS"/>
        </w:rPr>
        <w:t xml:space="preserve"> (PEFR) (24.5 </w:t>
      </w:r>
      <w:r w:rsidR="00FD6CF1" w:rsidRPr="00245459">
        <w:rPr>
          <w:sz w:val="22"/>
          <w:szCs w:val="22"/>
          <w:lang w:val="sr-Latn-ME" w:eastAsia="sr-Latn-CS"/>
        </w:rPr>
        <w:t>l</w:t>
      </w:r>
      <w:r w:rsidRPr="00245459">
        <w:rPr>
          <w:sz w:val="22"/>
          <w:szCs w:val="22"/>
          <w:lang w:val="sr-Latn-ME" w:eastAsia="sr-Latn-CS"/>
        </w:rPr>
        <w:t xml:space="preserve">/min </w:t>
      </w:r>
      <w:r w:rsidR="00F0222A" w:rsidRPr="00245459">
        <w:rPr>
          <w:sz w:val="22"/>
          <w:szCs w:val="22"/>
          <w:lang w:val="sr-Latn-ME" w:eastAsia="sr-Latn-CS"/>
        </w:rPr>
        <w:t>naspram</w:t>
      </w:r>
      <w:r w:rsidRPr="00245459">
        <w:rPr>
          <w:sz w:val="22"/>
          <w:szCs w:val="22"/>
          <w:lang w:val="sr-Latn-ME" w:eastAsia="sr-Latn-CS"/>
        </w:rPr>
        <w:t xml:space="preserve"> 3.3 </w:t>
      </w:r>
      <w:r w:rsidR="00FD6CF1" w:rsidRPr="00245459">
        <w:rPr>
          <w:sz w:val="22"/>
          <w:szCs w:val="22"/>
          <w:lang w:val="sr-Latn-ME" w:eastAsia="sr-Latn-CS"/>
        </w:rPr>
        <w:t>l</w:t>
      </w:r>
      <w:r w:rsidRPr="00245459">
        <w:rPr>
          <w:sz w:val="22"/>
          <w:szCs w:val="22"/>
          <w:lang w:val="sr-Latn-ME" w:eastAsia="sr-Latn-CS"/>
        </w:rPr>
        <w:t>/min, u odnosu na početne</w:t>
      </w:r>
      <w:r w:rsidR="002C5FFF" w:rsidRPr="00245459">
        <w:rPr>
          <w:sz w:val="22"/>
          <w:szCs w:val="22"/>
          <w:lang w:val="sr-Latn-ME" w:eastAsia="sr-Latn-CS"/>
        </w:rPr>
        <w:t xml:space="preserve"> vrijednosti</w:t>
      </w:r>
      <w:r w:rsidRPr="00245459">
        <w:rPr>
          <w:sz w:val="22"/>
          <w:szCs w:val="22"/>
          <w:lang w:val="sr-Latn-ME" w:eastAsia="sr-Latn-CS"/>
        </w:rPr>
        <w:t xml:space="preserve">), kao i značajno smanjenje u ukupnoj primjeni β-agonista (-26.1% </w:t>
      </w:r>
      <w:r w:rsidR="00F0222A" w:rsidRPr="00245459">
        <w:rPr>
          <w:sz w:val="22"/>
          <w:szCs w:val="22"/>
          <w:lang w:val="sr-Latn-ME" w:eastAsia="sr-Latn-CS"/>
        </w:rPr>
        <w:t>naspram</w:t>
      </w:r>
      <w:r w:rsidRPr="00245459">
        <w:rPr>
          <w:sz w:val="22"/>
          <w:szCs w:val="22"/>
          <w:lang w:val="sr-Latn-ME" w:eastAsia="sr-Latn-CS"/>
        </w:rPr>
        <w:t xml:space="preserve"> -4.6% u odnosu na početne</w:t>
      </w:r>
      <w:r w:rsidR="002C5FFF" w:rsidRPr="00245459">
        <w:rPr>
          <w:sz w:val="22"/>
          <w:szCs w:val="22"/>
          <w:lang w:val="sr-Latn-ME" w:eastAsia="sr-Latn-CS"/>
        </w:rPr>
        <w:t xml:space="preserve"> vrijednosti</w:t>
      </w:r>
      <w:r w:rsidRPr="00245459">
        <w:rPr>
          <w:sz w:val="22"/>
          <w:szCs w:val="22"/>
          <w:lang w:val="sr-Latn-ME" w:eastAsia="sr-Latn-CS"/>
        </w:rPr>
        <w:t>). Poboljšanje skora simptoma astme u toku dana i noći, koji su prijavljivali pacijenti, bilo je značajno veće u odnosu na placebo.</w:t>
      </w:r>
    </w:p>
    <w:p w14:paraId="65100A86" w14:textId="77777777" w:rsidR="000D0C9F" w:rsidRPr="00245459" w:rsidRDefault="000D0C9F" w:rsidP="005342F3">
      <w:pPr>
        <w:pStyle w:val="Header"/>
        <w:tabs>
          <w:tab w:val="left" w:pos="284"/>
        </w:tabs>
        <w:jc w:val="both"/>
        <w:rPr>
          <w:sz w:val="22"/>
          <w:szCs w:val="22"/>
          <w:lang w:val="sr-Latn-ME"/>
        </w:rPr>
      </w:pPr>
    </w:p>
    <w:p w14:paraId="3370989D" w14:textId="26AEC022" w:rsidR="000D0C9F" w:rsidRPr="00245459" w:rsidRDefault="000D0C9F" w:rsidP="005342F3">
      <w:pPr>
        <w:pStyle w:val="Header"/>
        <w:tabs>
          <w:tab w:val="left" w:pos="284"/>
        </w:tabs>
        <w:jc w:val="both"/>
        <w:rPr>
          <w:sz w:val="22"/>
          <w:szCs w:val="22"/>
          <w:lang w:val="sr-Latn-ME" w:eastAsia="sr-Latn-CS"/>
        </w:rPr>
      </w:pPr>
      <w:r w:rsidRPr="00245459">
        <w:rPr>
          <w:sz w:val="22"/>
          <w:szCs w:val="22"/>
          <w:lang w:val="sr-Latn-ME"/>
        </w:rPr>
        <w:t>Studije na odraslim pacijentima pokazale su da montelukast može da poveća klinički efekat inhalacionih kortikosteroida (% promjene u odnosu na početn</w:t>
      </w:r>
      <w:r w:rsidR="00062862" w:rsidRPr="00245459">
        <w:rPr>
          <w:sz w:val="22"/>
          <w:szCs w:val="22"/>
          <w:lang w:val="sr-Latn-ME"/>
        </w:rPr>
        <w:t>e</w:t>
      </w:r>
      <w:r w:rsidRPr="00245459">
        <w:rPr>
          <w:sz w:val="22"/>
          <w:szCs w:val="22"/>
          <w:lang w:val="sr-Latn-ME"/>
        </w:rPr>
        <w:t xml:space="preserve"> </w:t>
      </w:r>
      <w:r w:rsidR="00062862" w:rsidRPr="00245459">
        <w:rPr>
          <w:sz w:val="22"/>
          <w:szCs w:val="22"/>
          <w:lang w:val="sr-Latn-ME"/>
        </w:rPr>
        <w:t>vrijednosti</w:t>
      </w:r>
      <w:r w:rsidRPr="00245459">
        <w:rPr>
          <w:sz w:val="22"/>
          <w:szCs w:val="22"/>
          <w:lang w:val="sr-Latn-ME"/>
        </w:rPr>
        <w:t xml:space="preserve"> za kombinaciju inhalacioni beklometazon plus montelukast </w:t>
      </w:r>
      <w:r w:rsidR="00F0222A" w:rsidRPr="00245459">
        <w:rPr>
          <w:sz w:val="22"/>
          <w:szCs w:val="22"/>
          <w:lang w:val="sr-Latn-ME"/>
        </w:rPr>
        <w:t>naspram</w:t>
      </w:r>
      <w:r w:rsidRPr="00245459">
        <w:rPr>
          <w:sz w:val="22"/>
          <w:szCs w:val="22"/>
          <w:lang w:val="sr-Latn-ME"/>
        </w:rPr>
        <w:t xml:space="preserve"> sam beklometazon: FEV</w:t>
      </w:r>
      <w:r w:rsidRPr="00245459">
        <w:rPr>
          <w:sz w:val="22"/>
          <w:szCs w:val="22"/>
          <w:vertAlign w:val="subscript"/>
          <w:lang w:val="sr-Latn-ME"/>
        </w:rPr>
        <w:t>1</w:t>
      </w:r>
      <w:r w:rsidRPr="00245459">
        <w:rPr>
          <w:sz w:val="22"/>
          <w:szCs w:val="22"/>
          <w:lang w:val="sr-Latn-ME"/>
        </w:rPr>
        <w:t xml:space="preserve">: 5.43% </w:t>
      </w:r>
      <w:r w:rsidR="00F0222A" w:rsidRPr="00245459">
        <w:rPr>
          <w:sz w:val="22"/>
          <w:szCs w:val="22"/>
          <w:lang w:val="sr-Latn-ME"/>
        </w:rPr>
        <w:t>naspram</w:t>
      </w:r>
      <w:r w:rsidRPr="00245459">
        <w:rPr>
          <w:sz w:val="22"/>
          <w:szCs w:val="22"/>
          <w:lang w:val="sr-Latn-ME"/>
        </w:rPr>
        <w:t xml:space="preserve"> 1.04%; upotreba </w:t>
      </w:r>
      <w:r w:rsidRPr="00245459">
        <w:rPr>
          <w:sz w:val="22"/>
          <w:szCs w:val="22"/>
          <w:lang w:val="sr-Latn-ME" w:eastAsia="sr-Latn-CS"/>
        </w:rPr>
        <w:t xml:space="preserve">β-agonista: -8.70% </w:t>
      </w:r>
      <w:r w:rsidR="00F0222A" w:rsidRPr="00245459">
        <w:rPr>
          <w:sz w:val="22"/>
          <w:szCs w:val="22"/>
          <w:lang w:val="sr-Latn-ME" w:eastAsia="sr-Latn-CS"/>
        </w:rPr>
        <w:t xml:space="preserve">naspram </w:t>
      </w:r>
      <w:r w:rsidRPr="00245459">
        <w:rPr>
          <w:sz w:val="22"/>
          <w:szCs w:val="22"/>
          <w:lang w:val="sr-Latn-ME" w:eastAsia="sr-Latn-CS"/>
        </w:rPr>
        <w:t xml:space="preserve">2.64%). U poređenju sa inhalacionim beklometazonom (200 μg dva puta dnevno) montelukast je pokazao brži inicijalni odgovor, iako je u studiji koja je trajala 12 nedjelja beklometazon obezbijedio bolji ukupni efekat liječenja (% promjene u odnosu na početne nivoe za montelukast </w:t>
      </w:r>
      <w:r w:rsidR="00F0222A" w:rsidRPr="00245459">
        <w:rPr>
          <w:sz w:val="22"/>
          <w:szCs w:val="22"/>
          <w:lang w:val="sr-Latn-ME" w:eastAsia="sr-Latn-CS"/>
        </w:rPr>
        <w:t>naspram</w:t>
      </w:r>
      <w:r w:rsidRPr="00245459">
        <w:rPr>
          <w:sz w:val="22"/>
          <w:szCs w:val="22"/>
          <w:lang w:val="sr-Latn-ME" w:eastAsia="sr-Latn-CS"/>
        </w:rPr>
        <w:t xml:space="preserve"> beklometazon za FEV</w:t>
      </w:r>
      <w:r w:rsidRPr="00245459">
        <w:rPr>
          <w:sz w:val="22"/>
          <w:szCs w:val="22"/>
          <w:vertAlign w:val="subscript"/>
          <w:lang w:val="sr-Latn-ME" w:eastAsia="sr-Latn-CS"/>
        </w:rPr>
        <w:t>1</w:t>
      </w:r>
      <w:r w:rsidRPr="00245459">
        <w:rPr>
          <w:sz w:val="22"/>
          <w:szCs w:val="22"/>
          <w:lang w:val="sr-Latn-ME" w:eastAsia="sr-Latn-CS"/>
        </w:rPr>
        <w:t xml:space="preserve">: 7.49% </w:t>
      </w:r>
      <w:r w:rsidR="00F0222A" w:rsidRPr="00245459">
        <w:rPr>
          <w:sz w:val="22"/>
          <w:szCs w:val="22"/>
          <w:lang w:val="sr-Latn-ME" w:eastAsia="sr-Latn-CS"/>
        </w:rPr>
        <w:t>naspram</w:t>
      </w:r>
      <w:r w:rsidRPr="00245459">
        <w:rPr>
          <w:sz w:val="22"/>
          <w:szCs w:val="22"/>
          <w:lang w:val="sr-Latn-ME" w:eastAsia="sr-Latn-CS"/>
        </w:rPr>
        <w:t xml:space="preserve"> 13.3%; upotreba β-agonista: -28.28% </w:t>
      </w:r>
      <w:r w:rsidR="00F0222A" w:rsidRPr="00245459">
        <w:rPr>
          <w:sz w:val="22"/>
          <w:szCs w:val="22"/>
          <w:lang w:val="sr-Latn-ME" w:eastAsia="sr-Latn-CS"/>
        </w:rPr>
        <w:t>naspram</w:t>
      </w:r>
      <w:r w:rsidRPr="00245459">
        <w:rPr>
          <w:sz w:val="22"/>
          <w:szCs w:val="22"/>
          <w:lang w:val="sr-Latn-ME" w:eastAsia="sr-Latn-CS"/>
        </w:rPr>
        <w:t xml:space="preserve"> -43.89%). Međutim, u poređenju sa beklometazonom, kod visokog procenta pacijenata koji su liječeni montelukastom postignut je sličan klinički odgovor (npr. kod 50% pacijenata koji su liječeni beklometazonom postignuto je poboljšanje FEV</w:t>
      </w:r>
      <w:r w:rsidRPr="00245459">
        <w:rPr>
          <w:sz w:val="22"/>
          <w:szCs w:val="22"/>
          <w:vertAlign w:val="subscript"/>
          <w:lang w:val="sr-Latn-ME" w:eastAsia="sr-Latn-CS"/>
        </w:rPr>
        <w:t>1</w:t>
      </w:r>
      <w:r w:rsidRPr="00245459">
        <w:rPr>
          <w:sz w:val="22"/>
          <w:szCs w:val="22"/>
          <w:lang w:val="sr-Latn-ME" w:eastAsia="sr-Latn-CS"/>
        </w:rPr>
        <w:t xml:space="preserve"> od oko 11% ili više u odnosu na početne </w:t>
      </w:r>
      <w:r w:rsidR="00062862" w:rsidRPr="00245459">
        <w:rPr>
          <w:sz w:val="22"/>
          <w:szCs w:val="22"/>
          <w:lang w:val="sr-Latn-ME" w:eastAsia="sr-Latn-CS"/>
        </w:rPr>
        <w:t>vrijednosti</w:t>
      </w:r>
      <w:r w:rsidRPr="00245459">
        <w:rPr>
          <w:sz w:val="22"/>
          <w:szCs w:val="22"/>
          <w:lang w:val="sr-Latn-ME" w:eastAsia="sr-Latn-CS"/>
        </w:rPr>
        <w:t xml:space="preserve">, dok je oko 42% pacijenata koji su liječeni montelukastom postiglo isti odgovor). </w:t>
      </w:r>
    </w:p>
    <w:p w14:paraId="019B8206" w14:textId="77777777" w:rsidR="000D0C9F" w:rsidRPr="00245459" w:rsidRDefault="000D0C9F" w:rsidP="005342F3">
      <w:pPr>
        <w:pStyle w:val="Header"/>
        <w:tabs>
          <w:tab w:val="left" w:pos="284"/>
        </w:tabs>
        <w:jc w:val="both"/>
        <w:rPr>
          <w:sz w:val="22"/>
          <w:szCs w:val="22"/>
          <w:lang w:val="sr-Latn-ME" w:eastAsia="sr-Latn-CS"/>
        </w:rPr>
      </w:pPr>
    </w:p>
    <w:p w14:paraId="45D7E27E" w14:textId="6485AE0A" w:rsidR="000D0C9F" w:rsidRPr="00245459" w:rsidRDefault="000D0C9F" w:rsidP="005342F3">
      <w:pPr>
        <w:jc w:val="both"/>
        <w:rPr>
          <w:sz w:val="22"/>
          <w:szCs w:val="22"/>
          <w:lang w:val="sr-Latn-ME"/>
        </w:rPr>
      </w:pPr>
      <w:r w:rsidRPr="00245459">
        <w:rPr>
          <w:sz w:val="22"/>
          <w:szCs w:val="22"/>
          <w:lang w:val="sr-Latn-ME"/>
        </w:rPr>
        <w:t>Sprovedeno je kliničko ispitivanje da bi se procijeni</w:t>
      </w:r>
      <w:r w:rsidR="00062862" w:rsidRPr="00245459">
        <w:rPr>
          <w:sz w:val="22"/>
          <w:szCs w:val="22"/>
          <w:lang w:val="sr-Latn-ME"/>
        </w:rPr>
        <w:t>la primjena</w:t>
      </w:r>
      <w:r w:rsidRPr="00245459">
        <w:rPr>
          <w:sz w:val="22"/>
          <w:szCs w:val="22"/>
          <w:lang w:val="sr-Latn-ME"/>
        </w:rPr>
        <w:t xml:space="preserve"> montelukast</w:t>
      </w:r>
      <w:r w:rsidR="00062862" w:rsidRPr="00245459">
        <w:rPr>
          <w:sz w:val="22"/>
          <w:szCs w:val="22"/>
          <w:lang w:val="sr-Latn-ME"/>
        </w:rPr>
        <w:t>a</w:t>
      </w:r>
      <w:r w:rsidRPr="00245459">
        <w:rPr>
          <w:sz w:val="22"/>
          <w:szCs w:val="22"/>
          <w:lang w:val="sr-Latn-ME"/>
        </w:rPr>
        <w:t xml:space="preserve"> u simptomatskoj terapiji sezonskog alergijskog rinitisa, kod odraslih </w:t>
      </w:r>
      <w:r w:rsidR="00062862" w:rsidRPr="00245459">
        <w:rPr>
          <w:sz w:val="22"/>
          <w:szCs w:val="22"/>
          <w:lang w:val="sr-Latn-ME"/>
        </w:rPr>
        <w:t xml:space="preserve">i adolescenata </w:t>
      </w:r>
      <w:r w:rsidRPr="00245459">
        <w:rPr>
          <w:sz w:val="22"/>
          <w:szCs w:val="22"/>
          <w:lang w:val="sr-Latn-ME"/>
        </w:rPr>
        <w:t>star</w:t>
      </w:r>
      <w:r w:rsidR="00062862" w:rsidRPr="00245459">
        <w:rPr>
          <w:sz w:val="22"/>
          <w:szCs w:val="22"/>
          <w:lang w:val="sr-Latn-ME"/>
        </w:rPr>
        <w:t>osti</w:t>
      </w:r>
      <w:r w:rsidRPr="00245459">
        <w:rPr>
          <w:sz w:val="22"/>
          <w:szCs w:val="22"/>
          <w:lang w:val="sr-Latn-ME"/>
        </w:rPr>
        <w:t xml:space="preserve"> 15 i više godina</w:t>
      </w:r>
      <w:r w:rsidR="00062862" w:rsidRPr="00245459">
        <w:rPr>
          <w:sz w:val="22"/>
          <w:szCs w:val="22"/>
          <w:lang w:val="sr-Latn-ME"/>
        </w:rPr>
        <w:t xml:space="preserve"> sa astmom i</w:t>
      </w:r>
      <w:r w:rsidRPr="00245459">
        <w:rPr>
          <w:sz w:val="22"/>
          <w:szCs w:val="22"/>
          <w:lang w:val="sr-Latn-ME"/>
        </w:rPr>
        <w:t xml:space="preserve"> sa konkomitantnim sezonskim alergijskim rinitisom. U ovom ispitivanju, tablete montelukasta od 10 mg primijenjene jednom dnevno pokazale su statistički značajno poboljšanje u Skoru dnevnih simptoma rinitisa</w:t>
      </w:r>
      <w:r w:rsidR="00062862" w:rsidRPr="00245459">
        <w:rPr>
          <w:sz w:val="22"/>
          <w:szCs w:val="22"/>
          <w:lang w:val="sr-Latn-ME"/>
        </w:rPr>
        <w:t xml:space="preserve"> </w:t>
      </w:r>
      <w:bookmarkStart w:id="1" w:name="_Hlk135127957"/>
      <w:r w:rsidR="00062862" w:rsidRPr="00245459">
        <w:rPr>
          <w:sz w:val="22"/>
          <w:szCs w:val="22"/>
          <w:lang w:val="sr-Latn-ME"/>
        </w:rPr>
        <w:t xml:space="preserve">(engl. </w:t>
      </w:r>
      <w:r w:rsidR="00062862" w:rsidRPr="00245459">
        <w:rPr>
          <w:i/>
          <w:iCs/>
          <w:sz w:val="22"/>
          <w:szCs w:val="22"/>
          <w:lang w:val="sr-Latn-ME"/>
        </w:rPr>
        <w:t>Daily Rinithis Symptoms Score</w:t>
      </w:r>
      <w:r w:rsidR="00062862" w:rsidRPr="00245459">
        <w:rPr>
          <w:sz w:val="22"/>
          <w:szCs w:val="22"/>
          <w:lang w:val="sr-Latn-ME"/>
        </w:rPr>
        <w:t>)</w:t>
      </w:r>
      <w:bookmarkEnd w:id="1"/>
      <w:r w:rsidRPr="00245459">
        <w:rPr>
          <w:sz w:val="22"/>
          <w:szCs w:val="22"/>
          <w:lang w:val="sr-Latn-ME"/>
        </w:rPr>
        <w:t>, u poređenju sa placebom. Skor dnevnih simptoma rinitisa jeste prosječna vrijednost skora Dnevnih nazalnih simtoma</w:t>
      </w:r>
      <w:r w:rsidR="00062862" w:rsidRPr="00245459">
        <w:rPr>
          <w:sz w:val="22"/>
          <w:szCs w:val="22"/>
          <w:lang w:val="sr-Latn-ME"/>
        </w:rPr>
        <w:t xml:space="preserve"> (engl. </w:t>
      </w:r>
      <w:r w:rsidR="00062862" w:rsidRPr="00245459">
        <w:rPr>
          <w:i/>
          <w:iCs/>
          <w:sz w:val="22"/>
          <w:szCs w:val="22"/>
          <w:lang w:val="sr-Latn-ME"/>
        </w:rPr>
        <w:t>Daily Rinithis Symptoms Score</w:t>
      </w:r>
      <w:r w:rsidR="00062862" w:rsidRPr="00245459">
        <w:rPr>
          <w:sz w:val="22"/>
          <w:szCs w:val="22"/>
          <w:lang w:val="sr-Latn-ME"/>
        </w:rPr>
        <w:t>)</w:t>
      </w:r>
      <w:r w:rsidRPr="00245459">
        <w:rPr>
          <w:sz w:val="22"/>
          <w:szCs w:val="22"/>
          <w:lang w:val="sr-Latn-ME"/>
        </w:rPr>
        <w:t xml:space="preserve"> (nazalne kongestij</w:t>
      </w:r>
      <w:r w:rsidR="00062862" w:rsidRPr="00245459">
        <w:rPr>
          <w:sz w:val="22"/>
          <w:szCs w:val="22"/>
          <w:lang w:val="sr-Latn-ME"/>
        </w:rPr>
        <w:t>a</w:t>
      </w:r>
      <w:r w:rsidRPr="00245459">
        <w:rPr>
          <w:sz w:val="22"/>
          <w:szCs w:val="22"/>
          <w:lang w:val="sr-Latn-ME"/>
        </w:rPr>
        <w:t>, rinorej</w:t>
      </w:r>
      <w:r w:rsidR="00062862" w:rsidRPr="00245459">
        <w:rPr>
          <w:sz w:val="22"/>
          <w:szCs w:val="22"/>
          <w:lang w:val="sr-Latn-ME"/>
        </w:rPr>
        <w:t>a</w:t>
      </w:r>
      <w:r w:rsidRPr="00245459">
        <w:rPr>
          <w:sz w:val="22"/>
          <w:szCs w:val="22"/>
          <w:lang w:val="sr-Latn-ME"/>
        </w:rPr>
        <w:t>, kijanj</w:t>
      </w:r>
      <w:r w:rsidR="00062862" w:rsidRPr="00245459">
        <w:rPr>
          <w:sz w:val="22"/>
          <w:szCs w:val="22"/>
          <w:lang w:val="sr-Latn-ME"/>
        </w:rPr>
        <w:t>e</w:t>
      </w:r>
      <w:r w:rsidRPr="00245459">
        <w:rPr>
          <w:sz w:val="22"/>
          <w:szCs w:val="22"/>
          <w:lang w:val="sr-Latn-ME"/>
        </w:rPr>
        <w:t>, nazaln</w:t>
      </w:r>
      <w:r w:rsidR="00062862" w:rsidRPr="00245459">
        <w:rPr>
          <w:sz w:val="22"/>
          <w:szCs w:val="22"/>
          <w:lang w:val="sr-Latn-ME"/>
        </w:rPr>
        <w:t>i</w:t>
      </w:r>
      <w:r w:rsidRPr="00245459">
        <w:rPr>
          <w:sz w:val="22"/>
          <w:szCs w:val="22"/>
          <w:lang w:val="sr-Latn-ME"/>
        </w:rPr>
        <w:t xml:space="preserve"> svrab) i skora Noćnih simptoma</w:t>
      </w:r>
      <w:r w:rsidR="00062862" w:rsidRPr="00245459">
        <w:rPr>
          <w:sz w:val="22"/>
          <w:szCs w:val="22"/>
          <w:lang w:val="sr-Latn-ME"/>
        </w:rPr>
        <w:t xml:space="preserve"> (engl. </w:t>
      </w:r>
      <w:r w:rsidR="00062862" w:rsidRPr="00245459">
        <w:rPr>
          <w:i/>
          <w:iCs/>
          <w:sz w:val="22"/>
          <w:szCs w:val="22"/>
          <w:lang w:val="sr-Latn-ME"/>
        </w:rPr>
        <w:t>Nighttime Nasal Symptoms Score</w:t>
      </w:r>
      <w:r w:rsidR="00062862" w:rsidRPr="00245459">
        <w:rPr>
          <w:sz w:val="22"/>
          <w:szCs w:val="22"/>
          <w:lang w:val="sr-Latn-ME"/>
        </w:rPr>
        <w:t>)</w:t>
      </w:r>
      <w:r w:rsidRPr="00245459">
        <w:rPr>
          <w:sz w:val="22"/>
          <w:szCs w:val="22"/>
          <w:lang w:val="sr-Latn-ME"/>
        </w:rPr>
        <w:t xml:space="preserve"> (nazaln</w:t>
      </w:r>
      <w:r w:rsidR="00062862" w:rsidRPr="00245459">
        <w:rPr>
          <w:sz w:val="22"/>
          <w:szCs w:val="22"/>
          <w:lang w:val="sr-Latn-ME"/>
        </w:rPr>
        <w:t>a</w:t>
      </w:r>
      <w:r w:rsidRPr="00245459">
        <w:rPr>
          <w:sz w:val="22"/>
          <w:szCs w:val="22"/>
          <w:lang w:val="sr-Latn-ME"/>
        </w:rPr>
        <w:t xml:space="preserve"> kongestij</w:t>
      </w:r>
      <w:r w:rsidR="00062862" w:rsidRPr="00245459">
        <w:rPr>
          <w:sz w:val="22"/>
          <w:szCs w:val="22"/>
          <w:lang w:val="sr-Latn-ME"/>
        </w:rPr>
        <w:t>a</w:t>
      </w:r>
      <w:r w:rsidRPr="00245459">
        <w:rPr>
          <w:sz w:val="22"/>
          <w:szCs w:val="22"/>
          <w:lang w:val="sr-Latn-ME"/>
        </w:rPr>
        <w:t xml:space="preserve"> nakon buđenja, teškoće pri odlaženju na spavanje, kao buđenj</w:t>
      </w:r>
      <w:r w:rsidR="00062862" w:rsidRPr="00245459">
        <w:rPr>
          <w:sz w:val="22"/>
          <w:szCs w:val="22"/>
          <w:lang w:val="sr-Latn-ME"/>
        </w:rPr>
        <w:t>e</w:t>
      </w:r>
      <w:r w:rsidRPr="00245459">
        <w:rPr>
          <w:sz w:val="22"/>
          <w:szCs w:val="22"/>
          <w:lang w:val="sr-Latn-ME"/>
        </w:rPr>
        <w:t xml:space="preserve"> tokom noći). Opšta evaluacija alergijskog rinitisa od strane pacijenta i ljekara pokazala je značajno poboljšanje, u poređenju sa placebom. Evaluacija efikasnosti kod astme nije bila primarni parametar praćenja u ovom ispitivanju.</w:t>
      </w:r>
    </w:p>
    <w:p w14:paraId="0618CC1A" w14:textId="77777777" w:rsidR="000D0C9F" w:rsidRPr="00245459" w:rsidRDefault="000D0C9F" w:rsidP="005342F3">
      <w:pPr>
        <w:jc w:val="both"/>
        <w:rPr>
          <w:sz w:val="22"/>
          <w:szCs w:val="22"/>
          <w:lang w:val="sr-Latn-ME"/>
        </w:rPr>
      </w:pPr>
    </w:p>
    <w:p w14:paraId="005AB59A" w14:textId="0A55C463" w:rsidR="000D0C9F" w:rsidRPr="00245459" w:rsidRDefault="000D0C9F" w:rsidP="005342F3">
      <w:pPr>
        <w:pStyle w:val="Header"/>
        <w:tabs>
          <w:tab w:val="left" w:pos="284"/>
        </w:tabs>
        <w:jc w:val="both"/>
        <w:rPr>
          <w:sz w:val="22"/>
          <w:szCs w:val="22"/>
          <w:lang w:val="sr-Latn-ME" w:eastAsia="sr-Latn-CS"/>
        </w:rPr>
      </w:pPr>
      <w:r w:rsidRPr="00245459">
        <w:rPr>
          <w:sz w:val="22"/>
          <w:szCs w:val="22"/>
          <w:lang w:val="sr-Latn-ME" w:eastAsia="sr-Latn-CS"/>
        </w:rPr>
        <w:t xml:space="preserve">U studiji na pedijatrijskim pacijentima starosti 6-14 godina </w:t>
      </w:r>
      <w:r w:rsidRPr="00245459">
        <w:rPr>
          <w:sz w:val="22"/>
          <w:szCs w:val="22"/>
          <w:lang w:val="sr-Latn-ME"/>
        </w:rPr>
        <w:t xml:space="preserve"> </w:t>
      </w:r>
      <w:r w:rsidRPr="00245459">
        <w:rPr>
          <w:sz w:val="22"/>
          <w:szCs w:val="22"/>
          <w:lang w:val="sr-Latn-ME" w:eastAsia="sr-Latn-CS"/>
        </w:rPr>
        <w:t xml:space="preserve">koja je trajala 8 nedjelja montelukast </w:t>
      </w:r>
      <w:r w:rsidR="00062862" w:rsidRPr="00245459">
        <w:rPr>
          <w:sz w:val="22"/>
          <w:szCs w:val="22"/>
          <w:lang w:val="sr-Latn-ME" w:eastAsia="sr-Latn-CS"/>
        </w:rPr>
        <w:t xml:space="preserve">primijenjen u dozi od </w:t>
      </w:r>
      <w:r w:rsidRPr="00245459">
        <w:rPr>
          <w:sz w:val="22"/>
          <w:szCs w:val="22"/>
          <w:lang w:val="sr-Latn-ME" w:eastAsia="sr-Latn-CS"/>
        </w:rPr>
        <w:t>5 mg jednom dnevno, u poređenju sa placebom, je značajno poboljšao respiratornu funkciju (FEV</w:t>
      </w:r>
      <w:r w:rsidRPr="00245459">
        <w:rPr>
          <w:sz w:val="22"/>
          <w:szCs w:val="22"/>
          <w:vertAlign w:val="subscript"/>
          <w:lang w:val="sr-Latn-ME" w:eastAsia="sr-Latn-CS"/>
        </w:rPr>
        <w:t>1</w:t>
      </w:r>
      <w:r w:rsidRPr="00245459">
        <w:rPr>
          <w:sz w:val="22"/>
          <w:szCs w:val="22"/>
          <w:lang w:val="sr-Latn-ME" w:eastAsia="sr-Latn-CS"/>
        </w:rPr>
        <w:t xml:space="preserve"> 8.71% </w:t>
      </w:r>
      <w:r w:rsidR="00287692" w:rsidRPr="00245459">
        <w:rPr>
          <w:sz w:val="22"/>
          <w:szCs w:val="22"/>
          <w:lang w:val="sr-Latn-ME" w:eastAsia="sr-Latn-CS"/>
        </w:rPr>
        <w:t xml:space="preserve">naspram </w:t>
      </w:r>
      <w:r w:rsidRPr="00245459">
        <w:rPr>
          <w:sz w:val="22"/>
          <w:szCs w:val="22"/>
          <w:lang w:val="sr-Latn-ME" w:eastAsia="sr-Latn-CS"/>
        </w:rPr>
        <w:t xml:space="preserve">4.16% u odnosu na početne </w:t>
      </w:r>
      <w:r w:rsidR="00062862" w:rsidRPr="00245459">
        <w:rPr>
          <w:sz w:val="22"/>
          <w:szCs w:val="22"/>
          <w:lang w:val="sr-Latn-ME" w:eastAsia="sr-Latn-CS"/>
        </w:rPr>
        <w:t>vrijednosti</w:t>
      </w:r>
      <w:r w:rsidRPr="00245459">
        <w:rPr>
          <w:sz w:val="22"/>
          <w:szCs w:val="22"/>
          <w:lang w:val="sr-Latn-ME" w:eastAsia="sr-Latn-CS"/>
        </w:rPr>
        <w:t xml:space="preserve">); AM PEFR 27.9 </w:t>
      </w:r>
      <w:r w:rsidR="00FD6CF1" w:rsidRPr="00245459">
        <w:rPr>
          <w:sz w:val="22"/>
          <w:szCs w:val="22"/>
          <w:lang w:val="sr-Latn-ME" w:eastAsia="sr-Latn-CS"/>
        </w:rPr>
        <w:t>l</w:t>
      </w:r>
      <w:r w:rsidRPr="00245459">
        <w:rPr>
          <w:sz w:val="22"/>
          <w:szCs w:val="22"/>
          <w:lang w:val="sr-Latn-ME" w:eastAsia="sr-Latn-CS"/>
        </w:rPr>
        <w:t xml:space="preserve">/min </w:t>
      </w:r>
      <w:r w:rsidR="00F0222A" w:rsidRPr="00245459">
        <w:rPr>
          <w:sz w:val="22"/>
          <w:szCs w:val="22"/>
          <w:lang w:val="sr-Latn-ME" w:eastAsia="sr-Latn-CS"/>
        </w:rPr>
        <w:t>naspram</w:t>
      </w:r>
      <w:r w:rsidRPr="00245459">
        <w:rPr>
          <w:sz w:val="22"/>
          <w:szCs w:val="22"/>
          <w:lang w:val="sr-Latn-ME" w:eastAsia="sr-Latn-CS"/>
        </w:rPr>
        <w:t xml:space="preserve"> 17.8 </w:t>
      </w:r>
      <w:r w:rsidR="00FD6CF1" w:rsidRPr="00245459">
        <w:rPr>
          <w:sz w:val="22"/>
          <w:szCs w:val="22"/>
          <w:lang w:val="sr-Latn-ME" w:eastAsia="sr-Latn-CS"/>
        </w:rPr>
        <w:t>l</w:t>
      </w:r>
      <w:r w:rsidRPr="00245459">
        <w:rPr>
          <w:sz w:val="22"/>
          <w:szCs w:val="22"/>
          <w:lang w:val="sr-Latn-ME" w:eastAsia="sr-Latn-CS"/>
        </w:rPr>
        <w:t>/min u odnosu na početne</w:t>
      </w:r>
      <w:r w:rsidR="00062862" w:rsidRPr="00245459">
        <w:rPr>
          <w:sz w:val="22"/>
          <w:szCs w:val="22"/>
          <w:lang w:val="sr-Latn-ME" w:eastAsia="sr-Latn-CS"/>
        </w:rPr>
        <w:t xml:space="preserve"> vrijednosti</w:t>
      </w:r>
      <w:r w:rsidRPr="00245459">
        <w:rPr>
          <w:sz w:val="22"/>
          <w:szCs w:val="22"/>
          <w:lang w:val="sr-Latn-ME" w:eastAsia="sr-Latn-CS"/>
        </w:rPr>
        <w:t xml:space="preserve">) i smanjio primjenu β-agonista "po potrebi" (-11.7% </w:t>
      </w:r>
      <w:r w:rsidR="00F0222A" w:rsidRPr="00245459">
        <w:rPr>
          <w:sz w:val="22"/>
          <w:szCs w:val="22"/>
          <w:lang w:val="sr-Latn-ME" w:eastAsia="sr-Latn-CS"/>
        </w:rPr>
        <w:t>naspram</w:t>
      </w:r>
      <w:r w:rsidRPr="00245459">
        <w:rPr>
          <w:sz w:val="22"/>
          <w:szCs w:val="22"/>
          <w:lang w:val="sr-Latn-ME" w:eastAsia="sr-Latn-CS"/>
        </w:rPr>
        <w:t xml:space="preserve"> +8.2% u odnosu na početne</w:t>
      </w:r>
      <w:r w:rsidR="00062862" w:rsidRPr="00245459">
        <w:rPr>
          <w:sz w:val="22"/>
          <w:szCs w:val="22"/>
          <w:lang w:val="sr-Latn-ME" w:eastAsia="sr-Latn-CS"/>
        </w:rPr>
        <w:t xml:space="preserve"> vrijednosti</w:t>
      </w:r>
      <w:r w:rsidRPr="00245459">
        <w:rPr>
          <w:sz w:val="22"/>
          <w:szCs w:val="22"/>
          <w:lang w:val="sr-Latn-ME" w:eastAsia="sr-Latn-CS"/>
        </w:rPr>
        <w:t>).</w:t>
      </w:r>
    </w:p>
    <w:p w14:paraId="32F5723E" w14:textId="77777777" w:rsidR="000D0C9F" w:rsidRPr="00245459" w:rsidRDefault="000D0C9F" w:rsidP="005342F3">
      <w:pPr>
        <w:jc w:val="both"/>
        <w:rPr>
          <w:sz w:val="22"/>
          <w:szCs w:val="22"/>
          <w:lang w:val="sr-Latn-ME"/>
        </w:rPr>
      </w:pPr>
    </w:p>
    <w:p w14:paraId="017E046D" w14:textId="40B6E31C" w:rsidR="000D0C9F" w:rsidRPr="00245459" w:rsidRDefault="000D0C9F" w:rsidP="005342F3">
      <w:pPr>
        <w:autoSpaceDE w:val="0"/>
        <w:autoSpaceDN w:val="0"/>
        <w:adjustRightInd w:val="0"/>
        <w:jc w:val="both"/>
        <w:rPr>
          <w:sz w:val="22"/>
          <w:szCs w:val="22"/>
          <w:lang w:val="sr-Latn-ME" w:eastAsia="sr-Latn-CS"/>
        </w:rPr>
      </w:pPr>
      <w:r w:rsidRPr="00245459">
        <w:rPr>
          <w:sz w:val="22"/>
          <w:szCs w:val="22"/>
          <w:lang w:val="sr-Latn-ME" w:eastAsia="sr-Latn-CS"/>
        </w:rPr>
        <w:t>Značajna redukcija bronhokonstrikcije izazvane naporom (</w:t>
      </w:r>
      <w:r w:rsidR="00062862" w:rsidRPr="00245459">
        <w:rPr>
          <w:sz w:val="22"/>
          <w:szCs w:val="22"/>
          <w:lang w:val="sr-Latn-ME" w:eastAsia="sr-Latn-CS"/>
        </w:rPr>
        <w:t xml:space="preserve">engl. </w:t>
      </w:r>
      <w:r w:rsidRPr="00245459">
        <w:rPr>
          <w:i/>
          <w:sz w:val="22"/>
          <w:szCs w:val="22"/>
          <w:lang w:val="sr-Latn-ME" w:eastAsia="sr-Latn-CS"/>
        </w:rPr>
        <w:t>exercise induced bronchoconstriction EIB</w:t>
      </w:r>
      <w:r w:rsidRPr="00245459">
        <w:rPr>
          <w:sz w:val="22"/>
          <w:szCs w:val="22"/>
          <w:lang w:val="sr-Latn-ME" w:eastAsia="sr-Latn-CS"/>
        </w:rPr>
        <w:t>) je pokazana u studiji na odraslim pacijentima koja je trajala 12 nedjelja (maksimalni pad FEV</w:t>
      </w:r>
      <w:r w:rsidRPr="00245459">
        <w:rPr>
          <w:sz w:val="22"/>
          <w:szCs w:val="22"/>
          <w:vertAlign w:val="subscript"/>
          <w:lang w:val="sr-Latn-ME" w:eastAsia="sr-Latn-CS"/>
        </w:rPr>
        <w:t>1</w:t>
      </w:r>
      <w:r w:rsidRPr="00245459">
        <w:rPr>
          <w:sz w:val="22"/>
          <w:szCs w:val="22"/>
          <w:lang w:val="sr-Latn-ME" w:eastAsia="sr-Latn-CS"/>
        </w:rPr>
        <w:t xml:space="preserve"> bio je 22.33% u montelukast grupi </w:t>
      </w:r>
      <w:r w:rsidR="00F0222A" w:rsidRPr="00245459">
        <w:rPr>
          <w:sz w:val="22"/>
          <w:szCs w:val="22"/>
          <w:lang w:val="sr-Latn-ME" w:eastAsia="sr-Latn-CS"/>
        </w:rPr>
        <w:t>naspram</w:t>
      </w:r>
      <w:r w:rsidRPr="00245459">
        <w:rPr>
          <w:sz w:val="22"/>
          <w:szCs w:val="22"/>
          <w:lang w:val="sr-Latn-ME" w:eastAsia="sr-Latn-CS"/>
        </w:rPr>
        <w:t xml:space="preserve"> 32.40% u placebo grupi; vrijeme oporavka do 5% u odnosu na početne vrijednosti FEV</w:t>
      </w:r>
      <w:r w:rsidRPr="00245459">
        <w:rPr>
          <w:sz w:val="22"/>
          <w:szCs w:val="22"/>
          <w:vertAlign w:val="subscript"/>
          <w:lang w:val="sr-Latn-ME" w:eastAsia="sr-Latn-CS"/>
        </w:rPr>
        <w:t>1</w:t>
      </w:r>
      <w:r w:rsidRPr="00245459">
        <w:rPr>
          <w:sz w:val="22"/>
          <w:szCs w:val="22"/>
          <w:lang w:val="sr-Latn-ME" w:eastAsia="sr-Latn-CS"/>
        </w:rPr>
        <w:t xml:space="preserve"> bilo je 44.22 min u montelukast grupi i 60.64 min u placebo grupi). Ovaj efekat bio je konzistentan u toku 12 nedjelja trajanja studije. Smanjenje EIB je takođe pokazano u kratkotrajnoj studiji na pedijatrijskim pacijentima (maksimalno smanjenje FEV</w:t>
      </w:r>
      <w:r w:rsidRPr="00245459">
        <w:rPr>
          <w:sz w:val="22"/>
          <w:szCs w:val="22"/>
          <w:vertAlign w:val="subscript"/>
          <w:lang w:val="sr-Latn-ME" w:eastAsia="sr-Latn-CS"/>
        </w:rPr>
        <w:t>1</w:t>
      </w:r>
      <w:r w:rsidRPr="00245459">
        <w:rPr>
          <w:sz w:val="22"/>
          <w:szCs w:val="22"/>
          <w:lang w:val="sr-Latn-ME" w:eastAsia="sr-Latn-CS"/>
        </w:rPr>
        <w:t xml:space="preserve"> vrijednosti je bilo 18.27% </w:t>
      </w:r>
      <w:r w:rsidR="00F0222A" w:rsidRPr="00245459">
        <w:rPr>
          <w:sz w:val="22"/>
          <w:szCs w:val="22"/>
          <w:lang w:val="sr-Latn-ME" w:eastAsia="sr-Latn-CS"/>
        </w:rPr>
        <w:t>naspram</w:t>
      </w:r>
      <w:r w:rsidRPr="00245459">
        <w:rPr>
          <w:sz w:val="22"/>
          <w:szCs w:val="22"/>
          <w:lang w:val="sr-Latn-ME" w:eastAsia="sr-Latn-CS"/>
        </w:rPr>
        <w:t xml:space="preserve"> 26.11%; vrijeme oporavka do 5% od početne vrijednosti FEV</w:t>
      </w:r>
      <w:r w:rsidRPr="00245459">
        <w:rPr>
          <w:sz w:val="22"/>
          <w:szCs w:val="22"/>
          <w:vertAlign w:val="subscript"/>
          <w:lang w:val="sr-Latn-ME" w:eastAsia="sr-Latn-CS"/>
        </w:rPr>
        <w:t>1</w:t>
      </w:r>
      <w:r w:rsidRPr="00245459">
        <w:rPr>
          <w:sz w:val="22"/>
          <w:szCs w:val="22"/>
          <w:lang w:val="sr-Latn-ME" w:eastAsia="sr-Latn-CS"/>
        </w:rPr>
        <w:t xml:space="preserve"> je bilo 17.76 min </w:t>
      </w:r>
      <w:r w:rsidR="00F0222A" w:rsidRPr="00245459">
        <w:rPr>
          <w:sz w:val="22"/>
          <w:szCs w:val="22"/>
          <w:lang w:val="sr-Latn-ME" w:eastAsia="sr-Latn-CS"/>
        </w:rPr>
        <w:t>naspram</w:t>
      </w:r>
      <w:r w:rsidRPr="00245459">
        <w:rPr>
          <w:sz w:val="22"/>
          <w:szCs w:val="22"/>
          <w:lang w:val="sr-Latn-ME" w:eastAsia="sr-Latn-CS"/>
        </w:rPr>
        <w:t xml:space="preserve"> 27.98 min). U obje studije efekat je pokazan na kraju doznog intervala pri čemu je doziranje bilo jednom dnevno. </w:t>
      </w:r>
    </w:p>
    <w:p w14:paraId="5A7C70DC" w14:textId="0700A290" w:rsidR="000D0C9F" w:rsidRPr="00245459" w:rsidRDefault="000D0C9F" w:rsidP="005342F3">
      <w:pPr>
        <w:autoSpaceDE w:val="0"/>
        <w:autoSpaceDN w:val="0"/>
        <w:adjustRightInd w:val="0"/>
        <w:jc w:val="both"/>
        <w:rPr>
          <w:sz w:val="22"/>
          <w:szCs w:val="22"/>
          <w:lang w:val="sr-Latn-ME" w:eastAsia="sr-Latn-CS"/>
        </w:rPr>
      </w:pPr>
      <w:r w:rsidRPr="00245459">
        <w:rPr>
          <w:sz w:val="22"/>
          <w:szCs w:val="22"/>
          <w:lang w:val="sr-Latn-ME" w:eastAsia="sr-Latn-CS"/>
        </w:rPr>
        <w:lastRenderedPageBreak/>
        <w:t>Kod astmatičnih pacijenata osjetljivih na aspirin koji su istovremeno dobijali inhalacione i/ili oralne kortikosteroide, liječenje montelukastom u poređenju sa placebom, dalo je značajno poboljšanje u kontroli astme (promjena FEV</w:t>
      </w:r>
      <w:r w:rsidRPr="00245459">
        <w:rPr>
          <w:sz w:val="22"/>
          <w:szCs w:val="22"/>
          <w:vertAlign w:val="subscript"/>
          <w:lang w:val="sr-Latn-ME" w:eastAsia="sr-Latn-CS"/>
        </w:rPr>
        <w:t>1</w:t>
      </w:r>
      <w:r w:rsidRPr="00245459">
        <w:rPr>
          <w:sz w:val="22"/>
          <w:szCs w:val="22"/>
          <w:lang w:val="sr-Latn-ME" w:eastAsia="sr-Latn-CS"/>
        </w:rPr>
        <w:t xml:space="preserve"> od 8.55% </w:t>
      </w:r>
      <w:r w:rsidR="00F0222A" w:rsidRPr="00245459">
        <w:rPr>
          <w:sz w:val="22"/>
          <w:szCs w:val="22"/>
          <w:lang w:val="sr-Latn-ME" w:eastAsia="sr-Latn-CS"/>
        </w:rPr>
        <w:t>naspram</w:t>
      </w:r>
      <w:r w:rsidRPr="00245459">
        <w:rPr>
          <w:sz w:val="22"/>
          <w:szCs w:val="22"/>
          <w:lang w:val="sr-Latn-ME" w:eastAsia="sr-Latn-CS"/>
        </w:rPr>
        <w:t xml:space="preserve"> -1.74% u odnosu na početne vrijednosti i smanjenje ukupne upotrebe β-agonista od -27.78% </w:t>
      </w:r>
      <w:r w:rsidR="00F0222A" w:rsidRPr="00245459">
        <w:rPr>
          <w:sz w:val="22"/>
          <w:szCs w:val="22"/>
          <w:lang w:val="sr-Latn-ME" w:eastAsia="sr-Latn-CS"/>
        </w:rPr>
        <w:t>naspram</w:t>
      </w:r>
      <w:r w:rsidRPr="00245459">
        <w:rPr>
          <w:sz w:val="22"/>
          <w:szCs w:val="22"/>
          <w:lang w:val="sr-Latn-ME" w:eastAsia="sr-Latn-CS"/>
        </w:rPr>
        <w:t xml:space="preserve"> 2.09% u odnosu na početne vrijednosti).</w:t>
      </w:r>
    </w:p>
    <w:p w14:paraId="7EFD98FA" w14:textId="77777777" w:rsidR="000D0C9F" w:rsidRPr="00245459" w:rsidRDefault="000D0C9F" w:rsidP="005342F3">
      <w:pPr>
        <w:tabs>
          <w:tab w:val="left" w:pos="540"/>
          <w:tab w:val="left" w:pos="569"/>
        </w:tabs>
        <w:jc w:val="both"/>
        <w:rPr>
          <w:b/>
          <w:bCs/>
          <w:sz w:val="22"/>
          <w:szCs w:val="22"/>
          <w:lang w:val="sr-Latn-ME"/>
        </w:rPr>
      </w:pPr>
    </w:p>
    <w:p w14:paraId="417CF81F"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5.2. </w:t>
      </w:r>
      <w:r w:rsidR="00480FB1" w:rsidRPr="00245459">
        <w:rPr>
          <w:b/>
          <w:bCs/>
          <w:sz w:val="22"/>
          <w:szCs w:val="22"/>
          <w:lang w:val="sr-Latn-ME"/>
        </w:rPr>
        <w:tab/>
      </w:r>
      <w:r w:rsidRPr="00245459">
        <w:rPr>
          <w:b/>
          <w:bCs/>
          <w:sz w:val="22"/>
          <w:szCs w:val="22"/>
          <w:lang w:val="sr-Latn-ME"/>
        </w:rPr>
        <w:t>Farmakokinetički podaci</w:t>
      </w:r>
      <w:r w:rsidR="003A7059" w:rsidRPr="00245459">
        <w:rPr>
          <w:b/>
          <w:bCs/>
          <w:sz w:val="22"/>
          <w:szCs w:val="22"/>
          <w:lang w:val="sr-Latn-ME"/>
        </w:rPr>
        <w:t xml:space="preserve"> </w:t>
      </w:r>
    </w:p>
    <w:p w14:paraId="7247911B" w14:textId="1B3B1D39" w:rsidR="0072020E" w:rsidRPr="00245459" w:rsidRDefault="0072020E" w:rsidP="005342F3">
      <w:pPr>
        <w:tabs>
          <w:tab w:val="left" w:pos="540"/>
          <w:tab w:val="left" w:pos="569"/>
        </w:tabs>
        <w:jc w:val="both"/>
        <w:rPr>
          <w:bCs/>
          <w:sz w:val="22"/>
          <w:szCs w:val="22"/>
          <w:lang w:val="sr-Latn-ME"/>
        </w:rPr>
      </w:pPr>
    </w:p>
    <w:p w14:paraId="417BEBA0" w14:textId="77777777" w:rsidR="000D0C9F" w:rsidRPr="00245459" w:rsidRDefault="000D0C9F" w:rsidP="005342F3">
      <w:pPr>
        <w:pStyle w:val="Header"/>
        <w:tabs>
          <w:tab w:val="left" w:pos="284"/>
        </w:tabs>
        <w:jc w:val="both"/>
        <w:rPr>
          <w:i/>
          <w:sz w:val="22"/>
          <w:szCs w:val="22"/>
          <w:lang w:val="sr-Latn-ME"/>
        </w:rPr>
      </w:pPr>
      <w:r w:rsidRPr="00245459">
        <w:rPr>
          <w:sz w:val="22"/>
          <w:szCs w:val="22"/>
          <w:u w:val="single"/>
          <w:lang w:val="sr-Latn-ME"/>
        </w:rPr>
        <w:t>Resorpcija</w:t>
      </w:r>
    </w:p>
    <w:p w14:paraId="4A0B3B0E" w14:textId="349C53F1" w:rsidR="000D0C9F" w:rsidRPr="00245459" w:rsidRDefault="000D0C9F" w:rsidP="005342F3">
      <w:pPr>
        <w:pStyle w:val="Header"/>
        <w:tabs>
          <w:tab w:val="left" w:pos="284"/>
        </w:tabs>
        <w:jc w:val="both"/>
        <w:rPr>
          <w:sz w:val="22"/>
          <w:szCs w:val="22"/>
          <w:lang w:val="sr-Latn-ME"/>
        </w:rPr>
      </w:pPr>
      <w:r w:rsidRPr="00245459">
        <w:rPr>
          <w:sz w:val="22"/>
          <w:szCs w:val="22"/>
          <w:lang w:val="sr-Latn-ME"/>
        </w:rPr>
        <w:t>Montelukast se brzo resorbuje poslije</w:t>
      </w:r>
      <w:r w:rsidRPr="00245459">
        <w:rPr>
          <w:i/>
          <w:sz w:val="22"/>
          <w:szCs w:val="22"/>
          <w:lang w:val="sr-Latn-ME"/>
        </w:rPr>
        <w:t xml:space="preserve"> </w:t>
      </w:r>
      <w:r w:rsidRPr="00245459">
        <w:rPr>
          <w:sz w:val="22"/>
          <w:szCs w:val="22"/>
          <w:lang w:val="sr-Latn-ME"/>
        </w:rPr>
        <w:t>oralne primjene. Za 10 mg film tablete srednja maksimalna koncentracija u plazmi (C</w:t>
      </w:r>
      <w:r w:rsidRPr="00245459">
        <w:rPr>
          <w:sz w:val="22"/>
          <w:szCs w:val="22"/>
          <w:vertAlign w:val="subscript"/>
          <w:lang w:val="sr-Latn-ME"/>
        </w:rPr>
        <w:t>max</w:t>
      </w:r>
      <w:r w:rsidRPr="00245459">
        <w:rPr>
          <w:sz w:val="22"/>
          <w:szCs w:val="22"/>
          <w:lang w:val="sr-Latn-ME"/>
        </w:rPr>
        <w:t>) se postiže za 3 sata (T</w:t>
      </w:r>
      <w:r w:rsidRPr="00245459">
        <w:rPr>
          <w:sz w:val="22"/>
          <w:szCs w:val="22"/>
          <w:vertAlign w:val="subscript"/>
          <w:lang w:val="sr-Latn-ME"/>
        </w:rPr>
        <w:t>max</w:t>
      </w:r>
      <w:r w:rsidRPr="00245459">
        <w:rPr>
          <w:sz w:val="22"/>
          <w:szCs w:val="22"/>
          <w:lang w:val="sr-Latn-ME"/>
        </w:rPr>
        <w:t>) nakon primjene kod odraslih u uslovima gladovanja. Prosječna bioraspoloživost nakon oralne primjene je 64%. Standardni obrok ne utiče na bioraspoloživost nakon oralne primjene i na C</w:t>
      </w:r>
      <w:r w:rsidRPr="00245459">
        <w:rPr>
          <w:sz w:val="22"/>
          <w:szCs w:val="22"/>
          <w:vertAlign w:val="subscript"/>
          <w:lang w:val="sr-Latn-ME"/>
        </w:rPr>
        <w:t>max</w:t>
      </w:r>
      <w:r w:rsidRPr="00245459">
        <w:rPr>
          <w:sz w:val="22"/>
          <w:szCs w:val="22"/>
          <w:lang w:val="sr-Latn-ME"/>
        </w:rPr>
        <w:t>. Bezbjednost i efikasnost su pokazane u kliničkim ispitivanjima u kojima su film tablete od 10 mg primjenjivane bez obzira na vrijeme obroka.</w:t>
      </w:r>
    </w:p>
    <w:p w14:paraId="2BE57170" w14:textId="77777777" w:rsidR="000D0C9F" w:rsidRPr="00245459" w:rsidRDefault="000D0C9F" w:rsidP="005342F3">
      <w:pPr>
        <w:pStyle w:val="Header"/>
        <w:tabs>
          <w:tab w:val="left" w:pos="284"/>
        </w:tabs>
        <w:jc w:val="both"/>
        <w:rPr>
          <w:sz w:val="22"/>
          <w:szCs w:val="22"/>
          <w:lang w:val="sr-Latn-ME"/>
        </w:rPr>
      </w:pPr>
    </w:p>
    <w:p w14:paraId="1C3D9800"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Za tablete za žvakanje od 5 mg C</w:t>
      </w:r>
      <w:r w:rsidRPr="00245459">
        <w:rPr>
          <w:sz w:val="22"/>
          <w:szCs w:val="22"/>
          <w:vertAlign w:val="subscript"/>
          <w:lang w:val="sr-Latn-ME"/>
        </w:rPr>
        <w:t>max</w:t>
      </w:r>
      <w:r w:rsidRPr="00245459">
        <w:rPr>
          <w:sz w:val="22"/>
          <w:szCs w:val="22"/>
          <w:lang w:val="sr-Latn-ME"/>
        </w:rPr>
        <w:t xml:space="preserve"> je dostignuta za 2 sata nakon primjene kod odraslih u uslovima gladovanja. Prosječna bioraspoloživost nakon oralne primjene je 73%, i smanjuje se na 63% nakon uzimanja standardizovanog obroka.</w:t>
      </w:r>
    </w:p>
    <w:p w14:paraId="01FD0854" w14:textId="77777777" w:rsidR="000D0C9F" w:rsidRPr="00245459" w:rsidRDefault="000D0C9F" w:rsidP="005342F3">
      <w:pPr>
        <w:pStyle w:val="Header"/>
        <w:tabs>
          <w:tab w:val="left" w:pos="284"/>
        </w:tabs>
        <w:jc w:val="both"/>
        <w:rPr>
          <w:i/>
          <w:sz w:val="22"/>
          <w:szCs w:val="22"/>
          <w:lang w:val="sr-Latn-ME"/>
        </w:rPr>
      </w:pPr>
    </w:p>
    <w:p w14:paraId="63352733" w14:textId="77777777" w:rsidR="000D0C9F" w:rsidRPr="00245459" w:rsidRDefault="000D0C9F" w:rsidP="005342F3">
      <w:pPr>
        <w:pStyle w:val="Header"/>
        <w:tabs>
          <w:tab w:val="left" w:pos="284"/>
        </w:tabs>
        <w:jc w:val="both"/>
        <w:rPr>
          <w:sz w:val="22"/>
          <w:szCs w:val="22"/>
          <w:lang w:val="sr-Latn-ME"/>
        </w:rPr>
      </w:pPr>
      <w:r w:rsidRPr="00245459">
        <w:rPr>
          <w:sz w:val="22"/>
          <w:szCs w:val="22"/>
          <w:u w:val="single"/>
          <w:lang w:val="sr-Latn-ME"/>
        </w:rPr>
        <w:t>Distribucija</w:t>
      </w:r>
    </w:p>
    <w:p w14:paraId="092DC193"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Montelukast se vezuje više od 99% za proteine plazme. Volumen distribucije u stanju ravnoteže za montelukast je u prosjeku 8-11 litara. Studije na pacovima koji su tretirani radioobilježenim montelukastom ukazuju da montelukast minimalno prolazi krvno-moždanu barijeru. Pored toga, koncentracije radioobilježenog materijala u tkivima 24 sata poslije doziranja su bile minimalne u svim drugim tkivima.</w:t>
      </w:r>
    </w:p>
    <w:p w14:paraId="3B67DA0D" w14:textId="77777777" w:rsidR="000D0C9F" w:rsidRPr="00245459" w:rsidRDefault="000D0C9F" w:rsidP="005342F3">
      <w:pPr>
        <w:pStyle w:val="Header"/>
        <w:tabs>
          <w:tab w:val="left" w:pos="284"/>
        </w:tabs>
        <w:jc w:val="both"/>
        <w:rPr>
          <w:i/>
          <w:sz w:val="22"/>
          <w:szCs w:val="22"/>
          <w:lang w:val="sr-Latn-ME"/>
        </w:rPr>
      </w:pPr>
    </w:p>
    <w:p w14:paraId="1A2500AA" w14:textId="77777777" w:rsidR="000D0C9F" w:rsidRPr="00245459" w:rsidRDefault="000D0C9F" w:rsidP="005342F3">
      <w:pPr>
        <w:pStyle w:val="Header"/>
        <w:tabs>
          <w:tab w:val="left" w:pos="284"/>
        </w:tabs>
        <w:jc w:val="both"/>
        <w:rPr>
          <w:sz w:val="22"/>
          <w:szCs w:val="22"/>
          <w:u w:val="single"/>
          <w:lang w:val="sr-Latn-ME"/>
        </w:rPr>
      </w:pPr>
      <w:r w:rsidRPr="00245459">
        <w:rPr>
          <w:sz w:val="22"/>
          <w:szCs w:val="22"/>
          <w:u w:val="single"/>
          <w:lang w:val="sr-Latn-ME"/>
        </w:rPr>
        <w:t>Biotransformacija</w:t>
      </w:r>
    </w:p>
    <w:p w14:paraId="1897285E"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 xml:space="preserve">Montelukast se intenzivno metaboliše. U studijama sa terapijskim dozama montelukasta, koncentracije metabolita u plazmi se nijesu mogle detektovati u stanju ravnoteže ni kod odraslih ni kod djece. </w:t>
      </w:r>
    </w:p>
    <w:p w14:paraId="79F450DF" w14:textId="77777777" w:rsidR="000D0C9F" w:rsidRPr="00245459" w:rsidRDefault="000D0C9F" w:rsidP="005342F3">
      <w:pPr>
        <w:pStyle w:val="Header"/>
        <w:tabs>
          <w:tab w:val="left" w:pos="284"/>
        </w:tabs>
        <w:jc w:val="both"/>
        <w:rPr>
          <w:i/>
          <w:sz w:val="22"/>
          <w:szCs w:val="22"/>
          <w:lang w:val="sr-Latn-ME"/>
        </w:rPr>
      </w:pPr>
    </w:p>
    <w:p w14:paraId="2CCF7A17" w14:textId="6C4D0A3B" w:rsidR="000D0C9F" w:rsidRPr="00245459" w:rsidRDefault="000D0C9F" w:rsidP="005342F3">
      <w:pPr>
        <w:pStyle w:val="Header"/>
        <w:tabs>
          <w:tab w:val="left" w:pos="284"/>
        </w:tabs>
        <w:jc w:val="both"/>
        <w:rPr>
          <w:sz w:val="22"/>
          <w:szCs w:val="22"/>
          <w:lang w:val="sr-Latn-ME"/>
        </w:rPr>
      </w:pPr>
      <w:r w:rsidRPr="00245459">
        <w:rPr>
          <w:sz w:val="22"/>
          <w:szCs w:val="22"/>
          <w:lang w:val="sr-Latn-ME"/>
        </w:rPr>
        <w:t>Citohrom P450 2C8 je najznačajniji enzim u metabolizmu montelukasta. Dodatno, CYP 3A4, i 2C9 mogu biti u manjoj mjeri uključeni u metabolizam montelukasta, iako</w:t>
      </w:r>
      <w:r w:rsidR="004D29B0" w:rsidRPr="00245459">
        <w:rPr>
          <w:sz w:val="22"/>
          <w:szCs w:val="22"/>
          <w:lang w:val="sr-Latn-ME"/>
        </w:rPr>
        <w:t xml:space="preserve"> je pokazano da</w:t>
      </w:r>
      <w:r w:rsidRPr="00245459">
        <w:rPr>
          <w:sz w:val="22"/>
          <w:szCs w:val="22"/>
          <w:lang w:val="sr-Latn-ME"/>
        </w:rPr>
        <w:t xml:space="preserve"> itrakonazol, inhibitor CYP 3A4, nije uticao na promjenu farmakokinetičkih </w:t>
      </w:r>
      <w:r w:rsidR="004D29B0" w:rsidRPr="00245459">
        <w:rPr>
          <w:sz w:val="22"/>
          <w:szCs w:val="22"/>
          <w:lang w:val="sr-Latn-ME"/>
        </w:rPr>
        <w:t xml:space="preserve">parametara </w:t>
      </w:r>
      <w:r w:rsidRPr="00245459">
        <w:rPr>
          <w:sz w:val="22"/>
          <w:szCs w:val="22"/>
          <w:lang w:val="sr-Latn-ME"/>
        </w:rPr>
        <w:t xml:space="preserve">montelukasta kod zdravih ispitanika koji su uzimali 10 mg montelukasta dnevno . Na osnovu </w:t>
      </w:r>
      <w:r w:rsidRPr="00245459">
        <w:rPr>
          <w:i/>
          <w:sz w:val="22"/>
          <w:szCs w:val="22"/>
          <w:lang w:val="sr-Latn-ME"/>
        </w:rPr>
        <w:t>in vitro</w:t>
      </w:r>
      <w:r w:rsidRPr="00245459">
        <w:rPr>
          <w:sz w:val="22"/>
          <w:szCs w:val="22"/>
          <w:lang w:val="sr-Latn-ME"/>
        </w:rPr>
        <w:t xml:space="preserve"> </w:t>
      </w:r>
      <w:r w:rsidR="00654CB6" w:rsidRPr="00245459">
        <w:rPr>
          <w:sz w:val="22"/>
          <w:szCs w:val="22"/>
          <w:lang w:val="sr-Latn-ME"/>
        </w:rPr>
        <w:t xml:space="preserve">ispitivanja </w:t>
      </w:r>
      <w:r w:rsidRPr="00245459">
        <w:rPr>
          <w:sz w:val="22"/>
          <w:szCs w:val="22"/>
          <w:lang w:val="sr-Latn-ME"/>
        </w:rPr>
        <w:t>na mikrozomima humane jetre utvrđeno je da terapijske koncentracije montelukasta u plazmi ne inhibiraju citohrome P450 3A4, 2C9, 1A2, 2A6, 2C19 i</w:t>
      </w:r>
      <w:r w:rsidR="00654CB6" w:rsidRPr="00245459">
        <w:rPr>
          <w:sz w:val="22"/>
          <w:szCs w:val="22"/>
          <w:lang w:val="sr-Latn-ME"/>
        </w:rPr>
        <w:t>li</w:t>
      </w:r>
      <w:r w:rsidRPr="00245459">
        <w:rPr>
          <w:sz w:val="22"/>
          <w:szCs w:val="22"/>
          <w:lang w:val="sr-Latn-ME"/>
        </w:rPr>
        <w:t xml:space="preserve"> 2D6. Doprinos metabolita terapijskom dejstvu montelukasta je minimalan.</w:t>
      </w:r>
    </w:p>
    <w:p w14:paraId="2E8BA098" w14:textId="77777777" w:rsidR="000D0C9F" w:rsidRPr="00245459" w:rsidRDefault="000D0C9F" w:rsidP="005342F3">
      <w:pPr>
        <w:pStyle w:val="Header"/>
        <w:tabs>
          <w:tab w:val="left" w:pos="284"/>
        </w:tabs>
        <w:jc w:val="both"/>
        <w:rPr>
          <w:i/>
          <w:sz w:val="22"/>
          <w:szCs w:val="22"/>
          <w:lang w:val="sr-Latn-ME"/>
        </w:rPr>
      </w:pPr>
    </w:p>
    <w:p w14:paraId="3D9CB1B3" w14:textId="77777777" w:rsidR="000D0C9F" w:rsidRPr="00245459" w:rsidRDefault="000D0C9F" w:rsidP="005342F3">
      <w:pPr>
        <w:pStyle w:val="Header"/>
        <w:tabs>
          <w:tab w:val="left" w:pos="284"/>
        </w:tabs>
        <w:jc w:val="both"/>
        <w:rPr>
          <w:sz w:val="22"/>
          <w:szCs w:val="22"/>
          <w:u w:val="single"/>
          <w:lang w:val="sr-Latn-ME"/>
        </w:rPr>
      </w:pPr>
      <w:r w:rsidRPr="00245459">
        <w:rPr>
          <w:sz w:val="22"/>
          <w:szCs w:val="22"/>
          <w:u w:val="single"/>
          <w:lang w:val="sr-Latn-ME"/>
        </w:rPr>
        <w:t>Eliminacija</w:t>
      </w:r>
    </w:p>
    <w:p w14:paraId="3F59E8A2"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 xml:space="preserve">Plazma klirens montelukasta kod zdravih odraslih osoba je u prosjeku 45 ml/min. Poslije oralne primjene radioobilježenog montelukasta 86% radioaktivnosti se može detektovati u fecesu prikupljenom tokom 5 dana, i </w:t>
      </w:r>
      <w:r w:rsidRPr="00245459">
        <w:rPr>
          <w:sz w:val="22"/>
          <w:szCs w:val="22"/>
          <w:lang w:val="sr-Latn-ME" w:eastAsia="sr-Latn-CS"/>
        </w:rPr>
        <w:t>&lt; od 0.2% se detektuje u urinu. Zajedno sa podacima o oralnoj biorapoloživosti ovi podaci ukazuju da se montelukast i njegovi metaboliti skoro isključivo eliminišu putem žuči.</w:t>
      </w:r>
      <w:r w:rsidRPr="00245459">
        <w:rPr>
          <w:sz w:val="22"/>
          <w:szCs w:val="22"/>
          <w:lang w:val="sr-Latn-ME"/>
        </w:rPr>
        <w:t xml:space="preserve"> </w:t>
      </w:r>
    </w:p>
    <w:p w14:paraId="773E6910" w14:textId="77777777" w:rsidR="000D0C9F" w:rsidRPr="00245459" w:rsidRDefault="000D0C9F" w:rsidP="005342F3">
      <w:pPr>
        <w:pStyle w:val="Header"/>
        <w:tabs>
          <w:tab w:val="left" w:pos="284"/>
        </w:tabs>
        <w:jc w:val="both"/>
        <w:rPr>
          <w:i/>
          <w:sz w:val="22"/>
          <w:szCs w:val="22"/>
          <w:lang w:val="sr-Latn-ME"/>
        </w:rPr>
      </w:pPr>
    </w:p>
    <w:p w14:paraId="30517F54" w14:textId="77777777" w:rsidR="000D0C9F" w:rsidRPr="00245459" w:rsidRDefault="000D0C9F" w:rsidP="005342F3">
      <w:pPr>
        <w:pStyle w:val="Header"/>
        <w:tabs>
          <w:tab w:val="left" w:pos="284"/>
        </w:tabs>
        <w:jc w:val="both"/>
        <w:rPr>
          <w:sz w:val="22"/>
          <w:szCs w:val="22"/>
          <w:u w:val="single"/>
          <w:lang w:val="sr-Latn-ME"/>
        </w:rPr>
      </w:pPr>
      <w:r w:rsidRPr="00245459">
        <w:rPr>
          <w:sz w:val="22"/>
          <w:szCs w:val="22"/>
          <w:u w:val="single"/>
          <w:lang w:val="sr-Latn-ME"/>
        </w:rPr>
        <w:t>Karakteristike kod pacijenata</w:t>
      </w:r>
    </w:p>
    <w:p w14:paraId="418E7E60" w14:textId="77777777" w:rsidR="000D0C9F" w:rsidRPr="00245459" w:rsidRDefault="000D0C9F" w:rsidP="005342F3">
      <w:pPr>
        <w:pStyle w:val="Header"/>
        <w:tabs>
          <w:tab w:val="left" w:pos="284"/>
        </w:tabs>
        <w:jc w:val="both"/>
        <w:rPr>
          <w:sz w:val="22"/>
          <w:szCs w:val="22"/>
          <w:lang w:val="sr-Latn-ME"/>
        </w:rPr>
      </w:pPr>
      <w:r w:rsidRPr="00245459">
        <w:rPr>
          <w:sz w:val="22"/>
          <w:szCs w:val="22"/>
          <w:lang w:val="sr-Latn-ME"/>
        </w:rPr>
        <w:t>Nije neophodno prilagođavanje doze kod starih osoba ili kod pacijenata sa blagom do umjerenom insuficijencijom jetre. Nijesu sprovedena klinička ispitivanja na pacijentima sa oštećenom funkcijom bubrega. Pošto se montelukast i njegovi metaboliti eliminišu bilijarnim putem pretpostavlja se da nije potrebno prilagođavanje doze kod pacijenata sa renalnom insuficijencijom. Nema podataka o farmakokinetici montelukasta kod pacijenata sa teškom insuficijencijom jetre (</w:t>
      </w:r>
      <w:r w:rsidRPr="00245459">
        <w:rPr>
          <w:i/>
          <w:sz w:val="22"/>
          <w:szCs w:val="22"/>
          <w:lang w:val="sr-Latn-ME"/>
        </w:rPr>
        <w:t>Child-Pugh</w:t>
      </w:r>
      <w:r w:rsidRPr="00245459">
        <w:rPr>
          <w:sz w:val="22"/>
          <w:szCs w:val="22"/>
          <w:lang w:val="sr-Latn-ME"/>
        </w:rPr>
        <w:t xml:space="preserve"> skor &gt;9). </w:t>
      </w:r>
    </w:p>
    <w:p w14:paraId="1292FFF2" w14:textId="77777777" w:rsidR="000D0C9F" w:rsidRPr="00245459" w:rsidRDefault="000D0C9F" w:rsidP="005342F3">
      <w:pPr>
        <w:pStyle w:val="Header"/>
        <w:tabs>
          <w:tab w:val="left" w:pos="284"/>
        </w:tabs>
        <w:jc w:val="both"/>
        <w:rPr>
          <w:sz w:val="22"/>
          <w:szCs w:val="22"/>
          <w:lang w:val="sr-Latn-ME"/>
        </w:rPr>
      </w:pPr>
    </w:p>
    <w:p w14:paraId="36F57E35" w14:textId="77777777" w:rsidR="00245459" w:rsidRDefault="000D0C9F" w:rsidP="005342F3">
      <w:pPr>
        <w:autoSpaceDE w:val="0"/>
        <w:autoSpaceDN w:val="0"/>
        <w:adjustRightInd w:val="0"/>
        <w:jc w:val="both"/>
        <w:rPr>
          <w:sz w:val="22"/>
          <w:szCs w:val="22"/>
          <w:lang w:val="sr-Latn-ME" w:eastAsia="sr-Latn-CS"/>
        </w:rPr>
      </w:pPr>
      <w:r w:rsidRPr="00245459">
        <w:rPr>
          <w:sz w:val="22"/>
          <w:szCs w:val="22"/>
          <w:lang w:val="sr-Latn-ME" w:eastAsia="sr-Latn-CS"/>
        </w:rPr>
        <w:t>Nakon primjene visokih doza montelukasta (20 do 60 puta većih od preporučenih doza za odrasle) uočeno je smanjenje koncentracije teofilina u plazmi. Ovaj efekat nije zapažen nakon primjene doze od 10 mg jedanput dnevno.</w:t>
      </w:r>
    </w:p>
    <w:p w14:paraId="1A67BB61" w14:textId="77777777" w:rsidR="00245459" w:rsidRDefault="00245459" w:rsidP="005342F3">
      <w:pPr>
        <w:autoSpaceDE w:val="0"/>
        <w:autoSpaceDN w:val="0"/>
        <w:adjustRightInd w:val="0"/>
        <w:jc w:val="both"/>
        <w:rPr>
          <w:sz w:val="22"/>
          <w:szCs w:val="22"/>
          <w:lang w:val="sr-Latn-ME" w:eastAsia="sr-Latn-CS"/>
        </w:rPr>
      </w:pPr>
    </w:p>
    <w:p w14:paraId="25CFDB19" w14:textId="77777777" w:rsidR="00245459" w:rsidRDefault="00245459" w:rsidP="005342F3">
      <w:pPr>
        <w:autoSpaceDE w:val="0"/>
        <w:autoSpaceDN w:val="0"/>
        <w:adjustRightInd w:val="0"/>
        <w:jc w:val="both"/>
        <w:rPr>
          <w:sz w:val="22"/>
          <w:szCs w:val="22"/>
          <w:lang w:val="sr-Latn-ME" w:eastAsia="sr-Latn-CS"/>
        </w:rPr>
      </w:pPr>
    </w:p>
    <w:p w14:paraId="2C719CF0" w14:textId="0DC3A64F" w:rsidR="000D0C9F" w:rsidRPr="00245459" w:rsidRDefault="000D0C9F" w:rsidP="005342F3">
      <w:pPr>
        <w:autoSpaceDE w:val="0"/>
        <w:autoSpaceDN w:val="0"/>
        <w:adjustRightInd w:val="0"/>
        <w:jc w:val="both"/>
        <w:rPr>
          <w:sz w:val="22"/>
          <w:szCs w:val="22"/>
          <w:lang w:val="sr-Latn-ME" w:eastAsia="sr-Latn-CS"/>
        </w:rPr>
      </w:pPr>
      <w:r w:rsidRPr="00245459">
        <w:rPr>
          <w:sz w:val="22"/>
          <w:szCs w:val="22"/>
          <w:lang w:val="sr-Latn-ME" w:eastAsia="sr-Latn-CS"/>
        </w:rPr>
        <w:t xml:space="preserve">  </w:t>
      </w:r>
    </w:p>
    <w:p w14:paraId="45DCC4EF" w14:textId="77777777" w:rsidR="000D0C9F" w:rsidRPr="00245459" w:rsidRDefault="000D0C9F" w:rsidP="005342F3">
      <w:pPr>
        <w:tabs>
          <w:tab w:val="left" w:pos="540"/>
          <w:tab w:val="left" w:pos="569"/>
        </w:tabs>
        <w:jc w:val="both"/>
        <w:rPr>
          <w:bCs/>
          <w:sz w:val="22"/>
          <w:szCs w:val="22"/>
          <w:lang w:val="sr-Latn-ME"/>
        </w:rPr>
      </w:pPr>
    </w:p>
    <w:p w14:paraId="3E969C77"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lastRenderedPageBreak/>
        <w:t xml:space="preserve">5.3. </w:t>
      </w:r>
      <w:r w:rsidR="00480FB1" w:rsidRPr="00245459">
        <w:rPr>
          <w:b/>
          <w:bCs/>
          <w:sz w:val="22"/>
          <w:szCs w:val="22"/>
          <w:lang w:val="sr-Latn-ME"/>
        </w:rPr>
        <w:tab/>
      </w:r>
      <w:r w:rsidRPr="00245459">
        <w:rPr>
          <w:b/>
          <w:bCs/>
          <w:sz w:val="22"/>
          <w:szCs w:val="22"/>
          <w:lang w:val="sr-Latn-ME"/>
        </w:rPr>
        <w:t xml:space="preserve">Pretklinički podaci o bezbjednosti </w:t>
      </w:r>
    </w:p>
    <w:p w14:paraId="32FD4B30" w14:textId="77777777" w:rsidR="00836B35" w:rsidRPr="00245459" w:rsidRDefault="00836B35" w:rsidP="005342F3">
      <w:pPr>
        <w:tabs>
          <w:tab w:val="left" w:pos="540"/>
          <w:tab w:val="left" w:pos="569"/>
        </w:tabs>
        <w:jc w:val="both"/>
        <w:rPr>
          <w:bCs/>
          <w:sz w:val="22"/>
          <w:szCs w:val="22"/>
          <w:lang w:val="sr-Latn-ME"/>
        </w:rPr>
      </w:pPr>
    </w:p>
    <w:p w14:paraId="09D189E0" w14:textId="422CF046" w:rsidR="000D0C9F" w:rsidRPr="00245459" w:rsidRDefault="000D0C9F" w:rsidP="005342F3">
      <w:pPr>
        <w:jc w:val="both"/>
        <w:rPr>
          <w:sz w:val="22"/>
          <w:szCs w:val="22"/>
          <w:lang w:val="sr-Latn-ME"/>
        </w:rPr>
      </w:pPr>
      <w:r w:rsidRPr="00245459">
        <w:rPr>
          <w:sz w:val="22"/>
          <w:szCs w:val="22"/>
          <w:lang w:val="sr-Latn-ME"/>
        </w:rPr>
        <w:t>U ispitivanjima toksičnosti kod životinja, uočene su minimalne</w:t>
      </w:r>
      <w:r w:rsidR="004D29B0" w:rsidRPr="00245459">
        <w:rPr>
          <w:sz w:val="22"/>
          <w:szCs w:val="22"/>
          <w:lang w:val="sr-Latn-ME"/>
        </w:rPr>
        <w:t xml:space="preserve"> promjene</w:t>
      </w:r>
      <w:r w:rsidRPr="00245459">
        <w:rPr>
          <w:sz w:val="22"/>
          <w:szCs w:val="22"/>
          <w:lang w:val="sr-Latn-ME"/>
        </w:rPr>
        <w:t xml:space="preserve"> serumsk</w:t>
      </w:r>
      <w:r w:rsidR="004D29B0" w:rsidRPr="00245459">
        <w:rPr>
          <w:sz w:val="22"/>
          <w:szCs w:val="22"/>
          <w:lang w:val="sr-Latn-ME"/>
        </w:rPr>
        <w:t>ih</w:t>
      </w:r>
      <w:r w:rsidRPr="00245459">
        <w:rPr>
          <w:sz w:val="22"/>
          <w:szCs w:val="22"/>
          <w:lang w:val="sr-Latn-ME"/>
        </w:rPr>
        <w:t xml:space="preserve"> biohemijsk</w:t>
      </w:r>
      <w:r w:rsidR="004D29B0" w:rsidRPr="00245459">
        <w:rPr>
          <w:sz w:val="22"/>
          <w:szCs w:val="22"/>
          <w:lang w:val="sr-Latn-ME"/>
        </w:rPr>
        <w:t xml:space="preserve">ih parametara, kao što su vrijednosti </w:t>
      </w:r>
      <w:r w:rsidRPr="00245459">
        <w:rPr>
          <w:sz w:val="22"/>
          <w:szCs w:val="22"/>
          <w:lang w:val="sr-Latn-ME"/>
        </w:rPr>
        <w:t xml:space="preserve"> ALT, glukoze, fosfora i triglicerida, pri čemu su </w:t>
      </w:r>
      <w:r w:rsidR="004D29B0" w:rsidRPr="00245459">
        <w:rPr>
          <w:sz w:val="22"/>
          <w:szCs w:val="22"/>
          <w:lang w:val="sr-Latn-ME"/>
        </w:rPr>
        <w:t xml:space="preserve">promjene </w:t>
      </w:r>
      <w:r w:rsidRPr="00245459">
        <w:rPr>
          <w:sz w:val="22"/>
          <w:szCs w:val="22"/>
          <w:lang w:val="sr-Latn-ME"/>
        </w:rPr>
        <w:t>bile prolazne prirode. Znaci toksičnosti kod životinja bili su povećano lučenje pljuvačke, gastrointestinalni simptomi, rijetke stolice i disbalans elektrolita. Javili su se kod doza koje su podrazumijevale 17</w:t>
      </w:r>
      <w:r w:rsidR="004D29B0" w:rsidRPr="00245459">
        <w:rPr>
          <w:sz w:val="22"/>
          <w:szCs w:val="22"/>
          <w:lang w:val="sr-Latn-ME"/>
        </w:rPr>
        <w:t xml:space="preserve"> puta veću</w:t>
      </w:r>
      <w:r w:rsidRPr="00245459">
        <w:rPr>
          <w:sz w:val="22"/>
          <w:szCs w:val="22"/>
          <w:lang w:val="sr-Latn-ME"/>
        </w:rPr>
        <w:t xml:space="preserve"> sistemsku izloženost u odnosu na kliničk</w:t>
      </w:r>
      <w:r w:rsidR="004D29B0" w:rsidRPr="00245459">
        <w:rPr>
          <w:sz w:val="22"/>
          <w:szCs w:val="22"/>
          <w:lang w:val="sr-Latn-ME"/>
        </w:rPr>
        <w:t>e</w:t>
      </w:r>
      <w:r w:rsidRPr="00245459">
        <w:rPr>
          <w:sz w:val="22"/>
          <w:szCs w:val="22"/>
          <w:lang w:val="sr-Latn-ME"/>
        </w:rPr>
        <w:t xml:space="preserve"> doz</w:t>
      </w:r>
      <w:r w:rsidR="004D29B0" w:rsidRPr="00245459">
        <w:rPr>
          <w:sz w:val="22"/>
          <w:szCs w:val="22"/>
          <w:lang w:val="sr-Latn-ME"/>
        </w:rPr>
        <w:t>e</w:t>
      </w:r>
      <w:r w:rsidRPr="00245459">
        <w:rPr>
          <w:sz w:val="22"/>
          <w:szCs w:val="22"/>
          <w:lang w:val="sr-Latn-ME"/>
        </w:rPr>
        <w:t>. Kod majmuna, neželjena dejstva su se javila kod doza od 150 mg/kg/dan (&gt; 232</w:t>
      </w:r>
      <w:r w:rsidR="004D29B0" w:rsidRPr="00245459">
        <w:rPr>
          <w:sz w:val="22"/>
          <w:szCs w:val="22"/>
          <w:lang w:val="sr-Latn-ME"/>
        </w:rPr>
        <w:t xml:space="preserve"> puta veća</w:t>
      </w:r>
      <w:r w:rsidRPr="00245459">
        <w:rPr>
          <w:sz w:val="22"/>
          <w:szCs w:val="22"/>
          <w:lang w:val="sr-Latn-ME"/>
        </w:rPr>
        <w:t xml:space="preserve"> sistemska izloženost u odnosu na kliničke doze). U ispitivanjima na životinjama, montelukast nije uticao na fertilnost ili reproduktivnu sposobnost kod sistemskog izlaganja koje prevazilazi kliničku sistemsku izloženost više od 24 puta. Blago smanjenje tjelesne težine kod mladunaca uočeno je u ispitivanju plodnosti ženki pacova, pri 200 mg/kg/dan (&gt; 69</w:t>
      </w:r>
      <w:r w:rsidR="004D29B0" w:rsidRPr="00245459">
        <w:rPr>
          <w:sz w:val="22"/>
          <w:szCs w:val="22"/>
          <w:lang w:val="sr-Latn-ME"/>
        </w:rPr>
        <w:t xml:space="preserve"> puta veća</w:t>
      </w:r>
      <w:r w:rsidRPr="00245459">
        <w:rPr>
          <w:sz w:val="22"/>
          <w:szCs w:val="22"/>
          <w:lang w:val="sr-Latn-ME"/>
        </w:rPr>
        <w:t xml:space="preserve"> sistemska izloženost</w:t>
      </w:r>
      <w:r w:rsidR="004D29B0" w:rsidRPr="00245459">
        <w:rPr>
          <w:sz w:val="22"/>
          <w:szCs w:val="22"/>
          <w:lang w:val="sr-Latn-ME"/>
        </w:rPr>
        <w:t xml:space="preserve"> u odnosu na kliničke doze</w:t>
      </w:r>
      <w:r w:rsidRPr="00245459">
        <w:rPr>
          <w:sz w:val="22"/>
          <w:szCs w:val="22"/>
          <w:lang w:val="sr-Latn-ME"/>
        </w:rPr>
        <w:t>). U ispitivanjima na</w:t>
      </w:r>
      <w:r w:rsidR="004D29B0" w:rsidRPr="00245459">
        <w:rPr>
          <w:sz w:val="22"/>
          <w:szCs w:val="22"/>
          <w:lang w:val="sr-Latn-ME"/>
        </w:rPr>
        <w:t xml:space="preserve"> kunićima</w:t>
      </w:r>
      <w:r w:rsidRPr="00245459">
        <w:rPr>
          <w:sz w:val="22"/>
          <w:szCs w:val="22"/>
          <w:lang w:val="sr-Latn-ME"/>
        </w:rPr>
        <w:t>, veća incidenca nekompletne osifikacije, u poređenju sa kontroln</w:t>
      </w:r>
      <w:r w:rsidR="004D29B0" w:rsidRPr="00245459">
        <w:rPr>
          <w:sz w:val="22"/>
          <w:szCs w:val="22"/>
          <w:lang w:val="sr-Latn-ME"/>
        </w:rPr>
        <w:t>om grupom</w:t>
      </w:r>
      <w:r w:rsidRPr="00245459">
        <w:rPr>
          <w:sz w:val="22"/>
          <w:szCs w:val="22"/>
          <w:lang w:val="sr-Latn-ME"/>
        </w:rPr>
        <w:t xml:space="preserve"> životinja, uočena je kod sistemske izloženosti &gt;24 puta veće od sistemske izloženosti pri kliničkom režimu doziranja. Nijesu uočene </w:t>
      </w:r>
      <w:r w:rsidR="004D29B0" w:rsidRPr="00245459">
        <w:rPr>
          <w:sz w:val="22"/>
          <w:szCs w:val="22"/>
          <w:lang w:val="sr-Latn-ME"/>
        </w:rPr>
        <w:t xml:space="preserve">patološke promjene </w:t>
      </w:r>
      <w:r w:rsidRPr="00245459">
        <w:rPr>
          <w:sz w:val="22"/>
          <w:szCs w:val="22"/>
          <w:lang w:val="sr-Latn-ME"/>
        </w:rPr>
        <w:t>kod pacova. Pokazalo se da montelukast prolazi placetarnu barijeru i da se izlučuje u mlijeku životinja koje doje.</w:t>
      </w:r>
    </w:p>
    <w:p w14:paraId="46A2FA6A" w14:textId="77777777" w:rsidR="000D0C9F" w:rsidRPr="00245459" w:rsidRDefault="000D0C9F" w:rsidP="005342F3">
      <w:pPr>
        <w:jc w:val="both"/>
        <w:rPr>
          <w:sz w:val="22"/>
          <w:szCs w:val="22"/>
          <w:lang w:val="sr-Latn-ME"/>
        </w:rPr>
      </w:pPr>
    </w:p>
    <w:p w14:paraId="756D9C81" w14:textId="1B6A39F3" w:rsidR="000D0C9F" w:rsidRPr="00245459" w:rsidRDefault="000D0C9F" w:rsidP="005342F3">
      <w:pPr>
        <w:jc w:val="both"/>
        <w:rPr>
          <w:sz w:val="22"/>
          <w:szCs w:val="22"/>
          <w:lang w:val="sr-Latn-ME"/>
        </w:rPr>
      </w:pPr>
      <w:r w:rsidRPr="00245459">
        <w:rPr>
          <w:sz w:val="22"/>
          <w:szCs w:val="22"/>
          <w:lang w:val="sr-Latn-ME"/>
        </w:rPr>
        <w:t>Nije bilo smrtnih slučajeva poslije pojedinačne oralne doze montelukast natrijuma</w:t>
      </w:r>
      <w:r w:rsidR="004D29B0" w:rsidRPr="00245459">
        <w:rPr>
          <w:sz w:val="22"/>
          <w:szCs w:val="22"/>
          <w:lang w:val="sr-Latn-ME"/>
        </w:rPr>
        <w:t xml:space="preserve"> do</w:t>
      </w:r>
      <w:r w:rsidRPr="00245459">
        <w:rPr>
          <w:sz w:val="22"/>
          <w:szCs w:val="22"/>
          <w:lang w:val="sr-Latn-ME"/>
        </w:rPr>
        <w:t xml:space="preserve"> 500</w:t>
      </w:r>
      <w:r w:rsidR="004D29B0" w:rsidRPr="00245459">
        <w:rPr>
          <w:sz w:val="22"/>
          <w:szCs w:val="22"/>
          <w:lang w:val="sr-Latn-ME"/>
        </w:rPr>
        <w:t>0</w:t>
      </w:r>
      <w:r w:rsidRPr="00245459">
        <w:rPr>
          <w:sz w:val="22"/>
          <w:szCs w:val="22"/>
          <w:lang w:val="sr-Latn-ME"/>
        </w:rPr>
        <w:t xml:space="preserve"> mg/kg, kod miševa i pacova (15000 mg/m</w:t>
      </w:r>
      <w:r w:rsidRPr="00245459">
        <w:rPr>
          <w:sz w:val="22"/>
          <w:szCs w:val="22"/>
          <w:vertAlign w:val="superscript"/>
          <w:lang w:val="sr-Latn-ME"/>
        </w:rPr>
        <w:t>2</w:t>
      </w:r>
      <w:r w:rsidR="004D29B0" w:rsidRPr="00245459">
        <w:rPr>
          <w:sz w:val="22"/>
          <w:szCs w:val="22"/>
          <w:vertAlign w:val="superscript"/>
          <w:lang w:val="sr-Latn-ME"/>
        </w:rPr>
        <w:t xml:space="preserve"> </w:t>
      </w:r>
      <w:r w:rsidRPr="00245459">
        <w:rPr>
          <w:sz w:val="22"/>
          <w:szCs w:val="22"/>
          <w:lang w:val="sr-Latn-ME"/>
        </w:rPr>
        <w:t xml:space="preserve"> </w:t>
      </w:r>
      <w:r w:rsidR="004D29B0" w:rsidRPr="00245459">
        <w:rPr>
          <w:sz w:val="22"/>
          <w:szCs w:val="22"/>
          <w:lang w:val="sr-Latn-ME"/>
        </w:rPr>
        <w:t xml:space="preserve">kod miševa </w:t>
      </w:r>
      <w:r w:rsidRPr="00245459">
        <w:rPr>
          <w:sz w:val="22"/>
          <w:szCs w:val="22"/>
          <w:lang w:val="sr-Latn-ME"/>
        </w:rPr>
        <w:t>i 30000 mg/m</w:t>
      </w:r>
      <w:r w:rsidRPr="00245459">
        <w:rPr>
          <w:sz w:val="22"/>
          <w:szCs w:val="22"/>
          <w:vertAlign w:val="superscript"/>
          <w:lang w:val="sr-Latn-ME"/>
        </w:rPr>
        <w:t>2</w:t>
      </w:r>
      <w:r w:rsidRPr="00245459">
        <w:rPr>
          <w:sz w:val="22"/>
          <w:szCs w:val="22"/>
          <w:lang w:val="sr-Latn-ME"/>
        </w:rPr>
        <w:t xml:space="preserve"> kod pacova), što je </w:t>
      </w:r>
      <w:r w:rsidR="004D29B0" w:rsidRPr="00245459">
        <w:rPr>
          <w:sz w:val="22"/>
          <w:szCs w:val="22"/>
          <w:lang w:val="sr-Latn-ME"/>
        </w:rPr>
        <w:t xml:space="preserve">bila i </w:t>
      </w:r>
      <w:r w:rsidRPr="00245459">
        <w:rPr>
          <w:sz w:val="22"/>
          <w:szCs w:val="22"/>
          <w:lang w:val="sr-Latn-ME"/>
        </w:rPr>
        <w:t>maksimalna testirana doza. Ova doza je jednaka 25000 puta većoj dozi od preporučene humane doze za odrasle (bazirano na težini odraslog pacijenta od 50 kg).</w:t>
      </w:r>
    </w:p>
    <w:p w14:paraId="091A0591" w14:textId="77777777" w:rsidR="000D0C9F" w:rsidRPr="00245459" w:rsidRDefault="000D0C9F" w:rsidP="005342F3">
      <w:pPr>
        <w:jc w:val="both"/>
        <w:rPr>
          <w:sz w:val="22"/>
          <w:szCs w:val="22"/>
          <w:lang w:val="sr-Latn-ME"/>
        </w:rPr>
      </w:pPr>
    </w:p>
    <w:p w14:paraId="4654332A" w14:textId="409FBE37" w:rsidR="000D0C9F" w:rsidRPr="00245459" w:rsidRDefault="000D0C9F" w:rsidP="005342F3">
      <w:pPr>
        <w:jc w:val="both"/>
        <w:rPr>
          <w:sz w:val="22"/>
          <w:szCs w:val="22"/>
          <w:lang w:val="sr-Latn-ME"/>
        </w:rPr>
      </w:pPr>
      <w:r w:rsidRPr="00245459">
        <w:rPr>
          <w:sz w:val="22"/>
          <w:szCs w:val="22"/>
          <w:lang w:val="sr-Latn-ME"/>
        </w:rPr>
        <w:t>Utvrđeno je da montelukast nije fototoksičan kod miševa za UVA, UVB ili vidljivi spektar svjetlosti, pri dozama od 500 mg/kg/dan ( otprilike &gt;200 puta</w:t>
      </w:r>
      <w:r w:rsidR="004D29B0" w:rsidRPr="00245459">
        <w:rPr>
          <w:sz w:val="22"/>
          <w:szCs w:val="22"/>
          <w:lang w:val="sr-Latn-ME"/>
        </w:rPr>
        <w:t xml:space="preserve">veća sistemska izloženost </w:t>
      </w:r>
      <w:r w:rsidR="000443EC" w:rsidRPr="00245459">
        <w:rPr>
          <w:sz w:val="22"/>
          <w:szCs w:val="22"/>
          <w:lang w:val="sr-Latn-ME"/>
        </w:rPr>
        <w:t>u odnosu na kliničke doze</w:t>
      </w:r>
      <w:r w:rsidRPr="00245459">
        <w:rPr>
          <w:sz w:val="22"/>
          <w:szCs w:val="22"/>
          <w:lang w:val="sr-Latn-ME"/>
        </w:rPr>
        <w:t xml:space="preserve">). </w:t>
      </w:r>
    </w:p>
    <w:p w14:paraId="273BA189" w14:textId="77777777" w:rsidR="000D0C9F" w:rsidRPr="00245459" w:rsidRDefault="000D0C9F" w:rsidP="005342F3">
      <w:pPr>
        <w:jc w:val="both"/>
        <w:rPr>
          <w:sz w:val="22"/>
          <w:szCs w:val="22"/>
          <w:lang w:val="sr-Latn-ME"/>
        </w:rPr>
      </w:pPr>
    </w:p>
    <w:p w14:paraId="3A3A2EA1" w14:textId="0C07FEAF" w:rsidR="00396DFD" w:rsidRPr="00245459" w:rsidRDefault="000D0C9F" w:rsidP="005342F3">
      <w:pPr>
        <w:tabs>
          <w:tab w:val="left" w:pos="540"/>
          <w:tab w:val="left" w:pos="569"/>
        </w:tabs>
        <w:jc w:val="both"/>
        <w:rPr>
          <w:sz w:val="22"/>
          <w:szCs w:val="22"/>
          <w:lang w:val="sr-Latn-ME"/>
        </w:rPr>
      </w:pPr>
      <w:r w:rsidRPr="00245459">
        <w:rPr>
          <w:sz w:val="22"/>
          <w:szCs w:val="22"/>
          <w:lang w:val="sr-Latn-ME"/>
        </w:rPr>
        <w:t xml:space="preserve">Montelukast nije pokazao mutagenost kod </w:t>
      </w:r>
      <w:r w:rsidRPr="00245459">
        <w:rPr>
          <w:i/>
          <w:sz w:val="22"/>
          <w:szCs w:val="22"/>
          <w:lang w:val="sr-Latn-ME"/>
        </w:rPr>
        <w:t>in vitro</w:t>
      </w:r>
      <w:r w:rsidRPr="00245459">
        <w:rPr>
          <w:sz w:val="22"/>
          <w:szCs w:val="22"/>
          <w:lang w:val="sr-Latn-ME"/>
        </w:rPr>
        <w:t xml:space="preserve"> i</w:t>
      </w:r>
      <w:r w:rsidRPr="00245459">
        <w:rPr>
          <w:i/>
          <w:sz w:val="22"/>
          <w:szCs w:val="22"/>
          <w:lang w:val="sr-Latn-ME"/>
        </w:rPr>
        <w:t xml:space="preserve"> in vivo</w:t>
      </w:r>
      <w:r w:rsidRPr="00245459">
        <w:rPr>
          <w:sz w:val="22"/>
          <w:szCs w:val="22"/>
          <w:lang w:val="sr-Latn-ME"/>
        </w:rPr>
        <w:t xml:space="preserve"> testova, niti je bio kancerogenog dejstva kod glodara.</w:t>
      </w:r>
    </w:p>
    <w:p w14:paraId="29C2439C" w14:textId="65E014CA" w:rsidR="000D0C9F" w:rsidRPr="00245459" w:rsidRDefault="000D0C9F" w:rsidP="005342F3">
      <w:pPr>
        <w:tabs>
          <w:tab w:val="left" w:pos="540"/>
          <w:tab w:val="left" w:pos="569"/>
        </w:tabs>
        <w:jc w:val="both"/>
        <w:rPr>
          <w:b/>
          <w:bCs/>
          <w:sz w:val="22"/>
          <w:szCs w:val="22"/>
          <w:lang w:val="sr-Latn-ME"/>
        </w:rPr>
      </w:pPr>
    </w:p>
    <w:p w14:paraId="608A7C52" w14:textId="77777777" w:rsidR="00550D64" w:rsidRPr="00245459" w:rsidRDefault="00550D64" w:rsidP="005342F3">
      <w:pPr>
        <w:tabs>
          <w:tab w:val="left" w:pos="540"/>
          <w:tab w:val="left" w:pos="569"/>
        </w:tabs>
        <w:jc w:val="both"/>
        <w:rPr>
          <w:b/>
          <w:bCs/>
          <w:sz w:val="22"/>
          <w:szCs w:val="22"/>
          <w:lang w:val="sr-Latn-ME"/>
        </w:rPr>
      </w:pPr>
    </w:p>
    <w:p w14:paraId="651BA72F"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6. </w:t>
      </w:r>
      <w:r w:rsidR="00480FB1" w:rsidRPr="00245459">
        <w:rPr>
          <w:b/>
          <w:bCs/>
          <w:sz w:val="22"/>
          <w:szCs w:val="22"/>
          <w:lang w:val="sr-Latn-ME"/>
        </w:rPr>
        <w:tab/>
      </w:r>
      <w:r w:rsidRPr="00245459">
        <w:rPr>
          <w:b/>
          <w:bCs/>
          <w:sz w:val="22"/>
          <w:szCs w:val="22"/>
          <w:lang w:val="sr-Latn-ME"/>
        </w:rPr>
        <w:t>FARMACEUTSKI PODACI</w:t>
      </w:r>
    </w:p>
    <w:p w14:paraId="70E9A7F6" w14:textId="77777777" w:rsidR="00836B35" w:rsidRPr="00245459" w:rsidRDefault="00836B35" w:rsidP="005342F3">
      <w:pPr>
        <w:tabs>
          <w:tab w:val="left" w:pos="540"/>
          <w:tab w:val="left" w:pos="569"/>
        </w:tabs>
        <w:jc w:val="both"/>
        <w:rPr>
          <w:bCs/>
          <w:sz w:val="22"/>
          <w:szCs w:val="22"/>
          <w:lang w:val="sr-Latn-ME"/>
        </w:rPr>
      </w:pPr>
    </w:p>
    <w:p w14:paraId="4EDD8C2A"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6.1. </w:t>
      </w:r>
      <w:r w:rsidR="00480FB1" w:rsidRPr="00245459">
        <w:rPr>
          <w:b/>
          <w:bCs/>
          <w:sz w:val="22"/>
          <w:szCs w:val="22"/>
          <w:lang w:val="sr-Latn-ME"/>
        </w:rPr>
        <w:tab/>
      </w:r>
      <w:r w:rsidRPr="00245459">
        <w:rPr>
          <w:b/>
          <w:bCs/>
          <w:sz w:val="22"/>
          <w:szCs w:val="22"/>
          <w:lang w:val="sr-Latn-ME"/>
        </w:rPr>
        <w:t>Lista pomoćnih supstanci</w:t>
      </w:r>
      <w:r w:rsidR="002E0135" w:rsidRPr="00245459">
        <w:rPr>
          <w:b/>
          <w:bCs/>
          <w:sz w:val="22"/>
          <w:szCs w:val="22"/>
          <w:lang w:val="sr-Latn-ME"/>
        </w:rPr>
        <w:t xml:space="preserve"> (ekscipijenasa)</w:t>
      </w:r>
    </w:p>
    <w:p w14:paraId="24571495" w14:textId="567C54C0" w:rsidR="0072020E" w:rsidRPr="00245459" w:rsidRDefault="0072020E" w:rsidP="005342F3">
      <w:pPr>
        <w:tabs>
          <w:tab w:val="left" w:pos="540"/>
          <w:tab w:val="left" w:pos="569"/>
        </w:tabs>
        <w:jc w:val="both"/>
        <w:rPr>
          <w:bCs/>
          <w:sz w:val="22"/>
          <w:szCs w:val="22"/>
          <w:lang w:val="sr-Latn-ME"/>
        </w:rPr>
      </w:pPr>
    </w:p>
    <w:p w14:paraId="1357C6D2" w14:textId="0A81C5FB" w:rsidR="000443EC" w:rsidRPr="00245459" w:rsidRDefault="000443EC" w:rsidP="005342F3">
      <w:pPr>
        <w:tabs>
          <w:tab w:val="left" w:pos="540"/>
          <w:tab w:val="left" w:pos="569"/>
        </w:tabs>
        <w:jc w:val="both"/>
        <w:rPr>
          <w:bCs/>
          <w:sz w:val="22"/>
          <w:szCs w:val="22"/>
          <w:lang w:val="sr-Latn-ME"/>
        </w:rPr>
      </w:pPr>
      <w:r w:rsidRPr="00245459">
        <w:rPr>
          <w:bCs/>
          <w:sz w:val="22"/>
          <w:szCs w:val="22"/>
          <w:lang w:val="sr-Latn-ME"/>
        </w:rPr>
        <w:t>Jezgro tablete:</w:t>
      </w:r>
    </w:p>
    <w:p w14:paraId="08160026" w14:textId="77777777" w:rsidR="000D0C9F" w:rsidRPr="00245459" w:rsidRDefault="000D0C9F" w:rsidP="005342F3">
      <w:pPr>
        <w:jc w:val="both"/>
        <w:rPr>
          <w:sz w:val="22"/>
          <w:szCs w:val="22"/>
          <w:lang w:val="sr-Latn-ME"/>
        </w:rPr>
      </w:pPr>
      <w:r w:rsidRPr="00245459">
        <w:rPr>
          <w:sz w:val="22"/>
          <w:szCs w:val="22"/>
          <w:lang w:val="sr-Latn-ME"/>
        </w:rPr>
        <w:t>Celuloza, mikrokristalna</w:t>
      </w:r>
    </w:p>
    <w:p w14:paraId="4F105698" w14:textId="433381D0" w:rsidR="000D0C9F" w:rsidRPr="00245459" w:rsidRDefault="000D0C9F" w:rsidP="005342F3">
      <w:pPr>
        <w:jc w:val="both"/>
        <w:rPr>
          <w:sz w:val="22"/>
          <w:szCs w:val="22"/>
          <w:lang w:val="sr-Latn-ME"/>
        </w:rPr>
      </w:pPr>
      <w:r w:rsidRPr="00245459">
        <w:rPr>
          <w:sz w:val="22"/>
          <w:szCs w:val="22"/>
          <w:lang w:val="sr-Latn-ME"/>
        </w:rPr>
        <w:t>Laktoza monohidrat</w:t>
      </w:r>
    </w:p>
    <w:p w14:paraId="40D6E62D" w14:textId="5BCB61ED" w:rsidR="000D0C9F" w:rsidRPr="00245459" w:rsidRDefault="000D0C9F" w:rsidP="005342F3">
      <w:pPr>
        <w:jc w:val="both"/>
        <w:rPr>
          <w:sz w:val="22"/>
          <w:szCs w:val="22"/>
          <w:lang w:val="sr-Latn-ME"/>
        </w:rPr>
      </w:pPr>
      <w:r w:rsidRPr="00245459">
        <w:rPr>
          <w:sz w:val="22"/>
          <w:szCs w:val="22"/>
          <w:lang w:val="sr-Latn-ME"/>
        </w:rPr>
        <w:t>Kroskarmeloza</w:t>
      </w:r>
      <w:r w:rsidR="00550D64" w:rsidRPr="00245459">
        <w:rPr>
          <w:sz w:val="22"/>
          <w:szCs w:val="22"/>
          <w:lang w:val="sr-Latn-ME"/>
        </w:rPr>
        <w:t xml:space="preserve"> </w:t>
      </w:r>
      <w:r w:rsidRPr="00245459">
        <w:rPr>
          <w:sz w:val="22"/>
          <w:szCs w:val="22"/>
          <w:lang w:val="sr-Latn-ME"/>
        </w:rPr>
        <w:t>natrijum</w:t>
      </w:r>
    </w:p>
    <w:p w14:paraId="0F4927D7" w14:textId="77777777" w:rsidR="000D0C9F" w:rsidRPr="00245459" w:rsidRDefault="000D0C9F" w:rsidP="005342F3">
      <w:pPr>
        <w:jc w:val="both"/>
        <w:rPr>
          <w:sz w:val="22"/>
          <w:szCs w:val="22"/>
          <w:lang w:val="sr-Latn-ME"/>
        </w:rPr>
      </w:pPr>
      <w:r w:rsidRPr="00245459">
        <w:rPr>
          <w:sz w:val="22"/>
          <w:szCs w:val="22"/>
          <w:lang w:val="sr-Latn-ME"/>
        </w:rPr>
        <w:t xml:space="preserve">Hidroksipropilceluoza (E 463) </w:t>
      </w:r>
    </w:p>
    <w:p w14:paraId="048A0E45" w14:textId="2478B0F8" w:rsidR="000D0C9F" w:rsidRPr="00245459" w:rsidRDefault="000D0C9F" w:rsidP="005342F3">
      <w:pPr>
        <w:jc w:val="both"/>
        <w:rPr>
          <w:sz w:val="22"/>
          <w:szCs w:val="22"/>
          <w:lang w:val="sr-Latn-ME"/>
        </w:rPr>
      </w:pPr>
      <w:r w:rsidRPr="00245459">
        <w:rPr>
          <w:sz w:val="22"/>
          <w:szCs w:val="22"/>
          <w:lang w:val="sr-Latn-ME"/>
        </w:rPr>
        <w:t>Magnezijum</w:t>
      </w:r>
      <w:r w:rsidR="0039767B" w:rsidRPr="00245459">
        <w:rPr>
          <w:sz w:val="22"/>
          <w:szCs w:val="22"/>
          <w:lang w:val="sr-Latn-ME"/>
        </w:rPr>
        <w:t xml:space="preserve"> </w:t>
      </w:r>
      <w:r w:rsidRPr="00245459">
        <w:rPr>
          <w:sz w:val="22"/>
          <w:szCs w:val="22"/>
          <w:lang w:val="sr-Latn-ME"/>
        </w:rPr>
        <w:t>stearat</w:t>
      </w:r>
    </w:p>
    <w:p w14:paraId="3F521228" w14:textId="77777777" w:rsidR="000D0C9F" w:rsidRPr="00245459" w:rsidRDefault="000D0C9F" w:rsidP="005342F3">
      <w:pPr>
        <w:jc w:val="both"/>
        <w:rPr>
          <w:sz w:val="22"/>
          <w:szCs w:val="22"/>
          <w:lang w:val="sr-Latn-ME"/>
        </w:rPr>
      </w:pPr>
    </w:p>
    <w:p w14:paraId="4A8F5F00" w14:textId="11CC8833" w:rsidR="000D0C9F" w:rsidRPr="00245459" w:rsidRDefault="000D0C9F" w:rsidP="005342F3">
      <w:pPr>
        <w:jc w:val="both"/>
        <w:rPr>
          <w:sz w:val="22"/>
          <w:szCs w:val="22"/>
          <w:lang w:val="sr-Latn-ME"/>
        </w:rPr>
      </w:pPr>
      <w:r w:rsidRPr="00245459">
        <w:rPr>
          <w:sz w:val="22"/>
          <w:szCs w:val="22"/>
          <w:lang w:val="sr-Latn-ME"/>
        </w:rPr>
        <w:t>Film</w:t>
      </w:r>
      <w:r w:rsidR="000443EC" w:rsidRPr="00245459">
        <w:rPr>
          <w:sz w:val="22"/>
          <w:szCs w:val="22"/>
          <w:lang w:val="sr-Latn-ME"/>
        </w:rPr>
        <w:t xml:space="preserve"> (obloga) tablete</w:t>
      </w:r>
      <w:r w:rsidRPr="00245459">
        <w:rPr>
          <w:sz w:val="22"/>
          <w:szCs w:val="22"/>
          <w:lang w:val="sr-Latn-ME"/>
        </w:rPr>
        <w:t xml:space="preserve">: </w:t>
      </w:r>
    </w:p>
    <w:p w14:paraId="793C4E00" w14:textId="77777777" w:rsidR="000D0C9F" w:rsidRPr="00245459" w:rsidRDefault="000D0C9F" w:rsidP="005342F3">
      <w:pPr>
        <w:jc w:val="both"/>
        <w:rPr>
          <w:sz w:val="22"/>
          <w:szCs w:val="22"/>
          <w:lang w:val="sr-Latn-ME"/>
        </w:rPr>
      </w:pPr>
      <w:r w:rsidRPr="00245459">
        <w:rPr>
          <w:sz w:val="22"/>
          <w:szCs w:val="22"/>
          <w:lang w:val="sr-Latn-ME"/>
        </w:rPr>
        <w:t xml:space="preserve">Metilhidroksipropilceluloza </w:t>
      </w:r>
    </w:p>
    <w:p w14:paraId="19894F63" w14:textId="77777777" w:rsidR="000D0C9F" w:rsidRPr="00245459" w:rsidRDefault="000D0C9F" w:rsidP="005342F3">
      <w:pPr>
        <w:jc w:val="both"/>
        <w:rPr>
          <w:sz w:val="22"/>
          <w:szCs w:val="22"/>
          <w:lang w:val="sr-Latn-ME"/>
        </w:rPr>
      </w:pPr>
      <w:r w:rsidRPr="00245459">
        <w:rPr>
          <w:sz w:val="22"/>
          <w:szCs w:val="22"/>
          <w:lang w:val="sr-Latn-ME"/>
        </w:rPr>
        <w:t xml:space="preserve">Hidroksipropilceluloza (E 463) </w:t>
      </w:r>
    </w:p>
    <w:p w14:paraId="43B74655" w14:textId="4529D4D6" w:rsidR="000D0C9F" w:rsidRPr="00245459" w:rsidRDefault="000D0C9F" w:rsidP="005342F3">
      <w:pPr>
        <w:jc w:val="both"/>
        <w:rPr>
          <w:sz w:val="22"/>
          <w:szCs w:val="22"/>
          <w:lang w:val="sr-Latn-ME"/>
        </w:rPr>
      </w:pPr>
      <w:r w:rsidRPr="00245459">
        <w:rPr>
          <w:sz w:val="22"/>
          <w:szCs w:val="22"/>
          <w:lang w:val="sr-Latn-ME"/>
        </w:rPr>
        <w:t>Titan</w:t>
      </w:r>
      <w:r w:rsidR="00550D64" w:rsidRPr="00245459">
        <w:rPr>
          <w:sz w:val="22"/>
          <w:szCs w:val="22"/>
          <w:lang w:val="sr-Latn-ME"/>
        </w:rPr>
        <w:t xml:space="preserve"> </w:t>
      </w:r>
      <w:r w:rsidRPr="00245459">
        <w:rPr>
          <w:sz w:val="22"/>
          <w:szCs w:val="22"/>
          <w:lang w:val="sr-Latn-ME"/>
        </w:rPr>
        <w:t xml:space="preserve">dioksid ( E 171 ) </w:t>
      </w:r>
    </w:p>
    <w:p w14:paraId="03ED93AB" w14:textId="70D6FF2A" w:rsidR="00550D64" w:rsidRPr="00245459" w:rsidRDefault="000D0C9F" w:rsidP="005342F3">
      <w:pPr>
        <w:jc w:val="both"/>
        <w:rPr>
          <w:sz w:val="22"/>
          <w:szCs w:val="22"/>
          <w:lang w:val="sr-Latn-ME"/>
        </w:rPr>
      </w:pPr>
      <w:r w:rsidRPr="00245459">
        <w:rPr>
          <w:sz w:val="22"/>
          <w:szCs w:val="22"/>
          <w:lang w:val="sr-Latn-ME"/>
        </w:rPr>
        <w:t>Gvožđe</w:t>
      </w:r>
      <w:r w:rsidR="00550D64" w:rsidRPr="00245459">
        <w:rPr>
          <w:sz w:val="22"/>
          <w:szCs w:val="22"/>
          <w:lang w:val="sr-Latn-ME"/>
        </w:rPr>
        <w:t xml:space="preserve"> </w:t>
      </w:r>
      <w:r w:rsidRPr="00245459">
        <w:rPr>
          <w:sz w:val="22"/>
          <w:szCs w:val="22"/>
          <w:lang w:val="sr-Latn-ME"/>
        </w:rPr>
        <w:t>(III)</w:t>
      </w:r>
      <w:r w:rsidR="00550D64" w:rsidRPr="00245459">
        <w:rPr>
          <w:sz w:val="22"/>
          <w:szCs w:val="22"/>
          <w:lang w:val="sr-Latn-ME"/>
        </w:rPr>
        <w:t xml:space="preserve"> </w:t>
      </w:r>
      <w:r w:rsidRPr="00245459">
        <w:rPr>
          <w:sz w:val="22"/>
          <w:szCs w:val="22"/>
          <w:lang w:val="sr-Latn-ME"/>
        </w:rPr>
        <w:t>oksid, crveni</w:t>
      </w:r>
      <w:r w:rsidR="00550D64" w:rsidRPr="00245459">
        <w:rPr>
          <w:sz w:val="22"/>
          <w:szCs w:val="22"/>
          <w:lang w:val="sr-Latn-ME"/>
        </w:rPr>
        <w:t xml:space="preserve"> ( E 172 )</w:t>
      </w:r>
    </w:p>
    <w:p w14:paraId="6911FBA6" w14:textId="0307DDE8" w:rsidR="000D0C9F" w:rsidRPr="00245459" w:rsidRDefault="00550D64" w:rsidP="005342F3">
      <w:pPr>
        <w:jc w:val="both"/>
        <w:rPr>
          <w:sz w:val="22"/>
          <w:szCs w:val="22"/>
          <w:lang w:val="sr-Latn-ME"/>
        </w:rPr>
      </w:pPr>
      <w:r w:rsidRPr="00245459">
        <w:rPr>
          <w:sz w:val="22"/>
          <w:szCs w:val="22"/>
          <w:lang w:val="sr-Latn-ME"/>
        </w:rPr>
        <w:t xml:space="preserve">Gvožđe (III) oksid, </w:t>
      </w:r>
      <w:r w:rsidR="000D0C9F" w:rsidRPr="00245459">
        <w:rPr>
          <w:sz w:val="22"/>
          <w:szCs w:val="22"/>
          <w:lang w:val="sr-Latn-ME"/>
        </w:rPr>
        <w:t xml:space="preserve">žuti ( E 172 ) </w:t>
      </w:r>
    </w:p>
    <w:p w14:paraId="71F00829" w14:textId="77777777" w:rsidR="000D0C9F" w:rsidRPr="00245459" w:rsidRDefault="000D0C9F" w:rsidP="005342F3">
      <w:pPr>
        <w:jc w:val="both"/>
        <w:rPr>
          <w:sz w:val="22"/>
          <w:szCs w:val="22"/>
          <w:lang w:val="sr-Latn-ME"/>
        </w:rPr>
      </w:pPr>
      <w:r w:rsidRPr="00245459">
        <w:rPr>
          <w:sz w:val="22"/>
          <w:szCs w:val="22"/>
          <w:lang w:val="sr-Latn-ME"/>
        </w:rPr>
        <w:t>Karnuba vosak</w:t>
      </w:r>
    </w:p>
    <w:p w14:paraId="7ACC3B90" w14:textId="77777777" w:rsidR="000D0C9F" w:rsidRPr="00245459" w:rsidRDefault="000D0C9F" w:rsidP="005342F3">
      <w:pPr>
        <w:tabs>
          <w:tab w:val="left" w:pos="540"/>
          <w:tab w:val="left" w:pos="569"/>
        </w:tabs>
        <w:jc w:val="both"/>
        <w:rPr>
          <w:bCs/>
          <w:sz w:val="22"/>
          <w:szCs w:val="22"/>
          <w:lang w:val="sr-Latn-ME"/>
        </w:rPr>
      </w:pPr>
    </w:p>
    <w:p w14:paraId="3BBD4C21"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6.2. </w:t>
      </w:r>
      <w:r w:rsidR="00480FB1" w:rsidRPr="00245459">
        <w:rPr>
          <w:b/>
          <w:bCs/>
          <w:sz w:val="22"/>
          <w:szCs w:val="22"/>
          <w:lang w:val="sr-Latn-ME"/>
        </w:rPr>
        <w:tab/>
      </w:r>
      <w:r w:rsidRPr="00245459">
        <w:rPr>
          <w:b/>
          <w:bCs/>
          <w:sz w:val="22"/>
          <w:szCs w:val="22"/>
          <w:lang w:val="sr-Latn-ME"/>
        </w:rPr>
        <w:t>Inkompatibilnost</w:t>
      </w:r>
      <w:r w:rsidR="002846DB" w:rsidRPr="00245459">
        <w:rPr>
          <w:b/>
          <w:bCs/>
          <w:sz w:val="22"/>
          <w:szCs w:val="22"/>
          <w:lang w:val="sr-Latn-ME"/>
        </w:rPr>
        <w:t>i</w:t>
      </w:r>
    </w:p>
    <w:p w14:paraId="681E6A13" w14:textId="5C8FC044" w:rsidR="0072020E" w:rsidRPr="00245459" w:rsidRDefault="0072020E" w:rsidP="005342F3">
      <w:pPr>
        <w:tabs>
          <w:tab w:val="left" w:pos="540"/>
          <w:tab w:val="left" w:pos="569"/>
        </w:tabs>
        <w:jc w:val="both"/>
        <w:rPr>
          <w:bCs/>
          <w:sz w:val="22"/>
          <w:szCs w:val="22"/>
          <w:lang w:val="sr-Latn-ME"/>
        </w:rPr>
      </w:pPr>
    </w:p>
    <w:p w14:paraId="6BB10722" w14:textId="77777777" w:rsidR="000D0C9F" w:rsidRPr="00245459" w:rsidRDefault="000D0C9F" w:rsidP="005342F3">
      <w:pPr>
        <w:jc w:val="both"/>
        <w:rPr>
          <w:b/>
          <w:sz w:val="22"/>
          <w:szCs w:val="22"/>
          <w:lang w:val="sr-Latn-ME"/>
        </w:rPr>
      </w:pPr>
      <w:r w:rsidRPr="00245459">
        <w:rPr>
          <w:sz w:val="22"/>
          <w:szCs w:val="22"/>
          <w:lang w:val="sr-Latn-ME"/>
        </w:rPr>
        <w:t>Nijesu poznate.</w:t>
      </w:r>
    </w:p>
    <w:p w14:paraId="11CFCB25" w14:textId="77777777" w:rsidR="000D0C9F" w:rsidRPr="00245459" w:rsidRDefault="000D0C9F" w:rsidP="005342F3">
      <w:pPr>
        <w:tabs>
          <w:tab w:val="left" w:pos="540"/>
          <w:tab w:val="left" w:pos="569"/>
        </w:tabs>
        <w:jc w:val="both"/>
        <w:rPr>
          <w:bCs/>
          <w:sz w:val="22"/>
          <w:szCs w:val="22"/>
          <w:lang w:val="sr-Latn-ME"/>
        </w:rPr>
      </w:pPr>
    </w:p>
    <w:p w14:paraId="71D83DCE"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6.3.</w:t>
      </w:r>
      <w:r w:rsidR="00C05DF8" w:rsidRPr="00245459">
        <w:rPr>
          <w:b/>
          <w:bCs/>
          <w:sz w:val="22"/>
          <w:szCs w:val="22"/>
          <w:lang w:val="sr-Latn-ME"/>
        </w:rPr>
        <w:t xml:space="preserve"> </w:t>
      </w:r>
      <w:r w:rsidR="00480FB1" w:rsidRPr="00245459">
        <w:rPr>
          <w:b/>
          <w:bCs/>
          <w:sz w:val="22"/>
          <w:szCs w:val="22"/>
          <w:lang w:val="sr-Latn-ME"/>
        </w:rPr>
        <w:tab/>
      </w:r>
      <w:r w:rsidRPr="00245459">
        <w:rPr>
          <w:b/>
          <w:bCs/>
          <w:sz w:val="22"/>
          <w:szCs w:val="22"/>
          <w:lang w:val="sr-Latn-ME"/>
        </w:rPr>
        <w:t>Rok upotrebe</w:t>
      </w:r>
    </w:p>
    <w:p w14:paraId="0FC7FF0D" w14:textId="75A451F7" w:rsidR="0072020E" w:rsidRPr="00245459" w:rsidRDefault="0072020E" w:rsidP="005342F3">
      <w:pPr>
        <w:tabs>
          <w:tab w:val="left" w:pos="540"/>
          <w:tab w:val="left" w:pos="569"/>
        </w:tabs>
        <w:jc w:val="both"/>
        <w:rPr>
          <w:bCs/>
          <w:sz w:val="22"/>
          <w:szCs w:val="22"/>
          <w:lang w:val="sr-Latn-ME"/>
        </w:rPr>
      </w:pPr>
    </w:p>
    <w:p w14:paraId="0692A782" w14:textId="77777777" w:rsidR="000D0C9F" w:rsidRPr="00245459" w:rsidRDefault="000D0C9F" w:rsidP="005342F3">
      <w:pPr>
        <w:jc w:val="both"/>
        <w:rPr>
          <w:sz w:val="22"/>
          <w:szCs w:val="22"/>
          <w:lang w:val="sr-Latn-ME"/>
        </w:rPr>
      </w:pPr>
      <w:r w:rsidRPr="00245459">
        <w:rPr>
          <w:sz w:val="22"/>
          <w:szCs w:val="22"/>
          <w:lang w:val="sr-Latn-ME"/>
        </w:rPr>
        <w:t>3 godine.</w:t>
      </w:r>
    </w:p>
    <w:p w14:paraId="3BE9774D" w14:textId="6157AEDD" w:rsidR="000D0C9F" w:rsidRDefault="000D0C9F" w:rsidP="005342F3">
      <w:pPr>
        <w:tabs>
          <w:tab w:val="left" w:pos="540"/>
          <w:tab w:val="left" w:pos="569"/>
        </w:tabs>
        <w:jc w:val="both"/>
        <w:rPr>
          <w:bCs/>
          <w:sz w:val="22"/>
          <w:szCs w:val="22"/>
          <w:lang w:val="sr-Latn-ME"/>
        </w:rPr>
      </w:pPr>
    </w:p>
    <w:p w14:paraId="7BDC3384" w14:textId="77777777" w:rsidR="00245459" w:rsidRPr="00245459" w:rsidRDefault="00245459" w:rsidP="005342F3">
      <w:pPr>
        <w:tabs>
          <w:tab w:val="left" w:pos="540"/>
          <w:tab w:val="left" w:pos="569"/>
        </w:tabs>
        <w:jc w:val="both"/>
        <w:rPr>
          <w:bCs/>
          <w:sz w:val="22"/>
          <w:szCs w:val="22"/>
          <w:lang w:val="sr-Latn-ME"/>
        </w:rPr>
      </w:pPr>
    </w:p>
    <w:p w14:paraId="069048E7"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lastRenderedPageBreak/>
        <w:t xml:space="preserve">6.4. </w:t>
      </w:r>
      <w:r w:rsidR="00480FB1" w:rsidRPr="00245459">
        <w:rPr>
          <w:b/>
          <w:bCs/>
          <w:sz w:val="22"/>
          <w:szCs w:val="22"/>
          <w:lang w:val="sr-Latn-ME"/>
        </w:rPr>
        <w:tab/>
      </w:r>
      <w:r w:rsidRPr="00245459">
        <w:rPr>
          <w:b/>
          <w:bCs/>
          <w:sz w:val="22"/>
          <w:szCs w:val="22"/>
          <w:lang w:val="sr-Latn-ME"/>
        </w:rPr>
        <w:t>Posebne mjere upozorenja pri čuvanju</w:t>
      </w:r>
      <w:r w:rsidR="00F8570A" w:rsidRPr="00245459">
        <w:rPr>
          <w:b/>
          <w:bCs/>
          <w:sz w:val="22"/>
          <w:szCs w:val="22"/>
          <w:lang w:val="sr-Latn-ME"/>
        </w:rPr>
        <w:t xml:space="preserve"> lijeka</w:t>
      </w:r>
    </w:p>
    <w:p w14:paraId="68497BB7" w14:textId="708A0762" w:rsidR="00EC2532" w:rsidRPr="00245459" w:rsidRDefault="00EC2532" w:rsidP="005342F3">
      <w:pPr>
        <w:tabs>
          <w:tab w:val="left" w:pos="540"/>
          <w:tab w:val="left" w:pos="569"/>
        </w:tabs>
        <w:jc w:val="both"/>
        <w:rPr>
          <w:bCs/>
          <w:sz w:val="22"/>
          <w:szCs w:val="22"/>
          <w:lang w:val="sr-Latn-ME"/>
        </w:rPr>
      </w:pPr>
    </w:p>
    <w:p w14:paraId="0B8E104B" w14:textId="185E0F87" w:rsidR="000D0C9F" w:rsidRPr="00245459" w:rsidRDefault="000443EC" w:rsidP="005342F3">
      <w:pPr>
        <w:jc w:val="both"/>
        <w:rPr>
          <w:sz w:val="22"/>
          <w:szCs w:val="22"/>
          <w:lang w:val="sr-Latn-ME"/>
        </w:rPr>
      </w:pPr>
      <w:r w:rsidRPr="00245459">
        <w:rPr>
          <w:sz w:val="22"/>
          <w:szCs w:val="22"/>
          <w:lang w:val="sr-Latn-ME"/>
        </w:rPr>
        <w:t>Lijek treba č</w:t>
      </w:r>
      <w:r w:rsidR="000D0C9F" w:rsidRPr="00245459">
        <w:rPr>
          <w:sz w:val="22"/>
          <w:szCs w:val="22"/>
          <w:lang w:val="sr-Latn-ME"/>
        </w:rPr>
        <w:t>uvati u originalnom pakovanju</w:t>
      </w:r>
      <w:r w:rsidRPr="00245459">
        <w:rPr>
          <w:sz w:val="22"/>
          <w:szCs w:val="22"/>
          <w:lang w:val="sr-Latn-ME"/>
        </w:rPr>
        <w:t>, radi</w:t>
      </w:r>
      <w:r w:rsidR="000D0C9F" w:rsidRPr="00245459">
        <w:rPr>
          <w:sz w:val="22"/>
          <w:szCs w:val="22"/>
          <w:lang w:val="sr-Latn-ME"/>
        </w:rPr>
        <w:t xml:space="preserve"> zašt</w:t>
      </w:r>
      <w:r w:rsidRPr="00245459">
        <w:rPr>
          <w:sz w:val="22"/>
          <w:szCs w:val="22"/>
          <w:lang w:val="sr-Latn-ME"/>
        </w:rPr>
        <w:t>ite</w:t>
      </w:r>
      <w:r w:rsidR="000D0C9F" w:rsidRPr="00245459">
        <w:rPr>
          <w:sz w:val="22"/>
          <w:szCs w:val="22"/>
          <w:lang w:val="sr-Latn-ME"/>
        </w:rPr>
        <w:t xml:space="preserve"> od svjetlosti i vlage. </w:t>
      </w:r>
    </w:p>
    <w:p w14:paraId="7A4A32DC" w14:textId="77777777" w:rsidR="000D0C9F" w:rsidRPr="00245459" w:rsidRDefault="000D0C9F" w:rsidP="005342F3">
      <w:pPr>
        <w:tabs>
          <w:tab w:val="left" w:pos="540"/>
          <w:tab w:val="left" w:pos="569"/>
        </w:tabs>
        <w:jc w:val="both"/>
        <w:rPr>
          <w:bCs/>
          <w:sz w:val="22"/>
          <w:szCs w:val="22"/>
          <w:lang w:val="sr-Latn-ME"/>
        </w:rPr>
      </w:pPr>
    </w:p>
    <w:p w14:paraId="661C055A"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6.5. </w:t>
      </w:r>
      <w:r w:rsidR="00480FB1" w:rsidRPr="00245459">
        <w:rPr>
          <w:b/>
          <w:bCs/>
          <w:sz w:val="22"/>
          <w:szCs w:val="22"/>
          <w:lang w:val="sr-Latn-ME"/>
        </w:rPr>
        <w:tab/>
      </w:r>
      <w:r w:rsidR="002846DB" w:rsidRPr="00245459">
        <w:rPr>
          <w:b/>
          <w:bCs/>
          <w:sz w:val="22"/>
          <w:szCs w:val="22"/>
          <w:lang w:val="sr-Latn-ME"/>
        </w:rPr>
        <w:t xml:space="preserve">Vrsta i sadržaj </w:t>
      </w:r>
      <w:r w:rsidR="00F8570A" w:rsidRPr="00245459">
        <w:rPr>
          <w:b/>
          <w:bCs/>
          <w:sz w:val="22"/>
          <w:szCs w:val="22"/>
          <w:lang w:val="sr-Latn-ME"/>
        </w:rPr>
        <w:t>pakovanja</w:t>
      </w:r>
      <w:r w:rsidR="00C06864" w:rsidRPr="00245459">
        <w:rPr>
          <w:b/>
          <w:bCs/>
          <w:sz w:val="22"/>
          <w:szCs w:val="22"/>
          <w:lang w:val="sr-Latn-ME"/>
        </w:rPr>
        <w:t xml:space="preserve"> </w:t>
      </w:r>
    </w:p>
    <w:p w14:paraId="5C0640C9" w14:textId="452B7921" w:rsidR="0072020E" w:rsidRPr="00245459" w:rsidRDefault="0072020E" w:rsidP="005342F3">
      <w:pPr>
        <w:tabs>
          <w:tab w:val="left" w:pos="540"/>
          <w:tab w:val="left" w:pos="569"/>
        </w:tabs>
        <w:jc w:val="both"/>
        <w:rPr>
          <w:bCs/>
          <w:sz w:val="22"/>
          <w:szCs w:val="22"/>
          <w:lang w:val="sr-Latn-ME"/>
        </w:rPr>
      </w:pPr>
    </w:p>
    <w:p w14:paraId="31EC0F81" w14:textId="4932BEAC" w:rsidR="00864928" w:rsidRPr="00245459" w:rsidRDefault="00864928" w:rsidP="00864928">
      <w:pPr>
        <w:rPr>
          <w:sz w:val="22"/>
          <w:szCs w:val="22"/>
          <w:lang w:val="sr-Latn-ME"/>
        </w:rPr>
      </w:pPr>
      <w:r w:rsidRPr="00245459">
        <w:rPr>
          <w:sz w:val="22"/>
          <w:szCs w:val="22"/>
          <w:lang w:val="sr-Latn-ME"/>
        </w:rPr>
        <w:t>Unutrašnje pakovanje je poliamid/PVC/aluminijumski blister sa 14 film tableta.</w:t>
      </w:r>
    </w:p>
    <w:p w14:paraId="481B9ACF" w14:textId="5E0378C0" w:rsidR="00864928" w:rsidRPr="00245459" w:rsidRDefault="00864928" w:rsidP="00F17597">
      <w:pPr>
        <w:jc w:val="both"/>
        <w:rPr>
          <w:sz w:val="22"/>
          <w:szCs w:val="22"/>
          <w:lang w:val="sr-Latn-ME"/>
        </w:rPr>
      </w:pPr>
      <w:r w:rsidRPr="00245459">
        <w:rPr>
          <w:sz w:val="22"/>
          <w:szCs w:val="22"/>
          <w:lang w:val="sr-Latn-ME"/>
        </w:rPr>
        <w:t>Spoljašnje pakovanje je složiva kartonska kutija u kojoj se nalaze 2 blistera sa po 14 film tableta (ukupno 28 film tableta) i Uputstvo za lijek.</w:t>
      </w:r>
    </w:p>
    <w:p w14:paraId="635FDE9F" w14:textId="77777777" w:rsidR="000D0C9F" w:rsidRPr="00245459" w:rsidRDefault="000D0C9F" w:rsidP="005342F3">
      <w:pPr>
        <w:tabs>
          <w:tab w:val="left" w:pos="540"/>
          <w:tab w:val="left" w:pos="569"/>
        </w:tabs>
        <w:jc w:val="both"/>
        <w:rPr>
          <w:bCs/>
          <w:sz w:val="22"/>
          <w:szCs w:val="22"/>
          <w:lang w:val="sr-Latn-ME"/>
        </w:rPr>
      </w:pPr>
    </w:p>
    <w:p w14:paraId="76F038DB" w14:textId="77777777" w:rsidR="002846DB"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6.6. </w:t>
      </w:r>
      <w:r w:rsidR="00480FB1" w:rsidRPr="00245459">
        <w:rPr>
          <w:b/>
          <w:bCs/>
          <w:sz w:val="22"/>
          <w:szCs w:val="22"/>
          <w:lang w:val="sr-Latn-ME"/>
        </w:rPr>
        <w:tab/>
      </w:r>
      <w:r w:rsidRPr="00245459">
        <w:rPr>
          <w:b/>
          <w:bCs/>
          <w:color w:val="000000"/>
          <w:sz w:val="22"/>
          <w:szCs w:val="22"/>
          <w:lang w:val="sr-Latn-ME"/>
        </w:rPr>
        <w:t>Posebne mjere opreza pri odlaganju materijala koji treba odbaciti nakon primjene lijeka</w:t>
      </w:r>
      <w:r w:rsidRPr="00245459">
        <w:rPr>
          <w:b/>
          <w:bCs/>
          <w:sz w:val="22"/>
          <w:szCs w:val="22"/>
          <w:lang w:val="sr-Latn-ME"/>
        </w:rPr>
        <w:t xml:space="preserve"> </w:t>
      </w:r>
      <w:r w:rsidR="00310F03" w:rsidRPr="00245459">
        <w:rPr>
          <w:b/>
          <w:bCs/>
          <w:sz w:val="22"/>
          <w:szCs w:val="22"/>
          <w:lang w:val="sr-Latn-ME"/>
        </w:rPr>
        <w:t>(i druga uputs</w:t>
      </w:r>
      <w:r w:rsidR="004109FA" w:rsidRPr="00245459">
        <w:rPr>
          <w:b/>
          <w:bCs/>
          <w:sz w:val="22"/>
          <w:szCs w:val="22"/>
          <w:lang w:val="sr-Latn-ME"/>
        </w:rPr>
        <w:t>t</w:t>
      </w:r>
      <w:r w:rsidR="00310F03" w:rsidRPr="00245459">
        <w:rPr>
          <w:b/>
          <w:bCs/>
          <w:sz w:val="22"/>
          <w:szCs w:val="22"/>
          <w:lang w:val="sr-Latn-ME"/>
        </w:rPr>
        <w:t xml:space="preserve">va za rukovanje lijekom) </w:t>
      </w:r>
    </w:p>
    <w:p w14:paraId="78C22197" w14:textId="77777777" w:rsidR="00B66A70" w:rsidRPr="00245459" w:rsidRDefault="00B66A70" w:rsidP="005342F3">
      <w:pPr>
        <w:tabs>
          <w:tab w:val="left" w:pos="540"/>
          <w:tab w:val="left" w:pos="569"/>
        </w:tabs>
        <w:jc w:val="both"/>
        <w:rPr>
          <w:b/>
          <w:bCs/>
          <w:sz w:val="22"/>
          <w:szCs w:val="22"/>
          <w:lang w:val="sr-Latn-ME"/>
        </w:rPr>
      </w:pPr>
    </w:p>
    <w:p w14:paraId="09CB5B13" w14:textId="25C2CA27" w:rsidR="000D0C9F" w:rsidRPr="00245459" w:rsidRDefault="000443EC" w:rsidP="005342F3">
      <w:pPr>
        <w:jc w:val="both"/>
        <w:rPr>
          <w:sz w:val="22"/>
          <w:szCs w:val="22"/>
          <w:lang w:val="sr-Latn-ME"/>
        </w:rPr>
      </w:pPr>
      <w:r w:rsidRPr="00245459">
        <w:rPr>
          <w:sz w:val="22"/>
          <w:szCs w:val="22"/>
          <w:lang w:val="sr-Latn-ME"/>
        </w:rPr>
        <w:t xml:space="preserve">Svu neiskorišćenu količinu lijeka </w:t>
      </w:r>
      <w:r w:rsidR="000D0C9F" w:rsidRPr="00245459">
        <w:rPr>
          <w:sz w:val="22"/>
          <w:szCs w:val="22"/>
          <w:lang w:val="sr-Latn-ME"/>
        </w:rPr>
        <w:t>i</w:t>
      </w:r>
      <w:r w:rsidRPr="00245459">
        <w:rPr>
          <w:sz w:val="22"/>
          <w:szCs w:val="22"/>
          <w:lang w:val="sr-Latn-ME"/>
        </w:rPr>
        <w:t>li</w:t>
      </w:r>
      <w:r w:rsidR="000D0C9F" w:rsidRPr="00245459">
        <w:rPr>
          <w:sz w:val="22"/>
          <w:szCs w:val="22"/>
          <w:lang w:val="sr-Latn-ME"/>
        </w:rPr>
        <w:t xml:space="preserve"> otpadnog materijala</w:t>
      </w:r>
      <w:r w:rsidRPr="00245459">
        <w:rPr>
          <w:sz w:val="22"/>
          <w:szCs w:val="22"/>
          <w:lang w:val="sr-Latn-ME"/>
        </w:rPr>
        <w:t xml:space="preserve"> nakon njegove upotrebe treba ukloniti,</w:t>
      </w:r>
      <w:r w:rsidR="000D0C9F" w:rsidRPr="00245459">
        <w:rPr>
          <w:sz w:val="22"/>
          <w:szCs w:val="22"/>
          <w:lang w:val="sr-Latn-ME"/>
        </w:rPr>
        <w:t xml:space="preserve"> </w:t>
      </w:r>
      <w:r w:rsidRPr="00245459">
        <w:rPr>
          <w:sz w:val="22"/>
          <w:szCs w:val="22"/>
          <w:lang w:val="sr-Latn-ME"/>
        </w:rPr>
        <w:t xml:space="preserve">u </w:t>
      </w:r>
      <w:r w:rsidR="000D0C9F" w:rsidRPr="00245459">
        <w:rPr>
          <w:sz w:val="22"/>
          <w:szCs w:val="22"/>
          <w:lang w:val="sr-Latn-ME"/>
        </w:rPr>
        <w:t xml:space="preserve">skladu sa </w:t>
      </w:r>
      <w:r w:rsidRPr="00245459">
        <w:rPr>
          <w:sz w:val="22"/>
          <w:szCs w:val="22"/>
          <w:lang w:val="sr-Latn-ME"/>
        </w:rPr>
        <w:t xml:space="preserve">važećim </w:t>
      </w:r>
      <w:r w:rsidR="000D0C9F" w:rsidRPr="00245459">
        <w:rPr>
          <w:sz w:val="22"/>
          <w:szCs w:val="22"/>
          <w:lang w:val="sr-Latn-ME"/>
        </w:rPr>
        <w:t>propisima.</w:t>
      </w:r>
    </w:p>
    <w:p w14:paraId="4A8F9DC2" w14:textId="19D6556A" w:rsidR="0072020E" w:rsidRDefault="0072020E" w:rsidP="005342F3">
      <w:pPr>
        <w:tabs>
          <w:tab w:val="left" w:pos="540"/>
          <w:tab w:val="left" w:pos="569"/>
        </w:tabs>
        <w:jc w:val="both"/>
        <w:rPr>
          <w:bCs/>
          <w:sz w:val="22"/>
          <w:szCs w:val="22"/>
          <w:lang w:val="sr-Latn-ME"/>
        </w:rPr>
      </w:pPr>
    </w:p>
    <w:p w14:paraId="4E977243" w14:textId="77777777" w:rsidR="00245459" w:rsidRPr="00245459" w:rsidRDefault="00245459" w:rsidP="005342F3">
      <w:pPr>
        <w:tabs>
          <w:tab w:val="left" w:pos="540"/>
          <w:tab w:val="left" w:pos="569"/>
        </w:tabs>
        <w:jc w:val="both"/>
        <w:rPr>
          <w:bCs/>
          <w:sz w:val="22"/>
          <w:szCs w:val="22"/>
          <w:lang w:val="sr-Latn-ME"/>
        </w:rPr>
      </w:pPr>
    </w:p>
    <w:p w14:paraId="6762F1F5" w14:textId="54714918" w:rsidR="00C61BE0" w:rsidRPr="00245459" w:rsidRDefault="0072020E" w:rsidP="005342F3">
      <w:pPr>
        <w:tabs>
          <w:tab w:val="left" w:pos="540"/>
          <w:tab w:val="left" w:pos="569"/>
        </w:tabs>
        <w:jc w:val="both"/>
        <w:rPr>
          <w:bCs/>
          <w:sz w:val="22"/>
          <w:szCs w:val="22"/>
          <w:lang w:val="sr-Latn-ME"/>
        </w:rPr>
      </w:pPr>
      <w:r w:rsidRPr="00245459">
        <w:rPr>
          <w:b/>
          <w:bCs/>
          <w:sz w:val="22"/>
          <w:szCs w:val="22"/>
          <w:lang w:val="sr-Latn-ME"/>
        </w:rPr>
        <w:t xml:space="preserve">7. </w:t>
      </w:r>
      <w:r w:rsidR="00480FB1" w:rsidRPr="00245459">
        <w:rPr>
          <w:b/>
          <w:bCs/>
          <w:sz w:val="22"/>
          <w:szCs w:val="22"/>
          <w:lang w:val="sr-Latn-ME"/>
        </w:rPr>
        <w:tab/>
      </w:r>
      <w:r w:rsidRPr="00245459">
        <w:rPr>
          <w:b/>
          <w:bCs/>
          <w:sz w:val="22"/>
          <w:szCs w:val="22"/>
          <w:lang w:val="sr-Latn-ME"/>
        </w:rPr>
        <w:t>NOSILAC DOZVOLE</w:t>
      </w:r>
      <w:r w:rsidR="00483928" w:rsidRPr="00245459">
        <w:rPr>
          <w:b/>
          <w:bCs/>
          <w:sz w:val="22"/>
          <w:szCs w:val="22"/>
          <w:lang w:val="sr-Latn-ME"/>
        </w:rPr>
        <w:t xml:space="preserve"> </w:t>
      </w:r>
    </w:p>
    <w:p w14:paraId="1F629468" w14:textId="77777777" w:rsidR="00864928" w:rsidRPr="00245459" w:rsidRDefault="00864928" w:rsidP="00864928">
      <w:pPr>
        <w:tabs>
          <w:tab w:val="left" w:pos="540"/>
          <w:tab w:val="left" w:pos="569"/>
        </w:tabs>
        <w:jc w:val="both"/>
        <w:rPr>
          <w:b/>
          <w:bCs/>
          <w:sz w:val="22"/>
          <w:szCs w:val="22"/>
          <w:lang w:val="sr-Latn-ME"/>
        </w:rPr>
      </w:pPr>
    </w:p>
    <w:p w14:paraId="23E42802" w14:textId="77777777" w:rsidR="00864928" w:rsidRPr="00245459" w:rsidRDefault="00864928" w:rsidP="00864928">
      <w:pPr>
        <w:rPr>
          <w:sz w:val="22"/>
          <w:szCs w:val="22"/>
          <w:lang w:val="sr-Latn-ME"/>
        </w:rPr>
      </w:pPr>
      <w:r w:rsidRPr="00245459">
        <w:rPr>
          <w:sz w:val="22"/>
          <w:szCs w:val="22"/>
          <w:lang w:val="sr-Latn-ME"/>
        </w:rPr>
        <w:t>Glosarij d.o.o.</w:t>
      </w:r>
    </w:p>
    <w:p w14:paraId="02DFA07C" w14:textId="77777777" w:rsidR="00864928" w:rsidRPr="00245459" w:rsidRDefault="00864928" w:rsidP="00864928">
      <w:pPr>
        <w:rPr>
          <w:sz w:val="22"/>
          <w:szCs w:val="22"/>
          <w:lang w:val="sr-Latn-ME"/>
        </w:rPr>
      </w:pPr>
      <w:r w:rsidRPr="00245459">
        <w:rPr>
          <w:sz w:val="22"/>
          <w:szCs w:val="22"/>
          <w:lang w:val="sr-Latn-ME"/>
        </w:rPr>
        <w:t>Vojislavljevića 76, Podgorica, Crna Gora</w:t>
      </w:r>
    </w:p>
    <w:p w14:paraId="7BFF6E60" w14:textId="77777777" w:rsidR="00864928" w:rsidRPr="00245459" w:rsidRDefault="00864928" w:rsidP="005342F3">
      <w:pPr>
        <w:tabs>
          <w:tab w:val="left" w:pos="540"/>
          <w:tab w:val="left" w:pos="569"/>
        </w:tabs>
        <w:jc w:val="both"/>
        <w:rPr>
          <w:bCs/>
          <w:sz w:val="22"/>
          <w:szCs w:val="22"/>
          <w:lang w:val="sr-Latn-ME"/>
        </w:rPr>
      </w:pPr>
    </w:p>
    <w:p w14:paraId="59E932F9" w14:textId="77777777" w:rsidR="00C37FD7" w:rsidRPr="00245459" w:rsidRDefault="00C37FD7" w:rsidP="005342F3">
      <w:pPr>
        <w:tabs>
          <w:tab w:val="left" w:pos="540"/>
          <w:tab w:val="left" w:pos="569"/>
        </w:tabs>
        <w:jc w:val="both"/>
        <w:rPr>
          <w:bCs/>
          <w:sz w:val="22"/>
          <w:szCs w:val="22"/>
          <w:lang w:val="sr-Latn-ME"/>
        </w:rPr>
      </w:pPr>
    </w:p>
    <w:p w14:paraId="62556BAC" w14:textId="77777777" w:rsidR="0072020E" w:rsidRPr="00245459" w:rsidRDefault="0072020E" w:rsidP="005342F3">
      <w:pPr>
        <w:tabs>
          <w:tab w:val="left" w:pos="540"/>
          <w:tab w:val="left" w:pos="569"/>
        </w:tabs>
        <w:jc w:val="both"/>
        <w:rPr>
          <w:b/>
          <w:bCs/>
          <w:sz w:val="22"/>
          <w:szCs w:val="22"/>
          <w:lang w:val="sr-Latn-ME"/>
        </w:rPr>
      </w:pPr>
      <w:r w:rsidRPr="00245459">
        <w:rPr>
          <w:b/>
          <w:bCs/>
          <w:sz w:val="22"/>
          <w:szCs w:val="22"/>
          <w:lang w:val="sr-Latn-ME"/>
        </w:rPr>
        <w:t xml:space="preserve">8. </w:t>
      </w:r>
      <w:r w:rsidR="00480FB1" w:rsidRPr="00245459">
        <w:rPr>
          <w:b/>
          <w:bCs/>
          <w:sz w:val="22"/>
          <w:szCs w:val="22"/>
          <w:lang w:val="sr-Latn-ME"/>
        </w:rPr>
        <w:tab/>
      </w:r>
      <w:r w:rsidRPr="00245459">
        <w:rPr>
          <w:b/>
          <w:bCs/>
          <w:sz w:val="22"/>
          <w:szCs w:val="22"/>
          <w:lang w:val="sr-Latn-ME"/>
        </w:rPr>
        <w:t>BROJ DOZVOLE</w:t>
      </w:r>
      <w:r w:rsidR="008A6D43" w:rsidRPr="00245459">
        <w:rPr>
          <w:b/>
          <w:bCs/>
          <w:sz w:val="22"/>
          <w:szCs w:val="22"/>
          <w:lang w:val="sr-Latn-ME"/>
        </w:rPr>
        <w:t xml:space="preserve"> ZA STAVLJANJE LIJEKA U PROMET</w:t>
      </w:r>
    </w:p>
    <w:p w14:paraId="47428353" w14:textId="77777777" w:rsidR="00550D64" w:rsidRPr="00245459" w:rsidRDefault="00550D64" w:rsidP="005342F3">
      <w:pPr>
        <w:tabs>
          <w:tab w:val="left" w:pos="540"/>
          <w:tab w:val="left" w:pos="569"/>
        </w:tabs>
        <w:jc w:val="both"/>
        <w:rPr>
          <w:bCs/>
          <w:sz w:val="22"/>
          <w:szCs w:val="22"/>
          <w:lang w:val="sr-Latn-ME"/>
        </w:rPr>
      </w:pPr>
    </w:p>
    <w:p w14:paraId="14ECDF8A" w14:textId="61305D78" w:rsidR="00864928" w:rsidRPr="00245459" w:rsidRDefault="005052F7" w:rsidP="005342F3">
      <w:pPr>
        <w:tabs>
          <w:tab w:val="left" w:pos="540"/>
          <w:tab w:val="left" w:pos="569"/>
        </w:tabs>
        <w:jc w:val="both"/>
        <w:rPr>
          <w:sz w:val="22"/>
          <w:szCs w:val="22"/>
          <w:lang w:val="sr-Latn-ME"/>
        </w:rPr>
      </w:pPr>
      <w:r w:rsidRPr="00245459">
        <w:rPr>
          <w:sz w:val="22"/>
          <w:szCs w:val="22"/>
          <w:lang w:val="sr-Latn-ME"/>
        </w:rPr>
        <w:t>2030/23/2707 - 6659</w:t>
      </w:r>
    </w:p>
    <w:p w14:paraId="34D488A6" w14:textId="77777777" w:rsidR="000D0C9F" w:rsidRPr="00245459" w:rsidRDefault="000D0C9F" w:rsidP="005342F3">
      <w:pPr>
        <w:tabs>
          <w:tab w:val="left" w:pos="540"/>
          <w:tab w:val="left" w:pos="569"/>
        </w:tabs>
        <w:jc w:val="both"/>
        <w:rPr>
          <w:bCs/>
          <w:sz w:val="22"/>
          <w:szCs w:val="22"/>
          <w:lang w:val="sr-Latn-ME"/>
        </w:rPr>
      </w:pPr>
    </w:p>
    <w:p w14:paraId="3CA7C107" w14:textId="3924A851" w:rsidR="00550D64" w:rsidRPr="00245459" w:rsidRDefault="0072020E" w:rsidP="005342F3">
      <w:pPr>
        <w:tabs>
          <w:tab w:val="left" w:pos="540"/>
          <w:tab w:val="left" w:pos="569"/>
        </w:tabs>
        <w:jc w:val="both"/>
        <w:rPr>
          <w:bCs/>
          <w:sz w:val="22"/>
          <w:szCs w:val="22"/>
          <w:lang w:val="sr-Latn-ME"/>
        </w:rPr>
      </w:pPr>
      <w:r w:rsidRPr="00245459">
        <w:rPr>
          <w:b/>
          <w:bCs/>
          <w:sz w:val="22"/>
          <w:szCs w:val="22"/>
          <w:lang w:val="sr-Latn-ME"/>
        </w:rPr>
        <w:t xml:space="preserve">9. </w:t>
      </w:r>
      <w:r w:rsidR="00480FB1" w:rsidRPr="00245459">
        <w:rPr>
          <w:b/>
          <w:bCs/>
          <w:sz w:val="22"/>
          <w:szCs w:val="22"/>
          <w:lang w:val="sr-Latn-ME"/>
        </w:rPr>
        <w:tab/>
      </w:r>
      <w:r w:rsidRPr="00245459">
        <w:rPr>
          <w:b/>
          <w:bCs/>
          <w:sz w:val="22"/>
          <w:szCs w:val="22"/>
          <w:lang w:val="sr-Latn-ME"/>
        </w:rPr>
        <w:t xml:space="preserve">DATUM </w:t>
      </w:r>
      <w:r w:rsidR="00C05DF8" w:rsidRPr="00245459">
        <w:rPr>
          <w:b/>
          <w:bCs/>
          <w:sz w:val="22"/>
          <w:szCs w:val="22"/>
          <w:lang w:val="sr-Latn-ME"/>
        </w:rPr>
        <w:t xml:space="preserve">PRVE </w:t>
      </w:r>
      <w:r w:rsidR="008A6D43" w:rsidRPr="00245459">
        <w:rPr>
          <w:b/>
          <w:bCs/>
          <w:sz w:val="22"/>
          <w:szCs w:val="22"/>
          <w:lang w:val="sr-Latn-ME"/>
        </w:rPr>
        <w:t>DOZVOLE</w:t>
      </w:r>
      <w:r w:rsidR="00C05DF8" w:rsidRPr="00245459">
        <w:rPr>
          <w:b/>
          <w:bCs/>
          <w:sz w:val="22"/>
          <w:szCs w:val="22"/>
          <w:lang w:val="sr-Latn-ME"/>
        </w:rPr>
        <w:t>/OBNOVE DOZVOLE</w:t>
      </w:r>
      <w:r w:rsidR="008A6D43" w:rsidRPr="00245459">
        <w:rPr>
          <w:b/>
          <w:bCs/>
          <w:sz w:val="22"/>
          <w:szCs w:val="22"/>
          <w:lang w:val="sr-Latn-ME"/>
        </w:rPr>
        <w:t xml:space="preserve"> ZA STAVLJANJE LIJEKA U PROMET</w:t>
      </w:r>
    </w:p>
    <w:p w14:paraId="38CD2FC1" w14:textId="52B4587D" w:rsidR="00550D64" w:rsidRPr="00245459" w:rsidRDefault="00550D64" w:rsidP="005342F3">
      <w:pPr>
        <w:tabs>
          <w:tab w:val="left" w:pos="540"/>
          <w:tab w:val="left" w:pos="569"/>
        </w:tabs>
        <w:jc w:val="both"/>
        <w:rPr>
          <w:b/>
          <w:bCs/>
          <w:sz w:val="22"/>
          <w:szCs w:val="22"/>
          <w:lang w:val="sr-Latn-ME"/>
        </w:rPr>
      </w:pPr>
    </w:p>
    <w:p w14:paraId="1585C174" w14:textId="5BC38B94" w:rsidR="00550D64" w:rsidRPr="00245459" w:rsidRDefault="00550D64" w:rsidP="005342F3">
      <w:pPr>
        <w:tabs>
          <w:tab w:val="left" w:pos="540"/>
          <w:tab w:val="left" w:pos="569"/>
        </w:tabs>
        <w:jc w:val="both"/>
        <w:rPr>
          <w:bCs/>
          <w:sz w:val="22"/>
          <w:szCs w:val="22"/>
          <w:lang w:val="sr-Latn-ME"/>
        </w:rPr>
      </w:pPr>
      <w:r w:rsidRPr="00245459">
        <w:rPr>
          <w:bCs/>
          <w:sz w:val="22"/>
          <w:szCs w:val="22"/>
          <w:lang w:val="sr-Latn-ME"/>
        </w:rPr>
        <w:t>Datum prve dozvole:</w:t>
      </w:r>
      <w:r w:rsidR="000443EC" w:rsidRPr="00245459">
        <w:rPr>
          <w:bCs/>
          <w:sz w:val="22"/>
          <w:szCs w:val="22"/>
          <w:lang w:val="sr-Latn-ME"/>
        </w:rPr>
        <w:t xml:space="preserve"> 15.06.2011.</w:t>
      </w:r>
    </w:p>
    <w:p w14:paraId="07778408" w14:textId="6865E3E0" w:rsidR="00550D64" w:rsidRPr="00245459" w:rsidRDefault="00550D64" w:rsidP="005342F3">
      <w:pPr>
        <w:tabs>
          <w:tab w:val="left" w:pos="540"/>
          <w:tab w:val="left" w:pos="569"/>
        </w:tabs>
        <w:jc w:val="both"/>
        <w:rPr>
          <w:bCs/>
          <w:sz w:val="22"/>
          <w:szCs w:val="22"/>
          <w:lang w:val="sr-Latn-ME"/>
        </w:rPr>
      </w:pPr>
      <w:r w:rsidRPr="00245459">
        <w:rPr>
          <w:bCs/>
          <w:sz w:val="22"/>
          <w:szCs w:val="22"/>
          <w:lang w:val="sr-Latn-ME"/>
        </w:rPr>
        <w:t>Datum poslednje obnove dozvole:</w:t>
      </w:r>
      <w:r w:rsidR="005052F7" w:rsidRPr="00245459">
        <w:rPr>
          <w:bCs/>
          <w:sz w:val="22"/>
          <w:szCs w:val="22"/>
          <w:lang w:val="sr-Latn-ME"/>
        </w:rPr>
        <w:t xml:space="preserve"> 20.07.2023. godine</w:t>
      </w:r>
    </w:p>
    <w:p w14:paraId="03F37D5F" w14:textId="77777777" w:rsidR="00550D64" w:rsidRPr="00245459" w:rsidRDefault="00550D64" w:rsidP="005342F3">
      <w:pPr>
        <w:tabs>
          <w:tab w:val="left" w:pos="540"/>
          <w:tab w:val="left" w:pos="569"/>
        </w:tabs>
        <w:jc w:val="both"/>
        <w:rPr>
          <w:bCs/>
          <w:sz w:val="22"/>
          <w:szCs w:val="22"/>
          <w:lang w:val="sr-Latn-ME"/>
        </w:rPr>
      </w:pPr>
    </w:p>
    <w:p w14:paraId="5EC4D665" w14:textId="77777777" w:rsidR="000D0C9F" w:rsidRPr="00245459" w:rsidRDefault="000D0C9F" w:rsidP="005342F3">
      <w:pPr>
        <w:tabs>
          <w:tab w:val="left" w:pos="540"/>
          <w:tab w:val="left" w:pos="569"/>
        </w:tabs>
        <w:jc w:val="both"/>
        <w:rPr>
          <w:bCs/>
          <w:sz w:val="22"/>
          <w:szCs w:val="22"/>
          <w:lang w:val="sr-Latn-ME"/>
        </w:rPr>
      </w:pPr>
    </w:p>
    <w:p w14:paraId="35E2F009" w14:textId="6F7BAB36" w:rsidR="003F6A59" w:rsidRDefault="0072020E" w:rsidP="005342F3">
      <w:pPr>
        <w:tabs>
          <w:tab w:val="left" w:pos="540"/>
          <w:tab w:val="left" w:pos="569"/>
        </w:tabs>
        <w:ind w:left="540" w:hanging="540"/>
        <w:jc w:val="both"/>
        <w:rPr>
          <w:b/>
          <w:bCs/>
          <w:sz w:val="22"/>
          <w:szCs w:val="22"/>
          <w:lang w:val="sr-Latn-ME"/>
        </w:rPr>
      </w:pPr>
      <w:r w:rsidRPr="00245459">
        <w:rPr>
          <w:b/>
          <w:bCs/>
          <w:sz w:val="22"/>
          <w:szCs w:val="22"/>
          <w:lang w:val="sr-Latn-ME"/>
        </w:rPr>
        <w:t xml:space="preserve">10. </w:t>
      </w:r>
      <w:r w:rsidR="00480FB1" w:rsidRPr="00245459">
        <w:rPr>
          <w:b/>
          <w:bCs/>
          <w:sz w:val="22"/>
          <w:szCs w:val="22"/>
          <w:lang w:val="sr-Latn-ME"/>
        </w:rPr>
        <w:tab/>
      </w:r>
      <w:r w:rsidR="002846DB" w:rsidRPr="00245459">
        <w:rPr>
          <w:b/>
          <w:bCs/>
          <w:sz w:val="22"/>
          <w:szCs w:val="22"/>
          <w:lang w:val="sr-Latn-ME"/>
        </w:rPr>
        <w:t>D</w:t>
      </w:r>
      <w:r w:rsidR="00EC2532" w:rsidRPr="00245459">
        <w:rPr>
          <w:b/>
          <w:bCs/>
          <w:sz w:val="22"/>
          <w:szCs w:val="22"/>
          <w:lang w:val="sr-Latn-ME"/>
        </w:rPr>
        <w:t xml:space="preserve">ATUM REVIZIJE TEKSTA </w:t>
      </w:r>
    </w:p>
    <w:p w14:paraId="76642DD3" w14:textId="4B8B869A" w:rsidR="00245459" w:rsidRDefault="00245459" w:rsidP="005342F3">
      <w:pPr>
        <w:tabs>
          <w:tab w:val="left" w:pos="540"/>
          <w:tab w:val="left" w:pos="569"/>
        </w:tabs>
        <w:ind w:left="540" w:hanging="540"/>
        <w:jc w:val="both"/>
        <w:rPr>
          <w:b/>
          <w:bCs/>
          <w:sz w:val="22"/>
          <w:szCs w:val="22"/>
          <w:lang w:val="sr-Latn-ME"/>
        </w:rPr>
      </w:pPr>
    </w:p>
    <w:p w14:paraId="42B78E26" w14:textId="4CC49CB3" w:rsidR="00245459" w:rsidRPr="00245459" w:rsidRDefault="00245459" w:rsidP="005342F3">
      <w:pPr>
        <w:tabs>
          <w:tab w:val="left" w:pos="540"/>
          <w:tab w:val="left" w:pos="569"/>
        </w:tabs>
        <w:ind w:left="540" w:hanging="540"/>
        <w:jc w:val="both"/>
        <w:rPr>
          <w:bCs/>
          <w:sz w:val="22"/>
          <w:szCs w:val="22"/>
          <w:lang w:val="sr-Latn-ME"/>
        </w:rPr>
      </w:pPr>
      <w:r w:rsidRPr="00956DB3">
        <w:rPr>
          <w:bCs/>
          <w:sz w:val="22"/>
          <w:szCs w:val="22"/>
          <w:lang w:val="sr-Latn-ME"/>
        </w:rPr>
        <w:t>Oktobar, 2024. godine</w:t>
      </w:r>
    </w:p>
    <w:p w14:paraId="4410D5B5" w14:textId="77777777" w:rsidR="00F17597" w:rsidRPr="00245459" w:rsidRDefault="00F17597" w:rsidP="005342F3">
      <w:pPr>
        <w:tabs>
          <w:tab w:val="left" w:pos="540"/>
          <w:tab w:val="left" w:pos="569"/>
        </w:tabs>
        <w:jc w:val="both"/>
        <w:rPr>
          <w:bCs/>
          <w:sz w:val="22"/>
          <w:szCs w:val="22"/>
          <w:lang w:val="sr-Latn-ME"/>
        </w:rPr>
      </w:pPr>
    </w:p>
    <w:p w14:paraId="2A2E56E4" w14:textId="77777777" w:rsidR="000D0C9F" w:rsidRPr="00245459" w:rsidRDefault="000D0C9F" w:rsidP="005342F3">
      <w:pPr>
        <w:tabs>
          <w:tab w:val="left" w:pos="540"/>
          <w:tab w:val="left" w:pos="569"/>
        </w:tabs>
        <w:jc w:val="both"/>
        <w:rPr>
          <w:bCs/>
          <w:sz w:val="22"/>
          <w:szCs w:val="22"/>
          <w:lang w:val="sr-Latn-ME"/>
        </w:rPr>
      </w:pPr>
    </w:p>
    <w:p w14:paraId="43323E32" w14:textId="702EDB0A" w:rsidR="003F6A59" w:rsidRPr="00245459" w:rsidRDefault="003F6A59" w:rsidP="005342F3">
      <w:pPr>
        <w:jc w:val="both"/>
        <w:rPr>
          <w:sz w:val="22"/>
          <w:szCs w:val="22"/>
          <w:lang w:val="sr-Latn-ME"/>
        </w:rPr>
      </w:pPr>
    </w:p>
    <w:sectPr w:rsidR="003F6A59" w:rsidRPr="00245459" w:rsidSect="00EF3B86">
      <w:footerReference w:type="default" r:id="rId13"/>
      <w:pgSz w:w="11909" w:h="16834" w:code="9"/>
      <w:pgMar w:top="1140" w:right="1412" w:bottom="1140" w:left="1412"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27ABE" w16cex:dateUtc="2024-05-09T12:49:00Z"/>
  <w16cex:commentExtensible w16cex:durableId="33A5D32E" w16cex:dateUtc="2024-05-09T12:48:00Z"/>
  <w16cex:commentExtensible w16cex:durableId="36074E29" w16cex:dateUtc="2024-05-09T12:51:00Z"/>
  <w16cex:commentExtensible w16cex:durableId="1BBA371D" w16cex:dateUtc="2024-05-09T12:45:00Z"/>
  <w16cex:commentExtensible w16cex:durableId="35F53D0F" w16cex:dateUtc="2024-05-0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63333" w16cid:durableId="5A127ABE"/>
  <w16cid:commentId w16cid:paraId="21EFFAD3" w16cid:durableId="33A5D32E"/>
  <w16cid:commentId w16cid:paraId="0F707BEE" w16cid:durableId="36074E29"/>
  <w16cid:commentId w16cid:paraId="7B6D24E9" w16cid:durableId="1BBA371D"/>
  <w16cid:commentId w16cid:paraId="754EB22F" w16cid:durableId="35F53D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F65D4" w14:textId="77777777" w:rsidR="00971D92" w:rsidRDefault="00971D92">
      <w:r>
        <w:separator/>
      </w:r>
    </w:p>
  </w:endnote>
  <w:endnote w:type="continuationSeparator" w:id="0">
    <w:p w14:paraId="6B8FFD07" w14:textId="77777777" w:rsidR="00971D92" w:rsidRDefault="009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9D85" w14:textId="0015EED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56DB3">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56DB3">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FD0A" w14:textId="77777777" w:rsidR="00971D92" w:rsidRDefault="00971D92">
      <w:r>
        <w:separator/>
      </w:r>
    </w:p>
  </w:footnote>
  <w:footnote w:type="continuationSeparator" w:id="0">
    <w:p w14:paraId="7418DCF6" w14:textId="77777777" w:rsidR="00971D92" w:rsidRDefault="0097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5pt;height:1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013A21"/>
    <w:multiLevelType w:val="hybridMultilevel"/>
    <w:tmpl w:val="52C0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3AB"/>
    <w:rsid w:val="00015DDC"/>
    <w:rsid w:val="00015E32"/>
    <w:rsid w:val="000176CA"/>
    <w:rsid w:val="00036FA0"/>
    <w:rsid w:val="0003793F"/>
    <w:rsid w:val="000443EC"/>
    <w:rsid w:val="00057E35"/>
    <w:rsid w:val="00062862"/>
    <w:rsid w:val="00076726"/>
    <w:rsid w:val="00080303"/>
    <w:rsid w:val="000A3F58"/>
    <w:rsid w:val="000C17AE"/>
    <w:rsid w:val="000D0C9F"/>
    <w:rsid w:val="000D2343"/>
    <w:rsid w:val="000D3449"/>
    <w:rsid w:val="000D425A"/>
    <w:rsid w:val="000D60CC"/>
    <w:rsid w:val="000E2084"/>
    <w:rsid w:val="000E6F55"/>
    <w:rsid w:val="000F7173"/>
    <w:rsid w:val="000F77FA"/>
    <w:rsid w:val="00107BF7"/>
    <w:rsid w:val="00122CBE"/>
    <w:rsid w:val="00126F53"/>
    <w:rsid w:val="00135EBD"/>
    <w:rsid w:val="00141142"/>
    <w:rsid w:val="00143F30"/>
    <w:rsid w:val="0014766D"/>
    <w:rsid w:val="001536CC"/>
    <w:rsid w:val="00156870"/>
    <w:rsid w:val="001A3FBA"/>
    <w:rsid w:val="001A5518"/>
    <w:rsid w:val="001B161A"/>
    <w:rsid w:val="001B1C6A"/>
    <w:rsid w:val="001C1263"/>
    <w:rsid w:val="001C1417"/>
    <w:rsid w:val="001E390B"/>
    <w:rsid w:val="001F42FB"/>
    <w:rsid w:val="001F719A"/>
    <w:rsid w:val="002031B3"/>
    <w:rsid w:val="00215931"/>
    <w:rsid w:val="00227BDB"/>
    <w:rsid w:val="00234CB1"/>
    <w:rsid w:val="002352F8"/>
    <w:rsid w:val="00245459"/>
    <w:rsid w:val="002510A5"/>
    <w:rsid w:val="00254A0A"/>
    <w:rsid w:val="00266046"/>
    <w:rsid w:val="002846DB"/>
    <w:rsid w:val="00284CCD"/>
    <w:rsid w:val="00287692"/>
    <w:rsid w:val="002B4749"/>
    <w:rsid w:val="002C5FFF"/>
    <w:rsid w:val="002C6637"/>
    <w:rsid w:val="002D5EA7"/>
    <w:rsid w:val="002E0135"/>
    <w:rsid w:val="002E37A5"/>
    <w:rsid w:val="003000AD"/>
    <w:rsid w:val="00310F03"/>
    <w:rsid w:val="003247D2"/>
    <w:rsid w:val="00333550"/>
    <w:rsid w:val="003445C1"/>
    <w:rsid w:val="00355B61"/>
    <w:rsid w:val="0036081D"/>
    <w:rsid w:val="00362686"/>
    <w:rsid w:val="00371510"/>
    <w:rsid w:val="00383C3D"/>
    <w:rsid w:val="00396DFD"/>
    <w:rsid w:val="0039767B"/>
    <w:rsid w:val="003A7059"/>
    <w:rsid w:val="003B7A36"/>
    <w:rsid w:val="003C17AB"/>
    <w:rsid w:val="003C25E2"/>
    <w:rsid w:val="003C7823"/>
    <w:rsid w:val="003D0F7B"/>
    <w:rsid w:val="003E1DCC"/>
    <w:rsid w:val="003F1432"/>
    <w:rsid w:val="003F6A59"/>
    <w:rsid w:val="0040261E"/>
    <w:rsid w:val="004065C8"/>
    <w:rsid w:val="004109FA"/>
    <w:rsid w:val="00411B4B"/>
    <w:rsid w:val="00414737"/>
    <w:rsid w:val="00415BEE"/>
    <w:rsid w:val="00421935"/>
    <w:rsid w:val="00427F85"/>
    <w:rsid w:val="00436F42"/>
    <w:rsid w:val="004373AD"/>
    <w:rsid w:val="004378B4"/>
    <w:rsid w:val="00444990"/>
    <w:rsid w:val="00450446"/>
    <w:rsid w:val="004508E2"/>
    <w:rsid w:val="00451314"/>
    <w:rsid w:val="00452E9D"/>
    <w:rsid w:val="004534C7"/>
    <w:rsid w:val="0045615F"/>
    <w:rsid w:val="004671AA"/>
    <w:rsid w:val="00480FB1"/>
    <w:rsid w:val="00483928"/>
    <w:rsid w:val="004A2DCC"/>
    <w:rsid w:val="004B224C"/>
    <w:rsid w:val="004C44B5"/>
    <w:rsid w:val="004D29B0"/>
    <w:rsid w:val="004D6103"/>
    <w:rsid w:val="004E3BCE"/>
    <w:rsid w:val="004F0E97"/>
    <w:rsid w:val="004F6AF6"/>
    <w:rsid w:val="00501DD1"/>
    <w:rsid w:val="005052F7"/>
    <w:rsid w:val="00515C21"/>
    <w:rsid w:val="00530BD7"/>
    <w:rsid w:val="005342F3"/>
    <w:rsid w:val="00545CD2"/>
    <w:rsid w:val="005476F3"/>
    <w:rsid w:val="00550D64"/>
    <w:rsid w:val="00563BF0"/>
    <w:rsid w:val="00572527"/>
    <w:rsid w:val="00573E40"/>
    <w:rsid w:val="00576348"/>
    <w:rsid w:val="00577FC6"/>
    <w:rsid w:val="0059601C"/>
    <w:rsid w:val="005A0B2E"/>
    <w:rsid w:val="005A23D2"/>
    <w:rsid w:val="005A36CB"/>
    <w:rsid w:val="005B49B8"/>
    <w:rsid w:val="005C0741"/>
    <w:rsid w:val="005C5EF4"/>
    <w:rsid w:val="005E2E0B"/>
    <w:rsid w:val="005E7A7D"/>
    <w:rsid w:val="00602457"/>
    <w:rsid w:val="00616469"/>
    <w:rsid w:val="00617A9C"/>
    <w:rsid w:val="006239EB"/>
    <w:rsid w:val="00646BD1"/>
    <w:rsid w:val="006540F4"/>
    <w:rsid w:val="00654CB6"/>
    <w:rsid w:val="006561C2"/>
    <w:rsid w:val="00671CB3"/>
    <w:rsid w:val="00674BAF"/>
    <w:rsid w:val="00682200"/>
    <w:rsid w:val="00692BF6"/>
    <w:rsid w:val="0069454E"/>
    <w:rsid w:val="006A1497"/>
    <w:rsid w:val="006B0BD1"/>
    <w:rsid w:val="006D20A5"/>
    <w:rsid w:val="006D37BF"/>
    <w:rsid w:val="006F0D17"/>
    <w:rsid w:val="00702E22"/>
    <w:rsid w:val="00703094"/>
    <w:rsid w:val="00716424"/>
    <w:rsid w:val="0072020E"/>
    <w:rsid w:val="007223CF"/>
    <w:rsid w:val="00742F30"/>
    <w:rsid w:val="00757BAC"/>
    <w:rsid w:val="00783B55"/>
    <w:rsid w:val="00786071"/>
    <w:rsid w:val="007876A9"/>
    <w:rsid w:val="007976BD"/>
    <w:rsid w:val="007A3ECB"/>
    <w:rsid w:val="007B3448"/>
    <w:rsid w:val="007B5670"/>
    <w:rsid w:val="007C322C"/>
    <w:rsid w:val="007C67A5"/>
    <w:rsid w:val="00824AB9"/>
    <w:rsid w:val="00836B35"/>
    <w:rsid w:val="00843BDE"/>
    <w:rsid w:val="00864928"/>
    <w:rsid w:val="00876776"/>
    <w:rsid w:val="0089705C"/>
    <w:rsid w:val="008A6D43"/>
    <w:rsid w:val="008B491E"/>
    <w:rsid w:val="008C1A28"/>
    <w:rsid w:val="008C2E98"/>
    <w:rsid w:val="008E49BD"/>
    <w:rsid w:val="008E53E9"/>
    <w:rsid w:val="008E5771"/>
    <w:rsid w:val="008F4ACF"/>
    <w:rsid w:val="00902B21"/>
    <w:rsid w:val="00912CC5"/>
    <w:rsid w:val="009264CE"/>
    <w:rsid w:val="00936262"/>
    <w:rsid w:val="00940B9B"/>
    <w:rsid w:val="0094589D"/>
    <w:rsid w:val="0095676E"/>
    <w:rsid w:val="00956983"/>
    <w:rsid w:val="00956DB3"/>
    <w:rsid w:val="00963CF0"/>
    <w:rsid w:val="00964BB1"/>
    <w:rsid w:val="00970C9D"/>
    <w:rsid w:val="00971D92"/>
    <w:rsid w:val="009775D9"/>
    <w:rsid w:val="00997175"/>
    <w:rsid w:val="009A1847"/>
    <w:rsid w:val="009B062A"/>
    <w:rsid w:val="009C3113"/>
    <w:rsid w:val="009E0BB6"/>
    <w:rsid w:val="009E7C6F"/>
    <w:rsid w:val="009F1793"/>
    <w:rsid w:val="009F2D23"/>
    <w:rsid w:val="00A01D69"/>
    <w:rsid w:val="00A02335"/>
    <w:rsid w:val="00A123F1"/>
    <w:rsid w:val="00A1302F"/>
    <w:rsid w:val="00A25B24"/>
    <w:rsid w:val="00A31F97"/>
    <w:rsid w:val="00A40093"/>
    <w:rsid w:val="00A41A63"/>
    <w:rsid w:val="00A46C9A"/>
    <w:rsid w:val="00A619F3"/>
    <w:rsid w:val="00A62A73"/>
    <w:rsid w:val="00A65FA7"/>
    <w:rsid w:val="00A85090"/>
    <w:rsid w:val="00A87FF6"/>
    <w:rsid w:val="00A92A9F"/>
    <w:rsid w:val="00AA0A3B"/>
    <w:rsid w:val="00AA2763"/>
    <w:rsid w:val="00AA33B6"/>
    <w:rsid w:val="00AB50CA"/>
    <w:rsid w:val="00AB6D64"/>
    <w:rsid w:val="00AC53CE"/>
    <w:rsid w:val="00AD2193"/>
    <w:rsid w:val="00AF2AC7"/>
    <w:rsid w:val="00AF74CE"/>
    <w:rsid w:val="00B0566F"/>
    <w:rsid w:val="00B17077"/>
    <w:rsid w:val="00B208DB"/>
    <w:rsid w:val="00B23F69"/>
    <w:rsid w:val="00B60619"/>
    <w:rsid w:val="00B66A70"/>
    <w:rsid w:val="00B67366"/>
    <w:rsid w:val="00B80EE1"/>
    <w:rsid w:val="00B84135"/>
    <w:rsid w:val="00B84ADF"/>
    <w:rsid w:val="00B9097B"/>
    <w:rsid w:val="00B97772"/>
    <w:rsid w:val="00BF76CD"/>
    <w:rsid w:val="00C04D34"/>
    <w:rsid w:val="00C05DF8"/>
    <w:rsid w:val="00C06864"/>
    <w:rsid w:val="00C10F54"/>
    <w:rsid w:val="00C14086"/>
    <w:rsid w:val="00C23D8D"/>
    <w:rsid w:val="00C37AA3"/>
    <w:rsid w:val="00C37FD7"/>
    <w:rsid w:val="00C43419"/>
    <w:rsid w:val="00C44CF3"/>
    <w:rsid w:val="00C613C8"/>
    <w:rsid w:val="00C61BE0"/>
    <w:rsid w:val="00C627B9"/>
    <w:rsid w:val="00C70B0E"/>
    <w:rsid w:val="00C773CA"/>
    <w:rsid w:val="00C83785"/>
    <w:rsid w:val="00C94C0D"/>
    <w:rsid w:val="00CA1FEB"/>
    <w:rsid w:val="00CA7E0D"/>
    <w:rsid w:val="00CD4F85"/>
    <w:rsid w:val="00CD6F02"/>
    <w:rsid w:val="00CE246D"/>
    <w:rsid w:val="00CF07A0"/>
    <w:rsid w:val="00CF3E03"/>
    <w:rsid w:val="00D0082A"/>
    <w:rsid w:val="00D043EC"/>
    <w:rsid w:val="00D21455"/>
    <w:rsid w:val="00D47634"/>
    <w:rsid w:val="00D613BC"/>
    <w:rsid w:val="00D709B3"/>
    <w:rsid w:val="00D8065D"/>
    <w:rsid w:val="00D82A76"/>
    <w:rsid w:val="00D90C0D"/>
    <w:rsid w:val="00D930A1"/>
    <w:rsid w:val="00D95D85"/>
    <w:rsid w:val="00DA2ED6"/>
    <w:rsid w:val="00DB76B8"/>
    <w:rsid w:val="00DC2EA1"/>
    <w:rsid w:val="00DC7B1F"/>
    <w:rsid w:val="00DD6AAF"/>
    <w:rsid w:val="00DE3F5C"/>
    <w:rsid w:val="00DF1D20"/>
    <w:rsid w:val="00E01200"/>
    <w:rsid w:val="00E21324"/>
    <w:rsid w:val="00E23E8E"/>
    <w:rsid w:val="00E246B9"/>
    <w:rsid w:val="00E31FEA"/>
    <w:rsid w:val="00E43E19"/>
    <w:rsid w:val="00E45169"/>
    <w:rsid w:val="00E47787"/>
    <w:rsid w:val="00E51C30"/>
    <w:rsid w:val="00E64180"/>
    <w:rsid w:val="00E74AEE"/>
    <w:rsid w:val="00E81540"/>
    <w:rsid w:val="00E822E9"/>
    <w:rsid w:val="00E868E5"/>
    <w:rsid w:val="00E9237A"/>
    <w:rsid w:val="00E939FA"/>
    <w:rsid w:val="00EA5765"/>
    <w:rsid w:val="00EC2532"/>
    <w:rsid w:val="00ED7812"/>
    <w:rsid w:val="00EF3B86"/>
    <w:rsid w:val="00EF5165"/>
    <w:rsid w:val="00F0222A"/>
    <w:rsid w:val="00F17597"/>
    <w:rsid w:val="00F317E9"/>
    <w:rsid w:val="00F34554"/>
    <w:rsid w:val="00F37E11"/>
    <w:rsid w:val="00F45F77"/>
    <w:rsid w:val="00F5167F"/>
    <w:rsid w:val="00F52258"/>
    <w:rsid w:val="00F8570A"/>
    <w:rsid w:val="00F91C7B"/>
    <w:rsid w:val="00FA1016"/>
    <w:rsid w:val="00FC2BDB"/>
    <w:rsid w:val="00FD6CF1"/>
    <w:rsid w:val="00FE590B"/>
    <w:rsid w:val="00FF373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A228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Header Char1 Char Char,Header Char Char Char Char, Char Char Char Char Char, Char Char1 Char Char,Header Char1, Char Char1, Char Char1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0D0C9F"/>
    <w:rPr>
      <w:sz w:val="24"/>
      <w:szCs w:val="24"/>
      <w:lang w:val="en-US" w:eastAsia="en-US"/>
    </w:rPr>
  </w:style>
  <w:style w:type="character" w:styleId="Hyperlink">
    <w:name w:val="Hyperlink"/>
    <w:basedOn w:val="DefaultParagraphFont"/>
    <w:rsid w:val="00577FC6"/>
    <w:rPr>
      <w:color w:val="0563C1" w:themeColor="hyperlink"/>
      <w:u w:val="single"/>
    </w:rPr>
  </w:style>
  <w:style w:type="paragraph" w:styleId="ListParagraph">
    <w:name w:val="List Paragraph"/>
    <w:basedOn w:val="Normal"/>
    <w:uiPriority w:val="34"/>
    <w:qFormat/>
    <w:rsid w:val="00C613C8"/>
    <w:pPr>
      <w:ind w:left="720"/>
      <w:contextualSpacing/>
    </w:pPr>
  </w:style>
  <w:style w:type="paragraph" w:styleId="Revision">
    <w:name w:val="Revision"/>
    <w:hidden/>
    <w:uiPriority w:val="99"/>
    <w:semiHidden/>
    <w:rsid w:val="00015E32"/>
    <w:rPr>
      <w:sz w:val="24"/>
      <w:szCs w:val="24"/>
      <w:lang w:val="en-US" w:eastAsia="en-US"/>
    </w:rPr>
  </w:style>
  <w:style w:type="paragraph" w:styleId="BodyText">
    <w:name w:val="Body Text"/>
    <w:basedOn w:val="Normal"/>
    <w:link w:val="BodyTextChar"/>
    <w:rsid w:val="00A65FA7"/>
    <w:pPr>
      <w:spacing w:after="120"/>
    </w:pPr>
    <w:rPr>
      <w:sz w:val="20"/>
      <w:szCs w:val="20"/>
    </w:rPr>
  </w:style>
  <w:style w:type="character" w:customStyle="1" w:styleId="BodyTextChar">
    <w:name w:val="Body Text Char"/>
    <w:basedOn w:val="DefaultParagraphFont"/>
    <w:link w:val="BodyText"/>
    <w:rsid w:val="00A65FA7"/>
    <w:rPr>
      <w:lang w:val="en-US" w:eastAsia="en-US"/>
    </w:rPr>
  </w:style>
  <w:style w:type="table" w:styleId="TableGrid">
    <w:name w:val="Table Grid"/>
    <w:basedOn w:val="TableNormal"/>
    <w:rsid w:val="00D613BC"/>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8919-8229-4481-8A2A-23959038883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213C79-7DA4-4178-86D0-A111D486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28493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Marijanović</cp:lastModifiedBy>
  <cp:revision>3</cp:revision>
  <dcterms:created xsi:type="dcterms:W3CDTF">2024-10-10T11:10:00Z</dcterms:created>
  <dcterms:modified xsi:type="dcterms:W3CDTF">2024-10-10T12:06:00Z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fd873789-ec82-4a31-bee2-ac71433f1696</vt:lpwstr>
  </property>
  <property fmtid="{D5CDD505-2E9C-101B-9397-08002B2CF9AE}" pid="3" name="bjSaver">
    <vt:lpwstr>TAvzsvFs7v5j+dDpgIwcKBNzogUjMz+B</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MSIP_Label_7ef10b8d-a955-4c7d-b07e-27eab27d24db_Enabled">
    <vt:lpwstr>true</vt:lpwstr>
  </property>
  <property fmtid="{D5CDD505-2E9C-101B-9397-08002B2CF9AE}" pid="9" name="MSIP_Label_7ef10b8d-a955-4c7d-b07e-27eab27d24db_SetDate">
    <vt:lpwstr>2021-11-01T10:40:16Z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0eec5b94-12da-4139-bf5c-c93855d076ee</vt:lpwstr>
  </property>
  <property fmtid="{D5CDD505-2E9C-101B-9397-08002B2CF9AE}" pid="14" name="MSIP_Label_7ef10b8d-a955-4c7d-b07e-27eab27d24db_ContentBits">
    <vt:lpwstr>0</vt:lpwstr>
  </property>
</Properties>
</file>